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60BCD">
      <w:pPr>
        <w:tabs>
          <w:tab w:val="left" w:pos="315"/>
          <w:tab w:val="left" w:pos="8820"/>
        </w:tabs>
        <w:spacing w:before="240" w:beforeLines="100" w:after="120" w:afterLines="50" w:line="500" w:lineRule="exact"/>
        <w:ind w:right="267" w:rightChars="127"/>
        <w:jc w:val="both"/>
        <w:rPr>
          <w:rFonts w:hint="eastAsia" w:ascii="宋体" w:hAnsi="宋体" w:eastAsia="宋体" w:cs="宋体"/>
          <w:b/>
          <w:bCs/>
          <w:sz w:val="52"/>
          <w:szCs w:val="52"/>
        </w:rPr>
      </w:pPr>
    </w:p>
    <w:p w14:paraId="526CC130">
      <w:pPr>
        <w:tabs>
          <w:tab w:val="left" w:pos="315"/>
          <w:tab w:val="left" w:pos="8820"/>
        </w:tabs>
        <w:spacing w:before="240" w:beforeLines="100" w:after="120" w:afterLines="50" w:line="500" w:lineRule="exact"/>
        <w:ind w:right="267" w:rightChars="127"/>
        <w:jc w:val="both"/>
        <w:rPr>
          <w:rFonts w:hint="eastAsia" w:ascii="宋体" w:hAnsi="宋体" w:eastAsia="宋体" w:cs="宋体"/>
          <w:b/>
          <w:bCs/>
          <w:sz w:val="52"/>
          <w:szCs w:val="52"/>
        </w:rPr>
      </w:pPr>
    </w:p>
    <w:p w14:paraId="6F296C8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lang w:eastAsia="zh-CN"/>
        </w:rPr>
      </w:pPr>
      <w:r>
        <w:rPr>
          <w:rFonts w:hint="eastAsia" w:ascii="宋体" w:hAnsi="宋体" w:eastAsia="宋体" w:cs="宋体"/>
          <w:b/>
          <w:bCs/>
          <w:color w:val="auto"/>
          <w:sz w:val="52"/>
          <w:szCs w:val="52"/>
          <w:lang w:val="en-US" w:eastAsia="zh-CN"/>
        </w:rPr>
        <w:t>安徽省</w:t>
      </w:r>
      <w:r>
        <w:rPr>
          <w:rFonts w:hint="eastAsia" w:ascii="宋体" w:hAnsi="宋体" w:eastAsia="宋体" w:cs="宋体"/>
          <w:b/>
          <w:bCs/>
          <w:color w:val="auto"/>
          <w:sz w:val="52"/>
          <w:szCs w:val="52"/>
        </w:rPr>
        <w:t>政府采购</w:t>
      </w:r>
      <w:r>
        <w:rPr>
          <w:rFonts w:hint="eastAsia" w:ascii="宋体" w:hAnsi="宋体" w:eastAsia="宋体" w:cs="宋体"/>
          <w:b/>
          <w:bCs/>
          <w:color w:val="auto"/>
          <w:sz w:val="52"/>
          <w:szCs w:val="52"/>
          <w:lang w:eastAsia="zh-CN"/>
        </w:rPr>
        <w:t>项目</w:t>
      </w:r>
    </w:p>
    <w:p w14:paraId="433A7AA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竞争性磋商文件示范文本（</w:t>
      </w:r>
      <w:r>
        <w:rPr>
          <w:rFonts w:hint="eastAsia" w:ascii="宋体" w:hAnsi="宋体" w:eastAsia="宋体" w:cs="宋体"/>
          <w:b/>
          <w:bCs/>
          <w:color w:val="auto"/>
          <w:sz w:val="52"/>
          <w:szCs w:val="52"/>
          <w:lang w:val="en-US" w:eastAsia="zh-CN"/>
        </w:rPr>
        <w:t>服务类</w:t>
      </w:r>
      <w:r>
        <w:rPr>
          <w:rFonts w:hint="eastAsia" w:ascii="宋体" w:hAnsi="宋体" w:eastAsia="宋体" w:cs="宋体"/>
          <w:b/>
          <w:bCs/>
          <w:color w:val="auto"/>
          <w:sz w:val="52"/>
          <w:szCs w:val="52"/>
        </w:rPr>
        <w:t>）</w:t>
      </w:r>
    </w:p>
    <w:p w14:paraId="536E20A4">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w:t>
      </w:r>
      <w:r>
        <w:rPr>
          <w:rFonts w:hint="eastAsia" w:ascii="宋体" w:hAnsi="宋体" w:eastAsia="宋体" w:cs="宋体"/>
          <w:b/>
          <w:bCs/>
          <w:color w:val="auto"/>
          <w:sz w:val="52"/>
          <w:szCs w:val="52"/>
          <w:lang w:val="en-US" w:eastAsia="zh-CN"/>
        </w:rPr>
        <w:t>2024版本</w:t>
      </w:r>
      <w:r>
        <w:rPr>
          <w:rFonts w:hint="eastAsia" w:ascii="宋体" w:hAnsi="宋体" w:eastAsia="宋体" w:cs="宋体"/>
          <w:b/>
          <w:bCs/>
          <w:color w:val="auto"/>
          <w:sz w:val="52"/>
          <w:szCs w:val="52"/>
        </w:rPr>
        <w:t>）</w:t>
      </w:r>
    </w:p>
    <w:p w14:paraId="0BCE5692">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rPr>
      </w:pPr>
    </w:p>
    <w:p w14:paraId="2E03291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lang w:val="en-US" w:eastAsia="zh-CN"/>
        </w:rPr>
      </w:pPr>
    </w:p>
    <w:p w14:paraId="613A545C">
      <w:pPr>
        <w:pStyle w:val="22"/>
        <w:rPr>
          <w:rFonts w:hint="eastAsia" w:ascii="宋体" w:hAnsi="宋体" w:eastAsia="宋体" w:cs="宋体"/>
        </w:rPr>
      </w:pPr>
    </w:p>
    <w:p w14:paraId="15C34875">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竞争性磋商文件</w:t>
      </w:r>
    </w:p>
    <w:p w14:paraId="7FBF6DB7">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4F5F2988">
      <w:pPr>
        <w:pStyle w:val="22"/>
        <w:ind w:left="0" w:leftChars="0" w:firstLine="0" w:firstLineChars="0"/>
        <w:rPr>
          <w:rFonts w:hint="eastAsia" w:ascii="宋体" w:hAnsi="宋体" w:eastAsia="宋体" w:cs="宋体"/>
          <w:b/>
          <w:bCs/>
          <w:sz w:val="44"/>
          <w:szCs w:val="44"/>
        </w:rPr>
      </w:pPr>
      <w:bookmarkStart w:id="230" w:name="_GoBack"/>
      <w:bookmarkEnd w:id="230"/>
    </w:p>
    <w:p w14:paraId="10C91BFA">
      <w:pPr>
        <w:pStyle w:val="22"/>
        <w:rPr>
          <w:rFonts w:hint="eastAsia" w:ascii="宋体" w:hAnsi="宋体" w:eastAsia="宋体" w:cs="宋体"/>
          <w:b/>
          <w:bCs/>
          <w:sz w:val="44"/>
          <w:szCs w:val="44"/>
        </w:rPr>
      </w:pPr>
    </w:p>
    <w:p w14:paraId="0E4309EF">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lang w:eastAsia="zh-CN"/>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u w:val="single"/>
          <w:lang w:eastAsia="zh-CN"/>
        </w:rPr>
        <w:t>2026年省淮河局、省临淮岗局水闸及堤防监测</w:t>
      </w:r>
    </w:p>
    <w:p w14:paraId="3CE0CD92">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lang w:eastAsia="zh-CN"/>
        </w:rPr>
      </w:pPr>
      <w:r>
        <w:rPr>
          <w:rFonts w:hint="eastAsia" w:ascii="宋体" w:hAnsi="宋体" w:eastAsia="宋体" w:cs="宋体"/>
          <w:b/>
          <w:spacing w:val="20"/>
          <w:kern w:val="0"/>
          <w:sz w:val="32"/>
          <w:szCs w:val="32"/>
        </w:rPr>
        <w:t>项目编号：</w:t>
      </w:r>
      <w:r>
        <w:rPr>
          <w:rFonts w:hint="eastAsia" w:ascii="宋体" w:hAnsi="宋体" w:eastAsia="宋体" w:cs="宋体"/>
          <w:b/>
          <w:spacing w:val="20"/>
          <w:kern w:val="0"/>
          <w:sz w:val="32"/>
          <w:szCs w:val="32"/>
          <w:u w:val="single"/>
        </w:rPr>
        <w:t>FSSD34000120260270号</w:t>
      </w:r>
    </w:p>
    <w:p w14:paraId="173B3947">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采 购 人：</w:t>
      </w:r>
      <w:r>
        <w:rPr>
          <w:rFonts w:hint="eastAsia" w:ascii="宋体" w:hAnsi="宋体" w:eastAsia="宋体" w:cs="宋体"/>
          <w:b/>
          <w:spacing w:val="20"/>
          <w:kern w:val="0"/>
          <w:sz w:val="32"/>
          <w:szCs w:val="32"/>
          <w:u w:val="single"/>
        </w:rPr>
        <w:t>安徽省淮河河道管理局</w:t>
      </w:r>
    </w:p>
    <w:p w14:paraId="56110719">
      <w:pPr>
        <w:tabs>
          <w:tab w:val="left" w:pos="2410"/>
        </w:tabs>
        <w:autoSpaceDE w:val="0"/>
        <w:autoSpaceDN w:val="0"/>
        <w:adjustRightInd w:val="0"/>
        <w:snapToGrid w:val="0"/>
        <w:spacing w:line="360" w:lineRule="auto"/>
        <w:rPr>
          <w:rFonts w:hint="eastAsia" w:ascii="宋体" w:hAnsi="宋体" w:eastAsia="宋体" w:cs="宋体"/>
          <w:b/>
          <w:spacing w:val="20"/>
          <w:w w:val="80"/>
          <w:kern w:val="0"/>
          <w:sz w:val="32"/>
          <w:szCs w:val="32"/>
          <w:u w:val="single"/>
          <w:lang w:val="en-US" w:eastAsia="zh-CN"/>
        </w:rPr>
      </w:pPr>
      <w:r>
        <w:rPr>
          <w:rFonts w:hint="eastAsia" w:ascii="宋体" w:hAnsi="宋体" w:eastAsia="宋体" w:cs="宋体"/>
          <w:b/>
          <w:spacing w:val="20"/>
          <w:kern w:val="0"/>
          <w:sz w:val="32"/>
          <w:szCs w:val="32"/>
        </w:rPr>
        <w:t>采购代理机构：</w:t>
      </w:r>
      <w:r>
        <w:rPr>
          <w:rFonts w:hint="eastAsia" w:ascii="宋体" w:hAnsi="宋体" w:eastAsia="宋体" w:cs="宋体"/>
          <w:b/>
          <w:spacing w:val="20"/>
          <w:kern w:val="0"/>
          <w:sz w:val="32"/>
          <w:szCs w:val="32"/>
          <w:u w:val="single"/>
          <w:lang w:val="en-US" w:eastAsia="zh-CN"/>
        </w:rPr>
        <w:t>安徽安兆工程技术咨询服务有限公司</w:t>
      </w:r>
    </w:p>
    <w:p w14:paraId="664A2DA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46C69598">
      <w:pPr>
        <w:tabs>
          <w:tab w:val="left" w:pos="2410"/>
        </w:tabs>
        <w:autoSpaceDE w:val="0"/>
        <w:autoSpaceDN w:val="0"/>
        <w:adjustRightInd w:val="0"/>
        <w:snapToGrid w:val="0"/>
        <w:spacing w:line="360" w:lineRule="auto"/>
        <w:jc w:val="center"/>
        <w:rPr>
          <w:rFonts w:hint="eastAsia" w:ascii="宋体" w:hAnsi="宋体" w:eastAsia="宋体" w:cs="宋体"/>
          <w:b/>
          <w:sz w:val="32"/>
          <w:szCs w:val="32"/>
          <w:u w:val="none"/>
          <w:lang w:eastAsia="zh-CN"/>
        </w:rPr>
      </w:pPr>
      <w:r>
        <w:rPr>
          <w:rFonts w:hint="eastAsia" w:ascii="宋体" w:hAnsi="宋体" w:eastAsia="宋体" w:cs="宋体"/>
          <w:b/>
          <w:sz w:val="32"/>
          <w:szCs w:val="32"/>
          <w:u w:val="none"/>
          <w:lang w:eastAsia="zh-CN"/>
        </w:rPr>
        <w:t>2026年1月</w:t>
      </w:r>
    </w:p>
    <w:p w14:paraId="4B65C2F5">
      <w:pPr>
        <w:tabs>
          <w:tab w:val="left" w:pos="2410"/>
        </w:tabs>
        <w:autoSpaceDE w:val="0"/>
        <w:autoSpaceDN w:val="0"/>
        <w:adjustRightInd w:val="0"/>
        <w:snapToGrid w:val="0"/>
        <w:spacing w:line="360" w:lineRule="auto"/>
        <w:rPr>
          <w:rFonts w:hint="eastAsia" w:ascii="宋体" w:hAnsi="宋体" w:eastAsia="宋体" w:cs="宋体"/>
          <w:b/>
          <w:sz w:val="28"/>
        </w:rPr>
      </w:pPr>
      <w:r>
        <w:rPr>
          <w:rFonts w:hint="eastAsia" w:ascii="宋体" w:hAnsi="宋体" w:eastAsia="宋体" w:cs="宋体"/>
          <w:b/>
          <w:sz w:val="28"/>
        </w:rPr>
        <w:br w:type="page"/>
      </w:r>
    </w:p>
    <w:p w14:paraId="19F50992">
      <w:pPr>
        <w:tabs>
          <w:tab w:val="left" w:pos="2410"/>
        </w:tabs>
        <w:autoSpaceDE w:val="0"/>
        <w:autoSpaceDN w:val="0"/>
        <w:adjustRightInd w:val="0"/>
        <w:snapToGrid w:val="0"/>
        <w:spacing w:line="360" w:lineRule="auto"/>
        <w:jc w:val="center"/>
        <w:rPr>
          <w:rFonts w:hint="eastAsia" w:ascii="宋体" w:hAnsi="宋体" w:eastAsia="宋体" w:cs="宋体"/>
          <w:b/>
          <w:sz w:val="28"/>
        </w:rPr>
      </w:pPr>
      <w:r>
        <w:rPr>
          <w:rFonts w:hint="eastAsia" w:ascii="宋体" w:hAnsi="宋体" w:eastAsia="宋体" w:cs="宋体"/>
          <w:b/>
          <w:sz w:val="28"/>
        </w:rPr>
        <w:t>目  录</w:t>
      </w:r>
    </w:p>
    <w:p w14:paraId="687CF456">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1CB68054">
      <w:pPr>
        <w:pStyle w:val="17"/>
        <w:tabs>
          <w:tab w:val="right" w:leader="dot" w:pos="8279"/>
        </w:tabs>
        <w:rPr>
          <w:rFonts w:hint="eastAsia" w:ascii="宋体" w:hAnsi="宋体" w:eastAsia="宋体" w:cs="宋体"/>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"1-2" \h \z \u </w:instrText>
      </w:r>
      <w:r>
        <w:rPr>
          <w:rFonts w:hint="eastAsia" w:ascii="宋体" w:hAnsi="宋体" w:eastAsia="宋体" w:cs="宋体"/>
          <w:b/>
          <w:bCs/>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"_Toc19988" </w:instrText>
      </w:r>
      <w:r>
        <w:rPr>
          <w:rFonts w:hint="eastAsia" w:ascii="宋体" w:hAnsi="宋体" w:eastAsia="宋体" w:cs="宋体"/>
        </w:rPr>
        <w:fldChar w:fldCharType="separate"/>
      </w:r>
      <w:r>
        <w:rPr>
          <w:rFonts w:hint="eastAsia" w:ascii="宋体" w:hAnsi="宋体" w:eastAsia="宋体" w:cs="宋体"/>
        </w:rPr>
        <w:t>第一章  磋商邀请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_Toc19988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065DE60">
      <w:pPr>
        <w:pStyle w:val="17"/>
        <w:tabs>
          <w:tab w:val="right" w:leader="dot" w:pos="82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"_Toc7162" </w:instrText>
      </w:r>
      <w:r>
        <w:rPr>
          <w:rFonts w:hint="eastAsia" w:ascii="宋体" w:hAnsi="宋体" w:eastAsia="宋体" w:cs="宋体"/>
        </w:rPr>
        <w:fldChar w:fldCharType="separate"/>
      </w:r>
      <w:r>
        <w:rPr>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_Toc7162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F10C3C4">
      <w:pPr>
        <w:pStyle w:val="17"/>
        <w:tabs>
          <w:tab w:val="right" w:leader="dot" w:pos="82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"_Toc19440" </w:instrText>
      </w:r>
      <w:r>
        <w:rPr>
          <w:rFonts w:hint="eastAsia" w:ascii="宋体" w:hAnsi="宋体" w:eastAsia="宋体" w:cs="宋体"/>
        </w:rPr>
        <w:fldChar w:fldCharType="separate"/>
      </w:r>
      <w:r>
        <w:rPr>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_Toc19440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41332D90">
      <w:pPr>
        <w:pStyle w:val="17"/>
        <w:tabs>
          <w:tab w:val="right" w:leader="dot" w:pos="82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"_Toc8668" </w:instrText>
      </w:r>
      <w:r>
        <w:rPr>
          <w:rFonts w:hint="eastAsia" w:ascii="宋体" w:hAnsi="宋体" w:eastAsia="宋体" w:cs="宋体"/>
        </w:rPr>
        <w:fldChar w:fldCharType="separate"/>
      </w:r>
      <w:r>
        <w:rPr>
          <w:rFonts w:hint="eastAsia" w:ascii="宋体" w:hAnsi="宋体" w:eastAsia="宋体" w:cs="宋体"/>
        </w:rPr>
        <w:t>第四章  评审方法和标准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_Toc8668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14:paraId="6367D4C9">
      <w:pPr>
        <w:pStyle w:val="17"/>
        <w:tabs>
          <w:tab w:val="right" w:leader="dot" w:pos="82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"_Toc17167" </w:instrText>
      </w:r>
      <w:r>
        <w:rPr>
          <w:rFonts w:hint="eastAsia" w:ascii="宋体" w:hAnsi="宋体" w:eastAsia="宋体" w:cs="宋体"/>
        </w:rPr>
        <w:fldChar w:fldCharType="separate"/>
      </w:r>
      <w:r>
        <w:rPr>
          <w:rFonts w:hint="eastAsia" w:ascii="宋体" w:hAnsi="宋体" w:eastAsia="宋体" w:cs="宋体"/>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_Toc17167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14:paraId="215B1D4E">
      <w:pPr>
        <w:pStyle w:val="17"/>
        <w:tabs>
          <w:tab w:val="right" w:leader="dot" w:pos="82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"_Toc25148" </w:instrText>
      </w:r>
      <w:r>
        <w:rPr>
          <w:rFonts w:hint="eastAsia" w:ascii="宋体" w:hAnsi="宋体" w:eastAsia="宋体" w:cs="宋体"/>
        </w:rPr>
        <w:fldChar w:fldCharType="separate"/>
      </w:r>
      <w:r>
        <w:rPr>
          <w:rFonts w:hint="eastAsia" w:ascii="宋体" w:hAnsi="宋体" w:eastAsia="宋体" w:cs="宋体"/>
        </w:rPr>
        <w:t>第六章  响应文件格式</w:t>
      </w:r>
      <w:r>
        <w:rPr>
          <w:rFonts w:hint="eastAsia" w:ascii="宋体" w:hAnsi="宋体" w:eastAsia="宋体" w:cs="宋体"/>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_Toc25148 \h </w:instrText>
      </w:r>
      <w:r>
        <w:rPr>
          <w:rFonts w:hint="eastAsia" w:ascii="宋体" w:hAnsi="宋体" w:eastAsia="宋体" w:cs="宋体"/>
          <w:b w:val="0"/>
          <w:bCs w:val="0"/>
        </w:rPr>
        <w:fldChar w:fldCharType="separate"/>
      </w:r>
      <w:r>
        <w:rPr>
          <w:rFonts w:hint="eastAsia" w:ascii="宋体" w:hAnsi="宋体" w:eastAsia="宋体" w:cs="宋体"/>
          <w:b w:val="0"/>
          <w:bCs w:val="0"/>
          <w:lang w:val="en-US" w:eastAsia="zh-CN"/>
        </w:rPr>
        <w:t>54</w:t>
      </w:r>
      <w:r>
        <w:rPr>
          <w:rFonts w:hint="eastAsia" w:ascii="宋体" w:hAnsi="宋体" w:eastAsia="宋体" w:cs="宋体"/>
          <w:b w:val="0"/>
          <w:bCs w:val="0"/>
        </w:rPr>
        <w:fldChar w:fldCharType="end"/>
      </w:r>
      <w:r>
        <w:rPr>
          <w:rFonts w:hint="eastAsia" w:ascii="宋体" w:hAnsi="宋体" w:eastAsia="宋体" w:cs="宋体"/>
        </w:rPr>
        <w:fldChar w:fldCharType="end"/>
      </w:r>
    </w:p>
    <w:p w14:paraId="3F7FFD99">
      <w:pPr>
        <w:pStyle w:val="17"/>
        <w:tabs>
          <w:tab w:val="right" w:leader="dot" w:pos="82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"_Toc19418" </w:instrText>
      </w:r>
      <w:r>
        <w:rPr>
          <w:rFonts w:hint="eastAsia" w:ascii="宋体" w:hAnsi="宋体" w:eastAsia="宋体" w:cs="宋体"/>
        </w:rPr>
        <w:fldChar w:fldCharType="separate"/>
      </w:r>
      <w:r>
        <w:rPr>
          <w:rFonts w:hint="eastAsia" w:ascii="宋体" w:hAnsi="宋体" w:eastAsia="宋体" w:cs="宋体"/>
          <w:bCs/>
        </w:rPr>
        <w:t>第七章  政府采购</w:t>
      </w:r>
      <w:r>
        <w:rPr>
          <w:rFonts w:hint="eastAsia" w:ascii="宋体" w:hAnsi="宋体" w:eastAsia="宋体" w:cs="宋体"/>
        </w:rPr>
        <w:t>供应</w:t>
      </w:r>
      <w:r>
        <w:rPr>
          <w:rFonts w:hint="eastAsia" w:ascii="宋体" w:hAnsi="宋体" w:eastAsia="宋体" w:cs="宋体"/>
          <w:bCs/>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_Toc19418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p>
    <w:p w14:paraId="2C309C44">
      <w:pPr>
        <w:pStyle w:val="18"/>
        <w:tabs>
          <w:tab w:val="right" w:leader="dot" w:pos="8296"/>
        </w:tabs>
        <w:rPr>
          <w:rFonts w:hint="eastAsia" w:ascii="宋体" w:hAnsi="宋体" w:eastAsia="宋体" w:cs="宋体"/>
          <w:b/>
          <w:sz w:val="32"/>
        </w:rPr>
      </w:pPr>
      <w:r>
        <w:rPr>
          <w:rFonts w:hint="eastAsia" w:ascii="宋体" w:hAnsi="宋体" w:eastAsia="宋体" w:cs="宋体"/>
          <w:bCs/>
          <w:szCs w:val="24"/>
        </w:rPr>
        <w:fldChar w:fldCharType="end"/>
      </w:r>
    </w:p>
    <w:p w14:paraId="2B686556">
      <w:pPr>
        <w:spacing w:line="360" w:lineRule="auto"/>
        <w:jc w:val="center"/>
        <w:outlineLvl w:val="1"/>
        <w:rPr>
          <w:rFonts w:hint="eastAsia" w:ascii="宋体" w:hAnsi="宋体" w:eastAsia="宋体" w:cs="宋体"/>
          <w:b/>
          <w:sz w:val="28"/>
        </w:rPr>
        <w:sectPr>
          <w:headerReference r:id="rId3" w:type="default"/>
          <w:footerReference r:id="rId4" w:type="default"/>
          <w:pgSz w:w="11907" w:h="16840"/>
          <w:pgMar w:top="1474" w:right="1814" w:bottom="1474" w:left="1814" w:header="851" w:footer="992" w:gutter="0"/>
          <w:cols w:space="720" w:num="1"/>
          <w:docGrid w:linePitch="462" w:charSpace="0"/>
        </w:sectPr>
      </w:pPr>
    </w:p>
    <w:p w14:paraId="56E58915">
      <w:pPr>
        <w:spacing w:line="360" w:lineRule="auto"/>
        <w:jc w:val="center"/>
        <w:outlineLvl w:val="0"/>
        <w:rPr>
          <w:rFonts w:hint="eastAsia" w:ascii="宋体" w:hAnsi="宋体" w:eastAsia="宋体" w:cs="宋体"/>
          <w:b/>
          <w:sz w:val="28"/>
        </w:rPr>
      </w:pPr>
      <w:bookmarkStart w:id="0" w:name="_Toc501"/>
      <w:bookmarkStart w:id="1" w:name="_Toc19988"/>
      <w:r>
        <w:rPr>
          <w:rFonts w:hint="eastAsia" w:ascii="宋体" w:hAnsi="宋体" w:eastAsia="宋体" w:cs="宋体"/>
          <w:b/>
          <w:sz w:val="28"/>
        </w:rPr>
        <w:t>第一章  磋商邀请</w:t>
      </w:r>
      <w:bookmarkEnd w:id="0"/>
      <w:bookmarkEnd w:id="1"/>
    </w:p>
    <w:p w14:paraId="3EC8C72A">
      <w:pPr>
        <w:pStyle w:val="3"/>
        <w:adjustRightInd w:val="0"/>
        <w:snapToGrid w:val="0"/>
        <w:spacing w:before="0" w:after="0" w:line="560" w:lineRule="exact"/>
        <w:ind w:firstLine="482" w:firstLineChars="200"/>
        <w:jc w:val="left"/>
        <w:rPr>
          <w:rFonts w:hint="eastAsia" w:ascii="宋体" w:hAnsi="宋体" w:eastAsia="宋体" w:cs="宋体"/>
          <w:bCs w:val="0"/>
          <w:sz w:val="24"/>
          <w:szCs w:val="24"/>
        </w:rPr>
      </w:pPr>
      <w:bookmarkStart w:id="2" w:name="_Toc35393798"/>
      <w:bookmarkStart w:id="3" w:name="_Toc28359089"/>
      <w:bookmarkStart w:id="4" w:name="_Toc14730"/>
      <w:bookmarkStart w:id="5" w:name="_Toc35393629"/>
      <w:bookmarkStart w:id="6" w:name="_Toc28359012"/>
      <w:r>
        <w:rPr>
          <w:rFonts w:hint="eastAsia" w:ascii="宋体" w:hAnsi="宋体" w:eastAsia="宋体" w:cs="宋体"/>
          <w:bCs w:val="0"/>
          <w:sz w:val="24"/>
          <w:szCs w:val="24"/>
        </w:rPr>
        <w:t>一、项目基本情况</w:t>
      </w:r>
      <w:bookmarkEnd w:id="2"/>
      <w:bookmarkEnd w:id="3"/>
      <w:bookmarkEnd w:id="4"/>
      <w:bookmarkEnd w:id="5"/>
      <w:bookmarkEnd w:id="6"/>
    </w:p>
    <w:p w14:paraId="378D7C9C">
      <w:pPr>
        <w:adjustRightInd w:val="0"/>
        <w:snapToGrid w:val="0"/>
        <w:spacing w:line="56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1.项目编号：FSSD34000120260270号</w:t>
      </w:r>
    </w:p>
    <w:p w14:paraId="49F24B28">
      <w:pPr>
        <w:adjustRightInd w:val="0"/>
        <w:snapToGrid w:val="0"/>
        <w:spacing w:line="560" w:lineRule="exact"/>
        <w:ind w:firstLine="480" w:firstLineChars="200"/>
        <w:jc w:val="left"/>
        <w:rPr>
          <w:rFonts w:hint="eastAsia" w:ascii="宋体" w:hAnsi="宋体" w:eastAsia="宋体" w:cs="宋体"/>
          <w:sz w:val="24"/>
          <w:szCs w:val="24"/>
          <w:u w:val="single"/>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2026年省淮河局、省临淮岗局水闸及堤防监测</w:t>
      </w:r>
    </w:p>
    <w:p w14:paraId="3881089E">
      <w:pPr>
        <w:adjustRightInd w:val="0"/>
        <w:snapToGrid w:val="0"/>
        <w:spacing w:line="560" w:lineRule="exact"/>
        <w:ind w:firstLine="480" w:firstLineChars="200"/>
        <w:jc w:val="left"/>
        <w:rPr>
          <w:rFonts w:hint="eastAsia" w:ascii="宋体" w:hAnsi="宋体" w:eastAsia="宋体" w:cs="宋体"/>
          <w:b/>
          <w:bCs/>
          <w:color w:val="FF0000"/>
          <w:sz w:val="24"/>
          <w:szCs w:val="24"/>
          <w:lang w:eastAsia="zh-CN"/>
        </w:rPr>
      </w:pPr>
      <w:r>
        <w:rPr>
          <w:rFonts w:hint="eastAsia" w:ascii="宋体" w:hAnsi="宋体" w:eastAsia="宋体" w:cs="宋体"/>
          <w:sz w:val="24"/>
          <w:szCs w:val="24"/>
        </w:rPr>
        <w:t>3.预算金额：</w:t>
      </w:r>
      <w:r>
        <w:rPr>
          <w:rFonts w:hint="eastAsia" w:ascii="宋体" w:hAnsi="宋体" w:eastAsia="宋体" w:cs="宋体"/>
          <w:b/>
          <w:bCs/>
          <w:color w:val="FF0000"/>
          <w:sz w:val="24"/>
          <w:szCs w:val="24"/>
          <w:lang w:val="en-US" w:eastAsia="zh-CN"/>
        </w:rPr>
        <w:t>120.9</w:t>
      </w:r>
      <w:r>
        <w:rPr>
          <w:rFonts w:hint="eastAsia" w:ascii="宋体" w:hAnsi="宋体" w:eastAsia="宋体" w:cs="宋体"/>
          <w:b/>
          <w:bCs/>
          <w:color w:val="FF0000"/>
          <w:sz w:val="24"/>
          <w:szCs w:val="24"/>
          <w:lang w:eastAsia="zh-CN"/>
        </w:rPr>
        <w:t>万元</w:t>
      </w:r>
      <w:r>
        <w:rPr>
          <w:rFonts w:hint="eastAsia" w:ascii="宋体" w:hAnsi="宋体" w:eastAsia="宋体" w:cs="宋体"/>
          <w:b/>
          <w:bCs/>
          <w:color w:val="FF0000"/>
          <w:sz w:val="24"/>
          <w:szCs w:val="18"/>
          <w:lang w:eastAsia="zh-CN"/>
        </w:rPr>
        <w:t>（</w:t>
      </w:r>
      <w:r>
        <w:rPr>
          <w:rFonts w:hint="eastAsia" w:ascii="宋体" w:hAnsi="宋体" w:eastAsia="宋体" w:cs="宋体"/>
          <w:b/>
          <w:bCs/>
          <w:color w:val="FF0000"/>
          <w:sz w:val="24"/>
          <w:szCs w:val="18"/>
        </w:rPr>
        <w:t>其中第1包</w:t>
      </w:r>
      <w:r>
        <w:rPr>
          <w:rFonts w:hint="eastAsia" w:ascii="宋体" w:hAnsi="宋体" w:eastAsia="宋体" w:cs="宋体"/>
          <w:b/>
          <w:bCs/>
          <w:color w:val="FF0000"/>
          <w:sz w:val="24"/>
          <w:szCs w:val="18"/>
          <w:lang w:val="en-US" w:eastAsia="zh-CN"/>
        </w:rPr>
        <w:t>省淮河局</w:t>
      </w:r>
      <w:r>
        <w:rPr>
          <w:rFonts w:hint="eastAsia" w:ascii="宋体" w:hAnsi="宋体" w:eastAsia="宋体" w:cs="宋体"/>
          <w:b/>
          <w:bCs/>
          <w:color w:val="FF0000"/>
          <w:sz w:val="24"/>
          <w:szCs w:val="18"/>
        </w:rPr>
        <w:t>94.9</w:t>
      </w:r>
      <w:r>
        <w:rPr>
          <w:rFonts w:hint="eastAsia" w:ascii="宋体" w:hAnsi="宋体" w:eastAsia="宋体" w:cs="宋体"/>
          <w:b/>
          <w:bCs/>
          <w:color w:val="FF0000"/>
          <w:sz w:val="24"/>
          <w:szCs w:val="18"/>
          <w:lang w:eastAsia="zh-CN"/>
        </w:rPr>
        <w:t>万元</w:t>
      </w:r>
      <w:r>
        <w:rPr>
          <w:rFonts w:hint="eastAsia" w:ascii="宋体" w:hAnsi="宋体" w:eastAsia="宋体" w:cs="宋体"/>
          <w:b/>
          <w:bCs/>
          <w:color w:val="FF0000"/>
          <w:sz w:val="24"/>
          <w:szCs w:val="18"/>
        </w:rPr>
        <w:t>；第2包</w:t>
      </w:r>
      <w:r>
        <w:rPr>
          <w:rFonts w:hint="eastAsia" w:ascii="宋体" w:hAnsi="宋体" w:eastAsia="宋体" w:cs="宋体"/>
          <w:b/>
          <w:bCs/>
          <w:color w:val="FF0000"/>
          <w:sz w:val="24"/>
          <w:szCs w:val="18"/>
          <w:lang w:val="en-US" w:eastAsia="zh-CN"/>
        </w:rPr>
        <w:t>省</w:t>
      </w:r>
      <w:r>
        <w:rPr>
          <w:rFonts w:hint="eastAsia" w:ascii="宋体" w:hAnsi="宋体" w:eastAsia="宋体" w:cs="宋体"/>
          <w:b/>
          <w:bCs/>
          <w:color w:val="FF0000"/>
          <w:sz w:val="24"/>
          <w:szCs w:val="18"/>
          <w:lang w:eastAsia="zh-CN"/>
        </w:rPr>
        <w:t>临淮岗</w:t>
      </w:r>
      <w:r>
        <w:rPr>
          <w:rFonts w:hint="eastAsia" w:ascii="宋体" w:hAnsi="宋体" w:eastAsia="宋体" w:cs="宋体"/>
          <w:b/>
          <w:bCs/>
          <w:color w:val="FF0000"/>
          <w:sz w:val="24"/>
          <w:szCs w:val="18"/>
          <w:lang w:val="en-US" w:eastAsia="zh-CN"/>
        </w:rPr>
        <w:t>局</w:t>
      </w:r>
      <w:r>
        <w:rPr>
          <w:rFonts w:hint="eastAsia" w:ascii="宋体" w:hAnsi="宋体" w:eastAsia="宋体" w:cs="宋体"/>
          <w:b/>
          <w:bCs/>
          <w:color w:val="FF0000"/>
          <w:sz w:val="24"/>
          <w:szCs w:val="18"/>
          <w:lang w:eastAsia="zh-CN"/>
        </w:rPr>
        <w:t>26万元）</w:t>
      </w:r>
    </w:p>
    <w:p w14:paraId="22E745F4">
      <w:pPr>
        <w:adjustRightInd w:val="0"/>
        <w:snapToGrid w:val="0"/>
        <w:spacing w:line="560" w:lineRule="exact"/>
        <w:ind w:firstLine="480" w:firstLineChars="200"/>
        <w:jc w:val="left"/>
        <w:rPr>
          <w:rFonts w:hint="eastAsia" w:ascii="宋体" w:hAnsi="宋体" w:eastAsia="宋体" w:cs="宋体"/>
          <w:b/>
          <w:bCs/>
          <w:color w:val="FF0000"/>
          <w:sz w:val="24"/>
          <w:szCs w:val="24"/>
          <w:lang w:eastAsia="zh-CN"/>
        </w:rPr>
      </w:pPr>
      <w:r>
        <w:rPr>
          <w:rFonts w:hint="eastAsia" w:ascii="宋体" w:hAnsi="宋体" w:eastAsia="宋体" w:cs="宋体"/>
          <w:sz w:val="24"/>
          <w:szCs w:val="24"/>
        </w:rPr>
        <w:t>4.最高限价：</w:t>
      </w:r>
      <w:r>
        <w:rPr>
          <w:rFonts w:hint="eastAsia" w:ascii="宋体" w:hAnsi="宋体" w:eastAsia="宋体" w:cs="宋体"/>
          <w:b/>
          <w:bCs/>
          <w:color w:val="FF0000"/>
          <w:sz w:val="24"/>
          <w:szCs w:val="24"/>
          <w:lang w:val="en-US" w:eastAsia="zh-CN"/>
        </w:rPr>
        <w:t>120.9</w:t>
      </w:r>
      <w:r>
        <w:rPr>
          <w:rFonts w:hint="eastAsia" w:ascii="宋体" w:hAnsi="宋体" w:eastAsia="宋体" w:cs="宋体"/>
          <w:b/>
          <w:bCs/>
          <w:color w:val="FF0000"/>
          <w:sz w:val="24"/>
          <w:szCs w:val="24"/>
          <w:lang w:eastAsia="zh-CN"/>
        </w:rPr>
        <w:t>万元</w:t>
      </w:r>
      <w:r>
        <w:rPr>
          <w:rFonts w:hint="eastAsia" w:ascii="宋体" w:hAnsi="宋体" w:eastAsia="宋体" w:cs="宋体"/>
          <w:b/>
          <w:bCs/>
          <w:color w:val="FF0000"/>
          <w:sz w:val="24"/>
          <w:szCs w:val="18"/>
          <w:lang w:eastAsia="zh-CN"/>
        </w:rPr>
        <w:t>（</w:t>
      </w:r>
      <w:r>
        <w:rPr>
          <w:rFonts w:hint="eastAsia" w:ascii="宋体" w:hAnsi="宋体" w:eastAsia="宋体" w:cs="宋体"/>
          <w:b/>
          <w:bCs/>
          <w:color w:val="FF0000"/>
          <w:sz w:val="24"/>
          <w:szCs w:val="18"/>
        </w:rPr>
        <w:t>其中第1包</w:t>
      </w:r>
      <w:r>
        <w:rPr>
          <w:rFonts w:hint="eastAsia" w:ascii="宋体" w:hAnsi="宋体" w:eastAsia="宋体" w:cs="宋体"/>
          <w:b/>
          <w:bCs/>
          <w:color w:val="FF0000"/>
          <w:sz w:val="24"/>
          <w:szCs w:val="18"/>
          <w:lang w:val="en-US" w:eastAsia="zh-CN"/>
        </w:rPr>
        <w:t>省淮河局</w:t>
      </w:r>
      <w:r>
        <w:rPr>
          <w:rFonts w:hint="eastAsia" w:ascii="宋体" w:hAnsi="宋体" w:eastAsia="宋体" w:cs="宋体"/>
          <w:b/>
          <w:bCs/>
          <w:color w:val="FF0000"/>
          <w:sz w:val="24"/>
          <w:szCs w:val="18"/>
        </w:rPr>
        <w:t>94.9</w:t>
      </w:r>
      <w:r>
        <w:rPr>
          <w:rFonts w:hint="eastAsia" w:ascii="宋体" w:hAnsi="宋体" w:eastAsia="宋体" w:cs="宋体"/>
          <w:b/>
          <w:bCs/>
          <w:color w:val="FF0000"/>
          <w:sz w:val="24"/>
          <w:szCs w:val="18"/>
          <w:lang w:eastAsia="zh-CN"/>
        </w:rPr>
        <w:t>万元</w:t>
      </w:r>
      <w:r>
        <w:rPr>
          <w:rFonts w:hint="eastAsia" w:ascii="宋体" w:hAnsi="宋体" w:eastAsia="宋体" w:cs="宋体"/>
          <w:b/>
          <w:bCs/>
          <w:color w:val="FF0000"/>
          <w:sz w:val="24"/>
          <w:szCs w:val="18"/>
        </w:rPr>
        <w:t>；第2包</w:t>
      </w:r>
      <w:r>
        <w:rPr>
          <w:rFonts w:hint="eastAsia" w:ascii="宋体" w:hAnsi="宋体" w:eastAsia="宋体" w:cs="宋体"/>
          <w:b/>
          <w:bCs/>
          <w:color w:val="FF0000"/>
          <w:sz w:val="24"/>
          <w:szCs w:val="18"/>
          <w:lang w:val="en-US" w:eastAsia="zh-CN"/>
        </w:rPr>
        <w:t>省</w:t>
      </w:r>
      <w:r>
        <w:rPr>
          <w:rFonts w:hint="eastAsia" w:ascii="宋体" w:hAnsi="宋体" w:eastAsia="宋体" w:cs="宋体"/>
          <w:b/>
          <w:bCs/>
          <w:color w:val="FF0000"/>
          <w:sz w:val="24"/>
          <w:szCs w:val="18"/>
          <w:lang w:eastAsia="zh-CN"/>
        </w:rPr>
        <w:t>临淮岗</w:t>
      </w:r>
      <w:r>
        <w:rPr>
          <w:rFonts w:hint="eastAsia" w:ascii="宋体" w:hAnsi="宋体" w:eastAsia="宋体" w:cs="宋体"/>
          <w:b/>
          <w:bCs/>
          <w:color w:val="FF0000"/>
          <w:sz w:val="24"/>
          <w:szCs w:val="18"/>
          <w:lang w:val="en-US" w:eastAsia="zh-CN"/>
        </w:rPr>
        <w:t>局</w:t>
      </w:r>
      <w:r>
        <w:rPr>
          <w:rFonts w:hint="eastAsia" w:ascii="宋体" w:hAnsi="宋体" w:eastAsia="宋体" w:cs="宋体"/>
          <w:b/>
          <w:bCs/>
          <w:color w:val="FF0000"/>
          <w:sz w:val="24"/>
          <w:szCs w:val="18"/>
          <w:lang w:eastAsia="zh-CN"/>
        </w:rPr>
        <w:t>26万元）</w:t>
      </w:r>
    </w:p>
    <w:p w14:paraId="7FAD2A0D">
      <w:pPr>
        <w:adjustRightInd w:val="0"/>
        <w:snapToGrid w:val="0"/>
        <w:spacing w:line="560" w:lineRule="exact"/>
        <w:ind w:firstLine="480" w:firstLineChars="200"/>
        <w:jc w:val="left"/>
        <w:rPr>
          <w:rFonts w:hint="eastAsia" w:ascii="宋体" w:hAnsi="宋体" w:eastAsia="宋体" w:cs="宋体"/>
          <w:b/>
          <w:bCs/>
          <w:color w:val="FF0000"/>
          <w:sz w:val="24"/>
          <w:szCs w:val="24"/>
          <w:lang w:val="en-US" w:eastAsia="zh-CN"/>
        </w:rPr>
      </w:pPr>
      <w:r>
        <w:rPr>
          <w:rFonts w:hint="eastAsia" w:ascii="宋体" w:hAnsi="宋体" w:eastAsia="宋体" w:cs="宋体"/>
          <w:sz w:val="24"/>
          <w:szCs w:val="24"/>
          <w:lang w:eastAsia="zh-CN"/>
        </w:rPr>
        <w:t>5.采购需求：2026年省淮河局、省临淮岗局水闸及堤防监测</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分为两个包。</w:t>
      </w:r>
      <w:r>
        <w:rPr>
          <w:rFonts w:hint="eastAsia" w:ascii="宋体" w:hAnsi="宋体" w:eastAsia="宋体" w:cs="宋体"/>
          <w:b/>
          <w:bCs/>
          <w:color w:val="FF0000"/>
          <w:sz w:val="24"/>
          <w:szCs w:val="24"/>
          <w:lang w:val="en-US" w:eastAsia="zh-CN"/>
        </w:rPr>
        <w:t>本项目为统采分签项目，由安徽省淮河河道管理局作为采购人统一组织采购，成交人成交后分别与各个单位签订合同。</w:t>
      </w:r>
    </w:p>
    <w:p w14:paraId="1D7360CF">
      <w:pPr>
        <w:adjustRightInd w:val="0"/>
        <w:snapToGrid w:val="0"/>
        <w:spacing w:line="56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第1包</w:t>
      </w:r>
      <w:r>
        <w:rPr>
          <w:rFonts w:hint="eastAsia" w:ascii="宋体" w:hAnsi="宋体" w:eastAsia="宋体" w:cs="宋体"/>
          <w:b/>
          <w:bCs/>
          <w:sz w:val="24"/>
          <w:szCs w:val="24"/>
          <w:lang w:val="en-US" w:eastAsia="zh-CN"/>
        </w:rPr>
        <w:t>省淮河局</w:t>
      </w:r>
      <w:r>
        <w:rPr>
          <w:rFonts w:hint="eastAsia" w:ascii="宋体" w:hAnsi="宋体" w:eastAsia="宋体" w:cs="宋体"/>
          <w:b/>
          <w:bCs/>
          <w:sz w:val="24"/>
          <w:szCs w:val="24"/>
          <w:lang w:eastAsia="zh-CN"/>
        </w:rPr>
        <w:t>主要工作内容：</w:t>
      </w:r>
      <w:r>
        <w:rPr>
          <w:rFonts w:hint="eastAsia" w:ascii="宋体" w:hAnsi="宋体" w:eastAsia="宋体" w:cs="宋体"/>
          <w:sz w:val="24"/>
          <w:szCs w:val="24"/>
          <w:lang w:eastAsia="zh-CN"/>
        </w:rPr>
        <w:t>对全局20座大中型水闸、13座小型涵闸及部分重要堤段等开展安全监测，水闸监测内容主要为垂直位移、水平位移、上下游河床冲刷和淤积、水位尺及测压管高程校核等；堤防监测内容主要为近岸河床冲淤变化、沉降观测等。</w:t>
      </w:r>
      <w:r>
        <w:rPr>
          <w:rFonts w:hint="eastAsia" w:ascii="宋体" w:hAnsi="宋体" w:eastAsia="宋体" w:cs="宋体"/>
          <w:b/>
          <w:bCs/>
          <w:sz w:val="24"/>
          <w:szCs w:val="24"/>
          <w:lang w:eastAsia="zh-CN"/>
        </w:rPr>
        <w:t>第2包</w:t>
      </w:r>
      <w:r>
        <w:rPr>
          <w:rFonts w:hint="eastAsia" w:ascii="宋体" w:hAnsi="宋体" w:eastAsia="宋体" w:cs="宋体"/>
          <w:b/>
          <w:bCs/>
          <w:sz w:val="24"/>
          <w:szCs w:val="24"/>
          <w:lang w:val="en-US" w:eastAsia="zh-CN"/>
        </w:rPr>
        <w:t>省</w:t>
      </w:r>
      <w:r>
        <w:rPr>
          <w:rFonts w:hint="eastAsia" w:ascii="宋体" w:hAnsi="宋体" w:eastAsia="宋体" w:cs="宋体"/>
          <w:b/>
          <w:bCs/>
          <w:sz w:val="24"/>
          <w:szCs w:val="24"/>
          <w:lang w:eastAsia="zh-CN"/>
        </w:rPr>
        <w:t>临淮岗</w:t>
      </w:r>
      <w:r>
        <w:rPr>
          <w:rFonts w:hint="eastAsia" w:ascii="宋体" w:hAnsi="宋体" w:eastAsia="宋体" w:cs="宋体"/>
          <w:b/>
          <w:bCs/>
          <w:sz w:val="24"/>
          <w:szCs w:val="24"/>
          <w:lang w:val="en-US" w:eastAsia="zh-CN"/>
        </w:rPr>
        <w:t>局</w:t>
      </w:r>
      <w:r>
        <w:rPr>
          <w:rFonts w:hint="eastAsia" w:ascii="宋体" w:hAnsi="宋体" w:eastAsia="宋体" w:cs="宋体"/>
          <w:b/>
          <w:bCs/>
          <w:sz w:val="24"/>
          <w:szCs w:val="24"/>
          <w:lang w:eastAsia="zh-CN"/>
        </w:rPr>
        <w:t>主要工作内容：</w:t>
      </w:r>
      <w:r>
        <w:rPr>
          <w:rFonts w:hint="eastAsia" w:ascii="宋体" w:hAnsi="宋体" w:eastAsia="宋体" w:cs="宋体"/>
          <w:sz w:val="24"/>
          <w:szCs w:val="24"/>
          <w:lang w:val="en-US" w:eastAsia="zh-CN"/>
        </w:rPr>
        <w:t>临淮岗主坝及水闸位移及河道断面测量，出具分析报告，水闸及主坝测压管高程复核，观测墩拆除重做。具体项目实施内容、相关要求详见采购文件。</w:t>
      </w:r>
    </w:p>
    <w:p w14:paraId="6E559D65">
      <w:pPr>
        <w:adjustRightInd w:val="0"/>
        <w:snapToGrid w:val="0"/>
        <w:spacing w:line="560" w:lineRule="exact"/>
        <w:ind w:firstLine="480" w:firstLineChars="200"/>
        <w:jc w:val="left"/>
        <w:rPr>
          <w:rFonts w:hint="eastAsia" w:ascii="宋体" w:hAnsi="宋体" w:eastAsia="宋体" w:cs="宋体"/>
          <w:b/>
          <w:bCs/>
          <w:color w:val="FF0000"/>
          <w:sz w:val="24"/>
          <w:szCs w:val="24"/>
          <w:lang w:val="en-US" w:eastAsia="zh-CN"/>
        </w:rPr>
      </w:pPr>
      <w:r>
        <w:rPr>
          <w:rFonts w:hint="eastAsia" w:ascii="宋体" w:hAnsi="宋体" w:eastAsia="宋体" w:cs="宋体"/>
          <w:color w:val="FF0000"/>
          <w:sz w:val="24"/>
          <w:szCs w:val="24"/>
          <w:lang w:val="en-US" w:eastAsia="zh-CN"/>
        </w:rPr>
        <w:t>6.合同履行期限：</w:t>
      </w:r>
      <w:r>
        <w:rPr>
          <w:rFonts w:hint="eastAsia" w:ascii="宋体" w:hAnsi="宋体" w:eastAsia="宋体" w:cs="宋体"/>
          <w:b/>
          <w:bCs/>
          <w:color w:val="FF0000"/>
          <w:sz w:val="24"/>
          <w:szCs w:val="24"/>
          <w:lang w:val="en-US" w:eastAsia="zh-CN"/>
        </w:rPr>
        <w:t>合同签订之日起至2026年11月15日止。</w:t>
      </w:r>
    </w:p>
    <w:p w14:paraId="65840E5F">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rPr>
        <w:t>本项目（否）接受联合体磋商。</w:t>
      </w:r>
    </w:p>
    <w:p w14:paraId="162834E5">
      <w:pPr>
        <w:pStyle w:val="3"/>
        <w:adjustRightInd w:val="0"/>
        <w:snapToGrid w:val="0"/>
        <w:spacing w:before="0" w:after="0" w:line="560" w:lineRule="exact"/>
        <w:ind w:firstLine="482" w:firstLineChars="200"/>
        <w:jc w:val="left"/>
        <w:rPr>
          <w:rFonts w:hint="eastAsia" w:ascii="宋体" w:hAnsi="宋体" w:eastAsia="宋体" w:cs="宋体"/>
          <w:bCs w:val="0"/>
          <w:sz w:val="24"/>
          <w:szCs w:val="24"/>
        </w:rPr>
      </w:pPr>
      <w:bookmarkStart w:id="7" w:name="_Toc32615"/>
      <w:bookmarkStart w:id="8" w:name="_Toc35393630"/>
      <w:bookmarkStart w:id="9" w:name="_Toc35393799"/>
      <w:bookmarkStart w:id="10" w:name="_Toc28359013"/>
      <w:bookmarkStart w:id="11" w:name="_Toc28359090"/>
      <w:r>
        <w:rPr>
          <w:rFonts w:hint="eastAsia" w:ascii="宋体" w:hAnsi="宋体" w:eastAsia="宋体" w:cs="宋体"/>
          <w:bCs w:val="0"/>
          <w:sz w:val="24"/>
          <w:szCs w:val="24"/>
        </w:rPr>
        <w:t>二、申请人的资格要求：</w:t>
      </w:r>
      <w:bookmarkEnd w:id="7"/>
      <w:bookmarkEnd w:id="8"/>
      <w:bookmarkEnd w:id="9"/>
      <w:bookmarkEnd w:id="10"/>
      <w:bookmarkEnd w:id="11"/>
    </w:p>
    <w:p w14:paraId="1F81FBA0">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89EF913">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5C62079">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2.1中小企业政策</w:t>
      </w:r>
    </w:p>
    <w:p w14:paraId="7CD8A23D">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2.1.1</w:t>
      </w:r>
      <w:r>
        <w:rPr>
          <w:rFonts w:hint="eastAsia" w:ascii="宋体" w:hAnsi="宋体" w:eastAsia="宋体" w:cs="宋体"/>
          <w:sz w:val="24"/>
          <w:szCs w:val="24"/>
        </w:rPr>
        <w:sym w:font="Wingdings 2" w:char="F052"/>
      </w:r>
      <w:r>
        <w:rPr>
          <w:rFonts w:hint="eastAsia" w:ascii="宋体" w:hAnsi="宋体" w:eastAsia="宋体" w:cs="宋体"/>
          <w:sz w:val="24"/>
          <w:szCs w:val="24"/>
        </w:rPr>
        <w:t>本项目不专门面向中小企业预留采购份额。</w:t>
      </w:r>
    </w:p>
    <w:p w14:paraId="1DD4E7A9">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2.1.2□本项目专门面向/采购。</w:t>
      </w:r>
    </w:p>
    <w:p w14:paraId="0BC80EA5">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2.1.3□本项目预留部分采购项目预算专门面向中小企业采购。对于预留份额，提供的货物由符合政策要求的中小企业制造。预留份额通过以下措施进行：/。</w:t>
      </w:r>
    </w:p>
    <w:p w14:paraId="14E69806">
      <w:pPr>
        <w:adjustRightInd w:val="0"/>
        <w:snapToGrid w:val="0"/>
        <w:spacing w:line="560" w:lineRule="exact"/>
        <w:ind w:firstLine="480" w:firstLineChars="200"/>
        <w:jc w:val="left"/>
        <w:rPr>
          <w:rFonts w:hint="eastAsia" w:ascii="宋体" w:hAnsi="宋体" w:eastAsia="宋体" w:cs="宋体"/>
          <w:b/>
          <w:bCs/>
          <w:sz w:val="24"/>
          <w:szCs w:val="24"/>
        </w:rPr>
      </w:pPr>
      <w:r>
        <w:rPr>
          <w:rFonts w:hint="eastAsia" w:ascii="宋体" w:hAnsi="宋体" w:eastAsia="宋体" w:cs="宋体"/>
          <w:sz w:val="24"/>
          <w:szCs w:val="24"/>
        </w:rPr>
        <w:t>2.2其它落实政府采购政策的资格要求（如有）：</w:t>
      </w:r>
      <w:r>
        <w:rPr>
          <w:rFonts w:hint="eastAsia" w:ascii="宋体" w:hAnsi="宋体" w:eastAsia="宋体" w:cs="宋体"/>
          <w:sz w:val="24"/>
        </w:rPr>
        <w:t>/</w:t>
      </w:r>
      <w:r>
        <w:rPr>
          <w:rFonts w:hint="eastAsia" w:ascii="宋体" w:hAnsi="宋体" w:eastAsia="宋体" w:cs="宋体"/>
          <w:b/>
          <w:bCs/>
          <w:sz w:val="24"/>
          <w:szCs w:val="24"/>
        </w:rPr>
        <w:t>。</w:t>
      </w:r>
    </w:p>
    <w:p w14:paraId="6D62EDFA">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3.本项目的特定资格要求：具有测绘行政主管部门颁发的测绘甲级资质（专业</w:t>
      </w:r>
      <w:r>
        <w:rPr>
          <w:rFonts w:hint="eastAsia" w:ascii="宋体" w:hAnsi="宋体" w:eastAsia="宋体" w:cs="宋体"/>
          <w:sz w:val="24"/>
          <w:szCs w:val="24"/>
          <w:lang w:val="en-US" w:eastAsia="zh-CN"/>
        </w:rPr>
        <w:t>类别</w:t>
      </w:r>
      <w:r>
        <w:rPr>
          <w:rFonts w:hint="eastAsia" w:ascii="宋体" w:hAnsi="宋体" w:eastAsia="宋体" w:cs="宋体"/>
          <w:sz w:val="24"/>
          <w:szCs w:val="24"/>
        </w:rPr>
        <w:t>须包括工程测量）。</w:t>
      </w:r>
    </w:p>
    <w:p w14:paraId="07507AD2">
      <w:pPr>
        <w:pStyle w:val="3"/>
        <w:adjustRightInd w:val="0"/>
        <w:snapToGrid w:val="0"/>
        <w:spacing w:before="0" w:after="0" w:line="560" w:lineRule="exact"/>
        <w:ind w:firstLine="482" w:firstLineChars="200"/>
        <w:jc w:val="left"/>
        <w:rPr>
          <w:rFonts w:hint="eastAsia" w:ascii="宋体" w:hAnsi="宋体" w:eastAsia="宋体" w:cs="宋体"/>
          <w:bCs w:val="0"/>
          <w:sz w:val="24"/>
          <w:szCs w:val="24"/>
        </w:rPr>
      </w:pPr>
      <w:bookmarkStart w:id="12" w:name="_Toc35393631"/>
      <w:bookmarkStart w:id="13" w:name="_Toc24072"/>
      <w:bookmarkStart w:id="14" w:name="_Toc35393800"/>
      <w:r>
        <w:rPr>
          <w:rFonts w:hint="eastAsia" w:ascii="宋体" w:hAnsi="宋体" w:eastAsia="宋体" w:cs="宋体"/>
          <w:bCs w:val="0"/>
          <w:sz w:val="24"/>
          <w:szCs w:val="24"/>
        </w:rPr>
        <w:t>三、获取采购文件</w:t>
      </w:r>
      <w:bookmarkEnd w:id="12"/>
      <w:bookmarkEnd w:id="13"/>
      <w:bookmarkEnd w:id="14"/>
    </w:p>
    <w:p w14:paraId="35848C74">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lang w:eastAsia="zh-CN"/>
        </w:rPr>
        <w:t>2026年01月</w:t>
      </w:r>
      <w:r>
        <w:rPr>
          <w:rFonts w:hint="eastAsia" w:ascii="宋体" w:hAnsi="宋体" w:eastAsia="宋体" w:cs="宋体"/>
          <w:sz w:val="24"/>
          <w:szCs w:val="24"/>
          <w:u w:val="single"/>
          <w:lang w:val="en-US" w:eastAsia="zh-CN"/>
        </w:rPr>
        <w:t>26</w:t>
      </w:r>
      <w:r>
        <w:rPr>
          <w:rFonts w:hint="eastAsia" w:ascii="宋体" w:hAnsi="宋体" w:eastAsia="宋体" w:cs="宋体"/>
          <w:sz w:val="24"/>
          <w:szCs w:val="24"/>
          <w:u w:val="single"/>
          <w:lang w:eastAsia="zh-CN"/>
        </w:rPr>
        <w:t>日</w:t>
      </w:r>
      <w:r>
        <w:rPr>
          <w:rFonts w:hint="eastAsia" w:ascii="宋体" w:hAnsi="宋体" w:eastAsia="宋体" w:cs="宋体"/>
          <w:sz w:val="24"/>
          <w:szCs w:val="24"/>
          <w:u w:val="single"/>
        </w:rPr>
        <w:t>至</w:t>
      </w:r>
      <w:r>
        <w:rPr>
          <w:rFonts w:hint="eastAsia" w:ascii="宋体" w:hAnsi="宋体" w:eastAsia="宋体" w:cs="宋体"/>
          <w:sz w:val="24"/>
          <w:szCs w:val="24"/>
          <w:u w:val="single"/>
          <w:lang w:eastAsia="zh-CN"/>
        </w:rPr>
        <w:t>2026年0</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月</w:t>
      </w:r>
      <w:r>
        <w:rPr>
          <w:rFonts w:hint="eastAsia" w:ascii="宋体" w:hAnsi="宋体" w:eastAsia="宋体" w:cs="宋体"/>
          <w:sz w:val="24"/>
          <w:szCs w:val="24"/>
          <w:u w:val="single"/>
          <w:lang w:val="en-US" w:eastAsia="zh-CN"/>
        </w:rPr>
        <w:t>06</w:t>
      </w:r>
      <w:r>
        <w:rPr>
          <w:rFonts w:hint="eastAsia" w:ascii="宋体" w:hAnsi="宋体" w:eastAsia="宋体" w:cs="宋体"/>
          <w:sz w:val="24"/>
          <w:szCs w:val="24"/>
          <w:u w:val="single"/>
          <w:lang w:eastAsia="zh-CN"/>
        </w:rPr>
        <w:t>日</w:t>
      </w:r>
      <w:r>
        <w:rPr>
          <w:rFonts w:hint="eastAsia" w:ascii="宋体" w:hAnsi="宋体" w:eastAsia="宋体" w:cs="宋体"/>
          <w:sz w:val="24"/>
          <w:szCs w:val="24"/>
        </w:rPr>
        <w:t>，每天上午00:00至12:00，下午12:00至23:59（北京时间，法定节假日除外）</w:t>
      </w:r>
    </w:p>
    <w:p w14:paraId="390D0087">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地点：“徽采云”电子交易系统 </w:t>
      </w:r>
    </w:p>
    <w:p w14:paraId="42DA1256">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方式：供应商登录“徽采云”电子交易系统在线获取采购文件</w:t>
      </w:r>
    </w:p>
    <w:p w14:paraId="42FE382C">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售价：0元</w:t>
      </w:r>
    </w:p>
    <w:p w14:paraId="2DBDBC0A">
      <w:pPr>
        <w:adjustRightInd w:val="0"/>
        <w:snapToGrid w:val="0"/>
        <w:spacing w:line="56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 xml:space="preserve"> 四、响应文件提交</w:t>
      </w:r>
    </w:p>
    <w:p w14:paraId="62E38D1E">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eastAsia="zh-CN"/>
        </w:rPr>
        <w:t>2026年0</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月</w:t>
      </w:r>
      <w:r>
        <w:rPr>
          <w:rFonts w:hint="eastAsia" w:ascii="宋体" w:hAnsi="宋体" w:eastAsia="宋体" w:cs="宋体"/>
          <w:sz w:val="24"/>
          <w:szCs w:val="24"/>
          <w:u w:val="single"/>
          <w:lang w:val="en-US" w:eastAsia="zh-CN"/>
        </w:rPr>
        <w:t>06</w:t>
      </w:r>
      <w:r>
        <w:rPr>
          <w:rFonts w:hint="eastAsia" w:ascii="宋体" w:hAnsi="宋体" w:eastAsia="宋体" w:cs="宋体"/>
          <w:sz w:val="24"/>
          <w:szCs w:val="24"/>
          <w:u w:val="single"/>
          <w:lang w:eastAsia="zh-CN"/>
        </w:rPr>
        <w:t>日</w:t>
      </w:r>
      <w:r>
        <w:rPr>
          <w:rFonts w:hint="eastAsia" w:ascii="宋体" w:hAnsi="宋体" w:eastAsia="宋体" w:cs="宋体"/>
          <w:sz w:val="24"/>
          <w:szCs w:val="24"/>
          <w:u w:val="single"/>
          <w:lang w:val="en-US" w:eastAsia="zh-CN"/>
        </w:rPr>
        <w:t>13</w:t>
      </w:r>
      <w:r>
        <w:rPr>
          <w:rFonts w:hint="eastAsia" w:ascii="宋体" w:hAnsi="宋体" w:eastAsia="宋体" w:cs="宋体"/>
          <w:sz w:val="24"/>
          <w:szCs w:val="24"/>
          <w:u w:val="single"/>
          <w:lang w:eastAsia="zh-CN"/>
        </w:rPr>
        <w:t>点</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lang w:eastAsia="zh-CN"/>
        </w:rPr>
        <w:t>0分</w:t>
      </w:r>
      <w:r>
        <w:rPr>
          <w:rFonts w:hint="eastAsia" w:ascii="宋体" w:hAnsi="宋体" w:eastAsia="宋体" w:cs="宋体"/>
          <w:sz w:val="24"/>
          <w:szCs w:val="24"/>
          <w:u w:val="single"/>
        </w:rPr>
        <w:t>（北京时间）</w:t>
      </w:r>
    </w:p>
    <w:p w14:paraId="4EA9AEA9">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地点：“徽采云”电子交易系统</w:t>
      </w:r>
    </w:p>
    <w:p w14:paraId="5E9E5F69">
      <w:pPr>
        <w:pStyle w:val="3"/>
        <w:adjustRightInd w:val="0"/>
        <w:snapToGrid w:val="0"/>
        <w:spacing w:before="0" w:after="0" w:line="560" w:lineRule="exact"/>
        <w:ind w:firstLine="482" w:firstLineChars="200"/>
        <w:jc w:val="left"/>
        <w:rPr>
          <w:rFonts w:hint="eastAsia" w:ascii="宋体" w:hAnsi="宋体" w:eastAsia="宋体" w:cs="宋体"/>
          <w:bCs w:val="0"/>
          <w:sz w:val="24"/>
          <w:szCs w:val="24"/>
        </w:rPr>
      </w:pPr>
      <w:r>
        <w:rPr>
          <w:rFonts w:hint="eastAsia" w:ascii="宋体" w:hAnsi="宋体" w:eastAsia="宋体" w:cs="宋体"/>
          <w:bCs w:val="0"/>
          <w:sz w:val="24"/>
          <w:szCs w:val="24"/>
        </w:rPr>
        <w:t>五、开启</w:t>
      </w:r>
    </w:p>
    <w:p w14:paraId="7CBF2D10">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lang w:eastAsia="zh-CN"/>
        </w:rPr>
        <w:t>2026年0</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lang w:eastAsia="zh-CN"/>
        </w:rPr>
        <w:t>月</w:t>
      </w:r>
      <w:r>
        <w:rPr>
          <w:rFonts w:hint="eastAsia" w:ascii="宋体" w:hAnsi="宋体" w:eastAsia="宋体" w:cs="宋体"/>
          <w:sz w:val="24"/>
          <w:szCs w:val="24"/>
          <w:u w:val="single"/>
          <w:lang w:val="en-US" w:eastAsia="zh-CN"/>
        </w:rPr>
        <w:t>06</w:t>
      </w:r>
      <w:r>
        <w:rPr>
          <w:rFonts w:hint="eastAsia" w:ascii="宋体" w:hAnsi="宋体" w:eastAsia="宋体" w:cs="宋体"/>
          <w:sz w:val="24"/>
          <w:szCs w:val="24"/>
          <w:u w:val="single"/>
          <w:lang w:eastAsia="zh-CN"/>
        </w:rPr>
        <w:t>日</w:t>
      </w:r>
      <w:r>
        <w:rPr>
          <w:rFonts w:hint="eastAsia" w:ascii="宋体" w:hAnsi="宋体" w:eastAsia="宋体" w:cs="宋体"/>
          <w:sz w:val="24"/>
          <w:szCs w:val="24"/>
          <w:u w:val="single"/>
          <w:lang w:val="en-US" w:eastAsia="zh-CN"/>
        </w:rPr>
        <w:t>13</w:t>
      </w:r>
      <w:r>
        <w:rPr>
          <w:rFonts w:hint="eastAsia" w:ascii="宋体" w:hAnsi="宋体" w:eastAsia="宋体" w:cs="宋体"/>
          <w:sz w:val="24"/>
          <w:szCs w:val="24"/>
          <w:u w:val="single"/>
          <w:lang w:eastAsia="zh-CN"/>
        </w:rPr>
        <w:t>点</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lang w:eastAsia="zh-CN"/>
        </w:rPr>
        <w:t>0分</w:t>
      </w:r>
      <w:r>
        <w:rPr>
          <w:rFonts w:hint="eastAsia" w:ascii="宋体" w:hAnsi="宋体" w:eastAsia="宋体" w:cs="宋体"/>
          <w:sz w:val="24"/>
          <w:szCs w:val="24"/>
          <w:u w:val="single"/>
        </w:rPr>
        <w:t>（北京时间）</w:t>
      </w:r>
    </w:p>
    <w:p w14:paraId="4D30AA8F">
      <w:pPr>
        <w:adjustRightInd w:val="0"/>
        <w:snapToGrid w:val="0"/>
        <w:spacing w:line="560" w:lineRule="exact"/>
        <w:ind w:firstLine="480" w:firstLineChars="200"/>
        <w:jc w:val="left"/>
        <w:rPr>
          <w:rFonts w:hint="eastAsia" w:ascii="宋体" w:hAnsi="宋体" w:eastAsia="宋体" w:cs="宋体"/>
          <w:bCs/>
          <w:sz w:val="24"/>
          <w:szCs w:val="24"/>
          <w:u w:val="single"/>
        </w:rPr>
      </w:pPr>
      <w:r>
        <w:rPr>
          <w:rFonts w:hint="eastAsia" w:ascii="宋体" w:hAnsi="宋体" w:eastAsia="宋体" w:cs="宋体"/>
          <w:sz w:val="24"/>
          <w:szCs w:val="24"/>
        </w:rPr>
        <w:t>地点：“徽采云”电子交易系统</w:t>
      </w:r>
    </w:p>
    <w:p w14:paraId="5F0C1194">
      <w:pPr>
        <w:pStyle w:val="3"/>
        <w:adjustRightInd w:val="0"/>
        <w:snapToGrid w:val="0"/>
        <w:spacing w:before="0" w:after="0" w:line="560" w:lineRule="exact"/>
        <w:ind w:firstLine="482" w:firstLineChars="200"/>
        <w:jc w:val="left"/>
        <w:rPr>
          <w:rFonts w:hint="eastAsia" w:ascii="宋体" w:hAnsi="宋体" w:eastAsia="宋体" w:cs="宋体"/>
          <w:bCs w:val="0"/>
          <w:sz w:val="24"/>
          <w:szCs w:val="24"/>
        </w:rPr>
      </w:pPr>
      <w:bookmarkStart w:id="15" w:name="_Toc35393803"/>
      <w:bookmarkStart w:id="16" w:name="_Toc28359017"/>
      <w:bookmarkStart w:id="17" w:name="_Toc35393634"/>
      <w:bookmarkStart w:id="18" w:name="_Toc28359094"/>
      <w:bookmarkStart w:id="19" w:name="_Toc6935"/>
      <w:r>
        <w:rPr>
          <w:rFonts w:hint="eastAsia" w:ascii="宋体" w:hAnsi="宋体" w:eastAsia="宋体" w:cs="宋体"/>
          <w:bCs w:val="0"/>
          <w:sz w:val="24"/>
          <w:szCs w:val="24"/>
        </w:rPr>
        <w:t>六、公告期限</w:t>
      </w:r>
      <w:bookmarkEnd w:id="15"/>
      <w:bookmarkEnd w:id="16"/>
      <w:bookmarkEnd w:id="17"/>
      <w:bookmarkEnd w:id="18"/>
      <w:bookmarkEnd w:id="19"/>
    </w:p>
    <w:p w14:paraId="6D0B4E9A">
      <w:pPr>
        <w:adjustRightInd w:val="0"/>
        <w:snapToGrid w:val="0"/>
        <w:spacing w:line="5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14:paraId="65D3631A">
      <w:pPr>
        <w:numPr>
          <w:ilvl w:val="0"/>
          <w:numId w:val="1"/>
        </w:numPr>
        <w:adjustRightInd w:val="0"/>
        <w:snapToGrid w:val="0"/>
        <w:spacing w:line="560" w:lineRule="exact"/>
        <w:ind w:firstLine="482" w:firstLineChars="200"/>
        <w:jc w:val="left"/>
        <w:outlineLvl w:val="1"/>
        <w:rPr>
          <w:rFonts w:hint="eastAsia" w:ascii="宋体" w:hAnsi="宋体" w:eastAsia="宋体" w:cs="宋体"/>
          <w:b/>
          <w:sz w:val="24"/>
          <w:szCs w:val="24"/>
        </w:rPr>
      </w:pPr>
      <w:r>
        <w:rPr>
          <w:rFonts w:hint="eastAsia" w:ascii="宋体" w:hAnsi="宋体" w:eastAsia="宋体" w:cs="宋体"/>
          <w:b/>
          <w:sz w:val="24"/>
          <w:szCs w:val="24"/>
        </w:rPr>
        <w:t>其他补充事宜</w:t>
      </w:r>
    </w:p>
    <w:p w14:paraId="440A4B21">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3B7083A5">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2.本项目落实节能环保、中小微型企业扶持等相关政府采购政策。</w:t>
      </w:r>
    </w:p>
    <w:p w14:paraId="3BAFB6CA">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3.本次招标公告同时在安徽省政府采购网、安徽省淮河河道管理局网站上发布。</w:t>
      </w:r>
    </w:p>
    <w:p w14:paraId="65133F93">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0D5A579B">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75E310B1">
      <w:pPr>
        <w:adjustRightInd w:val="0"/>
        <w:snapToGrid w:val="0"/>
        <w:spacing w:line="560" w:lineRule="exact"/>
        <w:ind w:firstLine="482" w:firstLineChars="200"/>
        <w:jc w:val="left"/>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八、凡对本</w:t>
      </w:r>
      <w:r>
        <w:rPr>
          <w:rFonts w:hint="eastAsia" w:ascii="宋体" w:hAnsi="宋体" w:eastAsia="宋体" w:cs="宋体"/>
          <w:b/>
          <w:sz w:val="24"/>
          <w:szCs w:val="24"/>
        </w:rPr>
        <w:t>次采购提出询问，请按以下方式联系。</w:t>
      </w:r>
    </w:p>
    <w:p w14:paraId="23045DB3">
      <w:pPr>
        <w:adjustRightInd w:val="0"/>
        <w:snapToGrid w:val="0"/>
        <w:spacing w:line="560" w:lineRule="exact"/>
        <w:ind w:firstLine="480" w:firstLineChars="200"/>
        <w:jc w:val="left"/>
        <w:rPr>
          <w:rFonts w:hint="eastAsia" w:ascii="宋体" w:hAnsi="宋体" w:eastAsia="宋体" w:cs="宋体"/>
          <w:sz w:val="24"/>
          <w:szCs w:val="24"/>
        </w:rPr>
      </w:pPr>
      <w:bookmarkStart w:id="20" w:name="_Toc29915"/>
      <w:bookmarkStart w:id="21" w:name="_Toc28359096"/>
      <w:bookmarkStart w:id="22" w:name="_Toc35393637"/>
      <w:bookmarkStart w:id="23" w:name="_Toc28359019"/>
      <w:bookmarkStart w:id="24" w:name="_Toc35393806"/>
      <w:r>
        <w:rPr>
          <w:rFonts w:hint="eastAsia" w:ascii="宋体" w:hAnsi="宋体" w:eastAsia="宋体" w:cs="宋体"/>
          <w:sz w:val="24"/>
          <w:szCs w:val="24"/>
        </w:rPr>
        <w:t>1.采购人信息</w:t>
      </w:r>
      <w:bookmarkEnd w:id="20"/>
      <w:bookmarkEnd w:id="21"/>
      <w:bookmarkEnd w:id="22"/>
      <w:bookmarkEnd w:id="23"/>
      <w:bookmarkEnd w:id="24"/>
    </w:p>
    <w:p w14:paraId="798B5831">
      <w:pPr>
        <w:adjustRightInd w:val="0"/>
        <w:snapToGrid w:val="0"/>
        <w:spacing w:line="560" w:lineRule="exact"/>
        <w:ind w:firstLine="480" w:firstLineChars="200"/>
        <w:jc w:val="left"/>
        <w:rPr>
          <w:rFonts w:hint="eastAsia" w:ascii="宋体" w:hAnsi="宋体" w:eastAsia="宋体" w:cs="宋体"/>
          <w:sz w:val="24"/>
          <w:szCs w:val="18"/>
        </w:rPr>
      </w:pPr>
      <w:r>
        <w:rPr>
          <w:rFonts w:hint="eastAsia" w:ascii="宋体" w:hAnsi="宋体" w:eastAsia="宋体" w:cs="宋体"/>
          <w:sz w:val="24"/>
          <w:szCs w:val="24"/>
        </w:rPr>
        <w:t>名  称</w:t>
      </w:r>
      <w:r>
        <w:rPr>
          <w:rFonts w:hint="eastAsia" w:ascii="宋体" w:hAnsi="宋体" w:eastAsia="宋体" w:cs="宋体"/>
          <w:sz w:val="24"/>
          <w:szCs w:val="18"/>
        </w:rPr>
        <w:t>：安徽省淮河河道管理局</w:t>
      </w:r>
    </w:p>
    <w:p w14:paraId="71C34A88">
      <w:pPr>
        <w:adjustRightInd w:val="0"/>
        <w:snapToGrid w:val="0"/>
        <w:spacing w:line="560" w:lineRule="exact"/>
        <w:ind w:firstLine="480" w:firstLineChars="200"/>
        <w:jc w:val="left"/>
        <w:rPr>
          <w:rFonts w:hint="eastAsia" w:ascii="宋体" w:hAnsi="宋体" w:eastAsia="宋体" w:cs="宋体"/>
          <w:sz w:val="24"/>
          <w:szCs w:val="18"/>
        </w:rPr>
      </w:pPr>
      <w:r>
        <w:rPr>
          <w:rFonts w:hint="eastAsia" w:ascii="宋体" w:hAnsi="宋体" w:eastAsia="宋体" w:cs="宋体"/>
          <w:sz w:val="24"/>
          <w:szCs w:val="18"/>
        </w:rPr>
        <w:t>地  址：安徽省蚌埠市解放一路116号</w:t>
      </w:r>
    </w:p>
    <w:p w14:paraId="6C0F31A0">
      <w:pPr>
        <w:adjustRightInd w:val="0"/>
        <w:snapToGrid w:val="0"/>
        <w:spacing w:line="560" w:lineRule="exact"/>
        <w:ind w:firstLine="480" w:firstLineChars="200"/>
        <w:jc w:val="left"/>
        <w:rPr>
          <w:rFonts w:hint="eastAsia" w:ascii="宋体" w:hAnsi="宋体" w:eastAsia="宋体" w:cs="宋体"/>
          <w:sz w:val="24"/>
          <w:szCs w:val="18"/>
        </w:rPr>
      </w:pPr>
      <w:r>
        <w:rPr>
          <w:rFonts w:hint="eastAsia" w:ascii="宋体" w:hAnsi="宋体" w:eastAsia="宋体" w:cs="宋体"/>
          <w:sz w:val="24"/>
          <w:szCs w:val="18"/>
        </w:rPr>
        <w:t>联系人：王工</w:t>
      </w:r>
    </w:p>
    <w:p w14:paraId="1DEFA876">
      <w:pPr>
        <w:adjustRightInd w:val="0"/>
        <w:snapToGrid w:val="0"/>
        <w:spacing w:line="560" w:lineRule="exact"/>
        <w:ind w:firstLine="480" w:firstLineChars="200"/>
        <w:jc w:val="left"/>
        <w:rPr>
          <w:rFonts w:hint="eastAsia" w:ascii="宋体" w:hAnsi="宋体" w:eastAsia="宋体" w:cs="宋体"/>
          <w:sz w:val="24"/>
          <w:szCs w:val="18"/>
        </w:rPr>
      </w:pPr>
      <w:r>
        <w:rPr>
          <w:rFonts w:hint="eastAsia" w:ascii="宋体" w:hAnsi="宋体" w:eastAsia="宋体" w:cs="宋体"/>
          <w:sz w:val="24"/>
          <w:szCs w:val="18"/>
        </w:rPr>
        <w:t>联系方式：0552-3918027</w:t>
      </w:r>
    </w:p>
    <w:p w14:paraId="0E1E688C">
      <w:pPr>
        <w:adjustRightInd w:val="0"/>
        <w:snapToGrid w:val="0"/>
        <w:spacing w:line="560" w:lineRule="exact"/>
        <w:ind w:firstLine="480" w:firstLineChars="200"/>
        <w:jc w:val="left"/>
        <w:rPr>
          <w:rFonts w:hint="eastAsia" w:ascii="宋体" w:hAnsi="宋体" w:eastAsia="宋体" w:cs="宋体"/>
          <w:sz w:val="24"/>
          <w:szCs w:val="24"/>
        </w:rPr>
      </w:pPr>
      <w:bookmarkStart w:id="25" w:name="_Toc15577"/>
      <w:r>
        <w:rPr>
          <w:rFonts w:hint="eastAsia" w:ascii="宋体" w:hAnsi="宋体" w:eastAsia="宋体" w:cs="宋体"/>
          <w:sz w:val="24"/>
          <w:szCs w:val="24"/>
        </w:rPr>
        <w:t>2.采购代理机构信息</w:t>
      </w:r>
      <w:bookmarkEnd w:id="25"/>
    </w:p>
    <w:p w14:paraId="3F9D86BF">
      <w:pPr>
        <w:adjustRightInd w:val="0"/>
        <w:snapToGrid w:val="0"/>
        <w:spacing w:line="560" w:lineRule="exact"/>
        <w:ind w:firstLine="480" w:firstLineChars="200"/>
        <w:jc w:val="left"/>
        <w:rPr>
          <w:rFonts w:hint="eastAsia" w:ascii="宋体" w:hAnsi="宋体" w:eastAsia="宋体" w:cs="宋体"/>
          <w:bCs/>
          <w:sz w:val="24"/>
          <w:szCs w:val="18"/>
          <w:lang w:val="en-US" w:eastAsia="zh-CN"/>
        </w:rPr>
      </w:pPr>
      <w:r>
        <w:rPr>
          <w:rFonts w:hint="eastAsia" w:ascii="宋体" w:hAnsi="宋体" w:eastAsia="宋体" w:cs="宋体"/>
          <w:bCs/>
          <w:sz w:val="24"/>
          <w:szCs w:val="18"/>
        </w:rPr>
        <w:t>名  称：</w:t>
      </w:r>
      <w:r>
        <w:rPr>
          <w:rFonts w:hint="eastAsia" w:ascii="宋体" w:hAnsi="宋体" w:eastAsia="宋体" w:cs="宋体"/>
          <w:bCs/>
          <w:sz w:val="24"/>
          <w:szCs w:val="18"/>
          <w:lang w:val="en-US" w:eastAsia="zh-CN"/>
        </w:rPr>
        <w:t>安徽安兆工程技术咨询服务有限公司</w:t>
      </w:r>
    </w:p>
    <w:p w14:paraId="2F43A27E">
      <w:pPr>
        <w:adjustRightInd w:val="0"/>
        <w:snapToGrid w:val="0"/>
        <w:spacing w:line="560" w:lineRule="exact"/>
        <w:ind w:firstLine="480" w:firstLineChars="200"/>
        <w:jc w:val="left"/>
        <w:rPr>
          <w:rFonts w:hint="eastAsia" w:ascii="宋体" w:hAnsi="宋体" w:eastAsia="宋体" w:cs="宋体"/>
          <w:bCs/>
          <w:sz w:val="24"/>
          <w:szCs w:val="18"/>
          <w:lang w:val="en-US" w:eastAsia="zh-CN"/>
        </w:rPr>
      </w:pPr>
      <w:r>
        <w:rPr>
          <w:rFonts w:hint="eastAsia" w:ascii="宋体" w:hAnsi="宋体" w:eastAsia="宋体" w:cs="宋体"/>
          <w:bCs/>
          <w:sz w:val="24"/>
          <w:szCs w:val="18"/>
        </w:rPr>
        <w:t>地  址：</w:t>
      </w:r>
      <w:r>
        <w:rPr>
          <w:rFonts w:hint="eastAsia" w:ascii="宋体" w:hAnsi="宋体" w:eastAsia="宋体" w:cs="宋体"/>
          <w:bCs/>
          <w:sz w:val="24"/>
          <w:szCs w:val="18"/>
          <w:lang w:val="en-US" w:eastAsia="zh-CN"/>
        </w:rPr>
        <w:t>蚌埠市凤阳西路41号</w:t>
      </w:r>
    </w:p>
    <w:p w14:paraId="573A8A74">
      <w:pPr>
        <w:adjustRightInd w:val="0"/>
        <w:snapToGrid w:val="0"/>
        <w:spacing w:line="560" w:lineRule="exact"/>
        <w:ind w:firstLine="480" w:firstLineChars="200"/>
        <w:jc w:val="left"/>
        <w:rPr>
          <w:rFonts w:hint="eastAsia" w:ascii="宋体" w:hAnsi="宋体" w:eastAsia="宋体" w:cs="宋体"/>
          <w:bCs/>
          <w:sz w:val="24"/>
          <w:szCs w:val="18"/>
          <w:lang w:val="en-US" w:eastAsia="zh-CN"/>
        </w:rPr>
      </w:pPr>
      <w:r>
        <w:rPr>
          <w:rFonts w:hint="eastAsia" w:ascii="宋体" w:hAnsi="宋体" w:eastAsia="宋体" w:cs="宋体"/>
          <w:bCs/>
          <w:sz w:val="24"/>
          <w:szCs w:val="18"/>
        </w:rPr>
        <w:t>联系人：</w:t>
      </w:r>
      <w:r>
        <w:rPr>
          <w:rFonts w:hint="eastAsia" w:ascii="宋体" w:hAnsi="宋体" w:eastAsia="宋体" w:cs="宋体"/>
          <w:bCs/>
          <w:sz w:val="24"/>
          <w:szCs w:val="18"/>
          <w:lang w:val="en-US" w:eastAsia="zh-CN"/>
        </w:rPr>
        <w:t>0552-3092287</w:t>
      </w:r>
    </w:p>
    <w:p w14:paraId="592F21CC">
      <w:pPr>
        <w:adjustRightInd w:val="0"/>
        <w:snapToGrid w:val="0"/>
        <w:spacing w:line="560" w:lineRule="exact"/>
        <w:ind w:firstLine="480" w:firstLineChars="200"/>
        <w:jc w:val="left"/>
        <w:rPr>
          <w:rFonts w:hint="eastAsia" w:ascii="宋体" w:hAnsi="宋体" w:eastAsia="宋体" w:cs="宋体"/>
          <w:bCs/>
          <w:sz w:val="24"/>
          <w:szCs w:val="18"/>
          <w:lang w:val="en-US" w:eastAsia="zh-CN"/>
        </w:rPr>
      </w:pPr>
      <w:r>
        <w:rPr>
          <w:rFonts w:hint="eastAsia" w:ascii="宋体" w:hAnsi="宋体" w:eastAsia="宋体" w:cs="宋体"/>
          <w:bCs/>
          <w:sz w:val="24"/>
          <w:szCs w:val="18"/>
        </w:rPr>
        <w:t>联系方式：</w:t>
      </w:r>
      <w:r>
        <w:rPr>
          <w:rFonts w:hint="eastAsia" w:ascii="宋体" w:hAnsi="宋体" w:eastAsia="宋体" w:cs="宋体"/>
          <w:bCs/>
          <w:sz w:val="24"/>
          <w:szCs w:val="18"/>
          <w:lang w:val="en-US" w:eastAsia="zh-CN"/>
        </w:rPr>
        <w:t>薛工</w:t>
      </w:r>
    </w:p>
    <w:p w14:paraId="1BD6C2B9">
      <w:pPr>
        <w:adjustRightInd w:val="0"/>
        <w:snapToGrid w:val="0"/>
        <w:spacing w:line="560" w:lineRule="exact"/>
        <w:ind w:firstLine="480" w:firstLineChars="200"/>
        <w:jc w:val="left"/>
        <w:rPr>
          <w:rFonts w:hint="eastAsia" w:ascii="宋体" w:hAnsi="宋体" w:eastAsia="宋体" w:cs="宋体"/>
          <w:b/>
          <w:sz w:val="24"/>
          <w:szCs w:val="18"/>
        </w:rPr>
      </w:pPr>
      <w:r>
        <w:rPr>
          <w:rFonts w:hint="eastAsia" w:ascii="宋体" w:hAnsi="宋体" w:eastAsia="宋体" w:cs="宋体"/>
          <w:bCs/>
          <w:sz w:val="24"/>
          <w:szCs w:val="18"/>
        </w:rPr>
        <w:t>3</w:t>
      </w:r>
      <w:r>
        <w:rPr>
          <w:rFonts w:hint="eastAsia" w:ascii="宋体" w:hAnsi="宋体" w:eastAsia="宋体" w:cs="宋体"/>
          <w:b/>
          <w:sz w:val="24"/>
          <w:szCs w:val="18"/>
        </w:rPr>
        <w:t>.</w:t>
      </w:r>
      <w:r>
        <w:rPr>
          <w:rFonts w:hint="eastAsia" w:ascii="宋体" w:hAnsi="宋体" w:eastAsia="宋体" w:cs="宋体"/>
          <w:sz w:val="24"/>
          <w:szCs w:val="18"/>
        </w:rPr>
        <w:t>政府采购监督管理部门信息</w:t>
      </w:r>
    </w:p>
    <w:p w14:paraId="18F8E749">
      <w:pPr>
        <w:adjustRightInd w:val="0"/>
        <w:snapToGrid w:val="0"/>
        <w:spacing w:line="560" w:lineRule="exact"/>
        <w:ind w:firstLine="480" w:firstLineChars="200"/>
        <w:jc w:val="left"/>
        <w:rPr>
          <w:rFonts w:hint="eastAsia" w:ascii="宋体" w:hAnsi="宋体" w:eastAsia="宋体" w:cs="宋体"/>
          <w:sz w:val="24"/>
          <w:szCs w:val="18"/>
        </w:rPr>
      </w:pPr>
      <w:r>
        <w:rPr>
          <w:rFonts w:hint="eastAsia" w:ascii="宋体" w:hAnsi="宋体" w:eastAsia="宋体" w:cs="宋体"/>
          <w:sz w:val="24"/>
          <w:szCs w:val="18"/>
        </w:rPr>
        <w:t>名  称：安徽省财政厅</w:t>
      </w:r>
    </w:p>
    <w:p w14:paraId="1FCD9837">
      <w:pPr>
        <w:adjustRightInd w:val="0"/>
        <w:snapToGrid w:val="0"/>
        <w:spacing w:line="560" w:lineRule="exact"/>
        <w:ind w:firstLine="480" w:firstLineChars="200"/>
        <w:jc w:val="left"/>
        <w:rPr>
          <w:rFonts w:hint="eastAsia" w:ascii="宋体" w:hAnsi="宋体" w:eastAsia="宋体" w:cs="宋体"/>
          <w:sz w:val="24"/>
          <w:szCs w:val="18"/>
        </w:rPr>
      </w:pPr>
      <w:r>
        <w:rPr>
          <w:rFonts w:hint="eastAsia" w:ascii="宋体" w:hAnsi="宋体" w:eastAsia="宋体" w:cs="宋体"/>
          <w:sz w:val="24"/>
          <w:szCs w:val="18"/>
        </w:rPr>
        <w:t>地  址：合肥市阜南西路238号</w:t>
      </w:r>
    </w:p>
    <w:p w14:paraId="72BFC785">
      <w:pPr>
        <w:adjustRightInd w:val="0"/>
        <w:snapToGrid w:val="0"/>
        <w:spacing w:line="560" w:lineRule="exact"/>
        <w:ind w:firstLine="480" w:firstLineChars="200"/>
        <w:jc w:val="left"/>
        <w:rPr>
          <w:rFonts w:hint="eastAsia" w:ascii="宋体" w:hAnsi="宋体" w:eastAsia="宋体" w:cs="宋体"/>
          <w:sz w:val="24"/>
          <w:szCs w:val="18"/>
        </w:rPr>
      </w:pPr>
      <w:r>
        <w:rPr>
          <w:rFonts w:hint="eastAsia" w:ascii="宋体" w:hAnsi="宋体" w:eastAsia="宋体" w:cs="宋体"/>
          <w:sz w:val="24"/>
          <w:szCs w:val="18"/>
        </w:rPr>
        <w:t>联系方式：0551-68150413</w:t>
      </w:r>
    </w:p>
    <w:p w14:paraId="42562045">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br w:type="page"/>
      </w:r>
    </w:p>
    <w:p w14:paraId="7D20C0B8">
      <w:pPr>
        <w:spacing w:line="360" w:lineRule="auto"/>
        <w:jc w:val="center"/>
        <w:outlineLvl w:val="0"/>
        <w:rPr>
          <w:rFonts w:hint="eastAsia" w:ascii="宋体" w:hAnsi="宋体" w:eastAsia="宋体" w:cs="宋体"/>
          <w:b/>
          <w:sz w:val="28"/>
        </w:rPr>
      </w:pPr>
      <w:bookmarkStart w:id="26" w:name="_Toc7162"/>
      <w:r>
        <w:rPr>
          <w:rFonts w:hint="eastAsia" w:ascii="宋体" w:hAnsi="宋体" w:eastAsia="宋体" w:cs="宋体"/>
          <w:b/>
          <w:sz w:val="28"/>
        </w:rPr>
        <w:t>第二章  供应商须知</w:t>
      </w:r>
      <w:bookmarkEnd w:id="26"/>
    </w:p>
    <w:p w14:paraId="6C8E41E3">
      <w:pPr>
        <w:spacing w:line="360" w:lineRule="auto"/>
        <w:jc w:val="center"/>
        <w:outlineLvl w:val="1"/>
        <w:rPr>
          <w:rFonts w:hint="eastAsia" w:ascii="宋体" w:hAnsi="宋体" w:eastAsia="宋体" w:cs="宋体"/>
          <w:b/>
          <w:sz w:val="24"/>
        </w:rPr>
      </w:pPr>
      <w:bookmarkStart w:id="27" w:name="_Toc11709"/>
      <w:bookmarkStart w:id="28" w:name="_Toc11383"/>
      <w:r>
        <w:rPr>
          <w:rFonts w:hint="eastAsia" w:ascii="宋体" w:hAnsi="宋体" w:eastAsia="宋体" w:cs="宋体"/>
          <w:b/>
          <w:sz w:val="24"/>
        </w:rPr>
        <w:t>一、供应商须知前附表</w:t>
      </w:r>
      <w:bookmarkEnd w:id="27"/>
      <w:bookmarkEnd w:id="28"/>
    </w:p>
    <w:p w14:paraId="288282CC">
      <w:pPr>
        <w:spacing w:line="360" w:lineRule="auto"/>
        <w:ind w:firstLine="435"/>
        <w:rPr>
          <w:rFonts w:hint="eastAsia" w:ascii="宋体" w:hAnsi="宋体" w:eastAsia="宋体" w:cs="宋体"/>
          <w:sz w:val="24"/>
          <w:szCs w:val="18"/>
        </w:rPr>
      </w:pPr>
      <w:r>
        <w:rPr>
          <w:rFonts w:hint="eastAsia" w:ascii="宋体" w:hAnsi="宋体" w:eastAsia="宋体" w:cs="宋体"/>
          <w:b/>
          <w:bCs/>
          <w:sz w:val="24"/>
          <w:szCs w:val="18"/>
        </w:rPr>
        <w:t>注：</w:t>
      </w:r>
      <w:r>
        <w:rPr>
          <w:rFonts w:hint="eastAsia" w:ascii="宋体" w:hAnsi="宋体" w:eastAsia="宋体" w:cs="宋体"/>
          <w:sz w:val="24"/>
          <w:szCs w:val="18"/>
        </w:rPr>
        <w:t>本表是本项目的具体要求，是对供应商须知的具体补充和修改，如有不一致，以本表为准。</w:t>
      </w:r>
    </w:p>
    <w:tbl>
      <w:tblPr>
        <w:tblStyle w:val="23"/>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132"/>
        <w:gridCol w:w="6091"/>
      </w:tblGrid>
      <w:tr w14:paraId="2D57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31E0A427">
            <w:pPr>
              <w:pStyle w:val="41"/>
              <w:widowControl w:val="0"/>
              <w:spacing w:before="0" w:beforeAutospacing="0" w:after="0" w:afterAutospacing="0" w:line="360" w:lineRule="auto"/>
              <w:rPr>
                <w:rFonts w:hint="eastAsia" w:ascii="宋体" w:hAnsi="宋体" w:eastAsia="宋体" w:cs="宋体"/>
                <w:bCs w:val="0"/>
                <w:kern w:val="2"/>
                <w:sz w:val="24"/>
                <w:szCs w:val="20"/>
                <w:highlight w:val="yellow"/>
              </w:rPr>
            </w:pPr>
            <w:r>
              <w:rPr>
                <w:rFonts w:hint="eastAsia" w:ascii="宋体" w:hAnsi="宋体" w:eastAsia="宋体" w:cs="宋体"/>
                <w:bCs w:val="0"/>
                <w:kern w:val="2"/>
                <w:sz w:val="24"/>
                <w:szCs w:val="20"/>
              </w:rPr>
              <w:t>条款号</w:t>
            </w:r>
          </w:p>
        </w:tc>
        <w:tc>
          <w:tcPr>
            <w:tcW w:w="2132" w:type="dxa"/>
            <w:vAlign w:val="center"/>
          </w:tcPr>
          <w:p w14:paraId="1206300E">
            <w:pPr>
              <w:pStyle w:val="41"/>
              <w:widowControl w:val="0"/>
              <w:spacing w:before="0" w:beforeAutospacing="0" w:after="0" w:afterAutospacing="0" w:line="360" w:lineRule="auto"/>
              <w:rPr>
                <w:rFonts w:hint="eastAsia" w:ascii="宋体" w:hAnsi="宋体" w:eastAsia="宋体" w:cs="宋体"/>
                <w:bCs w:val="0"/>
                <w:kern w:val="2"/>
                <w:sz w:val="24"/>
                <w:szCs w:val="20"/>
              </w:rPr>
            </w:pPr>
            <w:r>
              <w:rPr>
                <w:rFonts w:hint="eastAsia" w:ascii="宋体" w:hAnsi="宋体" w:eastAsia="宋体" w:cs="宋体"/>
                <w:bCs w:val="0"/>
                <w:kern w:val="2"/>
                <w:sz w:val="24"/>
                <w:szCs w:val="20"/>
              </w:rPr>
              <w:t>条款名称</w:t>
            </w:r>
          </w:p>
        </w:tc>
        <w:tc>
          <w:tcPr>
            <w:tcW w:w="6091" w:type="dxa"/>
            <w:vAlign w:val="center"/>
          </w:tcPr>
          <w:p w14:paraId="126E524B">
            <w:pPr>
              <w:pStyle w:val="41"/>
              <w:widowControl w:val="0"/>
              <w:spacing w:before="0" w:beforeAutospacing="0" w:after="0" w:afterAutospacing="0" w:line="360" w:lineRule="auto"/>
              <w:rPr>
                <w:rFonts w:hint="eastAsia" w:ascii="宋体" w:hAnsi="宋体" w:eastAsia="宋体" w:cs="宋体"/>
                <w:bCs w:val="0"/>
                <w:kern w:val="2"/>
                <w:sz w:val="24"/>
                <w:szCs w:val="20"/>
              </w:rPr>
            </w:pPr>
            <w:r>
              <w:rPr>
                <w:rFonts w:hint="eastAsia" w:ascii="宋体" w:hAnsi="宋体" w:eastAsia="宋体" w:cs="宋体"/>
                <w:bCs w:val="0"/>
                <w:kern w:val="2"/>
                <w:sz w:val="24"/>
                <w:szCs w:val="20"/>
              </w:rPr>
              <w:t>内容、说明与要求</w:t>
            </w:r>
          </w:p>
        </w:tc>
      </w:tr>
      <w:tr w14:paraId="5D01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1C4C5E3B">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5.2</w:t>
            </w:r>
          </w:p>
        </w:tc>
        <w:tc>
          <w:tcPr>
            <w:tcW w:w="2132" w:type="dxa"/>
            <w:vAlign w:val="center"/>
          </w:tcPr>
          <w:p w14:paraId="38C7C537">
            <w:pPr>
              <w:pStyle w:val="41"/>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kern w:val="2"/>
                <w:sz w:val="24"/>
                <w:szCs w:val="22"/>
              </w:rPr>
              <w:t>现场考察或标前答疑会</w:t>
            </w:r>
          </w:p>
        </w:tc>
        <w:tc>
          <w:tcPr>
            <w:tcW w:w="6091" w:type="dxa"/>
            <w:vAlign w:val="center"/>
          </w:tcPr>
          <w:p w14:paraId="62E5A944">
            <w:pPr>
              <w:spacing w:line="360" w:lineRule="auto"/>
              <w:rPr>
                <w:rFonts w:hint="eastAsia" w:ascii="宋体" w:hAnsi="宋体" w:eastAsia="宋体" w:cs="宋体"/>
                <w:bCs/>
                <w:sz w:val="24"/>
              </w:rPr>
            </w:pPr>
            <w:r>
              <w:rPr>
                <w:rFonts w:hint="eastAsia" w:ascii="宋体" w:hAnsi="宋体" w:eastAsia="宋体" w:cs="宋体"/>
                <w:bCs/>
                <w:sz w:val="24"/>
                <w:szCs w:val="24"/>
              </w:rPr>
              <w:t>☑</w:t>
            </w:r>
            <w:r>
              <w:rPr>
                <w:rFonts w:hint="eastAsia" w:ascii="宋体" w:hAnsi="宋体" w:eastAsia="宋体" w:cs="宋体"/>
                <w:sz w:val="24"/>
              </w:rPr>
              <w:t>不组织或不召开</w:t>
            </w:r>
          </w:p>
          <w:p w14:paraId="1F9B9130">
            <w:pPr>
              <w:spacing w:line="360" w:lineRule="auto"/>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bCs/>
                <w:sz w:val="24"/>
              </w:rPr>
              <w:t>统一组织</w:t>
            </w:r>
          </w:p>
          <w:p w14:paraId="1054613E">
            <w:pPr>
              <w:spacing w:line="360" w:lineRule="auto"/>
              <w:rPr>
                <w:rFonts w:hint="eastAsia" w:ascii="宋体" w:hAnsi="宋体" w:eastAsia="宋体" w:cs="宋体"/>
                <w:bCs/>
                <w:sz w:val="24"/>
                <w:u w:val="single"/>
              </w:rPr>
            </w:pPr>
            <w:r>
              <w:rPr>
                <w:rFonts w:hint="eastAsia" w:ascii="宋体" w:hAnsi="宋体" w:eastAsia="宋体" w:cs="宋体"/>
                <w:bCs/>
                <w:sz w:val="24"/>
              </w:rPr>
              <w:t>时间：</w:t>
            </w:r>
            <w:r>
              <w:rPr>
                <w:rFonts w:hint="eastAsia" w:ascii="宋体" w:hAnsi="宋体" w:eastAsia="宋体" w:cs="宋体"/>
                <w:bCs/>
                <w:sz w:val="24"/>
                <w:u w:val="single"/>
              </w:rPr>
              <w:t>/</w:t>
            </w:r>
          </w:p>
          <w:p w14:paraId="416D78EB">
            <w:pPr>
              <w:spacing w:line="360" w:lineRule="auto"/>
              <w:rPr>
                <w:rFonts w:hint="eastAsia" w:ascii="宋体" w:hAnsi="宋体" w:eastAsia="宋体" w:cs="宋体"/>
                <w:bCs/>
                <w:sz w:val="24"/>
                <w:u w:val="single"/>
              </w:rPr>
            </w:pPr>
            <w:r>
              <w:rPr>
                <w:rFonts w:hint="eastAsia" w:ascii="宋体" w:hAnsi="宋体" w:eastAsia="宋体" w:cs="宋体"/>
                <w:bCs/>
                <w:sz w:val="24"/>
              </w:rPr>
              <w:t>地点：</w:t>
            </w:r>
            <w:r>
              <w:rPr>
                <w:rFonts w:hint="eastAsia" w:ascii="宋体" w:hAnsi="宋体" w:eastAsia="宋体" w:cs="宋体"/>
                <w:bCs/>
                <w:sz w:val="24"/>
                <w:u w:val="single"/>
              </w:rPr>
              <w:t>/</w:t>
            </w:r>
          </w:p>
          <w:p w14:paraId="1FC4AC5C">
            <w:pPr>
              <w:spacing w:line="360" w:lineRule="auto"/>
              <w:rPr>
                <w:rFonts w:hint="eastAsia" w:ascii="宋体" w:hAnsi="宋体" w:eastAsia="宋体" w:cs="宋体"/>
                <w:bCs/>
                <w:sz w:val="24"/>
                <w:u w:val="single"/>
              </w:rPr>
            </w:pPr>
            <w:r>
              <w:rPr>
                <w:rFonts w:hint="eastAsia" w:ascii="宋体" w:hAnsi="宋体" w:eastAsia="宋体" w:cs="宋体"/>
                <w:bCs/>
                <w:sz w:val="24"/>
              </w:rPr>
              <w:t>联系人及联系电话：</w:t>
            </w:r>
            <w:r>
              <w:rPr>
                <w:rFonts w:hint="eastAsia" w:ascii="宋体" w:hAnsi="宋体" w:eastAsia="宋体" w:cs="宋体"/>
                <w:bCs/>
                <w:sz w:val="24"/>
                <w:u w:val="single"/>
              </w:rPr>
              <w:t>/</w:t>
            </w:r>
          </w:p>
          <w:p w14:paraId="571508DB">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Cs w:val="0"/>
                <w:sz w:val="24"/>
              </w:rPr>
              <w:t>注：如供应商未参加采购人统一组织的现场考察或采购人统一召开的标前答疑会，视同放弃现场考察或标前答疑会，由此引起的一切责任由供应商自行承担。</w:t>
            </w:r>
          </w:p>
        </w:tc>
      </w:tr>
      <w:tr w14:paraId="31F8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233DE22C">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6.1</w:t>
            </w:r>
          </w:p>
        </w:tc>
        <w:tc>
          <w:tcPr>
            <w:tcW w:w="2132" w:type="dxa"/>
            <w:vAlign w:val="center"/>
          </w:tcPr>
          <w:p w14:paraId="181A8349">
            <w:pPr>
              <w:pStyle w:val="41"/>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网上询问截止时间</w:t>
            </w:r>
          </w:p>
        </w:tc>
        <w:tc>
          <w:tcPr>
            <w:tcW w:w="6091" w:type="dxa"/>
            <w:vAlign w:val="center"/>
          </w:tcPr>
          <w:p w14:paraId="4C2B3E11">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u w:val="single"/>
                <w:lang w:eastAsia="zh-CN"/>
              </w:rPr>
              <w:t>2026年1月</w:t>
            </w:r>
            <w:r>
              <w:rPr>
                <w:rFonts w:hint="eastAsia" w:ascii="宋体" w:hAnsi="宋体" w:eastAsia="宋体" w:cs="宋体"/>
                <w:b w:val="0"/>
                <w:sz w:val="24"/>
                <w:u w:val="single"/>
                <w:lang w:val="en-US" w:eastAsia="zh-CN"/>
              </w:rPr>
              <w:t>28</w:t>
            </w:r>
            <w:r>
              <w:rPr>
                <w:rFonts w:hint="eastAsia" w:ascii="宋体" w:hAnsi="宋体" w:eastAsia="宋体" w:cs="宋体"/>
                <w:b w:val="0"/>
                <w:sz w:val="24"/>
                <w:u w:val="single"/>
                <w:lang w:eastAsia="zh-CN"/>
              </w:rPr>
              <w:t>日</w:t>
            </w:r>
            <w:r>
              <w:rPr>
                <w:rFonts w:hint="eastAsia" w:ascii="宋体" w:hAnsi="宋体" w:eastAsia="宋体" w:cs="宋体"/>
                <w:b w:val="0"/>
                <w:sz w:val="24"/>
                <w:u w:val="single"/>
              </w:rPr>
              <w:t>17时</w:t>
            </w:r>
            <w:r>
              <w:rPr>
                <w:rFonts w:hint="eastAsia" w:ascii="宋体" w:hAnsi="宋体" w:eastAsia="宋体" w:cs="宋体"/>
                <w:b w:val="0"/>
                <w:sz w:val="24"/>
                <w:u w:val="single"/>
                <w:lang w:val="en-US" w:eastAsia="zh-CN"/>
              </w:rPr>
              <w:t>3</w:t>
            </w:r>
            <w:r>
              <w:rPr>
                <w:rFonts w:hint="eastAsia" w:ascii="宋体" w:hAnsi="宋体" w:eastAsia="宋体" w:cs="宋体"/>
                <w:b w:val="0"/>
                <w:sz w:val="24"/>
                <w:u w:val="single"/>
              </w:rPr>
              <w:t>0分</w:t>
            </w:r>
          </w:p>
        </w:tc>
      </w:tr>
      <w:tr w14:paraId="1989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75" w:type="dxa"/>
            <w:vAlign w:val="center"/>
          </w:tcPr>
          <w:p w14:paraId="36DC179B">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7.1</w:t>
            </w:r>
          </w:p>
        </w:tc>
        <w:tc>
          <w:tcPr>
            <w:tcW w:w="2132" w:type="dxa"/>
            <w:vAlign w:val="center"/>
          </w:tcPr>
          <w:p w14:paraId="348272E5">
            <w:pPr>
              <w:pStyle w:val="41"/>
              <w:widowControl w:val="0"/>
              <w:spacing w:before="0" w:beforeAutospacing="0" w:after="0" w:afterAutospacing="0" w:line="360" w:lineRule="auto"/>
              <w:jc w:val="left"/>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包别划分</w:t>
            </w:r>
          </w:p>
        </w:tc>
        <w:tc>
          <w:tcPr>
            <w:tcW w:w="6091" w:type="dxa"/>
            <w:vAlign w:val="center"/>
          </w:tcPr>
          <w:p w14:paraId="0B7E9004">
            <w:pPr>
              <w:pStyle w:val="41"/>
              <w:widowControl w:val="0"/>
              <w:spacing w:before="0" w:beforeAutospacing="0" w:after="0" w:afterAutospacing="0" w:line="360" w:lineRule="auto"/>
              <w:jc w:val="both"/>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color w:val="000000" w:themeColor="text1"/>
                <w:sz w:val="24"/>
                <w14:textFill>
                  <w14:solidFill>
                    <w14:schemeClr w14:val="tx1"/>
                  </w14:solidFill>
                </w14:textFill>
              </w:rPr>
              <w:t>不分包     ☑分为2个包</w:t>
            </w:r>
          </w:p>
          <w:p w14:paraId="4CB3672C">
            <w:pPr>
              <w:pStyle w:val="6"/>
              <w:autoSpaceDE/>
              <w:autoSpaceDN/>
              <w:snapToGrid w:val="0"/>
              <w:spacing w:line="360" w:lineRule="auto"/>
              <w:ind w:firstLine="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供应商参加多个包磋商的成交包数规定：</w:t>
            </w:r>
            <w:r>
              <w:rPr>
                <w:rFonts w:hint="eastAsia" w:ascii="宋体" w:hAnsi="宋体" w:eastAsia="宋体" w:cs="宋体"/>
                <w:color w:val="000000" w:themeColor="text1"/>
                <w:szCs w:val="24"/>
                <w:lang w:val="en-US" w:eastAsia="zh-CN"/>
                <w14:textFill>
                  <w14:solidFill>
                    <w14:schemeClr w14:val="tx1"/>
                  </w14:solidFill>
                </w14:textFill>
              </w:rPr>
              <w:t>/</w:t>
            </w:r>
          </w:p>
        </w:tc>
      </w:tr>
      <w:tr w14:paraId="5034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75" w:type="dxa"/>
            <w:vAlign w:val="center"/>
          </w:tcPr>
          <w:p w14:paraId="57AA4AAE">
            <w:pPr>
              <w:pStyle w:val="42"/>
              <w:pBdr>
                <w:bottom w:val="none" w:color="auto" w:sz="0" w:space="0"/>
              </w:pBdr>
              <w:tabs>
                <w:tab w:val="clear" w:pos="4153"/>
                <w:tab w:val="clear" w:pos="8306"/>
              </w:tabs>
              <w:adjustRightInd/>
              <w:spacing w:line="360" w:lineRule="auto"/>
              <w:rPr>
                <w:rFonts w:hint="eastAsia" w:ascii="宋体" w:hAnsi="宋体" w:eastAsia="宋体" w:cs="宋体"/>
                <w:bCs/>
                <w:kern w:val="2"/>
              </w:rPr>
            </w:pPr>
            <w:r>
              <w:rPr>
                <w:rFonts w:hint="eastAsia" w:ascii="宋体" w:hAnsi="宋体" w:eastAsia="宋体" w:cs="宋体"/>
                <w:bCs/>
                <w:kern w:val="2"/>
              </w:rPr>
              <w:t>9.2</w:t>
            </w:r>
          </w:p>
        </w:tc>
        <w:tc>
          <w:tcPr>
            <w:tcW w:w="2132" w:type="dxa"/>
            <w:vAlign w:val="center"/>
          </w:tcPr>
          <w:p w14:paraId="3AFFCBAE">
            <w:pPr>
              <w:pStyle w:val="41"/>
              <w:widowControl w:val="0"/>
              <w:spacing w:before="0" w:beforeAutospacing="0" w:after="0" w:afterAutospacing="0" w:line="360" w:lineRule="auto"/>
              <w:jc w:val="left"/>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最高限价及分项限价</w:t>
            </w:r>
          </w:p>
        </w:tc>
        <w:tc>
          <w:tcPr>
            <w:tcW w:w="6091" w:type="dxa"/>
            <w:vAlign w:val="center"/>
          </w:tcPr>
          <w:p w14:paraId="02359D38">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本项目最高限价为120.9万元，其中第1包省淮河局94.9万元；第2包省临淮岗局26万元。</w:t>
            </w:r>
          </w:p>
          <w:p w14:paraId="474F2FFF">
            <w:pPr>
              <w:spacing w:line="360" w:lineRule="auto"/>
              <w:rPr>
                <w:rFonts w:hint="eastAsia" w:ascii="宋体" w:hAnsi="宋体" w:eastAsia="宋体" w:cs="宋体"/>
                <w:b/>
                <w:bCs/>
                <w:color w:val="FF0000"/>
                <w:sz w:val="24"/>
                <w:szCs w:val="24"/>
                <w:lang w:eastAsia="zh-CN"/>
              </w:rPr>
            </w:pPr>
            <w:r>
              <w:rPr>
                <w:rFonts w:hint="eastAsia" w:ascii="宋体" w:hAnsi="宋体" w:eastAsia="宋体" w:cs="宋体"/>
                <w:b/>
                <w:bCs/>
                <w:color w:val="FF0000"/>
                <w:sz w:val="24"/>
                <w:szCs w:val="24"/>
              </w:rPr>
              <w:t>分项限价：第</w:t>
            </w:r>
            <w:r>
              <w:rPr>
                <w:rFonts w:hint="eastAsia" w:ascii="宋体" w:hAnsi="宋体" w:eastAsia="宋体" w:cs="宋体"/>
                <w:b/>
                <w:bCs/>
                <w:color w:val="FF0000"/>
                <w:sz w:val="24"/>
                <w:szCs w:val="24"/>
                <w:lang w:val="en-US" w:eastAsia="zh-CN"/>
              </w:rPr>
              <w:t>1</w:t>
            </w:r>
            <w:r>
              <w:rPr>
                <w:rFonts w:hint="eastAsia" w:ascii="宋体" w:hAnsi="宋体" w:eastAsia="宋体" w:cs="宋体"/>
                <w:b/>
                <w:bCs/>
                <w:color w:val="FF0000"/>
                <w:sz w:val="24"/>
                <w:szCs w:val="24"/>
              </w:rPr>
              <w:t>包:</w:t>
            </w:r>
            <w:r>
              <w:rPr>
                <w:rFonts w:hint="eastAsia" w:ascii="宋体" w:hAnsi="宋体" w:eastAsia="宋体" w:cs="宋体"/>
                <w:b/>
                <w:bCs/>
                <w:color w:val="FF0000"/>
                <w:sz w:val="24"/>
                <w:szCs w:val="24"/>
                <w:lang w:val="en-US" w:eastAsia="zh-CN"/>
              </w:rPr>
              <w:t>①</w:t>
            </w:r>
            <w:r>
              <w:rPr>
                <w:rFonts w:hint="eastAsia" w:ascii="宋体" w:hAnsi="宋体" w:eastAsia="宋体" w:cs="宋体"/>
                <w:b/>
                <w:bCs/>
                <w:color w:val="FF0000"/>
                <w:sz w:val="24"/>
                <w:szCs w:val="24"/>
              </w:rPr>
              <w:t>潘集局6.7万元</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②</w:t>
            </w:r>
            <w:r>
              <w:rPr>
                <w:rFonts w:hint="eastAsia" w:ascii="宋体" w:hAnsi="宋体" w:eastAsia="宋体" w:cs="宋体"/>
                <w:b/>
                <w:bCs/>
                <w:color w:val="FF0000"/>
                <w:sz w:val="24"/>
                <w:szCs w:val="24"/>
              </w:rPr>
              <w:t>东淝闸3.3万元</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③</w:t>
            </w:r>
            <w:r>
              <w:rPr>
                <w:rFonts w:hint="eastAsia" w:ascii="宋体" w:hAnsi="宋体" w:eastAsia="宋体" w:cs="宋体"/>
                <w:b/>
                <w:bCs/>
                <w:color w:val="FF0000"/>
                <w:sz w:val="24"/>
                <w:szCs w:val="24"/>
              </w:rPr>
              <w:t>王家坝闸3.3万元</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④</w:t>
            </w:r>
            <w:r>
              <w:rPr>
                <w:rFonts w:hint="eastAsia" w:ascii="宋体" w:hAnsi="宋体" w:eastAsia="宋体" w:cs="宋体"/>
                <w:b/>
                <w:bCs/>
                <w:color w:val="FF0000"/>
                <w:sz w:val="24"/>
                <w:szCs w:val="24"/>
              </w:rPr>
              <w:t>曹台闸3.3万元</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⑤</w:t>
            </w:r>
            <w:r>
              <w:rPr>
                <w:rFonts w:hint="eastAsia" w:ascii="宋体" w:hAnsi="宋体" w:eastAsia="宋体" w:cs="宋体"/>
                <w:b/>
                <w:bCs/>
                <w:color w:val="FF0000"/>
                <w:sz w:val="24"/>
                <w:szCs w:val="24"/>
              </w:rPr>
              <w:t>阜阳闸6万元</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⑥</w:t>
            </w:r>
            <w:r>
              <w:rPr>
                <w:rFonts w:hint="eastAsia" w:ascii="宋体" w:hAnsi="宋体" w:eastAsia="宋体" w:cs="宋体"/>
                <w:b/>
                <w:bCs/>
                <w:color w:val="FF0000"/>
                <w:sz w:val="24"/>
                <w:szCs w:val="24"/>
              </w:rPr>
              <w:t>蒙城闸6万元</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⑦</w:t>
            </w:r>
            <w:r>
              <w:rPr>
                <w:rFonts w:hint="eastAsia" w:ascii="宋体" w:hAnsi="宋体" w:eastAsia="宋体" w:cs="宋体"/>
                <w:b/>
                <w:bCs/>
                <w:color w:val="FF0000"/>
                <w:sz w:val="24"/>
                <w:szCs w:val="24"/>
              </w:rPr>
              <w:t>蚌埠闸6.5万元</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⑧</w:t>
            </w:r>
            <w:r>
              <w:rPr>
                <w:rFonts w:hint="eastAsia" w:ascii="宋体" w:hAnsi="宋体" w:eastAsia="宋体" w:cs="宋体"/>
                <w:b/>
                <w:bCs/>
                <w:color w:val="FF0000"/>
                <w:sz w:val="24"/>
                <w:szCs w:val="24"/>
              </w:rPr>
              <w:t>东湖闸3.3万元</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⑨</w:t>
            </w:r>
            <w:r>
              <w:rPr>
                <w:rFonts w:hint="eastAsia" w:ascii="宋体" w:hAnsi="宋体" w:eastAsia="宋体" w:cs="宋体"/>
                <w:b/>
                <w:bCs/>
                <w:color w:val="FF0000"/>
                <w:sz w:val="24"/>
                <w:szCs w:val="24"/>
              </w:rPr>
              <w:t>颍上闸3.3万元</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⑩</w:t>
            </w:r>
            <w:r>
              <w:rPr>
                <w:rFonts w:hint="eastAsia" w:ascii="宋体" w:hAnsi="宋体" w:eastAsia="宋体" w:cs="宋体"/>
                <w:b/>
                <w:bCs/>
                <w:color w:val="FF0000"/>
                <w:sz w:val="24"/>
                <w:szCs w:val="24"/>
              </w:rPr>
              <w:t>窑河闸2万元</w:t>
            </w:r>
            <w:r>
              <w:rPr>
                <w:rFonts w:hint="eastAsia" w:ascii="宋体" w:hAnsi="宋体" w:eastAsia="宋体" w:cs="宋体"/>
                <w:b/>
                <w:bCs/>
                <w:color w:val="FF0000"/>
                <w:sz w:val="24"/>
                <w:szCs w:val="24"/>
                <w:lang w:eastAsia="zh-CN"/>
              </w:rPr>
              <w:t>；⑪</w:t>
            </w:r>
            <w:r>
              <w:rPr>
                <w:rFonts w:hint="eastAsia" w:ascii="宋体" w:hAnsi="宋体" w:eastAsia="宋体" w:cs="宋体"/>
                <w:b/>
                <w:bCs/>
                <w:color w:val="FF0000"/>
                <w:sz w:val="24"/>
                <w:szCs w:val="24"/>
              </w:rPr>
              <w:t>颍东局6.1万元</w:t>
            </w:r>
            <w:r>
              <w:rPr>
                <w:rFonts w:hint="eastAsia" w:ascii="宋体" w:hAnsi="宋体" w:eastAsia="宋体" w:cs="宋体"/>
                <w:b/>
                <w:bCs/>
                <w:color w:val="FF0000"/>
                <w:sz w:val="24"/>
                <w:szCs w:val="24"/>
                <w:lang w:eastAsia="zh-CN"/>
              </w:rPr>
              <w:t>；⑫</w:t>
            </w:r>
            <w:r>
              <w:rPr>
                <w:rFonts w:hint="eastAsia" w:ascii="宋体" w:hAnsi="宋体" w:eastAsia="宋体" w:cs="宋体"/>
                <w:b/>
                <w:bCs/>
                <w:color w:val="FF0000"/>
                <w:sz w:val="24"/>
                <w:szCs w:val="24"/>
              </w:rPr>
              <w:t>颍上局6.1万元</w:t>
            </w:r>
            <w:r>
              <w:rPr>
                <w:rFonts w:hint="eastAsia" w:ascii="宋体" w:hAnsi="宋体" w:eastAsia="宋体" w:cs="宋体"/>
                <w:b/>
                <w:bCs/>
                <w:color w:val="FF0000"/>
                <w:sz w:val="24"/>
                <w:szCs w:val="24"/>
                <w:lang w:eastAsia="zh-CN"/>
              </w:rPr>
              <w:t>；⑬</w:t>
            </w:r>
            <w:r>
              <w:rPr>
                <w:rFonts w:hint="eastAsia" w:ascii="宋体" w:hAnsi="宋体" w:eastAsia="宋体" w:cs="宋体"/>
                <w:b/>
                <w:bCs/>
                <w:color w:val="FF0000"/>
                <w:sz w:val="24"/>
                <w:szCs w:val="24"/>
              </w:rPr>
              <w:t>凤台局9.4万元</w:t>
            </w:r>
            <w:r>
              <w:rPr>
                <w:rFonts w:hint="eastAsia" w:ascii="宋体" w:hAnsi="宋体" w:eastAsia="宋体" w:cs="宋体"/>
                <w:b/>
                <w:bCs/>
                <w:color w:val="FF0000"/>
                <w:sz w:val="24"/>
                <w:szCs w:val="24"/>
                <w:lang w:eastAsia="zh-CN"/>
              </w:rPr>
              <w:t>；⑭</w:t>
            </w:r>
            <w:r>
              <w:rPr>
                <w:rFonts w:hint="eastAsia" w:ascii="宋体" w:hAnsi="宋体" w:eastAsia="宋体" w:cs="宋体"/>
                <w:b/>
                <w:bCs/>
                <w:color w:val="FF0000"/>
                <w:sz w:val="24"/>
                <w:szCs w:val="24"/>
              </w:rPr>
              <w:t>蒙城局7.0万元</w:t>
            </w:r>
            <w:r>
              <w:rPr>
                <w:rFonts w:hint="eastAsia" w:ascii="宋体" w:hAnsi="宋体" w:eastAsia="宋体" w:cs="宋体"/>
                <w:b/>
                <w:bCs/>
                <w:color w:val="FF0000"/>
                <w:sz w:val="24"/>
                <w:szCs w:val="24"/>
                <w:lang w:eastAsia="zh-CN"/>
              </w:rPr>
              <w:t>；⑮</w:t>
            </w:r>
            <w:r>
              <w:rPr>
                <w:rFonts w:hint="eastAsia" w:ascii="宋体" w:hAnsi="宋体" w:eastAsia="宋体" w:cs="宋体"/>
                <w:b/>
                <w:bCs/>
                <w:color w:val="FF0000"/>
                <w:sz w:val="24"/>
                <w:szCs w:val="24"/>
              </w:rPr>
              <w:t>怀远局15.9万元</w:t>
            </w:r>
            <w:r>
              <w:rPr>
                <w:rFonts w:hint="eastAsia" w:ascii="宋体" w:hAnsi="宋体" w:eastAsia="宋体" w:cs="宋体"/>
                <w:b/>
                <w:bCs/>
                <w:color w:val="FF0000"/>
                <w:sz w:val="24"/>
                <w:szCs w:val="24"/>
                <w:lang w:eastAsia="zh-CN"/>
              </w:rPr>
              <w:t>；⑯</w:t>
            </w:r>
            <w:r>
              <w:rPr>
                <w:rFonts w:hint="eastAsia" w:ascii="宋体" w:hAnsi="宋体" w:eastAsia="宋体" w:cs="宋体"/>
                <w:b/>
                <w:bCs/>
                <w:color w:val="FF0000"/>
                <w:sz w:val="24"/>
                <w:szCs w:val="24"/>
              </w:rPr>
              <w:t>五河局6.7万元</w:t>
            </w:r>
            <w:r>
              <w:rPr>
                <w:rFonts w:hint="eastAsia" w:ascii="宋体" w:hAnsi="宋体" w:eastAsia="宋体" w:cs="宋体"/>
                <w:b/>
                <w:bCs/>
                <w:color w:val="FF0000"/>
                <w:sz w:val="24"/>
                <w:szCs w:val="24"/>
                <w:lang w:eastAsia="zh-CN"/>
              </w:rPr>
              <w:t>；</w:t>
            </w:r>
          </w:p>
          <w:p w14:paraId="43F129B2">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第2包:省临淮岗洪水控制工程管理局</w:t>
            </w:r>
            <w:r>
              <w:rPr>
                <w:rFonts w:hint="eastAsia" w:ascii="宋体" w:hAnsi="宋体" w:eastAsia="宋体" w:cs="宋体"/>
                <w:b/>
                <w:bCs/>
                <w:color w:val="FF0000"/>
                <w:sz w:val="24"/>
                <w:szCs w:val="24"/>
                <w:lang w:eastAsia="zh-CN"/>
              </w:rPr>
              <w:t>临淮岗26万元</w:t>
            </w:r>
            <w:r>
              <w:rPr>
                <w:rFonts w:hint="eastAsia" w:ascii="宋体" w:hAnsi="宋体" w:eastAsia="宋体" w:cs="宋体"/>
                <w:b/>
                <w:bCs/>
                <w:color w:val="FF0000"/>
                <w:sz w:val="24"/>
                <w:szCs w:val="24"/>
              </w:rPr>
              <w:t>。</w:t>
            </w:r>
          </w:p>
          <w:p w14:paraId="15D96643">
            <w:pPr>
              <w:pStyle w:val="41"/>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FF0000"/>
                <w:sz w:val="24"/>
                <w:szCs w:val="24"/>
                <w:lang w:val="en-US" w:eastAsia="zh-CN"/>
              </w:rPr>
              <w:t>各包</w:t>
            </w:r>
            <w:r>
              <w:rPr>
                <w:rFonts w:hint="eastAsia" w:ascii="宋体" w:hAnsi="宋体" w:eastAsia="宋体" w:cs="宋体"/>
                <w:color w:val="FF0000"/>
                <w:sz w:val="24"/>
                <w:szCs w:val="24"/>
              </w:rPr>
              <w:t>供应商的报价不得超过采购人公布的</w:t>
            </w:r>
            <w:r>
              <w:rPr>
                <w:rFonts w:hint="eastAsia" w:ascii="宋体" w:hAnsi="宋体" w:eastAsia="宋体" w:cs="宋体"/>
                <w:color w:val="FF0000"/>
                <w:sz w:val="24"/>
                <w:szCs w:val="24"/>
                <w:lang w:val="en-US" w:eastAsia="zh-CN"/>
              </w:rPr>
              <w:t>各包对应的</w:t>
            </w:r>
            <w:r>
              <w:rPr>
                <w:rFonts w:hint="eastAsia" w:ascii="宋体" w:hAnsi="宋体" w:eastAsia="宋体" w:cs="宋体"/>
                <w:color w:val="FF0000"/>
                <w:sz w:val="24"/>
                <w:szCs w:val="24"/>
              </w:rPr>
              <w:t>最高限价及分项限价，否则其响应文件按照无效处理。</w:t>
            </w:r>
          </w:p>
        </w:tc>
      </w:tr>
      <w:tr w14:paraId="494E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75" w:type="dxa"/>
            <w:vAlign w:val="center"/>
          </w:tcPr>
          <w:p w14:paraId="14E63DD1">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10.1</w:t>
            </w:r>
          </w:p>
        </w:tc>
        <w:tc>
          <w:tcPr>
            <w:tcW w:w="2132" w:type="dxa"/>
            <w:vAlign w:val="center"/>
          </w:tcPr>
          <w:p w14:paraId="5FDE2EED">
            <w:pPr>
              <w:pStyle w:val="41"/>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磋商保证金</w:t>
            </w:r>
          </w:p>
        </w:tc>
        <w:tc>
          <w:tcPr>
            <w:tcW w:w="6091" w:type="dxa"/>
            <w:vAlign w:val="center"/>
          </w:tcPr>
          <w:p w14:paraId="69BB162F">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不收取</w:t>
            </w:r>
          </w:p>
        </w:tc>
      </w:tr>
      <w:tr w14:paraId="1B53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73BFCD07">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11.1</w:t>
            </w:r>
          </w:p>
        </w:tc>
        <w:tc>
          <w:tcPr>
            <w:tcW w:w="2132" w:type="dxa"/>
            <w:vAlign w:val="center"/>
          </w:tcPr>
          <w:p w14:paraId="2029855F">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磋商有效期</w:t>
            </w:r>
          </w:p>
        </w:tc>
        <w:tc>
          <w:tcPr>
            <w:tcW w:w="6091" w:type="dxa"/>
            <w:vAlign w:val="center"/>
          </w:tcPr>
          <w:p w14:paraId="73EE62DA">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u w:val="single"/>
              </w:rPr>
              <w:t>90</w:t>
            </w:r>
            <w:r>
              <w:rPr>
                <w:rFonts w:hint="eastAsia" w:ascii="宋体" w:hAnsi="宋体" w:eastAsia="宋体" w:cs="宋体"/>
                <w:b w:val="0"/>
                <w:sz w:val="24"/>
              </w:rPr>
              <w:t>日历日</w:t>
            </w:r>
          </w:p>
        </w:tc>
      </w:tr>
      <w:tr w14:paraId="6CC4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63F6533F">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12.3</w:t>
            </w:r>
          </w:p>
        </w:tc>
        <w:tc>
          <w:tcPr>
            <w:tcW w:w="2132" w:type="dxa"/>
            <w:vAlign w:val="center"/>
          </w:tcPr>
          <w:p w14:paraId="7BE483EE">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响应文件解密时间</w:t>
            </w:r>
          </w:p>
        </w:tc>
        <w:tc>
          <w:tcPr>
            <w:tcW w:w="6091" w:type="dxa"/>
            <w:vAlign w:val="center"/>
          </w:tcPr>
          <w:p w14:paraId="08A63ED2">
            <w:pPr>
              <w:pStyle w:val="41"/>
              <w:widowControl w:val="0"/>
              <w:spacing w:before="0" w:beforeAutospacing="0" w:after="0" w:afterAutospacing="0" w:line="360" w:lineRule="auto"/>
              <w:jc w:val="both"/>
              <w:rPr>
                <w:rFonts w:hint="eastAsia" w:ascii="宋体" w:hAnsi="宋体" w:eastAsia="宋体" w:cs="宋体"/>
                <w:b w:val="0"/>
                <w:sz w:val="24"/>
                <w:u w:val="single"/>
              </w:rPr>
            </w:pPr>
            <w:r>
              <w:rPr>
                <w:rFonts w:hint="eastAsia" w:ascii="宋体" w:hAnsi="宋体" w:eastAsia="宋体" w:cs="宋体"/>
                <w:b w:val="0"/>
                <w:sz w:val="24"/>
              </w:rPr>
              <w:t>响应文件提交截止时间后</w:t>
            </w:r>
            <w:r>
              <w:rPr>
                <w:rFonts w:hint="eastAsia" w:ascii="宋体" w:hAnsi="宋体" w:eastAsia="宋体" w:cs="宋体"/>
                <w:b w:val="0"/>
                <w:sz w:val="24"/>
                <w:u w:val="single"/>
              </w:rPr>
              <w:t>60</w:t>
            </w:r>
            <w:r>
              <w:rPr>
                <w:rFonts w:hint="eastAsia" w:ascii="宋体" w:hAnsi="宋体" w:eastAsia="宋体" w:cs="宋体"/>
                <w:b w:val="0"/>
                <w:sz w:val="24"/>
              </w:rPr>
              <w:t>分钟内</w:t>
            </w:r>
          </w:p>
        </w:tc>
      </w:tr>
      <w:tr w14:paraId="0A7E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503DC560">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14.2</w:t>
            </w:r>
          </w:p>
        </w:tc>
        <w:tc>
          <w:tcPr>
            <w:tcW w:w="2132" w:type="dxa"/>
            <w:vAlign w:val="center"/>
          </w:tcPr>
          <w:p w14:paraId="6CC9D61B">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评审方法</w:t>
            </w:r>
          </w:p>
        </w:tc>
        <w:tc>
          <w:tcPr>
            <w:tcW w:w="6091" w:type="dxa"/>
            <w:vAlign w:val="center"/>
          </w:tcPr>
          <w:p w14:paraId="1627A8AC">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综合评分法</w:t>
            </w:r>
          </w:p>
        </w:tc>
      </w:tr>
      <w:tr w14:paraId="5686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32130EA0">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17.4</w:t>
            </w:r>
          </w:p>
        </w:tc>
        <w:tc>
          <w:tcPr>
            <w:tcW w:w="2132" w:type="dxa"/>
            <w:vAlign w:val="center"/>
          </w:tcPr>
          <w:p w14:paraId="2024EF36">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最后报价扣除</w:t>
            </w:r>
          </w:p>
        </w:tc>
        <w:tc>
          <w:tcPr>
            <w:tcW w:w="6091" w:type="dxa"/>
            <w:vAlign w:val="center"/>
          </w:tcPr>
          <w:p w14:paraId="43F9B159">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（1）小型和微型企业价格扣除：</w:t>
            </w:r>
            <w:r>
              <w:rPr>
                <w:rFonts w:hint="eastAsia" w:ascii="宋体" w:hAnsi="宋体" w:eastAsia="宋体" w:cs="宋体"/>
                <w:sz w:val="24"/>
                <w:u w:val="single"/>
              </w:rPr>
              <w:t>10%</w:t>
            </w:r>
            <w:r>
              <w:rPr>
                <w:rFonts w:hint="eastAsia" w:ascii="宋体" w:hAnsi="宋体" w:eastAsia="宋体" w:cs="宋体"/>
                <w:b w:val="0"/>
                <w:sz w:val="24"/>
              </w:rPr>
              <w:t>。</w:t>
            </w:r>
          </w:p>
          <w:p w14:paraId="5D158F27">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（2）监狱企业价格扣除：同小型和微型企业。</w:t>
            </w:r>
          </w:p>
          <w:p w14:paraId="1F21B39F">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（3）残疾人福利性单位价格扣除：同小型和微型企业。</w:t>
            </w:r>
          </w:p>
          <w:p w14:paraId="6AF4962D">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（4）符合条件的联合体价格扣除：</w:t>
            </w:r>
            <w:r>
              <w:rPr>
                <w:rFonts w:hint="eastAsia" w:ascii="宋体" w:hAnsi="宋体" w:eastAsia="宋体" w:cs="宋体"/>
                <w:b w:val="0"/>
                <w:sz w:val="24"/>
                <w:u w:val="single"/>
              </w:rPr>
              <w:t>/</w:t>
            </w:r>
            <w:r>
              <w:rPr>
                <w:rFonts w:hint="eastAsia" w:ascii="宋体" w:hAnsi="宋体" w:eastAsia="宋体" w:cs="宋体"/>
                <w:b w:val="0"/>
                <w:sz w:val="24"/>
              </w:rPr>
              <w:t>。</w:t>
            </w:r>
          </w:p>
          <w:p w14:paraId="44323E20">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（5）符合条件的向小微企业分包的大中型企业价格扣除：</w:t>
            </w:r>
            <w:r>
              <w:rPr>
                <w:rFonts w:hint="eastAsia" w:ascii="宋体" w:hAnsi="宋体" w:eastAsia="宋体" w:cs="宋体"/>
                <w:b w:val="0"/>
                <w:sz w:val="24"/>
                <w:u w:val="single"/>
              </w:rPr>
              <w:t>/</w:t>
            </w:r>
            <w:r>
              <w:rPr>
                <w:rFonts w:hint="eastAsia" w:ascii="宋体" w:hAnsi="宋体" w:eastAsia="宋体" w:cs="宋体"/>
                <w:b w:val="0"/>
                <w:sz w:val="24"/>
              </w:rPr>
              <w:t>。</w:t>
            </w:r>
          </w:p>
        </w:tc>
      </w:tr>
      <w:tr w14:paraId="7E28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Merge w:val="restart"/>
            <w:vAlign w:val="center"/>
          </w:tcPr>
          <w:p w14:paraId="71F3E048">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19.1</w:t>
            </w:r>
          </w:p>
        </w:tc>
        <w:tc>
          <w:tcPr>
            <w:tcW w:w="2132" w:type="dxa"/>
            <w:vMerge w:val="restart"/>
            <w:vAlign w:val="center"/>
          </w:tcPr>
          <w:p w14:paraId="33F0269D">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确定成交候选供应商和成交供应商</w:t>
            </w:r>
          </w:p>
        </w:tc>
        <w:tc>
          <w:tcPr>
            <w:tcW w:w="6091" w:type="dxa"/>
            <w:vAlign w:val="center"/>
          </w:tcPr>
          <w:p w14:paraId="1F0623A3">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磋商小组推荐成交候选供应商的数量：3家</w:t>
            </w:r>
            <w:r>
              <w:rPr>
                <w:rFonts w:hint="eastAsia" w:ascii="宋体" w:hAnsi="宋体" w:eastAsia="宋体" w:cs="宋体"/>
                <w:b w:val="0"/>
                <w:sz w:val="24"/>
                <w:lang w:val="en-US" w:eastAsia="zh-CN"/>
              </w:rPr>
              <w:t>及</w:t>
            </w:r>
            <w:r>
              <w:rPr>
                <w:rFonts w:hint="eastAsia" w:ascii="宋体" w:hAnsi="宋体" w:eastAsia="宋体" w:cs="宋体"/>
                <w:b w:val="0"/>
                <w:sz w:val="24"/>
              </w:rPr>
              <w:t>以上</w:t>
            </w:r>
          </w:p>
          <w:p w14:paraId="4991EC72">
            <w:pPr>
              <w:pStyle w:val="41"/>
              <w:widowControl w:val="0"/>
              <w:spacing w:before="0" w:beforeAutospacing="0" w:after="0" w:afterAutospacing="0" w:line="360" w:lineRule="auto"/>
              <w:jc w:val="both"/>
              <w:rPr>
                <w:rFonts w:hint="eastAsia" w:ascii="宋体" w:hAnsi="宋体" w:eastAsia="宋体" w:cs="宋体"/>
                <w:b w:val="0"/>
                <w:sz w:val="24"/>
                <w:u w:val="single"/>
              </w:rPr>
            </w:pPr>
            <w:r>
              <w:rPr>
                <w:rFonts w:hint="eastAsia" w:ascii="宋体" w:hAnsi="宋体" w:eastAsia="宋体" w:cs="宋体"/>
                <w:b w:val="0"/>
                <w:sz w:val="24"/>
              </w:rPr>
              <w:t>注：法律、法规另有规定的，从其规定</w:t>
            </w:r>
          </w:p>
        </w:tc>
      </w:tr>
      <w:tr w14:paraId="1798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Merge w:val="continue"/>
            <w:vAlign w:val="center"/>
          </w:tcPr>
          <w:p w14:paraId="79D4278F">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p>
        </w:tc>
        <w:tc>
          <w:tcPr>
            <w:tcW w:w="2132" w:type="dxa"/>
            <w:vMerge w:val="continue"/>
            <w:vAlign w:val="center"/>
          </w:tcPr>
          <w:p w14:paraId="5AFE825F">
            <w:pPr>
              <w:pStyle w:val="41"/>
              <w:widowControl w:val="0"/>
              <w:spacing w:before="0" w:beforeAutospacing="0" w:after="0" w:afterAutospacing="0" w:line="360" w:lineRule="auto"/>
              <w:jc w:val="both"/>
              <w:rPr>
                <w:rFonts w:hint="eastAsia" w:ascii="宋体" w:hAnsi="宋体" w:eastAsia="宋体" w:cs="宋体"/>
                <w:b w:val="0"/>
                <w:sz w:val="24"/>
              </w:rPr>
            </w:pPr>
          </w:p>
        </w:tc>
        <w:tc>
          <w:tcPr>
            <w:tcW w:w="6091" w:type="dxa"/>
            <w:vAlign w:val="center"/>
          </w:tcPr>
          <w:p w14:paraId="70DC663A">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确定成交供应商：</w:t>
            </w:r>
          </w:p>
          <w:p w14:paraId="524AB89A">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sym w:font="Wingdings" w:char="F0A8"/>
            </w:r>
            <w:r>
              <w:rPr>
                <w:rFonts w:hint="eastAsia" w:ascii="宋体" w:hAnsi="宋体" w:eastAsia="宋体" w:cs="宋体"/>
                <w:b w:val="0"/>
                <w:sz w:val="24"/>
              </w:rPr>
              <w:t>采购人委托磋商小组确定     ☑采购人确定</w:t>
            </w:r>
          </w:p>
        </w:tc>
      </w:tr>
      <w:tr w14:paraId="61CE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5E80584E">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22.2</w:t>
            </w:r>
          </w:p>
        </w:tc>
        <w:tc>
          <w:tcPr>
            <w:tcW w:w="2132" w:type="dxa"/>
            <w:vAlign w:val="center"/>
          </w:tcPr>
          <w:p w14:paraId="7CC899B3">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随成交结果公告同时公告的内容</w:t>
            </w:r>
          </w:p>
        </w:tc>
        <w:tc>
          <w:tcPr>
            <w:tcW w:w="6091" w:type="dxa"/>
            <w:vAlign w:val="center"/>
          </w:tcPr>
          <w:p w14:paraId="36BD6169">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（1）中小企业声明函；</w:t>
            </w:r>
            <w:r>
              <w:rPr>
                <w:rFonts w:hint="eastAsia" w:ascii="宋体" w:hAnsi="宋体" w:eastAsia="宋体" w:cs="宋体"/>
                <w:b w:val="0"/>
                <w:i/>
                <w:iCs/>
                <w:sz w:val="24"/>
              </w:rPr>
              <w:t>（如有）</w:t>
            </w:r>
          </w:p>
          <w:p w14:paraId="1A4EDCE0">
            <w:pPr>
              <w:pStyle w:val="41"/>
              <w:widowControl w:val="0"/>
              <w:spacing w:before="0" w:beforeAutospacing="0" w:after="0" w:afterAutospacing="0" w:line="360" w:lineRule="auto"/>
              <w:jc w:val="both"/>
              <w:rPr>
                <w:rFonts w:hint="eastAsia" w:ascii="宋体" w:hAnsi="宋体" w:eastAsia="宋体" w:cs="宋体"/>
                <w:b w:val="0"/>
                <w:i/>
                <w:sz w:val="24"/>
              </w:rPr>
            </w:pPr>
            <w:r>
              <w:rPr>
                <w:rFonts w:hint="eastAsia" w:ascii="宋体" w:hAnsi="宋体" w:eastAsia="宋体" w:cs="宋体"/>
                <w:b w:val="0"/>
                <w:sz w:val="24"/>
              </w:rPr>
              <w:t>（2）残疾人福利性单位声明函；</w:t>
            </w:r>
            <w:r>
              <w:rPr>
                <w:rFonts w:hint="eastAsia" w:ascii="宋体" w:hAnsi="宋体" w:eastAsia="宋体" w:cs="宋体"/>
                <w:b w:val="0"/>
                <w:i/>
                <w:iCs/>
                <w:sz w:val="24"/>
              </w:rPr>
              <w:t>（如有）</w:t>
            </w:r>
          </w:p>
          <w:p w14:paraId="5E7C4E25">
            <w:pPr>
              <w:pStyle w:val="41"/>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sz w:val="24"/>
              </w:rPr>
              <w:t>（3）中标（成交）供应商的评审总得分；</w:t>
            </w:r>
          </w:p>
        </w:tc>
      </w:tr>
      <w:tr w14:paraId="2C91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57999549">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23.1</w:t>
            </w:r>
          </w:p>
        </w:tc>
        <w:tc>
          <w:tcPr>
            <w:tcW w:w="2132" w:type="dxa"/>
            <w:vAlign w:val="center"/>
          </w:tcPr>
          <w:p w14:paraId="3A00FF24">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成交通知书发出的形式</w:t>
            </w:r>
          </w:p>
        </w:tc>
        <w:tc>
          <w:tcPr>
            <w:tcW w:w="6091" w:type="dxa"/>
            <w:vAlign w:val="center"/>
          </w:tcPr>
          <w:p w14:paraId="5348D7F3">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 xml:space="preserve">□书面     </w:t>
            </w:r>
            <w:r>
              <w:rPr>
                <w:rFonts w:hint="eastAsia" w:ascii="宋体" w:hAnsi="宋体" w:eastAsia="宋体" w:cs="宋体"/>
                <w:b w:val="0"/>
                <w:bCs w:val="0"/>
                <w:sz w:val="24"/>
                <w:szCs w:val="24"/>
              </w:rPr>
              <w:sym w:font="Wingdings" w:char="F0FE"/>
            </w:r>
            <w:r>
              <w:rPr>
                <w:rFonts w:hint="eastAsia" w:ascii="宋体" w:hAnsi="宋体" w:eastAsia="宋体" w:cs="宋体"/>
                <w:b w:val="0"/>
                <w:sz w:val="24"/>
              </w:rPr>
              <w:t>数据电文</w:t>
            </w:r>
          </w:p>
        </w:tc>
      </w:tr>
      <w:tr w14:paraId="36CF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639869ED">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24.1</w:t>
            </w:r>
          </w:p>
        </w:tc>
        <w:tc>
          <w:tcPr>
            <w:tcW w:w="2132" w:type="dxa"/>
            <w:vAlign w:val="center"/>
          </w:tcPr>
          <w:p w14:paraId="69249238">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告知磋商结果的形式</w:t>
            </w:r>
          </w:p>
        </w:tc>
        <w:tc>
          <w:tcPr>
            <w:tcW w:w="6091" w:type="dxa"/>
            <w:vAlign w:val="center"/>
          </w:tcPr>
          <w:p w14:paraId="3B0A687A">
            <w:pPr>
              <w:pStyle w:val="41"/>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sym w:font="Wingdings" w:char="F0FE"/>
            </w:r>
            <w:r>
              <w:rPr>
                <w:rFonts w:hint="eastAsia" w:ascii="宋体" w:hAnsi="宋体" w:eastAsia="宋体" w:cs="宋体"/>
                <w:b w:val="0"/>
                <w:bCs w:val="0"/>
                <w:sz w:val="24"/>
                <w:szCs w:val="24"/>
              </w:rPr>
              <w:t>供应商自行登录电子交易系统查看</w:t>
            </w:r>
          </w:p>
          <w:p w14:paraId="1956ED02">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□磋商现场告知</w:t>
            </w:r>
          </w:p>
        </w:tc>
      </w:tr>
      <w:tr w14:paraId="6415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45FD63E9">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25.1</w:t>
            </w:r>
          </w:p>
        </w:tc>
        <w:tc>
          <w:tcPr>
            <w:tcW w:w="2132" w:type="dxa"/>
            <w:vAlign w:val="center"/>
          </w:tcPr>
          <w:p w14:paraId="24EEBE1C">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履约保证金</w:t>
            </w:r>
          </w:p>
        </w:tc>
        <w:tc>
          <w:tcPr>
            <w:tcW w:w="6091" w:type="dxa"/>
          </w:tcPr>
          <w:p w14:paraId="75FFF130">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（1）金额：</w:t>
            </w:r>
          </w:p>
          <w:p w14:paraId="76D4C767">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□免收</w:t>
            </w:r>
          </w:p>
          <w:p w14:paraId="5BF2BC1E">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☑合同价的</w:t>
            </w:r>
            <w:r>
              <w:rPr>
                <w:rFonts w:hint="eastAsia" w:ascii="宋体" w:hAnsi="宋体" w:eastAsia="宋体" w:cs="宋体"/>
                <w:bCs/>
                <w:kern w:val="0"/>
                <w:sz w:val="24"/>
                <w:szCs w:val="28"/>
                <w:u w:val="single"/>
              </w:rPr>
              <w:t>2.5</w:t>
            </w:r>
            <w:r>
              <w:rPr>
                <w:rFonts w:hint="eastAsia" w:ascii="宋体" w:hAnsi="宋体" w:eastAsia="宋体" w:cs="宋体"/>
                <w:bCs/>
                <w:kern w:val="0"/>
                <w:sz w:val="24"/>
                <w:szCs w:val="28"/>
              </w:rPr>
              <w:t>%</w:t>
            </w:r>
          </w:p>
          <w:p w14:paraId="0A27B4ED">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□定额收取：人民币</w:t>
            </w:r>
            <w:r>
              <w:rPr>
                <w:rFonts w:hint="eastAsia" w:ascii="宋体" w:hAnsi="宋体" w:eastAsia="宋体" w:cs="宋体"/>
                <w:bCs/>
                <w:kern w:val="0"/>
                <w:sz w:val="24"/>
                <w:szCs w:val="28"/>
                <w:u w:val="single"/>
              </w:rPr>
              <w:t>/</w:t>
            </w:r>
            <w:r>
              <w:rPr>
                <w:rFonts w:hint="eastAsia" w:ascii="宋体" w:hAnsi="宋体" w:eastAsia="宋体" w:cs="宋体"/>
                <w:bCs/>
                <w:kern w:val="0"/>
                <w:sz w:val="24"/>
                <w:szCs w:val="28"/>
              </w:rPr>
              <w:t>元</w:t>
            </w:r>
          </w:p>
          <w:p w14:paraId="30549C66">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（2）支付方式：</w:t>
            </w:r>
          </w:p>
          <w:p w14:paraId="3900C6A7">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转账/电汇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支票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汇票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本票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保险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保函</w:t>
            </w:r>
          </w:p>
          <w:p w14:paraId="6DD1C716">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（3）收取单位：</w:t>
            </w:r>
            <w:r>
              <w:rPr>
                <w:rFonts w:hint="eastAsia" w:ascii="宋体" w:hAnsi="宋体" w:eastAsia="宋体" w:cs="宋体"/>
                <w:b/>
                <w:kern w:val="0"/>
                <w:sz w:val="24"/>
                <w:szCs w:val="28"/>
                <w:u w:val="single"/>
              </w:rPr>
              <w:t>本项目为统采分签项目，供应商成交后，履约保证金由各合同甲方分别收取</w:t>
            </w:r>
          </w:p>
          <w:p w14:paraId="23CF8FB4">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（4）收取账号：</w:t>
            </w:r>
            <w:r>
              <w:rPr>
                <w:rFonts w:hint="eastAsia" w:ascii="宋体" w:hAnsi="宋体" w:eastAsia="宋体" w:cs="宋体"/>
                <w:bCs/>
                <w:kern w:val="0"/>
                <w:sz w:val="24"/>
                <w:szCs w:val="28"/>
                <w:u w:val="single"/>
              </w:rPr>
              <w:t>成交后提供</w:t>
            </w:r>
          </w:p>
          <w:p w14:paraId="6CC8B7D7">
            <w:pPr>
              <w:spacing w:line="360" w:lineRule="auto"/>
              <w:rPr>
                <w:rFonts w:hint="eastAsia" w:ascii="宋体" w:hAnsi="宋体" w:eastAsia="宋体" w:cs="宋体"/>
                <w:sz w:val="24"/>
                <w:szCs w:val="24"/>
                <w:u w:val="single"/>
              </w:rPr>
            </w:pPr>
            <w:r>
              <w:rPr>
                <w:rFonts w:hint="eastAsia" w:ascii="宋体" w:hAnsi="宋体" w:eastAsia="宋体" w:cs="宋体"/>
                <w:bCs/>
                <w:kern w:val="0"/>
                <w:sz w:val="24"/>
                <w:szCs w:val="28"/>
              </w:rPr>
              <w:t>（5）</w:t>
            </w:r>
            <w:r>
              <w:rPr>
                <w:rFonts w:hint="eastAsia" w:ascii="宋体" w:hAnsi="宋体" w:eastAsia="宋体" w:cs="宋体"/>
                <w:sz w:val="24"/>
              </w:rPr>
              <w:t>退还时间：</w:t>
            </w:r>
            <w:r>
              <w:rPr>
                <w:rFonts w:hint="eastAsia" w:ascii="宋体" w:hAnsi="宋体" w:eastAsia="宋体" w:cs="宋体"/>
                <w:sz w:val="24"/>
                <w:szCs w:val="24"/>
                <w:u w:val="single"/>
              </w:rPr>
              <w:t>履约保证金在合同生效之日起至项目验收合格前一直有效，移交项目成果并通过验收后经乙方申请，合同甲方确认后7个日历日内将履约保证金款项退还给乙方或者解除履约担保。</w:t>
            </w:r>
          </w:p>
          <w:p w14:paraId="6B41AFEF">
            <w:pPr>
              <w:spacing w:line="360" w:lineRule="auto"/>
              <w:rPr>
                <w:rFonts w:hint="eastAsia" w:ascii="宋体" w:hAnsi="宋体" w:eastAsia="宋体" w:cs="宋体"/>
                <w:sz w:val="24"/>
              </w:rPr>
            </w:pPr>
            <w:r>
              <w:rPr>
                <w:rFonts w:hint="eastAsia" w:ascii="宋体" w:hAnsi="宋体" w:eastAsia="宋体" w:cs="宋体"/>
                <w:b/>
                <w:sz w:val="24"/>
                <w:szCs w:val="24"/>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52075557">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注意事项：</w:t>
            </w:r>
          </w:p>
          <w:p w14:paraId="7E61CBA2">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（1）以上各类机构出具的以担保函、保证保险承担责任的方式均须满足无条件见索即付条件。</w:t>
            </w:r>
          </w:p>
          <w:p w14:paraId="08CE0EAD">
            <w:pPr>
              <w:pStyle w:val="41"/>
              <w:widowControl w:val="0"/>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bCs w:val="0"/>
                <w:sz w:val="24"/>
                <w:szCs w:val="24"/>
              </w:rPr>
              <w:t>（2）以担保函、保证保险形式缴纳履约保证金的，受益人和收取单位须为合同甲方。</w:t>
            </w:r>
          </w:p>
        </w:tc>
      </w:tr>
      <w:tr w14:paraId="19E9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2E28F509">
            <w:pPr>
              <w:pStyle w:val="42"/>
              <w:pBdr>
                <w:bottom w:val="none" w:color="auto" w:sz="0" w:space="0"/>
              </w:pBdr>
              <w:tabs>
                <w:tab w:val="clear" w:pos="4153"/>
                <w:tab w:val="clear" w:pos="8306"/>
              </w:tabs>
              <w:adjustRightInd/>
              <w:spacing w:line="360" w:lineRule="auto"/>
              <w:rPr>
                <w:rFonts w:hint="eastAsia" w:ascii="宋体" w:hAnsi="宋体" w:eastAsia="宋体" w:cs="宋体"/>
                <w:bCs/>
                <w:kern w:val="2"/>
              </w:rPr>
            </w:pPr>
            <w:r>
              <w:rPr>
                <w:rFonts w:hint="eastAsia" w:ascii="宋体" w:hAnsi="宋体" w:eastAsia="宋体" w:cs="宋体"/>
                <w:bCs/>
                <w:kern w:val="2"/>
              </w:rPr>
              <w:t>26.1</w:t>
            </w:r>
          </w:p>
        </w:tc>
        <w:tc>
          <w:tcPr>
            <w:tcW w:w="2132" w:type="dxa"/>
            <w:vAlign w:val="center"/>
          </w:tcPr>
          <w:p w14:paraId="744D24F8">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代理费用</w:t>
            </w:r>
          </w:p>
        </w:tc>
        <w:tc>
          <w:tcPr>
            <w:tcW w:w="6091" w:type="dxa"/>
            <w:shd w:val="clear" w:color="auto" w:fill="auto"/>
            <w:vAlign w:val="center"/>
          </w:tcPr>
          <w:p w14:paraId="03F8F917">
            <w:pPr>
              <w:spacing w:before="39" w:line="360" w:lineRule="auto"/>
              <w:ind w:firstLine="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（1）</w:t>
            </w:r>
            <w:r>
              <w:rPr>
                <w:rFonts w:hint="eastAsia" w:ascii="宋体" w:hAnsi="宋体" w:eastAsia="宋体" w:cs="宋体"/>
                <w:bCs/>
                <w:color w:val="000000" w:themeColor="text1"/>
                <w:kern w:val="0"/>
                <w:sz w:val="24"/>
                <w:szCs w:val="28"/>
                <w:highlight w:val="none"/>
                <w14:textFill>
                  <w14:solidFill>
                    <w14:schemeClr w14:val="tx1"/>
                  </w14:solidFill>
                </w14:textFill>
              </w:rPr>
              <w:t>收费对象</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4"/>
                <w:sz w:val="24"/>
                <w:szCs w:val="24"/>
                <w:highlight w:val="none"/>
                <w14:textFill>
                  <w14:solidFill>
                    <w14:schemeClr w14:val="tx1"/>
                  </w14:solidFill>
                </w14:textFill>
              </w:rPr>
              <w:t>成交供应商</w:t>
            </w:r>
          </w:p>
          <w:p w14:paraId="6557F2DA">
            <w:pPr>
              <w:spacing w:before="24" w:line="360" w:lineRule="auto"/>
              <w:ind w:firstLine="0"/>
              <w:rPr>
                <w:rFonts w:hint="eastAsia" w:ascii="宋体" w:hAnsi="宋体" w:eastAsia="宋体" w:cs="宋体"/>
                <w:bCs/>
                <w:color w:val="000000" w:themeColor="text1"/>
                <w:kern w:val="0"/>
                <w:sz w:val="24"/>
                <w:szCs w:val="28"/>
                <w:highlight w:val="none"/>
                <w14:textFill>
                  <w14:solidFill>
                    <w14:schemeClr w14:val="tx1"/>
                  </w14:solidFill>
                </w14:textFill>
              </w:rPr>
            </w:pPr>
            <w:r>
              <w:rPr>
                <w:rFonts w:hint="eastAsia" w:ascii="宋体" w:hAnsi="宋体" w:eastAsia="宋体" w:cs="宋体"/>
                <w:bCs/>
                <w:color w:val="000000" w:themeColor="text1"/>
                <w:kern w:val="0"/>
                <w:sz w:val="24"/>
                <w:szCs w:val="28"/>
                <w:highlight w:val="none"/>
                <w14:textFill>
                  <w14:solidFill>
                    <w14:schemeClr w14:val="tx1"/>
                  </w14:solidFill>
                </w14:textFill>
              </w:rPr>
              <w:t>（2）</w:t>
            </w:r>
            <w:r>
              <w:rPr>
                <w:rFonts w:hint="eastAsia" w:ascii="宋体" w:hAnsi="宋体" w:eastAsia="宋体" w:cs="宋体"/>
                <w:bCs/>
                <w:color w:val="000000" w:themeColor="text1"/>
                <w:kern w:val="0"/>
                <w:sz w:val="24"/>
                <w:szCs w:val="28"/>
                <w:highlight w:val="none"/>
                <w14:textFill>
                  <w14:solidFill>
                    <w14:schemeClr w14:val="tx1"/>
                  </w14:solidFill>
                </w14:textFill>
              </w:rPr>
              <w:t>收取方式</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转账/电汇</w:t>
            </w:r>
          </w:p>
          <w:p w14:paraId="22603955">
            <w:pPr>
              <w:pStyle w:val="41"/>
              <w:widowControl w:val="0"/>
              <w:spacing w:before="0" w:beforeAutospacing="0" w:after="0" w:afterAutospacing="0" w:line="360" w:lineRule="auto"/>
              <w:ind w:firstLine="0"/>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（3）收费标准：项目代理费分包支付，</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第1包为壹万肆仟贰佰元整，第2包为伍仟元整。</w:t>
            </w:r>
            <w:r>
              <w:rPr>
                <w:rFonts w:hint="eastAsia" w:ascii="宋体" w:hAnsi="宋体" w:eastAsia="宋体" w:cs="宋体"/>
                <w:b w:val="0"/>
                <w:color w:val="000000" w:themeColor="text1"/>
                <w:sz w:val="24"/>
                <w:szCs w:val="24"/>
                <w:highlight w:val="none"/>
                <w14:textFill>
                  <w14:solidFill>
                    <w14:schemeClr w14:val="tx1"/>
                  </w14:solidFill>
                </w14:textFill>
              </w:rPr>
              <w:t>由各包成交供应商支付。包含在各包成交供应商投标报价的单价与合价中，不单独列项。</w:t>
            </w:r>
          </w:p>
          <w:p w14:paraId="6B4FB6A6">
            <w:pPr>
              <w:numPr>
                <w:ilvl w:val="0"/>
                <w:numId w:val="0"/>
              </w:numPr>
              <w:spacing w:line="360" w:lineRule="auto"/>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（4）支付时间：成交供应商在领取成交通知书前一次性支付。</w:t>
            </w:r>
          </w:p>
          <w:p w14:paraId="6C92975F">
            <w:pPr>
              <w:numPr>
                <w:ilvl w:val="0"/>
                <w:numId w:val="0"/>
              </w:numPr>
              <w:spacing w:line="360" w:lineRule="auto"/>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（5）收取单位：安徽安兆工程技术咨询服务有限公司纳税人识别号：913403007647962135</w:t>
            </w:r>
          </w:p>
          <w:p w14:paraId="70C47AD7">
            <w:pPr>
              <w:numPr>
                <w:ilvl w:val="0"/>
                <w:numId w:val="2"/>
              </w:numPr>
              <w:spacing w:line="360" w:lineRule="auto"/>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缴费账号：合肥徽商银行成都路支行520819931701000002</w:t>
            </w:r>
          </w:p>
          <w:p w14:paraId="3F294F8E">
            <w:pPr>
              <w:numPr>
                <w:ilvl w:val="0"/>
                <w:numId w:val="0"/>
              </w:numPr>
              <w:spacing w:line="360" w:lineRule="auto"/>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注：①代理费请公对公转帐，个人缴纳不予受理；</w:t>
            </w:r>
          </w:p>
          <w:p w14:paraId="2038A8EE">
            <w:pPr>
              <w:pStyle w:val="41"/>
              <w:widowControl w:val="0"/>
              <w:spacing w:before="0" w:beforeAutospacing="0" w:after="0" w:afterAutospacing="0" w:line="360" w:lineRule="auto"/>
              <w:ind w:firstLine="0"/>
              <w:jc w:val="both"/>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②代理费转账截图发送至邮箱（</w:t>
            </w:r>
            <w:r>
              <w:rPr>
                <w:rFonts w:hint="eastAsia" w:ascii="宋体" w:hAnsi="宋体" w:eastAsia="宋体" w:cs="宋体"/>
                <w:b w:val="0"/>
                <w:color w:val="000000" w:themeColor="text1"/>
                <w:sz w:val="24"/>
                <w:szCs w:val="24"/>
                <w:highlight w:val="none"/>
                <w14:textFill>
                  <w14:solidFill>
                    <w14:schemeClr w14:val="tx1"/>
                  </w14:solidFill>
                </w14:textFill>
              </w:rPr>
              <w:t>ahaz888@163.com</w:t>
            </w:r>
            <w:r>
              <w:rPr>
                <w:rFonts w:hint="eastAsia" w:ascii="宋体" w:hAnsi="宋体" w:eastAsia="宋体" w:cs="宋体"/>
                <w:b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后</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领取成交通知书电子版，截图请备注项目及包别名称。</w:t>
            </w:r>
          </w:p>
          <w:p w14:paraId="250CFCEA">
            <w:pPr>
              <w:pStyle w:val="41"/>
              <w:widowControl w:val="0"/>
              <w:spacing w:before="0" w:beforeAutospacing="0" w:after="0" w:afterAutospacing="0" w:line="360" w:lineRule="auto"/>
              <w:ind w:firstLine="0"/>
              <w:jc w:val="both"/>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③成交通知书领取及代理费缴纳拨打0552-3092287</w:t>
            </w:r>
          </w:p>
          <w:p w14:paraId="24476B78">
            <w:pPr>
              <w:numPr>
                <w:ilvl w:val="0"/>
                <w:numId w:val="0"/>
              </w:numPr>
              <w:spacing w:line="360" w:lineRule="auto"/>
              <w:ind w:left="0" w:leftChars="0" w:firstLine="0" w:firstLineChars="0"/>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发票开具请拨打0551-65707977，0551-65707344。</w:t>
            </w:r>
          </w:p>
        </w:tc>
      </w:tr>
      <w:tr w14:paraId="1186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2170F7D4">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27.1</w:t>
            </w:r>
          </w:p>
        </w:tc>
        <w:tc>
          <w:tcPr>
            <w:tcW w:w="2132" w:type="dxa"/>
            <w:vAlign w:val="center"/>
          </w:tcPr>
          <w:p w14:paraId="05E03FC9">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签订合同和合同公告时间</w:t>
            </w:r>
          </w:p>
        </w:tc>
        <w:tc>
          <w:tcPr>
            <w:tcW w:w="6091" w:type="dxa"/>
            <w:vAlign w:val="center"/>
          </w:tcPr>
          <w:p w14:paraId="06FBA53D">
            <w:pPr>
              <w:pStyle w:val="41"/>
              <w:widowControl w:val="0"/>
              <w:spacing w:before="0" w:beforeAutospacing="0" w:after="0" w:afterAutospacing="0" w:line="360" w:lineRule="auto"/>
              <w:jc w:val="both"/>
              <w:rPr>
                <w:rFonts w:hint="eastAsia" w:ascii="宋体" w:hAnsi="宋体" w:eastAsia="宋体" w:cs="宋体"/>
                <w:bCs w:val="0"/>
                <w:sz w:val="24"/>
              </w:rPr>
            </w:pPr>
            <w:r>
              <w:rPr>
                <w:rFonts w:hint="eastAsia" w:ascii="宋体" w:hAnsi="宋体" w:eastAsia="宋体" w:cs="宋体"/>
                <w:bCs w:val="0"/>
                <w:sz w:val="24"/>
              </w:rPr>
              <w:t>（1）采购人与成交供应商应当自发出成交通知书之日起7个工作日内签订合同，采购合同签订之日起2个工作日内完成政府采购合同公开。</w:t>
            </w:r>
          </w:p>
          <w:p w14:paraId="7EFED6DE">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Cs w:val="0"/>
                <w:sz w:val="24"/>
                <w:szCs w:val="24"/>
              </w:rPr>
              <w:t>（2）采购人与</w:t>
            </w:r>
            <w:r>
              <w:rPr>
                <w:rFonts w:hint="eastAsia" w:ascii="宋体" w:hAnsi="宋体" w:eastAsia="宋体" w:cs="宋体"/>
                <w:bCs w:val="0"/>
                <w:sz w:val="24"/>
              </w:rPr>
              <w:t>成交供应商</w:t>
            </w:r>
            <w:r>
              <w:rPr>
                <w:rFonts w:hint="eastAsia" w:ascii="宋体" w:hAnsi="宋体" w:eastAsia="宋体" w:cs="宋体"/>
                <w:sz w:val="24"/>
                <w:szCs w:val="24"/>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582E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5EE00314">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29.3</w:t>
            </w:r>
          </w:p>
        </w:tc>
        <w:tc>
          <w:tcPr>
            <w:tcW w:w="2132" w:type="dxa"/>
            <w:vAlign w:val="center"/>
          </w:tcPr>
          <w:p w14:paraId="52E3054F">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质疑函递交方式、接收部门、联系电话和通讯地址</w:t>
            </w:r>
          </w:p>
        </w:tc>
        <w:tc>
          <w:tcPr>
            <w:tcW w:w="6091" w:type="dxa"/>
            <w:vAlign w:val="center"/>
          </w:tcPr>
          <w:p w14:paraId="6A4F88E1">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递交方式：“徽采云”电子交易系统</w:t>
            </w:r>
          </w:p>
          <w:p w14:paraId="08431022">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接收部门：安徽省淮河河道管理局</w:t>
            </w:r>
          </w:p>
          <w:p w14:paraId="0FCEAD83">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联系电话：0552-3918027</w:t>
            </w:r>
          </w:p>
          <w:p w14:paraId="06E3472C">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通讯地址：安徽省蚌埠市解放一路116号</w:t>
            </w:r>
          </w:p>
        </w:tc>
      </w:tr>
      <w:tr w14:paraId="4081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7909D697">
            <w:pPr>
              <w:pStyle w:val="42"/>
              <w:pBdr>
                <w:bottom w:val="none" w:color="auto" w:sz="0" w:space="0"/>
              </w:pBdr>
              <w:tabs>
                <w:tab w:val="clear" w:pos="4153"/>
                <w:tab w:val="clear" w:pos="8306"/>
              </w:tabs>
              <w:adjustRightInd/>
              <w:spacing w:line="360" w:lineRule="auto"/>
              <w:rPr>
                <w:rFonts w:hint="eastAsia" w:ascii="宋体" w:hAnsi="宋体" w:eastAsia="宋体" w:cs="宋体"/>
                <w:bCs/>
                <w:kern w:val="2"/>
                <w:highlight w:val="yellow"/>
              </w:rPr>
            </w:pPr>
            <w:r>
              <w:rPr>
                <w:rFonts w:hint="eastAsia" w:ascii="宋体" w:hAnsi="宋体" w:eastAsia="宋体" w:cs="宋体"/>
                <w:bCs/>
                <w:kern w:val="2"/>
              </w:rPr>
              <w:t>30</w:t>
            </w:r>
          </w:p>
        </w:tc>
        <w:tc>
          <w:tcPr>
            <w:tcW w:w="2132" w:type="dxa"/>
            <w:vAlign w:val="center"/>
          </w:tcPr>
          <w:p w14:paraId="097A5DDD">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其他内容</w:t>
            </w:r>
          </w:p>
        </w:tc>
        <w:tc>
          <w:tcPr>
            <w:tcW w:w="6091" w:type="dxa"/>
            <w:vAlign w:val="center"/>
          </w:tcPr>
          <w:p w14:paraId="366F9644">
            <w:pPr>
              <w:spacing w:line="360" w:lineRule="auto"/>
              <w:rPr>
                <w:rFonts w:hint="eastAsia" w:ascii="宋体" w:hAnsi="宋体" w:eastAsia="宋体" w:cs="宋体"/>
                <w:bCs/>
                <w:sz w:val="24"/>
                <w:szCs w:val="24"/>
              </w:rPr>
            </w:pPr>
            <w:r>
              <w:rPr>
                <w:rFonts w:hint="eastAsia" w:ascii="宋体" w:hAnsi="宋体" w:eastAsia="宋体" w:cs="宋体"/>
                <w:bCs/>
                <w:sz w:val="24"/>
                <w:szCs w:val="24"/>
              </w:rPr>
              <w:t>1.解释权</w:t>
            </w:r>
          </w:p>
          <w:p w14:paraId="71E48445">
            <w:pPr>
              <w:spacing w:line="360" w:lineRule="auto"/>
              <w:rPr>
                <w:rFonts w:hint="eastAsia" w:ascii="宋体" w:hAnsi="宋体" w:eastAsia="宋体" w:cs="宋体"/>
                <w:bCs/>
                <w:sz w:val="24"/>
                <w:szCs w:val="24"/>
              </w:rPr>
            </w:pPr>
            <w:r>
              <w:rPr>
                <w:rFonts w:hint="eastAsia" w:ascii="宋体" w:hAnsi="宋体" w:eastAsia="宋体" w:cs="宋体"/>
                <w:bCs/>
                <w:sz w:val="24"/>
                <w:szCs w:val="24"/>
              </w:rPr>
              <w:t>（1）构成本磋商文件的各个组成文件应互为解释，互为说明；</w:t>
            </w:r>
          </w:p>
          <w:p w14:paraId="66B3358A">
            <w:pPr>
              <w:spacing w:line="360" w:lineRule="auto"/>
              <w:rPr>
                <w:rFonts w:hint="eastAsia" w:ascii="宋体" w:hAnsi="宋体" w:eastAsia="宋体" w:cs="宋体"/>
                <w:bCs/>
                <w:sz w:val="24"/>
                <w:szCs w:val="24"/>
              </w:rPr>
            </w:pPr>
            <w:r>
              <w:rPr>
                <w:rFonts w:hint="eastAsia" w:ascii="宋体" w:hAnsi="宋体" w:eastAsia="宋体" w:cs="宋体"/>
                <w:bCs/>
                <w:sz w:val="24"/>
                <w:szCs w:val="24"/>
              </w:rPr>
              <w:t>（2）同一组成文件中就同一事项的规定或约定不一致的，以编排顺序在后者为准；</w:t>
            </w:r>
          </w:p>
          <w:p w14:paraId="0419CD52">
            <w:pPr>
              <w:spacing w:line="360" w:lineRule="auto"/>
              <w:rPr>
                <w:rFonts w:hint="eastAsia" w:ascii="宋体" w:hAnsi="宋体" w:eastAsia="宋体" w:cs="宋体"/>
                <w:bCs/>
                <w:sz w:val="24"/>
                <w:szCs w:val="24"/>
              </w:rPr>
            </w:pPr>
            <w:r>
              <w:rPr>
                <w:rFonts w:hint="eastAsia" w:ascii="宋体" w:hAnsi="宋体" w:eastAsia="宋体" w:cs="宋体"/>
                <w:bCs/>
                <w:sz w:val="24"/>
                <w:szCs w:val="24"/>
              </w:rPr>
              <w:t>（3）如有不明确或不一致，构成合同文件组成内容的，以合同文件约定内容为准，且以专用合同条款约定的合同文件优先顺序解释；</w:t>
            </w:r>
          </w:p>
          <w:p w14:paraId="6CE682A0">
            <w:pPr>
              <w:spacing w:line="360" w:lineRule="auto"/>
              <w:rPr>
                <w:rFonts w:hint="eastAsia" w:ascii="宋体" w:hAnsi="宋体" w:eastAsia="宋体" w:cs="宋体"/>
                <w:bCs/>
                <w:sz w:val="24"/>
                <w:szCs w:val="24"/>
              </w:rPr>
            </w:pPr>
            <w:r>
              <w:rPr>
                <w:rFonts w:hint="eastAsia" w:ascii="宋体" w:hAnsi="宋体" w:eastAsia="宋体" w:cs="宋体"/>
                <w:bCs/>
                <w:sz w:val="24"/>
                <w:szCs w:val="24"/>
              </w:rPr>
              <w:t>（4）除磋商文件中有特别规定外，仅适用于磋商及响应文件提交阶段的规定，按竞争性磋商公告、磋商邀请、供应商须知、评审方法和标准、响应文件格式的先后顺序解释；</w:t>
            </w:r>
          </w:p>
          <w:p w14:paraId="622E2B09">
            <w:pPr>
              <w:spacing w:line="360" w:lineRule="auto"/>
              <w:rPr>
                <w:rFonts w:hint="eastAsia" w:ascii="宋体" w:hAnsi="宋体" w:eastAsia="宋体" w:cs="宋体"/>
                <w:bCs/>
                <w:sz w:val="24"/>
                <w:szCs w:val="24"/>
              </w:rPr>
            </w:pPr>
            <w:r>
              <w:rPr>
                <w:rFonts w:hint="eastAsia" w:ascii="宋体" w:hAnsi="宋体" w:eastAsia="宋体" w:cs="宋体"/>
                <w:bCs/>
                <w:sz w:val="24"/>
                <w:szCs w:val="24"/>
              </w:rPr>
              <w:t>（5）按本款前述规定仍不能形成结论的，由采购人负责解释。</w:t>
            </w:r>
          </w:p>
          <w:p w14:paraId="2035DC4D">
            <w:pPr>
              <w:spacing w:line="360" w:lineRule="auto"/>
              <w:rPr>
                <w:rFonts w:hint="eastAsia" w:ascii="宋体" w:hAnsi="宋体" w:eastAsia="宋体" w:cs="宋体"/>
                <w:bCs/>
                <w:sz w:val="24"/>
                <w:szCs w:val="24"/>
              </w:rPr>
            </w:pPr>
            <w:r>
              <w:rPr>
                <w:rFonts w:hint="eastAsia" w:ascii="宋体" w:hAnsi="宋体" w:eastAsia="宋体" w:cs="宋体"/>
                <w:bCs/>
                <w:sz w:val="24"/>
                <w:szCs w:val="24"/>
              </w:rPr>
              <w:t>2.“政采贷”融资指引：有融资需求的</w:t>
            </w:r>
            <w:r>
              <w:rPr>
                <w:rFonts w:hint="eastAsia" w:ascii="宋体" w:hAnsi="宋体" w:eastAsia="宋体" w:cs="宋体"/>
                <w:sz w:val="24"/>
                <w:szCs w:val="24"/>
              </w:rPr>
              <w:t>供应商</w:t>
            </w:r>
            <w:r>
              <w:rPr>
                <w:rFonts w:hint="eastAsia" w:ascii="宋体" w:hAnsi="宋体" w:eastAsia="宋体" w:cs="宋体"/>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供应商</w:t>
            </w:r>
            <w:r>
              <w:rPr>
                <w:rFonts w:hint="eastAsia" w:ascii="宋体" w:hAnsi="宋体" w:eastAsia="宋体" w:cs="宋体"/>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成交供应商</w:t>
            </w:r>
            <w:r>
              <w:rPr>
                <w:rFonts w:hint="eastAsia" w:ascii="宋体" w:hAnsi="宋体" w:eastAsia="宋体" w:cs="宋体"/>
                <w:bCs/>
                <w:sz w:val="24"/>
                <w:szCs w:val="24"/>
              </w:rPr>
              <w:t>融资申请信息推送第三方平台、意向金融机构。</w:t>
            </w:r>
          </w:p>
          <w:p w14:paraId="4D513C41">
            <w:pPr>
              <w:spacing w:line="360" w:lineRule="auto"/>
              <w:rPr>
                <w:rFonts w:hint="eastAsia" w:ascii="宋体" w:hAnsi="宋体" w:eastAsia="宋体" w:cs="宋体"/>
              </w:rPr>
            </w:pPr>
            <w:r>
              <w:rPr>
                <w:rFonts w:hint="eastAsia" w:ascii="宋体" w:hAnsi="宋体" w:eastAsia="宋体" w:cs="宋体"/>
                <w:bCs/>
                <w:sz w:val="24"/>
                <w:szCs w:val="24"/>
              </w:rPr>
              <w:t>3.电子保函指引：成交供应商可访问安徽省政府采购网“融资/保函”栏目，申请办理电子保函（包括：履约保函、预付款保函）。</w:t>
            </w:r>
          </w:p>
        </w:tc>
      </w:tr>
      <w:tr w14:paraId="68C6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75" w:type="dxa"/>
            <w:vAlign w:val="center"/>
          </w:tcPr>
          <w:p w14:paraId="226E9C07">
            <w:pPr>
              <w:pStyle w:val="42"/>
              <w:pBdr>
                <w:bottom w:val="none" w:color="auto" w:sz="0" w:space="0"/>
              </w:pBdr>
              <w:tabs>
                <w:tab w:val="clear" w:pos="4153"/>
                <w:tab w:val="clear" w:pos="8306"/>
              </w:tabs>
              <w:adjustRightInd/>
              <w:spacing w:line="360" w:lineRule="auto"/>
              <w:rPr>
                <w:rFonts w:hint="eastAsia" w:ascii="宋体" w:hAnsi="宋体" w:eastAsia="宋体" w:cs="宋体"/>
                <w:bCs/>
                <w:kern w:val="2"/>
                <w:lang w:val="en-US" w:eastAsia="zh-CN"/>
              </w:rPr>
            </w:pPr>
            <w:r>
              <w:rPr>
                <w:rFonts w:hint="eastAsia" w:ascii="宋体" w:hAnsi="宋体" w:eastAsia="宋体" w:cs="宋体"/>
                <w:bCs/>
                <w:kern w:val="2"/>
                <w:lang w:val="en-US" w:eastAsia="zh-CN"/>
              </w:rPr>
              <w:t>30.1</w:t>
            </w:r>
          </w:p>
        </w:tc>
        <w:tc>
          <w:tcPr>
            <w:tcW w:w="2132" w:type="dxa"/>
            <w:vAlign w:val="center"/>
          </w:tcPr>
          <w:p w14:paraId="65F8D86E">
            <w:pPr>
              <w:pStyle w:val="41"/>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sz w:val="24"/>
                <w:szCs w:val="24"/>
              </w:rPr>
              <w:t>重要提示</w:t>
            </w:r>
          </w:p>
        </w:tc>
        <w:tc>
          <w:tcPr>
            <w:tcW w:w="6091" w:type="dxa"/>
            <w:vAlign w:val="center"/>
          </w:tcPr>
          <w:p w14:paraId="7F9B90F7">
            <w:pPr>
              <w:pStyle w:val="41"/>
              <w:widowControl w:val="0"/>
              <w:numPr>
                <w:ilvl w:val="0"/>
                <w:numId w:val="3"/>
              </w:numPr>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2B4A3A9D">
            <w:pPr>
              <w:pStyle w:val="41"/>
              <w:widowControl w:val="0"/>
              <w:numPr>
                <w:ilvl w:val="0"/>
                <w:numId w:val="3"/>
              </w:numPr>
              <w:spacing w:before="0" w:beforeAutospacing="0" w:after="0" w:afterAutospacing="0" w:line="360" w:lineRule="auto"/>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合同签订后，成交供应商存在规定时间内不组织人员</w:t>
            </w:r>
            <w:r>
              <w:rPr>
                <w:rFonts w:hint="eastAsia" w:ascii="宋体" w:hAnsi="宋体" w:eastAsia="宋体" w:cs="宋体"/>
                <w:sz w:val="24"/>
                <w:szCs w:val="24"/>
                <w:lang w:val="en-US" w:eastAsia="zh-CN"/>
              </w:rPr>
              <w:t>进行服务</w:t>
            </w:r>
            <w:r>
              <w:rPr>
                <w:rFonts w:hint="eastAsia" w:ascii="宋体" w:hAnsi="宋体" w:eastAsia="宋体" w:cs="宋体"/>
                <w:sz w:val="24"/>
                <w:szCs w:val="24"/>
              </w:rPr>
              <w:t>，不履行合同义务等情况，采购人有权解除合同，并追究违约责任，同时将相关违约行为报送监管部门，记不良行为记录，实施信用惩戒；</w:t>
            </w:r>
          </w:p>
          <w:p w14:paraId="351B682C">
            <w:pPr>
              <w:pStyle w:val="41"/>
              <w:widowControl w:val="0"/>
              <w:numPr>
                <w:ilvl w:val="0"/>
                <w:numId w:val="3"/>
              </w:numPr>
              <w:spacing w:before="0" w:beforeAutospacing="0" w:after="0" w:afterAutospacing="0" w:line="360" w:lineRule="auto"/>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成交供应商成交后被监管部门查实存在违法行为，不满足成交条件的，由采购人取消其成交资格，并做好项目后续工作；</w:t>
            </w:r>
          </w:p>
          <w:p w14:paraId="09164289">
            <w:pPr>
              <w:spacing w:line="360" w:lineRule="auto"/>
              <w:rPr>
                <w:rFonts w:hint="eastAsia" w:ascii="宋体" w:hAnsi="宋体" w:eastAsia="宋体" w:cs="宋体"/>
                <w:bCs/>
                <w:sz w:val="24"/>
                <w:szCs w:val="24"/>
              </w:rPr>
            </w:pPr>
            <w:r>
              <w:rPr>
                <w:rFonts w:hint="eastAsia" w:ascii="宋体" w:hAnsi="宋体" w:eastAsia="宋体" w:cs="宋体"/>
                <w:b/>
                <w:bCs/>
                <w:sz w:val="24"/>
                <w:szCs w:val="24"/>
              </w:rPr>
              <w:t>（4）成交供应商在成交项目发生投诉、信访举报案件、履约存在争议时，拒绝协助配合执法部门调查案件的，采购人可以取消其成交资格或解除合同，并追究其违约责任。</w:t>
            </w:r>
          </w:p>
        </w:tc>
      </w:tr>
    </w:tbl>
    <w:p w14:paraId="40FED1B9">
      <w:pPr>
        <w:spacing w:line="360" w:lineRule="auto"/>
        <w:jc w:val="center"/>
        <w:outlineLvl w:val="1"/>
        <w:rPr>
          <w:rFonts w:hint="eastAsia" w:ascii="宋体" w:hAnsi="宋体" w:eastAsia="宋体" w:cs="宋体"/>
          <w:b/>
          <w:sz w:val="24"/>
        </w:rPr>
      </w:pPr>
      <w:r>
        <w:rPr>
          <w:rFonts w:hint="eastAsia" w:ascii="宋体" w:hAnsi="宋体" w:eastAsia="宋体" w:cs="宋体"/>
          <w:b/>
          <w:sz w:val="28"/>
        </w:rPr>
        <w:br w:type="page"/>
      </w:r>
      <w:bookmarkStart w:id="29" w:name="_Toc14293"/>
      <w:bookmarkStart w:id="30" w:name="_Toc27470"/>
      <w:r>
        <w:rPr>
          <w:rFonts w:hint="eastAsia" w:ascii="宋体" w:hAnsi="宋体" w:eastAsia="宋体" w:cs="宋体"/>
          <w:b/>
          <w:sz w:val="24"/>
        </w:rPr>
        <w:t>二、供应商须知正文</w:t>
      </w:r>
      <w:bookmarkEnd w:id="29"/>
      <w:bookmarkEnd w:id="30"/>
    </w:p>
    <w:p w14:paraId="0AC085BF">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1.采购人、采购代理机构及供应商</w:t>
      </w:r>
    </w:p>
    <w:p w14:paraId="16D79435">
      <w:pPr>
        <w:spacing w:line="360" w:lineRule="auto"/>
        <w:ind w:firstLine="435"/>
        <w:rPr>
          <w:rFonts w:hint="eastAsia" w:ascii="宋体" w:hAnsi="宋体" w:eastAsia="宋体" w:cs="宋体"/>
          <w:sz w:val="24"/>
        </w:rPr>
      </w:pPr>
      <w:r>
        <w:rPr>
          <w:rFonts w:hint="eastAsia" w:ascii="宋体" w:hAnsi="宋体" w:eastAsia="宋体" w:cs="宋体"/>
          <w:sz w:val="24"/>
        </w:rPr>
        <w:t>1.1采购人：是指依法开展政府采购活动的国家机关、事业单位、团体组织。</w:t>
      </w:r>
    </w:p>
    <w:p w14:paraId="675D61FC">
      <w:pPr>
        <w:spacing w:line="360" w:lineRule="auto"/>
        <w:ind w:firstLine="435"/>
        <w:rPr>
          <w:rFonts w:hint="eastAsia" w:ascii="宋体" w:hAnsi="宋体" w:eastAsia="宋体" w:cs="宋体"/>
          <w:sz w:val="24"/>
        </w:rPr>
      </w:pPr>
      <w:r>
        <w:rPr>
          <w:rFonts w:hint="eastAsia" w:ascii="宋体" w:hAnsi="宋体" w:eastAsia="宋体" w:cs="宋体"/>
          <w:sz w:val="24"/>
        </w:rPr>
        <w:t>1.2采购代理机构：是指集中采购机构或从事采购代理业务的社会中介机构。</w:t>
      </w:r>
    </w:p>
    <w:p w14:paraId="0484EB40">
      <w:pPr>
        <w:spacing w:line="360" w:lineRule="auto"/>
        <w:ind w:firstLine="435"/>
        <w:rPr>
          <w:rFonts w:hint="eastAsia" w:ascii="宋体" w:hAnsi="宋体" w:eastAsia="宋体" w:cs="宋体"/>
          <w:sz w:val="24"/>
        </w:rPr>
      </w:pPr>
      <w:r>
        <w:rPr>
          <w:rFonts w:hint="eastAsia" w:ascii="宋体" w:hAnsi="宋体" w:eastAsia="宋体" w:cs="宋体"/>
          <w:sz w:val="24"/>
        </w:rPr>
        <w:t>1.3政府采购监督管理部门：各级人民政府指定的有关部门依法履行与政府采购活动有关的监督管理职责。</w:t>
      </w:r>
    </w:p>
    <w:p w14:paraId="7A419C89">
      <w:pPr>
        <w:spacing w:line="360" w:lineRule="auto"/>
        <w:ind w:firstLine="435"/>
        <w:rPr>
          <w:rFonts w:hint="eastAsia" w:ascii="宋体" w:hAnsi="宋体" w:eastAsia="宋体" w:cs="宋体"/>
          <w:sz w:val="24"/>
          <w:highlight w:val="yellow"/>
        </w:rPr>
      </w:pPr>
      <w:r>
        <w:rPr>
          <w:rFonts w:hint="eastAsia" w:ascii="宋体" w:hAnsi="宋体" w:eastAsia="宋体" w:cs="宋体"/>
          <w:sz w:val="24"/>
        </w:rPr>
        <w:t>1.4供应商：是指向采购人提供货物、服务或者工程的法人、其他组织或者自然人。分支机构不得参加政府采购活动，但银行、保险、石油石化、电力、电信等特殊行业除外。本项目的供应商及其所投货物须满足以下条件：</w:t>
      </w:r>
    </w:p>
    <w:p w14:paraId="421F2D01">
      <w:pPr>
        <w:spacing w:line="360" w:lineRule="auto"/>
        <w:ind w:firstLine="435"/>
        <w:rPr>
          <w:rFonts w:hint="eastAsia" w:ascii="宋体" w:hAnsi="宋体" w:eastAsia="宋体" w:cs="宋体"/>
          <w:sz w:val="24"/>
        </w:rPr>
      </w:pPr>
      <w:r>
        <w:rPr>
          <w:rFonts w:hint="eastAsia" w:ascii="宋体" w:hAnsi="宋体" w:eastAsia="宋体" w:cs="宋体"/>
          <w:sz w:val="24"/>
        </w:rPr>
        <w:t>1.4.1具备《中华人民共和国政府采购法》第二十二条关于供应商条件的规定，遵守本项目采购人本级和上级财政部门政府采购的有关规定。</w:t>
      </w:r>
    </w:p>
    <w:p w14:paraId="410E554E">
      <w:pPr>
        <w:spacing w:line="360" w:lineRule="auto"/>
        <w:ind w:firstLine="435"/>
        <w:rPr>
          <w:rFonts w:hint="eastAsia" w:ascii="宋体" w:hAnsi="宋体" w:eastAsia="宋体" w:cs="宋体"/>
          <w:sz w:val="24"/>
        </w:rPr>
      </w:pPr>
      <w:r>
        <w:rPr>
          <w:rFonts w:hint="eastAsia" w:ascii="宋体" w:hAnsi="宋体" w:eastAsia="宋体" w:cs="宋体"/>
          <w:sz w:val="24"/>
        </w:rPr>
        <w:t>1.4.2以采购代理机构认可的方式获得了本项目的磋商文件。</w:t>
      </w:r>
    </w:p>
    <w:p w14:paraId="5DEB7849">
      <w:pPr>
        <w:spacing w:line="360" w:lineRule="auto"/>
        <w:ind w:firstLine="435"/>
        <w:rPr>
          <w:rFonts w:hint="eastAsia" w:ascii="宋体" w:hAnsi="宋体" w:eastAsia="宋体" w:cs="宋体"/>
          <w:sz w:val="24"/>
        </w:rPr>
      </w:pPr>
      <w:r>
        <w:rPr>
          <w:rFonts w:hint="eastAsia" w:ascii="宋体" w:hAnsi="宋体" w:eastAsia="宋体" w:cs="宋体"/>
          <w:sz w:val="24"/>
        </w:rPr>
        <w:t>1.4.3若采购需求中写明允许采购进口产品，供应商应保证所投产品可履行合法报通关手续进入中国关境内。</w:t>
      </w:r>
    </w:p>
    <w:p w14:paraId="2D727864">
      <w:pPr>
        <w:spacing w:line="360" w:lineRule="auto"/>
        <w:ind w:firstLine="435"/>
        <w:rPr>
          <w:rFonts w:hint="eastAsia" w:ascii="宋体" w:hAnsi="宋体" w:eastAsia="宋体" w:cs="宋体"/>
          <w:sz w:val="24"/>
        </w:rPr>
      </w:pPr>
      <w:r>
        <w:rPr>
          <w:rFonts w:hint="eastAsia" w:ascii="宋体" w:hAnsi="宋体" w:eastAsia="宋体" w:cs="宋体"/>
          <w:sz w:val="24"/>
        </w:rPr>
        <w:t>若采购需求中未写明允许采购进口产品，如供应商所投产品为进口产品，其响应文件将被认定为</w:t>
      </w:r>
      <w:r>
        <w:rPr>
          <w:rFonts w:hint="eastAsia" w:ascii="宋体" w:hAnsi="宋体" w:eastAsia="宋体" w:cs="宋体"/>
          <w:b/>
          <w:sz w:val="24"/>
        </w:rPr>
        <w:t>响应无效</w:t>
      </w:r>
      <w:r>
        <w:rPr>
          <w:rFonts w:hint="eastAsia" w:ascii="宋体" w:hAnsi="宋体" w:eastAsia="宋体" w:cs="宋体"/>
          <w:sz w:val="24"/>
        </w:rPr>
        <w:t>。</w:t>
      </w:r>
    </w:p>
    <w:p w14:paraId="1B814F13">
      <w:pPr>
        <w:spacing w:line="360" w:lineRule="auto"/>
        <w:ind w:firstLine="435"/>
        <w:rPr>
          <w:rFonts w:hint="eastAsia" w:ascii="宋体" w:hAnsi="宋体" w:eastAsia="宋体" w:cs="宋体"/>
          <w:sz w:val="24"/>
        </w:rPr>
      </w:pPr>
      <w:r>
        <w:rPr>
          <w:rFonts w:hint="eastAsia" w:ascii="宋体" w:hAnsi="宋体" w:eastAsia="宋体" w:cs="宋体"/>
          <w:bCs/>
          <w:kern w:val="0"/>
          <w:sz w:val="24"/>
          <w:szCs w:val="28"/>
        </w:rPr>
        <w:t>1.5若竞争性磋商公告中允许联合体参加磋商，对联合体规定如下：</w:t>
      </w:r>
    </w:p>
    <w:p w14:paraId="4AC34EF6">
      <w:pPr>
        <w:spacing w:line="360" w:lineRule="auto"/>
        <w:ind w:firstLine="435"/>
        <w:rPr>
          <w:rFonts w:hint="eastAsia" w:ascii="宋体" w:hAnsi="宋体" w:eastAsia="宋体" w:cs="宋体"/>
          <w:sz w:val="24"/>
        </w:rPr>
      </w:pPr>
      <w:r>
        <w:rPr>
          <w:rFonts w:hint="eastAsia" w:ascii="宋体" w:hAnsi="宋体" w:eastAsia="宋体" w:cs="宋体"/>
          <w:sz w:val="24"/>
        </w:rPr>
        <w:t>1.5.1两个以上供应商可以组成一个磋商联合体，以一个供应商的身份磋商。联合体参加磋商的，磋商文件获取手续由联合体中任一成员单位办理均可。</w:t>
      </w:r>
    </w:p>
    <w:p w14:paraId="41B92303">
      <w:pPr>
        <w:spacing w:line="360" w:lineRule="auto"/>
        <w:ind w:firstLine="435"/>
        <w:rPr>
          <w:rFonts w:hint="eastAsia" w:ascii="宋体" w:hAnsi="宋体" w:eastAsia="宋体" w:cs="宋体"/>
          <w:sz w:val="24"/>
        </w:rPr>
      </w:pPr>
      <w:r>
        <w:rPr>
          <w:rFonts w:hint="eastAsia" w:ascii="宋体" w:hAnsi="宋体" w:eastAsia="宋体" w:cs="宋体"/>
          <w:sz w:val="24"/>
        </w:rPr>
        <w:t>1.5.2联合体各方均应符合《中华人民共和国政府采购法》第二十二条规定的条件。</w:t>
      </w:r>
    </w:p>
    <w:p w14:paraId="7680F64A">
      <w:pPr>
        <w:spacing w:line="360" w:lineRule="auto"/>
        <w:ind w:firstLine="435"/>
        <w:rPr>
          <w:rFonts w:hint="eastAsia" w:ascii="宋体" w:hAnsi="宋体" w:eastAsia="宋体" w:cs="宋体"/>
          <w:sz w:val="24"/>
        </w:rPr>
      </w:pPr>
      <w:r>
        <w:rPr>
          <w:rFonts w:hint="eastAsia" w:ascii="宋体" w:hAnsi="宋体" w:eastAsia="宋体" w:cs="宋体"/>
          <w:sz w:val="24"/>
        </w:rPr>
        <w:t>1.5.3采购人根据采购项目对供应商的特殊要求，联合体中至少应当有一方符合相关规定。</w:t>
      </w:r>
    </w:p>
    <w:p w14:paraId="4C756AAB">
      <w:pPr>
        <w:spacing w:line="360" w:lineRule="auto"/>
        <w:ind w:firstLine="435"/>
        <w:rPr>
          <w:rFonts w:hint="eastAsia" w:ascii="宋体" w:hAnsi="宋体" w:eastAsia="宋体" w:cs="宋体"/>
          <w:sz w:val="24"/>
        </w:rPr>
      </w:pPr>
      <w:r>
        <w:rPr>
          <w:rFonts w:hint="eastAsia" w:ascii="宋体" w:hAnsi="宋体" w:eastAsia="宋体" w:cs="宋体"/>
          <w:sz w:val="24"/>
        </w:rPr>
        <w:t>1.5.4联合体各方应签订联合协议，明确约定联合体各方承担的工作和相应的责任，并将联合协议作为响应文件的一部分提交。</w:t>
      </w:r>
    </w:p>
    <w:p w14:paraId="4F8A10A4">
      <w:pPr>
        <w:spacing w:line="360" w:lineRule="auto"/>
        <w:ind w:firstLine="435"/>
        <w:rPr>
          <w:rFonts w:hint="eastAsia" w:ascii="宋体" w:hAnsi="宋体" w:eastAsia="宋体" w:cs="宋体"/>
          <w:sz w:val="24"/>
        </w:rPr>
      </w:pPr>
      <w:r>
        <w:rPr>
          <w:rFonts w:hint="eastAsia" w:ascii="宋体" w:hAnsi="宋体" w:eastAsia="宋体" w:cs="宋体"/>
          <w:sz w:val="24"/>
        </w:rPr>
        <w:t>1.5.5大中型企业、其他自然人、法人或者非法人组织与小型、微型企业组成联合体共同参加磋商，联合协议中应写明小型、微型企业的协议合同金额占到联合协议合同总金额的比例。</w:t>
      </w:r>
    </w:p>
    <w:p w14:paraId="7EAD3A57">
      <w:pPr>
        <w:spacing w:line="360" w:lineRule="auto"/>
        <w:ind w:firstLine="435"/>
        <w:rPr>
          <w:rFonts w:hint="eastAsia" w:ascii="宋体" w:hAnsi="宋体" w:eastAsia="宋体" w:cs="宋体"/>
          <w:sz w:val="24"/>
        </w:rPr>
      </w:pPr>
      <w:r>
        <w:rPr>
          <w:rFonts w:hint="eastAsia" w:ascii="宋体" w:hAnsi="宋体" w:eastAsia="宋体" w:cs="宋体"/>
          <w:sz w:val="24"/>
        </w:rPr>
        <w:t>1.5.6联合体中有同类资质的供应商按照联合体分工承担相同工作的，应当按照资质等级较低的供应商确定资质等级。</w:t>
      </w:r>
    </w:p>
    <w:p w14:paraId="56A428D8">
      <w:pPr>
        <w:spacing w:line="360" w:lineRule="auto"/>
        <w:ind w:firstLine="435"/>
        <w:rPr>
          <w:rFonts w:hint="eastAsia" w:ascii="宋体" w:hAnsi="宋体" w:eastAsia="宋体" w:cs="宋体"/>
          <w:sz w:val="24"/>
        </w:rPr>
      </w:pPr>
      <w:r>
        <w:rPr>
          <w:rFonts w:hint="eastAsia" w:ascii="宋体" w:hAnsi="宋体" w:eastAsia="宋体" w:cs="宋体"/>
          <w:sz w:val="24"/>
        </w:rPr>
        <w:t>1.5.7以联合体形式参加政府采购活动的，联合体各方不得再单独参加或者与其他供应商另外组成联合体参加本项目磋商，否则相关响应文件将被认定为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sz w:val="24"/>
        </w:rPr>
        <w:t>响应无效</w:t>
      </w:r>
      <w:r>
        <w:rPr>
          <w:rFonts w:hint="eastAsia" w:ascii="宋体" w:hAnsi="宋体" w:eastAsia="宋体" w:cs="宋体"/>
          <w:sz w:val="24"/>
        </w:rPr>
        <w:t>。</w:t>
      </w:r>
    </w:p>
    <w:p w14:paraId="72BFCF71">
      <w:pPr>
        <w:spacing w:line="360" w:lineRule="auto"/>
        <w:ind w:firstLine="435"/>
        <w:rPr>
          <w:rFonts w:hint="eastAsia" w:ascii="宋体" w:hAnsi="宋体" w:eastAsia="宋体" w:cs="宋体"/>
          <w:sz w:val="24"/>
        </w:rPr>
      </w:pPr>
      <w:r>
        <w:rPr>
          <w:rFonts w:hint="eastAsia" w:ascii="宋体" w:hAnsi="宋体" w:eastAsia="宋体" w:cs="宋体"/>
          <w:sz w:val="24"/>
        </w:rPr>
        <w:t>1.5.8对联合体参加磋商的其他资格要求见申请人的资格要求。</w:t>
      </w:r>
    </w:p>
    <w:p w14:paraId="43860E3F">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2.资金落实情况</w:t>
      </w:r>
    </w:p>
    <w:p w14:paraId="08DD6BD2">
      <w:pPr>
        <w:spacing w:line="360" w:lineRule="auto"/>
        <w:ind w:firstLine="435"/>
        <w:rPr>
          <w:rFonts w:hint="eastAsia" w:ascii="宋体" w:hAnsi="宋体" w:eastAsia="宋体" w:cs="宋体"/>
          <w:sz w:val="24"/>
        </w:rPr>
      </w:pPr>
      <w:r>
        <w:rPr>
          <w:rFonts w:hint="eastAsia" w:ascii="宋体" w:hAnsi="宋体" w:eastAsia="宋体" w:cs="宋体"/>
          <w:sz w:val="24"/>
        </w:rPr>
        <w:t>2.1本项目的采购人已获得足以支付本次磋商后所签订的合同项下的资金。</w:t>
      </w:r>
    </w:p>
    <w:p w14:paraId="317DFE1A">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3.磋商费用</w:t>
      </w:r>
    </w:p>
    <w:p w14:paraId="498A08BB">
      <w:pPr>
        <w:spacing w:line="360" w:lineRule="auto"/>
        <w:ind w:firstLine="480" w:firstLineChars="200"/>
        <w:outlineLvl w:val="2"/>
        <w:rPr>
          <w:rFonts w:hint="eastAsia" w:ascii="宋体" w:hAnsi="宋体" w:eastAsia="宋体" w:cs="宋体"/>
          <w:sz w:val="24"/>
        </w:rPr>
      </w:pPr>
      <w:r>
        <w:rPr>
          <w:rFonts w:hint="eastAsia" w:ascii="宋体" w:hAnsi="宋体" w:eastAsia="宋体" w:cs="宋体"/>
          <w:sz w:val="24"/>
        </w:rPr>
        <w:t>不论磋商的结果如何，供应商应承担其所有与准备和参加磋商有关的费用</w:t>
      </w:r>
    </w:p>
    <w:p w14:paraId="4F7DCD3E">
      <w:pPr>
        <w:spacing w:line="360" w:lineRule="auto"/>
        <w:ind w:firstLine="482" w:firstLineChars="200"/>
        <w:outlineLvl w:val="2"/>
        <w:rPr>
          <w:rFonts w:hint="eastAsia" w:ascii="宋体" w:hAnsi="宋体" w:eastAsia="宋体" w:cs="宋体"/>
          <w:b/>
          <w:sz w:val="24"/>
        </w:rPr>
      </w:pPr>
      <w:r>
        <w:rPr>
          <w:rFonts w:hint="eastAsia" w:ascii="宋体" w:hAnsi="宋体" w:eastAsia="宋体" w:cs="宋体"/>
          <w:b/>
          <w:sz w:val="24"/>
        </w:rPr>
        <w:t>4.适用法律</w:t>
      </w:r>
    </w:p>
    <w:p w14:paraId="28379F2A">
      <w:pPr>
        <w:spacing w:line="360" w:lineRule="auto"/>
        <w:ind w:firstLine="480" w:firstLineChars="200"/>
        <w:outlineLvl w:val="2"/>
        <w:rPr>
          <w:rFonts w:hint="eastAsia" w:ascii="宋体" w:hAnsi="宋体" w:eastAsia="宋体" w:cs="宋体"/>
          <w:sz w:val="24"/>
        </w:rPr>
      </w:pPr>
      <w:r>
        <w:rPr>
          <w:rFonts w:hint="eastAsia" w:ascii="宋体" w:hAnsi="宋体" w:eastAsia="宋体" w:cs="宋体"/>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8E1C75A">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5.磋商文件构成</w:t>
      </w:r>
    </w:p>
    <w:p w14:paraId="08A9B146">
      <w:pPr>
        <w:spacing w:line="360" w:lineRule="auto"/>
        <w:ind w:firstLine="435"/>
        <w:rPr>
          <w:rFonts w:hint="eastAsia" w:ascii="宋体" w:hAnsi="宋体" w:eastAsia="宋体" w:cs="宋体"/>
          <w:sz w:val="24"/>
        </w:rPr>
      </w:pPr>
      <w:r>
        <w:rPr>
          <w:rFonts w:hint="eastAsia" w:ascii="宋体" w:hAnsi="宋体" w:eastAsia="宋体" w:cs="宋体"/>
          <w:sz w:val="24"/>
        </w:rPr>
        <w:t>5.1磋商文件包括下列内容：</w:t>
      </w:r>
    </w:p>
    <w:p w14:paraId="71027B5B">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第一章  磋商邀请</w:t>
      </w:r>
    </w:p>
    <w:p w14:paraId="0743435B">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第二章  供应商须知</w:t>
      </w:r>
    </w:p>
    <w:p w14:paraId="3A7B9FC0">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第三章  采购需求</w:t>
      </w:r>
    </w:p>
    <w:p w14:paraId="33AC4A3D">
      <w:pPr>
        <w:spacing w:line="360" w:lineRule="auto"/>
        <w:ind w:firstLine="840" w:firstLineChars="350"/>
        <w:rPr>
          <w:rFonts w:hint="eastAsia" w:ascii="宋体" w:hAnsi="宋体" w:eastAsia="宋体" w:cs="宋体"/>
          <w:sz w:val="24"/>
        </w:rPr>
      </w:pPr>
      <w:r>
        <w:rPr>
          <w:rFonts w:hint="eastAsia" w:ascii="宋体" w:hAnsi="宋体" w:eastAsia="宋体" w:cs="宋体"/>
          <w:sz w:val="24"/>
        </w:rPr>
        <w:t>第四章  评审方法和标准</w:t>
      </w:r>
    </w:p>
    <w:p w14:paraId="73A8D68E">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第五章  政府采购合同</w:t>
      </w:r>
    </w:p>
    <w:p w14:paraId="2F3C01F8">
      <w:pPr>
        <w:spacing w:line="360" w:lineRule="auto"/>
        <w:ind w:firstLine="840" w:firstLineChars="350"/>
        <w:rPr>
          <w:rFonts w:hint="eastAsia" w:ascii="宋体" w:hAnsi="宋体" w:eastAsia="宋体" w:cs="宋体"/>
          <w:sz w:val="24"/>
        </w:rPr>
      </w:pPr>
      <w:r>
        <w:rPr>
          <w:rFonts w:hint="eastAsia" w:ascii="宋体" w:hAnsi="宋体" w:eastAsia="宋体" w:cs="宋体"/>
          <w:sz w:val="24"/>
        </w:rPr>
        <w:t>第六章  响应文件格式</w:t>
      </w:r>
    </w:p>
    <w:p w14:paraId="2C244EA7">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第七章  政府采购供应商询问函和质疑函范本</w:t>
      </w:r>
    </w:p>
    <w:p w14:paraId="07EA220E">
      <w:pPr>
        <w:spacing w:line="360" w:lineRule="auto"/>
        <w:ind w:firstLine="435"/>
        <w:rPr>
          <w:rFonts w:hint="eastAsia" w:ascii="宋体" w:hAnsi="宋体" w:eastAsia="宋体" w:cs="宋体"/>
          <w:sz w:val="24"/>
        </w:rPr>
      </w:pPr>
      <w:r>
        <w:rPr>
          <w:rFonts w:hint="eastAsia" w:ascii="宋体" w:hAnsi="宋体" w:eastAsia="宋体" w:cs="宋体"/>
          <w:sz w:val="24"/>
        </w:rPr>
        <w:t>5.2现场考察及相关事项见</w:t>
      </w:r>
      <w:r>
        <w:rPr>
          <w:rFonts w:hint="eastAsia" w:ascii="宋体" w:hAnsi="宋体" w:eastAsia="宋体" w:cs="宋体"/>
          <w:sz w:val="24"/>
          <w:u w:val="single"/>
        </w:rPr>
        <w:t>供应商须知前附表</w:t>
      </w:r>
      <w:r>
        <w:rPr>
          <w:rFonts w:hint="eastAsia" w:ascii="宋体" w:hAnsi="宋体" w:eastAsia="宋体" w:cs="宋体"/>
          <w:sz w:val="24"/>
        </w:rPr>
        <w:t>。</w:t>
      </w:r>
    </w:p>
    <w:p w14:paraId="3C292E34">
      <w:pPr>
        <w:spacing w:line="360" w:lineRule="auto"/>
        <w:ind w:firstLine="435"/>
        <w:rPr>
          <w:rFonts w:hint="eastAsia" w:ascii="宋体" w:hAnsi="宋体" w:eastAsia="宋体" w:cs="宋体"/>
          <w:sz w:val="24"/>
        </w:rPr>
      </w:pPr>
      <w:r>
        <w:rPr>
          <w:rFonts w:hint="eastAsia" w:ascii="宋体" w:hAnsi="宋体" w:eastAsia="宋体" w:cs="宋体"/>
          <w:sz w:val="24"/>
        </w:rPr>
        <w:t>5.3供应商应认真阅读磋商文件所有的事项、格式、条款和技术规范等。</w:t>
      </w:r>
    </w:p>
    <w:p w14:paraId="12DE66CC">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6.磋商文件的澄清与修改</w:t>
      </w:r>
    </w:p>
    <w:p w14:paraId="791A54C8">
      <w:pPr>
        <w:spacing w:line="360" w:lineRule="auto"/>
        <w:ind w:firstLine="435"/>
        <w:rPr>
          <w:rFonts w:hint="eastAsia" w:ascii="宋体" w:hAnsi="宋体" w:eastAsia="宋体" w:cs="宋体"/>
          <w:sz w:val="24"/>
        </w:rPr>
      </w:pPr>
      <w:r>
        <w:rPr>
          <w:rFonts w:hint="eastAsia" w:ascii="宋体" w:hAnsi="宋体" w:eastAsia="宋体" w:cs="宋体"/>
          <w:sz w:val="24"/>
        </w:rPr>
        <w:t>6.1供应商如对磋商文件内容有疑问，必须在</w:t>
      </w:r>
      <w:r>
        <w:rPr>
          <w:rFonts w:hint="eastAsia" w:ascii="宋体" w:hAnsi="宋体" w:eastAsia="宋体" w:cs="宋体"/>
          <w:sz w:val="24"/>
          <w:u w:val="single"/>
        </w:rPr>
        <w:t>供应商须知前附表</w:t>
      </w:r>
      <w:r>
        <w:rPr>
          <w:rFonts w:hint="eastAsia" w:ascii="宋体" w:hAnsi="宋体" w:eastAsia="宋体" w:cs="宋体"/>
          <w:sz w:val="24"/>
        </w:rPr>
        <w:t>规定的网上询问截止时间前以网上提问形式（电子交易系统）提交给采购代理机构。</w:t>
      </w:r>
    </w:p>
    <w:p w14:paraId="02337119">
      <w:pPr>
        <w:spacing w:line="360" w:lineRule="auto"/>
        <w:ind w:firstLine="435"/>
        <w:rPr>
          <w:rFonts w:hint="eastAsia" w:ascii="宋体" w:hAnsi="宋体" w:eastAsia="宋体" w:cs="宋体"/>
          <w:sz w:val="24"/>
        </w:rPr>
      </w:pPr>
      <w:r>
        <w:rPr>
          <w:rFonts w:hint="eastAsia" w:ascii="宋体" w:hAnsi="宋体" w:eastAsia="宋体" w:cs="宋体"/>
          <w:sz w:val="24"/>
        </w:rPr>
        <w:t>6.2采购人可主动地或在答复供应商提出的询问时对磋商文件进行澄清与修改。采购代理机构将在</w:t>
      </w:r>
      <w:bookmarkStart w:id="31" w:name="_Hlk16458572"/>
      <w:r>
        <w:rPr>
          <w:rFonts w:hint="eastAsia" w:ascii="宋体" w:hAnsi="宋体" w:eastAsia="宋体" w:cs="宋体"/>
          <w:sz w:val="24"/>
          <w:szCs w:val="18"/>
        </w:rPr>
        <w:t>安徽省政府采购网及</w:t>
      </w:r>
      <w:bookmarkEnd w:id="31"/>
      <w:r>
        <w:rPr>
          <w:rFonts w:hint="eastAsia" w:ascii="宋体" w:hAnsi="宋体" w:eastAsia="宋体" w:cs="宋体"/>
          <w:sz w:val="24"/>
        </w:rPr>
        <w:t>以发布更正公告的方式澄清或者修改磋商文件，更正公告的内容作为磋商文件的组成部分，对供应商起约束作用。供应商应主动上网查询。采购代理机构不承担供应商未及时关注相关信息引发的相关责任。</w:t>
      </w:r>
    </w:p>
    <w:p w14:paraId="0A868A0D">
      <w:pPr>
        <w:spacing w:line="360" w:lineRule="auto"/>
        <w:ind w:firstLine="435"/>
        <w:rPr>
          <w:rFonts w:hint="eastAsia" w:ascii="宋体" w:hAnsi="宋体" w:eastAsia="宋体" w:cs="宋体"/>
          <w:sz w:val="24"/>
        </w:rPr>
      </w:pPr>
      <w:r>
        <w:rPr>
          <w:rFonts w:hint="eastAsia" w:ascii="宋体" w:hAnsi="宋体" w:eastAsia="宋体" w:cs="宋体"/>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666AD084">
      <w:pPr>
        <w:spacing w:line="360" w:lineRule="auto"/>
        <w:ind w:firstLine="435"/>
        <w:rPr>
          <w:rFonts w:hint="eastAsia" w:ascii="宋体" w:hAnsi="宋体" w:eastAsia="宋体" w:cs="宋体"/>
          <w:iCs/>
          <w:sz w:val="24"/>
        </w:rPr>
      </w:pPr>
      <w:r>
        <w:rPr>
          <w:rFonts w:hint="eastAsia" w:ascii="宋体" w:hAnsi="宋体" w:eastAsia="宋体" w:cs="宋体"/>
          <w:sz w:val="24"/>
        </w:rPr>
        <w:t>6.4对于没有提出询问又参与了本项目磋商的供应商将被视为完全认同本磋商文件（含更正公告的内容）。</w:t>
      </w:r>
    </w:p>
    <w:p w14:paraId="2ACE46D7">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7.磋商范围及响应文件中标准和计量单位的使用</w:t>
      </w:r>
    </w:p>
    <w:p w14:paraId="46806A11">
      <w:pPr>
        <w:spacing w:line="360" w:lineRule="auto"/>
        <w:ind w:firstLine="435"/>
        <w:rPr>
          <w:rFonts w:hint="eastAsia" w:ascii="宋体" w:hAnsi="宋体" w:eastAsia="宋体" w:cs="宋体"/>
          <w:sz w:val="24"/>
        </w:rPr>
      </w:pPr>
      <w:r>
        <w:rPr>
          <w:rFonts w:hint="eastAsia" w:ascii="宋体" w:hAnsi="宋体" w:eastAsia="宋体" w:cs="宋体"/>
          <w:sz w:val="24"/>
        </w:rPr>
        <w:t>7.1项目有分包的，供应商可参与其中某一个或多个分包的磋商，成交包数详见</w:t>
      </w:r>
      <w:r>
        <w:rPr>
          <w:rFonts w:hint="eastAsia" w:ascii="宋体" w:hAnsi="宋体" w:eastAsia="宋体" w:cs="宋体"/>
          <w:sz w:val="24"/>
          <w:u w:val="single"/>
        </w:rPr>
        <w:t>供应商须知前附表</w:t>
      </w:r>
      <w:r>
        <w:rPr>
          <w:rFonts w:hint="eastAsia" w:ascii="宋体" w:hAnsi="宋体" w:eastAsia="宋体" w:cs="宋体"/>
          <w:sz w:val="24"/>
        </w:rPr>
        <w:t>中规定。</w:t>
      </w:r>
    </w:p>
    <w:p w14:paraId="4771DE59">
      <w:pPr>
        <w:spacing w:line="360" w:lineRule="auto"/>
        <w:ind w:firstLine="435"/>
        <w:rPr>
          <w:rFonts w:hint="eastAsia" w:ascii="宋体" w:hAnsi="宋体" w:eastAsia="宋体" w:cs="宋体"/>
        </w:rPr>
      </w:pPr>
      <w:r>
        <w:rPr>
          <w:rFonts w:hint="eastAsia" w:ascii="宋体" w:hAnsi="宋体" w:eastAsia="宋体" w:cs="宋体"/>
          <w:sz w:val="24"/>
        </w:rPr>
        <w:t>7.2 供应商应当对所投分包磋商文件中“采购需求”所列的所有内容进行响应，如仅响应所投包别中的部分内容，其所投包别的响应将被认定为</w:t>
      </w:r>
      <w:r>
        <w:rPr>
          <w:rFonts w:hint="eastAsia" w:ascii="宋体" w:hAnsi="宋体" w:eastAsia="宋体" w:cs="宋体"/>
          <w:b/>
          <w:sz w:val="24"/>
        </w:rPr>
        <w:t>响应无效</w:t>
      </w:r>
      <w:r>
        <w:rPr>
          <w:rFonts w:hint="eastAsia" w:ascii="宋体" w:hAnsi="宋体" w:eastAsia="宋体" w:cs="宋体"/>
          <w:sz w:val="24"/>
        </w:rPr>
        <w:t>。</w:t>
      </w:r>
    </w:p>
    <w:p w14:paraId="766BE3CE">
      <w:pPr>
        <w:spacing w:line="360" w:lineRule="auto"/>
        <w:ind w:firstLine="435"/>
        <w:rPr>
          <w:rFonts w:hint="eastAsia" w:ascii="宋体" w:hAnsi="宋体" w:eastAsia="宋体" w:cs="宋体"/>
          <w:sz w:val="24"/>
        </w:rPr>
      </w:pPr>
      <w:r>
        <w:rPr>
          <w:rFonts w:hint="eastAsia" w:ascii="宋体" w:hAnsi="宋体" w:eastAsia="宋体" w:cs="宋体"/>
          <w:sz w:val="24"/>
        </w:rPr>
        <w:t>7.3无论磋商文件中是否要求，供应商所投货物及伴随的服务和服务均应符合国家强制性标准。</w:t>
      </w:r>
    </w:p>
    <w:p w14:paraId="240F501F">
      <w:pPr>
        <w:spacing w:line="360" w:lineRule="auto"/>
        <w:ind w:firstLine="435"/>
        <w:rPr>
          <w:rFonts w:hint="eastAsia" w:ascii="宋体" w:hAnsi="宋体" w:eastAsia="宋体" w:cs="宋体"/>
          <w:sz w:val="24"/>
        </w:rPr>
      </w:pPr>
      <w:r>
        <w:rPr>
          <w:rFonts w:hint="eastAsia" w:ascii="宋体" w:hAnsi="宋体" w:eastAsia="宋体" w:cs="宋体"/>
          <w:sz w:val="24"/>
        </w:rPr>
        <w:t>7.4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7A817985">
      <w:pPr>
        <w:spacing w:line="360" w:lineRule="auto"/>
        <w:ind w:firstLine="435"/>
        <w:rPr>
          <w:rFonts w:hint="eastAsia" w:ascii="宋体" w:hAnsi="宋体" w:eastAsia="宋体" w:cs="宋体"/>
          <w:sz w:val="24"/>
        </w:rPr>
      </w:pPr>
      <w:r>
        <w:rPr>
          <w:rFonts w:hint="eastAsia" w:ascii="宋体" w:hAnsi="宋体" w:eastAsia="宋体" w:cs="宋体"/>
          <w:sz w:val="24"/>
        </w:rPr>
        <w:t>7.5除磋商文件中有特殊要求外，响应文件中所使用的计量单位，应采用中华人民共和国法定计量单位。</w:t>
      </w:r>
    </w:p>
    <w:p w14:paraId="541FCF5D">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8.响应文件构成</w:t>
      </w:r>
    </w:p>
    <w:p w14:paraId="6362F9ED">
      <w:pPr>
        <w:spacing w:line="360" w:lineRule="auto"/>
        <w:ind w:firstLine="435"/>
        <w:rPr>
          <w:rFonts w:hint="eastAsia" w:ascii="宋体" w:hAnsi="宋体" w:eastAsia="宋体" w:cs="宋体"/>
          <w:sz w:val="24"/>
        </w:rPr>
      </w:pPr>
      <w:r>
        <w:rPr>
          <w:rFonts w:hint="eastAsia" w:ascii="宋体" w:hAnsi="宋体" w:eastAsia="宋体" w:cs="宋体"/>
          <w:sz w:val="24"/>
        </w:rPr>
        <w:t>8.1供应商应完整地按磋商文件提供的响应文件格式及要求编写响应文件，具体内容详见本项目响应文件格式的相关内容。</w:t>
      </w:r>
    </w:p>
    <w:p w14:paraId="671ADC73">
      <w:pPr>
        <w:spacing w:line="360" w:lineRule="auto"/>
        <w:ind w:firstLine="435"/>
        <w:rPr>
          <w:rFonts w:hint="eastAsia" w:ascii="宋体" w:hAnsi="宋体" w:eastAsia="宋体" w:cs="宋体"/>
          <w:sz w:val="24"/>
        </w:rPr>
      </w:pPr>
      <w:r>
        <w:rPr>
          <w:rFonts w:hint="eastAsia" w:ascii="宋体" w:hAnsi="宋体" w:eastAsia="宋体" w:cs="宋体"/>
          <w:sz w:val="24"/>
        </w:rPr>
        <w:t>8.2供应商应提交磋商文件要求的证明文件，证明其响应内容符合磋商文件规定，该证明文件是响应文件的一部分。证明文件形式可以是文字资料、图纸和数据等。</w:t>
      </w:r>
    </w:p>
    <w:p w14:paraId="0C882270">
      <w:pPr>
        <w:spacing w:line="360" w:lineRule="auto"/>
        <w:ind w:firstLine="435"/>
        <w:rPr>
          <w:rFonts w:hint="eastAsia" w:ascii="宋体" w:hAnsi="宋体" w:eastAsia="宋体" w:cs="宋体"/>
          <w:sz w:val="24"/>
          <w:highlight w:val="yellow"/>
        </w:rPr>
      </w:pPr>
      <w:r>
        <w:rPr>
          <w:rFonts w:hint="eastAsia" w:ascii="宋体" w:hAnsi="宋体" w:eastAsia="宋体" w:cs="宋体"/>
          <w:sz w:val="24"/>
        </w:rPr>
        <w:t>8.3为保证公平公正，除非另有规定或说明，供应商对同一项目磋商时，不得同时提供备选磋商方案。</w:t>
      </w:r>
    </w:p>
    <w:p w14:paraId="5D9DE36D">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9.报价</w:t>
      </w:r>
    </w:p>
    <w:p w14:paraId="0D2AA40B">
      <w:pPr>
        <w:spacing w:line="360" w:lineRule="auto"/>
        <w:ind w:firstLine="435"/>
        <w:rPr>
          <w:rFonts w:hint="eastAsia" w:ascii="宋体" w:hAnsi="宋体" w:eastAsia="宋体" w:cs="宋体"/>
          <w:sz w:val="24"/>
        </w:rPr>
      </w:pPr>
      <w:r>
        <w:rPr>
          <w:rFonts w:hint="eastAsia" w:ascii="宋体" w:hAnsi="宋体" w:eastAsia="宋体" w:cs="宋体"/>
          <w:sz w:val="24"/>
        </w:rPr>
        <w:t>9.1供应商的报价应当包括满足本次磋商全部采购需求所应提供的货物，以及伴随的服务和服务。除磋商文件另有规定外，所有内容均应以人民币报价，供应商的磋商报价应遵守《中华人民共和国价格法》。</w:t>
      </w:r>
    </w:p>
    <w:p w14:paraId="37E3EC80">
      <w:pPr>
        <w:spacing w:line="360" w:lineRule="auto"/>
        <w:ind w:firstLine="435"/>
        <w:rPr>
          <w:rFonts w:hint="eastAsia" w:ascii="宋体" w:hAnsi="宋体" w:eastAsia="宋体" w:cs="宋体"/>
          <w:sz w:val="24"/>
        </w:rPr>
      </w:pPr>
      <w:r>
        <w:rPr>
          <w:rFonts w:hint="eastAsia" w:ascii="宋体" w:hAnsi="宋体" w:eastAsia="宋体" w:cs="宋体"/>
          <w:sz w:val="24"/>
        </w:rPr>
        <w:t>9.2除非磋商文件另有规定或经采购人同意支付的，最后报价均不得高于磋商文件（公告）列明的项目预算，否则其响应文件将被认定为</w:t>
      </w:r>
      <w:r>
        <w:rPr>
          <w:rFonts w:hint="eastAsia" w:ascii="宋体" w:hAnsi="宋体" w:eastAsia="宋体" w:cs="宋体"/>
          <w:b/>
          <w:sz w:val="24"/>
        </w:rPr>
        <w:t>响应无效</w:t>
      </w:r>
      <w:r>
        <w:rPr>
          <w:rFonts w:hint="eastAsia" w:ascii="宋体" w:hAnsi="宋体" w:eastAsia="宋体" w:cs="宋体"/>
          <w:sz w:val="24"/>
        </w:rPr>
        <w:t>。</w:t>
      </w:r>
    </w:p>
    <w:p w14:paraId="3DF4AE50">
      <w:pPr>
        <w:spacing w:line="360" w:lineRule="auto"/>
        <w:ind w:firstLine="435"/>
        <w:rPr>
          <w:rFonts w:hint="eastAsia" w:ascii="宋体" w:hAnsi="宋体" w:eastAsia="宋体" w:cs="宋体"/>
          <w:sz w:val="24"/>
        </w:rPr>
      </w:pPr>
      <w:r>
        <w:rPr>
          <w:rFonts w:hint="eastAsia" w:ascii="宋体" w:hAnsi="宋体" w:eastAsia="宋体" w:cs="宋体"/>
          <w:sz w:val="24"/>
        </w:rPr>
        <w:t>9.3报价在合同履行过程中是固定不变的，不得以任何理由予以变更。任何包含价格调整要求的磋商，其响应文件将被认定为</w:t>
      </w:r>
      <w:r>
        <w:rPr>
          <w:rFonts w:hint="eastAsia" w:ascii="宋体" w:hAnsi="宋体" w:eastAsia="宋体" w:cs="宋体"/>
          <w:b/>
          <w:sz w:val="24"/>
        </w:rPr>
        <w:t>响应无效</w:t>
      </w:r>
      <w:r>
        <w:rPr>
          <w:rFonts w:hint="eastAsia" w:ascii="宋体" w:hAnsi="宋体" w:eastAsia="宋体" w:cs="宋体"/>
          <w:sz w:val="24"/>
        </w:rPr>
        <w:t>。</w:t>
      </w:r>
    </w:p>
    <w:p w14:paraId="6ECFF54C">
      <w:pPr>
        <w:spacing w:line="360" w:lineRule="auto"/>
        <w:ind w:firstLine="435"/>
        <w:rPr>
          <w:rFonts w:hint="eastAsia" w:ascii="宋体" w:hAnsi="宋体" w:eastAsia="宋体" w:cs="宋体"/>
          <w:sz w:val="24"/>
        </w:rPr>
      </w:pPr>
      <w:r>
        <w:rPr>
          <w:rFonts w:hint="eastAsia" w:ascii="宋体" w:hAnsi="宋体" w:eastAsia="宋体" w:cs="宋体"/>
          <w:sz w:val="24"/>
        </w:rPr>
        <w:t>9.4采购人不接受具有附加条件的报价。</w:t>
      </w:r>
    </w:p>
    <w:p w14:paraId="3B025454">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10.磋商保证金</w:t>
      </w:r>
    </w:p>
    <w:p w14:paraId="6369EDC2">
      <w:pPr>
        <w:spacing w:line="360" w:lineRule="auto"/>
        <w:ind w:firstLine="435"/>
        <w:rPr>
          <w:rFonts w:hint="eastAsia" w:ascii="宋体" w:hAnsi="宋体" w:eastAsia="宋体" w:cs="宋体"/>
          <w:sz w:val="24"/>
        </w:rPr>
      </w:pPr>
      <w:r>
        <w:rPr>
          <w:rFonts w:hint="eastAsia" w:ascii="宋体" w:hAnsi="宋体" w:eastAsia="宋体" w:cs="宋体"/>
          <w:sz w:val="24"/>
        </w:rPr>
        <w:t>10.1本项目不收取磋商保证金。</w:t>
      </w:r>
    </w:p>
    <w:p w14:paraId="71D3241C">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11.磋商有效期</w:t>
      </w:r>
    </w:p>
    <w:p w14:paraId="4C1D30F2">
      <w:pPr>
        <w:spacing w:line="360" w:lineRule="auto"/>
        <w:ind w:firstLine="435"/>
        <w:rPr>
          <w:rFonts w:hint="eastAsia" w:ascii="宋体" w:hAnsi="宋体" w:eastAsia="宋体" w:cs="宋体"/>
          <w:sz w:val="24"/>
        </w:rPr>
      </w:pPr>
      <w:r>
        <w:rPr>
          <w:rFonts w:hint="eastAsia" w:ascii="宋体" w:hAnsi="宋体" w:eastAsia="宋体" w:cs="宋体"/>
          <w:sz w:val="24"/>
        </w:rPr>
        <w:t>11.1磋商有效期为从响应文件提交截止之日算起的日历天数，磋商有效期详见</w:t>
      </w:r>
      <w:r>
        <w:rPr>
          <w:rFonts w:hint="eastAsia" w:ascii="宋体" w:hAnsi="宋体" w:eastAsia="宋体" w:cs="宋体"/>
          <w:sz w:val="24"/>
          <w:u w:val="single"/>
        </w:rPr>
        <w:t>供应商须知前附表</w:t>
      </w:r>
      <w:r>
        <w:rPr>
          <w:rFonts w:hint="eastAsia" w:ascii="宋体" w:hAnsi="宋体" w:eastAsia="宋体" w:cs="宋体"/>
          <w:sz w:val="24"/>
        </w:rPr>
        <w:t>。</w:t>
      </w:r>
    </w:p>
    <w:p w14:paraId="16EB879D">
      <w:pPr>
        <w:spacing w:line="360" w:lineRule="auto"/>
        <w:ind w:firstLine="435"/>
        <w:rPr>
          <w:rFonts w:hint="eastAsia" w:ascii="宋体" w:hAnsi="宋体" w:eastAsia="宋体" w:cs="宋体"/>
          <w:sz w:val="24"/>
        </w:rPr>
      </w:pPr>
      <w:r>
        <w:rPr>
          <w:rFonts w:hint="eastAsia" w:ascii="宋体" w:hAnsi="宋体" w:eastAsia="宋体" w:cs="宋体"/>
          <w:sz w:val="24"/>
        </w:rPr>
        <w:t>11.2在磋商有效期内，供应商的磋商保持有效，供应商不得要求撤销或修改其响应文件。磋商有效期不满足要求的响应，其响应文件将被认定为</w:t>
      </w:r>
      <w:r>
        <w:rPr>
          <w:rFonts w:hint="eastAsia" w:ascii="宋体" w:hAnsi="宋体" w:eastAsia="宋体" w:cs="宋体"/>
          <w:b/>
          <w:sz w:val="24"/>
        </w:rPr>
        <w:t>响应无效</w:t>
      </w:r>
      <w:r>
        <w:rPr>
          <w:rFonts w:hint="eastAsia" w:ascii="宋体" w:hAnsi="宋体" w:eastAsia="宋体" w:cs="宋体"/>
          <w:sz w:val="24"/>
        </w:rPr>
        <w:t>。</w:t>
      </w:r>
    </w:p>
    <w:p w14:paraId="64BE4163">
      <w:pPr>
        <w:spacing w:line="360" w:lineRule="auto"/>
        <w:ind w:firstLine="435"/>
        <w:rPr>
          <w:rFonts w:hint="eastAsia" w:ascii="宋体" w:hAnsi="宋体" w:eastAsia="宋体" w:cs="宋体"/>
          <w:sz w:val="24"/>
        </w:rPr>
      </w:pPr>
      <w:r>
        <w:rPr>
          <w:rFonts w:hint="eastAsia" w:ascii="宋体" w:hAnsi="宋体" w:eastAsia="宋体" w:cs="宋体"/>
          <w:sz w:val="24"/>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71DF6B5F">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12.响应文件的提交、修改与撤回</w:t>
      </w:r>
    </w:p>
    <w:p w14:paraId="232717BF">
      <w:pPr>
        <w:spacing w:line="360" w:lineRule="auto"/>
        <w:ind w:firstLine="435"/>
        <w:rPr>
          <w:rFonts w:hint="eastAsia" w:ascii="宋体" w:hAnsi="宋体" w:eastAsia="宋体" w:cs="宋体"/>
          <w:sz w:val="24"/>
        </w:rPr>
      </w:pPr>
      <w:r>
        <w:rPr>
          <w:rFonts w:hint="eastAsia" w:ascii="宋体" w:hAnsi="宋体" w:eastAsia="宋体" w:cs="宋体"/>
          <w:sz w:val="24"/>
        </w:rPr>
        <w:t>12.1供应商应当在第一章竞争性磋商公告规定的响应文件提交截止时间前，将加密的响应文件在电子交易系统上传。</w:t>
      </w:r>
    </w:p>
    <w:p w14:paraId="2DC6B428">
      <w:pPr>
        <w:spacing w:line="360" w:lineRule="auto"/>
        <w:ind w:firstLine="435"/>
        <w:rPr>
          <w:rFonts w:hint="eastAsia" w:ascii="宋体" w:hAnsi="宋体" w:eastAsia="宋体" w:cs="宋体"/>
          <w:sz w:val="24"/>
        </w:rPr>
      </w:pPr>
      <w:r>
        <w:rPr>
          <w:rFonts w:hint="eastAsia" w:ascii="宋体" w:hAnsi="宋体" w:eastAsia="宋体" w:cs="宋体"/>
          <w:sz w:val="24"/>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3AFA3E18">
      <w:pPr>
        <w:spacing w:line="360" w:lineRule="auto"/>
        <w:ind w:firstLine="435"/>
        <w:rPr>
          <w:rFonts w:hint="eastAsia" w:ascii="宋体" w:hAnsi="宋体" w:eastAsia="宋体" w:cs="宋体"/>
          <w:sz w:val="24"/>
        </w:rPr>
      </w:pPr>
      <w:r>
        <w:rPr>
          <w:rFonts w:hint="eastAsia" w:ascii="宋体" w:hAnsi="宋体" w:eastAsia="宋体" w:cs="宋体"/>
          <w:sz w:val="24"/>
        </w:rPr>
        <w:t>12.3供应商应在</w:t>
      </w:r>
      <w:r>
        <w:rPr>
          <w:rFonts w:hint="eastAsia" w:ascii="宋体" w:hAnsi="宋体" w:eastAsia="宋体" w:cs="宋体"/>
          <w:sz w:val="24"/>
          <w:u w:val="single"/>
        </w:rPr>
        <w:t>供应商须知前附表</w:t>
      </w:r>
      <w:r>
        <w:rPr>
          <w:rFonts w:hint="eastAsia" w:ascii="宋体" w:hAnsi="宋体" w:eastAsia="宋体" w:cs="宋体"/>
          <w:sz w:val="24"/>
        </w:rPr>
        <w:t>规定的解密时间前对其响应文件进行解密。未在规定时间内进行解密的，</w:t>
      </w:r>
      <w:r>
        <w:rPr>
          <w:rFonts w:hint="eastAsia" w:ascii="宋体" w:hAnsi="宋体" w:eastAsia="宋体" w:cs="宋体"/>
          <w:b/>
          <w:bCs/>
          <w:sz w:val="24"/>
        </w:rPr>
        <w:t>响应无效。</w:t>
      </w:r>
    </w:p>
    <w:p w14:paraId="2D2CF736">
      <w:pPr>
        <w:spacing w:line="360" w:lineRule="auto"/>
        <w:ind w:firstLine="435"/>
        <w:rPr>
          <w:rFonts w:hint="eastAsia" w:ascii="宋体" w:hAnsi="宋体" w:eastAsia="宋体" w:cs="宋体"/>
          <w:sz w:val="24"/>
        </w:rPr>
      </w:pPr>
      <w:r>
        <w:rPr>
          <w:rFonts w:hint="eastAsia" w:ascii="宋体" w:hAnsi="宋体" w:eastAsia="宋体" w:cs="宋体"/>
          <w:sz w:val="24"/>
        </w:rPr>
        <w:t>12.4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311499F3">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13.磋商小组</w:t>
      </w:r>
    </w:p>
    <w:p w14:paraId="7E62D61E">
      <w:pPr>
        <w:spacing w:line="360" w:lineRule="auto"/>
        <w:ind w:firstLine="435"/>
        <w:rPr>
          <w:rFonts w:hint="eastAsia" w:ascii="宋体" w:hAnsi="宋体" w:eastAsia="宋体" w:cs="宋体"/>
          <w:sz w:val="24"/>
        </w:rPr>
      </w:pPr>
      <w:r>
        <w:rPr>
          <w:rFonts w:hint="eastAsia" w:ascii="宋体" w:hAnsi="宋体" w:eastAsia="宋体" w:cs="宋体"/>
          <w:sz w:val="24"/>
        </w:rPr>
        <w:t>13.1本项目将依法组建磋商小组，磋商小组成员由3人以上（含）单数组成，磋商小组及其成员应当依照政府采购的有关规定履行相关职责和义务。</w:t>
      </w:r>
    </w:p>
    <w:p w14:paraId="30BD2ABF">
      <w:pPr>
        <w:spacing w:line="360" w:lineRule="auto"/>
        <w:ind w:firstLine="435"/>
        <w:rPr>
          <w:rFonts w:hint="eastAsia" w:ascii="宋体" w:hAnsi="宋体" w:eastAsia="宋体" w:cs="宋体"/>
          <w:sz w:val="24"/>
        </w:rPr>
      </w:pPr>
      <w:r>
        <w:rPr>
          <w:rFonts w:hint="eastAsia" w:ascii="宋体" w:hAnsi="宋体" w:eastAsia="宋体" w:cs="宋体"/>
          <w:sz w:val="24"/>
        </w:rPr>
        <w:t>13.2磋商小组依法对响应文件进行评审，并根据磋商文件规定的程序、评定成交的标准等事项与实质性响应磋商文件要求的供应商进行磋商。</w:t>
      </w:r>
    </w:p>
    <w:p w14:paraId="641D9FF3">
      <w:pPr>
        <w:spacing w:line="360" w:lineRule="auto"/>
        <w:ind w:firstLine="435"/>
        <w:rPr>
          <w:rFonts w:hint="eastAsia" w:ascii="宋体" w:hAnsi="宋体" w:eastAsia="宋体" w:cs="宋体"/>
          <w:sz w:val="24"/>
        </w:rPr>
      </w:pPr>
      <w:r>
        <w:rPr>
          <w:rFonts w:hint="eastAsia" w:ascii="宋体" w:hAnsi="宋体" w:eastAsia="宋体" w:cs="宋体"/>
          <w:sz w:val="24"/>
        </w:rPr>
        <w:t>13.3磋商小组应当从质量和服务均能满足磋商文件实质性响应要求的供应商中，按照评审方法和标准推荐成交候选供应商，并编写评审报告。</w:t>
      </w:r>
    </w:p>
    <w:p w14:paraId="5F8E20D1">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14.响应文件的评审与磋商</w:t>
      </w:r>
    </w:p>
    <w:p w14:paraId="6A8DCF36">
      <w:pPr>
        <w:spacing w:line="360" w:lineRule="auto"/>
        <w:ind w:firstLine="435"/>
        <w:rPr>
          <w:rFonts w:hint="eastAsia" w:ascii="宋体" w:hAnsi="宋体" w:eastAsia="宋体" w:cs="宋体"/>
          <w:sz w:val="24"/>
        </w:rPr>
      </w:pPr>
      <w:r>
        <w:rPr>
          <w:rFonts w:hint="eastAsia" w:ascii="宋体" w:hAnsi="宋体" w:eastAsia="宋体" w:cs="宋体"/>
          <w:sz w:val="24"/>
        </w:rPr>
        <w:t>14.1采购人和采购代理机构将在竞争性磋商公告规定的时间和地点组织磋商。</w:t>
      </w:r>
    </w:p>
    <w:p w14:paraId="5D5329ED">
      <w:pPr>
        <w:spacing w:line="360" w:lineRule="auto"/>
        <w:ind w:firstLine="435"/>
        <w:rPr>
          <w:rFonts w:hint="eastAsia" w:ascii="宋体" w:hAnsi="宋体" w:eastAsia="宋体" w:cs="宋体"/>
          <w:sz w:val="24"/>
        </w:rPr>
      </w:pPr>
      <w:r>
        <w:rPr>
          <w:rFonts w:hint="eastAsia" w:ascii="宋体" w:hAnsi="宋体" w:eastAsia="宋体" w:cs="宋体"/>
          <w:sz w:val="24"/>
        </w:rPr>
        <w:t>14.2竞争性磋商活动采用综合评分法评审。</w:t>
      </w:r>
    </w:p>
    <w:p w14:paraId="5A7C44BC">
      <w:pPr>
        <w:spacing w:line="360" w:lineRule="auto"/>
        <w:ind w:firstLine="435"/>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综合评分法，是指响应文件满足磋商文件全部实质性要求且按评审因素的量化指标评审得分最高的供应商为成交候选供应商的评审方法。</w:t>
      </w:r>
    </w:p>
    <w:p w14:paraId="6C65BFC1">
      <w:pPr>
        <w:spacing w:line="360" w:lineRule="auto"/>
        <w:ind w:firstLine="435"/>
        <w:rPr>
          <w:rFonts w:hint="eastAsia" w:ascii="宋体" w:hAnsi="宋体" w:eastAsia="宋体" w:cs="宋体"/>
          <w:sz w:val="24"/>
        </w:rPr>
      </w:pPr>
      <w:r>
        <w:rPr>
          <w:rFonts w:hint="eastAsia" w:ascii="宋体" w:hAnsi="宋体" w:eastAsia="宋体" w:cs="宋体"/>
          <w:sz w:val="24"/>
        </w:rPr>
        <w:t>14.3磋商小组将按照磋商文件规定的评审方法和标准对供应商独立进行评审。评审程序如下：</w:t>
      </w:r>
    </w:p>
    <w:p w14:paraId="167A38B1">
      <w:pPr>
        <w:spacing w:line="360" w:lineRule="auto"/>
        <w:ind w:firstLine="435"/>
        <w:rPr>
          <w:rFonts w:hint="eastAsia" w:ascii="宋体" w:hAnsi="宋体" w:eastAsia="宋体" w:cs="宋体"/>
          <w:sz w:val="24"/>
        </w:rPr>
      </w:pPr>
      <w:r>
        <w:rPr>
          <w:rFonts w:hint="eastAsia" w:ascii="宋体" w:hAnsi="宋体" w:eastAsia="宋体" w:cs="宋体"/>
          <w:sz w:val="24"/>
        </w:rPr>
        <w:t>14.3.1</w:t>
      </w:r>
      <w:r>
        <w:rPr>
          <w:rFonts w:hint="eastAsia" w:ascii="宋体" w:hAnsi="宋体" w:eastAsia="宋体" w:cs="宋体"/>
          <w:b/>
          <w:sz w:val="24"/>
        </w:rPr>
        <w:t>初审</w:t>
      </w:r>
      <w:r>
        <w:rPr>
          <w:rFonts w:hint="eastAsia" w:ascii="宋体" w:hAnsi="宋体" w:eastAsia="宋体" w:cs="宋体"/>
          <w:sz w:val="24"/>
        </w:rPr>
        <w:t>。磋商小组对供应商必须满足和实质性响应的内容进行评审，供应商未实质性响应磋商文件要求导致响应无效的，磋商小组将以书面询标的方式告知有关供应商。</w:t>
      </w:r>
    </w:p>
    <w:p w14:paraId="69DD8F3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73CC955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以联合体形式参加磋商的，联合体成员存在以上不良信用记录的，联合体磋商将被认定为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0A8ADCD7">
      <w:pPr>
        <w:spacing w:line="360" w:lineRule="auto"/>
        <w:ind w:firstLine="435"/>
        <w:rPr>
          <w:rFonts w:hint="eastAsia" w:ascii="宋体" w:hAnsi="宋体" w:eastAsia="宋体" w:cs="宋体"/>
          <w:sz w:val="24"/>
        </w:rPr>
      </w:pPr>
      <w:r>
        <w:rPr>
          <w:rFonts w:hint="eastAsia" w:ascii="宋体" w:hAnsi="宋体" w:eastAsia="宋体"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0C46E5AC">
      <w:pPr>
        <w:spacing w:line="360" w:lineRule="auto"/>
        <w:ind w:firstLine="435"/>
        <w:rPr>
          <w:rFonts w:hint="eastAsia" w:ascii="宋体" w:hAnsi="宋体" w:eastAsia="宋体" w:cs="宋体"/>
          <w:sz w:val="24"/>
        </w:rPr>
      </w:pPr>
      <w:r>
        <w:rPr>
          <w:rFonts w:hint="eastAsia" w:ascii="宋体" w:hAnsi="宋体" w:eastAsia="宋体" w:cs="宋体"/>
          <w:sz w:val="24"/>
        </w:rPr>
        <w:t>14.3.2</w:t>
      </w:r>
      <w:r>
        <w:rPr>
          <w:rFonts w:hint="eastAsia" w:ascii="宋体" w:hAnsi="宋体" w:eastAsia="宋体" w:cs="宋体"/>
          <w:b/>
          <w:sz w:val="24"/>
        </w:rPr>
        <w:t>磋商</w:t>
      </w:r>
      <w:r>
        <w:rPr>
          <w:rFonts w:hint="eastAsia" w:ascii="宋体" w:hAnsi="宋体" w:eastAsia="宋体" w:cs="宋体"/>
          <w:sz w:val="24"/>
        </w:rPr>
        <w:t>。初审合格后，磋商小组将按网上加密电子响应文件提交顺序集中与单一供应商分别进行磋商，并给予所有参加磋商的供应商平等的磋商机会。</w:t>
      </w:r>
    </w:p>
    <w:p w14:paraId="16E5A87E">
      <w:pPr>
        <w:spacing w:line="360" w:lineRule="auto"/>
        <w:ind w:firstLine="435"/>
        <w:rPr>
          <w:rFonts w:hint="eastAsia" w:ascii="宋体" w:hAnsi="宋体" w:eastAsia="宋体" w:cs="宋体"/>
          <w:sz w:val="24"/>
        </w:rPr>
      </w:pPr>
      <w:r>
        <w:rPr>
          <w:rFonts w:hint="eastAsia" w:ascii="宋体" w:hAnsi="宋体" w:eastAsia="宋体" w:cs="宋体"/>
          <w:sz w:val="24"/>
        </w:rPr>
        <w:t>14.3.3</w:t>
      </w:r>
      <w:r>
        <w:rPr>
          <w:rFonts w:hint="eastAsia" w:ascii="宋体" w:hAnsi="宋体" w:eastAsia="宋体" w:cs="宋体"/>
          <w:b/>
          <w:sz w:val="24"/>
        </w:rPr>
        <w:t>报价</w:t>
      </w:r>
      <w:r>
        <w:rPr>
          <w:rFonts w:hint="eastAsia" w:ascii="宋体" w:hAnsi="宋体" w:eastAsia="宋体" w:cs="宋体"/>
          <w:sz w:val="24"/>
        </w:rPr>
        <w:t>。磋商结束后，磋商小组应当要求所有实质性响应的供应商在规定时间内提交最后报价。</w:t>
      </w:r>
    </w:p>
    <w:p w14:paraId="037D9550">
      <w:pPr>
        <w:spacing w:line="360" w:lineRule="auto"/>
        <w:ind w:firstLine="435"/>
        <w:rPr>
          <w:rFonts w:hint="eastAsia" w:ascii="宋体" w:hAnsi="宋体" w:eastAsia="宋体" w:cs="宋体"/>
          <w:sz w:val="24"/>
        </w:rPr>
      </w:pPr>
      <w:r>
        <w:rPr>
          <w:rFonts w:hint="eastAsia" w:ascii="宋体" w:hAnsi="宋体" w:eastAsia="宋体" w:cs="宋体"/>
          <w:sz w:val="24"/>
        </w:rPr>
        <w:t>14.3.4</w:t>
      </w:r>
      <w:r>
        <w:rPr>
          <w:rFonts w:hint="eastAsia" w:ascii="宋体" w:hAnsi="宋体" w:eastAsia="宋体" w:cs="宋体"/>
          <w:b/>
          <w:sz w:val="24"/>
        </w:rPr>
        <w:t>综合评分</w:t>
      </w:r>
      <w:r>
        <w:rPr>
          <w:rFonts w:hint="eastAsia" w:ascii="宋体" w:hAnsi="宋体" w:eastAsia="宋体" w:cs="宋体"/>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03D5BFA2">
      <w:pPr>
        <w:spacing w:line="360" w:lineRule="auto"/>
        <w:ind w:firstLine="435"/>
        <w:rPr>
          <w:rFonts w:hint="eastAsia" w:ascii="宋体" w:hAnsi="宋体" w:eastAsia="宋体" w:cs="宋体"/>
          <w:sz w:val="24"/>
        </w:rPr>
      </w:pPr>
      <w:r>
        <w:rPr>
          <w:rFonts w:hint="eastAsia" w:ascii="宋体" w:hAnsi="宋体" w:eastAsia="宋体" w:cs="宋体"/>
          <w:sz w:val="24"/>
        </w:rPr>
        <w:t>14.4相关说明。</w:t>
      </w:r>
    </w:p>
    <w:p w14:paraId="3A256BB7">
      <w:pPr>
        <w:spacing w:line="360" w:lineRule="auto"/>
        <w:ind w:firstLine="435"/>
        <w:rPr>
          <w:rFonts w:hint="eastAsia" w:ascii="宋体" w:hAnsi="宋体" w:eastAsia="宋体" w:cs="宋体"/>
          <w:sz w:val="24"/>
        </w:rPr>
      </w:pPr>
      <w:r>
        <w:rPr>
          <w:rFonts w:hint="eastAsia" w:ascii="宋体" w:hAnsi="宋体" w:eastAsia="宋体" w:cs="宋体"/>
          <w:sz w:val="24"/>
        </w:rPr>
        <w:t xml:space="preserve">14.4.1为保证磋商活动顺利进行，供应商可派相关技术人员进行网上答疑； </w:t>
      </w:r>
    </w:p>
    <w:p w14:paraId="48A2185B">
      <w:pPr>
        <w:spacing w:line="360" w:lineRule="auto"/>
        <w:ind w:firstLine="435"/>
        <w:rPr>
          <w:rFonts w:hint="eastAsia" w:ascii="宋体" w:hAnsi="宋体" w:eastAsia="宋体" w:cs="宋体"/>
          <w:sz w:val="24"/>
        </w:rPr>
      </w:pPr>
      <w:r>
        <w:rPr>
          <w:rFonts w:hint="eastAsia" w:ascii="宋体" w:hAnsi="宋体" w:eastAsia="宋体" w:cs="宋体"/>
          <w:sz w:val="24"/>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0D8D42D6">
      <w:pPr>
        <w:spacing w:line="360" w:lineRule="auto"/>
        <w:ind w:firstLine="435"/>
        <w:rPr>
          <w:rFonts w:hint="eastAsia" w:ascii="宋体" w:hAnsi="宋体" w:eastAsia="宋体" w:cs="宋体"/>
          <w:sz w:val="24"/>
        </w:rPr>
      </w:pPr>
      <w:r>
        <w:rPr>
          <w:rFonts w:hint="eastAsia" w:ascii="宋体" w:hAnsi="宋体" w:eastAsia="宋体" w:cs="宋体"/>
          <w:sz w:val="24"/>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sz w:val="24"/>
        </w:rPr>
        <w:t>响应无效</w:t>
      </w:r>
      <w:r>
        <w:rPr>
          <w:rFonts w:hint="eastAsia" w:ascii="宋体" w:hAnsi="宋体" w:eastAsia="宋体" w:cs="宋体"/>
          <w:sz w:val="24"/>
        </w:rPr>
        <w:t>。</w:t>
      </w:r>
    </w:p>
    <w:p w14:paraId="7F49D52B">
      <w:pPr>
        <w:spacing w:line="360" w:lineRule="auto"/>
        <w:ind w:firstLine="435"/>
        <w:rPr>
          <w:rFonts w:hint="eastAsia" w:ascii="宋体" w:hAnsi="宋体" w:eastAsia="宋体" w:cs="宋体"/>
          <w:sz w:val="24"/>
        </w:rPr>
      </w:pPr>
      <w:r>
        <w:rPr>
          <w:rFonts w:hint="eastAsia" w:ascii="宋体" w:hAnsi="宋体" w:eastAsia="宋体" w:cs="宋体"/>
          <w:sz w:val="24"/>
        </w:rPr>
        <w:t>14.4.4无论何种原因，即使供应商磋商时携带了证书材料的原件，但响应文件中未提供与之内容完全一致的扫描件的，磋商小组可以视同其未提供。</w:t>
      </w:r>
    </w:p>
    <w:p w14:paraId="4E83D31F">
      <w:pPr>
        <w:spacing w:line="360" w:lineRule="auto"/>
        <w:ind w:firstLine="435"/>
        <w:rPr>
          <w:rFonts w:hint="eastAsia" w:ascii="宋体" w:hAnsi="宋体" w:eastAsia="宋体" w:cs="宋体"/>
          <w:sz w:val="24"/>
        </w:rPr>
      </w:pPr>
      <w:r>
        <w:rPr>
          <w:rFonts w:hint="eastAsia" w:ascii="宋体" w:hAnsi="宋体" w:eastAsia="宋体" w:cs="宋体"/>
          <w:sz w:val="24"/>
        </w:rPr>
        <w:t>14.4.5磋商小组决定响应文件的响应性及符合性只根据响应文件本身的内容，而不寻求其他外部证据。</w:t>
      </w:r>
    </w:p>
    <w:p w14:paraId="324739E2">
      <w:pPr>
        <w:spacing w:line="360" w:lineRule="auto"/>
        <w:ind w:firstLine="435"/>
        <w:rPr>
          <w:rFonts w:hint="eastAsia" w:ascii="宋体" w:hAnsi="宋体" w:eastAsia="宋体" w:cs="宋体"/>
          <w:sz w:val="24"/>
        </w:rPr>
      </w:pPr>
      <w:r>
        <w:rPr>
          <w:rFonts w:hint="eastAsia" w:ascii="宋体" w:hAnsi="宋体" w:eastAsia="宋体" w:cs="宋体"/>
          <w:sz w:val="24"/>
        </w:rPr>
        <w:t xml:space="preserve">14.5供应商授权代表对磋商过程有疑义，以及认为采购人、采购代理机构相关工作人员有需要回避的情形的，应当场提出询问或者回避申请，并说明理由。 </w:t>
      </w:r>
    </w:p>
    <w:p w14:paraId="718462F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15.终止竞争性磋商</w:t>
      </w:r>
    </w:p>
    <w:p w14:paraId="7ED5DC6B">
      <w:pPr>
        <w:spacing w:line="360" w:lineRule="auto"/>
        <w:ind w:firstLine="435"/>
        <w:rPr>
          <w:rFonts w:hint="eastAsia" w:ascii="宋体" w:hAnsi="宋体" w:eastAsia="宋体" w:cs="宋体"/>
          <w:sz w:val="24"/>
        </w:rPr>
      </w:pPr>
      <w:r>
        <w:rPr>
          <w:rFonts w:hint="eastAsia" w:ascii="宋体" w:hAnsi="宋体" w:eastAsia="宋体" w:cs="宋体"/>
          <w:sz w:val="24"/>
        </w:rPr>
        <w:t>15.1出现下列情况之一时，采购人和采购代理机构有权宣布终止竞争性磋商采购，并将理由通知所有供应商：</w:t>
      </w:r>
    </w:p>
    <w:p w14:paraId="6D75FFB6">
      <w:pPr>
        <w:spacing w:line="360" w:lineRule="auto"/>
        <w:ind w:firstLine="435"/>
        <w:rPr>
          <w:rFonts w:hint="eastAsia" w:ascii="宋体" w:hAnsi="宋体" w:eastAsia="宋体" w:cs="宋体"/>
          <w:sz w:val="24"/>
        </w:rPr>
      </w:pPr>
      <w:r>
        <w:rPr>
          <w:rFonts w:hint="eastAsia" w:ascii="宋体" w:hAnsi="宋体" w:eastAsia="宋体" w:cs="宋体"/>
          <w:sz w:val="24"/>
        </w:rPr>
        <w:t>（1）有效供应商数量不足，导致本次磋商缺乏竞争的；</w:t>
      </w:r>
    </w:p>
    <w:p w14:paraId="62DFD948">
      <w:pPr>
        <w:spacing w:line="360" w:lineRule="auto"/>
        <w:ind w:firstLine="435"/>
        <w:rPr>
          <w:rFonts w:hint="eastAsia" w:ascii="宋体" w:hAnsi="宋体" w:eastAsia="宋体" w:cs="宋体"/>
          <w:sz w:val="24"/>
        </w:rPr>
      </w:pPr>
      <w:r>
        <w:rPr>
          <w:rFonts w:hint="eastAsia" w:ascii="宋体" w:hAnsi="宋体" w:eastAsia="宋体" w:cs="宋体"/>
          <w:sz w:val="24"/>
        </w:rPr>
        <w:t>（2）出现影响采购公正的违法、违规行为的；</w:t>
      </w:r>
    </w:p>
    <w:p w14:paraId="409F9C36">
      <w:pPr>
        <w:spacing w:line="360" w:lineRule="auto"/>
        <w:ind w:firstLine="435"/>
        <w:rPr>
          <w:rFonts w:hint="eastAsia" w:ascii="宋体" w:hAnsi="宋体" w:eastAsia="宋体" w:cs="宋体"/>
          <w:sz w:val="24"/>
        </w:rPr>
      </w:pPr>
      <w:r>
        <w:rPr>
          <w:rFonts w:hint="eastAsia" w:ascii="宋体" w:hAnsi="宋体" w:eastAsia="宋体" w:cs="宋体"/>
          <w:sz w:val="24"/>
        </w:rPr>
        <w:t>（3）因重大变故，采购任务取消的；</w:t>
      </w:r>
    </w:p>
    <w:p w14:paraId="4638A386">
      <w:pPr>
        <w:spacing w:line="360" w:lineRule="auto"/>
        <w:ind w:firstLine="437"/>
        <w:rPr>
          <w:rFonts w:hint="eastAsia" w:ascii="宋体" w:hAnsi="宋体" w:eastAsia="宋体" w:cs="宋体"/>
          <w:sz w:val="24"/>
        </w:rPr>
      </w:pPr>
      <w:r>
        <w:rPr>
          <w:rFonts w:hint="eastAsia" w:ascii="宋体" w:hAnsi="宋体" w:eastAsia="宋体" w:cs="宋体"/>
          <w:sz w:val="24"/>
        </w:rPr>
        <w:t>（4）政府采购法律法规规定的其他情形。</w:t>
      </w:r>
    </w:p>
    <w:p w14:paraId="05E638B4">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16.响应文件的澄清、说明或更正</w:t>
      </w:r>
    </w:p>
    <w:p w14:paraId="6C1A0FE1">
      <w:pPr>
        <w:spacing w:line="360" w:lineRule="auto"/>
        <w:ind w:firstLine="470" w:firstLineChars="196"/>
        <w:rPr>
          <w:rFonts w:hint="eastAsia" w:ascii="宋体" w:hAnsi="宋体" w:eastAsia="宋体" w:cs="宋体"/>
          <w:sz w:val="24"/>
        </w:rPr>
      </w:pPr>
      <w:r>
        <w:rPr>
          <w:rFonts w:hint="eastAsia" w:ascii="宋体" w:hAnsi="宋体" w:eastAsia="宋体" w:cs="宋体"/>
          <w:sz w:val="24"/>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EE0174F">
      <w:pPr>
        <w:spacing w:line="360" w:lineRule="auto"/>
        <w:ind w:firstLine="470" w:firstLineChars="196"/>
        <w:rPr>
          <w:rFonts w:hint="eastAsia" w:ascii="宋体" w:hAnsi="宋体" w:eastAsia="宋体" w:cs="宋体"/>
          <w:sz w:val="24"/>
        </w:rPr>
      </w:pPr>
      <w:r>
        <w:rPr>
          <w:rFonts w:hint="eastAsia" w:ascii="宋体" w:hAnsi="宋体" w:eastAsia="宋体" w:cs="宋体"/>
          <w:sz w:val="24"/>
        </w:rPr>
        <w:t>16.2磋商小组要求供应商澄清、说明或者更正响应文件应当以书面形式（询标）作出。供应商的澄清、说明或者更正应当由法定代表人或其授权代表签字或者加盖公章（电子签章）。</w:t>
      </w:r>
    </w:p>
    <w:p w14:paraId="35EB132F">
      <w:pPr>
        <w:spacing w:line="360" w:lineRule="auto"/>
        <w:ind w:firstLine="435"/>
        <w:rPr>
          <w:rFonts w:hint="eastAsia" w:ascii="宋体" w:hAnsi="宋体" w:eastAsia="宋体" w:cs="宋体"/>
          <w:sz w:val="24"/>
        </w:rPr>
      </w:pPr>
      <w:r>
        <w:rPr>
          <w:rFonts w:hint="eastAsia" w:ascii="宋体" w:hAnsi="宋体" w:eastAsia="宋体" w:cs="宋体"/>
          <w:b/>
          <w:sz w:val="24"/>
        </w:rPr>
        <w:t>如有询标，授权代表（或法定代表人）可通过远程登录的方式接受网上询标，也可凭本人有效身份证明参加询标。因授权代表联系不上</w:t>
      </w:r>
      <w:r>
        <w:rPr>
          <w:rFonts w:hint="eastAsia" w:ascii="宋体" w:hAnsi="宋体" w:eastAsia="宋体" w:cs="宋体"/>
          <w:b/>
          <w:bCs/>
          <w:sz w:val="24"/>
        </w:rPr>
        <w:t>、没有及时登录系统等情形</w:t>
      </w:r>
      <w:r>
        <w:rPr>
          <w:rFonts w:hint="eastAsia" w:ascii="宋体" w:hAnsi="宋体" w:eastAsia="宋体" w:cs="宋体"/>
          <w:b/>
          <w:sz w:val="24"/>
        </w:rPr>
        <w:t>而无法接受磋商小组询标的，供应商自行承担相关风险。</w:t>
      </w:r>
    </w:p>
    <w:p w14:paraId="164BB19E">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17.最后报价</w:t>
      </w:r>
    </w:p>
    <w:p w14:paraId="70E9AF12">
      <w:pPr>
        <w:spacing w:line="360" w:lineRule="auto"/>
        <w:ind w:firstLine="435"/>
        <w:rPr>
          <w:rFonts w:hint="eastAsia" w:ascii="宋体" w:hAnsi="宋体" w:eastAsia="宋体" w:cs="宋体"/>
          <w:sz w:val="24"/>
        </w:rPr>
      </w:pPr>
      <w:r>
        <w:rPr>
          <w:rFonts w:hint="eastAsia" w:ascii="宋体" w:hAnsi="宋体" w:eastAsia="宋体" w:cs="宋体"/>
          <w:sz w:val="24"/>
        </w:rPr>
        <w:t>17.1磋商并不限定只进行二轮报价，如果磋商小组认为有必要，可以要求供应商进行多轮报价。</w:t>
      </w:r>
    </w:p>
    <w:p w14:paraId="4FEE39FA">
      <w:pPr>
        <w:spacing w:line="360" w:lineRule="auto"/>
        <w:ind w:firstLine="435"/>
        <w:rPr>
          <w:rFonts w:hint="eastAsia" w:ascii="宋体" w:hAnsi="宋体" w:eastAsia="宋体" w:cs="宋体"/>
          <w:sz w:val="24"/>
        </w:rPr>
      </w:pPr>
      <w:r>
        <w:rPr>
          <w:rFonts w:hint="eastAsia" w:ascii="宋体" w:hAnsi="宋体" w:eastAsia="宋体" w:cs="宋体"/>
          <w:sz w:val="24"/>
        </w:rPr>
        <w:t>17.2在磋商内容不做实质性变更或重大调整的前提下，供应商下轮报价不得高于上一轮报价。</w:t>
      </w:r>
    </w:p>
    <w:p w14:paraId="01331027">
      <w:pPr>
        <w:spacing w:line="360" w:lineRule="auto"/>
        <w:ind w:firstLine="435"/>
        <w:rPr>
          <w:rFonts w:hint="eastAsia" w:ascii="宋体" w:hAnsi="宋体" w:eastAsia="宋体" w:cs="宋体"/>
          <w:sz w:val="24"/>
        </w:rPr>
      </w:pPr>
      <w:r>
        <w:rPr>
          <w:rFonts w:hint="eastAsia" w:ascii="宋体" w:hAnsi="宋体" w:eastAsia="宋体" w:cs="宋体"/>
          <w:sz w:val="24"/>
        </w:rPr>
        <w:t>17.3最后报价是供应商响应文件的有效组成部分，最后报价也是签订合同的依据。</w:t>
      </w:r>
    </w:p>
    <w:p w14:paraId="1EFF63F7">
      <w:pPr>
        <w:spacing w:line="360" w:lineRule="auto"/>
        <w:ind w:firstLine="435"/>
        <w:rPr>
          <w:rFonts w:hint="eastAsia" w:ascii="宋体" w:hAnsi="宋体" w:eastAsia="宋体" w:cs="宋体"/>
          <w:sz w:val="24"/>
        </w:rPr>
      </w:pPr>
      <w:r>
        <w:rPr>
          <w:rFonts w:hint="eastAsia" w:ascii="宋体" w:hAnsi="宋体" w:eastAsia="宋体" w:cs="宋体"/>
          <w:sz w:val="24"/>
        </w:rPr>
        <w:t>17.4根据《政府采购促进中小企业发展管理办法》（财库〔2020〕46号）、《三部门联合发布关于促进残疾人就业政府采购政策的通知》（财库〔2017〕141号）和《财政部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w:t>
      </w:r>
      <w:r>
        <w:rPr>
          <w:rFonts w:hint="eastAsia" w:ascii="宋体" w:hAnsi="宋体" w:eastAsia="宋体" w:cs="宋体"/>
          <w:sz w:val="24"/>
          <w:u w:val="single"/>
        </w:rPr>
        <w:t>供应商须知前附表</w:t>
      </w:r>
      <w:r>
        <w:rPr>
          <w:rFonts w:hint="eastAsia" w:ascii="宋体" w:hAnsi="宋体" w:eastAsia="宋体" w:cs="宋体"/>
          <w:sz w:val="24"/>
        </w:rPr>
        <w:t>中规定的标准扣除后的价格参与评审。对于同时属于小微企业、监狱企业或残疾人福利性单位的，不重复进行最后报价扣除。</w:t>
      </w:r>
    </w:p>
    <w:p w14:paraId="46AAAC42">
      <w:pPr>
        <w:spacing w:line="360" w:lineRule="auto"/>
        <w:ind w:firstLine="435"/>
        <w:rPr>
          <w:rFonts w:hint="eastAsia" w:ascii="宋体" w:hAnsi="宋体" w:eastAsia="宋体" w:cs="宋体"/>
          <w:sz w:val="24"/>
        </w:rPr>
      </w:pPr>
      <w:r>
        <w:rPr>
          <w:rFonts w:hint="eastAsia" w:ascii="宋体" w:hAnsi="宋体" w:eastAsia="宋体" w:cs="宋体"/>
          <w:sz w:val="24"/>
        </w:rPr>
        <w:t>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w:t>
      </w:r>
      <w:r>
        <w:rPr>
          <w:rFonts w:hint="eastAsia" w:ascii="宋体" w:hAnsi="宋体" w:eastAsia="宋体" w:cs="宋体"/>
          <w:sz w:val="24"/>
          <w:u w:val="single"/>
        </w:rPr>
        <w:t>供应商须知前附表</w:t>
      </w:r>
      <w:r>
        <w:rPr>
          <w:rFonts w:hint="eastAsia" w:ascii="宋体" w:hAnsi="宋体" w:eastAsia="宋体" w:cs="宋体"/>
          <w:sz w:val="24"/>
        </w:rPr>
        <w:t>中规定的标准扣除后的价格参与评审。组成联合体或者接受分包的小微企业与联合体内其他企业、分包企业之间存在直接控股、管理关系的，不享受价格扣除优惠政策。</w:t>
      </w:r>
    </w:p>
    <w:p w14:paraId="1C9F47CB">
      <w:pPr>
        <w:spacing w:line="360" w:lineRule="auto"/>
        <w:ind w:firstLine="435"/>
        <w:rPr>
          <w:rFonts w:hint="eastAsia"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2591F071">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18.成交候选供应商的推荐原则及标准</w:t>
      </w:r>
    </w:p>
    <w:p w14:paraId="6AC1F3A4">
      <w:pPr>
        <w:spacing w:line="360" w:lineRule="auto"/>
        <w:ind w:firstLine="435"/>
        <w:rPr>
          <w:rFonts w:hint="eastAsia" w:ascii="宋体" w:hAnsi="宋体" w:eastAsia="宋体" w:cs="宋体"/>
          <w:sz w:val="24"/>
        </w:rPr>
      </w:pPr>
      <w:r>
        <w:rPr>
          <w:rFonts w:hint="eastAsia" w:ascii="宋体" w:hAnsi="宋体" w:eastAsia="宋体" w:cs="宋体"/>
          <w:sz w:val="24"/>
        </w:rPr>
        <w:t>18.1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2DACDD8E">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19.确定成交候选供应商和成交供应商</w:t>
      </w:r>
    </w:p>
    <w:p w14:paraId="5BBC578B">
      <w:pPr>
        <w:spacing w:line="360" w:lineRule="auto"/>
        <w:ind w:firstLine="435"/>
        <w:rPr>
          <w:rFonts w:hint="eastAsia" w:ascii="宋体" w:hAnsi="宋体" w:eastAsia="宋体" w:cs="宋体"/>
          <w:sz w:val="24"/>
        </w:rPr>
      </w:pPr>
      <w:r>
        <w:rPr>
          <w:rFonts w:hint="eastAsia" w:ascii="宋体" w:hAnsi="宋体" w:eastAsia="宋体" w:cs="宋体"/>
          <w:sz w:val="24"/>
        </w:rPr>
        <w:t>19.1磋商小组根据综合评分的结果和</w:t>
      </w:r>
      <w:r>
        <w:rPr>
          <w:rFonts w:hint="eastAsia" w:ascii="宋体" w:hAnsi="宋体" w:eastAsia="宋体" w:cs="宋体"/>
          <w:sz w:val="24"/>
          <w:u w:val="single"/>
        </w:rPr>
        <w:t>供应商须知前附表</w:t>
      </w:r>
      <w:r>
        <w:rPr>
          <w:rFonts w:hint="eastAsia" w:ascii="宋体" w:hAnsi="宋体" w:eastAsia="宋体" w:cs="宋体"/>
          <w:sz w:val="24"/>
        </w:rPr>
        <w:t>中规定确定成交候选供应商，并标明排列顺序。按</w:t>
      </w:r>
      <w:r>
        <w:rPr>
          <w:rFonts w:hint="eastAsia" w:ascii="宋体" w:hAnsi="宋体" w:eastAsia="宋体" w:cs="宋体"/>
          <w:sz w:val="24"/>
          <w:u w:val="single"/>
        </w:rPr>
        <w:t>供应商须知前附表</w:t>
      </w:r>
      <w:r>
        <w:rPr>
          <w:rFonts w:hint="eastAsia" w:ascii="宋体" w:hAnsi="宋体" w:eastAsia="宋体" w:cs="宋体"/>
          <w:sz w:val="24"/>
        </w:rPr>
        <w:t>中规定，由磋商小组或采购人确定成交供应商。</w:t>
      </w:r>
    </w:p>
    <w:p w14:paraId="637749DC">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20.编写评审报告</w:t>
      </w:r>
    </w:p>
    <w:p w14:paraId="72595902">
      <w:pPr>
        <w:spacing w:line="360" w:lineRule="auto"/>
        <w:ind w:firstLine="435"/>
        <w:rPr>
          <w:rFonts w:hint="eastAsia" w:ascii="宋体" w:hAnsi="宋体" w:eastAsia="宋体" w:cs="宋体"/>
          <w:sz w:val="24"/>
        </w:rPr>
      </w:pPr>
      <w:r>
        <w:rPr>
          <w:rFonts w:hint="eastAsia" w:ascii="宋体" w:hAnsi="宋体" w:eastAsia="宋体" w:cs="宋体"/>
          <w:sz w:val="24"/>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68B884A1">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21.保密要求</w:t>
      </w:r>
    </w:p>
    <w:p w14:paraId="09C50BB4">
      <w:pPr>
        <w:spacing w:line="360" w:lineRule="auto"/>
        <w:ind w:firstLine="435"/>
        <w:rPr>
          <w:rFonts w:hint="eastAsia" w:ascii="宋体" w:hAnsi="宋体" w:eastAsia="宋体" w:cs="宋体"/>
          <w:sz w:val="24"/>
        </w:rPr>
      </w:pPr>
      <w:r>
        <w:rPr>
          <w:rFonts w:hint="eastAsia" w:ascii="宋体" w:hAnsi="宋体" w:eastAsia="宋体" w:cs="宋体"/>
          <w:sz w:val="24"/>
        </w:rPr>
        <w:t>21.1评审将在严格保密的情况下进行。</w:t>
      </w:r>
    </w:p>
    <w:p w14:paraId="675EAB7D">
      <w:pPr>
        <w:spacing w:line="360" w:lineRule="auto"/>
        <w:ind w:firstLine="435"/>
        <w:rPr>
          <w:rFonts w:hint="eastAsia" w:ascii="宋体" w:hAnsi="宋体" w:eastAsia="宋体" w:cs="宋体"/>
          <w:sz w:val="24"/>
        </w:rPr>
      </w:pPr>
      <w:r>
        <w:rPr>
          <w:rFonts w:hint="eastAsia" w:ascii="宋体" w:hAnsi="宋体" w:eastAsia="宋体" w:cs="宋体"/>
          <w:sz w:val="24"/>
        </w:rPr>
        <w:t>21.2有关人员应当遵守评审工作纪律，不得泄露评审文件、评审情况和评审中获悉的国家秘密、商业秘密。</w:t>
      </w:r>
    </w:p>
    <w:p w14:paraId="35E5D5F8">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22.成交结果公告</w:t>
      </w:r>
    </w:p>
    <w:p w14:paraId="4D4E52BA">
      <w:pPr>
        <w:spacing w:line="360" w:lineRule="auto"/>
        <w:ind w:firstLine="435"/>
        <w:rPr>
          <w:rFonts w:hint="eastAsia" w:ascii="宋体" w:hAnsi="宋体" w:eastAsia="宋体" w:cs="宋体"/>
          <w:sz w:val="24"/>
        </w:rPr>
      </w:pPr>
      <w:r>
        <w:rPr>
          <w:rFonts w:hint="eastAsia" w:ascii="宋体" w:hAnsi="宋体" w:eastAsia="宋体" w:cs="宋体"/>
          <w:sz w:val="24"/>
        </w:rPr>
        <w:t>22.1为体现“公开、公平、公正”的原则，磋商结束后，</w:t>
      </w:r>
      <w:r>
        <w:rPr>
          <w:rFonts w:hint="eastAsia" w:ascii="宋体" w:hAnsi="宋体" w:eastAsia="宋体" w:cs="宋体"/>
          <w:sz w:val="24"/>
          <w:szCs w:val="18"/>
        </w:rPr>
        <w:t>采购代理机构将在安徽省政府采购网</w:t>
      </w:r>
      <w:r>
        <w:rPr>
          <w:rFonts w:hint="eastAsia" w:ascii="宋体" w:hAnsi="宋体" w:eastAsia="宋体" w:cs="宋体"/>
          <w:sz w:val="24"/>
          <w:szCs w:val="18"/>
          <w:lang w:eastAsia="zh-CN"/>
        </w:rPr>
        <w:t>、</w:t>
      </w:r>
      <w:r>
        <w:rPr>
          <w:rFonts w:hint="eastAsia" w:ascii="宋体" w:hAnsi="宋体" w:eastAsia="宋体" w:cs="宋体"/>
          <w:sz w:val="24"/>
          <w:szCs w:val="18"/>
          <w:lang w:val="en-US" w:eastAsia="zh-CN"/>
        </w:rPr>
        <w:t>安徽省淮河河道管理局网</w:t>
      </w:r>
      <w:r>
        <w:rPr>
          <w:rFonts w:hint="eastAsia" w:ascii="宋体" w:hAnsi="宋体" w:eastAsia="宋体" w:cs="宋体"/>
          <w:sz w:val="24"/>
        </w:rPr>
        <w:t>上发布成交结果公告。</w:t>
      </w:r>
    </w:p>
    <w:p w14:paraId="50C875EC">
      <w:pPr>
        <w:spacing w:line="360" w:lineRule="auto"/>
        <w:ind w:firstLine="435"/>
        <w:rPr>
          <w:rFonts w:hint="eastAsia" w:ascii="宋体" w:hAnsi="宋体" w:eastAsia="宋体" w:cs="宋体"/>
          <w:sz w:val="24"/>
        </w:rPr>
      </w:pPr>
      <w:r>
        <w:rPr>
          <w:rFonts w:hint="eastAsia" w:ascii="宋体" w:hAnsi="宋体" w:eastAsia="宋体" w:cs="宋体"/>
          <w:sz w:val="24"/>
        </w:rPr>
        <w:t>22.2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sz w:val="24"/>
          <w:u w:val="single"/>
        </w:rPr>
        <w:t>供应商须知前附表</w:t>
      </w:r>
      <w:r>
        <w:rPr>
          <w:rFonts w:hint="eastAsia" w:ascii="宋体" w:hAnsi="宋体" w:eastAsia="宋体" w:cs="宋体"/>
          <w:sz w:val="24"/>
        </w:rPr>
        <w:t>中约定进行公告的内容。</w:t>
      </w:r>
    </w:p>
    <w:p w14:paraId="3560BC1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23.成交通知书</w:t>
      </w:r>
    </w:p>
    <w:p w14:paraId="5B1CCAFF">
      <w:pPr>
        <w:spacing w:line="360" w:lineRule="auto"/>
        <w:ind w:firstLine="435"/>
        <w:rPr>
          <w:rFonts w:hint="eastAsia" w:ascii="宋体" w:hAnsi="宋体" w:eastAsia="宋体" w:cs="宋体"/>
          <w:sz w:val="24"/>
        </w:rPr>
      </w:pPr>
      <w:r>
        <w:rPr>
          <w:rFonts w:hint="eastAsia" w:ascii="宋体" w:hAnsi="宋体" w:eastAsia="宋体" w:cs="宋体"/>
          <w:sz w:val="24"/>
        </w:rPr>
        <w:t>23.1采购代理机构发布成交结果公告的同时以</w:t>
      </w:r>
      <w:r>
        <w:rPr>
          <w:rFonts w:hint="eastAsia" w:ascii="宋体" w:hAnsi="宋体" w:eastAsia="宋体" w:cs="宋体"/>
          <w:sz w:val="24"/>
          <w:u w:val="single"/>
        </w:rPr>
        <w:t>供应商须知前附表</w:t>
      </w:r>
      <w:r>
        <w:rPr>
          <w:rFonts w:hint="eastAsia" w:ascii="宋体" w:hAnsi="宋体" w:eastAsia="宋体" w:cs="宋体"/>
          <w:sz w:val="24"/>
        </w:rPr>
        <w:t>规定的形式向成交供应商发出成交通知书。</w:t>
      </w:r>
    </w:p>
    <w:p w14:paraId="7AA47026">
      <w:pPr>
        <w:spacing w:line="360" w:lineRule="auto"/>
        <w:ind w:firstLine="435"/>
        <w:rPr>
          <w:rFonts w:hint="eastAsia" w:ascii="宋体" w:hAnsi="宋体" w:eastAsia="宋体" w:cs="宋体"/>
          <w:sz w:val="24"/>
        </w:rPr>
      </w:pPr>
      <w:r>
        <w:rPr>
          <w:rFonts w:hint="eastAsia" w:ascii="宋体" w:hAnsi="宋体" w:eastAsia="宋体" w:cs="宋体"/>
          <w:sz w:val="24"/>
        </w:rPr>
        <w:t>23.2成交通知书对采购人和成交供应商具有同等法律效力。成交通知书发出以后，采购人改变成交结果或者成交供应商放弃成交资格，应当承担相应的法律责任。</w:t>
      </w:r>
    </w:p>
    <w:p w14:paraId="116F6801">
      <w:pPr>
        <w:spacing w:line="360" w:lineRule="auto"/>
        <w:ind w:firstLine="435"/>
        <w:rPr>
          <w:rFonts w:hint="eastAsia" w:ascii="宋体" w:hAnsi="宋体" w:eastAsia="宋体" w:cs="宋体"/>
          <w:sz w:val="24"/>
        </w:rPr>
      </w:pPr>
      <w:r>
        <w:rPr>
          <w:rFonts w:hint="eastAsia" w:ascii="宋体" w:hAnsi="宋体" w:eastAsia="宋体" w:cs="宋体"/>
          <w:sz w:val="24"/>
        </w:rPr>
        <w:t>23.3成交通知书是合同的组成部分。</w:t>
      </w:r>
    </w:p>
    <w:p w14:paraId="79F5AE20">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24.告知磋商结果</w:t>
      </w:r>
    </w:p>
    <w:p w14:paraId="6125F191">
      <w:pPr>
        <w:spacing w:line="360" w:lineRule="auto"/>
        <w:ind w:firstLine="435"/>
        <w:rPr>
          <w:rFonts w:hint="eastAsia" w:ascii="宋体" w:hAnsi="宋体" w:eastAsia="宋体" w:cs="宋体"/>
          <w:sz w:val="24"/>
        </w:rPr>
      </w:pPr>
      <w:r>
        <w:rPr>
          <w:rFonts w:hint="eastAsia" w:ascii="宋体" w:hAnsi="宋体" w:eastAsia="宋体" w:cs="宋体"/>
          <w:sz w:val="24"/>
        </w:rPr>
        <w:t>24.1在公告成交结果的同时，采购代理机构同时以</w:t>
      </w:r>
      <w:r>
        <w:rPr>
          <w:rFonts w:hint="eastAsia" w:ascii="宋体" w:hAnsi="宋体" w:eastAsia="宋体" w:cs="宋体"/>
          <w:sz w:val="24"/>
          <w:u w:val="single"/>
        </w:rPr>
        <w:t>供应商须知前附表</w:t>
      </w:r>
      <w:r>
        <w:rPr>
          <w:rFonts w:hint="eastAsia" w:ascii="宋体" w:hAnsi="宋体" w:eastAsia="宋体" w:cs="宋体"/>
          <w:sz w:val="24"/>
        </w:rPr>
        <w:t>规定的形式告知未成交供应商本人的评审得分和排序。</w:t>
      </w:r>
    </w:p>
    <w:p w14:paraId="07B12FE8">
      <w:pPr>
        <w:spacing w:line="360" w:lineRule="auto"/>
        <w:ind w:firstLine="480" w:firstLineChars="200"/>
        <w:rPr>
          <w:rFonts w:hint="eastAsia" w:ascii="宋体" w:hAnsi="宋体" w:eastAsia="宋体" w:cs="宋体"/>
          <w:sz w:val="24"/>
        </w:rPr>
      </w:pPr>
      <w:r>
        <w:rPr>
          <w:rFonts w:hint="eastAsia" w:ascii="宋体" w:hAnsi="宋体" w:eastAsia="宋体" w:cs="宋体"/>
          <w:sz w:val="24"/>
        </w:rPr>
        <w:t>24.2采购代理机构对未成交的供应商不做未成交原因的解释。</w:t>
      </w:r>
    </w:p>
    <w:p w14:paraId="33877DCC">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25.履约保证金</w:t>
      </w:r>
    </w:p>
    <w:p w14:paraId="6FF1BC85">
      <w:pPr>
        <w:spacing w:line="360" w:lineRule="auto"/>
        <w:ind w:firstLine="435"/>
        <w:rPr>
          <w:rFonts w:hint="eastAsia" w:ascii="宋体" w:hAnsi="宋体" w:eastAsia="宋体" w:cs="宋体"/>
          <w:sz w:val="24"/>
        </w:rPr>
      </w:pPr>
      <w:r>
        <w:rPr>
          <w:rFonts w:hint="eastAsia" w:ascii="宋体" w:hAnsi="宋体" w:eastAsia="宋体" w:cs="宋体"/>
          <w:sz w:val="24"/>
        </w:rPr>
        <w:t>25.1成交供应商应按照</w:t>
      </w:r>
      <w:r>
        <w:rPr>
          <w:rFonts w:hint="eastAsia" w:ascii="宋体" w:hAnsi="宋体" w:eastAsia="宋体" w:cs="宋体"/>
          <w:sz w:val="24"/>
          <w:u w:val="single"/>
        </w:rPr>
        <w:t>供应商须知前附表</w:t>
      </w:r>
      <w:r>
        <w:rPr>
          <w:rFonts w:hint="eastAsia" w:ascii="宋体" w:hAnsi="宋体" w:eastAsia="宋体" w:cs="宋体"/>
          <w:sz w:val="24"/>
        </w:rPr>
        <w:t>规定缴纳履约保证金。</w:t>
      </w:r>
    </w:p>
    <w:p w14:paraId="27DA2A1C">
      <w:pPr>
        <w:spacing w:line="360" w:lineRule="auto"/>
        <w:ind w:firstLine="435"/>
        <w:rPr>
          <w:rFonts w:hint="eastAsia" w:ascii="宋体" w:hAnsi="宋体" w:eastAsia="宋体" w:cs="宋体"/>
          <w:sz w:val="24"/>
        </w:rPr>
      </w:pPr>
      <w:r>
        <w:rPr>
          <w:rFonts w:hint="eastAsia" w:ascii="宋体" w:hAnsi="宋体" w:eastAsia="宋体" w:cs="宋体"/>
          <w:sz w:val="24"/>
        </w:rPr>
        <w:t>25.2如果成交供应商没有按照上述履约保证金的规定执行，将视为放弃成交资格。在此情况下，采购人可确定下一成交候选供应商为成交供应商，也可以重新开展采购活动。</w:t>
      </w:r>
    </w:p>
    <w:p w14:paraId="778E4E4F">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26.代理费用</w:t>
      </w:r>
    </w:p>
    <w:p w14:paraId="295F1A3F">
      <w:pPr>
        <w:spacing w:line="360" w:lineRule="auto"/>
        <w:ind w:firstLine="435"/>
        <w:rPr>
          <w:rFonts w:hint="eastAsia" w:ascii="宋体" w:hAnsi="宋体" w:eastAsia="宋体" w:cs="宋体"/>
          <w:sz w:val="24"/>
        </w:rPr>
      </w:pPr>
      <w:r>
        <w:rPr>
          <w:rFonts w:hint="eastAsia" w:ascii="宋体" w:hAnsi="宋体" w:eastAsia="宋体" w:cs="宋体"/>
          <w:sz w:val="24"/>
        </w:rPr>
        <w:t>26.1本项目代理费用的收取按</w:t>
      </w:r>
      <w:r>
        <w:rPr>
          <w:rFonts w:hint="eastAsia" w:ascii="宋体" w:hAnsi="宋体" w:eastAsia="宋体" w:cs="宋体"/>
          <w:sz w:val="24"/>
          <w:u w:val="single"/>
        </w:rPr>
        <w:t>供应商须知前附表</w:t>
      </w:r>
      <w:r>
        <w:rPr>
          <w:rFonts w:hint="eastAsia" w:ascii="宋体" w:hAnsi="宋体" w:eastAsia="宋体" w:cs="宋体"/>
          <w:sz w:val="24"/>
        </w:rPr>
        <w:t>的规定执行。</w:t>
      </w:r>
    </w:p>
    <w:p w14:paraId="407EABF1">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27.签订合同</w:t>
      </w:r>
    </w:p>
    <w:p w14:paraId="56971A36">
      <w:pPr>
        <w:spacing w:line="360" w:lineRule="auto"/>
        <w:ind w:firstLine="435"/>
        <w:rPr>
          <w:rFonts w:hint="eastAsia" w:ascii="宋体" w:hAnsi="宋体" w:eastAsia="宋体" w:cs="宋体"/>
          <w:sz w:val="24"/>
        </w:rPr>
      </w:pPr>
      <w:r>
        <w:rPr>
          <w:rFonts w:hint="eastAsia" w:ascii="宋体" w:hAnsi="宋体" w:eastAsia="宋体" w:cs="宋体"/>
          <w:sz w:val="24"/>
        </w:rPr>
        <w:t>27.1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规定的时间内完成政府采购合同签订及合同公告。</w:t>
      </w:r>
    </w:p>
    <w:p w14:paraId="7DD56567">
      <w:pPr>
        <w:spacing w:line="360" w:lineRule="auto"/>
        <w:ind w:firstLine="480" w:firstLineChars="200"/>
        <w:rPr>
          <w:rFonts w:hint="eastAsia" w:ascii="宋体" w:hAnsi="宋体" w:eastAsia="宋体" w:cs="宋体"/>
          <w:sz w:val="24"/>
        </w:rPr>
      </w:pPr>
      <w:r>
        <w:rPr>
          <w:rFonts w:hint="eastAsia" w:ascii="宋体" w:hAnsi="宋体" w:eastAsia="宋体" w:cs="宋体"/>
          <w:sz w:val="24"/>
        </w:rPr>
        <w:t>27.2磋商文件、成交供应商的响应文件及其澄清文件等，均为签订合同的依据。</w:t>
      </w:r>
    </w:p>
    <w:p w14:paraId="7EA00DCF">
      <w:pPr>
        <w:spacing w:line="360" w:lineRule="auto"/>
        <w:ind w:firstLine="480" w:firstLineChars="200"/>
        <w:rPr>
          <w:rFonts w:hint="eastAsia" w:ascii="宋体" w:hAnsi="宋体" w:eastAsia="宋体" w:cs="宋体"/>
          <w:sz w:val="24"/>
        </w:rPr>
      </w:pPr>
      <w:r>
        <w:rPr>
          <w:rFonts w:hint="eastAsia" w:ascii="宋体" w:hAnsi="宋体" w:eastAsia="宋体" w:cs="宋体"/>
          <w:sz w:val="24"/>
        </w:rPr>
        <w:t>27.3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5D3EC5E5">
      <w:pPr>
        <w:spacing w:line="360" w:lineRule="auto"/>
        <w:ind w:firstLine="470" w:firstLineChars="196"/>
        <w:rPr>
          <w:rFonts w:hint="eastAsia" w:ascii="宋体" w:hAnsi="宋体" w:eastAsia="宋体" w:cs="宋体"/>
          <w:sz w:val="24"/>
        </w:rPr>
      </w:pPr>
      <w:bookmarkStart w:id="32" w:name="_Hlk60264926"/>
      <w:r>
        <w:rPr>
          <w:rFonts w:hint="eastAsia" w:ascii="宋体" w:hAnsi="宋体" w:eastAsia="宋体" w:cs="宋体"/>
          <w:sz w:val="24"/>
        </w:rPr>
        <w:t>27.4依据《政府采购促进中小企业发展管理办法》（财库〔2020〕46号）规定享受扶持政策获得政府采购合同的，小微企业不得将合同分包给大中型企业，中型企业不得将合同分包给大型企业。</w:t>
      </w:r>
      <w:bookmarkEnd w:id="32"/>
    </w:p>
    <w:p w14:paraId="4C3ABA3B">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28.廉洁自律规定</w:t>
      </w:r>
    </w:p>
    <w:p w14:paraId="040753B0">
      <w:pPr>
        <w:spacing w:line="360" w:lineRule="auto"/>
        <w:ind w:firstLine="435"/>
        <w:rPr>
          <w:rFonts w:hint="eastAsia" w:ascii="宋体" w:hAnsi="宋体" w:eastAsia="宋体" w:cs="宋体"/>
          <w:sz w:val="24"/>
        </w:rPr>
      </w:pPr>
      <w:r>
        <w:rPr>
          <w:rFonts w:hint="eastAsia" w:ascii="宋体" w:hAnsi="宋体" w:eastAsia="宋体" w:cs="宋体"/>
          <w:sz w:val="24"/>
        </w:rPr>
        <w:t>28.1采购代理机构工作人员不得以不正当手段获取政府采购代理业务，不得与采购人、供应商恶意串通。</w:t>
      </w:r>
    </w:p>
    <w:p w14:paraId="282229C8">
      <w:pPr>
        <w:spacing w:line="360" w:lineRule="auto"/>
        <w:ind w:firstLine="435"/>
        <w:rPr>
          <w:rFonts w:hint="eastAsia" w:ascii="宋体" w:hAnsi="宋体" w:eastAsia="宋体" w:cs="宋体"/>
          <w:sz w:val="24"/>
        </w:rPr>
      </w:pPr>
      <w:r>
        <w:rPr>
          <w:rFonts w:hint="eastAsia" w:ascii="宋体" w:hAnsi="宋体" w:eastAsia="宋体" w:cs="宋体"/>
          <w:sz w:val="24"/>
        </w:rPr>
        <w:t>28.2采购代理机构工作人员不得接受采购人或者供应商组织的宴请、旅游、娱乐，不得收受礼品、现金、有价证券等，不得向采购人或者供应商报销应当由个人承担的费用。</w:t>
      </w:r>
    </w:p>
    <w:p w14:paraId="41A9A2E4">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29.质疑的提出与接收</w:t>
      </w:r>
    </w:p>
    <w:p w14:paraId="23DAD860">
      <w:pPr>
        <w:spacing w:line="360" w:lineRule="auto"/>
        <w:ind w:firstLine="435"/>
        <w:rPr>
          <w:rFonts w:hint="eastAsia" w:ascii="宋体" w:hAnsi="宋体" w:eastAsia="宋体" w:cs="宋体"/>
          <w:sz w:val="24"/>
        </w:rPr>
      </w:pPr>
      <w:r>
        <w:rPr>
          <w:rFonts w:hint="eastAsia" w:ascii="宋体" w:hAnsi="宋体" w:eastAsia="宋体" w:cs="宋体"/>
          <w:sz w:val="24"/>
        </w:rPr>
        <w:t>29.1供应商认为磋商文件、采购过程和成交结果使自己的权益受到损害的，可以在知道或者应知其权益受到损害之日起七个工作日内，以书面形式向采购人或其委托的采购代理机构提出质疑。</w:t>
      </w:r>
    </w:p>
    <w:p w14:paraId="1DABA2A9">
      <w:pPr>
        <w:spacing w:line="360" w:lineRule="auto"/>
        <w:ind w:firstLine="435"/>
        <w:rPr>
          <w:rFonts w:hint="eastAsia" w:ascii="宋体" w:hAnsi="宋体" w:eastAsia="宋体" w:cs="宋体"/>
          <w:sz w:val="24"/>
        </w:rPr>
      </w:pPr>
      <w:r>
        <w:rPr>
          <w:rFonts w:hint="eastAsia" w:ascii="宋体" w:hAnsi="宋体" w:eastAsia="宋体" w:cs="宋体"/>
          <w:sz w:val="24"/>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5C8BE152">
      <w:pPr>
        <w:spacing w:line="360" w:lineRule="auto"/>
        <w:ind w:firstLine="435"/>
        <w:rPr>
          <w:rFonts w:hint="eastAsia" w:ascii="宋体" w:hAnsi="宋体" w:eastAsia="宋体" w:cs="宋体"/>
          <w:sz w:val="24"/>
        </w:rPr>
      </w:pPr>
      <w:r>
        <w:rPr>
          <w:rFonts w:hint="eastAsia" w:ascii="宋体" w:hAnsi="宋体" w:eastAsia="宋体" w:cs="宋体"/>
          <w:sz w:val="24"/>
        </w:rPr>
        <w:t>29.3采购代理机构质疑函接收部门、联系电话和通讯地址，见</w:t>
      </w:r>
      <w:r>
        <w:rPr>
          <w:rFonts w:hint="eastAsia" w:ascii="宋体" w:hAnsi="宋体" w:eastAsia="宋体" w:cs="宋体"/>
          <w:sz w:val="24"/>
          <w:u w:val="single"/>
        </w:rPr>
        <w:t>供应商须知前附表</w:t>
      </w:r>
      <w:r>
        <w:rPr>
          <w:rFonts w:hint="eastAsia" w:ascii="宋体" w:hAnsi="宋体" w:eastAsia="宋体" w:cs="宋体"/>
          <w:sz w:val="24"/>
        </w:rPr>
        <w:t>。</w:t>
      </w:r>
    </w:p>
    <w:p w14:paraId="7D4FDBE7">
      <w:pPr>
        <w:spacing w:line="360" w:lineRule="auto"/>
        <w:ind w:firstLine="435"/>
        <w:rPr>
          <w:rFonts w:hint="eastAsia" w:ascii="宋体" w:hAnsi="宋体" w:eastAsia="宋体" w:cs="宋体"/>
          <w:sz w:val="24"/>
        </w:rPr>
      </w:pPr>
      <w:r>
        <w:rPr>
          <w:rFonts w:hint="eastAsia" w:ascii="宋体" w:hAnsi="宋体" w:eastAsia="宋体" w:cs="宋体"/>
          <w:sz w:val="24"/>
        </w:rPr>
        <w:t>注：上述条款中所要求的书面形式包含通过电子交易系统递交方式。</w:t>
      </w:r>
    </w:p>
    <w:p w14:paraId="7BB43A4E">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30.需要补充的其他内容</w:t>
      </w:r>
    </w:p>
    <w:p w14:paraId="4C2DB93F">
      <w:pPr>
        <w:spacing w:line="360" w:lineRule="auto"/>
        <w:ind w:firstLine="437"/>
        <w:rPr>
          <w:rFonts w:hint="eastAsia" w:ascii="宋体" w:hAnsi="宋体" w:eastAsia="宋体" w:cs="宋体"/>
          <w:b/>
          <w:sz w:val="28"/>
        </w:rPr>
      </w:pPr>
      <w:r>
        <w:rPr>
          <w:rFonts w:hint="eastAsia" w:ascii="宋体" w:hAnsi="宋体" w:eastAsia="宋体" w:cs="宋体"/>
          <w:sz w:val="24"/>
        </w:rPr>
        <w:t>需要补充的其他内容，见</w:t>
      </w:r>
      <w:r>
        <w:rPr>
          <w:rFonts w:hint="eastAsia" w:ascii="宋体" w:hAnsi="宋体" w:eastAsia="宋体" w:cs="宋体"/>
          <w:sz w:val="24"/>
          <w:u w:val="single"/>
        </w:rPr>
        <w:t>供应商须知前附表</w:t>
      </w:r>
      <w:r>
        <w:rPr>
          <w:rFonts w:hint="eastAsia" w:ascii="宋体" w:hAnsi="宋体" w:eastAsia="宋体" w:cs="宋体"/>
          <w:sz w:val="24"/>
        </w:rPr>
        <w:t>。</w:t>
      </w:r>
      <w:r>
        <w:rPr>
          <w:rFonts w:hint="eastAsia" w:ascii="宋体" w:hAnsi="宋体" w:eastAsia="宋体" w:cs="宋体"/>
          <w:sz w:val="24"/>
        </w:rPr>
        <w:br w:type="page"/>
      </w:r>
    </w:p>
    <w:p w14:paraId="112889EB">
      <w:pPr>
        <w:spacing w:line="360" w:lineRule="auto"/>
        <w:jc w:val="center"/>
        <w:outlineLvl w:val="0"/>
        <w:rPr>
          <w:rFonts w:hint="eastAsia" w:ascii="宋体" w:hAnsi="宋体" w:eastAsia="宋体" w:cs="宋体"/>
          <w:b/>
          <w:sz w:val="28"/>
        </w:rPr>
      </w:pPr>
      <w:bookmarkStart w:id="33" w:name="_Toc19440"/>
      <w:r>
        <w:rPr>
          <w:rFonts w:hint="eastAsia" w:ascii="宋体" w:hAnsi="宋体" w:eastAsia="宋体" w:cs="宋体"/>
          <w:b/>
          <w:sz w:val="28"/>
        </w:rPr>
        <w:t>第三章  采购需求</w:t>
      </w:r>
      <w:bookmarkEnd w:id="33"/>
    </w:p>
    <w:p w14:paraId="5B3FC2A7">
      <w:pPr>
        <w:spacing w:line="360" w:lineRule="auto"/>
        <w:rPr>
          <w:rFonts w:hint="eastAsia" w:ascii="宋体" w:hAnsi="宋体" w:eastAsia="宋体" w:cs="宋体"/>
          <w:b/>
          <w:sz w:val="24"/>
        </w:rPr>
      </w:pPr>
      <w:r>
        <w:rPr>
          <w:rFonts w:hint="eastAsia" w:ascii="宋体" w:hAnsi="宋体" w:eastAsia="宋体" w:cs="宋体"/>
          <w:b/>
          <w:sz w:val="24"/>
        </w:rPr>
        <w:t>前注：</w:t>
      </w:r>
    </w:p>
    <w:p w14:paraId="381B690B">
      <w:pPr>
        <w:spacing w:line="360" w:lineRule="auto"/>
        <w:ind w:firstLine="435"/>
        <w:rPr>
          <w:rFonts w:hint="eastAsia" w:ascii="宋体" w:hAnsi="宋体" w:eastAsia="宋体" w:cs="宋体"/>
          <w:sz w:val="24"/>
        </w:rPr>
      </w:pPr>
      <w:r>
        <w:rPr>
          <w:rFonts w:hint="eastAsia" w:ascii="宋体" w:hAnsi="宋体" w:eastAsia="宋体" w:cs="宋体"/>
          <w:sz w:val="24"/>
          <w:szCs w:val="24"/>
        </w:rPr>
        <w:t>本采购需求中提出的服务方案仅为参考，如无明确限制，供应商可以进行优化，提供满足采购人实际需要的更优（或者性能实质上不低于的）服务方案，且此方案须经磋商小组评审认可。</w:t>
      </w:r>
    </w:p>
    <w:p w14:paraId="0E99A5D0">
      <w:pPr>
        <w:spacing w:line="360" w:lineRule="auto"/>
        <w:ind w:firstLine="437"/>
        <w:outlineLvl w:val="1"/>
        <w:rPr>
          <w:rFonts w:hint="eastAsia" w:ascii="宋体" w:hAnsi="宋体" w:eastAsia="宋体" w:cs="宋体"/>
          <w:b/>
          <w:sz w:val="24"/>
          <w:szCs w:val="18"/>
        </w:rPr>
      </w:pPr>
      <w:bookmarkStart w:id="34" w:name="_Toc7699"/>
      <w:bookmarkStart w:id="35" w:name="_Toc26349"/>
      <w:r>
        <w:rPr>
          <w:rFonts w:hint="eastAsia" w:ascii="宋体" w:hAnsi="宋体" w:eastAsia="宋体" w:cs="宋体"/>
          <w:b/>
          <w:sz w:val="24"/>
          <w:szCs w:val="18"/>
        </w:rPr>
        <w:t>一、采购需求前附表</w:t>
      </w:r>
      <w:bookmarkEnd w:id="34"/>
      <w:bookmarkEnd w:id="35"/>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133"/>
        <w:gridCol w:w="5758"/>
      </w:tblGrid>
      <w:tr w14:paraId="4900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77AD5BC">
            <w:pPr>
              <w:pStyle w:val="42"/>
              <w:pBdr>
                <w:bottom w:val="none" w:color="auto" w:sz="0" w:space="0"/>
              </w:pBdr>
              <w:tabs>
                <w:tab w:val="clear" w:pos="4153"/>
                <w:tab w:val="clear" w:pos="8306"/>
              </w:tabs>
              <w:adjustRightInd/>
              <w:spacing w:line="240" w:lineRule="auto"/>
              <w:rPr>
                <w:rFonts w:hint="eastAsia" w:ascii="宋体" w:hAnsi="宋体" w:eastAsia="宋体" w:cs="宋体"/>
                <w:b/>
                <w:kern w:val="2"/>
              </w:rPr>
            </w:pPr>
            <w:r>
              <w:rPr>
                <w:rFonts w:hint="eastAsia" w:ascii="宋体" w:hAnsi="宋体" w:eastAsia="宋体" w:cs="宋体"/>
                <w:b/>
                <w:kern w:val="2"/>
              </w:rPr>
              <w:t>序号</w:t>
            </w:r>
          </w:p>
        </w:tc>
        <w:tc>
          <w:tcPr>
            <w:tcW w:w="1192" w:type="pct"/>
            <w:vAlign w:val="center"/>
          </w:tcPr>
          <w:p w14:paraId="7E665779">
            <w:pPr>
              <w:pStyle w:val="41"/>
              <w:widowControl w:val="0"/>
              <w:spacing w:before="0" w:beforeAutospacing="0" w:after="0" w:afterAutospacing="0"/>
              <w:rPr>
                <w:rFonts w:hint="eastAsia" w:ascii="宋体" w:hAnsi="宋体" w:eastAsia="宋体" w:cs="宋体"/>
                <w:bCs w:val="0"/>
                <w:sz w:val="24"/>
              </w:rPr>
            </w:pPr>
            <w:r>
              <w:rPr>
                <w:rFonts w:hint="eastAsia" w:ascii="宋体" w:hAnsi="宋体" w:eastAsia="宋体" w:cs="宋体"/>
                <w:bCs w:val="0"/>
                <w:sz w:val="24"/>
              </w:rPr>
              <w:t>条款名称</w:t>
            </w:r>
          </w:p>
        </w:tc>
        <w:tc>
          <w:tcPr>
            <w:tcW w:w="3217" w:type="pct"/>
            <w:vAlign w:val="center"/>
          </w:tcPr>
          <w:p w14:paraId="3736B66B">
            <w:pPr>
              <w:pStyle w:val="41"/>
              <w:widowControl w:val="0"/>
              <w:spacing w:before="0" w:beforeAutospacing="0" w:after="0" w:afterAutospacing="0"/>
              <w:rPr>
                <w:rFonts w:hint="eastAsia" w:ascii="宋体" w:hAnsi="宋体" w:eastAsia="宋体" w:cs="宋体"/>
                <w:bCs w:val="0"/>
                <w:sz w:val="24"/>
              </w:rPr>
            </w:pPr>
            <w:r>
              <w:rPr>
                <w:rFonts w:hint="eastAsia" w:ascii="宋体" w:hAnsi="宋体" w:eastAsia="宋体" w:cs="宋体"/>
                <w:bCs w:val="0"/>
                <w:sz w:val="24"/>
              </w:rPr>
              <w:t>内容、说明与要求</w:t>
            </w:r>
          </w:p>
        </w:tc>
      </w:tr>
      <w:tr w14:paraId="02E2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6" w:hRule="atLeast"/>
          <w:jc w:val="center"/>
        </w:trPr>
        <w:tc>
          <w:tcPr>
            <w:tcW w:w="590" w:type="pct"/>
            <w:vAlign w:val="center"/>
          </w:tcPr>
          <w:p w14:paraId="434EFCC7">
            <w:pPr>
              <w:pStyle w:val="42"/>
              <w:pBdr>
                <w:bottom w:val="none" w:color="auto" w:sz="0" w:space="0"/>
              </w:pBdr>
              <w:tabs>
                <w:tab w:val="clear" w:pos="4153"/>
                <w:tab w:val="clear" w:pos="8306"/>
              </w:tabs>
              <w:adjustRightInd/>
              <w:spacing w:line="240" w:lineRule="auto"/>
              <w:rPr>
                <w:rFonts w:hint="eastAsia" w:ascii="宋体" w:hAnsi="宋体" w:eastAsia="宋体" w:cs="宋体"/>
                <w:bCs/>
                <w:kern w:val="2"/>
              </w:rPr>
            </w:pPr>
            <w:r>
              <w:rPr>
                <w:rFonts w:hint="eastAsia" w:ascii="宋体" w:hAnsi="宋体" w:eastAsia="宋体" w:cs="宋体"/>
                <w:bCs/>
                <w:kern w:val="2"/>
              </w:rPr>
              <w:t>1</w:t>
            </w:r>
          </w:p>
        </w:tc>
        <w:tc>
          <w:tcPr>
            <w:tcW w:w="1192" w:type="pct"/>
            <w:vAlign w:val="center"/>
          </w:tcPr>
          <w:p w14:paraId="48442D0B">
            <w:pPr>
              <w:pStyle w:val="41"/>
              <w:widowControl w:val="0"/>
              <w:spacing w:before="0" w:beforeAutospacing="0" w:after="0" w:afterAutospacing="0"/>
              <w:rPr>
                <w:rFonts w:hint="eastAsia" w:ascii="宋体" w:hAnsi="宋体" w:eastAsia="宋体" w:cs="宋体"/>
                <w:b w:val="0"/>
                <w:sz w:val="24"/>
              </w:rPr>
            </w:pPr>
            <w:r>
              <w:rPr>
                <w:rFonts w:hint="eastAsia" w:ascii="宋体" w:hAnsi="宋体" w:eastAsia="宋体" w:cs="宋体"/>
                <w:b w:val="0"/>
                <w:sz w:val="24"/>
              </w:rPr>
              <w:t>付款方式</w:t>
            </w:r>
          </w:p>
        </w:tc>
        <w:tc>
          <w:tcPr>
            <w:tcW w:w="3217" w:type="pct"/>
            <w:vAlign w:val="center"/>
          </w:tcPr>
          <w:p w14:paraId="7A80D529">
            <w:pPr>
              <w:widowControl/>
              <w:spacing w:line="360" w:lineRule="auto"/>
              <w:ind w:firstLine="480" w:firstLineChars="200"/>
              <w:jc w:val="left"/>
              <w:rPr>
                <w:rFonts w:hint="eastAsia" w:ascii="宋体" w:hAnsi="宋体" w:eastAsia="宋体" w:cs="宋体"/>
                <w:bCs/>
                <w:kern w:val="0"/>
                <w:sz w:val="24"/>
                <w:szCs w:val="24"/>
              </w:rPr>
            </w:pPr>
            <w:bookmarkStart w:id="36" w:name="_Hlk190272502"/>
            <w:r>
              <w:rPr>
                <w:rFonts w:hint="eastAsia" w:ascii="宋体" w:hAnsi="宋体" w:eastAsia="宋体" w:cs="宋体"/>
                <w:bCs/>
                <w:kern w:val="0"/>
                <w:sz w:val="24"/>
                <w:szCs w:val="24"/>
                <w:lang w:val="en-US" w:eastAsia="zh-CN"/>
              </w:rPr>
              <w:t>①</w:t>
            </w:r>
            <w:r>
              <w:rPr>
                <w:rFonts w:hint="eastAsia" w:ascii="宋体" w:hAnsi="宋体" w:eastAsia="宋体" w:cs="宋体"/>
                <w:bCs/>
                <w:kern w:val="0"/>
                <w:sz w:val="24"/>
                <w:szCs w:val="24"/>
              </w:rPr>
              <w:t>合同签订后经乙方申请，并提交银行、保险公司、担保公司等金融机构出具的金额为合同总价40%的预付款保函作为担保，经甲方审核确认后，可向乙方支付合同总价的40%作为预付款；</w:t>
            </w:r>
          </w:p>
          <w:p w14:paraId="3B7E81C0">
            <w:pPr>
              <w:widowControl/>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sz w:val="24"/>
                <w:szCs w:val="24"/>
                <w:lang w:val="en-US" w:eastAsia="zh-CN"/>
              </w:rPr>
              <w:t>合同款按进度支付，项目观测完成后支付至合同价的90%，并一次性扣回所有预付款，年度验收合格并经结算审核后，支付至结算价的100%</w:t>
            </w:r>
            <w:r>
              <w:rPr>
                <w:rFonts w:hint="eastAsia" w:ascii="宋体" w:hAnsi="宋体" w:eastAsia="宋体" w:cs="宋体"/>
                <w:b/>
                <w:sz w:val="24"/>
                <w:szCs w:val="24"/>
              </w:rPr>
              <w:t>。</w:t>
            </w:r>
          </w:p>
          <w:p w14:paraId="692F5274">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备注：预付款支付前，乙方须提交银行、保险公司、担保公司等金融机构出具的预付款保函（见索即付保函）；</w:t>
            </w:r>
          </w:p>
          <w:p w14:paraId="5920D50A">
            <w:pPr>
              <w:widowControl/>
              <w:spacing w:line="360" w:lineRule="auto"/>
              <w:ind w:firstLine="480" w:firstLineChars="2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②</w:t>
            </w:r>
            <w:r>
              <w:rPr>
                <w:rFonts w:hint="eastAsia" w:ascii="宋体" w:hAnsi="宋体" w:eastAsia="宋体" w:cs="宋体"/>
                <w:bCs/>
                <w:kern w:val="0"/>
                <w:sz w:val="24"/>
                <w:szCs w:val="24"/>
              </w:rPr>
              <w:t>在签订合同时，乙方书面明确表示无需预付款，即乙方无需提供预付款担保，按皖财购〔2022〕556号规定，甲方可不再支付预付款</w:t>
            </w:r>
            <w:r>
              <w:rPr>
                <w:rFonts w:hint="eastAsia" w:ascii="宋体" w:hAnsi="宋体" w:eastAsia="宋体" w:cs="宋体"/>
                <w:bCs/>
                <w:kern w:val="0"/>
                <w:sz w:val="24"/>
                <w:szCs w:val="24"/>
                <w:lang w:eastAsia="zh-CN"/>
              </w:rPr>
              <w:t>。</w:t>
            </w:r>
          </w:p>
          <w:p w14:paraId="3FD1BFC2">
            <w:pPr>
              <w:widowControl/>
              <w:spacing w:line="360" w:lineRule="auto"/>
              <w:ind w:firstLine="482" w:firstLineChars="200"/>
              <w:jc w:val="left"/>
              <w:rPr>
                <w:rFonts w:hint="eastAsia" w:ascii="宋体" w:hAnsi="宋体" w:eastAsia="宋体" w:cs="宋体"/>
                <w:sz w:val="24"/>
                <w:u w:val="single"/>
              </w:rPr>
            </w:pPr>
            <w:r>
              <w:rPr>
                <w:rFonts w:hint="eastAsia" w:ascii="宋体" w:hAnsi="宋体" w:eastAsia="宋体" w:cs="宋体"/>
                <w:b/>
                <w:bCs w:val="0"/>
                <w:kern w:val="0"/>
                <w:sz w:val="24"/>
                <w:szCs w:val="24"/>
                <w:lang w:val="en-US" w:eastAsia="zh-CN"/>
              </w:rPr>
              <w:t>如不支付预付款，</w:t>
            </w:r>
            <w:bookmarkEnd w:id="36"/>
            <w:r>
              <w:rPr>
                <w:rFonts w:hint="eastAsia" w:ascii="宋体" w:hAnsi="宋体" w:eastAsia="宋体" w:cs="宋体"/>
                <w:b/>
                <w:sz w:val="24"/>
                <w:szCs w:val="24"/>
                <w:lang w:val="en-US" w:eastAsia="zh-CN"/>
              </w:rPr>
              <w:t>合同款按进度支付。项目观测完成后支付至合同价的90%，年度验收合格并经结算审核后，支付至结算价的100%</w:t>
            </w:r>
            <w:r>
              <w:rPr>
                <w:rFonts w:hint="eastAsia" w:ascii="宋体" w:hAnsi="宋体" w:eastAsia="宋体" w:cs="宋体"/>
                <w:b/>
                <w:sz w:val="24"/>
                <w:szCs w:val="24"/>
              </w:rPr>
              <w:t>。</w:t>
            </w:r>
          </w:p>
        </w:tc>
      </w:tr>
      <w:tr w14:paraId="4844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A00A038">
            <w:pPr>
              <w:pStyle w:val="42"/>
              <w:pBdr>
                <w:bottom w:val="none" w:color="auto" w:sz="0" w:space="0"/>
              </w:pBdr>
              <w:tabs>
                <w:tab w:val="clear" w:pos="4153"/>
                <w:tab w:val="clear" w:pos="8306"/>
              </w:tabs>
              <w:adjustRightInd/>
              <w:spacing w:line="240" w:lineRule="auto"/>
              <w:rPr>
                <w:rFonts w:hint="eastAsia" w:ascii="宋体" w:hAnsi="宋体" w:eastAsia="宋体" w:cs="宋体"/>
                <w:bCs/>
                <w:kern w:val="2"/>
              </w:rPr>
            </w:pPr>
            <w:r>
              <w:rPr>
                <w:rFonts w:hint="eastAsia" w:ascii="宋体" w:hAnsi="宋体" w:eastAsia="宋体" w:cs="宋体"/>
                <w:bCs/>
                <w:kern w:val="2"/>
              </w:rPr>
              <w:t>2</w:t>
            </w:r>
          </w:p>
        </w:tc>
        <w:tc>
          <w:tcPr>
            <w:tcW w:w="1192" w:type="pct"/>
            <w:vAlign w:val="center"/>
          </w:tcPr>
          <w:p w14:paraId="450F5CE9">
            <w:pPr>
              <w:pStyle w:val="41"/>
              <w:widowControl w:val="0"/>
              <w:spacing w:before="0" w:beforeAutospacing="0" w:after="0" w:afterAutospacing="0"/>
              <w:rPr>
                <w:rFonts w:hint="eastAsia" w:ascii="宋体" w:hAnsi="宋体" w:eastAsia="宋体" w:cs="宋体"/>
                <w:b w:val="0"/>
                <w:sz w:val="24"/>
              </w:rPr>
            </w:pPr>
            <w:r>
              <w:rPr>
                <w:rFonts w:hint="eastAsia" w:ascii="宋体" w:hAnsi="宋体" w:eastAsia="宋体" w:cs="宋体"/>
                <w:b w:val="0"/>
                <w:sz w:val="24"/>
              </w:rPr>
              <w:t>服务地点</w:t>
            </w:r>
          </w:p>
        </w:tc>
        <w:tc>
          <w:tcPr>
            <w:tcW w:w="3217" w:type="pct"/>
            <w:vAlign w:val="center"/>
          </w:tcPr>
          <w:p w14:paraId="796C3BF2">
            <w:pPr>
              <w:pStyle w:val="41"/>
              <w:widowControl w:val="0"/>
              <w:spacing w:before="0" w:beforeAutospacing="0" w:after="0" w:afterAutospacing="0"/>
              <w:jc w:val="both"/>
              <w:rPr>
                <w:rFonts w:hint="eastAsia" w:ascii="宋体" w:hAnsi="宋体" w:eastAsia="宋体" w:cs="宋体"/>
                <w:b w:val="0"/>
                <w:sz w:val="24"/>
              </w:rPr>
            </w:pPr>
            <w:r>
              <w:rPr>
                <w:rFonts w:hint="eastAsia" w:ascii="宋体" w:hAnsi="宋体" w:eastAsia="宋体" w:cs="宋体"/>
                <w:b w:val="0"/>
                <w:sz w:val="24"/>
              </w:rPr>
              <w:t>安徽省境内（采购人指定地点）</w:t>
            </w:r>
          </w:p>
        </w:tc>
      </w:tr>
      <w:tr w14:paraId="72D2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590" w:type="pct"/>
            <w:vAlign w:val="center"/>
          </w:tcPr>
          <w:p w14:paraId="0C2B7395">
            <w:pPr>
              <w:pStyle w:val="42"/>
              <w:pBdr>
                <w:bottom w:val="none" w:color="auto" w:sz="0" w:space="0"/>
              </w:pBdr>
              <w:tabs>
                <w:tab w:val="clear" w:pos="4153"/>
                <w:tab w:val="clear" w:pos="8306"/>
              </w:tabs>
              <w:adjustRightInd/>
              <w:spacing w:line="240" w:lineRule="auto"/>
              <w:rPr>
                <w:rFonts w:hint="eastAsia" w:ascii="宋体" w:hAnsi="宋体" w:eastAsia="宋体" w:cs="宋体"/>
                <w:bCs/>
                <w:kern w:val="2"/>
              </w:rPr>
            </w:pPr>
            <w:r>
              <w:rPr>
                <w:rFonts w:hint="eastAsia" w:ascii="宋体" w:hAnsi="宋体" w:eastAsia="宋体" w:cs="宋体"/>
                <w:bCs/>
                <w:kern w:val="2"/>
              </w:rPr>
              <w:t>3</w:t>
            </w:r>
          </w:p>
        </w:tc>
        <w:tc>
          <w:tcPr>
            <w:tcW w:w="1192" w:type="pct"/>
            <w:vAlign w:val="center"/>
          </w:tcPr>
          <w:p w14:paraId="79FDDCEA">
            <w:pPr>
              <w:jc w:val="center"/>
              <w:rPr>
                <w:rFonts w:hint="eastAsia" w:ascii="宋体" w:hAnsi="宋体" w:eastAsia="宋体" w:cs="宋体"/>
                <w:sz w:val="24"/>
              </w:rPr>
            </w:pPr>
            <w:r>
              <w:rPr>
                <w:rFonts w:hint="eastAsia" w:ascii="宋体" w:hAnsi="宋体" w:eastAsia="宋体" w:cs="宋体"/>
                <w:sz w:val="24"/>
              </w:rPr>
              <w:t>服务期限</w:t>
            </w:r>
          </w:p>
        </w:tc>
        <w:tc>
          <w:tcPr>
            <w:tcW w:w="3217" w:type="pct"/>
            <w:vAlign w:val="center"/>
          </w:tcPr>
          <w:p w14:paraId="6B6558FB">
            <w:pPr>
              <w:jc w:val="left"/>
              <w:rPr>
                <w:rFonts w:hint="eastAsia" w:ascii="宋体" w:hAnsi="宋体" w:eastAsia="宋体" w:cs="宋体"/>
                <w:sz w:val="24"/>
              </w:rPr>
            </w:pPr>
            <w:r>
              <w:rPr>
                <w:rFonts w:hint="eastAsia" w:ascii="宋体" w:hAnsi="宋体" w:eastAsia="宋体" w:cs="宋体"/>
                <w:sz w:val="24"/>
              </w:rPr>
              <w:t>合同签订之日起至2026年11月15日止</w:t>
            </w:r>
          </w:p>
        </w:tc>
      </w:tr>
      <w:tr w14:paraId="181C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pct"/>
            <w:vAlign w:val="center"/>
          </w:tcPr>
          <w:p w14:paraId="053F133B">
            <w:pPr>
              <w:pStyle w:val="42"/>
              <w:pBdr>
                <w:bottom w:val="none" w:color="auto" w:sz="0" w:space="0"/>
              </w:pBdr>
              <w:tabs>
                <w:tab w:val="clear" w:pos="4153"/>
                <w:tab w:val="clear" w:pos="8306"/>
              </w:tabs>
              <w:adjustRightInd/>
              <w:spacing w:line="240" w:lineRule="auto"/>
              <w:rPr>
                <w:rFonts w:hint="eastAsia" w:ascii="宋体" w:hAnsi="宋体" w:eastAsia="宋体" w:cs="宋体"/>
                <w:bCs/>
                <w:kern w:val="2"/>
              </w:rPr>
            </w:pPr>
            <w:r>
              <w:rPr>
                <w:rFonts w:hint="eastAsia" w:ascii="宋体" w:hAnsi="宋体" w:eastAsia="宋体" w:cs="宋体"/>
                <w:bCs/>
                <w:kern w:val="2"/>
              </w:rPr>
              <w:t>4</w:t>
            </w:r>
          </w:p>
        </w:tc>
        <w:tc>
          <w:tcPr>
            <w:tcW w:w="1192" w:type="pct"/>
            <w:vAlign w:val="center"/>
          </w:tcPr>
          <w:p w14:paraId="5FD1719C">
            <w:pPr>
              <w:pStyle w:val="41"/>
              <w:widowControl w:val="0"/>
              <w:spacing w:before="0" w:beforeAutospacing="0" w:after="0" w:afterAutospacing="0"/>
              <w:rPr>
                <w:rFonts w:hint="eastAsia" w:ascii="宋体" w:hAnsi="宋体" w:eastAsia="宋体" w:cs="宋体"/>
                <w:b w:val="0"/>
                <w:sz w:val="24"/>
              </w:rPr>
            </w:pPr>
            <w:r>
              <w:rPr>
                <w:rFonts w:hint="eastAsia" w:ascii="宋体" w:hAnsi="宋体" w:eastAsia="宋体" w:cs="宋体"/>
                <w:b w:val="0"/>
                <w:sz w:val="24"/>
              </w:rPr>
              <w:t>本项目采购标的名称及所属行业</w:t>
            </w:r>
          </w:p>
        </w:tc>
        <w:tc>
          <w:tcPr>
            <w:tcW w:w="3217" w:type="pct"/>
            <w:vAlign w:val="center"/>
          </w:tcPr>
          <w:p w14:paraId="05FDC33B">
            <w:pPr>
              <w:jc w:val="left"/>
              <w:rPr>
                <w:rFonts w:hint="eastAsia" w:ascii="宋体" w:hAnsi="宋体" w:eastAsia="宋体" w:cs="宋体"/>
                <w:b/>
                <w:bCs/>
                <w:color w:val="FF0000"/>
                <w:sz w:val="24"/>
                <w:szCs w:val="24"/>
                <w:u w:val="single"/>
              </w:rPr>
            </w:pPr>
            <w:r>
              <w:rPr>
                <w:rFonts w:hint="eastAsia" w:ascii="宋体" w:hAnsi="宋体" w:eastAsia="宋体" w:cs="宋体"/>
                <w:b/>
                <w:bCs/>
                <w:color w:val="FF0000"/>
                <w:sz w:val="24"/>
              </w:rPr>
              <w:t>标的名称：</w:t>
            </w:r>
            <w:r>
              <w:rPr>
                <w:rFonts w:hint="eastAsia" w:ascii="宋体" w:hAnsi="宋体" w:eastAsia="宋体" w:cs="宋体"/>
                <w:b/>
                <w:bCs/>
                <w:color w:val="FF0000"/>
                <w:sz w:val="24"/>
                <w:szCs w:val="24"/>
                <w:u w:val="single"/>
                <w:lang w:eastAsia="zh-CN"/>
              </w:rPr>
              <w:t>2026年省淮河局、省临淮岗局水闸及堤防监测</w:t>
            </w:r>
            <w:r>
              <w:rPr>
                <w:rFonts w:hint="eastAsia" w:ascii="宋体" w:hAnsi="宋体" w:eastAsia="宋体" w:cs="宋体"/>
                <w:b/>
                <w:bCs/>
                <w:color w:val="FF0000"/>
                <w:sz w:val="24"/>
                <w:szCs w:val="24"/>
                <w:u w:val="single"/>
              </w:rPr>
              <w:t>（第    包）</w:t>
            </w:r>
          </w:p>
          <w:p w14:paraId="5D7A9350">
            <w:pPr>
              <w:jc w:val="left"/>
              <w:rPr>
                <w:rFonts w:hint="eastAsia" w:ascii="宋体" w:hAnsi="宋体" w:eastAsia="宋体" w:cs="宋体"/>
                <w:b/>
                <w:bCs/>
                <w:color w:val="FF0000"/>
                <w:sz w:val="24"/>
              </w:rPr>
            </w:pPr>
            <w:r>
              <w:rPr>
                <w:rFonts w:hint="eastAsia" w:ascii="宋体" w:hAnsi="宋体" w:eastAsia="宋体" w:cs="宋体"/>
                <w:b/>
                <w:bCs/>
                <w:color w:val="FF0000"/>
                <w:sz w:val="24"/>
                <w:szCs w:val="24"/>
              </w:rPr>
              <w:t>（供应商根据所投包别选择相应的包别填写）</w:t>
            </w:r>
          </w:p>
          <w:p w14:paraId="031D5A42">
            <w:pPr>
              <w:rPr>
                <w:rFonts w:hint="eastAsia" w:ascii="宋体" w:hAnsi="宋体" w:eastAsia="宋体" w:cs="宋体"/>
                <w:sz w:val="24"/>
                <w:u w:val="single"/>
              </w:rPr>
            </w:pPr>
            <w:r>
              <w:rPr>
                <w:rFonts w:hint="eastAsia" w:ascii="宋体" w:hAnsi="宋体" w:eastAsia="宋体" w:cs="宋体"/>
                <w:b w:val="0"/>
                <w:bCs w:val="0"/>
                <w:color w:val="auto"/>
                <w:sz w:val="24"/>
              </w:rPr>
              <w:t>所</w:t>
            </w:r>
            <w:r>
              <w:rPr>
                <w:rFonts w:hint="eastAsia" w:ascii="宋体" w:hAnsi="宋体" w:eastAsia="宋体" w:cs="宋体"/>
                <w:b w:val="0"/>
                <w:bCs w:val="0"/>
                <w:color w:val="auto"/>
                <w:sz w:val="24"/>
                <w:szCs w:val="24"/>
              </w:rPr>
              <w:t>属行业：</w:t>
            </w:r>
            <w:r>
              <w:rPr>
                <w:rFonts w:hint="eastAsia" w:ascii="宋体" w:hAnsi="宋体" w:eastAsia="宋体" w:cs="宋体"/>
                <w:b w:val="0"/>
                <w:bCs w:val="0"/>
                <w:color w:val="auto"/>
                <w:sz w:val="24"/>
                <w:szCs w:val="24"/>
                <w:lang w:val="zh-TW"/>
              </w:rPr>
              <w:t>其他未列明行业</w:t>
            </w:r>
          </w:p>
        </w:tc>
      </w:tr>
      <w:tr w14:paraId="6D57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90" w:type="pct"/>
            <w:vAlign w:val="center"/>
          </w:tcPr>
          <w:p w14:paraId="0E43BAF2">
            <w:pPr>
              <w:pStyle w:val="42"/>
              <w:pBdr>
                <w:bottom w:val="none" w:color="auto" w:sz="0" w:space="0"/>
              </w:pBdr>
              <w:tabs>
                <w:tab w:val="clear" w:pos="4153"/>
                <w:tab w:val="clear" w:pos="8306"/>
              </w:tabs>
              <w:adjustRightInd/>
              <w:spacing w:line="240" w:lineRule="auto"/>
              <w:rPr>
                <w:rFonts w:hint="eastAsia" w:ascii="宋体" w:hAnsi="宋体" w:eastAsia="宋体" w:cs="宋体"/>
                <w:bCs/>
                <w:kern w:val="2"/>
              </w:rPr>
            </w:pPr>
            <w:r>
              <w:rPr>
                <w:rFonts w:hint="eastAsia" w:ascii="宋体" w:hAnsi="宋体" w:eastAsia="宋体" w:cs="宋体"/>
                <w:bCs/>
                <w:kern w:val="2"/>
              </w:rPr>
              <w:t>5</w:t>
            </w:r>
          </w:p>
        </w:tc>
        <w:tc>
          <w:tcPr>
            <w:tcW w:w="1192" w:type="pct"/>
            <w:vAlign w:val="center"/>
          </w:tcPr>
          <w:p w14:paraId="57679F3B">
            <w:pPr>
              <w:pStyle w:val="41"/>
              <w:widowControl w:val="0"/>
              <w:spacing w:before="0" w:beforeAutospacing="0" w:after="0" w:afterAutospacing="0"/>
              <w:rPr>
                <w:rFonts w:hint="eastAsia" w:ascii="宋体" w:hAnsi="宋体" w:eastAsia="宋体" w:cs="宋体"/>
                <w:b w:val="0"/>
                <w:sz w:val="24"/>
              </w:rPr>
            </w:pPr>
            <w:r>
              <w:rPr>
                <w:rFonts w:hint="eastAsia" w:ascii="宋体" w:hAnsi="宋体" w:eastAsia="宋体" w:cs="宋体"/>
                <w:b w:val="0"/>
                <w:sz w:val="24"/>
              </w:rPr>
              <w:t>前期资料收集</w:t>
            </w:r>
          </w:p>
        </w:tc>
        <w:tc>
          <w:tcPr>
            <w:tcW w:w="3217" w:type="pct"/>
            <w:vAlign w:val="center"/>
          </w:tcPr>
          <w:p w14:paraId="3D547D4D">
            <w:pPr>
              <w:rPr>
                <w:rFonts w:hint="eastAsia" w:ascii="宋体" w:hAnsi="宋体" w:eastAsia="宋体" w:cs="宋体"/>
                <w:sz w:val="24"/>
              </w:rPr>
            </w:pPr>
            <w:r>
              <w:rPr>
                <w:rFonts w:hint="eastAsia" w:ascii="宋体" w:hAnsi="宋体" w:eastAsia="宋体" w:cs="宋体"/>
                <w:sz w:val="24"/>
              </w:rPr>
              <w:t>与本项目相关的前期和基础资料，全部由成交供应商负责收集，潜在供应商在报价时要充分考虑此部分费用。</w:t>
            </w:r>
          </w:p>
        </w:tc>
      </w:tr>
      <w:tr w14:paraId="6BE6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90" w:type="pct"/>
            <w:vAlign w:val="center"/>
          </w:tcPr>
          <w:p w14:paraId="16DCAF7E">
            <w:pPr>
              <w:pStyle w:val="42"/>
              <w:pBdr>
                <w:bottom w:val="none" w:color="auto" w:sz="0" w:space="0"/>
              </w:pBdr>
              <w:tabs>
                <w:tab w:val="clear" w:pos="4153"/>
                <w:tab w:val="clear" w:pos="8306"/>
              </w:tabs>
              <w:adjustRightInd/>
              <w:spacing w:line="240" w:lineRule="auto"/>
              <w:rPr>
                <w:rFonts w:hint="eastAsia" w:ascii="宋体" w:hAnsi="宋体" w:eastAsia="宋体" w:cs="宋体"/>
                <w:bCs/>
                <w:kern w:val="2"/>
                <w:lang w:val="en-US" w:eastAsia="zh-CN"/>
              </w:rPr>
            </w:pPr>
            <w:r>
              <w:rPr>
                <w:rFonts w:hint="eastAsia" w:ascii="宋体" w:hAnsi="宋体" w:eastAsia="宋体" w:cs="宋体"/>
                <w:bCs/>
                <w:kern w:val="2"/>
                <w:lang w:val="en-US" w:eastAsia="zh-CN"/>
              </w:rPr>
              <w:t>6</w:t>
            </w:r>
          </w:p>
        </w:tc>
        <w:tc>
          <w:tcPr>
            <w:tcW w:w="1192" w:type="pct"/>
            <w:vAlign w:val="center"/>
          </w:tcPr>
          <w:p w14:paraId="66235C6A">
            <w:pPr>
              <w:pStyle w:val="41"/>
              <w:widowControl w:val="0"/>
              <w:spacing w:before="0" w:beforeAutospacing="0" w:after="0" w:afterAutospacing="0"/>
              <w:rPr>
                <w:rFonts w:hint="eastAsia" w:ascii="宋体" w:hAnsi="宋体" w:eastAsia="宋体" w:cs="宋体"/>
                <w:b w:val="0"/>
                <w:sz w:val="24"/>
                <w:lang w:val="en-US" w:eastAsia="zh-CN"/>
              </w:rPr>
            </w:pPr>
            <w:r>
              <w:rPr>
                <w:rFonts w:hint="eastAsia" w:ascii="宋体" w:hAnsi="宋体" w:eastAsia="宋体" w:cs="宋体"/>
                <w:b w:val="0"/>
                <w:sz w:val="24"/>
                <w:lang w:val="en-US" w:eastAsia="zh-CN"/>
              </w:rPr>
              <w:t>项目实施重难点</w:t>
            </w:r>
          </w:p>
        </w:tc>
        <w:tc>
          <w:tcPr>
            <w:tcW w:w="3217" w:type="pct"/>
            <w:vAlign w:val="center"/>
          </w:tcPr>
          <w:p w14:paraId="72C2C92F">
            <w:pPr>
              <w:pStyle w:val="41"/>
              <w:widowControl w:val="0"/>
              <w:spacing w:before="0" w:beforeAutospacing="0" w:after="0" w:afterAutospacing="0"/>
              <w:jc w:val="left"/>
              <w:rPr>
                <w:rFonts w:hint="eastAsia" w:ascii="宋体" w:hAnsi="宋体" w:eastAsia="宋体" w:cs="宋体"/>
                <w:b w:val="0"/>
                <w:sz w:val="24"/>
                <w:lang w:val="en-US" w:eastAsia="zh-CN"/>
              </w:rPr>
            </w:pPr>
            <w:r>
              <w:rPr>
                <w:rFonts w:hint="eastAsia" w:ascii="宋体" w:hAnsi="宋体" w:eastAsia="宋体" w:cs="宋体"/>
                <w:b w:val="0"/>
                <w:sz w:val="24"/>
                <w:lang w:val="en-US" w:eastAsia="zh-CN"/>
              </w:rPr>
              <w:t>本工程现场地处偏僻，部分区域离最近的集镇约5公里，到岗的项目负责人、管理人员、工人等需自行解决吃住问题。</w:t>
            </w:r>
          </w:p>
        </w:tc>
      </w:tr>
    </w:tbl>
    <w:p w14:paraId="2DCAC644">
      <w:pPr>
        <w:rPr>
          <w:rFonts w:hint="eastAsia" w:ascii="宋体" w:hAnsi="宋体" w:eastAsia="宋体" w:cs="宋体"/>
          <w:b/>
          <w:sz w:val="24"/>
          <w:szCs w:val="18"/>
          <w:lang w:val="en-US" w:eastAsia="zh-CN"/>
        </w:rPr>
      </w:pPr>
    </w:p>
    <w:p w14:paraId="306A822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5CCCD653">
      <w:pPr>
        <w:ind w:firstLine="643" w:firstLineChars="2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第1包淮河局</w:t>
      </w:r>
    </w:p>
    <w:p w14:paraId="4C79A3E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b/>
          <w:bCs/>
          <w:sz w:val="32"/>
          <w:szCs w:val="32"/>
        </w:rPr>
        <w:sectPr>
          <w:footerReference r:id="rId5" w:type="default"/>
          <w:pgSz w:w="11906" w:h="16838"/>
          <w:pgMar w:top="1701" w:right="1587" w:bottom="1134" w:left="1588" w:header="851" w:footer="992" w:gutter="0"/>
          <w:pgNumType w:fmt="decimal" w:start="1"/>
          <w:cols w:space="720" w:num="1"/>
          <w:docGrid w:type="lines" w:linePitch="312" w:charSpace="0"/>
        </w:sectPr>
      </w:pPr>
      <w:r>
        <w:rPr>
          <w:rFonts w:hint="eastAsia" w:ascii="宋体" w:hAnsi="宋体" w:eastAsia="宋体" w:cs="宋体"/>
          <w:b/>
          <w:bCs/>
          <w:sz w:val="32"/>
          <w:szCs w:val="32"/>
        </w:rPr>
        <w:t>（一）水闸监测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163"/>
        <w:gridCol w:w="972"/>
        <w:gridCol w:w="5274"/>
        <w:gridCol w:w="535"/>
      </w:tblGrid>
      <w:tr w14:paraId="65D4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7190A73B">
            <w:pPr>
              <w:jc w:val="center"/>
              <w:rPr>
                <w:rFonts w:hint="eastAsia" w:ascii="宋体" w:hAnsi="宋体" w:eastAsia="宋体" w:cs="宋体"/>
                <w:b/>
                <w:bCs/>
                <w:sz w:val="24"/>
                <w:szCs w:val="24"/>
              </w:rPr>
            </w:pPr>
            <w:r>
              <w:rPr>
                <w:rFonts w:hint="eastAsia" w:ascii="宋体" w:hAnsi="宋体" w:eastAsia="宋体" w:cs="宋体"/>
                <w:b/>
                <w:bCs/>
                <w:sz w:val="24"/>
                <w:szCs w:val="24"/>
              </w:rPr>
              <w:t>管理单位</w:t>
            </w:r>
          </w:p>
        </w:tc>
        <w:tc>
          <w:tcPr>
            <w:tcW w:w="0" w:type="auto"/>
            <w:vAlign w:val="center"/>
          </w:tcPr>
          <w:p w14:paraId="556C80FD">
            <w:pPr>
              <w:jc w:val="center"/>
              <w:rPr>
                <w:rFonts w:hint="eastAsia" w:ascii="宋体" w:hAnsi="宋体" w:eastAsia="宋体" w:cs="宋体"/>
                <w:b/>
                <w:bCs/>
                <w:sz w:val="24"/>
                <w:szCs w:val="24"/>
              </w:rPr>
            </w:pPr>
            <w:r>
              <w:rPr>
                <w:rFonts w:hint="eastAsia" w:ascii="宋体" w:hAnsi="宋体" w:eastAsia="宋体" w:cs="宋体"/>
                <w:b/>
                <w:bCs/>
                <w:sz w:val="24"/>
                <w:szCs w:val="24"/>
              </w:rPr>
              <w:t>工程名称</w:t>
            </w:r>
          </w:p>
        </w:tc>
        <w:tc>
          <w:tcPr>
            <w:tcW w:w="0" w:type="auto"/>
            <w:vAlign w:val="center"/>
          </w:tcPr>
          <w:p w14:paraId="3E9D3BCF">
            <w:pPr>
              <w:jc w:val="center"/>
              <w:rPr>
                <w:rFonts w:hint="eastAsia" w:ascii="宋体" w:hAnsi="宋体" w:eastAsia="宋体" w:cs="宋体"/>
                <w:b/>
                <w:bCs/>
                <w:sz w:val="24"/>
                <w:szCs w:val="24"/>
              </w:rPr>
            </w:pPr>
            <w:r>
              <w:rPr>
                <w:rFonts w:hint="eastAsia" w:ascii="宋体" w:hAnsi="宋体" w:eastAsia="宋体" w:cs="宋体"/>
                <w:b/>
                <w:bCs/>
                <w:sz w:val="24"/>
                <w:szCs w:val="24"/>
              </w:rPr>
              <w:t>水闸规模</w:t>
            </w:r>
          </w:p>
        </w:tc>
        <w:tc>
          <w:tcPr>
            <w:tcW w:w="0" w:type="auto"/>
            <w:vAlign w:val="center"/>
          </w:tcPr>
          <w:p w14:paraId="310C3C22">
            <w:pPr>
              <w:jc w:val="center"/>
              <w:rPr>
                <w:rFonts w:hint="eastAsia" w:ascii="宋体" w:hAnsi="宋体" w:eastAsia="宋体" w:cs="宋体"/>
                <w:b/>
                <w:bCs/>
                <w:sz w:val="24"/>
                <w:szCs w:val="24"/>
              </w:rPr>
            </w:pPr>
            <w:r>
              <w:rPr>
                <w:rFonts w:hint="eastAsia" w:ascii="宋体" w:hAnsi="宋体" w:eastAsia="宋体" w:cs="宋体"/>
                <w:b/>
                <w:bCs/>
                <w:sz w:val="24"/>
                <w:szCs w:val="24"/>
              </w:rPr>
              <w:t>观测内容及频次</w:t>
            </w:r>
          </w:p>
        </w:tc>
        <w:tc>
          <w:tcPr>
            <w:tcW w:w="0" w:type="auto"/>
            <w:vAlign w:val="center"/>
          </w:tcPr>
          <w:p w14:paraId="3D6BA637">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745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1E61B156">
            <w:pPr>
              <w:jc w:val="center"/>
              <w:rPr>
                <w:rFonts w:hint="eastAsia" w:ascii="宋体" w:hAnsi="宋体" w:eastAsia="宋体" w:cs="宋体"/>
                <w:sz w:val="24"/>
                <w:szCs w:val="24"/>
              </w:rPr>
            </w:pPr>
            <w:r>
              <w:rPr>
                <w:rFonts w:hint="eastAsia" w:ascii="宋体" w:hAnsi="宋体" w:eastAsia="宋体" w:cs="宋体"/>
                <w:sz w:val="24"/>
                <w:szCs w:val="24"/>
              </w:rPr>
              <w:t>王家坝闸管理处</w:t>
            </w:r>
          </w:p>
        </w:tc>
        <w:tc>
          <w:tcPr>
            <w:tcW w:w="0" w:type="auto"/>
            <w:vAlign w:val="center"/>
          </w:tcPr>
          <w:p w14:paraId="24DCF9AD">
            <w:pPr>
              <w:jc w:val="center"/>
              <w:rPr>
                <w:rFonts w:hint="eastAsia" w:ascii="宋体" w:hAnsi="宋体" w:eastAsia="宋体" w:cs="宋体"/>
                <w:sz w:val="24"/>
                <w:szCs w:val="24"/>
              </w:rPr>
            </w:pPr>
            <w:r>
              <w:rPr>
                <w:rFonts w:hint="eastAsia" w:ascii="宋体" w:hAnsi="宋体" w:eastAsia="宋体" w:cs="宋体"/>
                <w:sz w:val="24"/>
                <w:szCs w:val="24"/>
              </w:rPr>
              <w:t>王家坝闸</w:t>
            </w:r>
          </w:p>
        </w:tc>
        <w:tc>
          <w:tcPr>
            <w:tcW w:w="0" w:type="auto"/>
            <w:vAlign w:val="center"/>
          </w:tcPr>
          <w:p w14:paraId="4C63159F">
            <w:pPr>
              <w:jc w:val="center"/>
              <w:rPr>
                <w:rFonts w:hint="eastAsia" w:ascii="宋体" w:hAnsi="宋体" w:eastAsia="宋体" w:cs="宋体"/>
                <w:sz w:val="24"/>
                <w:szCs w:val="24"/>
              </w:rPr>
            </w:pPr>
            <w:r>
              <w:rPr>
                <w:rFonts w:hint="eastAsia" w:ascii="宋体" w:hAnsi="宋体" w:eastAsia="宋体" w:cs="宋体"/>
                <w:sz w:val="24"/>
                <w:szCs w:val="24"/>
              </w:rPr>
              <w:t>大（2）型</w:t>
            </w:r>
          </w:p>
        </w:tc>
        <w:tc>
          <w:tcPr>
            <w:tcW w:w="0" w:type="auto"/>
            <w:vAlign w:val="center"/>
          </w:tcPr>
          <w:p w14:paraId="1041624F">
            <w:pPr>
              <w:rPr>
                <w:rFonts w:hint="eastAsia" w:ascii="宋体" w:hAnsi="宋体" w:eastAsia="宋体" w:cs="宋体"/>
                <w:sz w:val="24"/>
                <w:szCs w:val="24"/>
              </w:rPr>
            </w:pPr>
            <w:bookmarkStart w:id="37" w:name="OLE_LINK13"/>
            <w:r>
              <w:rPr>
                <w:rFonts w:hint="eastAsia" w:ascii="宋体" w:hAnsi="宋体" w:eastAsia="宋体" w:cs="宋体"/>
                <w:sz w:val="24"/>
                <w:szCs w:val="24"/>
              </w:rPr>
              <w:t>（1）垂直位移：观测1次，监测点36个；垂直位移工作基点校核1次</w:t>
            </w:r>
          </w:p>
          <w:p w14:paraId="3765399B">
            <w:pPr>
              <w:rPr>
                <w:rFonts w:hint="eastAsia" w:ascii="宋体" w:hAnsi="宋体" w:eastAsia="宋体" w:cs="宋体"/>
                <w:sz w:val="24"/>
                <w:szCs w:val="24"/>
              </w:rPr>
            </w:pPr>
            <w:r>
              <w:rPr>
                <w:rFonts w:hint="eastAsia" w:ascii="宋体" w:hAnsi="宋体" w:eastAsia="宋体" w:cs="宋体"/>
                <w:sz w:val="24"/>
                <w:szCs w:val="24"/>
              </w:rPr>
              <w:t>（2）上下游河床冲刷和淤积：观测1次；</w:t>
            </w:r>
          </w:p>
          <w:p w14:paraId="415FBF08">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p>
          <w:p w14:paraId="113079F0">
            <w:pPr>
              <w:rPr>
                <w:rFonts w:hint="eastAsia" w:ascii="宋体" w:hAnsi="宋体" w:eastAsia="宋体" w:cs="宋体"/>
                <w:sz w:val="24"/>
                <w:szCs w:val="24"/>
              </w:rPr>
            </w:pPr>
            <w:r>
              <w:rPr>
                <w:rFonts w:hint="eastAsia" w:ascii="宋体" w:hAnsi="宋体" w:eastAsia="宋体" w:cs="宋体"/>
                <w:sz w:val="24"/>
                <w:szCs w:val="24"/>
              </w:rPr>
              <w:t>（4）水平位移：观测1次，监测点18个；</w:t>
            </w:r>
            <w:bookmarkEnd w:id="37"/>
          </w:p>
        </w:tc>
        <w:tc>
          <w:tcPr>
            <w:tcW w:w="0" w:type="auto"/>
            <w:vAlign w:val="center"/>
          </w:tcPr>
          <w:p w14:paraId="0BC2B279">
            <w:pPr>
              <w:rPr>
                <w:rFonts w:hint="eastAsia" w:ascii="宋体" w:hAnsi="宋体" w:eastAsia="宋体" w:cs="宋体"/>
                <w:sz w:val="24"/>
                <w:szCs w:val="24"/>
              </w:rPr>
            </w:pPr>
          </w:p>
        </w:tc>
      </w:tr>
      <w:tr w14:paraId="2F4D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52643DE8">
            <w:pPr>
              <w:jc w:val="center"/>
              <w:rPr>
                <w:rFonts w:hint="eastAsia" w:ascii="宋体" w:hAnsi="宋体" w:eastAsia="宋体" w:cs="宋体"/>
                <w:sz w:val="24"/>
                <w:szCs w:val="24"/>
              </w:rPr>
            </w:pPr>
            <w:r>
              <w:rPr>
                <w:rFonts w:hint="eastAsia" w:ascii="宋体" w:hAnsi="宋体" w:eastAsia="宋体" w:cs="宋体"/>
                <w:sz w:val="24"/>
                <w:szCs w:val="24"/>
              </w:rPr>
              <w:t>曹台闸管理处</w:t>
            </w:r>
          </w:p>
        </w:tc>
        <w:tc>
          <w:tcPr>
            <w:tcW w:w="0" w:type="auto"/>
            <w:vAlign w:val="center"/>
          </w:tcPr>
          <w:p w14:paraId="6AA7CCD0">
            <w:pPr>
              <w:jc w:val="center"/>
              <w:rPr>
                <w:rFonts w:hint="eastAsia" w:ascii="宋体" w:hAnsi="宋体" w:eastAsia="宋体" w:cs="宋体"/>
                <w:sz w:val="24"/>
                <w:szCs w:val="24"/>
              </w:rPr>
            </w:pPr>
            <w:r>
              <w:rPr>
                <w:rFonts w:hint="eastAsia" w:ascii="宋体" w:hAnsi="宋体" w:eastAsia="宋体" w:cs="宋体"/>
                <w:sz w:val="24"/>
                <w:szCs w:val="24"/>
              </w:rPr>
              <w:t>曹台闸</w:t>
            </w:r>
          </w:p>
        </w:tc>
        <w:tc>
          <w:tcPr>
            <w:tcW w:w="0" w:type="auto"/>
            <w:vAlign w:val="center"/>
          </w:tcPr>
          <w:p w14:paraId="4269381B">
            <w:pPr>
              <w:jc w:val="center"/>
              <w:rPr>
                <w:rFonts w:hint="eastAsia" w:ascii="宋体" w:hAnsi="宋体" w:eastAsia="宋体" w:cs="宋体"/>
                <w:sz w:val="24"/>
                <w:szCs w:val="24"/>
              </w:rPr>
            </w:pPr>
            <w:r>
              <w:rPr>
                <w:rFonts w:hint="eastAsia" w:ascii="宋体" w:hAnsi="宋体" w:eastAsia="宋体" w:cs="宋体"/>
                <w:sz w:val="24"/>
                <w:szCs w:val="24"/>
              </w:rPr>
              <w:t>大（2）型</w:t>
            </w:r>
          </w:p>
        </w:tc>
        <w:tc>
          <w:tcPr>
            <w:tcW w:w="0" w:type="auto"/>
            <w:vAlign w:val="center"/>
          </w:tcPr>
          <w:p w14:paraId="599A36E7">
            <w:pPr>
              <w:rPr>
                <w:rFonts w:hint="eastAsia" w:ascii="宋体" w:hAnsi="宋体" w:eastAsia="宋体" w:cs="宋体"/>
                <w:sz w:val="24"/>
                <w:szCs w:val="24"/>
              </w:rPr>
            </w:pPr>
            <w:r>
              <w:rPr>
                <w:rFonts w:hint="eastAsia" w:ascii="宋体" w:hAnsi="宋体" w:eastAsia="宋体" w:cs="宋体"/>
                <w:sz w:val="24"/>
                <w:szCs w:val="24"/>
              </w:rPr>
              <w:t>（1）垂直位移：观测1次，监测点84个；</w:t>
            </w:r>
          </w:p>
          <w:p w14:paraId="0C39269F">
            <w:pPr>
              <w:rPr>
                <w:rFonts w:hint="eastAsia" w:ascii="宋体" w:hAnsi="宋体" w:eastAsia="宋体" w:cs="宋体"/>
                <w:sz w:val="24"/>
                <w:szCs w:val="24"/>
              </w:rPr>
            </w:pPr>
            <w:r>
              <w:rPr>
                <w:rFonts w:hint="eastAsia" w:ascii="宋体" w:hAnsi="宋体" w:eastAsia="宋体" w:cs="宋体"/>
                <w:sz w:val="24"/>
                <w:szCs w:val="24"/>
              </w:rPr>
              <w:t>（2）上下游河床冲刷和淤积：观测1次；</w:t>
            </w:r>
          </w:p>
          <w:p w14:paraId="078B480E">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p>
          <w:p w14:paraId="0557ED99">
            <w:pPr>
              <w:rPr>
                <w:rFonts w:hint="eastAsia" w:ascii="宋体" w:hAnsi="宋体" w:eastAsia="宋体" w:cs="宋体"/>
                <w:sz w:val="24"/>
                <w:szCs w:val="24"/>
              </w:rPr>
            </w:pPr>
            <w:r>
              <w:rPr>
                <w:rFonts w:hint="eastAsia" w:ascii="宋体" w:hAnsi="宋体" w:eastAsia="宋体" w:cs="宋体"/>
                <w:sz w:val="24"/>
                <w:szCs w:val="24"/>
              </w:rPr>
              <w:t>（4）水平位移：观测1次，监测点20个；</w:t>
            </w:r>
          </w:p>
        </w:tc>
        <w:tc>
          <w:tcPr>
            <w:tcW w:w="0" w:type="auto"/>
            <w:vAlign w:val="center"/>
          </w:tcPr>
          <w:p w14:paraId="1942B604">
            <w:pPr>
              <w:rPr>
                <w:rFonts w:hint="eastAsia" w:ascii="宋体" w:hAnsi="宋体" w:eastAsia="宋体" w:cs="宋体"/>
                <w:sz w:val="24"/>
                <w:szCs w:val="24"/>
              </w:rPr>
            </w:pPr>
          </w:p>
        </w:tc>
      </w:tr>
      <w:tr w14:paraId="0023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47EC5F8E">
            <w:pPr>
              <w:jc w:val="center"/>
              <w:rPr>
                <w:rFonts w:hint="eastAsia" w:ascii="宋体" w:hAnsi="宋体" w:eastAsia="宋体" w:cs="宋体"/>
                <w:sz w:val="24"/>
                <w:szCs w:val="24"/>
              </w:rPr>
            </w:pPr>
            <w:r>
              <w:rPr>
                <w:rFonts w:hint="eastAsia" w:ascii="宋体" w:hAnsi="宋体" w:eastAsia="宋体" w:cs="宋体"/>
                <w:sz w:val="24"/>
                <w:szCs w:val="24"/>
              </w:rPr>
              <w:t>东淝闸管理处</w:t>
            </w:r>
          </w:p>
        </w:tc>
        <w:tc>
          <w:tcPr>
            <w:tcW w:w="0" w:type="auto"/>
            <w:vAlign w:val="center"/>
          </w:tcPr>
          <w:p w14:paraId="521AAAF1">
            <w:pPr>
              <w:jc w:val="center"/>
              <w:rPr>
                <w:rFonts w:hint="eastAsia" w:ascii="宋体" w:hAnsi="宋体" w:eastAsia="宋体" w:cs="宋体"/>
                <w:sz w:val="24"/>
                <w:szCs w:val="24"/>
              </w:rPr>
            </w:pPr>
            <w:r>
              <w:rPr>
                <w:rFonts w:hint="eastAsia" w:ascii="宋体" w:hAnsi="宋体" w:eastAsia="宋体" w:cs="宋体"/>
                <w:sz w:val="24"/>
                <w:szCs w:val="24"/>
              </w:rPr>
              <w:t>东淝闸</w:t>
            </w:r>
          </w:p>
        </w:tc>
        <w:tc>
          <w:tcPr>
            <w:tcW w:w="0" w:type="auto"/>
            <w:vAlign w:val="center"/>
          </w:tcPr>
          <w:p w14:paraId="641CD004">
            <w:pPr>
              <w:jc w:val="center"/>
              <w:rPr>
                <w:rFonts w:hint="eastAsia" w:ascii="宋体" w:hAnsi="宋体" w:eastAsia="宋体" w:cs="宋体"/>
                <w:sz w:val="24"/>
                <w:szCs w:val="24"/>
              </w:rPr>
            </w:pPr>
            <w:r>
              <w:rPr>
                <w:rFonts w:hint="eastAsia" w:ascii="宋体" w:hAnsi="宋体" w:eastAsia="宋体" w:cs="宋体"/>
                <w:sz w:val="24"/>
                <w:szCs w:val="24"/>
              </w:rPr>
              <w:t>大（2）型</w:t>
            </w:r>
          </w:p>
        </w:tc>
        <w:tc>
          <w:tcPr>
            <w:tcW w:w="0" w:type="auto"/>
            <w:vAlign w:val="center"/>
          </w:tcPr>
          <w:p w14:paraId="40651BF2">
            <w:pPr>
              <w:rPr>
                <w:rFonts w:hint="eastAsia" w:ascii="宋体" w:hAnsi="宋体" w:eastAsia="宋体" w:cs="宋体"/>
                <w:sz w:val="24"/>
                <w:szCs w:val="24"/>
              </w:rPr>
            </w:pPr>
            <w:r>
              <w:rPr>
                <w:rFonts w:hint="eastAsia" w:ascii="宋体" w:hAnsi="宋体" w:eastAsia="宋体" w:cs="宋体"/>
                <w:sz w:val="24"/>
                <w:szCs w:val="24"/>
              </w:rPr>
              <w:t>（1）垂直位移：观测1次，监测点76个；</w:t>
            </w:r>
          </w:p>
          <w:p w14:paraId="01EDDB60">
            <w:pPr>
              <w:rPr>
                <w:rFonts w:hint="eastAsia" w:ascii="宋体" w:hAnsi="宋体" w:eastAsia="宋体" w:cs="宋体"/>
                <w:sz w:val="24"/>
                <w:szCs w:val="24"/>
              </w:rPr>
            </w:pPr>
            <w:r>
              <w:rPr>
                <w:rFonts w:hint="eastAsia" w:ascii="宋体" w:hAnsi="宋体" w:eastAsia="宋体" w:cs="宋体"/>
                <w:sz w:val="24"/>
                <w:szCs w:val="24"/>
              </w:rPr>
              <w:t>（2）上下游河床冲刷和淤积：观测1次；</w:t>
            </w:r>
          </w:p>
          <w:p w14:paraId="1D0597CB">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p>
          <w:p w14:paraId="7A9CF6C6">
            <w:pPr>
              <w:rPr>
                <w:rFonts w:hint="eastAsia" w:ascii="宋体" w:hAnsi="宋体" w:eastAsia="宋体" w:cs="宋体"/>
                <w:sz w:val="24"/>
                <w:szCs w:val="24"/>
              </w:rPr>
            </w:pPr>
            <w:r>
              <w:rPr>
                <w:rFonts w:hint="eastAsia" w:ascii="宋体" w:hAnsi="宋体" w:eastAsia="宋体" w:cs="宋体"/>
                <w:sz w:val="24"/>
                <w:szCs w:val="24"/>
              </w:rPr>
              <w:t>（4）水平位移：观测1次，监测点16个；</w:t>
            </w:r>
          </w:p>
        </w:tc>
        <w:tc>
          <w:tcPr>
            <w:tcW w:w="0" w:type="auto"/>
            <w:vAlign w:val="center"/>
          </w:tcPr>
          <w:p w14:paraId="72B40B54">
            <w:pPr>
              <w:rPr>
                <w:rFonts w:hint="eastAsia" w:ascii="宋体" w:hAnsi="宋体" w:eastAsia="宋体" w:cs="宋体"/>
                <w:sz w:val="24"/>
                <w:szCs w:val="24"/>
              </w:rPr>
            </w:pPr>
          </w:p>
        </w:tc>
      </w:tr>
      <w:tr w14:paraId="1F48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6E7319C3">
            <w:pPr>
              <w:jc w:val="center"/>
              <w:rPr>
                <w:rFonts w:hint="eastAsia" w:ascii="宋体" w:hAnsi="宋体" w:eastAsia="宋体" w:cs="宋体"/>
                <w:sz w:val="24"/>
                <w:szCs w:val="24"/>
              </w:rPr>
            </w:pPr>
            <w:r>
              <w:rPr>
                <w:rFonts w:hint="eastAsia" w:ascii="宋体" w:hAnsi="宋体" w:eastAsia="宋体" w:cs="宋体"/>
                <w:sz w:val="24"/>
                <w:szCs w:val="24"/>
              </w:rPr>
              <w:t>东湖闸管理处</w:t>
            </w:r>
          </w:p>
        </w:tc>
        <w:tc>
          <w:tcPr>
            <w:tcW w:w="0" w:type="auto"/>
            <w:vAlign w:val="center"/>
          </w:tcPr>
          <w:p w14:paraId="50B04B45">
            <w:pPr>
              <w:jc w:val="center"/>
              <w:rPr>
                <w:rFonts w:hint="eastAsia" w:ascii="宋体" w:hAnsi="宋体" w:eastAsia="宋体" w:cs="宋体"/>
                <w:sz w:val="24"/>
                <w:szCs w:val="24"/>
              </w:rPr>
            </w:pPr>
            <w:r>
              <w:rPr>
                <w:rFonts w:hint="eastAsia" w:ascii="宋体" w:hAnsi="宋体" w:eastAsia="宋体" w:cs="宋体"/>
                <w:sz w:val="24"/>
                <w:szCs w:val="24"/>
              </w:rPr>
              <w:t>城东湖闸</w:t>
            </w:r>
          </w:p>
        </w:tc>
        <w:tc>
          <w:tcPr>
            <w:tcW w:w="0" w:type="auto"/>
            <w:vAlign w:val="center"/>
          </w:tcPr>
          <w:p w14:paraId="164480D8">
            <w:pPr>
              <w:jc w:val="center"/>
              <w:rPr>
                <w:rFonts w:hint="eastAsia" w:ascii="宋体" w:hAnsi="宋体" w:eastAsia="宋体" w:cs="宋体"/>
                <w:sz w:val="24"/>
                <w:szCs w:val="24"/>
              </w:rPr>
            </w:pPr>
            <w:r>
              <w:rPr>
                <w:rFonts w:hint="eastAsia" w:ascii="宋体" w:hAnsi="宋体" w:eastAsia="宋体" w:cs="宋体"/>
                <w:sz w:val="24"/>
                <w:szCs w:val="24"/>
              </w:rPr>
              <w:t>大（2）型</w:t>
            </w:r>
          </w:p>
        </w:tc>
        <w:tc>
          <w:tcPr>
            <w:tcW w:w="0" w:type="auto"/>
            <w:vAlign w:val="center"/>
          </w:tcPr>
          <w:p w14:paraId="5D0F8BB9">
            <w:pPr>
              <w:rPr>
                <w:rFonts w:hint="eastAsia" w:ascii="宋体" w:hAnsi="宋体" w:eastAsia="宋体" w:cs="宋体"/>
                <w:sz w:val="24"/>
                <w:szCs w:val="24"/>
              </w:rPr>
            </w:pPr>
            <w:r>
              <w:rPr>
                <w:rFonts w:hint="eastAsia" w:ascii="宋体" w:hAnsi="宋体" w:eastAsia="宋体" w:cs="宋体"/>
                <w:sz w:val="24"/>
                <w:szCs w:val="24"/>
              </w:rPr>
              <w:t>（1）垂直位移：观测1次，监测点116个；</w:t>
            </w:r>
          </w:p>
          <w:p w14:paraId="38702D52">
            <w:pPr>
              <w:rPr>
                <w:rFonts w:hint="eastAsia" w:ascii="宋体" w:hAnsi="宋体" w:eastAsia="宋体" w:cs="宋体"/>
                <w:sz w:val="24"/>
                <w:szCs w:val="24"/>
              </w:rPr>
            </w:pPr>
            <w:r>
              <w:rPr>
                <w:rFonts w:hint="eastAsia" w:ascii="宋体" w:hAnsi="宋体" w:eastAsia="宋体" w:cs="宋体"/>
                <w:sz w:val="24"/>
                <w:szCs w:val="24"/>
              </w:rPr>
              <w:t>（2）上下游河床冲刷和淤积：观测1次；</w:t>
            </w:r>
          </w:p>
          <w:p w14:paraId="428778F5">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p>
          <w:p w14:paraId="6238247F">
            <w:pPr>
              <w:rPr>
                <w:rFonts w:hint="eastAsia" w:ascii="宋体" w:hAnsi="宋体" w:eastAsia="宋体" w:cs="宋体"/>
                <w:sz w:val="24"/>
                <w:szCs w:val="24"/>
              </w:rPr>
            </w:pPr>
            <w:r>
              <w:rPr>
                <w:rFonts w:hint="eastAsia" w:ascii="宋体" w:hAnsi="宋体" w:eastAsia="宋体" w:cs="宋体"/>
                <w:sz w:val="24"/>
                <w:szCs w:val="24"/>
              </w:rPr>
              <w:t>（4）水平位移：观测1次，监测点19个。</w:t>
            </w:r>
          </w:p>
        </w:tc>
        <w:tc>
          <w:tcPr>
            <w:tcW w:w="0" w:type="auto"/>
            <w:vAlign w:val="center"/>
          </w:tcPr>
          <w:p w14:paraId="1EDCFFA5">
            <w:pPr>
              <w:rPr>
                <w:rFonts w:hint="eastAsia" w:ascii="宋体" w:hAnsi="宋体" w:eastAsia="宋体" w:cs="宋体"/>
                <w:sz w:val="24"/>
                <w:szCs w:val="24"/>
              </w:rPr>
            </w:pPr>
          </w:p>
        </w:tc>
      </w:tr>
      <w:tr w14:paraId="3B0E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2BEC9C0F">
            <w:pPr>
              <w:jc w:val="center"/>
              <w:rPr>
                <w:rFonts w:hint="eastAsia" w:ascii="宋体" w:hAnsi="宋体" w:eastAsia="宋体" w:cs="宋体"/>
                <w:sz w:val="24"/>
                <w:szCs w:val="24"/>
              </w:rPr>
            </w:pPr>
            <w:r>
              <w:rPr>
                <w:rFonts w:hint="eastAsia" w:ascii="宋体" w:hAnsi="宋体" w:eastAsia="宋体" w:cs="宋体"/>
                <w:sz w:val="24"/>
                <w:szCs w:val="24"/>
              </w:rPr>
              <w:t>阜阳闸管理处</w:t>
            </w:r>
          </w:p>
        </w:tc>
        <w:tc>
          <w:tcPr>
            <w:tcW w:w="0" w:type="auto"/>
            <w:vAlign w:val="center"/>
          </w:tcPr>
          <w:p w14:paraId="2F2BC3A4">
            <w:pPr>
              <w:jc w:val="center"/>
              <w:rPr>
                <w:rFonts w:hint="eastAsia" w:ascii="宋体" w:hAnsi="宋体" w:eastAsia="宋体" w:cs="宋体"/>
                <w:sz w:val="24"/>
                <w:szCs w:val="24"/>
              </w:rPr>
            </w:pPr>
            <w:r>
              <w:rPr>
                <w:rFonts w:hint="eastAsia" w:ascii="宋体" w:hAnsi="宋体" w:eastAsia="宋体" w:cs="宋体"/>
                <w:sz w:val="24"/>
                <w:szCs w:val="24"/>
              </w:rPr>
              <w:t>阜阳闸</w:t>
            </w:r>
          </w:p>
        </w:tc>
        <w:tc>
          <w:tcPr>
            <w:tcW w:w="0" w:type="auto"/>
            <w:vAlign w:val="center"/>
          </w:tcPr>
          <w:p w14:paraId="3CFD3C66">
            <w:pPr>
              <w:jc w:val="center"/>
              <w:rPr>
                <w:rFonts w:hint="eastAsia" w:ascii="宋体" w:hAnsi="宋体" w:eastAsia="宋体" w:cs="宋体"/>
                <w:sz w:val="24"/>
                <w:szCs w:val="24"/>
              </w:rPr>
            </w:pPr>
            <w:r>
              <w:rPr>
                <w:rFonts w:hint="eastAsia" w:ascii="宋体" w:hAnsi="宋体" w:eastAsia="宋体" w:cs="宋体"/>
                <w:sz w:val="24"/>
                <w:szCs w:val="24"/>
              </w:rPr>
              <w:t>大（2）型</w:t>
            </w:r>
          </w:p>
        </w:tc>
        <w:tc>
          <w:tcPr>
            <w:tcW w:w="0" w:type="auto"/>
            <w:vAlign w:val="center"/>
          </w:tcPr>
          <w:p w14:paraId="3E418465">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1）垂直位移：</w:t>
            </w:r>
            <w:bookmarkStart w:id="38" w:name="OLE_LINK20"/>
            <w:r>
              <w:rPr>
                <w:rFonts w:hint="eastAsia" w:ascii="宋体" w:hAnsi="宋体" w:eastAsia="宋体" w:cs="宋体"/>
                <w:sz w:val="24"/>
                <w:szCs w:val="24"/>
              </w:rPr>
              <w:t>观测2次，（监测点不少于56个、工作基点不少于2个）/次；</w:t>
            </w:r>
            <w:bookmarkEnd w:id="38"/>
          </w:p>
          <w:p w14:paraId="7280EB35">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2）上下游河床冲刷和淤积：观测2次；</w:t>
            </w:r>
          </w:p>
          <w:p w14:paraId="7C304D3D">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t>3）水位尺及测压管管口高程校核2次；</w:t>
            </w:r>
          </w:p>
          <w:p w14:paraId="6BDEA3FE">
            <w:pPr>
              <w:rPr>
                <w:rFonts w:hint="eastAsia" w:ascii="宋体" w:hAnsi="宋体" w:eastAsia="宋体" w:cs="宋体"/>
                <w:sz w:val="24"/>
                <w:szCs w:val="24"/>
              </w:rPr>
            </w:pPr>
            <w:bookmarkStart w:id="39" w:name="OLE_LINK21"/>
            <w:r>
              <w:rPr>
                <w:rFonts w:hint="eastAsia" w:ascii="宋体" w:hAnsi="宋体" w:eastAsia="宋体" w:cs="宋体"/>
                <w:sz w:val="24"/>
                <w:szCs w:val="24"/>
              </w:rPr>
              <w:t>（4）水平位移：观测</w:t>
            </w:r>
            <w:r>
              <w:rPr>
                <w:rFonts w:hint="eastAsia" w:ascii="宋体" w:hAnsi="宋体" w:eastAsia="宋体" w:cs="宋体"/>
                <w:sz w:val="24"/>
                <w:szCs w:val="24"/>
              </w:rPr>
              <w:t>2次，监测点不少于18个/次；</w:t>
            </w:r>
            <w:bookmarkEnd w:id="39"/>
          </w:p>
        </w:tc>
        <w:tc>
          <w:tcPr>
            <w:tcW w:w="0" w:type="auto"/>
            <w:vAlign w:val="center"/>
          </w:tcPr>
          <w:p w14:paraId="57463292">
            <w:pPr>
              <w:rPr>
                <w:rFonts w:hint="eastAsia" w:ascii="宋体" w:hAnsi="宋体" w:eastAsia="宋体" w:cs="宋体"/>
                <w:sz w:val="24"/>
                <w:szCs w:val="24"/>
              </w:rPr>
            </w:pPr>
          </w:p>
        </w:tc>
      </w:tr>
      <w:tr w14:paraId="55D4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4610562B">
            <w:pPr>
              <w:jc w:val="center"/>
              <w:rPr>
                <w:rFonts w:hint="eastAsia" w:ascii="宋体" w:hAnsi="宋体" w:eastAsia="宋体" w:cs="宋体"/>
                <w:sz w:val="24"/>
                <w:szCs w:val="24"/>
              </w:rPr>
            </w:pPr>
            <w:r>
              <w:rPr>
                <w:rFonts w:hint="eastAsia" w:ascii="宋体" w:hAnsi="宋体" w:eastAsia="宋体" w:cs="宋体"/>
                <w:sz w:val="24"/>
                <w:szCs w:val="24"/>
              </w:rPr>
              <w:t>颍上闸管理处</w:t>
            </w:r>
          </w:p>
        </w:tc>
        <w:tc>
          <w:tcPr>
            <w:tcW w:w="0" w:type="auto"/>
            <w:vAlign w:val="center"/>
          </w:tcPr>
          <w:p w14:paraId="7BC68868">
            <w:pPr>
              <w:jc w:val="center"/>
              <w:rPr>
                <w:rFonts w:hint="eastAsia" w:ascii="宋体" w:hAnsi="宋体" w:eastAsia="宋体" w:cs="宋体"/>
                <w:sz w:val="24"/>
                <w:szCs w:val="24"/>
              </w:rPr>
            </w:pPr>
            <w:r>
              <w:rPr>
                <w:rFonts w:hint="eastAsia" w:ascii="宋体" w:hAnsi="宋体" w:eastAsia="宋体" w:cs="宋体"/>
                <w:sz w:val="24"/>
                <w:szCs w:val="24"/>
              </w:rPr>
              <w:t>颍上闸</w:t>
            </w:r>
          </w:p>
        </w:tc>
        <w:tc>
          <w:tcPr>
            <w:tcW w:w="0" w:type="auto"/>
            <w:vAlign w:val="center"/>
          </w:tcPr>
          <w:p w14:paraId="0A6C075A">
            <w:pPr>
              <w:jc w:val="center"/>
              <w:rPr>
                <w:rFonts w:hint="eastAsia" w:ascii="宋体" w:hAnsi="宋体" w:eastAsia="宋体" w:cs="宋体"/>
                <w:sz w:val="24"/>
                <w:szCs w:val="24"/>
              </w:rPr>
            </w:pPr>
            <w:r>
              <w:rPr>
                <w:rFonts w:hint="eastAsia" w:ascii="宋体" w:hAnsi="宋体" w:eastAsia="宋体" w:cs="宋体"/>
                <w:sz w:val="24"/>
                <w:szCs w:val="24"/>
              </w:rPr>
              <w:t>大（2）型</w:t>
            </w:r>
          </w:p>
        </w:tc>
        <w:tc>
          <w:tcPr>
            <w:tcW w:w="0" w:type="auto"/>
            <w:vAlign w:val="center"/>
          </w:tcPr>
          <w:p w14:paraId="6D62CE0D">
            <w:pPr>
              <w:rPr>
                <w:rFonts w:hint="eastAsia" w:ascii="宋体" w:hAnsi="宋体" w:eastAsia="宋体" w:cs="宋体"/>
                <w:sz w:val="24"/>
                <w:szCs w:val="24"/>
              </w:rPr>
            </w:pPr>
            <w:r>
              <w:rPr>
                <w:rFonts w:hint="eastAsia" w:ascii="宋体" w:hAnsi="宋体" w:eastAsia="宋体" w:cs="宋体"/>
                <w:sz w:val="24"/>
                <w:szCs w:val="24"/>
              </w:rPr>
              <w:t>（1）垂直位移：观测1次，监测点98个；</w:t>
            </w:r>
          </w:p>
          <w:p w14:paraId="0287B812">
            <w:pPr>
              <w:rPr>
                <w:rFonts w:hint="eastAsia" w:ascii="宋体" w:hAnsi="宋体" w:eastAsia="宋体" w:cs="宋体"/>
                <w:sz w:val="24"/>
                <w:szCs w:val="24"/>
              </w:rPr>
            </w:pPr>
            <w:r>
              <w:rPr>
                <w:rFonts w:hint="eastAsia" w:ascii="宋体" w:hAnsi="宋体" w:eastAsia="宋体" w:cs="宋体"/>
                <w:sz w:val="24"/>
                <w:szCs w:val="24"/>
              </w:rPr>
              <w:t>（2）上下游河床冲刷和淤积：观测1次；</w:t>
            </w:r>
          </w:p>
          <w:p w14:paraId="2BAD3B05">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p>
          <w:p w14:paraId="2FBDF64D">
            <w:pPr>
              <w:rPr>
                <w:rFonts w:hint="eastAsia" w:ascii="宋体" w:hAnsi="宋体" w:eastAsia="宋体" w:cs="宋体"/>
                <w:sz w:val="24"/>
                <w:szCs w:val="24"/>
              </w:rPr>
            </w:pPr>
            <w:r>
              <w:rPr>
                <w:rFonts w:hint="eastAsia" w:ascii="宋体" w:hAnsi="宋体" w:eastAsia="宋体" w:cs="宋体"/>
                <w:sz w:val="24"/>
                <w:szCs w:val="24"/>
              </w:rPr>
              <w:t>（4）水平位移：观测1次，监测点29个。</w:t>
            </w:r>
          </w:p>
        </w:tc>
        <w:tc>
          <w:tcPr>
            <w:tcW w:w="0" w:type="auto"/>
            <w:vAlign w:val="center"/>
          </w:tcPr>
          <w:p w14:paraId="259EBD65">
            <w:pPr>
              <w:rPr>
                <w:rFonts w:hint="eastAsia" w:ascii="宋体" w:hAnsi="宋体" w:eastAsia="宋体" w:cs="宋体"/>
                <w:sz w:val="24"/>
                <w:szCs w:val="24"/>
              </w:rPr>
            </w:pPr>
          </w:p>
        </w:tc>
      </w:tr>
      <w:tr w14:paraId="0BFE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5486E1A3">
            <w:pPr>
              <w:jc w:val="center"/>
              <w:rPr>
                <w:rFonts w:hint="eastAsia" w:ascii="宋体" w:hAnsi="宋体" w:eastAsia="宋体" w:cs="宋体"/>
                <w:sz w:val="24"/>
                <w:szCs w:val="24"/>
              </w:rPr>
            </w:pPr>
            <w:r>
              <w:rPr>
                <w:rFonts w:hint="eastAsia" w:ascii="宋体" w:hAnsi="宋体" w:eastAsia="宋体" w:cs="宋体"/>
                <w:sz w:val="24"/>
                <w:szCs w:val="24"/>
              </w:rPr>
              <w:t>蒙城闸管理处</w:t>
            </w:r>
          </w:p>
        </w:tc>
        <w:tc>
          <w:tcPr>
            <w:tcW w:w="0" w:type="auto"/>
            <w:vAlign w:val="center"/>
          </w:tcPr>
          <w:p w14:paraId="558B08B3">
            <w:pPr>
              <w:jc w:val="center"/>
              <w:rPr>
                <w:rFonts w:hint="eastAsia" w:ascii="宋体" w:hAnsi="宋体" w:eastAsia="宋体" w:cs="宋体"/>
                <w:sz w:val="24"/>
                <w:szCs w:val="24"/>
              </w:rPr>
            </w:pPr>
            <w:r>
              <w:rPr>
                <w:rFonts w:hint="eastAsia" w:ascii="宋体" w:hAnsi="宋体" w:eastAsia="宋体" w:cs="宋体"/>
                <w:sz w:val="24"/>
                <w:szCs w:val="24"/>
              </w:rPr>
              <w:t>蒙城闸</w:t>
            </w:r>
          </w:p>
        </w:tc>
        <w:tc>
          <w:tcPr>
            <w:tcW w:w="0" w:type="auto"/>
            <w:vAlign w:val="center"/>
          </w:tcPr>
          <w:p w14:paraId="51D996BD">
            <w:pPr>
              <w:jc w:val="center"/>
              <w:rPr>
                <w:rFonts w:hint="eastAsia" w:ascii="宋体" w:hAnsi="宋体" w:eastAsia="宋体" w:cs="宋体"/>
                <w:sz w:val="24"/>
                <w:szCs w:val="24"/>
              </w:rPr>
            </w:pPr>
            <w:r>
              <w:rPr>
                <w:rFonts w:hint="eastAsia" w:ascii="宋体" w:hAnsi="宋体" w:eastAsia="宋体" w:cs="宋体"/>
                <w:sz w:val="24"/>
                <w:szCs w:val="24"/>
              </w:rPr>
              <w:t>大（2）型</w:t>
            </w:r>
          </w:p>
        </w:tc>
        <w:tc>
          <w:tcPr>
            <w:tcW w:w="0" w:type="auto"/>
            <w:vAlign w:val="center"/>
          </w:tcPr>
          <w:p w14:paraId="2378B717">
            <w:pPr>
              <w:rPr>
                <w:rFonts w:hint="eastAsia" w:ascii="宋体" w:hAnsi="宋体" w:eastAsia="宋体" w:cs="宋体"/>
                <w:sz w:val="24"/>
                <w:szCs w:val="24"/>
              </w:rPr>
            </w:pPr>
            <w:r>
              <w:rPr>
                <w:rFonts w:hint="eastAsia" w:ascii="宋体" w:hAnsi="宋体" w:eastAsia="宋体" w:cs="宋体"/>
                <w:sz w:val="24"/>
                <w:szCs w:val="24"/>
              </w:rPr>
              <w:t>（1）垂直位移：观测1次，监测点150个，其中节制闸64个，分洪闸43个，船闸43个；</w:t>
            </w:r>
          </w:p>
          <w:p w14:paraId="6914AC71">
            <w:pPr>
              <w:rPr>
                <w:rFonts w:hint="eastAsia" w:ascii="宋体" w:hAnsi="宋体" w:eastAsia="宋体" w:cs="宋体"/>
                <w:sz w:val="24"/>
                <w:szCs w:val="24"/>
              </w:rPr>
            </w:pPr>
            <w:r>
              <w:rPr>
                <w:rFonts w:hint="eastAsia" w:ascii="宋体" w:hAnsi="宋体" w:eastAsia="宋体" w:cs="宋体"/>
                <w:sz w:val="24"/>
                <w:szCs w:val="24"/>
              </w:rPr>
              <w:t>（2）上下游河床冲刷和淤积：观测1次，其中分洪闸上游与下游各监测5条；节制闸上游监测5条，下游则监测6条，共计21条；</w:t>
            </w:r>
          </w:p>
          <w:p w14:paraId="59286901">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p>
        </w:tc>
        <w:tc>
          <w:tcPr>
            <w:tcW w:w="0" w:type="auto"/>
            <w:vAlign w:val="center"/>
          </w:tcPr>
          <w:p w14:paraId="7E513229">
            <w:pPr>
              <w:rPr>
                <w:rFonts w:hint="eastAsia" w:ascii="宋体" w:hAnsi="宋体" w:eastAsia="宋体" w:cs="宋体"/>
                <w:sz w:val="24"/>
                <w:szCs w:val="24"/>
              </w:rPr>
            </w:pPr>
          </w:p>
        </w:tc>
      </w:tr>
      <w:tr w14:paraId="3063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3763B5DD">
            <w:pPr>
              <w:jc w:val="center"/>
              <w:rPr>
                <w:rFonts w:hint="eastAsia" w:ascii="宋体" w:hAnsi="宋体" w:eastAsia="宋体" w:cs="宋体"/>
                <w:sz w:val="24"/>
                <w:szCs w:val="24"/>
              </w:rPr>
            </w:pPr>
            <w:r>
              <w:rPr>
                <w:rFonts w:hint="eastAsia" w:ascii="宋体" w:hAnsi="宋体" w:eastAsia="宋体" w:cs="宋体"/>
                <w:sz w:val="24"/>
                <w:szCs w:val="24"/>
              </w:rPr>
              <w:t>蚌埠闸工程管理处</w:t>
            </w:r>
          </w:p>
        </w:tc>
        <w:tc>
          <w:tcPr>
            <w:tcW w:w="0" w:type="auto"/>
            <w:vAlign w:val="center"/>
          </w:tcPr>
          <w:p w14:paraId="0744A892">
            <w:pPr>
              <w:jc w:val="center"/>
              <w:rPr>
                <w:rFonts w:hint="eastAsia" w:ascii="宋体" w:hAnsi="宋体" w:eastAsia="宋体" w:cs="宋体"/>
                <w:sz w:val="24"/>
                <w:szCs w:val="24"/>
              </w:rPr>
            </w:pPr>
            <w:r>
              <w:rPr>
                <w:rFonts w:hint="eastAsia" w:ascii="宋体" w:hAnsi="宋体" w:eastAsia="宋体" w:cs="宋体"/>
                <w:sz w:val="24"/>
                <w:szCs w:val="24"/>
              </w:rPr>
              <w:t>蚌埠闸</w:t>
            </w:r>
          </w:p>
        </w:tc>
        <w:tc>
          <w:tcPr>
            <w:tcW w:w="0" w:type="auto"/>
            <w:vAlign w:val="center"/>
          </w:tcPr>
          <w:p w14:paraId="70038EE0">
            <w:pPr>
              <w:jc w:val="center"/>
              <w:rPr>
                <w:rFonts w:hint="eastAsia" w:ascii="宋体" w:hAnsi="宋体" w:eastAsia="宋体" w:cs="宋体"/>
                <w:sz w:val="24"/>
                <w:szCs w:val="24"/>
              </w:rPr>
            </w:pPr>
            <w:r>
              <w:rPr>
                <w:rFonts w:hint="eastAsia" w:ascii="宋体" w:hAnsi="宋体" w:eastAsia="宋体" w:cs="宋体"/>
                <w:sz w:val="24"/>
                <w:szCs w:val="24"/>
              </w:rPr>
              <w:t>大（1）型</w:t>
            </w:r>
          </w:p>
        </w:tc>
        <w:tc>
          <w:tcPr>
            <w:tcW w:w="0" w:type="auto"/>
            <w:vAlign w:val="center"/>
          </w:tcPr>
          <w:p w14:paraId="538D1D29">
            <w:pPr>
              <w:rPr>
                <w:rFonts w:hint="eastAsia" w:ascii="宋体" w:hAnsi="宋体" w:eastAsia="宋体" w:cs="宋体"/>
                <w:sz w:val="24"/>
                <w:szCs w:val="24"/>
              </w:rPr>
            </w:pPr>
            <w:bookmarkStart w:id="40" w:name="OLE_LINK3"/>
            <w:r>
              <w:rPr>
                <w:rFonts w:hint="eastAsia" w:ascii="宋体" w:hAnsi="宋体" w:eastAsia="宋体" w:cs="宋体"/>
                <w:sz w:val="24"/>
                <w:szCs w:val="24"/>
              </w:rPr>
              <w:t>（1）垂直位移监测：监测1次，监测点28孔节制闸58个；12孔节制闸50个；老船闸40个；分洪道及船闸公路桥84个；堤防16个。</w:t>
            </w:r>
          </w:p>
          <w:p w14:paraId="67A49C69">
            <w:pPr>
              <w:rPr>
                <w:rFonts w:hint="eastAsia" w:ascii="宋体" w:hAnsi="宋体" w:eastAsia="宋体" w:cs="宋体"/>
                <w:sz w:val="24"/>
                <w:szCs w:val="24"/>
              </w:rPr>
            </w:pPr>
            <w:r>
              <w:rPr>
                <w:rFonts w:hint="eastAsia" w:ascii="宋体" w:hAnsi="宋体" w:eastAsia="宋体" w:cs="宋体"/>
                <w:sz w:val="24"/>
                <w:szCs w:val="24"/>
              </w:rPr>
              <w:t>（2）上下游河床冲刷和淤积监测：监测2次，28孔节制闸上游13条，下游11条；12孔节制闸上游11条，下游21条。</w:t>
            </w:r>
          </w:p>
          <w:p w14:paraId="31116547">
            <w:pPr>
              <w:rPr>
                <w:rFonts w:hint="eastAsia" w:ascii="宋体" w:hAnsi="宋体" w:eastAsia="宋体" w:cs="宋体"/>
                <w:sz w:val="24"/>
                <w:szCs w:val="24"/>
              </w:rPr>
            </w:pPr>
            <w:r>
              <w:rPr>
                <w:rFonts w:hint="eastAsia" w:ascii="宋体" w:hAnsi="宋体" w:eastAsia="宋体" w:cs="宋体"/>
                <w:sz w:val="24"/>
                <w:szCs w:val="24"/>
              </w:rPr>
              <w:t>（3）堤防断面监测：监测2次，每次断面8条。</w:t>
            </w:r>
          </w:p>
          <w:p w14:paraId="0367154F">
            <w:pPr>
              <w:rPr>
                <w:rFonts w:hint="eastAsia" w:ascii="宋体" w:hAnsi="宋体" w:eastAsia="宋体" w:cs="宋体"/>
                <w:sz w:val="24"/>
                <w:szCs w:val="24"/>
              </w:rPr>
            </w:pPr>
            <w:r>
              <w:rPr>
                <w:rFonts w:hint="eastAsia" w:ascii="宋体" w:hAnsi="宋体" w:eastAsia="宋体" w:cs="宋体"/>
                <w:sz w:val="24"/>
                <w:szCs w:val="24"/>
              </w:rPr>
              <w:t>（4）测压管管口高程校核1次，其中：28孔节制闸22个；12孔节制闸12个；老船闸14个；堤防5个。</w:t>
            </w:r>
          </w:p>
          <w:p w14:paraId="24A93A3D">
            <w:pPr>
              <w:rPr>
                <w:rFonts w:hint="eastAsia" w:ascii="宋体" w:hAnsi="宋体" w:eastAsia="宋体" w:cs="宋体"/>
                <w:sz w:val="24"/>
                <w:szCs w:val="24"/>
              </w:rPr>
            </w:pPr>
            <w:r>
              <w:rPr>
                <w:rFonts w:hint="eastAsia" w:ascii="宋体" w:hAnsi="宋体" w:eastAsia="宋体" w:cs="宋体"/>
                <w:sz w:val="24"/>
                <w:szCs w:val="24"/>
              </w:rPr>
              <w:t>（5）水平位移监测：监测1次，监测点28孔节制闸3条视准线38个监测点；12孔节制闸3条视准线22个监测点。</w:t>
            </w:r>
            <w:bookmarkEnd w:id="40"/>
          </w:p>
        </w:tc>
        <w:tc>
          <w:tcPr>
            <w:tcW w:w="0" w:type="auto"/>
            <w:vAlign w:val="center"/>
          </w:tcPr>
          <w:p w14:paraId="0B2BF507">
            <w:pPr>
              <w:rPr>
                <w:rFonts w:hint="eastAsia" w:ascii="宋体" w:hAnsi="宋体" w:eastAsia="宋体" w:cs="宋体"/>
                <w:sz w:val="24"/>
                <w:szCs w:val="24"/>
              </w:rPr>
            </w:pPr>
          </w:p>
        </w:tc>
      </w:tr>
      <w:tr w14:paraId="7742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0038343D">
            <w:pPr>
              <w:jc w:val="center"/>
              <w:rPr>
                <w:rFonts w:hint="eastAsia" w:ascii="宋体" w:hAnsi="宋体" w:eastAsia="宋体" w:cs="宋体"/>
                <w:sz w:val="24"/>
                <w:szCs w:val="24"/>
              </w:rPr>
            </w:pPr>
            <w:r>
              <w:rPr>
                <w:rFonts w:hint="eastAsia" w:ascii="宋体" w:hAnsi="宋体" w:eastAsia="宋体" w:cs="宋体"/>
                <w:sz w:val="24"/>
                <w:szCs w:val="24"/>
              </w:rPr>
              <w:t>窑河闸管理处</w:t>
            </w:r>
          </w:p>
        </w:tc>
        <w:tc>
          <w:tcPr>
            <w:tcW w:w="0" w:type="auto"/>
            <w:vAlign w:val="center"/>
          </w:tcPr>
          <w:p w14:paraId="0738C29C">
            <w:pPr>
              <w:jc w:val="center"/>
              <w:rPr>
                <w:rFonts w:hint="eastAsia" w:ascii="宋体" w:hAnsi="宋体" w:eastAsia="宋体" w:cs="宋体"/>
                <w:sz w:val="24"/>
                <w:szCs w:val="24"/>
              </w:rPr>
            </w:pPr>
            <w:r>
              <w:rPr>
                <w:rFonts w:hint="eastAsia" w:ascii="宋体" w:hAnsi="宋体" w:eastAsia="宋体" w:cs="宋体"/>
                <w:sz w:val="24"/>
                <w:szCs w:val="24"/>
              </w:rPr>
              <w:t>窑河闸</w:t>
            </w:r>
          </w:p>
        </w:tc>
        <w:tc>
          <w:tcPr>
            <w:tcW w:w="0" w:type="auto"/>
            <w:vAlign w:val="center"/>
          </w:tcPr>
          <w:p w14:paraId="278E81DD">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2118BD11">
            <w:pPr>
              <w:rPr>
                <w:rFonts w:hint="eastAsia" w:ascii="宋体" w:hAnsi="宋体" w:eastAsia="宋体" w:cs="宋体"/>
                <w:sz w:val="24"/>
                <w:szCs w:val="24"/>
              </w:rPr>
            </w:pPr>
            <w:r>
              <w:rPr>
                <w:rFonts w:hint="eastAsia" w:ascii="宋体" w:hAnsi="宋体" w:eastAsia="宋体" w:cs="宋体"/>
                <w:sz w:val="24"/>
                <w:szCs w:val="24"/>
              </w:rPr>
              <w:t>（1）垂直位移：观测1次，监测点22个；</w:t>
            </w:r>
          </w:p>
          <w:p w14:paraId="4D19EBD6">
            <w:pPr>
              <w:rPr>
                <w:rFonts w:hint="eastAsia" w:ascii="宋体" w:hAnsi="宋体" w:eastAsia="宋体" w:cs="宋体"/>
                <w:sz w:val="24"/>
                <w:szCs w:val="24"/>
              </w:rPr>
            </w:pPr>
            <w:r>
              <w:rPr>
                <w:rFonts w:hint="eastAsia" w:ascii="宋体" w:hAnsi="宋体" w:eastAsia="宋体" w:cs="宋体"/>
                <w:sz w:val="24"/>
                <w:szCs w:val="24"/>
              </w:rPr>
              <w:t>（2）上下游河床冲刷和淤积：观测1次；</w:t>
            </w:r>
          </w:p>
          <w:p w14:paraId="76794AD7">
            <w:pPr>
              <w:rPr>
                <w:rFonts w:hint="eastAsia" w:ascii="宋体" w:hAnsi="宋体" w:eastAsia="宋体" w:cs="宋体"/>
                <w:sz w:val="24"/>
                <w:szCs w:val="24"/>
              </w:rPr>
            </w:pPr>
            <w:r>
              <w:rPr>
                <w:rFonts w:hint="eastAsia" w:ascii="宋体" w:hAnsi="宋体" w:eastAsia="宋体" w:cs="宋体"/>
                <w:sz w:val="24"/>
                <w:szCs w:val="24"/>
              </w:rPr>
              <w:t>（3）水位尺及测压管管口高程校核</w:t>
            </w:r>
            <w:bookmarkStart w:id="41" w:name="OLE_LINK8"/>
            <w:r>
              <w:rPr>
                <w:rFonts w:hint="eastAsia" w:ascii="宋体" w:hAnsi="宋体" w:eastAsia="宋体" w:cs="宋体"/>
                <w:sz w:val="24"/>
                <w:szCs w:val="24"/>
              </w:rPr>
              <w:t>1次</w:t>
            </w:r>
            <w:bookmarkEnd w:id="41"/>
            <w:r>
              <w:rPr>
                <w:rFonts w:hint="eastAsia" w:ascii="宋体" w:hAnsi="宋体" w:eastAsia="宋体" w:cs="宋体"/>
                <w:sz w:val="24"/>
                <w:szCs w:val="24"/>
              </w:rPr>
              <w:t>。</w:t>
            </w:r>
          </w:p>
        </w:tc>
        <w:tc>
          <w:tcPr>
            <w:tcW w:w="0" w:type="auto"/>
            <w:vAlign w:val="center"/>
          </w:tcPr>
          <w:p w14:paraId="26391763">
            <w:pPr>
              <w:rPr>
                <w:rFonts w:hint="eastAsia" w:ascii="宋体" w:hAnsi="宋体" w:eastAsia="宋体" w:cs="宋体"/>
                <w:sz w:val="24"/>
                <w:szCs w:val="24"/>
              </w:rPr>
            </w:pPr>
          </w:p>
        </w:tc>
      </w:tr>
      <w:tr w14:paraId="3743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604D662A">
            <w:pPr>
              <w:jc w:val="center"/>
              <w:rPr>
                <w:rFonts w:hint="eastAsia" w:ascii="宋体" w:hAnsi="宋体" w:eastAsia="宋体" w:cs="宋体"/>
                <w:sz w:val="24"/>
                <w:szCs w:val="24"/>
              </w:rPr>
            </w:pPr>
            <w:r>
              <w:rPr>
                <w:rFonts w:hint="eastAsia" w:ascii="宋体" w:hAnsi="宋体" w:eastAsia="宋体" w:cs="宋体"/>
                <w:sz w:val="24"/>
                <w:szCs w:val="24"/>
              </w:rPr>
              <w:t>颍东局</w:t>
            </w:r>
          </w:p>
        </w:tc>
        <w:tc>
          <w:tcPr>
            <w:tcW w:w="0" w:type="auto"/>
            <w:vAlign w:val="center"/>
          </w:tcPr>
          <w:p w14:paraId="14553F63">
            <w:pPr>
              <w:jc w:val="center"/>
              <w:rPr>
                <w:rFonts w:hint="eastAsia" w:ascii="宋体" w:hAnsi="宋体" w:eastAsia="宋体" w:cs="宋体"/>
                <w:sz w:val="24"/>
                <w:szCs w:val="24"/>
              </w:rPr>
            </w:pPr>
            <w:r>
              <w:rPr>
                <w:rFonts w:hint="eastAsia" w:ascii="宋体" w:hAnsi="宋体" w:eastAsia="宋体" w:cs="宋体"/>
                <w:sz w:val="24"/>
                <w:szCs w:val="24"/>
              </w:rPr>
              <w:t>新河涵</w:t>
            </w:r>
          </w:p>
        </w:tc>
        <w:tc>
          <w:tcPr>
            <w:tcW w:w="0" w:type="auto"/>
            <w:vAlign w:val="center"/>
          </w:tcPr>
          <w:p w14:paraId="256D828C">
            <w:pPr>
              <w:jc w:val="center"/>
              <w:rPr>
                <w:rFonts w:hint="eastAsia" w:ascii="宋体" w:hAnsi="宋体" w:eastAsia="宋体" w:cs="宋体"/>
                <w:sz w:val="24"/>
                <w:szCs w:val="24"/>
              </w:rPr>
            </w:pPr>
            <w:r>
              <w:rPr>
                <w:rFonts w:hint="eastAsia" w:ascii="宋体" w:hAnsi="宋体" w:eastAsia="宋体" w:cs="宋体"/>
                <w:sz w:val="24"/>
                <w:szCs w:val="24"/>
              </w:rPr>
              <w:t>小（1）型</w:t>
            </w:r>
          </w:p>
        </w:tc>
        <w:tc>
          <w:tcPr>
            <w:tcW w:w="0" w:type="auto"/>
            <w:vAlign w:val="center"/>
          </w:tcPr>
          <w:p w14:paraId="7535F692">
            <w:pPr>
              <w:rPr>
                <w:rFonts w:hint="eastAsia" w:ascii="宋体" w:hAnsi="宋体" w:eastAsia="宋体" w:cs="宋体"/>
                <w:sz w:val="24"/>
                <w:szCs w:val="24"/>
              </w:rPr>
            </w:pPr>
            <w:r>
              <w:rPr>
                <w:rFonts w:hint="eastAsia" w:ascii="宋体" w:hAnsi="宋体" w:eastAsia="宋体" w:cs="宋体"/>
                <w:sz w:val="24"/>
                <w:szCs w:val="24"/>
              </w:rPr>
              <w:t>（1）垂直位移：观测1次，监测点27个；</w:t>
            </w:r>
          </w:p>
          <w:p w14:paraId="32412458">
            <w:pPr>
              <w:rPr>
                <w:rFonts w:hint="eastAsia" w:ascii="宋体" w:hAnsi="宋体" w:eastAsia="宋体" w:cs="宋体"/>
                <w:sz w:val="24"/>
                <w:szCs w:val="24"/>
              </w:rPr>
            </w:pPr>
            <w:r>
              <w:rPr>
                <w:rFonts w:hint="eastAsia" w:ascii="宋体" w:hAnsi="宋体" w:eastAsia="宋体" w:cs="宋体"/>
                <w:sz w:val="24"/>
                <w:szCs w:val="24"/>
              </w:rPr>
              <w:t>（2）水位尺高程校核1次</w:t>
            </w:r>
          </w:p>
        </w:tc>
        <w:tc>
          <w:tcPr>
            <w:tcW w:w="0" w:type="auto"/>
            <w:vAlign w:val="center"/>
          </w:tcPr>
          <w:p w14:paraId="081C0DA1">
            <w:pPr>
              <w:rPr>
                <w:rFonts w:hint="eastAsia" w:ascii="宋体" w:hAnsi="宋体" w:eastAsia="宋体" w:cs="宋体"/>
                <w:sz w:val="24"/>
                <w:szCs w:val="24"/>
              </w:rPr>
            </w:pPr>
          </w:p>
        </w:tc>
      </w:tr>
      <w:tr w14:paraId="58FE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Align w:val="center"/>
          </w:tcPr>
          <w:p w14:paraId="32F16F05">
            <w:pPr>
              <w:jc w:val="center"/>
              <w:rPr>
                <w:rFonts w:hint="eastAsia" w:ascii="宋体" w:hAnsi="宋体" w:eastAsia="宋体" w:cs="宋体"/>
                <w:sz w:val="24"/>
                <w:szCs w:val="24"/>
              </w:rPr>
            </w:pPr>
            <w:r>
              <w:rPr>
                <w:rFonts w:hint="eastAsia" w:ascii="宋体" w:hAnsi="宋体" w:eastAsia="宋体" w:cs="宋体"/>
                <w:sz w:val="24"/>
                <w:szCs w:val="24"/>
              </w:rPr>
              <w:t>颍上局</w:t>
            </w:r>
          </w:p>
        </w:tc>
        <w:tc>
          <w:tcPr>
            <w:tcW w:w="0" w:type="auto"/>
            <w:vAlign w:val="center"/>
          </w:tcPr>
          <w:p w14:paraId="733CDCD8">
            <w:pPr>
              <w:jc w:val="center"/>
              <w:rPr>
                <w:rFonts w:hint="eastAsia" w:ascii="宋体" w:hAnsi="宋体" w:eastAsia="宋体" w:cs="宋体"/>
                <w:sz w:val="24"/>
                <w:szCs w:val="24"/>
              </w:rPr>
            </w:pPr>
            <w:r>
              <w:rPr>
                <w:rFonts w:hint="eastAsia" w:ascii="宋体" w:hAnsi="宋体" w:eastAsia="宋体" w:cs="宋体"/>
                <w:sz w:val="24"/>
                <w:szCs w:val="24"/>
              </w:rPr>
              <w:t>乌江涵</w:t>
            </w:r>
          </w:p>
        </w:tc>
        <w:tc>
          <w:tcPr>
            <w:tcW w:w="0" w:type="auto"/>
            <w:vAlign w:val="center"/>
          </w:tcPr>
          <w:p w14:paraId="00F135FF">
            <w:pPr>
              <w:jc w:val="center"/>
              <w:rPr>
                <w:rFonts w:hint="eastAsia" w:ascii="宋体" w:hAnsi="宋体" w:eastAsia="宋体" w:cs="宋体"/>
                <w:sz w:val="24"/>
                <w:szCs w:val="24"/>
              </w:rPr>
            </w:pPr>
            <w:bookmarkStart w:id="42" w:name="OLE_LINK5"/>
            <w:r>
              <w:rPr>
                <w:rFonts w:hint="eastAsia" w:ascii="宋体" w:hAnsi="宋体" w:eastAsia="宋体" w:cs="宋体"/>
                <w:sz w:val="24"/>
                <w:szCs w:val="24"/>
              </w:rPr>
              <w:t>小（1）型</w:t>
            </w:r>
            <w:bookmarkEnd w:id="42"/>
          </w:p>
        </w:tc>
        <w:tc>
          <w:tcPr>
            <w:tcW w:w="0" w:type="auto"/>
            <w:vAlign w:val="center"/>
          </w:tcPr>
          <w:p w14:paraId="40B11DED">
            <w:pPr>
              <w:rPr>
                <w:rFonts w:hint="eastAsia" w:ascii="宋体" w:hAnsi="宋体" w:eastAsia="宋体" w:cs="宋体"/>
                <w:sz w:val="24"/>
                <w:szCs w:val="24"/>
              </w:rPr>
            </w:pPr>
            <w:r>
              <w:rPr>
                <w:rFonts w:hint="eastAsia" w:ascii="宋体" w:hAnsi="宋体" w:eastAsia="宋体" w:cs="宋体"/>
                <w:sz w:val="24"/>
                <w:szCs w:val="24"/>
              </w:rPr>
              <w:t>垂直位移：观测1次，监测点24个；</w:t>
            </w:r>
          </w:p>
        </w:tc>
        <w:tc>
          <w:tcPr>
            <w:tcW w:w="0" w:type="auto"/>
            <w:vAlign w:val="center"/>
          </w:tcPr>
          <w:p w14:paraId="65D5DFF8">
            <w:pPr>
              <w:rPr>
                <w:rFonts w:hint="eastAsia" w:ascii="宋体" w:hAnsi="宋体" w:eastAsia="宋体" w:cs="宋体"/>
                <w:sz w:val="24"/>
                <w:szCs w:val="24"/>
              </w:rPr>
            </w:pPr>
          </w:p>
        </w:tc>
      </w:tr>
      <w:tr w14:paraId="01AA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restart"/>
            <w:vAlign w:val="center"/>
          </w:tcPr>
          <w:p w14:paraId="257963B2">
            <w:pPr>
              <w:jc w:val="center"/>
              <w:rPr>
                <w:rFonts w:hint="eastAsia" w:ascii="宋体" w:hAnsi="宋体" w:eastAsia="宋体" w:cs="宋体"/>
                <w:sz w:val="24"/>
                <w:szCs w:val="24"/>
              </w:rPr>
            </w:pPr>
            <w:r>
              <w:rPr>
                <w:rFonts w:hint="eastAsia" w:ascii="宋体" w:hAnsi="宋体" w:eastAsia="宋体" w:cs="宋体"/>
                <w:sz w:val="24"/>
                <w:szCs w:val="24"/>
              </w:rPr>
              <w:t>凤台局</w:t>
            </w:r>
          </w:p>
        </w:tc>
        <w:tc>
          <w:tcPr>
            <w:tcW w:w="0" w:type="auto"/>
            <w:vAlign w:val="center"/>
          </w:tcPr>
          <w:p w14:paraId="3CF264B4">
            <w:pPr>
              <w:jc w:val="center"/>
              <w:rPr>
                <w:rFonts w:hint="eastAsia" w:ascii="宋体" w:hAnsi="宋体" w:eastAsia="宋体" w:cs="宋体"/>
                <w:sz w:val="24"/>
                <w:szCs w:val="24"/>
              </w:rPr>
            </w:pPr>
            <w:r>
              <w:rPr>
                <w:rFonts w:hint="eastAsia" w:ascii="宋体" w:hAnsi="宋体" w:eastAsia="宋体" w:cs="宋体"/>
                <w:sz w:val="24"/>
                <w:szCs w:val="24"/>
              </w:rPr>
              <w:t>焦岗闸</w:t>
            </w:r>
          </w:p>
        </w:tc>
        <w:tc>
          <w:tcPr>
            <w:tcW w:w="0" w:type="auto"/>
            <w:vAlign w:val="center"/>
          </w:tcPr>
          <w:p w14:paraId="3A0E1A58">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4A156A59">
            <w:pPr>
              <w:rPr>
                <w:rFonts w:hint="eastAsia" w:ascii="宋体" w:hAnsi="宋体" w:eastAsia="宋体" w:cs="宋体"/>
                <w:sz w:val="24"/>
                <w:szCs w:val="24"/>
              </w:rPr>
            </w:pPr>
            <w:r>
              <w:rPr>
                <w:rFonts w:hint="eastAsia" w:ascii="宋体" w:hAnsi="宋体" w:eastAsia="宋体" w:cs="宋体"/>
                <w:sz w:val="24"/>
                <w:szCs w:val="24"/>
              </w:rPr>
              <w:t>（1）垂直位移：观测1次，监测点28个；</w:t>
            </w:r>
          </w:p>
          <w:p w14:paraId="329DC401">
            <w:pPr>
              <w:rPr>
                <w:rFonts w:hint="eastAsia" w:ascii="宋体" w:hAnsi="宋体" w:eastAsia="宋体" w:cs="宋体"/>
                <w:sz w:val="24"/>
                <w:szCs w:val="24"/>
              </w:rPr>
            </w:pPr>
            <w:r>
              <w:rPr>
                <w:rFonts w:hint="eastAsia" w:ascii="宋体" w:hAnsi="宋体" w:eastAsia="宋体" w:cs="宋体"/>
                <w:sz w:val="24"/>
                <w:szCs w:val="24"/>
              </w:rPr>
              <w:t>（2）河道断面测量：观测1次，固定断面6条，上、下游各3条；</w:t>
            </w:r>
          </w:p>
          <w:p w14:paraId="697534E0">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p>
        </w:tc>
        <w:tc>
          <w:tcPr>
            <w:tcW w:w="0" w:type="auto"/>
            <w:vMerge w:val="restart"/>
            <w:vAlign w:val="center"/>
          </w:tcPr>
          <w:p w14:paraId="507A5F66">
            <w:pPr>
              <w:rPr>
                <w:rFonts w:hint="eastAsia" w:ascii="宋体" w:hAnsi="宋体" w:eastAsia="宋体" w:cs="宋体"/>
                <w:sz w:val="24"/>
                <w:szCs w:val="24"/>
              </w:rPr>
            </w:pPr>
          </w:p>
        </w:tc>
      </w:tr>
      <w:tr w14:paraId="32B7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0ACAB272">
            <w:pPr>
              <w:jc w:val="center"/>
              <w:rPr>
                <w:rFonts w:hint="eastAsia" w:ascii="宋体" w:hAnsi="宋体" w:eastAsia="宋体" w:cs="宋体"/>
                <w:sz w:val="24"/>
                <w:szCs w:val="24"/>
              </w:rPr>
            </w:pPr>
          </w:p>
        </w:tc>
        <w:tc>
          <w:tcPr>
            <w:tcW w:w="0" w:type="auto"/>
            <w:vAlign w:val="center"/>
          </w:tcPr>
          <w:p w14:paraId="1D2C6B7A">
            <w:pPr>
              <w:jc w:val="center"/>
              <w:rPr>
                <w:rFonts w:hint="eastAsia" w:ascii="宋体" w:hAnsi="宋体" w:eastAsia="宋体" w:cs="宋体"/>
                <w:sz w:val="24"/>
                <w:szCs w:val="24"/>
              </w:rPr>
            </w:pPr>
            <w:r>
              <w:rPr>
                <w:rFonts w:hint="eastAsia" w:ascii="宋体" w:hAnsi="宋体" w:eastAsia="宋体" w:cs="宋体"/>
                <w:sz w:val="24"/>
                <w:szCs w:val="24"/>
              </w:rPr>
              <w:t>新西淝闸</w:t>
            </w:r>
          </w:p>
        </w:tc>
        <w:tc>
          <w:tcPr>
            <w:tcW w:w="0" w:type="auto"/>
            <w:vAlign w:val="center"/>
          </w:tcPr>
          <w:p w14:paraId="4C23EA4C">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18E03F0A">
            <w:pPr>
              <w:rPr>
                <w:rFonts w:hint="eastAsia" w:ascii="宋体" w:hAnsi="宋体" w:eastAsia="宋体" w:cs="宋体"/>
                <w:sz w:val="24"/>
                <w:szCs w:val="24"/>
              </w:rPr>
            </w:pPr>
            <w:r>
              <w:rPr>
                <w:rFonts w:hint="eastAsia" w:ascii="宋体" w:hAnsi="宋体" w:eastAsia="宋体" w:cs="宋体"/>
                <w:sz w:val="24"/>
                <w:szCs w:val="24"/>
              </w:rPr>
              <w:t>（1）垂直位移：观测1次，监测点20个；</w:t>
            </w:r>
          </w:p>
          <w:p w14:paraId="6DDF211F">
            <w:pPr>
              <w:rPr>
                <w:rFonts w:hint="eastAsia" w:ascii="宋体" w:hAnsi="宋体" w:eastAsia="宋体" w:cs="宋体"/>
                <w:sz w:val="24"/>
                <w:szCs w:val="24"/>
              </w:rPr>
            </w:pPr>
            <w:r>
              <w:rPr>
                <w:rFonts w:hint="eastAsia" w:ascii="宋体" w:hAnsi="宋体" w:eastAsia="宋体" w:cs="宋体"/>
                <w:sz w:val="24"/>
                <w:szCs w:val="24"/>
              </w:rPr>
              <w:t>（2）河道断面测量：观测1次，固定断面6条，上、下游各3条；</w:t>
            </w:r>
          </w:p>
          <w:p w14:paraId="24068ED6">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p>
        </w:tc>
        <w:tc>
          <w:tcPr>
            <w:tcW w:w="0" w:type="auto"/>
            <w:vMerge w:val="continue"/>
            <w:vAlign w:val="center"/>
          </w:tcPr>
          <w:p w14:paraId="2AA262DD">
            <w:pPr>
              <w:rPr>
                <w:rFonts w:hint="eastAsia" w:ascii="宋体" w:hAnsi="宋体" w:eastAsia="宋体" w:cs="宋体"/>
                <w:sz w:val="24"/>
                <w:szCs w:val="24"/>
              </w:rPr>
            </w:pPr>
          </w:p>
        </w:tc>
      </w:tr>
      <w:tr w14:paraId="7C89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437CB4B1">
            <w:pPr>
              <w:jc w:val="center"/>
              <w:rPr>
                <w:rFonts w:hint="eastAsia" w:ascii="宋体" w:hAnsi="宋体" w:eastAsia="宋体" w:cs="宋体"/>
                <w:sz w:val="24"/>
                <w:szCs w:val="24"/>
              </w:rPr>
            </w:pPr>
          </w:p>
        </w:tc>
        <w:tc>
          <w:tcPr>
            <w:tcW w:w="0" w:type="auto"/>
            <w:vAlign w:val="center"/>
          </w:tcPr>
          <w:p w14:paraId="222CB861">
            <w:pPr>
              <w:jc w:val="center"/>
              <w:rPr>
                <w:rFonts w:hint="eastAsia" w:ascii="宋体" w:hAnsi="宋体" w:eastAsia="宋体" w:cs="宋体"/>
                <w:sz w:val="24"/>
                <w:szCs w:val="24"/>
              </w:rPr>
            </w:pPr>
            <w:r>
              <w:rPr>
                <w:rFonts w:hint="eastAsia" w:ascii="宋体" w:hAnsi="宋体" w:eastAsia="宋体" w:cs="宋体"/>
                <w:sz w:val="24"/>
                <w:szCs w:val="24"/>
              </w:rPr>
              <w:t>新港河闸</w:t>
            </w:r>
          </w:p>
        </w:tc>
        <w:tc>
          <w:tcPr>
            <w:tcW w:w="0" w:type="auto"/>
            <w:vAlign w:val="center"/>
          </w:tcPr>
          <w:p w14:paraId="28AA1F0E">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2176304F">
            <w:pPr>
              <w:rPr>
                <w:rFonts w:hint="eastAsia" w:ascii="宋体" w:hAnsi="宋体" w:eastAsia="宋体" w:cs="宋体"/>
                <w:sz w:val="24"/>
                <w:szCs w:val="24"/>
              </w:rPr>
            </w:pPr>
            <w:bookmarkStart w:id="43" w:name="OLE_LINK1"/>
            <w:r>
              <w:rPr>
                <w:rFonts w:hint="eastAsia" w:ascii="宋体" w:hAnsi="宋体" w:eastAsia="宋体" w:cs="宋体"/>
                <w:sz w:val="24"/>
                <w:szCs w:val="24"/>
              </w:rPr>
              <w:t>（1）垂直位移：观测1次，监测点44个；</w:t>
            </w:r>
          </w:p>
          <w:p w14:paraId="4E280078">
            <w:pPr>
              <w:rPr>
                <w:rFonts w:hint="eastAsia" w:ascii="宋体" w:hAnsi="宋体" w:eastAsia="宋体" w:cs="宋体"/>
                <w:sz w:val="24"/>
                <w:szCs w:val="24"/>
              </w:rPr>
            </w:pPr>
            <w:r>
              <w:rPr>
                <w:rFonts w:hint="eastAsia" w:ascii="宋体" w:hAnsi="宋体" w:eastAsia="宋体" w:cs="宋体"/>
                <w:sz w:val="24"/>
                <w:szCs w:val="24"/>
              </w:rPr>
              <w:t>（2）河道断面测量：观测1次，固定断面6条，上、下游各3条；</w:t>
            </w:r>
          </w:p>
          <w:p w14:paraId="6FA6D727">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bookmarkEnd w:id="43"/>
          </w:p>
        </w:tc>
        <w:tc>
          <w:tcPr>
            <w:tcW w:w="0" w:type="auto"/>
            <w:vMerge w:val="continue"/>
            <w:vAlign w:val="center"/>
          </w:tcPr>
          <w:p w14:paraId="6E98F205">
            <w:pPr>
              <w:rPr>
                <w:rFonts w:hint="eastAsia" w:ascii="宋体" w:hAnsi="宋体" w:eastAsia="宋体" w:cs="宋体"/>
                <w:sz w:val="24"/>
                <w:szCs w:val="24"/>
              </w:rPr>
            </w:pPr>
          </w:p>
        </w:tc>
      </w:tr>
      <w:tr w14:paraId="6CE6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restart"/>
            <w:vAlign w:val="center"/>
          </w:tcPr>
          <w:p w14:paraId="45893361">
            <w:pPr>
              <w:jc w:val="center"/>
              <w:rPr>
                <w:rFonts w:hint="eastAsia" w:ascii="宋体" w:hAnsi="宋体" w:eastAsia="宋体" w:cs="宋体"/>
                <w:sz w:val="24"/>
                <w:szCs w:val="24"/>
              </w:rPr>
            </w:pPr>
            <w:r>
              <w:rPr>
                <w:rFonts w:hint="eastAsia" w:ascii="宋体" w:hAnsi="宋体" w:eastAsia="宋体" w:cs="宋体"/>
                <w:sz w:val="24"/>
                <w:szCs w:val="24"/>
              </w:rPr>
              <w:t>潘集局</w:t>
            </w:r>
          </w:p>
        </w:tc>
        <w:tc>
          <w:tcPr>
            <w:tcW w:w="0" w:type="auto"/>
            <w:vAlign w:val="center"/>
          </w:tcPr>
          <w:p w14:paraId="3B84DAA5">
            <w:pPr>
              <w:jc w:val="center"/>
              <w:rPr>
                <w:rFonts w:hint="eastAsia" w:ascii="宋体" w:hAnsi="宋体" w:eastAsia="宋体" w:cs="宋体"/>
                <w:sz w:val="24"/>
                <w:szCs w:val="24"/>
              </w:rPr>
            </w:pPr>
            <w:r>
              <w:rPr>
                <w:rFonts w:hint="eastAsia" w:ascii="宋体" w:hAnsi="宋体" w:eastAsia="宋体" w:cs="宋体"/>
                <w:sz w:val="24"/>
                <w:szCs w:val="24"/>
              </w:rPr>
              <w:t>青年闸</w:t>
            </w:r>
          </w:p>
        </w:tc>
        <w:tc>
          <w:tcPr>
            <w:tcW w:w="0" w:type="auto"/>
            <w:vAlign w:val="center"/>
          </w:tcPr>
          <w:p w14:paraId="72C4AD93">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7E43E519">
            <w:pPr>
              <w:rPr>
                <w:rFonts w:hint="eastAsia" w:ascii="宋体" w:hAnsi="宋体" w:eastAsia="宋体" w:cs="宋体"/>
                <w:sz w:val="24"/>
                <w:szCs w:val="24"/>
              </w:rPr>
            </w:pPr>
            <w:r>
              <w:rPr>
                <w:rFonts w:hint="eastAsia" w:ascii="宋体" w:hAnsi="宋体" w:eastAsia="宋体" w:cs="宋体"/>
                <w:sz w:val="24"/>
                <w:szCs w:val="24"/>
              </w:rPr>
              <w:t>（1）垂直位移：观测1次，监测点14个；</w:t>
            </w:r>
          </w:p>
          <w:p w14:paraId="0DB8E44D">
            <w:pPr>
              <w:rPr>
                <w:rFonts w:hint="eastAsia" w:ascii="宋体" w:hAnsi="宋体" w:eastAsia="宋体" w:cs="宋体"/>
                <w:sz w:val="24"/>
                <w:szCs w:val="24"/>
              </w:rPr>
            </w:pPr>
            <w:r>
              <w:rPr>
                <w:rFonts w:hint="eastAsia" w:ascii="宋体" w:hAnsi="宋体" w:eastAsia="宋体" w:cs="宋体"/>
                <w:sz w:val="24"/>
                <w:szCs w:val="24"/>
              </w:rPr>
              <w:t>（2）河道断面测量：观测1次，固定断面6条；</w:t>
            </w:r>
          </w:p>
        </w:tc>
        <w:tc>
          <w:tcPr>
            <w:tcW w:w="0" w:type="auto"/>
            <w:vMerge w:val="restart"/>
            <w:vAlign w:val="center"/>
          </w:tcPr>
          <w:p w14:paraId="091B06F6">
            <w:pPr>
              <w:rPr>
                <w:rFonts w:hint="eastAsia" w:ascii="宋体" w:hAnsi="宋体" w:eastAsia="宋体" w:cs="宋体"/>
                <w:sz w:val="24"/>
                <w:szCs w:val="24"/>
              </w:rPr>
            </w:pPr>
          </w:p>
        </w:tc>
      </w:tr>
      <w:tr w14:paraId="78FE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6D423E79">
            <w:pPr>
              <w:jc w:val="center"/>
              <w:rPr>
                <w:rFonts w:hint="eastAsia" w:ascii="宋体" w:hAnsi="宋体" w:eastAsia="宋体" w:cs="宋体"/>
                <w:sz w:val="24"/>
                <w:szCs w:val="24"/>
              </w:rPr>
            </w:pPr>
          </w:p>
        </w:tc>
        <w:tc>
          <w:tcPr>
            <w:tcW w:w="0" w:type="auto"/>
            <w:vAlign w:val="center"/>
          </w:tcPr>
          <w:p w14:paraId="21638E89">
            <w:pPr>
              <w:jc w:val="center"/>
              <w:rPr>
                <w:rFonts w:hint="eastAsia" w:ascii="宋体" w:hAnsi="宋体" w:eastAsia="宋体" w:cs="宋体"/>
                <w:sz w:val="24"/>
                <w:szCs w:val="24"/>
              </w:rPr>
            </w:pPr>
            <w:r>
              <w:rPr>
                <w:rFonts w:hint="eastAsia" w:ascii="宋体" w:hAnsi="宋体" w:eastAsia="宋体" w:cs="宋体"/>
                <w:sz w:val="24"/>
                <w:szCs w:val="24"/>
              </w:rPr>
              <w:t>尹家沟闸</w:t>
            </w:r>
          </w:p>
        </w:tc>
        <w:tc>
          <w:tcPr>
            <w:tcW w:w="0" w:type="auto"/>
            <w:vAlign w:val="center"/>
          </w:tcPr>
          <w:p w14:paraId="035FEAE0">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11C24355">
            <w:pPr>
              <w:rPr>
                <w:rFonts w:hint="eastAsia" w:ascii="宋体" w:hAnsi="宋体" w:eastAsia="宋体" w:cs="宋体"/>
                <w:sz w:val="24"/>
                <w:szCs w:val="24"/>
              </w:rPr>
            </w:pPr>
            <w:r>
              <w:rPr>
                <w:rFonts w:hint="eastAsia" w:ascii="宋体" w:hAnsi="宋体" w:eastAsia="宋体" w:cs="宋体"/>
                <w:sz w:val="24"/>
                <w:szCs w:val="24"/>
              </w:rPr>
              <w:t>（1）垂直位移：观测1次，监测点17个；</w:t>
            </w:r>
          </w:p>
          <w:p w14:paraId="649DD0F2">
            <w:pPr>
              <w:rPr>
                <w:rFonts w:hint="eastAsia" w:ascii="宋体" w:hAnsi="宋体" w:eastAsia="宋体" w:cs="宋体"/>
                <w:sz w:val="24"/>
                <w:szCs w:val="24"/>
              </w:rPr>
            </w:pPr>
            <w:r>
              <w:rPr>
                <w:rFonts w:hint="eastAsia" w:ascii="宋体" w:hAnsi="宋体" w:eastAsia="宋体" w:cs="宋体"/>
                <w:sz w:val="24"/>
                <w:szCs w:val="24"/>
              </w:rPr>
              <w:t>（2）河道断面测量：观测1次，固定断面6条；</w:t>
            </w:r>
          </w:p>
        </w:tc>
        <w:tc>
          <w:tcPr>
            <w:tcW w:w="0" w:type="auto"/>
            <w:vMerge w:val="continue"/>
            <w:vAlign w:val="center"/>
          </w:tcPr>
          <w:p w14:paraId="1565AF2E">
            <w:pPr>
              <w:rPr>
                <w:rFonts w:hint="eastAsia" w:ascii="宋体" w:hAnsi="宋体" w:eastAsia="宋体" w:cs="宋体"/>
                <w:sz w:val="24"/>
                <w:szCs w:val="24"/>
              </w:rPr>
            </w:pPr>
          </w:p>
        </w:tc>
      </w:tr>
      <w:tr w14:paraId="4395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4B2A5255">
            <w:pPr>
              <w:jc w:val="center"/>
              <w:rPr>
                <w:rFonts w:hint="eastAsia" w:ascii="宋体" w:hAnsi="宋体" w:eastAsia="宋体" w:cs="宋体"/>
                <w:sz w:val="24"/>
                <w:szCs w:val="24"/>
              </w:rPr>
            </w:pPr>
          </w:p>
        </w:tc>
        <w:tc>
          <w:tcPr>
            <w:tcW w:w="0" w:type="auto"/>
            <w:vAlign w:val="center"/>
          </w:tcPr>
          <w:p w14:paraId="31A55C39">
            <w:pPr>
              <w:jc w:val="center"/>
              <w:rPr>
                <w:rFonts w:hint="eastAsia" w:ascii="宋体" w:hAnsi="宋体" w:eastAsia="宋体" w:cs="宋体"/>
                <w:sz w:val="24"/>
                <w:szCs w:val="24"/>
              </w:rPr>
            </w:pPr>
            <w:r>
              <w:rPr>
                <w:rFonts w:hint="eastAsia" w:ascii="宋体" w:hAnsi="宋体" w:eastAsia="宋体" w:cs="宋体"/>
                <w:sz w:val="24"/>
                <w:szCs w:val="24"/>
              </w:rPr>
              <w:t>架河闸</w:t>
            </w:r>
          </w:p>
        </w:tc>
        <w:tc>
          <w:tcPr>
            <w:tcW w:w="0" w:type="auto"/>
            <w:vAlign w:val="center"/>
          </w:tcPr>
          <w:p w14:paraId="2FCFCC47">
            <w:pPr>
              <w:jc w:val="center"/>
              <w:rPr>
                <w:rFonts w:hint="eastAsia" w:ascii="宋体" w:hAnsi="宋体" w:eastAsia="宋体" w:cs="宋体"/>
                <w:sz w:val="24"/>
                <w:szCs w:val="24"/>
              </w:rPr>
            </w:pPr>
            <w:r>
              <w:rPr>
                <w:rFonts w:hint="eastAsia" w:ascii="宋体" w:hAnsi="宋体" w:eastAsia="宋体" w:cs="宋体"/>
                <w:sz w:val="24"/>
                <w:szCs w:val="24"/>
              </w:rPr>
              <w:t>小型</w:t>
            </w:r>
          </w:p>
        </w:tc>
        <w:tc>
          <w:tcPr>
            <w:tcW w:w="0" w:type="auto"/>
            <w:vAlign w:val="center"/>
          </w:tcPr>
          <w:p w14:paraId="51DC83E7">
            <w:pPr>
              <w:rPr>
                <w:rFonts w:hint="eastAsia" w:ascii="宋体" w:hAnsi="宋体" w:eastAsia="宋体" w:cs="宋体"/>
                <w:sz w:val="24"/>
                <w:szCs w:val="24"/>
              </w:rPr>
            </w:pPr>
            <w:r>
              <w:rPr>
                <w:rFonts w:hint="eastAsia" w:ascii="宋体" w:hAnsi="宋体" w:eastAsia="宋体" w:cs="宋体"/>
                <w:sz w:val="24"/>
                <w:szCs w:val="24"/>
              </w:rPr>
              <w:t>（1）垂直位移：观测1次，监测点14个；</w:t>
            </w:r>
          </w:p>
          <w:p w14:paraId="13BD1308">
            <w:pPr>
              <w:rPr>
                <w:rFonts w:hint="eastAsia" w:ascii="宋体" w:hAnsi="宋体" w:eastAsia="宋体" w:cs="宋体"/>
                <w:sz w:val="24"/>
                <w:szCs w:val="24"/>
              </w:rPr>
            </w:pPr>
            <w:r>
              <w:rPr>
                <w:rFonts w:hint="eastAsia" w:ascii="宋体" w:hAnsi="宋体" w:eastAsia="宋体" w:cs="宋体"/>
                <w:sz w:val="24"/>
                <w:szCs w:val="24"/>
              </w:rPr>
              <w:t>（2）河道断面测量：观测1次，固定断面6条；</w:t>
            </w:r>
          </w:p>
        </w:tc>
        <w:tc>
          <w:tcPr>
            <w:tcW w:w="0" w:type="auto"/>
            <w:vMerge w:val="continue"/>
            <w:vAlign w:val="center"/>
          </w:tcPr>
          <w:p w14:paraId="578FD2C7">
            <w:pPr>
              <w:rPr>
                <w:rFonts w:hint="eastAsia" w:ascii="宋体" w:hAnsi="宋体" w:eastAsia="宋体" w:cs="宋体"/>
                <w:sz w:val="24"/>
                <w:szCs w:val="24"/>
              </w:rPr>
            </w:pPr>
          </w:p>
        </w:tc>
      </w:tr>
      <w:tr w14:paraId="73F8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6A49F0F2">
            <w:pPr>
              <w:jc w:val="center"/>
              <w:rPr>
                <w:rFonts w:hint="eastAsia" w:ascii="宋体" w:hAnsi="宋体" w:eastAsia="宋体" w:cs="宋体"/>
                <w:sz w:val="24"/>
                <w:szCs w:val="24"/>
              </w:rPr>
            </w:pPr>
          </w:p>
        </w:tc>
        <w:tc>
          <w:tcPr>
            <w:tcW w:w="0" w:type="auto"/>
            <w:vAlign w:val="center"/>
          </w:tcPr>
          <w:p w14:paraId="31AD5D1D">
            <w:pPr>
              <w:jc w:val="center"/>
              <w:rPr>
                <w:rFonts w:hint="eastAsia" w:ascii="宋体" w:hAnsi="宋体" w:eastAsia="宋体" w:cs="宋体"/>
                <w:sz w:val="24"/>
                <w:szCs w:val="24"/>
              </w:rPr>
            </w:pPr>
            <w:r>
              <w:rPr>
                <w:rFonts w:hint="eastAsia" w:ascii="宋体" w:hAnsi="宋体" w:eastAsia="宋体" w:cs="宋体"/>
                <w:sz w:val="24"/>
                <w:szCs w:val="24"/>
              </w:rPr>
              <w:t>利民新河闸</w:t>
            </w:r>
          </w:p>
        </w:tc>
        <w:tc>
          <w:tcPr>
            <w:tcW w:w="0" w:type="auto"/>
            <w:vAlign w:val="center"/>
          </w:tcPr>
          <w:p w14:paraId="62D9FC46">
            <w:pPr>
              <w:jc w:val="center"/>
              <w:rPr>
                <w:rFonts w:hint="eastAsia" w:ascii="宋体" w:hAnsi="宋体" w:eastAsia="宋体" w:cs="宋体"/>
                <w:sz w:val="24"/>
                <w:szCs w:val="24"/>
              </w:rPr>
            </w:pPr>
            <w:r>
              <w:rPr>
                <w:rFonts w:hint="eastAsia" w:ascii="宋体" w:hAnsi="宋体" w:eastAsia="宋体" w:cs="宋体"/>
                <w:sz w:val="24"/>
                <w:szCs w:val="24"/>
              </w:rPr>
              <w:t>小型</w:t>
            </w:r>
          </w:p>
        </w:tc>
        <w:tc>
          <w:tcPr>
            <w:tcW w:w="0" w:type="auto"/>
            <w:vAlign w:val="center"/>
          </w:tcPr>
          <w:p w14:paraId="5FAFE1FE">
            <w:pPr>
              <w:rPr>
                <w:rFonts w:hint="eastAsia" w:ascii="宋体" w:hAnsi="宋体" w:eastAsia="宋体" w:cs="宋体"/>
                <w:sz w:val="24"/>
                <w:szCs w:val="24"/>
              </w:rPr>
            </w:pPr>
            <w:r>
              <w:rPr>
                <w:rFonts w:hint="eastAsia" w:ascii="宋体" w:hAnsi="宋体" w:eastAsia="宋体" w:cs="宋体"/>
                <w:sz w:val="24"/>
                <w:szCs w:val="24"/>
              </w:rPr>
              <w:t>（1）垂直位移：观测1次，监测点10个；</w:t>
            </w:r>
          </w:p>
          <w:p w14:paraId="797DC1EF">
            <w:pPr>
              <w:rPr>
                <w:rFonts w:hint="eastAsia" w:ascii="宋体" w:hAnsi="宋体" w:eastAsia="宋体" w:cs="宋体"/>
                <w:sz w:val="24"/>
                <w:szCs w:val="24"/>
              </w:rPr>
            </w:pPr>
            <w:r>
              <w:rPr>
                <w:rFonts w:hint="eastAsia" w:ascii="宋体" w:hAnsi="宋体" w:eastAsia="宋体" w:cs="宋体"/>
                <w:sz w:val="24"/>
                <w:szCs w:val="24"/>
              </w:rPr>
              <w:t>（2）水位尺及测压管高程校核1次；</w:t>
            </w:r>
          </w:p>
        </w:tc>
        <w:tc>
          <w:tcPr>
            <w:tcW w:w="0" w:type="auto"/>
            <w:vAlign w:val="center"/>
          </w:tcPr>
          <w:p w14:paraId="6885E6E8">
            <w:pPr>
              <w:rPr>
                <w:rFonts w:hint="eastAsia" w:ascii="宋体" w:hAnsi="宋体" w:eastAsia="宋体" w:cs="宋体"/>
                <w:sz w:val="24"/>
                <w:szCs w:val="24"/>
              </w:rPr>
            </w:pPr>
          </w:p>
        </w:tc>
      </w:tr>
      <w:tr w14:paraId="32FD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restart"/>
            <w:vAlign w:val="center"/>
          </w:tcPr>
          <w:p w14:paraId="15CF4FC3">
            <w:pPr>
              <w:jc w:val="center"/>
              <w:rPr>
                <w:rFonts w:hint="eastAsia" w:ascii="宋体" w:hAnsi="宋体" w:eastAsia="宋体" w:cs="宋体"/>
                <w:sz w:val="24"/>
                <w:szCs w:val="24"/>
              </w:rPr>
            </w:pPr>
            <w:r>
              <w:rPr>
                <w:rFonts w:hint="eastAsia" w:ascii="宋体" w:hAnsi="宋体" w:eastAsia="宋体" w:cs="宋体"/>
                <w:sz w:val="24"/>
                <w:szCs w:val="24"/>
              </w:rPr>
              <w:t>蒙城局</w:t>
            </w:r>
          </w:p>
        </w:tc>
        <w:tc>
          <w:tcPr>
            <w:tcW w:w="0" w:type="auto"/>
            <w:vAlign w:val="center"/>
          </w:tcPr>
          <w:p w14:paraId="4D3396A0">
            <w:pPr>
              <w:jc w:val="center"/>
              <w:rPr>
                <w:rFonts w:hint="eastAsia" w:ascii="宋体" w:hAnsi="宋体" w:eastAsia="宋体" w:cs="宋体"/>
                <w:sz w:val="24"/>
                <w:szCs w:val="24"/>
              </w:rPr>
            </w:pPr>
            <w:r>
              <w:rPr>
                <w:rFonts w:hint="eastAsia" w:ascii="宋体" w:hAnsi="宋体" w:eastAsia="宋体" w:cs="宋体"/>
                <w:sz w:val="24"/>
                <w:szCs w:val="24"/>
              </w:rPr>
              <w:t>阜蒙新河闸</w:t>
            </w:r>
          </w:p>
        </w:tc>
        <w:tc>
          <w:tcPr>
            <w:tcW w:w="0" w:type="auto"/>
            <w:vAlign w:val="center"/>
          </w:tcPr>
          <w:p w14:paraId="4F264719">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0A827528">
            <w:pPr>
              <w:rPr>
                <w:rFonts w:hint="eastAsia" w:ascii="宋体" w:hAnsi="宋体" w:eastAsia="宋体" w:cs="宋体"/>
                <w:sz w:val="24"/>
                <w:szCs w:val="24"/>
              </w:rPr>
            </w:pPr>
            <w:r>
              <w:rPr>
                <w:rFonts w:hint="eastAsia" w:ascii="宋体" w:hAnsi="宋体" w:eastAsia="宋体" w:cs="宋体"/>
                <w:sz w:val="24"/>
                <w:szCs w:val="24"/>
              </w:rPr>
              <w:t>（1）垂直位移：观测1次，监测点26个：</w:t>
            </w:r>
          </w:p>
          <w:p w14:paraId="49D548A9">
            <w:pPr>
              <w:rPr>
                <w:rFonts w:hint="eastAsia" w:ascii="宋体" w:hAnsi="宋体" w:eastAsia="宋体" w:cs="宋体"/>
                <w:sz w:val="24"/>
                <w:szCs w:val="24"/>
              </w:rPr>
            </w:pPr>
            <w:r>
              <w:rPr>
                <w:rFonts w:hint="eastAsia" w:ascii="宋体" w:hAnsi="宋体" w:eastAsia="宋体" w:cs="宋体"/>
                <w:sz w:val="24"/>
                <w:szCs w:val="24"/>
              </w:rPr>
              <w:t>（2）上下游河床冲刷和淤积：观测1次；</w:t>
            </w:r>
          </w:p>
          <w:p w14:paraId="16516007">
            <w:pPr>
              <w:rPr>
                <w:rFonts w:hint="eastAsia" w:ascii="宋体" w:hAnsi="宋体" w:eastAsia="宋体" w:cs="宋体"/>
                <w:sz w:val="24"/>
                <w:szCs w:val="24"/>
              </w:rPr>
            </w:pPr>
            <w:r>
              <w:rPr>
                <w:rFonts w:hint="eastAsia" w:ascii="宋体" w:hAnsi="宋体" w:eastAsia="宋体" w:cs="宋体"/>
                <w:sz w:val="24"/>
                <w:szCs w:val="24"/>
              </w:rPr>
              <w:t xml:space="preserve">（3）水位尺及测压管管口高程校核1次；                                        </w:t>
            </w:r>
          </w:p>
        </w:tc>
        <w:tc>
          <w:tcPr>
            <w:tcW w:w="0" w:type="auto"/>
            <w:vMerge w:val="restart"/>
            <w:vAlign w:val="center"/>
          </w:tcPr>
          <w:p w14:paraId="4ADD9DD8">
            <w:pPr>
              <w:rPr>
                <w:rFonts w:hint="eastAsia" w:ascii="宋体" w:hAnsi="宋体" w:eastAsia="宋体" w:cs="宋体"/>
                <w:sz w:val="24"/>
                <w:szCs w:val="24"/>
              </w:rPr>
            </w:pPr>
          </w:p>
        </w:tc>
      </w:tr>
      <w:tr w14:paraId="7CA7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3BBBE2F9">
            <w:pPr>
              <w:jc w:val="center"/>
              <w:rPr>
                <w:rFonts w:hint="eastAsia" w:ascii="宋体" w:hAnsi="宋体" w:eastAsia="宋体" w:cs="宋体"/>
                <w:sz w:val="24"/>
                <w:szCs w:val="24"/>
              </w:rPr>
            </w:pPr>
          </w:p>
        </w:tc>
        <w:tc>
          <w:tcPr>
            <w:tcW w:w="0" w:type="auto"/>
            <w:vAlign w:val="center"/>
          </w:tcPr>
          <w:p w14:paraId="31FF2DD2">
            <w:pPr>
              <w:jc w:val="center"/>
              <w:rPr>
                <w:rFonts w:hint="eastAsia" w:ascii="宋体" w:hAnsi="宋体" w:eastAsia="宋体" w:cs="宋体"/>
                <w:sz w:val="24"/>
                <w:szCs w:val="24"/>
              </w:rPr>
            </w:pPr>
            <w:r>
              <w:rPr>
                <w:rFonts w:hint="eastAsia" w:ascii="宋体" w:hAnsi="宋体" w:eastAsia="宋体" w:cs="宋体"/>
                <w:sz w:val="24"/>
                <w:szCs w:val="24"/>
              </w:rPr>
              <w:t>华阳沟涵</w:t>
            </w:r>
          </w:p>
        </w:tc>
        <w:tc>
          <w:tcPr>
            <w:tcW w:w="0" w:type="auto"/>
            <w:vAlign w:val="center"/>
          </w:tcPr>
          <w:p w14:paraId="258D9015">
            <w:pPr>
              <w:jc w:val="center"/>
              <w:rPr>
                <w:rFonts w:hint="eastAsia" w:ascii="宋体" w:hAnsi="宋体" w:eastAsia="宋体" w:cs="宋体"/>
                <w:sz w:val="24"/>
                <w:szCs w:val="24"/>
              </w:rPr>
            </w:pPr>
            <w:r>
              <w:rPr>
                <w:rFonts w:hint="eastAsia" w:ascii="宋体" w:hAnsi="宋体" w:eastAsia="宋体" w:cs="宋体"/>
                <w:sz w:val="24"/>
                <w:szCs w:val="24"/>
              </w:rPr>
              <w:t>小型</w:t>
            </w:r>
          </w:p>
        </w:tc>
        <w:tc>
          <w:tcPr>
            <w:tcW w:w="0" w:type="auto"/>
            <w:vAlign w:val="center"/>
          </w:tcPr>
          <w:p w14:paraId="42DD3159">
            <w:pPr>
              <w:rPr>
                <w:rFonts w:hint="eastAsia" w:ascii="宋体" w:hAnsi="宋体" w:eastAsia="宋体" w:cs="宋体"/>
                <w:sz w:val="24"/>
                <w:szCs w:val="24"/>
              </w:rPr>
            </w:pPr>
            <w:r>
              <w:rPr>
                <w:rFonts w:hint="eastAsia" w:ascii="宋体" w:hAnsi="宋体" w:eastAsia="宋体" w:cs="宋体"/>
                <w:sz w:val="24"/>
                <w:szCs w:val="24"/>
              </w:rPr>
              <w:t>（1）垂直位移：观测1次，监测点31个：</w:t>
            </w:r>
          </w:p>
          <w:p w14:paraId="3ABAF441">
            <w:pPr>
              <w:rPr>
                <w:rFonts w:hint="eastAsia" w:ascii="宋体" w:hAnsi="宋体" w:eastAsia="宋体" w:cs="宋体"/>
                <w:sz w:val="24"/>
                <w:szCs w:val="24"/>
              </w:rPr>
            </w:pPr>
            <w:r>
              <w:rPr>
                <w:rFonts w:hint="eastAsia" w:ascii="宋体" w:hAnsi="宋体" w:eastAsia="宋体" w:cs="宋体"/>
                <w:sz w:val="24"/>
                <w:szCs w:val="24"/>
              </w:rPr>
              <w:t>（2）水位尺校核1次</w:t>
            </w:r>
          </w:p>
        </w:tc>
        <w:tc>
          <w:tcPr>
            <w:tcW w:w="0" w:type="auto"/>
            <w:vMerge w:val="continue"/>
            <w:vAlign w:val="center"/>
          </w:tcPr>
          <w:p w14:paraId="3139420C">
            <w:pPr>
              <w:rPr>
                <w:rFonts w:hint="eastAsia" w:ascii="宋体" w:hAnsi="宋体" w:eastAsia="宋体" w:cs="宋体"/>
                <w:sz w:val="24"/>
                <w:szCs w:val="24"/>
              </w:rPr>
            </w:pPr>
          </w:p>
        </w:tc>
      </w:tr>
      <w:tr w14:paraId="0CDC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44694555">
            <w:pPr>
              <w:jc w:val="center"/>
              <w:rPr>
                <w:rFonts w:hint="eastAsia" w:ascii="宋体" w:hAnsi="宋体" w:eastAsia="宋体" w:cs="宋体"/>
                <w:sz w:val="24"/>
                <w:szCs w:val="24"/>
              </w:rPr>
            </w:pPr>
          </w:p>
        </w:tc>
        <w:tc>
          <w:tcPr>
            <w:tcW w:w="0" w:type="auto"/>
            <w:vAlign w:val="center"/>
          </w:tcPr>
          <w:p w14:paraId="159596C9">
            <w:pPr>
              <w:jc w:val="center"/>
              <w:rPr>
                <w:rFonts w:hint="eastAsia" w:ascii="宋体" w:hAnsi="宋体" w:eastAsia="宋体" w:cs="宋体"/>
                <w:sz w:val="24"/>
                <w:szCs w:val="24"/>
              </w:rPr>
            </w:pPr>
            <w:r>
              <w:rPr>
                <w:rFonts w:hint="eastAsia" w:ascii="宋体" w:hAnsi="宋体" w:eastAsia="宋体" w:cs="宋体"/>
                <w:sz w:val="24"/>
                <w:szCs w:val="24"/>
              </w:rPr>
              <w:t>丁花沟涵</w:t>
            </w:r>
          </w:p>
        </w:tc>
        <w:tc>
          <w:tcPr>
            <w:tcW w:w="0" w:type="auto"/>
            <w:vAlign w:val="center"/>
          </w:tcPr>
          <w:p w14:paraId="26C66CBF">
            <w:pPr>
              <w:jc w:val="center"/>
              <w:rPr>
                <w:rFonts w:hint="eastAsia" w:ascii="宋体" w:hAnsi="宋体" w:eastAsia="宋体" w:cs="宋体"/>
                <w:sz w:val="24"/>
                <w:szCs w:val="24"/>
              </w:rPr>
            </w:pPr>
            <w:r>
              <w:rPr>
                <w:rFonts w:hint="eastAsia" w:ascii="宋体" w:hAnsi="宋体" w:eastAsia="宋体" w:cs="宋体"/>
                <w:sz w:val="24"/>
                <w:szCs w:val="24"/>
              </w:rPr>
              <w:t>小型</w:t>
            </w:r>
          </w:p>
        </w:tc>
        <w:tc>
          <w:tcPr>
            <w:tcW w:w="0" w:type="auto"/>
            <w:vAlign w:val="center"/>
          </w:tcPr>
          <w:p w14:paraId="2546990E">
            <w:pPr>
              <w:rPr>
                <w:rFonts w:hint="eastAsia" w:ascii="宋体" w:hAnsi="宋体" w:eastAsia="宋体" w:cs="宋体"/>
                <w:sz w:val="24"/>
                <w:szCs w:val="24"/>
              </w:rPr>
            </w:pPr>
            <w:r>
              <w:rPr>
                <w:rFonts w:hint="eastAsia" w:ascii="宋体" w:hAnsi="宋体" w:eastAsia="宋体" w:cs="宋体"/>
                <w:sz w:val="24"/>
                <w:szCs w:val="24"/>
              </w:rPr>
              <w:t>（1）垂直位移：观测1次，监测点22个：</w:t>
            </w:r>
          </w:p>
          <w:p w14:paraId="206A745F">
            <w:pPr>
              <w:rPr>
                <w:rFonts w:hint="eastAsia" w:ascii="宋体" w:hAnsi="宋体" w:eastAsia="宋体" w:cs="宋体"/>
                <w:sz w:val="24"/>
                <w:szCs w:val="24"/>
              </w:rPr>
            </w:pPr>
            <w:r>
              <w:rPr>
                <w:rFonts w:hint="eastAsia" w:ascii="宋体" w:hAnsi="宋体" w:eastAsia="宋体" w:cs="宋体"/>
                <w:sz w:val="24"/>
                <w:szCs w:val="24"/>
              </w:rPr>
              <w:t>（2）水位尺校核1次</w:t>
            </w:r>
          </w:p>
        </w:tc>
        <w:tc>
          <w:tcPr>
            <w:tcW w:w="0" w:type="auto"/>
            <w:vMerge w:val="continue"/>
            <w:vAlign w:val="center"/>
          </w:tcPr>
          <w:p w14:paraId="2EFF2286">
            <w:pPr>
              <w:rPr>
                <w:rFonts w:hint="eastAsia" w:ascii="宋体" w:hAnsi="宋体" w:eastAsia="宋体" w:cs="宋体"/>
                <w:sz w:val="24"/>
                <w:szCs w:val="24"/>
              </w:rPr>
            </w:pPr>
          </w:p>
        </w:tc>
      </w:tr>
      <w:tr w14:paraId="4EF0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79FC464E">
            <w:pPr>
              <w:jc w:val="center"/>
              <w:rPr>
                <w:rFonts w:hint="eastAsia" w:ascii="宋体" w:hAnsi="宋体" w:eastAsia="宋体" w:cs="宋体"/>
                <w:sz w:val="24"/>
                <w:szCs w:val="24"/>
              </w:rPr>
            </w:pPr>
          </w:p>
        </w:tc>
        <w:tc>
          <w:tcPr>
            <w:tcW w:w="0" w:type="auto"/>
            <w:vAlign w:val="center"/>
          </w:tcPr>
          <w:p w14:paraId="5E220EE0">
            <w:pPr>
              <w:jc w:val="center"/>
              <w:rPr>
                <w:rFonts w:hint="eastAsia" w:ascii="宋体" w:hAnsi="宋体" w:eastAsia="宋体" w:cs="宋体"/>
                <w:sz w:val="24"/>
                <w:szCs w:val="24"/>
              </w:rPr>
            </w:pPr>
            <w:r>
              <w:rPr>
                <w:rFonts w:hint="eastAsia" w:ascii="宋体" w:hAnsi="宋体" w:eastAsia="宋体" w:cs="宋体"/>
                <w:sz w:val="24"/>
                <w:szCs w:val="24"/>
              </w:rPr>
              <w:t>丁沟涵</w:t>
            </w:r>
          </w:p>
        </w:tc>
        <w:tc>
          <w:tcPr>
            <w:tcW w:w="0" w:type="auto"/>
            <w:vAlign w:val="center"/>
          </w:tcPr>
          <w:p w14:paraId="5BA1A0FB">
            <w:pPr>
              <w:jc w:val="center"/>
              <w:rPr>
                <w:rFonts w:hint="eastAsia" w:ascii="宋体" w:hAnsi="宋体" w:eastAsia="宋体" w:cs="宋体"/>
                <w:sz w:val="24"/>
                <w:szCs w:val="24"/>
              </w:rPr>
            </w:pPr>
            <w:r>
              <w:rPr>
                <w:rFonts w:hint="eastAsia" w:ascii="宋体" w:hAnsi="宋体" w:eastAsia="宋体" w:cs="宋体"/>
                <w:sz w:val="24"/>
                <w:szCs w:val="24"/>
              </w:rPr>
              <w:t>小型</w:t>
            </w:r>
          </w:p>
        </w:tc>
        <w:tc>
          <w:tcPr>
            <w:tcW w:w="0" w:type="auto"/>
            <w:vAlign w:val="center"/>
          </w:tcPr>
          <w:p w14:paraId="62A9B5D1">
            <w:pPr>
              <w:rPr>
                <w:rFonts w:hint="eastAsia" w:ascii="宋体" w:hAnsi="宋体" w:eastAsia="宋体" w:cs="宋体"/>
                <w:sz w:val="24"/>
                <w:szCs w:val="24"/>
              </w:rPr>
            </w:pPr>
            <w:r>
              <w:rPr>
                <w:rFonts w:hint="eastAsia" w:ascii="宋体" w:hAnsi="宋体" w:eastAsia="宋体" w:cs="宋体"/>
                <w:sz w:val="24"/>
                <w:szCs w:val="24"/>
              </w:rPr>
              <w:t>（1）垂直位移：观测1次，监测点22个：</w:t>
            </w:r>
          </w:p>
          <w:p w14:paraId="23B0FDB3">
            <w:pPr>
              <w:rPr>
                <w:rFonts w:hint="eastAsia" w:ascii="宋体" w:hAnsi="宋体" w:eastAsia="宋体" w:cs="宋体"/>
                <w:sz w:val="24"/>
                <w:szCs w:val="24"/>
              </w:rPr>
            </w:pPr>
            <w:r>
              <w:rPr>
                <w:rFonts w:hint="eastAsia" w:ascii="宋体" w:hAnsi="宋体" w:eastAsia="宋体" w:cs="宋体"/>
                <w:sz w:val="24"/>
                <w:szCs w:val="24"/>
              </w:rPr>
              <w:t>（2）水位尺校核1次</w:t>
            </w:r>
          </w:p>
        </w:tc>
        <w:tc>
          <w:tcPr>
            <w:tcW w:w="0" w:type="auto"/>
            <w:vMerge w:val="continue"/>
            <w:vAlign w:val="center"/>
          </w:tcPr>
          <w:p w14:paraId="58018FA5">
            <w:pPr>
              <w:rPr>
                <w:rFonts w:hint="eastAsia" w:ascii="宋体" w:hAnsi="宋体" w:eastAsia="宋体" w:cs="宋体"/>
                <w:sz w:val="24"/>
                <w:szCs w:val="24"/>
              </w:rPr>
            </w:pPr>
          </w:p>
        </w:tc>
      </w:tr>
      <w:tr w14:paraId="1338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0085C942">
            <w:pPr>
              <w:jc w:val="center"/>
              <w:rPr>
                <w:rFonts w:hint="eastAsia" w:ascii="宋体" w:hAnsi="宋体" w:eastAsia="宋体" w:cs="宋体"/>
                <w:sz w:val="24"/>
                <w:szCs w:val="24"/>
              </w:rPr>
            </w:pPr>
          </w:p>
        </w:tc>
        <w:tc>
          <w:tcPr>
            <w:tcW w:w="0" w:type="auto"/>
            <w:vAlign w:val="center"/>
          </w:tcPr>
          <w:p w14:paraId="2786981C">
            <w:pPr>
              <w:jc w:val="center"/>
              <w:rPr>
                <w:rFonts w:hint="eastAsia" w:ascii="宋体" w:hAnsi="宋体" w:eastAsia="宋体" w:cs="宋体"/>
                <w:sz w:val="24"/>
                <w:szCs w:val="24"/>
              </w:rPr>
            </w:pPr>
            <w:r>
              <w:rPr>
                <w:rFonts w:hint="eastAsia" w:ascii="宋体" w:hAnsi="宋体" w:eastAsia="宋体" w:cs="宋体"/>
                <w:sz w:val="24"/>
                <w:szCs w:val="24"/>
              </w:rPr>
              <w:t>长流沟涵</w:t>
            </w:r>
          </w:p>
        </w:tc>
        <w:tc>
          <w:tcPr>
            <w:tcW w:w="0" w:type="auto"/>
            <w:vAlign w:val="center"/>
          </w:tcPr>
          <w:p w14:paraId="71862750">
            <w:pPr>
              <w:jc w:val="center"/>
              <w:rPr>
                <w:rFonts w:hint="eastAsia" w:ascii="宋体" w:hAnsi="宋体" w:eastAsia="宋体" w:cs="宋体"/>
                <w:sz w:val="24"/>
                <w:szCs w:val="24"/>
              </w:rPr>
            </w:pPr>
            <w:r>
              <w:rPr>
                <w:rFonts w:hint="eastAsia" w:ascii="宋体" w:hAnsi="宋体" w:eastAsia="宋体" w:cs="宋体"/>
                <w:sz w:val="24"/>
                <w:szCs w:val="24"/>
              </w:rPr>
              <w:t>小型</w:t>
            </w:r>
          </w:p>
        </w:tc>
        <w:tc>
          <w:tcPr>
            <w:tcW w:w="0" w:type="auto"/>
            <w:vAlign w:val="center"/>
          </w:tcPr>
          <w:p w14:paraId="429F15CC">
            <w:pPr>
              <w:rPr>
                <w:rFonts w:hint="eastAsia" w:ascii="宋体" w:hAnsi="宋体" w:eastAsia="宋体" w:cs="宋体"/>
                <w:sz w:val="24"/>
                <w:szCs w:val="24"/>
              </w:rPr>
            </w:pPr>
            <w:bookmarkStart w:id="44" w:name="OLE_LINK2"/>
            <w:r>
              <w:rPr>
                <w:rFonts w:hint="eastAsia" w:ascii="宋体" w:hAnsi="宋体" w:eastAsia="宋体" w:cs="宋体"/>
                <w:sz w:val="24"/>
                <w:szCs w:val="24"/>
              </w:rPr>
              <w:t>（1）垂直位移：观测1次，监测点22个：</w:t>
            </w:r>
          </w:p>
          <w:p w14:paraId="6C13FA5D">
            <w:pPr>
              <w:rPr>
                <w:rFonts w:hint="eastAsia" w:ascii="宋体" w:hAnsi="宋体" w:eastAsia="宋体" w:cs="宋体"/>
                <w:sz w:val="24"/>
                <w:szCs w:val="24"/>
              </w:rPr>
            </w:pPr>
            <w:r>
              <w:rPr>
                <w:rFonts w:hint="eastAsia" w:ascii="宋体" w:hAnsi="宋体" w:eastAsia="宋体" w:cs="宋体"/>
                <w:sz w:val="24"/>
                <w:szCs w:val="24"/>
              </w:rPr>
              <w:t>（2）水位尺校核1次</w:t>
            </w:r>
            <w:bookmarkEnd w:id="44"/>
          </w:p>
        </w:tc>
        <w:tc>
          <w:tcPr>
            <w:tcW w:w="0" w:type="auto"/>
            <w:vMerge w:val="continue"/>
            <w:vAlign w:val="center"/>
          </w:tcPr>
          <w:p w14:paraId="5578B805">
            <w:pPr>
              <w:rPr>
                <w:rFonts w:hint="eastAsia" w:ascii="宋体" w:hAnsi="宋体" w:eastAsia="宋体" w:cs="宋体"/>
                <w:sz w:val="24"/>
                <w:szCs w:val="24"/>
              </w:rPr>
            </w:pPr>
          </w:p>
        </w:tc>
      </w:tr>
      <w:tr w14:paraId="1B1C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7B1061CC">
            <w:pPr>
              <w:jc w:val="center"/>
              <w:rPr>
                <w:rFonts w:hint="eastAsia" w:ascii="宋体" w:hAnsi="宋体" w:eastAsia="宋体" w:cs="宋体"/>
                <w:sz w:val="24"/>
                <w:szCs w:val="24"/>
              </w:rPr>
            </w:pPr>
          </w:p>
        </w:tc>
        <w:tc>
          <w:tcPr>
            <w:tcW w:w="0" w:type="auto"/>
            <w:vAlign w:val="center"/>
          </w:tcPr>
          <w:p w14:paraId="3E84D65B">
            <w:pPr>
              <w:jc w:val="center"/>
              <w:rPr>
                <w:rFonts w:hint="eastAsia" w:ascii="宋体" w:hAnsi="宋体" w:eastAsia="宋体" w:cs="宋体"/>
                <w:sz w:val="24"/>
                <w:szCs w:val="24"/>
              </w:rPr>
            </w:pPr>
            <w:r>
              <w:rPr>
                <w:rFonts w:hint="eastAsia" w:ascii="宋体" w:hAnsi="宋体" w:eastAsia="宋体" w:cs="宋体"/>
                <w:sz w:val="24"/>
                <w:szCs w:val="24"/>
              </w:rPr>
              <w:t>双涧沟涵</w:t>
            </w:r>
          </w:p>
        </w:tc>
        <w:tc>
          <w:tcPr>
            <w:tcW w:w="0" w:type="auto"/>
            <w:vAlign w:val="center"/>
          </w:tcPr>
          <w:p w14:paraId="092035A8">
            <w:pPr>
              <w:jc w:val="center"/>
              <w:rPr>
                <w:rFonts w:hint="eastAsia" w:ascii="宋体" w:hAnsi="宋体" w:eastAsia="宋体" w:cs="宋体"/>
                <w:sz w:val="24"/>
                <w:szCs w:val="24"/>
              </w:rPr>
            </w:pPr>
            <w:r>
              <w:rPr>
                <w:rFonts w:hint="eastAsia" w:ascii="宋体" w:hAnsi="宋体" w:eastAsia="宋体" w:cs="宋体"/>
                <w:sz w:val="24"/>
                <w:szCs w:val="24"/>
              </w:rPr>
              <w:t>小型</w:t>
            </w:r>
          </w:p>
        </w:tc>
        <w:tc>
          <w:tcPr>
            <w:tcW w:w="0" w:type="auto"/>
            <w:vAlign w:val="center"/>
          </w:tcPr>
          <w:p w14:paraId="33B72448">
            <w:pPr>
              <w:rPr>
                <w:rFonts w:hint="eastAsia" w:ascii="宋体" w:hAnsi="宋体" w:eastAsia="宋体" w:cs="宋体"/>
                <w:sz w:val="24"/>
                <w:szCs w:val="24"/>
              </w:rPr>
            </w:pPr>
            <w:r>
              <w:rPr>
                <w:rFonts w:hint="eastAsia" w:ascii="宋体" w:hAnsi="宋体" w:eastAsia="宋体" w:cs="宋体"/>
                <w:sz w:val="24"/>
                <w:szCs w:val="24"/>
              </w:rPr>
              <w:t>（1）垂直位移：观测1次，监测点26个：</w:t>
            </w:r>
          </w:p>
          <w:p w14:paraId="13F7A51E">
            <w:pPr>
              <w:rPr>
                <w:rFonts w:hint="eastAsia" w:ascii="宋体" w:hAnsi="宋体" w:eastAsia="宋体" w:cs="宋体"/>
                <w:sz w:val="24"/>
                <w:szCs w:val="24"/>
              </w:rPr>
            </w:pPr>
            <w:r>
              <w:rPr>
                <w:rFonts w:hint="eastAsia" w:ascii="宋体" w:hAnsi="宋体" w:eastAsia="宋体" w:cs="宋体"/>
                <w:sz w:val="24"/>
                <w:szCs w:val="24"/>
              </w:rPr>
              <w:t>（2）水位尺校核1次</w:t>
            </w:r>
          </w:p>
        </w:tc>
        <w:tc>
          <w:tcPr>
            <w:tcW w:w="0" w:type="auto"/>
            <w:vMerge w:val="continue"/>
            <w:vAlign w:val="center"/>
          </w:tcPr>
          <w:p w14:paraId="1E8623E7">
            <w:pPr>
              <w:rPr>
                <w:rFonts w:hint="eastAsia" w:ascii="宋体" w:hAnsi="宋体" w:eastAsia="宋体" w:cs="宋体"/>
                <w:sz w:val="24"/>
                <w:szCs w:val="24"/>
              </w:rPr>
            </w:pPr>
          </w:p>
        </w:tc>
      </w:tr>
      <w:tr w14:paraId="6BC2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restart"/>
            <w:vAlign w:val="center"/>
          </w:tcPr>
          <w:p w14:paraId="1DD1187C">
            <w:pPr>
              <w:jc w:val="center"/>
              <w:rPr>
                <w:rFonts w:hint="eastAsia" w:ascii="宋体" w:hAnsi="宋体" w:eastAsia="宋体" w:cs="宋体"/>
                <w:sz w:val="24"/>
                <w:szCs w:val="24"/>
              </w:rPr>
            </w:pPr>
            <w:r>
              <w:rPr>
                <w:rFonts w:hint="eastAsia" w:ascii="宋体" w:hAnsi="宋体" w:eastAsia="宋体" w:cs="宋体"/>
                <w:sz w:val="24"/>
                <w:szCs w:val="24"/>
              </w:rPr>
              <w:t>怀远局</w:t>
            </w:r>
          </w:p>
        </w:tc>
        <w:tc>
          <w:tcPr>
            <w:tcW w:w="0" w:type="auto"/>
            <w:vAlign w:val="center"/>
          </w:tcPr>
          <w:p w14:paraId="79A51DE4">
            <w:pPr>
              <w:jc w:val="center"/>
              <w:rPr>
                <w:rFonts w:hint="eastAsia" w:ascii="宋体" w:hAnsi="宋体" w:eastAsia="宋体" w:cs="宋体"/>
                <w:sz w:val="24"/>
                <w:szCs w:val="24"/>
              </w:rPr>
            </w:pPr>
            <w:r>
              <w:rPr>
                <w:rFonts w:hint="eastAsia" w:ascii="宋体" w:hAnsi="宋体" w:eastAsia="宋体" w:cs="宋体"/>
                <w:sz w:val="24"/>
                <w:szCs w:val="24"/>
              </w:rPr>
              <w:t>芡河新闸</w:t>
            </w:r>
          </w:p>
        </w:tc>
        <w:tc>
          <w:tcPr>
            <w:tcW w:w="0" w:type="auto"/>
            <w:vAlign w:val="center"/>
          </w:tcPr>
          <w:p w14:paraId="4E78B3A8">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07910961">
            <w:pPr>
              <w:rPr>
                <w:rFonts w:hint="eastAsia" w:ascii="宋体" w:hAnsi="宋体" w:eastAsia="宋体" w:cs="宋体"/>
                <w:sz w:val="24"/>
                <w:szCs w:val="24"/>
              </w:rPr>
            </w:pPr>
            <w:bookmarkStart w:id="45" w:name="OLE_LINK9"/>
            <w:r>
              <w:rPr>
                <w:rFonts w:hint="eastAsia" w:ascii="宋体" w:hAnsi="宋体" w:eastAsia="宋体" w:cs="宋体"/>
                <w:sz w:val="24"/>
                <w:szCs w:val="24"/>
              </w:rPr>
              <w:t>（1）垂直位移：观测1次，观测点30个。</w:t>
            </w:r>
          </w:p>
          <w:p w14:paraId="62217D71">
            <w:pPr>
              <w:rPr>
                <w:rFonts w:hint="eastAsia" w:ascii="宋体" w:hAnsi="宋体" w:eastAsia="宋体" w:cs="宋体"/>
                <w:sz w:val="24"/>
                <w:szCs w:val="24"/>
              </w:rPr>
            </w:pPr>
            <w:r>
              <w:rPr>
                <w:rFonts w:hint="eastAsia" w:ascii="宋体" w:hAnsi="宋体" w:eastAsia="宋体" w:cs="宋体"/>
                <w:sz w:val="24"/>
                <w:szCs w:val="24"/>
              </w:rPr>
              <w:t>（2）水位尺高程校核1次</w:t>
            </w:r>
            <w:bookmarkEnd w:id="45"/>
          </w:p>
        </w:tc>
        <w:tc>
          <w:tcPr>
            <w:tcW w:w="0" w:type="auto"/>
            <w:vMerge w:val="restart"/>
            <w:vAlign w:val="center"/>
          </w:tcPr>
          <w:p w14:paraId="39D64286">
            <w:pPr>
              <w:rPr>
                <w:rFonts w:hint="eastAsia" w:ascii="宋体" w:hAnsi="宋体" w:eastAsia="宋体" w:cs="宋体"/>
                <w:sz w:val="24"/>
                <w:szCs w:val="24"/>
              </w:rPr>
            </w:pPr>
          </w:p>
        </w:tc>
      </w:tr>
      <w:tr w14:paraId="6BAA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3002E09E">
            <w:pPr>
              <w:jc w:val="center"/>
              <w:rPr>
                <w:rFonts w:hint="eastAsia" w:ascii="宋体" w:hAnsi="宋体" w:eastAsia="宋体" w:cs="宋体"/>
                <w:sz w:val="24"/>
                <w:szCs w:val="24"/>
              </w:rPr>
            </w:pPr>
          </w:p>
        </w:tc>
        <w:tc>
          <w:tcPr>
            <w:tcW w:w="0" w:type="auto"/>
            <w:vAlign w:val="center"/>
          </w:tcPr>
          <w:p w14:paraId="796FE224">
            <w:pPr>
              <w:jc w:val="center"/>
              <w:rPr>
                <w:rFonts w:hint="eastAsia" w:ascii="宋体" w:hAnsi="宋体" w:eastAsia="宋体" w:cs="宋体"/>
                <w:sz w:val="24"/>
                <w:szCs w:val="24"/>
              </w:rPr>
            </w:pPr>
            <w:r>
              <w:rPr>
                <w:rFonts w:hint="eastAsia" w:ascii="宋体" w:hAnsi="宋体" w:eastAsia="宋体" w:cs="宋体"/>
                <w:sz w:val="24"/>
                <w:szCs w:val="24"/>
              </w:rPr>
              <w:t>刘桥闸</w:t>
            </w:r>
          </w:p>
        </w:tc>
        <w:tc>
          <w:tcPr>
            <w:tcW w:w="0" w:type="auto"/>
            <w:vAlign w:val="center"/>
          </w:tcPr>
          <w:p w14:paraId="544369A0">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3938045B">
            <w:pPr>
              <w:rPr>
                <w:rFonts w:hint="eastAsia" w:ascii="宋体" w:hAnsi="宋体" w:eastAsia="宋体" w:cs="宋体"/>
                <w:sz w:val="24"/>
                <w:szCs w:val="24"/>
              </w:rPr>
            </w:pPr>
            <w:r>
              <w:rPr>
                <w:rFonts w:hint="eastAsia" w:ascii="宋体" w:hAnsi="宋体" w:eastAsia="宋体" w:cs="宋体"/>
                <w:sz w:val="24"/>
                <w:szCs w:val="24"/>
              </w:rPr>
              <w:t>（1）垂直位移：观测1次，观测点24个。</w:t>
            </w:r>
          </w:p>
          <w:p w14:paraId="350BD9BF">
            <w:pPr>
              <w:rPr>
                <w:rFonts w:hint="eastAsia" w:ascii="宋体" w:hAnsi="宋体" w:eastAsia="宋体" w:cs="宋体"/>
                <w:sz w:val="24"/>
                <w:szCs w:val="24"/>
              </w:rPr>
            </w:pPr>
            <w:r>
              <w:rPr>
                <w:rFonts w:hint="eastAsia" w:ascii="宋体" w:hAnsi="宋体" w:eastAsia="宋体" w:cs="宋体"/>
                <w:sz w:val="24"/>
                <w:szCs w:val="24"/>
              </w:rPr>
              <w:t>（2）水位尺及测压管管口高程校核1次。</w:t>
            </w:r>
          </w:p>
        </w:tc>
        <w:tc>
          <w:tcPr>
            <w:tcW w:w="0" w:type="auto"/>
            <w:vMerge w:val="continue"/>
            <w:vAlign w:val="center"/>
          </w:tcPr>
          <w:p w14:paraId="22AD4131">
            <w:pPr>
              <w:rPr>
                <w:rFonts w:hint="eastAsia" w:ascii="宋体" w:hAnsi="宋体" w:eastAsia="宋体" w:cs="宋体"/>
                <w:sz w:val="24"/>
                <w:szCs w:val="24"/>
              </w:rPr>
            </w:pPr>
          </w:p>
        </w:tc>
      </w:tr>
      <w:tr w14:paraId="56BC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0E11D171">
            <w:pPr>
              <w:jc w:val="center"/>
              <w:rPr>
                <w:rFonts w:hint="eastAsia" w:ascii="宋体" w:hAnsi="宋体" w:eastAsia="宋体" w:cs="宋体"/>
                <w:sz w:val="24"/>
                <w:szCs w:val="24"/>
              </w:rPr>
            </w:pPr>
          </w:p>
        </w:tc>
        <w:tc>
          <w:tcPr>
            <w:tcW w:w="0" w:type="auto"/>
            <w:vAlign w:val="center"/>
          </w:tcPr>
          <w:p w14:paraId="5C9C8F86">
            <w:pPr>
              <w:jc w:val="center"/>
              <w:rPr>
                <w:rFonts w:hint="eastAsia" w:ascii="宋体" w:hAnsi="宋体" w:eastAsia="宋体" w:cs="宋体"/>
                <w:sz w:val="24"/>
                <w:szCs w:val="24"/>
              </w:rPr>
            </w:pPr>
            <w:r>
              <w:rPr>
                <w:rFonts w:hint="eastAsia" w:ascii="宋体" w:hAnsi="宋体" w:eastAsia="宋体" w:cs="宋体"/>
                <w:sz w:val="24"/>
                <w:szCs w:val="24"/>
              </w:rPr>
              <w:t>新淝闸</w:t>
            </w:r>
          </w:p>
        </w:tc>
        <w:tc>
          <w:tcPr>
            <w:tcW w:w="0" w:type="auto"/>
            <w:vAlign w:val="center"/>
          </w:tcPr>
          <w:p w14:paraId="7D3AFFB6">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5B70E8DE">
            <w:pPr>
              <w:rPr>
                <w:rFonts w:hint="eastAsia" w:ascii="宋体" w:hAnsi="宋体" w:eastAsia="宋体" w:cs="宋体"/>
                <w:sz w:val="24"/>
                <w:szCs w:val="24"/>
              </w:rPr>
            </w:pPr>
            <w:r>
              <w:rPr>
                <w:rFonts w:hint="eastAsia" w:ascii="宋体" w:hAnsi="宋体" w:eastAsia="宋体" w:cs="宋体"/>
                <w:sz w:val="24"/>
                <w:szCs w:val="24"/>
              </w:rPr>
              <w:t>（1）垂直位移：观测1次，观测点26个。</w:t>
            </w:r>
          </w:p>
          <w:p w14:paraId="15A28151">
            <w:pPr>
              <w:rPr>
                <w:rFonts w:hint="eastAsia" w:ascii="宋体" w:hAnsi="宋体" w:eastAsia="宋体" w:cs="宋体"/>
                <w:sz w:val="24"/>
                <w:szCs w:val="24"/>
              </w:rPr>
            </w:pPr>
            <w:r>
              <w:rPr>
                <w:rFonts w:hint="eastAsia" w:ascii="宋体" w:hAnsi="宋体" w:eastAsia="宋体" w:cs="宋体"/>
                <w:sz w:val="24"/>
                <w:szCs w:val="24"/>
              </w:rPr>
              <w:t>（2）水位尺及测压管管口高程校核1次。</w:t>
            </w:r>
          </w:p>
        </w:tc>
        <w:tc>
          <w:tcPr>
            <w:tcW w:w="0" w:type="auto"/>
            <w:vMerge w:val="continue"/>
            <w:vAlign w:val="center"/>
          </w:tcPr>
          <w:p w14:paraId="1647ACC9">
            <w:pPr>
              <w:rPr>
                <w:rFonts w:hint="eastAsia" w:ascii="宋体" w:hAnsi="宋体" w:eastAsia="宋体" w:cs="宋体"/>
                <w:sz w:val="24"/>
                <w:szCs w:val="24"/>
              </w:rPr>
            </w:pPr>
          </w:p>
        </w:tc>
      </w:tr>
      <w:tr w14:paraId="6AC3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142A0CA3">
            <w:pPr>
              <w:jc w:val="center"/>
              <w:rPr>
                <w:rFonts w:hint="eastAsia" w:ascii="宋体" w:hAnsi="宋体" w:eastAsia="宋体" w:cs="宋体"/>
                <w:sz w:val="24"/>
                <w:szCs w:val="24"/>
              </w:rPr>
            </w:pPr>
          </w:p>
        </w:tc>
        <w:tc>
          <w:tcPr>
            <w:tcW w:w="0" w:type="auto"/>
            <w:vAlign w:val="center"/>
          </w:tcPr>
          <w:p w14:paraId="2C3373DA">
            <w:pPr>
              <w:jc w:val="center"/>
              <w:rPr>
                <w:rFonts w:hint="eastAsia" w:ascii="宋体" w:hAnsi="宋体" w:eastAsia="宋体" w:cs="宋体"/>
                <w:sz w:val="24"/>
                <w:szCs w:val="24"/>
              </w:rPr>
            </w:pPr>
            <w:r>
              <w:rPr>
                <w:rFonts w:hint="eastAsia" w:ascii="宋体" w:hAnsi="宋体" w:eastAsia="宋体" w:cs="宋体"/>
                <w:sz w:val="24"/>
                <w:szCs w:val="24"/>
              </w:rPr>
              <w:t>西毛沟涵</w:t>
            </w:r>
          </w:p>
        </w:tc>
        <w:tc>
          <w:tcPr>
            <w:tcW w:w="0" w:type="auto"/>
            <w:vAlign w:val="center"/>
          </w:tcPr>
          <w:p w14:paraId="4CF0333C">
            <w:pPr>
              <w:jc w:val="center"/>
              <w:rPr>
                <w:rFonts w:hint="eastAsia" w:ascii="宋体" w:hAnsi="宋体" w:eastAsia="宋体" w:cs="宋体"/>
                <w:sz w:val="24"/>
                <w:szCs w:val="24"/>
              </w:rPr>
            </w:pPr>
            <w:r>
              <w:rPr>
                <w:rFonts w:hint="eastAsia" w:ascii="宋体" w:hAnsi="宋体" w:eastAsia="宋体" w:cs="宋体"/>
                <w:sz w:val="24"/>
                <w:szCs w:val="24"/>
              </w:rPr>
              <w:t>小型</w:t>
            </w:r>
          </w:p>
        </w:tc>
        <w:tc>
          <w:tcPr>
            <w:tcW w:w="0" w:type="auto"/>
            <w:vAlign w:val="center"/>
          </w:tcPr>
          <w:p w14:paraId="35EA51C0">
            <w:pPr>
              <w:rPr>
                <w:rFonts w:hint="eastAsia" w:ascii="宋体" w:hAnsi="宋体" w:eastAsia="宋体" w:cs="宋体"/>
                <w:sz w:val="24"/>
                <w:szCs w:val="24"/>
              </w:rPr>
            </w:pPr>
            <w:bookmarkStart w:id="46" w:name="OLE_LINK10"/>
            <w:r>
              <w:rPr>
                <w:rFonts w:hint="eastAsia" w:ascii="宋体" w:hAnsi="宋体" w:eastAsia="宋体" w:cs="宋体"/>
                <w:sz w:val="24"/>
                <w:szCs w:val="24"/>
              </w:rPr>
              <w:t>（1）垂直位移：观测1次，观测点26个。</w:t>
            </w:r>
          </w:p>
          <w:p w14:paraId="794EFB21">
            <w:pPr>
              <w:rPr>
                <w:rFonts w:hint="eastAsia" w:ascii="宋体" w:hAnsi="宋体" w:eastAsia="宋体" w:cs="宋体"/>
                <w:sz w:val="24"/>
                <w:szCs w:val="24"/>
              </w:rPr>
            </w:pPr>
            <w:r>
              <w:rPr>
                <w:rFonts w:hint="eastAsia" w:ascii="宋体" w:hAnsi="宋体" w:eastAsia="宋体" w:cs="宋体"/>
                <w:sz w:val="24"/>
                <w:szCs w:val="24"/>
              </w:rPr>
              <w:t>（2）水位尺高程校核1次</w:t>
            </w:r>
            <w:bookmarkEnd w:id="46"/>
          </w:p>
        </w:tc>
        <w:tc>
          <w:tcPr>
            <w:tcW w:w="0" w:type="auto"/>
            <w:vMerge w:val="continue"/>
            <w:vAlign w:val="center"/>
          </w:tcPr>
          <w:p w14:paraId="66050CA9">
            <w:pPr>
              <w:rPr>
                <w:rFonts w:hint="eastAsia" w:ascii="宋体" w:hAnsi="宋体" w:eastAsia="宋体" w:cs="宋体"/>
                <w:sz w:val="24"/>
                <w:szCs w:val="24"/>
              </w:rPr>
            </w:pPr>
          </w:p>
        </w:tc>
      </w:tr>
      <w:tr w14:paraId="1BF0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6A91532C">
            <w:pPr>
              <w:jc w:val="center"/>
              <w:rPr>
                <w:rFonts w:hint="eastAsia" w:ascii="宋体" w:hAnsi="宋体" w:eastAsia="宋体" w:cs="宋体"/>
                <w:sz w:val="24"/>
                <w:szCs w:val="24"/>
              </w:rPr>
            </w:pPr>
          </w:p>
        </w:tc>
        <w:tc>
          <w:tcPr>
            <w:tcW w:w="0" w:type="auto"/>
            <w:vAlign w:val="center"/>
          </w:tcPr>
          <w:p w14:paraId="6430BBE3">
            <w:pPr>
              <w:jc w:val="center"/>
              <w:rPr>
                <w:rFonts w:hint="eastAsia" w:ascii="宋体" w:hAnsi="宋体" w:eastAsia="宋体" w:cs="宋体"/>
                <w:sz w:val="24"/>
                <w:szCs w:val="24"/>
              </w:rPr>
            </w:pPr>
            <w:r>
              <w:rPr>
                <w:rFonts w:hint="eastAsia" w:ascii="宋体" w:hAnsi="宋体" w:eastAsia="宋体" w:cs="宋体"/>
                <w:sz w:val="24"/>
                <w:szCs w:val="24"/>
              </w:rPr>
              <w:t>吴家沟涵（涡左）</w:t>
            </w:r>
          </w:p>
        </w:tc>
        <w:tc>
          <w:tcPr>
            <w:tcW w:w="0" w:type="auto"/>
            <w:vAlign w:val="center"/>
          </w:tcPr>
          <w:p w14:paraId="3CA4EBCD">
            <w:pPr>
              <w:jc w:val="center"/>
              <w:rPr>
                <w:rFonts w:hint="eastAsia" w:ascii="宋体" w:hAnsi="宋体" w:eastAsia="宋体" w:cs="宋体"/>
                <w:sz w:val="24"/>
                <w:szCs w:val="24"/>
              </w:rPr>
            </w:pPr>
            <w:bookmarkStart w:id="47" w:name="OLE_LINK6"/>
            <w:r>
              <w:rPr>
                <w:rFonts w:hint="eastAsia" w:ascii="宋体" w:hAnsi="宋体" w:eastAsia="宋体" w:cs="宋体"/>
                <w:sz w:val="24"/>
                <w:szCs w:val="24"/>
              </w:rPr>
              <w:t>小型</w:t>
            </w:r>
            <w:bookmarkEnd w:id="47"/>
          </w:p>
        </w:tc>
        <w:tc>
          <w:tcPr>
            <w:tcW w:w="0" w:type="auto"/>
            <w:vAlign w:val="center"/>
          </w:tcPr>
          <w:p w14:paraId="1DF6E660">
            <w:pPr>
              <w:rPr>
                <w:rFonts w:hint="eastAsia" w:ascii="宋体" w:hAnsi="宋体" w:eastAsia="宋体" w:cs="宋体"/>
                <w:sz w:val="24"/>
                <w:szCs w:val="24"/>
              </w:rPr>
            </w:pPr>
            <w:bookmarkStart w:id="48" w:name="OLE_LINK11"/>
            <w:r>
              <w:rPr>
                <w:rFonts w:hint="eastAsia" w:ascii="宋体" w:hAnsi="宋体" w:eastAsia="宋体" w:cs="宋体"/>
                <w:sz w:val="24"/>
                <w:szCs w:val="24"/>
              </w:rPr>
              <w:t>（1）垂直位移：观测1次，观测点21个。</w:t>
            </w:r>
          </w:p>
          <w:p w14:paraId="23F0AE9E">
            <w:pPr>
              <w:rPr>
                <w:rFonts w:hint="eastAsia" w:ascii="宋体" w:hAnsi="宋体" w:eastAsia="宋体" w:cs="宋体"/>
                <w:sz w:val="24"/>
                <w:szCs w:val="24"/>
              </w:rPr>
            </w:pPr>
            <w:r>
              <w:rPr>
                <w:rFonts w:hint="eastAsia" w:ascii="宋体" w:hAnsi="宋体" w:eastAsia="宋体" w:cs="宋体"/>
                <w:sz w:val="24"/>
                <w:szCs w:val="24"/>
              </w:rPr>
              <w:t>（2）水位尺高程校核1次</w:t>
            </w:r>
            <w:bookmarkEnd w:id="48"/>
          </w:p>
        </w:tc>
        <w:tc>
          <w:tcPr>
            <w:tcW w:w="0" w:type="auto"/>
            <w:vMerge w:val="continue"/>
            <w:vAlign w:val="center"/>
          </w:tcPr>
          <w:p w14:paraId="6367B0A6">
            <w:pPr>
              <w:rPr>
                <w:rFonts w:hint="eastAsia" w:ascii="宋体" w:hAnsi="宋体" w:eastAsia="宋体" w:cs="宋体"/>
                <w:sz w:val="24"/>
                <w:szCs w:val="24"/>
              </w:rPr>
            </w:pPr>
          </w:p>
        </w:tc>
      </w:tr>
      <w:tr w14:paraId="1455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7C4BAD22">
            <w:pPr>
              <w:jc w:val="center"/>
              <w:rPr>
                <w:rFonts w:hint="eastAsia" w:ascii="宋体" w:hAnsi="宋体" w:eastAsia="宋体" w:cs="宋体"/>
                <w:sz w:val="24"/>
                <w:szCs w:val="24"/>
              </w:rPr>
            </w:pPr>
          </w:p>
        </w:tc>
        <w:tc>
          <w:tcPr>
            <w:tcW w:w="0" w:type="auto"/>
            <w:vAlign w:val="center"/>
          </w:tcPr>
          <w:p w14:paraId="7E3DF3B9">
            <w:pPr>
              <w:jc w:val="center"/>
              <w:rPr>
                <w:rFonts w:hint="eastAsia" w:ascii="宋体" w:hAnsi="宋体" w:eastAsia="宋体" w:cs="宋体"/>
                <w:sz w:val="24"/>
                <w:szCs w:val="24"/>
              </w:rPr>
            </w:pPr>
            <w:r>
              <w:rPr>
                <w:rFonts w:hint="eastAsia" w:ascii="宋体" w:hAnsi="宋体" w:eastAsia="宋体" w:cs="宋体"/>
                <w:sz w:val="24"/>
                <w:szCs w:val="24"/>
              </w:rPr>
              <w:t>吴家沟涵（涡右）</w:t>
            </w:r>
          </w:p>
        </w:tc>
        <w:tc>
          <w:tcPr>
            <w:tcW w:w="0" w:type="auto"/>
            <w:vAlign w:val="center"/>
          </w:tcPr>
          <w:p w14:paraId="29BC0282">
            <w:pPr>
              <w:jc w:val="center"/>
              <w:rPr>
                <w:rFonts w:hint="eastAsia" w:ascii="宋体" w:hAnsi="宋体" w:eastAsia="宋体" w:cs="宋体"/>
                <w:sz w:val="24"/>
                <w:szCs w:val="24"/>
              </w:rPr>
            </w:pPr>
            <w:r>
              <w:rPr>
                <w:rFonts w:hint="eastAsia" w:ascii="宋体" w:hAnsi="宋体" w:eastAsia="宋体" w:cs="宋体"/>
                <w:sz w:val="24"/>
                <w:szCs w:val="24"/>
              </w:rPr>
              <w:t>小型</w:t>
            </w:r>
          </w:p>
        </w:tc>
        <w:tc>
          <w:tcPr>
            <w:tcW w:w="0" w:type="auto"/>
            <w:vAlign w:val="center"/>
          </w:tcPr>
          <w:p w14:paraId="2CB90A46">
            <w:pPr>
              <w:rPr>
                <w:rFonts w:hint="eastAsia" w:ascii="宋体" w:hAnsi="宋体" w:eastAsia="宋体" w:cs="宋体"/>
                <w:sz w:val="24"/>
                <w:szCs w:val="24"/>
              </w:rPr>
            </w:pPr>
            <w:r>
              <w:rPr>
                <w:rFonts w:hint="eastAsia" w:ascii="宋体" w:hAnsi="宋体" w:eastAsia="宋体" w:cs="宋体"/>
                <w:sz w:val="24"/>
                <w:szCs w:val="24"/>
              </w:rPr>
              <w:t>水位尺高程校核1次</w:t>
            </w:r>
          </w:p>
        </w:tc>
        <w:tc>
          <w:tcPr>
            <w:tcW w:w="0" w:type="auto"/>
            <w:vMerge w:val="continue"/>
            <w:vAlign w:val="center"/>
          </w:tcPr>
          <w:p w14:paraId="51CBD920">
            <w:pPr>
              <w:rPr>
                <w:rFonts w:hint="eastAsia" w:ascii="宋体" w:hAnsi="宋体" w:eastAsia="宋体" w:cs="宋体"/>
                <w:sz w:val="24"/>
                <w:szCs w:val="24"/>
              </w:rPr>
            </w:pPr>
          </w:p>
        </w:tc>
      </w:tr>
      <w:tr w14:paraId="445F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2D7EC1F5">
            <w:pPr>
              <w:jc w:val="center"/>
              <w:rPr>
                <w:rFonts w:hint="eastAsia" w:ascii="宋体" w:hAnsi="宋体" w:eastAsia="宋体" w:cs="宋体"/>
                <w:sz w:val="24"/>
                <w:szCs w:val="24"/>
              </w:rPr>
            </w:pPr>
          </w:p>
        </w:tc>
        <w:tc>
          <w:tcPr>
            <w:tcW w:w="0" w:type="auto"/>
            <w:vAlign w:val="center"/>
          </w:tcPr>
          <w:p w14:paraId="72E39AF5">
            <w:pPr>
              <w:jc w:val="center"/>
              <w:rPr>
                <w:rFonts w:hint="eastAsia" w:ascii="宋体" w:hAnsi="宋体" w:eastAsia="宋体" w:cs="宋体"/>
                <w:sz w:val="24"/>
                <w:szCs w:val="24"/>
              </w:rPr>
            </w:pPr>
            <w:r>
              <w:rPr>
                <w:rFonts w:hint="eastAsia" w:ascii="宋体" w:hAnsi="宋体" w:eastAsia="宋体" w:cs="宋体"/>
                <w:sz w:val="24"/>
                <w:szCs w:val="24"/>
              </w:rPr>
              <w:t>唐家沟涵</w:t>
            </w:r>
          </w:p>
        </w:tc>
        <w:tc>
          <w:tcPr>
            <w:tcW w:w="0" w:type="auto"/>
            <w:vAlign w:val="center"/>
          </w:tcPr>
          <w:p w14:paraId="20BCA9BC">
            <w:pPr>
              <w:jc w:val="center"/>
              <w:rPr>
                <w:rFonts w:hint="eastAsia" w:ascii="宋体" w:hAnsi="宋体" w:eastAsia="宋体" w:cs="宋体"/>
                <w:sz w:val="24"/>
                <w:szCs w:val="24"/>
                <w:highlight w:val="yellow"/>
              </w:rPr>
            </w:pPr>
            <w:r>
              <w:rPr>
                <w:rFonts w:hint="eastAsia" w:ascii="宋体" w:hAnsi="宋体" w:eastAsia="宋体" w:cs="宋体"/>
                <w:sz w:val="24"/>
                <w:szCs w:val="24"/>
              </w:rPr>
              <w:t>小型</w:t>
            </w:r>
          </w:p>
        </w:tc>
        <w:tc>
          <w:tcPr>
            <w:tcW w:w="0" w:type="auto"/>
            <w:vAlign w:val="center"/>
          </w:tcPr>
          <w:p w14:paraId="00C8472D">
            <w:pPr>
              <w:rPr>
                <w:rFonts w:hint="eastAsia" w:ascii="宋体" w:hAnsi="宋体" w:eastAsia="宋体" w:cs="宋体"/>
                <w:sz w:val="24"/>
                <w:szCs w:val="24"/>
              </w:rPr>
            </w:pPr>
            <w:r>
              <w:rPr>
                <w:rFonts w:hint="eastAsia" w:ascii="宋体" w:hAnsi="宋体" w:eastAsia="宋体" w:cs="宋体"/>
                <w:sz w:val="24"/>
                <w:szCs w:val="24"/>
              </w:rPr>
              <w:t>水位尺高程校核1次</w:t>
            </w:r>
          </w:p>
        </w:tc>
        <w:tc>
          <w:tcPr>
            <w:tcW w:w="0" w:type="auto"/>
            <w:vMerge w:val="continue"/>
            <w:vAlign w:val="center"/>
          </w:tcPr>
          <w:p w14:paraId="1E5F2D77">
            <w:pPr>
              <w:rPr>
                <w:rFonts w:hint="eastAsia" w:ascii="宋体" w:hAnsi="宋体" w:eastAsia="宋体" w:cs="宋体"/>
                <w:sz w:val="24"/>
                <w:szCs w:val="24"/>
              </w:rPr>
            </w:pPr>
          </w:p>
        </w:tc>
      </w:tr>
      <w:tr w14:paraId="3A78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308D5575">
            <w:pPr>
              <w:jc w:val="center"/>
              <w:rPr>
                <w:rFonts w:hint="eastAsia" w:ascii="宋体" w:hAnsi="宋体" w:eastAsia="宋体" w:cs="宋体"/>
                <w:sz w:val="24"/>
                <w:szCs w:val="24"/>
              </w:rPr>
            </w:pPr>
          </w:p>
        </w:tc>
        <w:tc>
          <w:tcPr>
            <w:tcW w:w="0" w:type="auto"/>
            <w:vAlign w:val="center"/>
          </w:tcPr>
          <w:p w14:paraId="39144644">
            <w:pPr>
              <w:jc w:val="center"/>
              <w:rPr>
                <w:rFonts w:hint="eastAsia" w:ascii="宋体" w:hAnsi="宋体" w:eastAsia="宋体" w:cs="宋体"/>
                <w:sz w:val="24"/>
                <w:szCs w:val="24"/>
              </w:rPr>
            </w:pPr>
            <w:r>
              <w:rPr>
                <w:rFonts w:hint="eastAsia" w:ascii="宋体" w:hAnsi="宋体" w:eastAsia="宋体" w:cs="宋体"/>
                <w:sz w:val="24"/>
                <w:szCs w:val="24"/>
              </w:rPr>
              <w:t>钮家沟涵</w:t>
            </w:r>
          </w:p>
        </w:tc>
        <w:tc>
          <w:tcPr>
            <w:tcW w:w="0" w:type="auto"/>
            <w:vAlign w:val="center"/>
          </w:tcPr>
          <w:p w14:paraId="59D87398">
            <w:pPr>
              <w:jc w:val="center"/>
              <w:rPr>
                <w:rFonts w:hint="eastAsia" w:ascii="宋体" w:hAnsi="宋体" w:eastAsia="宋体" w:cs="宋体"/>
                <w:sz w:val="24"/>
                <w:szCs w:val="24"/>
                <w:highlight w:val="yellow"/>
              </w:rPr>
            </w:pPr>
            <w:r>
              <w:rPr>
                <w:rFonts w:hint="eastAsia" w:ascii="宋体" w:hAnsi="宋体" w:eastAsia="宋体" w:cs="宋体"/>
                <w:sz w:val="24"/>
                <w:szCs w:val="24"/>
              </w:rPr>
              <w:t>小型</w:t>
            </w:r>
          </w:p>
        </w:tc>
        <w:tc>
          <w:tcPr>
            <w:tcW w:w="0" w:type="auto"/>
            <w:vAlign w:val="center"/>
          </w:tcPr>
          <w:p w14:paraId="5FD786B4">
            <w:pPr>
              <w:rPr>
                <w:rFonts w:hint="eastAsia" w:ascii="宋体" w:hAnsi="宋体" w:eastAsia="宋体" w:cs="宋体"/>
                <w:sz w:val="24"/>
                <w:szCs w:val="24"/>
              </w:rPr>
            </w:pPr>
            <w:r>
              <w:rPr>
                <w:rFonts w:hint="eastAsia" w:ascii="宋体" w:hAnsi="宋体" w:eastAsia="宋体" w:cs="宋体"/>
                <w:sz w:val="24"/>
                <w:szCs w:val="24"/>
              </w:rPr>
              <w:t>水位尺高程校核1次</w:t>
            </w:r>
          </w:p>
        </w:tc>
        <w:tc>
          <w:tcPr>
            <w:tcW w:w="0" w:type="auto"/>
            <w:vMerge w:val="continue"/>
            <w:vAlign w:val="center"/>
          </w:tcPr>
          <w:p w14:paraId="6A578439">
            <w:pPr>
              <w:rPr>
                <w:rFonts w:hint="eastAsia" w:ascii="宋体" w:hAnsi="宋体" w:eastAsia="宋体" w:cs="宋体"/>
                <w:sz w:val="24"/>
                <w:szCs w:val="24"/>
              </w:rPr>
            </w:pPr>
          </w:p>
        </w:tc>
      </w:tr>
      <w:tr w14:paraId="4D4D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restart"/>
            <w:vAlign w:val="center"/>
          </w:tcPr>
          <w:p w14:paraId="3BF71ED3">
            <w:pPr>
              <w:jc w:val="center"/>
              <w:rPr>
                <w:rFonts w:hint="eastAsia" w:ascii="宋体" w:hAnsi="宋体" w:eastAsia="宋体" w:cs="宋体"/>
                <w:sz w:val="24"/>
                <w:szCs w:val="24"/>
              </w:rPr>
            </w:pPr>
            <w:r>
              <w:rPr>
                <w:rFonts w:hint="eastAsia" w:ascii="宋体" w:hAnsi="宋体" w:eastAsia="宋体" w:cs="宋体"/>
                <w:sz w:val="24"/>
                <w:szCs w:val="24"/>
              </w:rPr>
              <w:t>五河局</w:t>
            </w:r>
          </w:p>
        </w:tc>
        <w:tc>
          <w:tcPr>
            <w:tcW w:w="0" w:type="auto"/>
            <w:vAlign w:val="center"/>
          </w:tcPr>
          <w:p w14:paraId="126661DE">
            <w:pPr>
              <w:jc w:val="center"/>
              <w:rPr>
                <w:rFonts w:hint="eastAsia" w:ascii="宋体" w:hAnsi="宋体" w:eastAsia="宋体" w:cs="宋体"/>
                <w:sz w:val="24"/>
                <w:szCs w:val="24"/>
              </w:rPr>
            </w:pPr>
            <w:r>
              <w:rPr>
                <w:rFonts w:hint="eastAsia" w:ascii="宋体" w:hAnsi="宋体" w:eastAsia="宋体" w:cs="宋体"/>
                <w:sz w:val="24"/>
                <w:szCs w:val="24"/>
              </w:rPr>
              <w:t>北淝闸</w:t>
            </w:r>
          </w:p>
        </w:tc>
        <w:tc>
          <w:tcPr>
            <w:tcW w:w="0" w:type="auto"/>
            <w:vAlign w:val="center"/>
          </w:tcPr>
          <w:p w14:paraId="7CC5339F">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345A60E2">
            <w:pPr>
              <w:rPr>
                <w:rFonts w:hint="eastAsia" w:ascii="宋体" w:hAnsi="宋体" w:eastAsia="宋体" w:cs="宋体"/>
                <w:sz w:val="24"/>
                <w:szCs w:val="24"/>
              </w:rPr>
            </w:pPr>
            <w:r>
              <w:rPr>
                <w:rFonts w:hint="eastAsia" w:ascii="宋体" w:hAnsi="宋体" w:eastAsia="宋体" w:cs="宋体"/>
                <w:sz w:val="24"/>
                <w:szCs w:val="24"/>
              </w:rPr>
              <w:t>（1）垂直位移：观测1次，监测点34个；</w:t>
            </w:r>
          </w:p>
          <w:p w14:paraId="0A439D57">
            <w:pPr>
              <w:rPr>
                <w:rFonts w:hint="eastAsia" w:ascii="宋体" w:hAnsi="宋体" w:eastAsia="宋体" w:cs="宋体"/>
                <w:sz w:val="24"/>
                <w:szCs w:val="24"/>
              </w:rPr>
            </w:pPr>
            <w:r>
              <w:rPr>
                <w:rFonts w:hint="eastAsia" w:ascii="宋体" w:hAnsi="宋体" w:eastAsia="宋体" w:cs="宋体"/>
                <w:sz w:val="24"/>
                <w:szCs w:val="24"/>
              </w:rPr>
              <w:t>（2）上下游河床冲刷和淤积：观测1次；</w:t>
            </w:r>
          </w:p>
          <w:p w14:paraId="5EF7C0E9">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p>
        </w:tc>
        <w:tc>
          <w:tcPr>
            <w:tcW w:w="0" w:type="auto"/>
            <w:vMerge w:val="restart"/>
            <w:vAlign w:val="center"/>
          </w:tcPr>
          <w:p w14:paraId="61B08E39">
            <w:pPr>
              <w:rPr>
                <w:rFonts w:hint="eastAsia" w:ascii="宋体" w:hAnsi="宋体" w:eastAsia="宋体" w:cs="宋体"/>
                <w:sz w:val="24"/>
                <w:szCs w:val="24"/>
              </w:rPr>
            </w:pPr>
          </w:p>
        </w:tc>
      </w:tr>
      <w:tr w14:paraId="0FEA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vMerge w:val="continue"/>
            <w:vAlign w:val="center"/>
          </w:tcPr>
          <w:p w14:paraId="1F81E406">
            <w:pPr>
              <w:rPr>
                <w:rFonts w:hint="eastAsia" w:ascii="宋体" w:hAnsi="宋体" w:eastAsia="宋体" w:cs="宋体"/>
                <w:sz w:val="24"/>
                <w:szCs w:val="24"/>
              </w:rPr>
            </w:pPr>
          </w:p>
        </w:tc>
        <w:tc>
          <w:tcPr>
            <w:tcW w:w="0" w:type="auto"/>
            <w:vAlign w:val="center"/>
          </w:tcPr>
          <w:p w14:paraId="55156C61">
            <w:pPr>
              <w:jc w:val="center"/>
              <w:rPr>
                <w:rFonts w:hint="eastAsia" w:ascii="宋体" w:hAnsi="宋体" w:eastAsia="宋体" w:cs="宋体"/>
                <w:sz w:val="24"/>
                <w:szCs w:val="24"/>
              </w:rPr>
            </w:pPr>
            <w:r>
              <w:rPr>
                <w:rFonts w:hint="eastAsia" w:ascii="宋体" w:hAnsi="宋体" w:eastAsia="宋体" w:cs="宋体"/>
                <w:sz w:val="24"/>
                <w:szCs w:val="24"/>
              </w:rPr>
              <w:t>五河分洪闸</w:t>
            </w:r>
          </w:p>
        </w:tc>
        <w:tc>
          <w:tcPr>
            <w:tcW w:w="0" w:type="auto"/>
            <w:vAlign w:val="center"/>
          </w:tcPr>
          <w:p w14:paraId="31EBB9E7">
            <w:pPr>
              <w:jc w:val="center"/>
              <w:rPr>
                <w:rFonts w:hint="eastAsia" w:ascii="宋体" w:hAnsi="宋体" w:eastAsia="宋体" w:cs="宋体"/>
                <w:sz w:val="24"/>
                <w:szCs w:val="24"/>
              </w:rPr>
            </w:pPr>
            <w:r>
              <w:rPr>
                <w:rFonts w:hint="eastAsia" w:ascii="宋体" w:hAnsi="宋体" w:eastAsia="宋体" w:cs="宋体"/>
                <w:sz w:val="24"/>
                <w:szCs w:val="24"/>
              </w:rPr>
              <w:t>中型</w:t>
            </w:r>
          </w:p>
        </w:tc>
        <w:tc>
          <w:tcPr>
            <w:tcW w:w="0" w:type="auto"/>
            <w:vAlign w:val="center"/>
          </w:tcPr>
          <w:p w14:paraId="3B47A5A4">
            <w:pPr>
              <w:rPr>
                <w:rFonts w:hint="eastAsia" w:ascii="宋体" w:hAnsi="宋体" w:eastAsia="宋体" w:cs="宋体"/>
                <w:sz w:val="24"/>
                <w:szCs w:val="24"/>
              </w:rPr>
            </w:pPr>
            <w:bookmarkStart w:id="49" w:name="OLE_LINK12"/>
            <w:r>
              <w:rPr>
                <w:rFonts w:hint="eastAsia" w:ascii="宋体" w:hAnsi="宋体" w:eastAsia="宋体" w:cs="宋体"/>
                <w:sz w:val="24"/>
                <w:szCs w:val="24"/>
              </w:rPr>
              <w:t>（1）垂直位移：观测1次，监测点19个；</w:t>
            </w:r>
          </w:p>
          <w:p w14:paraId="46AA4C6F">
            <w:pPr>
              <w:rPr>
                <w:rFonts w:hint="eastAsia" w:ascii="宋体" w:hAnsi="宋体" w:eastAsia="宋体" w:cs="宋体"/>
                <w:sz w:val="24"/>
                <w:szCs w:val="24"/>
              </w:rPr>
            </w:pPr>
            <w:r>
              <w:rPr>
                <w:rFonts w:hint="eastAsia" w:ascii="宋体" w:hAnsi="宋体" w:eastAsia="宋体" w:cs="宋体"/>
                <w:sz w:val="24"/>
                <w:szCs w:val="24"/>
              </w:rPr>
              <w:t>（2）上下游河床冲刷和淤积：观测1次；</w:t>
            </w:r>
          </w:p>
          <w:p w14:paraId="0E431F96">
            <w:pPr>
              <w:rPr>
                <w:rFonts w:hint="eastAsia" w:ascii="宋体" w:hAnsi="宋体" w:eastAsia="宋体" w:cs="宋体"/>
                <w:sz w:val="24"/>
                <w:szCs w:val="24"/>
              </w:rPr>
            </w:pPr>
            <w:r>
              <w:rPr>
                <w:rFonts w:hint="eastAsia" w:ascii="宋体" w:hAnsi="宋体" w:eastAsia="宋体" w:cs="宋体"/>
                <w:sz w:val="24"/>
                <w:szCs w:val="24"/>
              </w:rPr>
              <w:t>（3）水位尺及测压管管口高程校核1次；</w:t>
            </w:r>
            <w:bookmarkEnd w:id="49"/>
          </w:p>
        </w:tc>
        <w:tc>
          <w:tcPr>
            <w:tcW w:w="0" w:type="auto"/>
            <w:vMerge w:val="continue"/>
            <w:vAlign w:val="center"/>
          </w:tcPr>
          <w:p w14:paraId="401F6820">
            <w:pPr>
              <w:rPr>
                <w:rFonts w:hint="eastAsia" w:ascii="宋体" w:hAnsi="宋体" w:eastAsia="宋体" w:cs="宋体"/>
                <w:sz w:val="24"/>
                <w:szCs w:val="24"/>
              </w:rPr>
            </w:pPr>
          </w:p>
        </w:tc>
      </w:tr>
    </w:tbl>
    <w:p w14:paraId="317E887F">
      <w:pPr>
        <w:rPr>
          <w:rFonts w:hint="eastAsia" w:ascii="宋体" w:hAnsi="宋体" w:eastAsia="宋体" w:cs="宋体"/>
        </w:rPr>
      </w:pPr>
    </w:p>
    <w:p w14:paraId="5E473884">
      <w:pPr>
        <w:ind w:firstLine="640" w:firstLineChars="200"/>
        <w:rPr>
          <w:rFonts w:hint="eastAsia" w:ascii="宋体" w:hAnsi="宋体" w:eastAsia="宋体" w:cs="宋体"/>
          <w:b/>
          <w:bCs/>
          <w:sz w:val="32"/>
          <w:szCs w:val="32"/>
        </w:rPr>
      </w:pPr>
      <w:r>
        <w:rPr>
          <w:rFonts w:hint="eastAsia" w:ascii="宋体" w:hAnsi="宋体" w:eastAsia="宋体" w:cs="宋体"/>
          <w:b/>
          <w:bCs/>
          <w:sz w:val="32"/>
          <w:szCs w:val="32"/>
        </w:rPr>
        <w:t>（二）堤防监测</w:t>
      </w:r>
    </w:p>
    <w:tbl>
      <w:tblPr>
        <w:tblStyle w:val="24"/>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489"/>
        <w:gridCol w:w="834"/>
        <w:gridCol w:w="4130"/>
        <w:gridCol w:w="1360"/>
      </w:tblGrid>
      <w:tr w14:paraId="6DE3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6D500B9F">
            <w:pPr>
              <w:pStyle w:val="6"/>
              <w:ind w:firstLine="0"/>
              <w:jc w:val="center"/>
              <w:rPr>
                <w:rFonts w:hint="eastAsia" w:ascii="宋体" w:hAnsi="宋体" w:eastAsia="宋体" w:cs="宋体"/>
                <w:b/>
                <w:bCs/>
                <w:szCs w:val="24"/>
              </w:rPr>
            </w:pPr>
            <w:r>
              <w:rPr>
                <w:rFonts w:hint="eastAsia" w:ascii="宋体" w:hAnsi="宋体" w:eastAsia="宋体" w:cs="宋体"/>
                <w:b/>
                <w:bCs/>
                <w:szCs w:val="24"/>
              </w:rPr>
              <w:t>序号</w:t>
            </w:r>
          </w:p>
        </w:tc>
        <w:tc>
          <w:tcPr>
            <w:tcW w:w="1311" w:type="pct"/>
            <w:vAlign w:val="center"/>
          </w:tcPr>
          <w:p w14:paraId="32DAD3A4">
            <w:pPr>
              <w:pStyle w:val="6"/>
              <w:ind w:firstLine="0"/>
              <w:jc w:val="center"/>
              <w:rPr>
                <w:rFonts w:hint="eastAsia" w:ascii="宋体" w:hAnsi="宋体" w:eastAsia="宋体" w:cs="宋体"/>
                <w:b/>
                <w:bCs/>
                <w:szCs w:val="24"/>
              </w:rPr>
            </w:pPr>
            <w:r>
              <w:rPr>
                <w:rFonts w:hint="eastAsia" w:ascii="宋体" w:hAnsi="宋体" w:eastAsia="宋体" w:cs="宋体"/>
                <w:b/>
                <w:bCs/>
                <w:szCs w:val="24"/>
              </w:rPr>
              <w:t>重点堤段名称</w:t>
            </w:r>
          </w:p>
        </w:tc>
        <w:tc>
          <w:tcPr>
            <w:tcW w:w="439" w:type="pct"/>
            <w:vAlign w:val="center"/>
          </w:tcPr>
          <w:p w14:paraId="0FF5FE3E">
            <w:pPr>
              <w:pStyle w:val="6"/>
              <w:ind w:firstLine="0"/>
              <w:jc w:val="center"/>
              <w:rPr>
                <w:rFonts w:hint="eastAsia" w:ascii="宋体" w:hAnsi="宋体" w:eastAsia="宋体" w:cs="宋体"/>
                <w:b/>
                <w:bCs/>
                <w:szCs w:val="24"/>
              </w:rPr>
            </w:pPr>
            <w:r>
              <w:rPr>
                <w:rFonts w:hint="eastAsia" w:ascii="宋体" w:hAnsi="宋体" w:eastAsia="宋体" w:cs="宋体"/>
                <w:b/>
                <w:bCs/>
                <w:szCs w:val="24"/>
              </w:rPr>
              <w:t>所属单位</w:t>
            </w:r>
          </w:p>
        </w:tc>
        <w:tc>
          <w:tcPr>
            <w:tcW w:w="2175" w:type="pct"/>
            <w:vAlign w:val="center"/>
          </w:tcPr>
          <w:p w14:paraId="6B2744D2">
            <w:pPr>
              <w:pStyle w:val="6"/>
              <w:ind w:firstLine="0"/>
              <w:jc w:val="center"/>
              <w:rPr>
                <w:rFonts w:hint="eastAsia" w:ascii="宋体" w:hAnsi="宋体" w:eastAsia="宋体" w:cs="宋体"/>
                <w:b/>
                <w:bCs/>
                <w:szCs w:val="24"/>
              </w:rPr>
            </w:pPr>
            <w:r>
              <w:rPr>
                <w:rFonts w:hint="eastAsia" w:ascii="宋体" w:hAnsi="宋体" w:eastAsia="宋体" w:cs="宋体"/>
                <w:b/>
                <w:bCs/>
                <w:szCs w:val="24"/>
              </w:rPr>
              <w:t>观测内容及频次</w:t>
            </w:r>
          </w:p>
        </w:tc>
        <w:tc>
          <w:tcPr>
            <w:tcW w:w="716" w:type="pct"/>
            <w:vAlign w:val="center"/>
          </w:tcPr>
          <w:p w14:paraId="5C88243F">
            <w:pPr>
              <w:pStyle w:val="6"/>
              <w:ind w:firstLine="0"/>
              <w:jc w:val="center"/>
              <w:rPr>
                <w:rFonts w:hint="eastAsia" w:ascii="宋体" w:hAnsi="宋体" w:eastAsia="宋体" w:cs="宋体"/>
                <w:b/>
                <w:bCs/>
                <w:szCs w:val="24"/>
              </w:rPr>
            </w:pPr>
            <w:r>
              <w:rPr>
                <w:rFonts w:hint="eastAsia" w:ascii="宋体" w:hAnsi="宋体" w:eastAsia="宋体" w:cs="宋体"/>
                <w:b/>
                <w:bCs/>
                <w:szCs w:val="24"/>
              </w:rPr>
              <w:t>备注</w:t>
            </w:r>
          </w:p>
        </w:tc>
      </w:tr>
      <w:tr w14:paraId="1E2F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4B5BE1B3">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1311" w:type="pct"/>
            <w:vAlign w:val="center"/>
          </w:tcPr>
          <w:p w14:paraId="1EEE7DA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凤台乔口孜堤段</w:t>
            </w:r>
          </w:p>
        </w:tc>
        <w:tc>
          <w:tcPr>
            <w:tcW w:w="439" w:type="pct"/>
            <w:vMerge w:val="restart"/>
            <w:vAlign w:val="center"/>
          </w:tcPr>
          <w:p w14:paraId="3E57192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凤台局</w:t>
            </w:r>
          </w:p>
        </w:tc>
        <w:tc>
          <w:tcPr>
            <w:tcW w:w="2175" w:type="pct"/>
            <w:vAlign w:val="center"/>
          </w:tcPr>
          <w:p w14:paraId="2E6DC551">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44377277">
            <w:pPr>
              <w:pStyle w:val="6"/>
              <w:ind w:firstLine="0"/>
              <w:rPr>
                <w:rFonts w:hint="eastAsia" w:ascii="宋体" w:hAnsi="宋体" w:eastAsia="宋体" w:cs="宋体"/>
                <w:bCs/>
                <w:szCs w:val="24"/>
              </w:rPr>
            </w:pPr>
          </w:p>
        </w:tc>
      </w:tr>
      <w:tr w14:paraId="55A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122BFED5">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311" w:type="pct"/>
            <w:vAlign w:val="center"/>
          </w:tcPr>
          <w:p w14:paraId="3CDBE7B4">
            <w:pPr>
              <w:widowControl/>
              <w:jc w:val="center"/>
              <w:rPr>
                <w:rFonts w:hint="eastAsia" w:ascii="宋体" w:hAnsi="宋体" w:eastAsia="宋体" w:cs="宋体"/>
                <w:kern w:val="0"/>
                <w:sz w:val="24"/>
                <w:szCs w:val="24"/>
                <w:lang w:bidi="ar"/>
              </w:rPr>
            </w:pPr>
            <w:bookmarkStart w:id="50" w:name="OLE_LINK4"/>
            <w:r>
              <w:rPr>
                <w:rFonts w:hint="eastAsia" w:ascii="宋体" w:hAnsi="宋体" w:eastAsia="宋体" w:cs="宋体"/>
                <w:kern w:val="0"/>
                <w:sz w:val="24"/>
                <w:szCs w:val="24"/>
                <w:lang w:bidi="ar"/>
              </w:rPr>
              <w:t>凤台哑巴渡堤段</w:t>
            </w:r>
            <w:bookmarkEnd w:id="50"/>
          </w:p>
        </w:tc>
        <w:tc>
          <w:tcPr>
            <w:tcW w:w="439" w:type="pct"/>
            <w:vMerge w:val="continue"/>
            <w:vAlign w:val="center"/>
          </w:tcPr>
          <w:p w14:paraId="5B54B251">
            <w:pPr>
              <w:widowControl/>
              <w:jc w:val="center"/>
              <w:rPr>
                <w:rFonts w:hint="eastAsia" w:ascii="宋体" w:hAnsi="宋体" w:eastAsia="宋体" w:cs="宋体"/>
                <w:kern w:val="0"/>
                <w:sz w:val="24"/>
                <w:szCs w:val="24"/>
              </w:rPr>
            </w:pPr>
          </w:p>
        </w:tc>
        <w:tc>
          <w:tcPr>
            <w:tcW w:w="2175" w:type="pct"/>
            <w:vAlign w:val="center"/>
          </w:tcPr>
          <w:p w14:paraId="5B49A3AB">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w:t>
            </w:r>
          </w:p>
        </w:tc>
        <w:tc>
          <w:tcPr>
            <w:tcW w:w="716" w:type="pct"/>
            <w:vAlign w:val="center"/>
          </w:tcPr>
          <w:p w14:paraId="3318B395">
            <w:pPr>
              <w:pStyle w:val="6"/>
              <w:ind w:firstLine="0"/>
              <w:rPr>
                <w:rFonts w:hint="eastAsia" w:ascii="宋体" w:hAnsi="宋体" w:eastAsia="宋体" w:cs="宋体"/>
                <w:bCs/>
                <w:szCs w:val="24"/>
              </w:rPr>
            </w:pPr>
          </w:p>
        </w:tc>
      </w:tr>
      <w:tr w14:paraId="2A44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18079633">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1311" w:type="pct"/>
            <w:vAlign w:val="center"/>
          </w:tcPr>
          <w:p w14:paraId="7619D780">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凤台新建队堤段</w:t>
            </w:r>
          </w:p>
        </w:tc>
        <w:tc>
          <w:tcPr>
            <w:tcW w:w="439" w:type="pct"/>
            <w:vMerge w:val="continue"/>
            <w:vAlign w:val="center"/>
          </w:tcPr>
          <w:p w14:paraId="586D3373">
            <w:pPr>
              <w:widowControl/>
              <w:jc w:val="center"/>
              <w:rPr>
                <w:rFonts w:hint="eastAsia" w:ascii="宋体" w:hAnsi="宋体" w:eastAsia="宋体" w:cs="宋体"/>
                <w:kern w:val="0"/>
                <w:sz w:val="24"/>
                <w:szCs w:val="24"/>
              </w:rPr>
            </w:pPr>
          </w:p>
        </w:tc>
        <w:tc>
          <w:tcPr>
            <w:tcW w:w="2175" w:type="pct"/>
            <w:vAlign w:val="center"/>
          </w:tcPr>
          <w:p w14:paraId="705B969F">
            <w:pPr>
              <w:pStyle w:val="6"/>
              <w:ind w:firstLine="0"/>
              <w:rPr>
                <w:rFonts w:hint="eastAsia" w:ascii="宋体" w:hAnsi="宋体" w:eastAsia="宋体" w:cs="宋体"/>
                <w:bCs/>
                <w:szCs w:val="24"/>
              </w:rPr>
            </w:pPr>
            <w:r>
              <w:rPr>
                <w:rFonts w:hint="eastAsia" w:ascii="宋体" w:hAnsi="宋体" w:eastAsia="宋体" w:cs="宋体"/>
                <w:bCs/>
                <w:szCs w:val="24"/>
              </w:rPr>
              <w:t>近岸河床冲淤变化观测1次</w:t>
            </w:r>
          </w:p>
        </w:tc>
        <w:tc>
          <w:tcPr>
            <w:tcW w:w="716" w:type="pct"/>
            <w:vAlign w:val="center"/>
          </w:tcPr>
          <w:p w14:paraId="04AE356C">
            <w:pPr>
              <w:pStyle w:val="6"/>
              <w:ind w:firstLine="0"/>
              <w:rPr>
                <w:rFonts w:hint="eastAsia" w:ascii="宋体" w:hAnsi="宋体" w:eastAsia="宋体" w:cs="宋体"/>
                <w:bCs/>
                <w:szCs w:val="24"/>
              </w:rPr>
            </w:pPr>
          </w:p>
        </w:tc>
      </w:tr>
      <w:tr w14:paraId="1068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4AA2EC12">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311" w:type="pct"/>
            <w:vAlign w:val="center"/>
          </w:tcPr>
          <w:p w14:paraId="674742E8">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淮北大堤凤台段</w:t>
            </w:r>
          </w:p>
        </w:tc>
        <w:tc>
          <w:tcPr>
            <w:tcW w:w="439" w:type="pct"/>
            <w:vMerge w:val="continue"/>
            <w:vAlign w:val="center"/>
          </w:tcPr>
          <w:p w14:paraId="33DEAC5A">
            <w:pPr>
              <w:widowControl/>
              <w:jc w:val="center"/>
              <w:rPr>
                <w:rFonts w:hint="eastAsia" w:ascii="宋体" w:hAnsi="宋体" w:eastAsia="宋体" w:cs="宋体"/>
                <w:kern w:val="0"/>
                <w:sz w:val="24"/>
                <w:szCs w:val="24"/>
              </w:rPr>
            </w:pPr>
          </w:p>
        </w:tc>
        <w:tc>
          <w:tcPr>
            <w:tcW w:w="2175" w:type="pct"/>
            <w:vAlign w:val="center"/>
          </w:tcPr>
          <w:p w14:paraId="0086CC05">
            <w:pPr>
              <w:pStyle w:val="6"/>
              <w:ind w:firstLine="0"/>
              <w:rPr>
                <w:rFonts w:hint="eastAsia" w:ascii="宋体" w:hAnsi="宋体" w:eastAsia="宋体" w:cs="宋体"/>
                <w:bCs/>
                <w:szCs w:val="24"/>
              </w:rPr>
            </w:pPr>
            <w:r>
              <w:rPr>
                <w:rFonts w:hint="eastAsia" w:ascii="宋体" w:hAnsi="宋体" w:eastAsia="宋体" w:cs="宋体"/>
                <w:bCs/>
                <w:szCs w:val="24"/>
              </w:rPr>
              <w:t>堤防</w:t>
            </w:r>
            <w:r>
              <w:rPr>
                <w:rFonts w:hint="eastAsia" w:ascii="宋体" w:hAnsi="宋体" w:eastAsia="宋体" w:cs="宋体"/>
                <w:bCs/>
                <w:szCs w:val="24"/>
              </w:rPr>
              <w:t>37处减压井、41处测压管高程校核</w:t>
            </w:r>
          </w:p>
        </w:tc>
        <w:tc>
          <w:tcPr>
            <w:tcW w:w="716" w:type="pct"/>
            <w:vAlign w:val="center"/>
          </w:tcPr>
          <w:p w14:paraId="4E4D8EB1">
            <w:pPr>
              <w:pStyle w:val="6"/>
              <w:ind w:firstLine="0"/>
              <w:rPr>
                <w:rFonts w:hint="eastAsia" w:ascii="宋体" w:hAnsi="宋体" w:eastAsia="宋体" w:cs="宋体"/>
                <w:bCs/>
                <w:szCs w:val="24"/>
              </w:rPr>
            </w:pPr>
          </w:p>
        </w:tc>
      </w:tr>
      <w:tr w14:paraId="7158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27025C9E">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1311" w:type="pct"/>
            <w:vAlign w:val="center"/>
          </w:tcPr>
          <w:p w14:paraId="20A7E5C1">
            <w:pPr>
              <w:widowControl/>
              <w:jc w:val="center"/>
              <w:rPr>
                <w:rFonts w:hint="eastAsia" w:ascii="宋体" w:hAnsi="宋体" w:eastAsia="宋体" w:cs="宋体"/>
                <w:kern w:val="0"/>
                <w:sz w:val="24"/>
                <w:szCs w:val="24"/>
                <w:lang w:bidi="ar"/>
              </w:rPr>
            </w:pPr>
            <w:bookmarkStart w:id="51" w:name="OLE_LINK17"/>
            <w:r>
              <w:rPr>
                <w:rFonts w:hint="eastAsia" w:ascii="宋体" w:hAnsi="宋体" w:eastAsia="宋体" w:cs="宋体"/>
                <w:kern w:val="0"/>
                <w:sz w:val="24"/>
                <w:szCs w:val="24"/>
                <w:lang w:bidi="ar"/>
              </w:rPr>
              <w:t>淮北大堤潘集段</w:t>
            </w:r>
            <w:bookmarkEnd w:id="51"/>
          </w:p>
        </w:tc>
        <w:tc>
          <w:tcPr>
            <w:tcW w:w="439" w:type="pct"/>
            <w:vAlign w:val="center"/>
          </w:tcPr>
          <w:p w14:paraId="6425D4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潘集局</w:t>
            </w:r>
          </w:p>
        </w:tc>
        <w:tc>
          <w:tcPr>
            <w:tcW w:w="2175" w:type="pct"/>
            <w:vAlign w:val="center"/>
          </w:tcPr>
          <w:p w14:paraId="1A471C74">
            <w:pPr>
              <w:pStyle w:val="6"/>
              <w:ind w:firstLine="0"/>
              <w:rPr>
                <w:rFonts w:hint="eastAsia" w:ascii="宋体" w:hAnsi="宋体" w:eastAsia="宋体" w:cs="宋体"/>
                <w:bCs/>
                <w:szCs w:val="24"/>
              </w:rPr>
            </w:pPr>
            <w:r>
              <w:rPr>
                <w:rFonts w:hint="eastAsia" w:ascii="宋体" w:hAnsi="宋体" w:eastAsia="宋体" w:cs="宋体"/>
                <w:bCs/>
                <w:szCs w:val="24"/>
              </w:rPr>
              <w:t>堤防</w:t>
            </w:r>
            <w:r>
              <w:rPr>
                <w:rFonts w:hint="eastAsia" w:ascii="宋体" w:hAnsi="宋体" w:eastAsia="宋体" w:cs="宋体"/>
                <w:bCs/>
                <w:szCs w:val="24"/>
              </w:rPr>
              <w:t>36处测压管高程校核</w:t>
            </w:r>
          </w:p>
        </w:tc>
        <w:tc>
          <w:tcPr>
            <w:tcW w:w="716" w:type="pct"/>
            <w:vAlign w:val="center"/>
          </w:tcPr>
          <w:p w14:paraId="351B3F4B">
            <w:pPr>
              <w:pStyle w:val="6"/>
              <w:ind w:firstLine="0"/>
              <w:rPr>
                <w:rFonts w:hint="eastAsia" w:ascii="宋体" w:hAnsi="宋体" w:eastAsia="宋体" w:cs="宋体"/>
                <w:bCs/>
                <w:szCs w:val="24"/>
              </w:rPr>
            </w:pPr>
          </w:p>
        </w:tc>
      </w:tr>
      <w:tr w14:paraId="51DD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10B96A36">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311" w:type="pct"/>
            <w:vAlign w:val="center"/>
          </w:tcPr>
          <w:p w14:paraId="342C43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颍东朱沟堤段①</w:t>
            </w:r>
          </w:p>
        </w:tc>
        <w:tc>
          <w:tcPr>
            <w:tcW w:w="439" w:type="pct"/>
            <w:vMerge w:val="restart"/>
            <w:vAlign w:val="center"/>
          </w:tcPr>
          <w:p w14:paraId="2137B32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颍东局</w:t>
            </w:r>
          </w:p>
        </w:tc>
        <w:tc>
          <w:tcPr>
            <w:tcW w:w="2175" w:type="pct"/>
            <w:vAlign w:val="center"/>
          </w:tcPr>
          <w:p w14:paraId="70E1560E">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0FAF4456">
            <w:pPr>
              <w:pStyle w:val="6"/>
              <w:ind w:firstLine="0"/>
              <w:rPr>
                <w:rFonts w:hint="eastAsia" w:ascii="宋体" w:hAnsi="宋体" w:eastAsia="宋体" w:cs="宋体"/>
                <w:bCs/>
                <w:szCs w:val="24"/>
              </w:rPr>
            </w:pPr>
          </w:p>
        </w:tc>
      </w:tr>
      <w:tr w14:paraId="05F0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3096D161">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w:t>
            </w:r>
          </w:p>
        </w:tc>
        <w:tc>
          <w:tcPr>
            <w:tcW w:w="1311" w:type="pct"/>
            <w:vAlign w:val="center"/>
          </w:tcPr>
          <w:p w14:paraId="24EB50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颍东朱沟堤段②</w:t>
            </w:r>
          </w:p>
        </w:tc>
        <w:tc>
          <w:tcPr>
            <w:tcW w:w="439" w:type="pct"/>
            <w:vMerge w:val="continue"/>
            <w:vAlign w:val="center"/>
          </w:tcPr>
          <w:p w14:paraId="727D2029">
            <w:pPr>
              <w:widowControl/>
              <w:jc w:val="center"/>
              <w:rPr>
                <w:rFonts w:hint="eastAsia" w:ascii="宋体" w:hAnsi="宋体" w:eastAsia="宋体" w:cs="宋体"/>
                <w:kern w:val="0"/>
                <w:sz w:val="24"/>
                <w:szCs w:val="24"/>
              </w:rPr>
            </w:pPr>
          </w:p>
        </w:tc>
        <w:tc>
          <w:tcPr>
            <w:tcW w:w="2175" w:type="pct"/>
            <w:vAlign w:val="center"/>
          </w:tcPr>
          <w:p w14:paraId="4547ABEC">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699B4D48">
            <w:pPr>
              <w:pStyle w:val="6"/>
              <w:ind w:firstLine="0"/>
              <w:rPr>
                <w:rFonts w:hint="eastAsia" w:ascii="宋体" w:hAnsi="宋体" w:eastAsia="宋体" w:cs="宋体"/>
                <w:bCs/>
                <w:szCs w:val="24"/>
              </w:rPr>
            </w:pPr>
          </w:p>
        </w:tc>
      </w:tr>
      <w:tr w14:paraId="6C4D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7C47C2D9">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311" w:type="pct"/>
            <w:vAlign w:val="center"/>
          </w:tcPr>
          <w:p w14:paraId="680AEB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颍东倒栽槐堤段</w:t>
            </w:r>
          </w:p>
        </w:tc>
        <w:tc>
          <w:tcPr>
            <w:tcW w:w="439" w:type="pct"/>
            <w:vMerge w:val="continue"/>
            <w:vAlign w:val="center"/>
          </w:tcPr>
          <w:p w14:paraId="05F2CFF5">
            <w:pPr>
              <w:widowControl/>
              <w:jc w:val="center"/>
              <w:rPr>
                <w:rFonts w:hint="eastAsia" w:ascii="宋体" w:hAnsi="宋体" w:eastAsia="宋体" w:cs="宋体"/>
                <w:kern w:val="0"/>
                <w:sz w:val="24"/>
                <w:szCs w:val="24"/>
              </w:rPr>
            </w:pPr>
          </w:p>
        </w:tc>
        <w:tc>
          <w:tcPr>
            <w:tcW w:w="2175" w:type="pct"/>
            <w:vAlign w:val="center"/>
          </w:tcPr>
          <w:p w14:paraId="4F20A6B2">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32A7D973">
            <w:pPr>
              <w:pStyle w:val="6"/>
              <w:ind w:firstLine="0"/>
              <w:rPr>
                <w:rFonts w:hint="eastAsia" w:ascii="宋体" w:hAnsi="宋体" w:eastAsia="宋体" w:cs="宋体"/>
                <w:bCs/>
                <w:szCs w:val="24"/>
              </w:rPr>
            </w:pPr>
          </w:p>
        </w:tc>
      </w:tr>
      <w:tr w14:paraId="432B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02E3EFF2">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w:t>
            </w:r>
          </w:p>
        </w:tc>
        <w:tc>
          <w:tcPr>
            <w:tcW w:w="1311" w:type="pct"/>
            <w:vAlign w:val="center"/>
          </w:tcPr>
          <w:p w14:paraId="7D78D79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颍上高台孜堤段</w:t>
            </w:r>
          </w:p>
        </w:tc>
        <w:tc>
          <w:tcPr>
            <w:tcW w:w="439" w:type="pct"/>
            <w:vMerge w:val="restart"/>
            <w:vAlign w:val="center"/>
          </w:tcPr>
          <w:p w14:paraId="1FF3193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颍上局</w:t>
            </w:r>
          </w:p>
        </w:tc>
        <w:tc>
          <w:tcPr>
            <w:tcW w:w="2175" w:type="pct"/>
            <w:vAlign w:val="center"/>
          </w:tcPr>
          <w:p w14:paraId="4C1C2D39">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6FFFCB68">
            <w:pPr>
              <w:pStyle w:val="6"/>
              <w:ind w:firstLine="0"/>
              <w:rPr>
                <w:rFonts w:hint="eastAsia" w:ascii="宋体" w:hAnsi="宋体" w:eastAsia="宋体" w:cs="宋体"/>
                <w:bCs/>
                <w:szCs w:val="24"/>
              </w:rPr>
            </w:pPr>
          </w:p>
        </w:tc>
      </w:tr>
      <w:tr w14:paraId="2302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6CE741A4">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bidi="ar"/>
              </w:rPr>
              <w:t>0</w:t>
            </w:r>
          </w:p>
        </w:tc>
        <w:tc>
          <w:tcPr>
            <w:tcW w:w="1311" w:type="pct"/>
            <w:vAlign w:val="center"/>
          </w:tcPr>
          <w:p w14:paraId="7ECE24B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颍上高庄孜堤段①</w:t>
            </w:r>
          </w:p>
        </w:tc>
        <w:tc>
          <w:tcPr>
            <w:tcW w:w="439" w:type="pct"/>
            <w:vMerge w:val="continue"/>
            <w:vAlign w:val="center"/>
          </w:tcPr>
          <w:p w14:paraId="45636F4D">
            <w:pPr>
              <w:widowControl/>
              <w:jc w:val="center"/>
              <w:rPr>
                <w:rFonts w:hint="eastAsia" w:ascii="宋体" w:hAnsi="宋体" w:eastAsia="宋体" w:cs="宋体"/>
                <w:kern w:val="0"/>
                <w:sz w:val="24"/>
                <w:szCs w:val="24"/>
              </w:rPr>
            </w:pPr>
          </w:p>
        </w:tc>
        <w:tc>
          <w:tcPr>
            <w:tcW w:w="2175" w:type="pct"/>
            <w:vAlign w:val="center"/>
          </w:tcPr>
          <w:p w14:paraId="12B1A954">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44B9B283">
            <w:pPr>
              <w:pStyle w:val="6"/>
              <w:ind w:firstLine="0"/>
              <w:rPr>
                <w:rFonts w:hint="eastAsia" w:ascii="宋体" w:hAnsi="宋体" w:eastAsia="宋体" w:cs="宋体"/>
                <w:bCs/>
                <w:szCs w:val="24"/>
              </w:rPr>
            </w:pPr>
          </w:p>
        </w:tc>
      </w:tr>
      <w:tr w14:paraId="1B99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263FE92B">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bidi="ar"/>
              </w:rPr>
              <w:t>1</w:t>
            </w:r>
          </w:p>
        </w:tc>
        <w:tc>
          <w:tcPr>
            <w:tcW w:w="1311" w:type="pct"/>
            <w:vAlign w:val="center"/>
          </w:tcPr>
          <w:p w14:paraId="7CE0D0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颍上高庄孜堤段②</w:t>
            </w:r>
          </w:p>
        </w:tc>
        <w:tc>
          <w:tcPr>
            <w:tcW w:w="439" w:type="pct"/>
            <w:vMerge w:val="continue"/>
            <w:vAlign w:val="center"/>
          </w:tcPr>
          <w:p w14:paraId="579BE868">
            <w:pPr>
              <w:widowControl/>
              <w:jc w:val="center"/>
              <w:rPr>
                <w:rFonts w:hint="eastAsia" w:ascii="宋体" w:hAnsi="宋体" w:eastAsia="宋体" w:cs="宋体"/>
                <w:kern w:val="0"/>
                <w:sz w:val="24"/>
                <w:szCs w:val="24"/>
              </w:rPr>
            </w:pPr>
          </w:p>
        </w:tc>
        <w:tc>
          <w:tcPr>
            <w:tcW w:w="2175" w:type="pct"/>
            <w:vAlign w:val="center"/>
          </w:tcPr>
          <w:p w14:paraId="132FC6E9">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2AEE860D">
            <w:pPr>
              <w:pStyle w:val="6"/>
              <w:ind w:firstLine="0"/>
              <w:rPr>
                <w:rFonts w:hint="eastAsia" w:ascii="宋体" w:hAnsi="宋体" w:eastAsia="宋体" w:cs="宋体"/>
                <w:bCs/>
                <w:szCs w:val="24"/>
              </w:rPr>
            </w:pPr>
          </w:p>
        </w:tc>
      </w:tr>
      <w:tr w14:paraId="1FD6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6A6CF311">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bidi="ar"/>
              </w:rPr>
              <w:t>2</w:t>
            </w:r>
          </w:p>
        </w:tc>
        <w:tc>
          <w:tcPr>
            <w:tcW w:w="1311" w:type="pct"/>
            <w:vAlign w:val="center"/>
          </w:tcPr>
          <w:p w14:paraId="70B5CF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颍上邹王村堤段</w:t>
            </w:r>
          </w:p>
        </w:tc>
        <w:tc>
          <w:tcPr>
            <w:tcW w:w="439" w:type="pct"/>
            <w:vMerge w:val="continue"/>
            <w:vAlign w:val="center"/>
          </w:tcPr>
          <w:p w14:paraId="09F1081F">
            <w:pPr>
              <w:widowControl/>
              <w:jc w:val="center"/>
              <w:rPr>
                <w:rFonts w:hint="eastAsia" w:ascii="宋体" w:hAnsi="宋体" w:eastAsia="宋体" w:cs="宋体"/>
                <w:kern w:val="0"/>
                <w:sz w:val="24"/>
                <w:szCs w:val="24"/>
              </w:rPr>
            </w:pPr>
          </w:p>
        </w:tc>
        <w:tc>
          <w:tcPr>
            <w:tcW w:w="2175" w:type="pct"/>
            <w:vAlign w:val="center"/>
          </w:tcPr>
          <w:p w14:paraId="7ED1466E">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3D87DA81">
            <w:pPr>
              <w:pStyle w:val="6"/>
              <w:ind w:firstLine="0"/>
              <w:rPr>
                <w:rFonts w:hint="eastAsia" w:ascii="宋体" w:hAnsi="宋体" w:eastAsia="宋体" w:cs="宋体"/>
                <w:bCs/>
                <w:szCs w:val="24"/>
              </w:rPr>
            </w:pPr>
          </w:p>
        </w:tc>
      </w:tr>
      <w:tr w14:paraId="7A0A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57390EF8">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bidi="ar"/>
              </w:rPr>
              <w:t>3</w:t>
            </w:r>
          </w:p>
        </w:tc>
        <w:tc>
          <w:tcPr>
            <w:tcW w:w="1311" w:type="pct"/>
            <w:vAlign w:val="center"/>
          </w:tcPr>
          <w:p w14:paraId="4300240C">
            <w:pPr>
              <w:widowControl/>
              <w:jc w:val="center"/>
              <w:rPr>
                <w:rFonts w:hint="eastAsia" w:ascii="宋体" w:hAnsi="宋体" w:eastAsia="宋体" w:cs="宋体"/>
                <w:kern w:val="0"/>
                <w:sz w:val="24"/>
                <w:szCs w:val="24"/>
                <w:lang w:bidi="ar"/>
              </w:rPr>
            </w:pPr>
            <w:bookmarkStart w:id="52" w:name="OLE_LINK15"/>
            <w:r>
              <w:rPr>
                <w:rFonts w:hint="eastAsia" w:ascii="宋体" w:hAnsi="宋体" w:eastAsia="宋体" w:cs="宋体"/>
                <w:kern w:val="0"/>
                <w:sz w:val="24"/>
                <w:szCs w:val="24"/>
                <w:lang w:bidi="ar"/>
              </w:rPr>
              <w:t>淮北大堤颍上段</w:t>
            </w:r>
            <w:bookmarkEnd w:id="52"/>
          </w:p>
        </w:tc>
        <w:tc>
          <w:tcPr>
            <w:tcW w:w="439" w:type="pct"/>
            <w:vMerge w:val="continue"/>
            <w:vAlign w:val="center"/>
          </w:tcPr>
          <w:p w14:paraId="7773C609">
            <w:pPr>
              <w:widowControl/>
              <w:jc w:val="center"/>
              <w:rPr>
                <w:rFonts w:hint="eastAsia" w:ascii="宋体" w:hAnsi="宋体" w:eastAsia="宋体" w:cs="宋体"/>
                <w:kern w:val="0"/>
                <w:sz w:val="24"/>
                <w:szCs w:val="24"/>
              </w:rPr>
            </w:pPr>
          </w:p>
        </w:tc>
        <w:tc>
          <w:tcPr>
            <w:tcW w:w="2175" w:type="pct"/>
            <w:vAlign w:val="center"/>
          </w:tcPr>
          <w:p w14:paraId="2F8133C4">
            <w:pPr>
              <w:pStyle w:val="6"/>
              <w:ind w:firstLine="0"/>
              <w:rPr>
                <w:rFonts w:hint="eastAsia" w:ascii="宋体" w:hAnsi="宋体" w:eastAsia="宋体" w:cs="宋体"/>
                <w:bCs/>
                <w:szCs w:val="24"/>
              </w:rPr>
            </w:pPr>
            <w:bookmarkStart w:id="53" w:name="OLE_LINK16"/>
            <w:r>
              <w:rPr>
                <w:rFonts w:hint="eastAsia" w:ascii="宋体" w:hAnsi="宋体" w:eastAsia="宋体" w:cs="宋体"/>
                <w:bCs/>
                <w:szCs w:val="24"/>
              </w:rPr>
              <w:t>堤防7处测压管高程校测</w:t>
            </w:r>
            <w:bookmarkEnd w:id="53"/>
          </w:p>
        </w:tc>
        <w:tc>
          <w:tcPr>
            <w:tcW w:w="716" w:type="pct"/>
            <w:vAlign w:val="center"/>
          </w:tcPr>
          <w:p w14:paraId="0AABC0A5">
            <w:pPr>
              <w:pStyle w:val="6"/>
              <w:ind w:firstLine="0"/>
              <w:rPr>
                <w:rFonts w:hint="eastAsia" w:ascii="宋体" w:hAnsi="宋体" w:eastAsia="宋体" w:cs="宋体"/>
                <w:bCs/>
                <w:szCs w:val="24"/>
              </w:rPr>
            </w:pPr>
          </w:p>
        </w:tc>
      </w:tr>
      <w:tr w14:paraId="5802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7D4BB671">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311" w:type="pct"/>
            <w:vAlign w:val="center"/>
          </w:tcPr>
          <w:p w14:paraId="5CA2F7D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怀远沙沟堤段</w:t>
            </w:r>
          </w:p>
        </w:tc>
        <w:tc>
          <w:tcPr>
            <w:tcW w:w="439" w:type="pct"/>
            <w:vMerge w:val="restart"/>
            <w:vAlign w:val="center"/>
          </w:tcPr>
          <w:p w14:paraId="730A2D5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怀远局</w:t>
            </w:r>
          </w:p>
        </w:tc>
        <w:tc>
          <w:tcPr>
            <w:tcW w:w="2175" w:type="pct"/>
            <w:vAlign w:val="center"/>
          </w:tcPr>
          <w:p w14:paraId="687A850C">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3F4F15C5">
            <w:pPr>
              <w:pStyle w:val="6"/>
              <w:ind w:firstLine="0"/>
              <w:rPr>
                <w:rFonts w:hint="eastAsia" w:ascii="宋体" w:hAnsi="宋体" w:eastAsia="宋体" w:cs="宋体"/>
                <w:bCs/>
                <w:szCs w:val="24"/>
              </w:rPr>
            </w:pPr>
          </w:p>
        </w:tc>
      </w:tr>
      <w:tr w14:paraId="4F34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58" w:type="pct"/>
            <w:vAlign w:val="center"/>
          </w:tcPr>
          <w:p w14:paraId="059B0E50">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bidi="ar"/>
              </w:rPr>
              <w:t>5</w:t>
            </w:r>
          </w:p>
        </w:tc>
        <w:tc>
          <w:tcPr>
            <w:tcW w:w="1311" w:type="pct"/>
            <w:vAlign w:val="center"/>
          </w:tcPr>
          <w:p w14:paraId="2880BA5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怀远杜黄湾堤段</w:t>
            </w:r>
          </w:p>
        </w:tc>
        <w:tc>
          <w:tcPr>
            <w:tcW w:w="439" w:type="pct"/>
            <w:vMerge w:val="continue"/>
            <w:vAlign w:val="center"/>
          </w:tcPr>
          <w:p w14:paraId="6D78E2E2">
            <w:pPr>
              <w:widowControl/>
              <w:jc w:val="center"/>
              <w:rPr>
                <w:rFonts w:hint="eastAsia" w:ascii="宋体" w:hAnsi="宋体" w:eastAsia="宋体" w:cs="宋体"/>
                <w:kern w:val="0"/>
                <w:sz w:val="24"/>
                <w:szCs w:val="24"/>
              </w:rPr>
            </w:pPr>
          </w:p>
        </w:tc>
        <w:tc>
          <w:tcPr>
            <w:tcW w:w="2175" w:type="pct"/>
            <w:vAlign w:val="center"/>
          </w:tcPr>
          <w:p w14:paraId="51A4E50C">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3DF3DB65">
            <w:pPr>
              <w:pStyle w:val="6"/>
              <w:ind w:firstLine="0"/>
              <w:rPr>
                <w:rFonts w:hint="eastAsia" w:ascii="宋体" w:hAnsi="宋体" w:eastAsia="宋体" w:cs="宋体"/>
                <w:bCs/>
                <w:szCs w:val="24"/>
              </w:rPr>
            </w:pPr>
          </w:p>
        </w:tc>
      </w:tr>
      <w:tr w14:paraId="5E47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358" w:type="pct"/>
            <w:vAlign w:val="center"/>
          </w:tcPr>
          <w:p w14:paraId="2D9D54CC">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bidi="ar"/>
              </w:rPr>
              <w:t>6</w:t>
            </w:r>
          </w:p>
        </w:tc>
        <w:tc>
          <w:tcPr>
            <w:tcW w:w="1311" w:type="pct"/>
            <w:vAlign w:val="center"/>
          </w:tcPr>
          <w:p w14:paraId="07CAD2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怀远涡南堤段</w:t>
            </w:r>
          </w:p>
        </w:tc>
        <w:tc>
          <w:tcPr>
            <w:tcW w:w="439" w:type="pct"/>
            <w:vMerge w:val="continue"/>
            <w:vAlign w:val="center"/>
          </w:tcPr>
          <w:p w14:paraId="0B0BA100">
            <w:pPr>
              <w:widowControl/>
              <w:jc w:val="center"/>
              <w:rPr>
                <w:rFonts w:hint="eastAsia" w:ascii="宋体" w:hAnsi="宋体" w:eastAsia="宋体" w:cs="宋体"/>
                <w:kern w:val="0"/>
                <w:sz w:val="24"/>
                <w:szCs w:val="24"/>
              </w:rPr>
            </w:pPr>
          </w:p>
        </w:tc>
        <w:tc>
          <w:tcPr>
            <w:tcW w:w="2175" w:type="pct"/>
            <w:vAlign w:val="center"/>
          </w:tcPr>
          <w:p w14:paraId="582C45FB">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358584E0">
            <w:pPr>
              <w:pStyle w:val="6"/>
              <w:ind w:firstLine="0"/>
              <w:rPr>
                <w:rFonts w:hint="eastAsia" w:ascii="宋体" w:hAnsi="宋体" w:eastAsia="宋体" w:cs="宋体"/>
                <w:bCs/>
                <w:szCs w:val="24"/>
              </w:rPr>
            </w:pPr>
          </w:p>
        </w:tc>
      </w:tr>
      <w:tr w14:paraId="21E4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358" w:type="pct"/>
            <w:vAlign w:val="center"/>
          </w:tcPr>
          <w:p w14:paraId="7405682D">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bidi="ar"/>
              </w:rPr>
              <w:t>7</w:t>
            </w:r>
          </w:p>
        </w:tc>
        <w:tc>
          <w:tcPr>
            <w:tcW w:w="1311" w:type="pct"/>
            <w:vAlign w:val="center"/>
          </w:tcPr>
          <w:p w14:paraId="0E7A6B3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怀远双沟堤段</w:t>
            </w:r>
          </w:p>
        </w:tc>
        <w:tc>
          <w:tcPr>
            <w:tcW w:w="439" w:type="pct"/>
            <w:vMerge w:val="continue"/>
            <w:vAlign w:val="center"/>
          </w:tcPr>
          <w:p w14:paraId="096F7040">
            <w:pPr>
              <w:widowControl/>
              <w:jc w:val="center"/>
              <w:rPr>
                <w:rFonts w:hint="eastAsia" w:ascii="宋体" w:hAnsi="宋体" w:eastAsia="宋体" w:cs="宋体"/>
                <w:kern w:val="0"/>
                <w:sz w:val="24"/>
                <w:szCs w:val="24"/>
              </w:rPr>
            </w:pPr>
          </w:p>
        </w:tc>
        <w:tc>
          <w:tcPr>
            <w:tcW w:w="2175" w:type="pct"/>
            <w:vAlign w:val="center"/>
          </w:tcPr>
          <w:p w14:paraId="1332103C">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02A57E21">
            <w:pPr>
              <w:pStyle w:val="6"/>
              <w:ind w:firstLine="0"/>
              <w:rPr>
                <w:rFonts w:hint="eastAsia" w:ascii="宋体" w:hAnsi="宋体" w:eastAsia="宋体" w:cs="宋体"/>
                <w:bCs/>
                <w:szCs w:val="24"/>
              </w:rPr>
            </w:pPr>
          </w:p>
        </w:tc>
      </w:tr>
      <w:tr w14:paraId="1FB8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358" w:type="pct"/>
            <w:vAlign w:val="center"/>
          </w:tcPr>
          <w:p w14:paraId="53E45B6E">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bidi="ar"/>
              </w:rPr>
              <w:t>8</w:t>
            </w:r>
          </w:p>
        </w:tc>
        <w:tc>
          <w:tcPr>
            <w:tcW w:w="1311" w:type="pct"/>
            <w:vAlign w:val="center"/>
          </w:tcPr>
          <w:p w14:paraId="7A9460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怀远团湖站堤段</w:t>
            </w:r>
          </w:p>
        </w:tc>
        <w:tc>
          <w:tcPr>
            <w:tcW w:w="439" w:type="pct"/>
            <w:vMerge w:val="continue"/>
            <w:vAlign w:val="center"/>
          </w:tcPr>
          <w:p w14:paraId="294525A6">
            <w:pPr>
              <w:widowControl/>
              <w:jc w:val="center"/>
              <w:rPr>
                <w:rFonts w:hint="eastAsia" w:ascii="宋体" w:hAnsi="宋体" w:eastAsia="宋体" w:cs="宋体"/>
                <w:kern w:val="0"/>
                <w:sz w:val="24"/>
                <w:szCs w:val="24"/>
              </w:rPr>
            </w:pPr>
          </w:p>
        </w:tc>
        <w:tc>
          <w:tcPr>
            <w:tcW w:w="2175" w:type="pct"/>
            <w:vAlign w:val="center"/>
          </w:tcPr>
          <w:p w14:paraId="5CC20D2C">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近岸河床冲淤变化观测1次、沉降观测1次</w:t>
            </w:r>
          </w:p>
        </w:tc>
        <w:tc>
          <w:tcPr>
            <w:tcW w:w="716" w:type="pct"/>
            <w:vAlign w:val="center"/>
          </w:tcPr>
          <w:p w14:paraId="1B802FD9">
            <w:pPr>
              <w:pStyle w:val="6"/>
              <w:ind w:firstLine="0"/>
              <w:rPr>
                <w:rFonts w:hint="eastAsia" w:ascii="宋体" w:hAnsi="宋体" w:eastAsia="宋体" w:cs="宋体"/>
                <w:bCs/>
                <w:szCs w:val="24"/>
              </w:rPr>
            </w:pPr>
          </w:p>
        </w:tc>
      </w:tr>
      <w:tr w14:paraId="0597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358" w:type="pct"/>
            <w:vAlign w:val="center"/>
          </w:tcPr>
          <w:p w14:paraId="7BEEAA37">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bidi="ar"/>
              </w:rPr>
              <w:t>9</w:t>
            </w:r>
          </w:p>
        </w:tc>
        <w:tc>
          <w:tcPr>
            <w:tcW w:w="1311" w:type="pct"/>
            <w:vAlign w:val="center"/>
          </w:tcPr>
          <w:p w14:paraId="0E04E7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怀远河溜堤段</w:t>
            </w:r>
          </w:p>
        </w:tc>
        <w:tc>
          <w:tcPr>
            <w:tcW w:w="439" w:type="pct"/>
            <w:vMerge w:val="continue"/>
            <w:vAlign w:val="center"/>
          </w:tcPr>
          <w:p w14:paraId="6D2A87C1">
            <w:pPr>
              <w:widowControl/>
              <w:jc w:val="center"/>
              <w:rPr>
                <w:rFonts w:hint="eastAsia" w:ascii="宋体" w:hAnsi="宋体" w:eastAsia="宋体" w:cs="宋体"/>
                <w:kern w:val="0"/>
                <w:sz w:val="24"/>
                <w:szCs w:val="24"/>
              </w:rPr>
            </w:pPr>
          </w:p>
        </w:tc>
        <w:tc>
          <w:tcPr>
            <w:tcW w:w="2175" w:type="pct"/>
            <w:vAlign w:val="center"/>
          </w:tcPr>
          <w:p w14:paraId="13A6F0F3">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w:t>
            </w:r>
          </w:p>
        </w:tc>
        <w:tc>
          <w:tcPr>
            <w:tcW w:w="716" w:type="pct"/>
            <w:vAlign w:val="center"/>
          </w:tcPr>
          <w:p w14:paraId="06765B3E">
            <w:pPr>
              <w:pStyle w:val="6"/>
              <w:ind w:firstLine="0"/>
              <w:rPr>
                <w:rFonts w:hint="eastAsia" w:ascii="宋体" w:hAnsi="宋体" w:eastAsia="宋体" w:cs="宋体"/>
                <w:bCs/>
                <w:szCs w:val="24"/>
              </w:rPr>
            </w:pPr>
          </w:p>
        </w:tc>
      </w:tr>
      <w:tr w14:paraId="7428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358" w:type="pct"/>
            <w:vAlign w:val="center"/>
          </w:tcPr>
          <w:p w14:paraId="11A08ABB">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eastAsia="宋体" w:cs="宋体"/>
                <w:kern w:val="0"/>
                <w:sz w:val="24"/>
                <w:szCs w:val="24"/>
                <w:lang w:bidi="ar"/>
              </w:rPr>
              <w:t>0</w:t>
            </w:r>
          </w:p>
        </w:tc>
        <w:tc>
          <w:tcPr>
            <w:tcW w:w="1311" w:type="pct"/>
            <w:vAlign w:val="center"/>
          </w:tcPr>
          <w:p w14:paraId="56F6EC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怀远南湖堤段</w:t>
            </w:r>
          </w:p>
        </w:tc>
        <w:tc>
          <w:tcPr>
            <w:tcW w:w="439" w:type="pct"/>
            <w:vMerge w:val="continue"/>
            <w:vAlign w:val="center"/>
          </w:tcPr>
          <w:p w14:paraId="59E9DEAF">
            <w:pPr>
              <w:widowControl/>
              <w:jc w:val="center"/>
              <w:rPr>
                <w:rFonts w:hint="eastAsia" w:ascii="宋体" w:hAnsi="宋体" w:eastAsia="宋体" w:cs="宋体"/>
                <w:kern w:val="0"/>
                <w:sz w:val="24"/>
                <w:szCs w:val="24"/>
              </w:rPr>
            </w:pPr>
          </w:p>
        </w:tc>
        <w:tc>
          <w:tcPr>
            <w:tcW w:w="2175" w:type="pct"/>
            <w:vAlign w:val="center"/>
          </w:tcPr>
          <w:p w14:paraId="7C10B7D6">
            <w:pPr>
              <w:pStyle w:val="6"/>
              <w:ind w:firstLine="0"/>
              <w:rPr>
                <w:rFonts w:hint="eastAsia" w:ascii="宋体" w:hAnsi="宋体" w:eastAsia="宋体" w:cs="宋体"/>
                <w:szCs w:val="24"/>
              </w:rPr>
            </w:pPr>
            <w:r>
              <w:rPr>
                <w:rFonts w:hint="eastAsia" w:ascii="宋体" w:hAnsi="宋体" w:eastAsia="宋体" w:cs="宋体"/>
                <w:bCs/>
                <w:szCs w:val="24"/>
              </w:rPr>
              <w:t>近岸河床冲淤变化观测1次</w:t>
            </w:r>
          </w:p>
        </w:tc>
        <w:tc>
          <w:tcPr>
            <w:tcW w:w="716" w:type="pct"/>
            <w:vAlign w:val="center"/>
          </w:tcPr>
          <w:p w14:paraId="28698BE6">
            <w:pPr>
              <w:pStyle w:val="6"/>
              <w:ind w:firstLine="0"/>
              <w:rPr>
                <w:rFonts w:hint="eastAsia" w:ascii="宋体" w:hAnsi="宋体" w:eastAsia="宋体" w:cs="宋体"/>
                <w:bCs/>
                <w:szCs w:val="24"/>
              </w:rPr>
            </w:pPr>
          </w:p>
        </w:tc>
      </w:tr>
      <w:tr w14:paraId="5508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358" w:type="pct"/>
            <w:vAlign w:val="center"/>
          </w:tcPr>
          <w:p w14:paraId="6614AF63">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eastAsia="宋体" w:cs="宋体"/>
                <w:kern w:val="0"/>
                <w:sz w:val="24"/>
                <w:szCs w:val="24"/>
                <w:lang w:bidi="ar"/>
              </w:rPr>
              <w:t>1</w:t>
            </w:r>
          </w:p>
        </w:tc>
        <w:tc>
          <w:tcPr>
            <w:tcW w:w="1311" w:type="pct"/>
            <w:vAlign w:val="center"/>
          </w:tcPr>
          <w:p w14:paraId="42994773">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淮北大堤怀远段</w:t>
            </w:r>
          </w:p>
        </w:tc>
        <w:tc>
          <w:tcPr>
            <w:tcW w:w="439" w:type="pct"/>
            <w:vMerge w:val="continue"/>
            <w:vAlign w:val="center"/>
          </w:tcPr>
          <w:p w14:paraId="0D56E27E">
            <w:pPr>
              <w:widowControl/>
              <w:jc w:val="center"/>
              <w:rPr>
                <w:rFonts w:hint="eastAsia" w:ascii="宋体" w:hAnsi="宋体" w:eastAsia="宋体" w:cs="宋体"/>
                <w:kern w:val="0"/>
                <w:sz w:val="24"/>
                <w:szCs w:val="24"/>
              </w:rPr>
            </w:pPr>
          </w:p>
        </w:tc>
        <w:tc>
          <w:tcPr>
            <w:tcW w:w="2175" w:type="pct"/>
            <w:vAlign w:val="center"/>
          </w:tcPr>
          <w:p w14:paraId="593BBBD6">
            <w:pPr>
              <w:pStyle w:val="6"/>
              <w:ind w:firstLine="0"/>
              <w:rPr>
                <w:rFonts w:hint="eastAsia" w:ascii="宋体" w:hAnsi="宋体" w:eastAsia="宋体" w:cs="宋体"/>
                <w:bCs/>
                <w:szCs w:val="24"/>
              </w:rPr>
            </w:pPr>
            <w:bookmarkStart w:id="54" w:name="OLE_LINK18"/>
            <w:r>
              <w:rPr>
                <w:rFonts w:hint="eastAsia" w:ascii="宋体" w:hAnsi="宋体" w:eastAsia="宋体" w:cs="宋体"/>
                <w:bCs/>
                <w:szCs w:val="24"/>
              </w:rPr>
              <w:t>堤防1</w:t>
            </w:r>
            <w:r>
              <w:rPr>
                <w:rFonts w:hint="eastAsia" w:ascii="宋体" w:hAnsi="宋体" w:eastAsia="宋体" w:cs="宋体"/>
                <w:bCs/>
                <w:szCs w:val="24"/>
              </w:rPr>
              <w:t>2处测压管高程校核</w:t>
            </w:r>
            <w:bookmarkEnd w:id="54"/>
          </w:p>
        </w:tc>
        <w:tc>
          <w:tcPr>
            <w:tcW w:w="716" w:type="pct"/>
            <w:vAlign w:val="center"/>
          </w:tcPr>
          <w:p w14:paraId="63A1E631">
            <w:pPr>
              <w:pStyle w:val="6"/>
              <w:ind w:firstLine="0"/>
              <w:rPr>
                <w:rFonts w:hint="eastAsia" w:ascii="宋体" w:hAnsi="宋体" w:eastAsia="宋体" w:cs="宋体"/>
                <w:bCs/>
                <w:szCs w:val="24"/>
              </w:rPr>
            </w:pPr>
          </w:p>
        </w:tc>
      </w:tr>
      <w:tr w14:paraId="2B75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trPr>
        <w:tc>
          <w:tcPr>
            <w:tcW w:w="358" w:type="pct"/>
            <w:vAlign w:val="center"/>
          </w:tcPr>
          <w:p w14:paraId="5879F648">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eastAsia="宋体" w:cs="宋体"/>
                <w:kern w:val="0"/>
                <w:sz w:val="24"/>
                <w:szCs w:val="24"/>
                <w:lang w:bidi="ar"/>
              </w:rPr>
              <w:t>2</w:t>
            </w:r>
          </w:p>
        </w:tc>
        <w:tc>
          <w:tcPr>
            <w:tcW w:w="1311" w:type="pct"/>
            <w:vAlign w:val="center"/>
          </w:tcPr>
          <w:p w14:paraId="59EA13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临北裂缝堤段</w:t>
            </w:r>
          </w:p>
          <w:p w14:paraId="03F6474F">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（桩号38+700～40+200）</w:t>
            </w:r>
          </w:p>
        </w:tc>
        <w:tc>
          <w:tcPr>
            <w:tcW w:w="439" w:type="pct"/>
            <w:vMerge w:val="restart"/>
            <w:vAlign w:val="center"/>
          </w:tcPr>
          <w:p w14:paraId="1A1A57B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五河局</w:t>
            </w:r>
          </w:p>
        </w:tc>
        <w:tc>
          <w:tcPr>
            <w:tcW w:w="2175" w:type="pct"/>
            <w:vAlign w:val="center"/>
          </w:tcPr>
          <w:p w14:paraId="7FA42C9E">
            <w:pPr>
              <w:pStyle w:val="6"/>
              <w:ind w:firstLine="0"/>
              <w:rPr>
                <w:rFonts w:hint="eastAsia" w:ascii="宋体" w:hAnsi="宋体" w:eastAsia="宋体" w:cs="宋体"/>
                <w:bCs/>
                <w:szCs w:val="24"/>
              </w:rPr>
            </w:pPr>
            <w:r>
              <w:rPr>
                <w:rFonts w:hint="eastAsia" w:ascii="宋体" w:hAnsi="宋体" w:eastAsia="宋体" w:cs="宋体"/>
                <w:bCs/>
                <w:szCs w:val="24"/>
              </w:rPr>
              <w:t>沉降观测（38+700-40+200）汛前、汛后各1次</w:t>
            </w:r>
          </w:p>
        </w:tc>
        <w:tc>
          <w:tcPr>
            <w:tcW w:w="716" w:type="pct"/>
            <w:vAlign w:val="center"/>
          </w:tcPr>
          <w:p w14:paraId="5850B67D">
            <w:pPr>
              <w:pStyle w:val="6"/>
              <w:ind w:firstLine="0"/>
              <w:rPr>
                <w:rFonts w:hint="eastAsia" w:ascii="宋体" w:hAnsi="宋体" w:eastAsia="宋体" w:cs="宋体"/>
                <w:bCs/>
                <w:szCs w:val="24"/>
              </w:rPr>
            </w:pPr>
          </w:p>
        </w:tc>
      </w:tr>
      <w:tr w14:paraId="1927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358" w:type="pct"/>
            <w:vAlign w:val="center"/>
          </w:tcPr>
          <w:p w14:paraId="49B308BE">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eastAsia="宋体" w:cs="宋体"/>
                <w:kern w:val="0"/>
                <w:sz w:val="24"/>
                <w:szCs w:val="24"/>
                <w:lang w:bidi="ar"/>
              </w:rPr>
              <w:t>3</w:t>
            </w:r>
          </w:p>
        </w:tc>
        <w:tc>
          <w:tcPr>
            <w:tcW w:w="1311" w:type="pct"/>
            <w:vAlign w:val="center"/>
          </w:tcPr>
          <w:p w14:paraId="746340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淮北大堤五河段</w:t>
            </w:r>
          </w:p>
        </w:tc>
        <w:tc>
          <w:tcPr>
            <w:tcW w:w="439" w:type="pct"/>
            <w:vMerge w:val="continue"/>
            <w:vAlign w:val="center"/>
          </w:tcPr>
          <w:p w14:paraId="1EB637DF">
            <w:pPr>
              <w:widowControl/>
              <w:jc w:val="center"/>
              <w:rPr>
                <w:rFonts w:hint="eastAsia" w:ascii="宋体" w:hAnsi="宋体" w:eastAsia="宋体" w:cs="宋体"/>
                <w:kern w:val="0"/>
                <w:sz w:val="24"/>
                <w:szCs w:val="24"/>
              </w:rPr>
            </w:pPr>
          </w:p>
        </w:tc>
        <w:tc>
          <w:tcPr>
            <w:tcW w:w="2175" w:type="pct"/>
            <w:vAlign w:val="center"/>
          </w:tcPr>
          <w:p w14:paraId="4F8A30DD">
            <w:pPr>
              <w:pStyle w:val="6"/>
              <w:ind w:firstLine="0"/>
              <w:rPr>
                <w:rFonts w:hint="eastAsia" w:ascii="宋体" w:hAnsi="宋体" w:eastAsia="宋体" w:cs="宋体"/>
                <w:bCs/>
                <w:szCs w:val="24"/>
              </w:rPr>
            </w:pPr>
            <w:bookmarkStart w:id="55" w:name="OLE_LINK19"/>
            <w:r>
              <w:rPr>
                <w:rFonts w:hint="eastAsia" w:ascii="宋体" w:hAnsi="宋体" w:eastAsia="宋体" w:cs="宋体"/>
                <w:bCs/>
                <w:szCs w:val="24"/>
              </w:rPr>
              <w:t>堤防</w:t>
            </w:r>
            <w:r>
              <w:rPr>
                <w:rFonts w:hint="eastAsia" w:ascii="宋体" w:hAnsi="宋体" w:eastAsia="宋体" w:cs="宋体"/>
                <w:bCs/>
                <w:szCs w:val="24"/>
              </w:rPr>
              <w:t>8处测压管高程校核</w:t>
            </w:r>
            <w:bookmarkEnd w:id="55"/>
          </w:p>
        </w:tc>
        <w:tc>
          <w:tcPr>
            <w:tcW w:w="716" w:type="pct"/>
            <w:vAlign w:val="center"/>
          </w:tcPr>
          <w:p w14:paraId="038179BD">
            <w:pPr>
              <w:pStyle w:val="6"/>
              <w:ind w:firstLine="0"/>
              <w:rPr>
                <w:rFonts w:hint="eastAsia" w:ascii="宋体" w:hAnsi="宋体" w:eastAsia="宋体" w:cs="宋体"/>
                <w:bCs/>
                <w:szCs w:val="24"/>
              </w:rPr>
            </w:pPr>
          </w:p>
        </w:tc>
      </w:tr>
    </w:tbl>
    <w:p w14:paraId="5D986DDA">
      <w:pPr>
        <w:adjustRightInd w:val="0"/>
        <w:snapToGrid w:val="0"/>
        <w:jc w:val="left"/>
        <w:rPr>
          <w:rFonts w:hint="eastAsia" w:ascii="宋体" w:hAnsi="宋体" w:eastAsia="宋体" w:cs="宋体"/>
          <w:b/>
          <w:bCs/>
          <w:sz w:val="24"/>
          <w:szCs w:val="24"/>
        </w:rPr>
        <w:sectPr>
          <w:pgSz w:w="11906" w:h="16838"/>
          <w:pgMar w:top="1701" w:right="1588" w:bottom="1134" w:left="1588" w:header="851" w:footer="992" w:gutter="0"/>
          <w:pgNumType w:fmt="decimal"/>
          <w:cols w:space="720" w:num="1"/>
          <w:docGrid w:type="linesAndChars" w:linePitch="312" w:charSpace="0"/>
        </w:sectPr>
      </w:pPr>
    </w:p>
    <w:p w14:paraId="3BBB2860">
      <w:pPr>
        <w:ind w:firstLine="480" w:firstLineChars="200"/>
        <w:rPr>
          <w:rFonts w:hint="eastAsia" w:ascii="宋体" w:hAnsi="宋体" w:eastAsia="宋体" w:cs="宋体"/>
          <w:sz w:val="24"/>
          <w:szCs w:val="24"/>
        </w:rPr>
      </w:pPr>
      <w:r>
        <w:rPr>
          <w:rFonts w:hint="eastAsia" w:ascii="宋体" w:hAnsi="宋体" w:eastAsia="宋体" w:cs="宋体"/>
          <w:sz w:val="24"/>
          <w:szCs w:val="24"/>
        </w:rPr>
        <w:t>三、监测要求：</w:t>
      </w:r>
    </w:p>
    <w:p w14:paraId="1608BF19">
      <w:pPr>
        <w:widowControl/>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1.大、中、小型水闸沉降监测精度需满足二等水准测量规范要求；水平位移采用视准线方式（活动觇标）进行监测，每一测次应监测两测回，正镜或倒镜两次读数不得超过2.0mm，两测回监测值之差不得超过1.5mm。</w:t>
      </w:r>
    </w:p>
    <w:p w14:paraId="6897DBD9">
      <w:pPr>
        <w:widowControl/>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2.上下游引河断面比例尺，横比1:1000，纵比1:100（需套汇分析）；</w:t>
      </w:r>
    </w:p>
    <w:p w14:paraId="24DA15C2">
      <w:pPr>
        <w:widowControl/>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3.重点堤段地形图比例尺1:1000，平面系统采用2000国家大地坐标系，高程系统采用1985国家高程基准，断面比例尺，横比1:500，纵比1:100，断面间距100米（需进行断面套汇分析）；</w:t>
      </w:r>
    </w:p>
    <w:p w14:paraId="5D818BF7">
      <w:pPr>
        <w:widowControl/>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利用本次实测资料，①自行收集自2021年以来不少于3个测次的大型水闸垂直及水平位移观测数据及上下游引河断面数据；②自行收集自2021年以来不少于2个测次的中小型水闸垂直位移数据；③自行收集自2021年以来不少于3个测次的临北段裂缝垂直位移观测数据；④自行收集自2021年以来不少于2个测次的重点堤段观测资料；⑤利用收集到的成果资料进行水闸垂直及水平位移分析、水闸上下游引河冲淤分析以及重点堤段河势变化分析，为水闸运行、管理、调度及重点堤段治理提供可靠的数据；</w:t>
      </w:r>
    </w:p>
    <w:p w14:paraId="4DE3706D">
      <w:pPr>
        <w:widowControl/>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5.①对缺失或破坏的水闸基准点、工作基点及监测点进行补齐并进行观测。②每个重点堤段须提供2个控制点；</w:t>
      </w:r>
    </w:p>
    <w:p w14:paraId="295CDC71">
      <w:pPr>
        <w:widowControl/>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6.配合协调项目验收工作，配合做好甲方自行开展的观测及观测成果分析技术支撑工作。</w:t>
      </w:r>
    </w:p>
    <w:p w14:paraId="6A81A288">
      <w:pPr>
        <w:widowControl/>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7.所有服务均涉及基准点及工作基点复核的均需进行复核及接测工作。</w:t>
      </w:r>
    </w:p>
    <w:p w14:paraId="0A452030">
      <w:pPr>
        <w:widowControl/>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8.观测任务结束后提交监测资料整编及分析报告。</w:t>
      </w:r>
    </w:p>
    <w:p w14:paraId="18F090AE">
      <w:pPr>
        <w:widowControl/>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水上及临水作业，作业人员必须穿戴好救生衣，不得穿带钉易滑的硬底鞋，每次工作前对所用的救生衣进行检查确保其安全有效，禁止单人独自作业，室外作业时，当风力较大，影响作业安全时，立即停止工作，人员在船上走动或操作时，船只要固定牢靠，船上配备救生圈等救生器具；作业过程中，应加强人员管理，确保人员工作安全，防范安全生产事故，乙方在履行本合同过程中发生的任何工伤或意外事故等，均由乙方负责处理并承担全部费用；若因此给采购人或第三方造成损失，由乙方予以全额赔偿。</w:t>
      </w:r>
    </w:p>
    <w:p w14:paraId="5FEB2260">
      <w:pPr>
        <w:widowControl/>
        <w:adjustRightInd w:val="0"/>
        <w:snapToGrid w:val="0"/>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10.项目实施前，供应商须提供本项目所有从业人员的社会保险（含工伤和医疗）缴纳证明，如无法提供相应证明材料，则须为本项目无社会保险的从业人员购买以下保险（三者任选其一）：雇主责任险或团体意外险或安全生产责任险，其保险费已包含在签约合同价中。</w:t>
      </w:r>
    </w:p>
    <w:p w14:paraId="5A929B6F">
      <w:pPr>
        <w:adjustRightInd w:val="0"/>
        <w:snapToGrid w:val="0"/>
        <w:spacing w:line="560" w:lineRule="exact"/>
        <w:jc w:val="left"/>
        <w:rPr>
          <w:rFonts w:hint="eastAsia" w:ascii="宋体" w:hAnsi="宋体" w:eastAsia="宋体" w:cs="宋体"/>
          <w:b/>
          <w:sz w:val="24"/>
          <w:szCs w:val="18"/>
        </w:rPr>
      </w:pPr>
      <w:r>
        <w:rPr>
          <w:rFonts w:hint="eastAsia" w:ascii="宋体" w:hAnsi="宋体" w:eastAsia="宋体" w:cs="宋体"/>
          <w:b/>
          <w:sz w:val="24"/>
          <w:szCs w:val="18"/>
        </w:rPr>
        <w:t>（四）报价要求</w:t>
      </w:r>
      <w:r>
        <w:rPr>
          <w:rFonts w:hint="eastAsia" w:ascii="宋体" w:hAnsi="宋体" w:eastAsia="宋体" w:cs="宋体"/>
          <w:b/>
          <w:bCs/>
          <w:sz w:val="24"/>
          <w:szCs w:val="24"/>
        </w:rPr>
        <w:t>：</w:t>
      </w:r>
    </w:p>
    <w:p w14:paraId="4561D401">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rPr>
        <w:t>1.1报价清单及报价表应与磋商须知、合同条款、采购需求等文件一起参照阅读。</w:t>
      </w:r>
    </w:p>
    <w:p w14:paraId="550F0CAB">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rPr>
        <w:t>1.2报价应包含履行合同内容而发生的包括但不限于差旅费、人员补助费和成果评审（论证）会议等涉及项目相关的所有费用，以及合同明示或暗示的所有责任、义务和一般风险。</w:t>
      </w:r>
    </w:p>
    <w:p w14:paraId="3D65E1F3">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rPr>
        <w:t>1.3本项目采用</w:t>
      </w:r>
      <w:r>
        <w:rPr>
          <w:rFonts w:hint="eastAsia" w:ascii="宋体" w:hAnsi="宋体" w:eastAsia="宋体" w:cs="宋体"/>
          <w:b/>
          <w:sz w:val="24"/>
          <w:szCs w:val="18"/>
        </w:rPr>
        <w:t>单项总价承包方式</w:t>
      </w:r>
      <w:r>
        <w:rPr>
          <w:rFonts w:hint="eastAsia" w:ascii="宋体" w:hAnsi="宋体" w:eastAsia="宋体" w:cs="宋体"/>
          <w:bCs/>
          <w:sz w:val="24"/>
          <w:szCs w:val="18"/>
        </w:rPr>
        <w:t>。</w:t>
      </w:r>
    </w:p>
    <w:p w14:paraId="0899FB5A">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rPr>
        <w:t>1.4报价表中所有的报价栏均由供应商填报。报价货币为人民币。若供应商对某些项目未填报的，则认为已包括在其它项目的报价内。</w:t>
      </w:r>
    </w:p>
    <w:p w14:paraId="164C5788">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rPr>
        <w:t>1.5报价表中各项目的工作内容和要求的规定详见采购需求有关部分。</w:t>
      </w:r>
    </w:p>
    <w:p w14:paraId="09C6B9DA">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rPr>
        <w:t>1.6供应商应对全部工作内容负责，不得分包、转包。如一经发现上述行为，采购人有权单方面立即终止承包合同，由此产生一切法律责任和经济损失均由供应商承担。</w:t>
      </w:r>
    </w:p>
    <w:p w14:paraId="292B5E0F">
      <w:pP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br w:type="page"/>
      </w:r>
    </w:p>
    <w:p w14:paraId="394F47B0">
      <w:pPr>
        <w:pStyle w:val="21"/>
        <w:spacing w:after="0" w:line="360" w:lineRule="auto"/>
        <w:ind w:firstLine="643" w:firstLineChars="200"/>
        <w:jc w:val="cente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第2包临淮岗</w:t>
      </w:r>
    </w:p>
    <w:p w14:paraId="2CB74A6B">
      <w:pPr>
        <w:pStyle w:val="21"/>
        <w:spacing w:after="0"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（一）项目概况</w:t>
      </w:r>
    </w:p>
    <w:p w14:paraId="4ED1CBD4">
      <w:pPr>
        <w:pStyle w:val="21"/>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临淮岗洪水控制工程是国务院确定的治淮19项骨干工程之一，国家“十五”计划重点项目。工程位于淮河干流中游，集水面积4.22万km</w:t>
      </w:r>
      <w:r>
        <w:rPr>
          <w:rFonts w:hint="eastAsia" w:ascii="宋体" w:hAnsi="宋体" w:eastAsia="宋体" w:cs="宋体"/>
          <w:sz w:val="24"/>
          <w:vertAlign w:val="superscript"/>
          <w:lang w:val="en-US" w:eastAsia="zh-CN"/>
        </w:rPr>
        <w:t>2</w:t>
      </w:r>
      <w:r>
        <w:rPr>
          <w:rFonts w:hint="eastAsia" w:ascii="宋体" w:hAnsi="宋体" w:eastAsia="宋体" w:cs="宋体"/>
          <w:sz w:val="24"/>
          <w:lang w:val="en-US" w:eastAsia="zh-CN"/>
        </w:rPr>
        <w:t>，程总投资22.67亿元。主体工程处于淮河王家坝和正阳关之间，跨霍邱、颍上、阜南三县，主要建筑物包括:主坝8.54km、南副坝8.41km、北副坝60.56km，主坝布置有2000t级临淮岗复线船闸、500t级临淮岗船闸、深孔闸、浅孔闸、姜唐湖进洪闸等五座大型建筑物，南副坝布置有7座小型涵闸，北副坝布置有2座中型闸（张集闸、陶坝闸）和43座小型涵闸。2001年12月2日主体工程正式开工；2007年6月20日工程通过竣工验收并投入运行。</w:t>
      </w:r>
    </w:p>
    <w:p w14:paraId="1BF556F0">
      <w:pPr>
        <w:pStyle w:val="21"/>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本项目实施内容主要包括：临淮岗主坝及水闸位移及河道断面测量，分析报告，水闸及主坝测压管高程复核，观测设施维护费用。具体如下：</w:t>
      </w:r>
    </w:p>
    <w:p w14:paraId="43100D4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（1）姜唐湖进洪闸：大（1）型，垂直位移和水平位移观测各2次（汛前、汛后），垂直52个点，水平38个点，含2个水位尺高程校核。</w:t>
      </w:r>
    </w:p>
    <w:p w14:paraId="52F3BCF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（2）浅孔闸：大（1）型，垂直位移和水平位移观测各2次（汛前、汛后），垂直30个点，水平19个点，含2个水位尺高程校核。</w:t>
      </w:r>
    </w:p>
    <w:p w14:paraId="3ECF710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（3）深孔闸：1.大（1）型，垂直位移和水平位移观测各2次（汛前、汛后），垂直44个点，水平44个点，含2个水位尺高程校核。2.河道断面监测2次（汛前、汛后），共13条。</w:t>
      </w:r>
    </w:p>
    <w:p w14:paraId="516B199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（4）临淮岗船闸：1.500T级，垂直位移和水平位移观测各2次（汛前、汛后），垂直66个点，水平6个点，含2个水位尺高程校核。2.河道断面监测2次（汛前、汛后），共14条。</w:t>
      </w:r>
    </w:p>
    <w:p w14:paraId="6AF7786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（5）城西湖退水闸：1.大（2）型，垂直位移和水平位移观测各2次（汛前、汛后），垂直24个点，水平15个点，含2个水位尺高程校核。2.河道断面监测2次（汛前、汛后），共12条</w:t>
      </w:r>
    </w:p>
    <w:p w14:paraId="465299C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（6）姜唐湖退水闸：大（2）型，垂直位移和水平位移观测各2次（汛前、汛后），垂直15个点，水平17个点，含2个水位尺高程校核。</w:t>
      </w:r>
    </w:p>
    <w:p w14:paraId="59481A4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（7）临淮岗主坝：全长8.54km，垂直位移和水平位移观测各2次（汛前、汛后），垂直82个点，水平82个点。</w:t>
      </w:r>
    </w:p>
    <w:p w14:paraId="20FC9EA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（8）陶坝闸：中型闸，垂直位移2次（汛前、汛后），垂直26个点，2个观测基点。</w:t>
      </w:r>
    </w:p>
    <w:p w14:paraId="213C1D8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（9）张集闸：中型闸，垂直位移和水平位移观测各2次（汛前、汛后），垂直38个点，水平5个点，2个观测基点。</w:t>
      </w:r>
    </w:p>
    <w:p w14:paraId="2F1DB98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（10）分析报告：将我局2次自行观测数据一并处理，编进分析报告。</w:t>
      </w:r>
    </w:p>
    <w:p w14:paraId="2923668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（11）水闸及主坝测压管高程复核（水闸处236支测压管，姜唐湖退水闸6支，张集闸18支）。</w:t>
      </w:r>
    </w:p>
    <w:p w14:paraId="4110053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（12）观测墩拆除重做：浅孔闸北，原工作基点拆除、重新选址修建新工作基点，符合《水闸安全监测技术规范》（SL 768）。</w:t>
      </w:r>
    </w:p>
    <w:p w14:paraId="5D5C7E84">
      <w:pPr>
        <w:pStyle w:val="21"/>
        <w:spacing w:after="0"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二、技术要求</w:t>
      </w:r>
    </w:p>
    <w:p w14:paraId="75F6BFD8">
      <w:pPr>
        <w:pStyle w:val="21"/>
        <w:spacing w:after="0" w:line="360" w:lineRule="auto"/>
        <w:ind w:firstLine="480" w:firstLineChars="200"/>
        <w:rPr>
          <w:rFonts w:hint="eastAsia" w:ascii="宋体" w:hAnsi="宋体" w:eastAsia="宋体" w:cs="宋体"/>
          <w:sz w:val="24"/>
          <w:lang w:val="en-US"/>
        </w:rPr>
      </w:pPr>
      <w:r>
        <w:rPr>
          <w:rFonts w:hint="eastAsia" w:ascii="宋体" w:hAnsi="宋体" w:eastAsia="宋体" w:cs="宋体"/>
          <w:sz w:val="24"/>
        </w:rPr>
        <w:t>凡与本项目有关的国家及行业现行施工标准、施工规范、管理标准以及省市相关部门发布的各项技术验收标准以及相关规定等，均适用于本项目。</w:t>
      </w:r>
    </w:p>
    <w:p w14:paraId="5BB30016">
      <w:pPr>
        <w:pStyle w:val="21"/>
        <w:spacing w:after="0"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1.水闸沉降监测精度需满足二等水准测量规范要求。</w:t>
      </w:r>
    </w:p>
    <w:p w14:paraId="7F9CEEF8">
      <w:pPr>
        <w:pStyle w:val="21"/>
        <w:spacing w:after="0"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2.平面系统采用2000国家大地坐标系，高程系统采用1985国家高程基准。</w:t>
      </w:r>
    </w:p>
    <w:p w14:paraId="53A84F97">
      <w:pPr>
        <w:pStyle w:val="21"/>
        <w:spacing w:after="0"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3.自行收集近几年来不少于3个测次的大型水闸垂直位移观测数据及上下游引河断面数据。</w:t>
      </w:r>
    </w:p>
    <w:p w14:paraId="2AA42FB7">
      <w:pPr>
        <w:pStyle w:val="21"/>
        <w:spacing w:after="0"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4.观测任务结束后提交监测资料整编及分析报告。</w:t>
      </w:r>
    </w:p>
    <w:p w14:paraId="15F8162D">
      <w:pPr>
        <w:pStyle w:val="21"/>
        <w:spacing w:after="0"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5.所有监测服务均包含基准点及工作基点复核工作。</w:t>
      </w:r>
    </w:p>
    <w:p w14:paraId="509E5752">
      <w:pPr>
        <w:adjustRightInd w:val="0"/>
        <w:snapToGrid w:val="0"/>
        <w:spacing w:line="560" w:lineRule="exact"/>
        <w:jc w:val="left"/>
        <w:rPr>
          <w:rFonts w:hint="eastAsia" w:ascii="宋体" w:hAnsi="宋体" w:eastAsia="宋体" w:cs="宋体"/>
          <w:bCs/>
          <w:sz w:val="24"/>
          <w:szCs w:val="18"/>
        </w:rPr>
      </w:pPr>
      <w:r>
        <w:rPr>
          <w:rFonts w:hint="eastAsia" w:ascii="宋体" w:hAnsi="宋体" w:eastAsia="宋体" w:cs="宋体"/>
          <w:color w:val="000000" w:themeColor="text1"/>
          <w:szCs w:val="21"/>
          <w14:textFill>
            <w14:solidFill>
              <w14:schemeClr w14:val="tx1"/>
            </w14:solidFill>
          </w14:textFill>
        </w:rPr>
        <w:br w:type="page"/>
      </w:r>
    </w:p>
    <w:tbl>
      <w:tblPr>
        <w:tblStyle w:val="23"/>
        <w:tblW w:w="95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1128"/>
        <w:gridCol w:w="797"/>
        <w:gridCol w:w="716"/>
        <w:gridCol w:w="919"/>
        <w:gridCol w:w="824"/>
        <w:gridCol w:w="4392"/>
      </w:tblGrid>
      <w:tr w14:paraId="6274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blHeader/>
          <w:jc w:val="center"/>
        </w:trPr>
        <w:tc>
          <w:tcPr>
            <w:tcW w:w="9561" w:type="dxa"/>
            <w:gridSpan w:val="7"/>
            <w:tcBorders>
              <w:top w:val="nil"/>
              <w:left w:val="nil"/>
              <w:bottom w:val="single" w:color="000000" w:sz="4" w:space="0"/>
              <w:right w:val="single" w:color="000000" w:sz="4" w:space="0"/>
            </w:tcBorders>
            <w:shd w:val="clear" w:color="auto" w:fill="FFFFFF"/>
            <w:noWrap/>
            <w:vAlign w:val="center"/>
          </w:tcPr>
          <w:p w14:paraId="2D529A17">
            <w:pPr>
              <w:keepNext w:val="0"/>
              <w:keepLines w:val="0"/>
              <w:widowControl/>
              <w:suppressLineNumbers w:val="0"/>
              <w:spacing w:line="240" w:lineRule="auto"/>
              <w:jc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2026年临淮岗主坝和水闸位移及河道断面测量项目</w:t>
            </w:r>
          </w:p>
        </w:tc>
      </w:tr>
      <w:tr w14:paraId="5174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blHeader/>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3577C">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8D20A">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83274">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D2DC7">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E2847">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A38F8">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4E38A">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8E7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249F8">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2BBBF">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姜唐湖进洪闸</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3CB4F">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09335">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C48FF">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47C30">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599D8">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大（1）型，垂直位移和水平位移观测各2次（汛前、汛后），垂直52个点，水平38个点，含2个水位尺高程校核</w:t>
            </w:r>
          </w:p>
        </w:tc>
      </w:tr>
      <w:tr w14:paraId="646A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219BB">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3482F">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浅孔闸</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AD7C3">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DA9B8">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33918">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BD8CB">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3DD28">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大（1）型，垂直位移和水平位移观测各2次（汛前、汛后），垂直30个点，水平19个点，含2个水位尺高程校核</w:t>
            </w:r>
          </w:p>
        </w:tc>
      </w:tr>
      <w:tr w14:paraId="2A17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A583F">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A581F">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深孔闸</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26849">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14025">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302E2">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57016">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D18DC">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1.大（1）型，垂直位移和水平位移观测各2次（汛前、汛后），垂直44个点，水平44个点，含2个水位尺高程校核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2.河道断面监测2次（汛前、汛后），共13条</w:t>
            </w:r>
          </w:p>
        </w:tc>
      </w:tr>
      <w:tr w14:paraId="1D26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B1D94">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B82C">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临淮岗船闸</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6CC1">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7C0B2">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ACE56">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C14CF">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C77F5">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1.500T级，垂直位移和水平位移观测各2次（汛前、汛后），垂直66个点，水平6个点，含2个水位尺高程校核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2.河道断面监测2次（汛前、汛后），共14条</w:t>
            </w:r>
          </w:p>
        </w:tc>
      </w:tr>
      <w:tr w14:paraId="1618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4C304">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AE6AF">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城西湖退水闸</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1A6CE">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AB67D">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624D4">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D6917">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E8F34">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1.大（2）型，垂直位移和水平位移观测各2次（汛前、汛后），垂直24个点，水平15个点，含2个水位尺高程校核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2.河道断面监测2次（汛前、汛后），共12条</w:t>
            </w:r>
          </w:p>
        </w:tc>
      </w:tr>
      <w:tr w14:paraId="539A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FDC21">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2418B">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姜唐湖退水闸</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9D5EB">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D0DAB">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409AC">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13A09">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90358">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大（2）型，垂直位移和水平位移观测各2次（汛前、汛后），垂直15个点，水平17个点，含2个水位尺高程校核</w:t>
            </w:r>
          </w:p>
        </w:tc>
      </w:tr>
      <w:tr w14:paraId="60E7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9A740">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79FFE">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临淮岗主坝</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7FD7">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21DFF">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C03FB">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0A415">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A06D3">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全长8.54km，垂直位移和水平位移观测各2次（汛前、汛后），垂直82个点，水平82个点</w:t>
            </w:r>
          </w:p>
        </w:tc>
      </w:tr>
      <w:tr w14:paraId="6545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2C465">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F0B26">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陶坝闸</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52219">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BD05">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7A462">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2C9BD">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EE41C">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中型闸，垂直位移2次（汛前、汛后），垂直26个点，2个观测基点</w:t>
            </w:r>
          </w:p>
        </w:tc>
      </w:tr>
      <w:tr w14:paraId="56EF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3B52A">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6C11C">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张集闸</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FA164">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2A892">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DFC7A">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3EEBD">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B0EEE">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中型闸，垂直位移和水平位移观测各2次（汛前、汛后），垂直38个点，水平5个点，2个观测基点</w:t>
            </w:r>
          </w:p>
        </w:tc>
      </w:tr>
      <w:tr w14:paraId="3D3F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78AD">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F2412">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429E5">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32381">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0F8CD">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22C80">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54CE3">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将我局2次自行观测数据一并处理，编进分析报告</w:t>
            </w:r>
          </w:p>
        </w:tc>
      </w:tr>
      <w:tr w14:paraId="73D9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9A27F">
            <w:pPr>
              <w:keepNext w:val="0"/>
              <w:keepLines w:val="0"/>
              <w:widowControl/>
              <w:suppressLineNumbers w:val="0"/>
              <w:spacing w:line="240" w:lineRule="auto"/>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11</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2DF7F">
            <w:pPr>
              <w:keepNext w:val="0"/>
              <w:keepLines w:val="0"/>
              <w:widowControl/>
              <w:suppressLineNumbers w:val="0"/>
              <w:spacing w:line="240" w:lineRule="auto"/>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水闸及主坝测压管高程复核</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3D587">
            <w:pPr>
              <w:keepNext w:val="0"/>
              <w:keepLines w:val="0"/>
              <w:widowControl/>
              <w:suppressLineNumbers w:val="0"/>
              <w:spacing w:line="240" w:lineRule="auto"/>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08D05">
            <w:pPr>
              <w:keepNext w:val="0"/>
              <w:keepLines w:val="0"/>
              <w:widowControl/>
              <w:suppressLineNumbers w:val="0"/>
              <w:spacing w:line="240" w:lineRule="auto"/>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2C10D">
            <w:pPr>
              <w:spacing w:line="240" w:lineRule="auto"/>
              <w:jc w:val="center"/>
              <w:rPr>
                <w:rFonts w:hint="eastAsia" w:ascii="宋体" w:hAnsi="宋体" w:eastAsia="宋体" w:cs="宋体"/>
                <w:i w:val="0"/>
                <w:iCs w:val="0"/>
                <w:color w:val="FF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CFDD4">
            <w:pPr>
              <w:spacing w:line="240" w:lineRule="auto"/>
              <w:jc w:val="center"/>
              <w:rPr>
                <w:rFonts w:hint="eastAsia" w:ascii="宋体" w:hAnsi="宋体" w:eastAsia="宋体" w:cs="宋体"/>
                <w:i w:val="0"/>
                <w:iCs w:val="0"/>
                <w:color w:val="FF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5933C">
            <w:pPr>
              <w:keepNext w:val="0"/>
              <w:keepLines w:val="0"/>
              <w:widowControl/>
              <w:suppressLineNumbers w:val="0"/>
              <w:spacing w:line="240" w:lineRule="auto"/>
              <w:jc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水闸处236支测压管，姜唐湖退水闸6支，张集闸18支</w:t>
            </w:r>
          </w:p>
        </w:tc>
      </w:tr>
      <w:tr w14:paraId="191A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00F8">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88A1E">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观测墩拆除重做</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E63EA">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3242">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AF960">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D08B8">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31C5B">
            <w:pPr>
              <w:keepNext w:val="0"/>
              <w:keepLines w:val="0"/>
              <w:widowControl/>
              <w:suppressLineNumbers w:val="0"/>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浅孔闸北，原工作基点拆除、重新选址修建新工作基点，符合《水闸安全监测技术规范》（SL 768）</w:t>
            </w:r>
          </w:p>
        </w:tc>
      </w:tr>
      <w:tr w14:paraId="05DE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E1438">
            <w:pPr>
              <w:keepNext w:val="0"/>
              <w:keepLines w:val="0"/>
              <w:widowControl/>
              <w:suppressLineNumbers w:val="0"/>
              <w:spacing w:line="240" w:lineRule="auto"/>
              <w:jc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合计（元）</w:t>
            </w:r>
          </w:p>
        </w:tc>
        <w:tc>
          <w:tcPr>
            <w:tcW w:w="7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61144">
            <w:pPr>
              <w:spacing w:line="240" w:lineRule="auto"/>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2658D">
            <w:pPr>
              <w:spacing w:line="240" w:lineRule="auto"/>
              <w:jc w:val="cente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86775">
            <w:pPr>
              <w:spacing w:line="240" w:lineRule="auto"/>
              <w:jc w:val="cente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DF35F">
            <w:pPr>
              <w:spacing w:line="240" w:lineRule="auto"/>
              <w:jc w:val="center"/>
              <w:rPr>
                <w:rFonts w:hint="eastAsia" w:ascii="宋体" w:hAnsi="宋体" w:eastAsia="宋体" w:cs="宋体"/>
                <w:i w:val="0"/>
                <w:iCs w:val="0"/>
                <w:color w:val="000000"/>
                <w:sz w:val="22"/>
                <w:szCs w:val="22"/>
                <w:u w:val="none"/>
              </w:rPr>
            </w:pPr>
          </w:p>
        </w:tc>
        <w:tc>
          <w:tcPr>
            <w:tcW w:w="43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C9FD2">
            <w:pPr>
              <w:spacing w:line="240" w:lineRule="auto"/>
              <w:jc w:val="center"/>
              <w:rPr>
                <w:rFonts w:hint="eastAsia" w:ascii="宋体" w:hAnsi="宋体" w:eastAsia="宋体" w:cs="宋体"/>
                <w:i w:val="0"/>
                <w:iCs w:val="0"/>
                <w:color w:val="000000"/>
                <w:sz w:val="20"/>
                <w:szCs w:val="20"/>
                <w:u w:val="none"/>
              </w:rPr>
            </w:pPr>
          </w:p>
        </w:tc>
      </w:tr>
      <w:tr w14:paraId="40BE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9561"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3CC33">
            <w:pPr>
              <w:keepNext w:val="0"/>
              <w:keepLines w:val="0"/>
              <w:widowControl/>
              <w:suppressLineNumbers w:val="0"/>
              <w:spacing w:line="240" w:lineRule="auto"/>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备注：1.水闸沉降监测精度需满足二等水准测量规范要求。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2.平面系统采用2000国家大地坐标系，高程系统采用1985国家高程基准。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3.自行收集近几年来不少于3个测次的大型水闸垂直位移观测数据及上下游引河断面数据。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4.观测任务结束后提交监测资料整编及分析报告。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5.所有监测服务均包含基准点及工作基点复核工作。</w:t>
            </w:r>
          </w:p>
        </w:tc>
      </w:tr>
    </w:tbl>
    <w:p w14:paraId="34757D8C">
      <w:pPr>
        <w:adjustRightInd w:val="0"/>
        <w:snapToGrid w:val="0"/>
        <w:spacing w:line="560" w:lineRule="exact"/>
        <w:jc w:val="left"/>
        <w:rPr>
          <w:rFonts w:hint="eastAsia" w:ascii="宋体" w:hAnsi="宋体" w:eastAsia="宋体" w:cs="宋体"/>
          <w:b/>
          <w:sz w:val="24"/>
          <w:szCs w:val="18"/>
        </w:rPr>
      </w:pPr>
      <w:r>
        <w:rPr>
          <w:rFonts w:hint="eastAsia" w:ascii="宋体" w:hAnsi="宋体" w:eastAsia="宋体" w:cs="宋体"/>
          <w:b/>
          <w:sz w:val="24"/>
          <w:szCs w:val="18"/>
        </w:rPr>
        <w:t>(四）报价要求</w:t>
      </w:r>
      <w:r>
        <w:rPr>
          <w:rFonts w:hint="eastAsia" w:ascii="宋体" w:hAnsi="宋体" w:eastAsia="宋体" w:cs="宋体"/>
          <w:b/>
          <w:bCs/>
          <w:sz w:val="24"/>
          <w:szCs w:val="24"/>
        </w:rPr>
        <w:t>：</w:t>
      </w:r>
    </w:p>
    <w:p w14:paraId="1A5E2C18">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lang w:val="en-US" w:eastAsia="zh-CN"/>
        </w:rPr>
        <w:t>1.</w:t>
      </w:r>
      <w:r>
        <w:rPr>
          <w:rFonts w:hint="eastAsia" w:ascii="宋体" w:hAnsi="宋体" w:eastAsia="宋体" w:cs="宋体"/>
          <w:bCs/>
          <w:sz w:val="24"/>
          <w:szCs w:val="18"/>
        </w:rPr>
        <w:t>报价清单及报价表应与磋商须知、合同条款、采购需求等文件一起参照阅读。</w:t>
      </w:r>
    </w:p>
    <w:p w14:paraId="29CE4C18">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lang w:val="en-US" w:eastAsia="zh-CN"/>
        </w:rPr>
        <w:t>2.</w:t>
      </w:r>
      <w:r>
        <w:rPr>
          <w:rFonts w:hint="eastAsia" w:ascii="宋体" w:hAnsi="宋体" w:eastAsia="宋体" w:cs="宋体"/>
          <w:bCs/>
          <w:sz w:val="24"/>
          <w:szCs w:val="18"/>
        </w:rPr>
        <w:t>报价应包含履行合同内容而发生的包括但不限于差旅费、人员补助费和成果评审（论证）会议等涉及项目相关的所有费用，以及合同明示或暗示的所有责任、义务和一般风险。</w:t>
      </w:r>
    </w:p>
    <w:p w14:paraId="6A49F11C">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lang w:val="en-US" w:eastAsia="zh-CN"/>
        </w:rPr>
        <w:t>3.</w:t>
      </w:r>
      <w:r>
        <w:rPr>
          <w:rFonts w:hint="eastAsia" w:ascii="宋体" w:hAnsi="宋体" w:eastAsia="宋体" w:cs="宋体"/>
          <w:bCs/>
          <w:sz w:val="24"/>
          <w:szCs w:val="18"/>
        </w:rPr>
        <w:t>本项目采用单项总价承包方式。</w:t>
      </w:r>
    </w:p>
    <w:p w14:paraId="31B3A873">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lang w:val="en-US" w:eastAsia="zh-CN"/>
        </w:rPr>
        <w:t>4.</w:t>
      </w:r>
      <w:r>
        <w:rPr>
          <w:rFonts w:hint="eastAsia" w:ascii="宋体" w:hAnsi="宋体" w:eastAsia="宋体" w:cs="宋体"/>
          <w:bCs/>
          <w:sz w:val="24"/>
          <w:szCs w:val="18"/>
        </w:rPr>
        <w:t>报价表中所有的报价栏均由供应商填报。报价货币为人民币。若供应商对某些项目未填报的，则认为已包括在其它项目的报价内。</w:t>
      </w:r>
    </w:p>
    <w:p w14:paraId="5451FF1F">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lang w:val="en-US" w:eastAsia="zh-CN"/>
        </w:rPr>
        <w:t>5.</w:t>
      </w:r>
      <w:r>
        <w:rPr>
          <w:rFonts w:hint="eastAsia" w:ascii="宋体" w:hAnsi="宋体" w:eastAsia="宋体" w:cs="宋体"/>
          <w:bCs/>
          <w:sz w:val="24"/>
          <w:szCs w:val="18"/>
        </w:rPr>
        <w:t>报价表中各项目的工作内容和要求的规定详见采购需求有关部分。</w:t>
      </w:r>
    </w:p>
    <w:p w14:paraId="68B51CB4">
      <w:pPr>
        <w:adjustRightInd w:val="0"/>
        <w:snapToGrid w:val="0"/>
        <w:spacing w:line="560" w:lineRule="exact"/>
        <w:ind w:firstLine="437"/>
        <w:rPr>
          <w:rFonts w:hint="eastAsia" w:ascii="宋体" w:hAnsi="宋体" w:eastAsia="宋体" w:cs="宋体"/>
          <w:bCs/>
          <w:sz w:val="24"/>
          <w:szCs w:val="18"/>
        </w:rPr>
      </w:pPr>
      <w:r>
        <w:rPr>
          <w:rFonts w:hint="eastAsia" w:ascii="宋体" w:hAnsi="宋体" w:eastAsia="宋体" w:cs="宋体"/>
          <w:bCs/>
          <w:sz w:val="24"/>
          <w:szCs w:val="18"/>
          <w:lang w:val="en-US" w:eastAsia="zh-CN"/>
        </w:rPr>
        <w:t>6.</w:t>
      </w:r>
      <w:r>
        <w:rPr>
          <w:rFonts w:hint="eastAsia" w:ascii="宋体" w:hAnsi="宋体" w:eastAsia="宋体" w:cs="宋体"/>
          <w:bCs/>
          <w:sz w:val="24"/>
          <w:szCs w:val="18"/>
        </w:rPr>
        <w:t>供应商应对全部工作内容负责，不得分包、转包。如一经发现上述行为，采购人有权单方面立即终止承包合同，由此产生一切法律责任和经济损失均由供应商承担。</w:t>
      </w:r>
    </w:p>
    <w:p w14:paraId="071B1A6F">
      <w:pPr>
        <w:spacing w:line="360" w:lineRule="auto"/>
        <w:jc w:val="center"/>
        <w:rPr>
          <w:rFonts w:hint="eastAsia" w:ascii="宋体" w:hAnsi="宋体" w:eastAsia="宋体" w:cs="宋体"/>
          <w:sz w:val="24"/>
        </w:rPr>
      </w:pPr>
      <w:r>
        <w:rPr>
          <w:rFonts w:hint="eastAsia" w:ascii="宋体" w:hAnsi="宋体" w:eastAsia="宋体" w:cs="宋体"/>
          <w:color w:val="000000" w:themeColor="text1"/>
          <w:szCs w:val="21"/>
          <w14:textFill>
            <w14:solidFill>
              <w14:schemeClr w14:val="tx1"/>
            </w14:solidFill>
          </w14:textFill>
        </w:rPr>
        <w:br w:type="page"/>
      </w:r>
    </w:p>
    <w:p w14:paraId="35D1BD29">
      <w:pPr>
        <w:spacing w:line="360" w:lineRule="auto"/>
        <w:jc w:val="center"/>
        <w:rPr>
          <w:rFonts w:hint="eastAsia" w:ascii="宋体" w:hAnsi="宋体" w:eastAsia="宋体" w:cs="宋体"/>
          <w:sz w:val="24"/>
        </w:rPr>
      </w:pPr>
    </w:p>
    <w:p w14:paraId="4A52A782">
      <w:pPr>
        <w:spacing w:line="360" w:lineRule="auto"/>
        <w:jc w:val="center"/>
        <w:outlineLvl w:val="0"/>
        <w:rPr>
          <w:rFonts w:hint="eastAsia" w:ascii="宋体" w:hAnsi="宋体" w:eastAsia="宋体" w:cs="宋体"/>
          <w:b/>
          <w:sz w:val="28"/>
        </w:rPr>
      </w:pPr>
      <w:bookmarkStart w:id="56" w:name="_Toc8668"/>
      <w:r>
        <w:rPr>
          <w:rFonts w:hint="eastAsia" w:ascii="宋体" w:hAnsi="宋体" w:eastAsia="宋体" w:cs="宋体"/>
          <w:b/>
          <w:sz w:val="28"/>
        </w:rPr>
        <w:t>第四章  评审方法和标准</w:t>
      </w:r>
      <w:bookmarkEnd w:id="56"/>
    </w:p>
    <w:p w14:paraId="5FF1095B">
      <w:pPr>
        <w:spacing w:line="360" w:lineRule="auto"/>
        <w:ind w:firstLine="437"/>
        <w:outlineLvl w:val="1"/>
        <w:rPr>
          <w:rFonts w:hint="eastAsia" w:ascii="宋体" w:hAnsi="宋体" w:eastAsia="宋体" w:cs="宋体"/>
          <w:b/>
          <w:sz w:val="24"/>
        </w:rPr>
      </w:pPr>
      <w:bookmarkStart w:id="57" w:name="_Toc12199"/>
      <w:bookmarkStart w:id="58" w:name="_Toc21211"/>
      <w:r>
        <w:rPr>
          <w:rFonts w:hint="eastAsia" w:ascii="宋体" w:hAnsi="宋体" w:eastAsia="宋体" w:cs="宋体"/>
          <w:b/>
          <w:sz w:val="24"/>
        </w:rPr>
        <w:t>一、总则</w:t>
      </w:r>
      <w:bookmarkEnd w:id="57"/>
      <w:bookmarkEnd w:id="58"/>
    </w:p>
    <w:p w14:paraId="3D00CDD0">
      <w:pPr>
        <w:spacing w:line="360" w:lineRule="auto"/>
        <w:ind w:firstLine="435"/>
        <w:rPr>
          <w:rFonts w:hint="eastAsia" w:ascii="宋体" w:hAnsi="宋体" w:eastAsia="宋体" w:cs="宋体"/>
          <w:sz w:val="24"/>
        </w:rPr>
      </w:pPr>
      <w:r>
        <w:rPr>
          <w:rFonts w:hint="eastAsia" w:ascii="宋体" w:hAnsi="宋体" w:eastAsia="宋体" w:cs="宋体"/>
          <w:sz w:val="24"/>
        </w:rPr>
        <w:t>本项目将按照磋商文件第二章 供应商须知的相关要求及本章的规定评审。</w:t>
      </w:r>
    </w:p>
    <w:p w14:paraId="62E471A9">
      <w:pPr>
        <w:spacing w:line="360" w:lineRule="auto"/>
        <w:ind w:firstLine="437"/>
        <w:outlineLvl w:val="1"/>
        <w:rPr>
          <w:rFonts w:hint="eastAsia" w:ascii="宋体" w:hAnsi="宋体" w:eastAsia="宋体" w:cs="宋体"/>
          <w:b/>
          <w:sz w:val="24"/>
        </w:rPr>
      </w:pPr>
      <w:bookmarkStart w:id="59" w:name="_Toc16885"/>
      <w:bookmarkStart w:id="60" w:name="_Toc13039"/>
      <w:r>
        <w:rPr>
          <w:rFonts w:hint="eastAsia" w:ascii="宋体" w:hAnsi="宋体" w:eastAsia="宋体" w:cs="宋体"/>
          <w:b/>
          <w:sz w:val="24"/>
        </w:rPr>
        <w:t>二、评审方法</w:t>
      </w:r>
      <w:bookmarkEnd w:id="59"/>
      <w:bookmarkEnd w:id="60"/>
    </w:p>
    <w:p w14:paraId="70E95D13">
      <w:pPr>
        <w:spacing w:line="360" w:lineRule="auto"/>
        <w:ind w:firstLine="435"/>
        <w:outlineLvl w:val="2"/>
        <w:rPr>
          <w:rFonts w:hint="eastAsia" w:ascii="宋体" w:hAnsi="宋体" w:eastAsia="宋体" w:cs="宋体"/>
          <w:sz w:val="24"/>
        </w:rPr>
      </w:pPr>
      <w:r>
        <w:rPr>
          <w:rFonts w:hint="eastAsia" w:ascii="宋体" w:hAnsi="宋体" w:eastAsia="宋体" w:cs="宋体"/>
          <w:sz w:val="24"/>
        </w:rPr>
        <w:t>2.1初审</w:t>
      </w:r>
    </w:p>
    <w:p w14:paraId="43A48555">
      <w:pPr>
        <w:spacing w:line="360" w:lineRule="auto"/>
        <w:ind w:firstLine="435"/>
        <w:rPr>
          <w:rFonts w:hint="eastAsia" w:ascii="宋体" w:hAnsi="宋体" w:eastAsia="宋体" w:cs="宋体"/>
          <w:sz w:val="24"/>
        </w:rPr>
      </w:pPr>
      <w:r>
        <w:rPr>
          <w:rFonts w:hint="eastAsia" w:ascii="宋体" w:hAnsi="宋体" w:eastAsia="宋体" w:cs="宋体"/>
          <w:sz w:val="24"/>
        </w:rPr>
        <w:t>磋商小组对供应商的响应文件进行初审，以确定其是否满足磋商文件的实质性要求。初审表如下：</w:t>
      </w:r>
    </w:p>
    <w:tbl>
      <w:tblPr>
        <w:tblStyle w:val="23"/>
        <w:tblW w:w="54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507"/>
        <w:gridCol w:w="5069"/>
        <w:gridCol w:w="2965"/>
      </w:tblGrid>
      <w:tr w14:paraId="0D4E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99BE938">
            <w:pPr>
              <w:jc w:val="center"/>
              <w:rPr>
                <w:rFonts w:hint="eastAsia" w:ascii="宋体" w:hAnsi="宋体" w:eastAsia="宋体" w:cs="宋体"/>
                <w:szCs w:val="21"/>
              </w:rPr>
            </w:pPr>
            <w:r>
              <w:rPr>
                <w:rFonts w:hint="eastAsia" w:ascii="宋体" w:hAnsi="宋体" w:eastAsia="宋体" w:cs="宋体"/>
                <w:b/>
                <w:bCs/>
                <w:sz w:val="28"/>
                <w:szCs w:val="28"/>
              </w:rPr>
              <w:t>初审表</w:t>
            </w:r>
          </w:p>
        </w:tc>
      </w:tr>
      <w:tr w14:paraId="7889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7" w:type="pct"/>
            <w:tcBorders>
              <w:bottom w:val="single" w:color="auto" w:sz="4" w:space="0"/>
            </w:tcBorders>
            <w:vAlign w:val="center"/>
          </w:tcPr>
          <w:p w14:paraId="23189A28">
            <w:pPr>
              <w:rPr>
                <w:rFonts w:hint="eastAsia" w:ascii="宋体" w:hAnsi="宋体" w:eastAsia="宋体" w:cs="宋体"/>
                <w:szCs w:val="21"/>
              </w:rPr>
            </w:pPr>
            <w:r>
              <w:rPr>
                <w:rFonts w:hint="eastAsia" w:ascii="宋体" w:hAnsi="宋体" w:eastAsia="宋体" w:cs="宋体"/>
                <w:szCs w:val="21"/>
              </w:rPr>
              <w:t>序号</w:t>
            </w:r>
          </w:p>
        </w:tc>
        <w:tc>
          <w:tcPr>
            <w:tcW w:w="735" w:type="pct"/>
            <w:tcBorders>
              <w:bottom w:val="single" w:color="auto" w:sz="4" w:space="0"/>
            </w:tcBorders>
            <w:vAlign w:val="center"/>
          </w:tcPr>
          <w:p w14:paraId="01DEC641">
            <w:pPr>
              <w:rPr>
                <w:rFonts w:hint="eastAsia" w:ascii="宋体" w:hAnsi="宋体" w:eastAsia="宋体" w:cs="宋体"/>
                <w:szCs w:val="21"/>
              </w:rPr>
            </w:pPr>
            <w:r>
              <w:rPr>
                <w:rFonts w:hint="eastAsia" w:ascii="宋体" w:hAnsi="宋体" w:eastAsia="宋体" w:cs="宋体"/>
                <w:szCs w:val="21"/>
              </w:rPr>
              <w:t>审查指标</w:t>
            </w:r>
          </w:p>
        </w:tc>
        <w:tc>
          <w:tcPr>
            <w:tcW w:w="2472" w:type="pct"/>
            <w:tcBorders>
              <w:bottom w:val="single" w:color="auto" w:sz="4" w:space="0"/>
            </w:tcBorders>
            <w:vAlign w:val="center"/>
          </w:tcPr>
          <w:p w14:paraId="5A68574C">
            <w:pPr>
              <w:rPr>
                <w:rFonts w:hint="eastAsia" w:ascii="宋体" w:hAnsi="宋体" w:eastAsia="宋体" w:cs="宋体"/>
                <w:szCs w:val="21"/>
              </w:rPr>
            </w:pPr>
            <w:r>
              <w:rPr>
                <w:rFonts w:hint="eastAsia" w:ascii="宋体" w:hAnsi="宋体" w:eastAsia="宋体" w:cs="宋体"/>
                <w:szCs w:val="21"/>
              </w:rPr>
              <w:t>审查标准</w:t>
            </w:r>
          </w:p>
        </w:tc>
        <w:tc>
          <w:tcPr>
            <w:tcW w:w="1444" w:type="pct"/>
            <w:tcBorders>
              <w:bottom w:val="single" w:color="auto" w:sz="4" w:space="0"/>
            </w:tcBorders>
            <w:vAlign w:val="center"/>
          </w:tcPr>
          <w:p w14:paraId="6FE9D47A">
            <w:pPr>
              <w:rPr>
                <w:rFonts w:hint="eastAsia" w:ascii="宋体" w:hAnsi="宋体" w:eastAsia="宋体" w:cs="宋体"/>
                <w:szCs w:val="21"/>
              </w:rPr>
            </w:pPr>
            <w:r>
              <w:rPr>
                <w:rFonts w:hint="eastAsia" w:ascii="宋体" w:hAnsi="宋体" w:eastAsia="宋体" w:cs="宋体"/>
                <w:szCs w:val="21"/>
              </w:rPr>
              <w:t>格式要求</w:t>
            </w:r>
          </w:p>
        </w:tc>
      </w:tr>
      <w:tr w14:paraId="0CAE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47" w:type="pct"/>
            <w:tcBorders>
              <w:bottom w:val="single" w:color="auto" w:sz="4" w:space="0"/>
            </w:tcBorders>
            <w:vAlign w:val="center"/>
          </w:tcPr>
          <w:p w14:paraId="44E7F242">
            <w:pPr>
              <w:rPr>
                <w:rFonts w:hint="eastAsia" w:ascii="宋体" w:hAnsi="宋体" w:eastAsia="宋体" w:cs="宋体"/>
                <w:szCs w:val="21"/>
              </w:rPr>
            </w:pPr>
            <w:r>
              <w:rPr>
                <w:rFonts w:hint="eastAsia" w:ascii="宋体" w:hAnsi="宋体" w:eastAsia="宋体" w:cs="宋体"/>
                <w:szCs w:val="21"/>
              </w:rPr>
              <w:t>1</w:t>
            </w:r>
          </w:p>
        </w:tc>
        <w:tc>
          <w:tcPr>
            <w:tcW w:w="735" w:type="pct"/>
            <w:tcBorders>
              <w:bottom w:val="single" w:color="auto" w:sz="4" w:space="0"/>
            </w:tcBorders>
            <w:vAlign w:val="center"/>
          </w:tcPr>
          <w:p w14:paraId="1145AF9C">
            <w:pPr>
              <w:rPr>
                <w:rFonts w:hint="eastAsia" w:ascii="宋体" w:hAnsi="宋体" w:eastAsia="宋体" w:cs="宋体"/>
                <w:szCs w:val="21"/>
              </w:rPr>
            </w:pPr>
            <w:r>
              <w:rPr>
                <w:rFonts w:hint="eastAsia" w:ascii="宋体" w:hAnsi="宋体" w:eastAsia="宋体" w:cs="宋体"/>
                <w:szCs w:val="21"/>
              </w:rPr>
              <w:t>营业执照等证明文件</w:t>
            </w:r>
          </w:p>
        </w:tc>
        <w:tc>
          <w:tcPr>
            <w:tcW w:w="2472" w:type="pct"/>
            <w:tcBorders>
              <w:bottom w:val="single" w:color="auto" w:sz="4" w:space="0"/>
            </w:tcBorders>
            <w:vAlign w:val="center"/>
          </w:tcPr>
          <w:p w14:paraId="396EC126">
            <w:pPr>
              <w:rPr>
                <w:rFonts w:hint="eastAsia" w:ascii="宋体" w:hAnsi="宋体" w:eastAsia="宋体" w:cs="宋体"/>
                <w:szCs w:val="21"/>
              </w:rPr>
            </w:pPr>
            <w:r>
              <w:rPr>
                <w:rFonts w:hint="eastAsia" w:ascii="宋体" w:hAnsi="宋体" w:eastAsia="宋体" w:cs="宋体"/>
                <w:szCs w:val="21"/>
              </w:rPr>
              <w:t>（1）供应商为企业（包括合伙企业）的，应提供有效的营业执照；</w:t>
            </w:r>
          </w:p>
          <w:p w14:paraId="68F4A199">
            <w:pPr>
              <w:rPr>
                <w:rFonts w:hint="eastAsia" w:ascii="宋体" w:hAnsi="宋体" w:eastAsia="宋体" w:cs="宋体"/>
                <w:szCs w:val="21"/>
              </w:rPr>
            </w:pPr>
            <w:r>
              <w:rPr>
                <w:rFonts w:hint="eastAsia" w:ascii="宋体" w:hAnsi="宋体" w:eastAsia="宋体" w:cs="宋体"/>
                <w:szCs w:val="21"/>
              </w:rPr>
              <w:t>（2）供应商为事业单位的，应提供有效的事业单位法人证书；</w:t>
            </w:r>
          </w:p>
          <w:p w14:paraId="0BE85FC6">
            <w:pPr>
              <w:rPr>
                <w:rFonts w:hint="eastAsia" w:ascii="宋体" w:hAnsi="宋体" w:eastAsia="宋体" w:cs="宋体"/>
                <w:szCs w:val="21"/>
              </w:rPr>
            </w:pPr>
            <w:r>
              <w:rPr>
                <w:rFonts w:hint="eastAsia" w:ascii="宋体" w:hAnsi="宋体" w:eastAsia="宋体" w:cs="宋体"/>
                <w:szCs w:val="21"/>
              </w:rPr>
              <w:t>（3）供应商是非企业机构的，应提供有效的执业许可证或登记证书等证明文件；</w:t>
            </w:r>
          </w:p>
        </w:tc>
        <w:tc>
          <w:tcPr>
            <w:tcW w:w="1444" w:type="pct"/>
            <w:vAlign w:val="center"/>
          </w:tcPr>
          <w:p w14:paraId="6CAEE5B3">
            <w:pPr>
              <w:rPr>
                <w:rFonts w:hint="eastAsia" w:ascii="宋体" w:hAnsi="宋体" w:eastAsia="宋体" w:cs="宋体"/>
                <w:szCs w:val="21"/>
              </w:rPr>
            </w:pPr>
            <w:r>
              <w:rPr>
                <w:rFonts w:hint="eastAsia" w:ascii="宋体" w:hAnsi="宋体" w:eastAsia="宋体" w:cs="宋体"/>
                <w:szCs w:val="21"/>
              </w:rPr>
              <w:t>提供材料扫描件或电子证照，应完整的体现出材料或电子证照全部内容。</w:t>
            </w:r>
          </w:p>
        </w:tc>
      </w:tr>
      <w:tr w14:paraId="15B6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47" w:type="pct"/>
            <w:tcBorders>
              <w:bottom w:val="single" w:color="auto" w:sz="4" w:space="0"/>
            </w:tcBorders>
            <w:vAlign w:val="center"/>
          </w:tcPr>
          <w:p w14:paraId="2FFD4BDF">
            <w:pPr>
              <w:rPr>
                <w:rFonts w:hint="eastAsia" w:ascii="宋体" w:hAnsi="宋体" w:eastAsia="宋体" w:cs="宋体"/>
                <w:szCs w:val="21"/>
              </w:rPr>
            </w:pPr>
            <w:r>
              <w:rPr>
                <w:rFonts w:hint="eastAsia" w:ascii="宋体" w:hAnsi="宋体" w:eastAsia="宋体" w:cs="宋体"/>
                <w:szCs w:val="21"/>
              </w:rPr>
              <w:t>2</w:t>
            </w:r>
          </w:p>
        </w:tc>
        <w:tc>
          <w:tcPr>
            <w:tcW w:w="735" w:type="pct"/>
            <w:tcBorders>
              <w:bottom w:val="single" w:color="auto" w:sz="4" w:space="0"/>
            </w:tcBorders>
            <w:vAlign w:val="center"/>
          </w:tcPr>
          <w:p w14:paraId="2354704C">
            <w:pPr>
              <w:rPr>
                <w:rFonts w:hint="eastAsia" w:ascii="宋体" w:hAnsi="宋体" w:eastAsia="宋体" w:cs="宋体"/>
                <w:szCs w:val="21"/>
              </w:rPr>
            </w:pPr>
            <w:r>
              <w:rPr>
                <w:rFonts w:hint="eastAsia" w:ascii="宋体" w:hAnsi="宋体" w:eastAsia="宋体" w:cs="宋体"/>
                <w:szCs w:val="21"/>
              </w:rPr>
              <w:t>供应商资格声明书</w:t>
            </w:r>
          </w:p>
        </w:tc>
        <w:tc>
          <w:tcPr>
            <w:tcW w:w="2472" w:type="pct"/>
            <w:tcBorders>
              <w:bottom w:val="single" w:color="auto" w:sz="4" w:space="0"/>
            </w:tcBorders>
            <w:vAlign w:val="center"/>
          </w:tcPr>
          <w:p w14:paraId="7964D59E">
            <w:pPr>
              <w:rPr>
                <w:rFonts w:hint="eastAsia" w:ascii="宋体" w:hAnsi="宋体" w:eastAsia="宋体" w:cs="宋体"/>
                <w:szCs w:val="21"/>
              </w:rPr>
            </w:pPr>
            <w:r>
              <w:rPr>
                <w:rFonts w:hint="eastAsia" w:ascii="宋体" w:hAnsi="宋体" w:eastAsia="宋体" w:cs="宋体"/>
                <w:szCs w:val="21"/>
              </w:rPr>
              <w:t>提供符合磋商文件要求的《供应商资格声明书》。</w:t>
            </w:r>
          </w:p>
        </w:tc>
        <w:tc>
          <w:tcPr>
            <w:tcW w:w="1444" w:type="pct"/>
            <w:vAlign w:val="center"/>
          </w:tcPr>
          <w:p w14:paraId="2C640F94">
            <w:pPr>
              <w:rPr>
                <w:rFonts w:hint="eastAsia" w:ascii="宋体" w:hAnsi="宋体" w:eastAsia="宋体" w:cs="宋体"/>
                <w:szCs w:val="21"/>
              </w:rPr>
            </w:pPr>
            <w:r>
              <w:rPr>
                <w:rFonts w:hint="eastAsia" w:ascii="宋体" w:hAnsi="宋体" w:eastAsia="宋体" w:cs="宋体"/>
                <w:szCs w:val="21"/>
              </w:rPr>
              <w:t>详见第六章响应文件格式。</w:t>
            </w:r>
          </w:p>
        </w:tc>
      </w:tr>
      <w:tr w14:paraId="5B85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tcBorders>
              <w:bottom w:val="single" w:color="auto" w:sz="4" w:space="0"/>
            </w:tcBorders>
            <w:vAlign w:val="center"/>
          </w:tcPr>
          <w:p w14:paraId="0FA5165F">
            <w:pPr>
              <w:rPr>
                <w:rFonts w:hint="eastAsia" w:ascii="宋体" w:hAnsi="宋体" w:eastAsia="宋体" w:cs="宋体"/>
                <w:szCs w:val="21"/>
              </w:rPr>
            </w:pPr>
            <w:r>
              <w:rPr>
                <w:rFonts w:hint="eastAsia" w:ascii="宋体" w:hAnsi="宋体" w:eastAsia="宋体" w:cs="宋体"/>
                <w:szCs w:val="21"/>
              </w:rPr>
              <w:t>3</w:t>
            </w:r>
          </w:p>
        </w:tc>
        <w:tc>
          <w:tcPr>
            <w:tcW w:w="735" w:type="pct"/>
            <w:tcBorders>
              <w:bottom w:val="single" w:color="auto" w:sz="4" w:space="0"/>
            </w:tcBorders>
            <w:vAlign w:val="center"/>
          </w:tcPr>
          <w:p w14:paraId="4B57E73E">
            <w:pPr>
              <w:rPr>
                <w:rFonts w:hint="eastAsia" w:ascii="宋体" w:hAnsi="宋体" w:eastAsia="宋体" w:cs="宋体"/>
                <w:szCs w:val="21"/>
              </w:rPr>
            </w:pPr>
            <w:r>
              <w:rPr>
                <w:rFonts w:hint="eastAsia" w:ascii="宋体" w:hAnsi="宋体" w:eastAsia="宋体" w:cs="宋体"/>
                <w:szCs w:val="21"/>
              </w:rPr>
              <w:t>供应商信用记录</w:t>
            </w:r>
          </w:p>
        </w:tc>
        <w:tc>
          <w:tcPr>
            <w:tcW w:w="2472" w:type="pct"/>
            <w:tcBorders>
              <w:bottom w:val="single" w:color="auto" w:sz="4" w:space="0"/>
            </w:tcBorders>
            <w:vAlign w:val="center"/>
          </w:tcPr>
          <w:p w14:paraId="064F203A">
            <w:pPr>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lang w:val="zh-CN"/>
              </w:rPr>
              <w:t>不得存在</w:t>
            </w:r>
            <w:r>
              <w:rPr>
                <w:rFonts w:hint="eastAsia" w:ascii="宋体" w:hAnsi="宋体" w:eastAsia="宋体" w:cs="宋体"/>
                <w:szCs w:val="21"/>
              </w:rPr>
              <w:t>供应商</w:t>
            </w:r>
            <w:r>
              <w:rPr>
                <w:rFonts w:hint="eastAsia" w:ascii="宋体" w:hAnsi="宋体" w:eastAsia="宋体" w:cs="宋体"/>
                <w:szCs w:val="21"/>
                <w:lang w:val="zh-CN"/>
              </w:rPr>
              <w:t>须知正文第1</w:t>
            </w:r>
            <w:r>
              <w:rPr>
                <w:rFonts w:hint="eastAsia" w:ascii="宋体" w:hAnsi="宋体" w:eastAsia="宋体" w:cs="宋体"/>
                <w:szCs w:val="21"/>
              </w:rPr>
              <w:t>4</w:t>
            </w:r>
            <w:r>
              <w:rPr>
                <w:rFonts w:hint="eastAsia" w:ascii="宋体" w:hAnsi="宋体" w:eastAsia="宋体" w:cs="宋体"/>
                <w:szCs w:val="21"/>
                <w:lang w:val="zh-CN"/>
              </w:rPr>
              <w:t>.</w:t>
            </w:r>
            <w:r>
              <w:rPr>
                <w:rFonts w:hint="eastAsia" w:ascii="宋体" w:hAnsi="宋体" w:eastAsia="宋体" w:cs="宋体"/>
                <w:szCs w:val="21"/>
              </w:rPr>
              <w:t>3条中的不良信用记录情形</w:t>
            </w:r>
          </w:p>
        </w:tc>
        <w:tc>
          <w:tcPr>
            <w:tcW w:w="1444" w:type="pct"/>
            <w:tcBorders>
              <w:bottom w:val="single" w:color="auto" w:sz="4" w:space="0"/>
            </w:tcBorders>
            <w:vAlign w:val="center"/>
          </w:tcPr>
          <w:p w14:paraId="2493F75C">
            <w:pPr>
              <w:rPr>
                <w:rFonts w:hint="eastAsia" w:ascii="宋体" w:hAnsi="宋体" w:eastAsia="宋体" w:cs="宋体"/>
                <w:szCs w:val="21"/>
              </w:rPr>
            </w:pPr>
            <w:r>
              <w:rPr>
                <w:rFonts w:hint="eastAsia" w:ascii="宋体" w:hAnsi="宋体" w:eastAsia="宋体" w:cs="宋体"/>
                <w:szCs w:val="21"/>
              </w:rPr>
              <w:t>无须供应商提供，由采购人或采购代理机构查询。</w:t>
            </w:r>
          </w:p>
        </w:tc>
      </w:tr>
      <w:tr w14:paraId="2EBD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Align w:val="center"/>
          </w:tcPr>
          <w:p w14:paraId="1EBA9E2B">
            <w:pP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735" w:type="pct"/>
            <w:vAlign w:val="center"/>
          </w:tcPr>
          <w:p w14:paraId="785297D5">
            <w:pPr>
              <w:rPr>
                <w:rFonts w:hint="eastAsia" w:ascii="宋体" w:hAnsi="宋体" w:eastAsia="宋体" w:cs="宋体"/>
                <w:szCs w:val="21"/>
              </w:rPr>
            </w:pPr>
            <w:r>
              <w:rPr>
                <w:rFonts w:hint="eastAsia" w:ascii="宋体" w:hAnsi="宋体" w:eastAsia="宋体" w:cs="宋体"/>
                <w:szCs w:val="21"/>
              </w:rPr>
              <w:t>供应商其他特定资格要求</w:t>
            </w:r>
          </w:p>
        </w:tc>
        <w:tc>
          <w:tcPr>
            <w:tcW w:w="2472" w:type="pct"/>
            <w:vAlign w:val="center"/>
          </w:tcPr>
          <w:p w14:paraId="1397B9C6">
            <w:pPr>
              <w:rPr>
                <w:rFonts w:hint="eastAsia" w:ascii="宋体" w:hAnsi="宋体" w:eastAsia="宋体" w:cs="宋体"/>
                <w:szCs w:val="21"/>
              </w:rPr>
            </w:pPr>
            <w:r>
              <w:rPr>
                <w:rFonts w:hint="eastAsia" w:ascii="宋体" w:hAnsi="宋体" w:eastAsia="宋体" w:cs="宋体"/>
                <w:szCs w:val="21"/>
              </w:rPr>
              <w:t>如有，见第一章《磋商邀请》</w:t>
            </w:r>
          </w:p>
        </w:tc>
        <w:tc>
          <w:tcPr>
            <w:tcW w:w="1444" w:type="pct"/>
            <w:vAlign w:val="center"/>
          </w:tcPr>
          <w:p w14:paraId="3EBE89EA">
            <w:pPr>
              <w:rPr>
                <w:rFonts w:hint="eastAsia" w:ascii="宋体" w:hAnsi="宋体" w:eastAsia="宋体" w:cs="宋体"/>
                <w:szCs w:val="21"/>
              </w:rPr>
            </w:pPr>
            <w:r>
              <w:rPr>
                <w:rFonts w:hint="eastAsia" w:ascii="宋体" w:hAnsi="宋体" w:eastAsia="宋体" w:cs="宋体"/>
                <w:szCs w:val="21"/>
              </w:rPr>
              <w:t>提供材料扫描件或电子证照，应完整的体现出材料或电子证照全部内容。</w:t>
            </w:r>
          </w:p>
        </w:tc>
      </w:tr>
      <w:tr w14:paraId="4FB2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Align w:val="center"/>
          </w:tcPr>
          <w:p w14:paraId="401DF1D6">
            <w:pP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735" w:type="pct"/>
            <w:vAlign w:val="center"/>
          </w:tcPr>
          <w:p w14:paraId="57D3853E">
            <w:pPr>
              <w:rPr>
                <w:rFonts w:hint="eastAsia" w:ascii="宋体" w:hAnsi="宋体" w:eastAsia="宋体" w:cs="宋体"/>
                <w:szCs w:val="21"/>
              </w:rPr>
            </w:pPr>
            <w:r>
              <w:rPr>
                <w:rFonts w:hint="eastAsia" w:ascii="宋体" w:hAnsi="宋体" w:eastAsia="宋体" w:cs="宋体"/>
                <w:szCs w:val="21"/>
              </w:rPr>
              <w:t>磋商响应函</w:t>
            </w:r>
          </w:p>
        </w:tc>
        <w:tc>
          <w:tcPr>
            <w:tcW w:w="2472" w:type="pct"/>
            <w:vAlign w:val="center"/>
          </w:tcPr>
          <w:p w14:paraId="68AB87F1">
            <w:pPr>
              <w:rPr>
                <w:rFonts w:hint="eastAsia" w:ascii="宋体" w:hAnsi="宋体" w:eastAsia="宋体" w:cs="宋体"/>
                <w:szCs w:val="21"/>
              </w:rPr>
            </w:pPr>
            <w:r>
              <w:rPr>
                <w:rFonts w:hint="eastAsia" w:ascii="宋体" w:hAnsi="宋体" w:eastAsia="宋体" w:cs="宋体"/>
                <w:szCs w:val="21"/>
              </w:rPr>
              <w:t>格式、填写要求符合磋商文件规定并加盖供应商电子签章</w:t>
            </w:r>
          </w:p>
        </w:tc>
        <w:tc>
          <w:tcPr>
            <w:tcW w:w="1444" w:type="pct"/>
            <w:vAlign w:val="center"/>
          </w:tcPr>
          <w:p w14:paraId="178B2263">
            <w:pPr>
              <w:rPr>
                <w:rFonts w:hint="eastAsia" w:ascii="宋体" w:hAnsi="宋体" w:eastAsia="宋体" w:cs="宋体"/>
                <w:szCs w:val="21"/>
              </w:rPr>
            </w:pPr>
            <w:r>
              <w:rPr>
                <w:rFonts w:hint="eastAsia" w:ascii="宋体" w:hAnsi="宋体" w:eastAsia="宋体" w:cs="宋体"/>
                <w:szCs w:val="21"/>
              </w:rPr>
              <w:t>详见第六章响应文件格式。</w:t>
            </w:r>
          </w:p>
        </w:tc>
      </w:tr>
      <w:tr w14:paraId="23E8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Align w:val="center"/>
          </w:tcPr>
          <w:p w14:paraId="1ECBE0B4">
            <w:pP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735" w:type="pct"/>
            <w:vAlign w:val="center"/>
          </w:tcPr>
          <w:p w14:paraId="0E782E23">
            <w:pPr>
              <w:rPr>
                <w:rFonts w:hint="eastAsia" w:ascii="宋体" w:hAnsi="宋体" w:eastAsia="宋体" w:cs="宋体"/>
                <w:szCs w:val="21"/>
              </w:rPr>
            </w:pPr>
            <w:r>
              <w:rPr>
                <w:rFonts w:hint="eastAsia" w:ascii="宋体" w:hAnsi="宋体" w:eastAsia="宋体" w:cs="宋体"/>
                <w:szCs w:val="21"/>
              </w:rPr>
              <w:t>授权书</w:t>
            </w:r>
          </w:p>
        </w:tc>
        <w:tc>
          <w:tcPr>
            <w:tcW w:w="2472" w:type="pct"/>
            <w:vAlign w:val="center"/>
          </w:tcPr>
          <w:p w14:paraId="338EB8E7">
            <w:pPr>
              <w:rPr>
                <w:rFonts w:hint="eastAsia" w:ascii="宋体" w:hAnsi="宋体" w:eastAsia="宋体" w:cs="宋体"/>
                <w:szCs w:val="21"/>
              </w:rPr>
            </w:pPr>
            <w:r>
              <w:rPr>
                <w:rFonts w:hint="eastAsia" w:ascii="宋体" w:hAnsi="宋体" w:eastAsia="宋体" w:cs="宋体"/>
                <w:szCs w:val="21"/>
              </w:rPr>
              <w:t>格式、填写要求符合磋商文件规定并加盖供应商电子签章</w:t>
            </w:r>
          </w:p>
        </w:tc>
        <w:tc>
          <w:tcPr>
            <w:tcW w:w="1444" w:type="pct"/>
            <w:vAlign w:val="center"/>
          </w:tcPr>
          <w:p w14:paraId="055834A3">
            <w:pPr>
              <w:rPr>
                <w:rFonts w:hint="eastAsia" w:ascii="宋体" w:hAnsi="宋体" w:eastAsia="宋体" w:cs="宋体"/>
                <w:szCs w:val="21"/>
              </w:rPr>
            </w:pPr>
            <w:r>
              <w:rPr>
                <w:rFonts w:hint="eastAsia" w:ascii="宋体" w:hAnsi="宋体" w:eastAsia="宋体" w:cs="宋体"/>
                <w:szCs w:val="21"/>
              </w:rPr>
              <w:t>法定代表人参加磋商的无需此件，提供身份证明即可。详见第六章响应文件格式。</w:t>
            </w:r>
          </w:p>
        </w:tc>
      </w:tr>
      <w:tr w14:paraId="6EB2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Align w:val="center"/>
          </w:tcPr>
          <w:p w14:paraId="1739A9C7">
            <w:pP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735" w:type="pct"/>
            <w:vAlign w:val="center"/>
          </w:tcPr>
          <w:p w14:paraId="1A32F0FE">
            <w:pPr>
              <w:rPr>
                <w:rFonts w:hint="eastAsia" w:ascii="宋体" w:hAnsi="宋体" w:eastAsia="宋体" w:cs="宋体"/>
                <w:szCs w:val="21"/>
              </w:rPr>
            </w:pPr>
            <w:r>
              <w:rPr>
                <w:rFonts w:hint="eastAsia" w:ascii="宋体" w:hAnsi="宋体" w:eastAsia="宋体" w:cs="宋体"/>
                <w:szCs w:val="21"/>
              </w:rPr>
              <w:t>磋商报价</w:t>
            </w:r>
          </w:p>
        </w:tc>
        <w:tc>
          <w:tcPr>
            <w:tcW w:w="2472" w:type="pct"/>
            <w:vAlign w:val="center"/>
          </w:tcPr>
          <w:p w14:paraId="2F53EE81">
            <w:pPr>
              <w:rPr>
                <w:rFonts w:hint="eastAsia" w:ascii="宋体" w:hAnsi="宋体" w:eastAsia="宋体" w:cs="宋体"/>
                <w:szCs w:val="21"/>
              </w:rPr>
            </w:pPr>
            <w:r>
              <w:rPr>
                <w:rFonts w:hint="eastAsia" w:ascii="宋体" w:hAnsi="宋体" w:eastAsia="宋体" w:cs="宋体"/>
                <w:szCs w:val="21"/>
              </w:rPr>
              <w:t>符合磋商文件供应商须知正文第9条要求</w:t>
            </w:r>
          </w:p>
        </w:tc>
        <w:tc>
          <w:tcPr>
            <w:tcW w:w="1444" w:type="pct"/>
            <w:vAlign w:val="center"/>
          </w:tcPr>
          <w:p w14:paraId="41F1A77A">
            <w:pPr>
              <w:rPr>
                <w:rFonts w:hint="eastAsia" w:ascii="宋体" w:hAnsi="宋体" w:eastAsia="宋体" w:cs="宋体"/>
                <w:szCs w:val="21"/>
              </w:rPr>
            </w:pPr>
            <w:r>
              <w:rPr>
                <w:rFonts w:hint="eastAsia" w:ascii="宋体" w:hAnsi="宋体" w:eastAsia="宋体" w:cs="宋体"/>
                <w:szCs w:val="21"/>
              </w:rPr>
              <w:t>详见第六章响应文件格式。</w:t>
            </w:r>
          </w:p>
        </w:tc>
      </w:tr>
      <w:tr w14:paraId="445A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Align w:val="center"/>
          </w:tcPr>
          <w:p w14:paraId="59A11028">
            <w:pP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735" w:type="pct"/>
            <w:vAlign w:val="center"/>
          </w:tcPr>
          <w:p w14:paraId="12F5AAC5">
            <w:pPr>
              <w:rPr>
                <w:rFonts w:hint="eastAsia" w:ascii="宋体" w:hAnsi="宋体" w:eastAsia="宋体" w:cs="宋体"/>
                <w:szCs w:val="21"/>
              </w:rPr>
            </w:pPr>
            <w:r>
              <w:rPr>
                <w:rFonts w:hint="eastAsia" w:ascii="宋体" w:hAnsi="宋体" w:eastAsia="宋体" w:cs="宋体"/>
                <w:szCs w:val="21"/>
              </w:rPr>
              <w:t>商务响应情况</w:t>
            </w:r>
          </w:p>
        </w:tc>
        <w:tc>
          <w:tcPr>
            <w:tcW w:w="2472" w:type="pct"/>
            <w:vAlign w:val="center"/>
          </w:tcPr>
          <w:p w14:paraId="75A5120B">
            <w:pPr>
              <w:rPr>
                <w:rFonts w:hint="eastAsia" w:ascii="宋体" w:hAnsi="宋体" w:eastAsia="宋体" w:cs="宋体"/>
                <w:szCs w:val="21"/>
              </w:rPr>
            </w:pPr>
            <w:r>
              <w:rPr>
                <w:rFonts w:hint="eastAsia" w:ascii="宋体" w:hAnsi="宋体" w:eastAsia="宋体" w:cs="宋体"/>
                <w:szCs w:val="21"/>
              </w:rPr>
              <w:t>符合磋商文件采购需求中对付款方式、服务地点、服务期限等实质性要求</w:t>
            </w:r>
          </w:p>
        </w:tc>
        <w:tc>
          <w:tcPr>
            <w:tcW w:w="1444" w:type="pct"/>
            <w:vAlign w:val="center"/>
          </w:tcPr>
          <w:p w14:paraId="58B21EF7">
            <w:pPr>
              <w:rPr>
                <w:rFonts w:hint="eastAsia" w:ascii="宋体" w:hAnsi="宋体" w:eastAsia="宋体" w:cs="宋体"/>
                <w:szCs w:val="21"/>
              </w:rPr>
            </w:pPr>
            <w:r>
              <w:rPr>
                <w:rFonts w:hint="eastAsia" w:ascii="宋体" w:hAnsi="宋体" w:eastAsia="宋体" w:cs="宋体"/>
                <w:szCs w:val="21"/>
              </w:rPr>
              <w:t>详见第六章响应文件格式。</w:t>
            </w:r>
          </w:p>
        </w:tc>
      </w:tr>
      <w:tr w14:paraId="7EA3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Align w:val="center"/>
          </w:tcPr>
          <w:p w14:paraId="691EC8EF">
            <w:pP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735" w:type="pct"/>
            <w:vAlign w:val="center"/>
          </w:tcPr>
          <w:p w14:paraId="5D0F5FD9">
            <w:pPr>
              <w:rPr>
                <w:rFonts w:hint="eastAsia" w:ascii="宋体" w:hAnsi="宋体" w:eastAsia="宋体" w:cs="宋体"/>
                <w:szCs w:val="21"/>
              </w:rPr>
            </w:pPr>
            <w:r>
              <w:rPr>
                <w:rFonts w:hint="eastAsia" w:ascii="宋体" w:hAnsi="宋体" w:eastAsia="宋体" w:cs="宋体"/>
                <w:szCs w:val="21"/>
              </w:rPr>
              <w:t>技术响应情况</w:t>
            </w:r>
          </w:p>
        </w:tc>
        <w:tc>
          <w:tcPr>
            <w:tcW w:w="2472" w:type="pct"/>
            <w:vAlign w:val="center"/>
          </w:tcPr>
          <w:p w14:paraId="31DCFEAB">
            <w:pPr>
              <w:rPr>
                <w:rFonts w:hint="eastAsia" w:ascii="宋体" w:hAnsi="宋体" w:eastAsia="宋体" w:cs="宋体"/>
                <w:szCs w:val="21"/>
              </w:rPr>
            </w:pPr>
            <w:r>
              <w:rPr>
                <w:rFonts w:hint="eastAsia" w:ascii="宋体" w:hAnsi="宋体" w:eastAsia="宋体" w:cs="宋体"/>
                <w:szCs w:val="21"/>
              </w:rPr>
              <w:t>符合磋商文件采购需求中</w:t>
            </w:r>
            <w:r>
              <w:rPr>
                <w:rFonts w:hint="eastAsia" w:ascii="宋体" w:hAnsi="宋体" w:eastAsia="宋体" w:cs="宋体"/>
                <w:szCs w:val="21"/>
                <w:lang w:eastAsia="zh-CN"/>
              </w:rPr>
              <w:t>服务方案</w:t>
            </w:r>
            <w:r>
              <w:rPr>
                <w:rFonts w:hint="eastAsia" w:ascii="宋体" w:hAnsi="宋体" w:eastAsia="宋体" w:cs="宋体"/>
                <w:szCs w:val="21"/>
              </w:rPr>
              <w:t>等实质性要求</w:t>
            </w:r>
          </w:p>
        </w:tc>
        <w:tc>
          <w:tcPr>
            <w:tcW w:w="1444" w:type="pct"/>
            <w:vAlign w:val="center"/>
          </w:tcPr>
          <w:p w14:paraId="0622C31C">
            <w:pPr>
              <w:rPr>
                <w:rFonts w:hint="eastAsia" w:ascii="宋体" w:hAnsi="宋体" w:eastAsia="宋体" w:cs="宋体"/>
                <w:szCs w:val="21"/>
              </w:rPr>
            </w:pPr>
            <w:r>
              <w:rPr>
                <w:rFonts w:hint="eastAsia" w:ascii="宋体" w:hAnsi="宋体" w:eastAsia="宋体" w:cs="宋体"/>
                <w:szCs w:val="21"/>
              </w:rPr>
              <w:t>详见第六章响应文件格式。</w:t>
            </w:r>
          </w:p>
        </w:tc>
      </w:tr>
      <w:tr w14:paraId="66F7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Align w:val="center"/>
          </w:tcPr>
          <w:p w14:paraId="6CED426D">
            <w:pP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735" w:type="pct"/>
            <w:vAlign w:val="center"/>
          </w:tcPr>
          <w:p w14:paraId="651A53FE">
            <w:pPr>
              <w:rPr>
                <w:rFonts w:hint="eastAsia" w:ascii="宋体" w:hAnsi="宋体" w:eastAsia="宋体" w:cs="宋体"/>
                <w:szCs w:val="21"/>
              </w:rPr>
            </w:pPr>
            <w:r>
              <w:rPr>
                <w:rFonts w:hint="eastAsia" w:ascii="宋体" w:hAnsi="宋体" w:eastAsia="宋体" w:cs="宋体"/>
                <w:szCs w:val="21"/>
              </w:rPr>
              <w:t>其他要求</w:t>
            </w:r>
          </w:p>
        </w:tc>
        <w:tc>
          <w:tcPr>
            <w:tcW w:w="2472" w:type="pct"/>
            <w:vAlign w:val="center"/>
          </w:tcPr>
          <w:p w14:paraId="3E1535FA">
            <w:pPr>
              <w:rPr>
                <w:rFonts w:hint="eastAsia" w:ascii="宋体" w:hAnsi="宋体" w:eastAsia="宋体" w:cs="宋体"/>
                <w:szCs w:val="21"/>
              </w:rPr>
            </w:pPr>
            <w:r>
              <w:rPr>
                <w:rFonts w:hint="eastAsia" w:ascii="宋体" w:hAnsi="宋体" w:eastAsia="宋体" w:cs="宋体"/>
                <w:szCs w:val="21"/>
              </w:rPr>
              <w:t>符合法律、行政法规规定的其他条件或磋商文件列明的其他实质性要求</w:t>
            </w:r>
          </w:p>
        </w:tc>
        <w:tc>
          <w:tcPr>
            <w:tcW w:w="1444" w:type="pct"/>
            <w:vAlign w:val="center"/>
          </w:tcPr>
          <w:p w14:paraId="4EC49794">
            <w:pPr>
              <w:rPr>
                <w:rFonts w:hint="eastAsia" w:ascii="宋体" w:hAnsi="宋体" w:eastAsia="宋体" w:cs="宋体"/>
                <w:szCs w:val="21"/>
              </w:rPr>
            </w:pPr>
          </w:p>
        </w:tc>
      </w:tr>
    </w:tbl>
    <w:p w14:paraId="4F865CED">
      <w:pPr>
        <w:spacing w:line="360" w:lineRule="auto"/>
        <w:ind w:firstLine="435"/>
        <w:rPr>
          <w:rFonts w:hint="eastAsia" w:ascii="宋体" w:hAnsi="宋体" w:eastAsia="宋体" w:cs="宋体"/>
          <w:sz w:val="24"/>
        </w:rPr>
      </w:pPr>
      <w:r>
        <w:rPr>
          <w:rFonts w:hint="eastAsia" w:ascii="宋体" w:hAnsi="宋体" w:eastAsia="宋体" w:cs="宋体"/>
          <w:b/>
          <w:bCs/>
          <w:sz w:val="24"/>
        </w:rPr>
        <w:t>初审指标通过标准：</w:t>
      </w:r>
      <w:r>
        <w:rPr>
          <w:rFonts w:hint="eastAsia" w:ascii="宋体" w:hAnsi="宋体" w:eastAsia="宋体" w:cs="宋体"/>
          <w:sz w:val="24"/>
        </w:rPr>
        <w:t>供应商必须通过初审表中的全部评审指标。</w:t>
      </w:r>
    </w:p>
    <w:p w14:paraId="70A7DBEB">
      <w:pPr>
        <w:spacing w:line="360" w:lineRule="auto"/>
        <w:ind w:firstLine="435"/>
        <w:outlineLvl w:val="2"/>
        <w:rPr>
          <w:rFonts w:hint="eastAsia" w:ascii="宋体" w:hAnsi="宋体" w:eastAsia="宋体" w:cs="宋体"/>
          <w:b/>
          <w:sz w:val="24"/>
        </w:rPr>
      </w:pPr>
      <w:r>
        <w:rPr>
          <w:rFonts w:hint="eastAsia" w:ascii="宋体" w:hAnsi="宋体" w:eastAsia="宋体" w:cs="宋体"/>
          <w:b/>
          <w:sz w:val="24"/>
        </w:rPr>
        <w:t>2.2综合评分</w:t>
      </w:r>
    </w:p>
    <w:p w14:paraId="72ACAED2">
      <w:pPr>
        <w:spacing w:line="360" w:lineRule="auto"/>
        <w:ind w:firstLine="435"/>
        <w:rPr>
          <w:rFonts w:hint="eastAsia" w:ascii="宋体" w:hAnsi="宋体" w:eastAsia="宋体" w:cs="宋体"/>
          <w:sz w:val="24"/>
        </w:rPr>
      </w:pPr>
      <w:r>
        <w:rPr>
          <w:rFonts w:hint="eastAsia" w:ascii="宋体" w:hAnsi="宋体" w:eastAsia="宋体" w:cs="宋体"/>
          <w:sz w:val="24"/>
        </w:rPr>
        <w:t>2.2.1磋商小组按照下表对进入综合评分的所有供应商的响应文件进行综合评分。</w:t>
      </w:r>
    </w:p>
    <w:p w14:paraId="65BB9038">
      <w:pPr>
        <w:spacing w:line="360" w:lineRule="auto"/>
        <w:ind w:firstLine="435"/>
        <w:rPr>
          <w:rFonts w:hint="eastAsia" w:ascii="宋体" w:hAnsi="宋体" w:eastAsia="宋体" w:cs="宋体"/>
        </w:rPr>
      </w:pPr>
      <w:r>
        <w:rPr>
          <w:rFonts w:hint="eastAsia" w:ascii="宋体" w:hAnsi="宋体" w:eastAsia="宋体" w:cs="宋体"/>
          <w:sz w:val="24"/>
        </w:rPr>
        <w:t>2.2.2本项目综合评分满分为100分，其中：技术资信分值占总分值的权重为</w:t>
      </w:r>
      <w:r>
        <w:rPr>
          <w:rFonts w:hint="eastAsia" w:ascii="宋体" w:hAnsi="宋体" w:eastAsia="宋体" w:cs="宋体"/>
          <w:sz w:val="24"/>
          <w:u w:val="single"/>
        </w:rPr>
        <w:t>90</w:t>
      </w:r>
      <w:r>
        <w:rPr>
          <w:rFonts w:hint="eastAsia" w:ascii="宋体" w:hAnsi="宋体" w:eastAsia="宋体" w:cs="宋体"/>
          <w:sz w:val="24"/>
        </w:rPr>
        <w:t>%，价格分值占总分值的权重为</w:t>
      </w:r>
      <w:r>
        <w:rPr>
          <w:rFonts w:hint="eastAsia" w:ascii="宋体" w:hAnsi="宋体" w:eastAsia="宋体" w:cs="宋体"/>
          <w:sz w:val="24"/>
          <w:u w:val="single"/>
        </w:rPr>
        <w:t>10</w:t>
      </w:r>
      <w:r>
        <w:rPr>
          <w:rFonts w:hint="eastAsia" w:ascii="宋体" w:hAnsi="宋体" w:eastAsia="宋体" w:cs="宋体"/>
          <w:sz w:val="24"/>
        </w:rPr>
        <w:t>%。具体评分细则如下：</w:t>
      </w:r>
    </w:p>
    <w:tbl>
      <w:tblPr>
        <w:tblStyle w:val="23"/>
        <w:tblW w:w="5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710"/>
        <w:gridCol w:w="6137"/>
        <w:gridCol w:w="1477"/>
      </w:tblGrid>
      <w:tr w14:paraId="3D24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14:paraId="67989DC4">
            <w:pPr>
              <w:spacing w:line="360" w:lineRule="auto"/>
              <w:jc w:val="center"/>
              <w:rPr>
                <w:rFonts w:hint="eastAsia" w:ascii="宋体" w:hAnsi="宋体" w:eastAsia="宋体" w:cs="宋体"/>
                <w:b/>
                <w:bCs/>
                <w:szCs w:val="21"/>
              </w:rPr>
            </w:pPr>
            <w:r>
              <w:rPr>
                <w:rFonts w:hint="eastAsia" w:ascii="宋体" w:hAnsi="宋体" w:eastAsia="宋体" w:cs="宋体"/>
                <w:b/>
                <w:bCs/>
                <w:szCs w:val="21"/>
              </w:rPr>
              <w:t>类别</w:t>
            </w:r>
          </w:p>
        </w:tc>
        <w:tc>
          <w:tcPr>
            <w:tcW w:w="820" w:type="pct"/>
            <w:tcBorders>
              <w:top w:val="single" w:color="auto" w:sz="4" w:space="0"/>
              <w:left w:val="single" w:color="auto" w:sz="4" w:space="0"/>
              <w:bottom w:val="single" w:color="auto" w:sz="4" w:space="0"/>
              <w:right w:val="single" w:color="auto" w:sz="4" w:space="0"/>
            </w:tcBorders>
            <w:vAlign w:val="center"/>
          </w:tcPr>
          <w:p w14:paraId="64E957D8">
            <w:pPr>
              <w:spacing w:line="360" w:lineRule="auto"/>
              <w:jc w:val="center"/>
              <w:rPr>
                <w:rFonts w:hint="eastAsia" w:ascii="宋体" w:hAnsi="宋体" w:eastAsia="宋体" w:cs="宋体"/>
                <w:b/>
                <w:bCs/>
                <w:szCs w:val="21"/>
              </w:rPr>
            </w:pPr>
            <w:r>
              <w:rPr>
                <w:rFonts w:hint="eastAsia" w:ascii="宋体" w:hAnsi="宋体" w:eastAsia="宋体" w:cs="宋体"/>
                <w:b/>
                <w:bCs/>
                <w:szCs w:val="21"/>
              </w:rPr>
              <w:t>评分内容</w:t>
            </w:r>
          </w:p>
        </w:tc>
        <w:tc>
          <w:tcPr>
            <w:tcW w:w="2943" w:type="pct"/>
            <w:tcBorders>
              <w:top w:val="single" w:color="auto" w:sz="4" w:space="0"/>
              <w:left w:val="single" w:color="auto" w:sz="4" w:space="0"/>
              <w:bottom w:val="single" w:color="auto" w:sz="4" w:space="0"/>
              <w:right w:val="single" w:color="auto" w:sz="4" w:space="0"/>
            </w:tcBorders>
            <w:vAlign w:val="center"/>
          </w:tcPr>
          <w:p w14:paraId="66DBEC08">
            <w:pPr>
              <w:spacing w:line="360" w:lineRule="auto"/>
              <w:jc w:val="center"/>
              <w:rPr>
                <w:rFonts w:hint="eastAsia" w:ascii="宋体" w:hAnsi="宋体" w:eastAsia="宋体" w:cs="宋体"/>
                <w:b/>
                <w:bCs/>
                <w:szCs w:val="21"/>
              </w:rPr>
            </w:pPr>
            <w:r>
              <w:rPr>
                <w:rFonts w:hint="eastAsia" w:ascii="宋体" w:hAnsi="宋体" w:eastAsia="宋体" w:cs="宋体"/>
                <w:b/>
                <w:bCs/>
                <w:szCs w:val="21"/>
              </w:rPr>
              <w:t>评分标准</w:t>
            </w:r>
          </w:p>
        </w:tc>
        <w:tc>
          <w:tcPr>
            <w:tcW w:w="708" w:type="pct"/>
            <w:tcBorders>
              <w:top w:val="single" w:color="auto" w:sz="4" w:space="0"/>
              <w:left w:val="single" w:color="auto" w:sz="4" w:space="0"/>
              <w:bottom w:val="single" w:color="auto" w:sz="4" w:space="0"/>
              <w:right w:val="single" w:color="auto" w:sz="4" w:space="0"/>
            </w:tcBorders>
            <w:vAlign w:val="center"/>
          </w:tcPr>
          <w:p w14:paraId="1DFAE4B2">
            <w:pPr>
              <w:spacing w:line="360" w:lineRule="auto"/>
              <w:jc w:val="center"/>
              <w:rPr>
                <w:rFonts w:hint="eastAsia" w:ascii="宋体" w:hAnsi="宋体" w:eastAsia="宋体" w:cs="宋体"/>
                <w:b/>
                <w:bCs/>
                <w:szCs w:val="21"/>
              </w:rPr>
            </w:pPr>
            <w:r>
              <w:rPr>
                <w:rFonts w:hint="eastAsia" w:ascii="宋体" w:hAnsi="宋体" w:eastAsia="宋体" w:cs="宋体"/>
                <w:b/>
                <w:bCs/>
                <w:szCs w:val="21"/>
              </w:rPr>
              <w:t>分值范围</w:t>
            </w:r>
          </w:p>
        </w:tc>
      </w:tr>
      <w:tr w14:paraId="4CE5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restart"/>
            <w:tcBorders>
              <w:top w:val="single" w:color="auto" w:sz="4" w:space="0"/>
              <w:left w:val="single" w:color="auto" w:sz="4" w:space="0"/>
              <w:right w:val="single" w:color="auto" w:sz="4" w:space="0"/>
            </w:tcBorders>
            <w:vAlign w:val="center"/>
          </w:tcPr>
          <w:p w14:paraId="340A770F">
            <w:pPr>
              <w:spacing w:line="360" w:lineRule="auto"/>
              <w:jc w:val="center"/>
              <w:rPr>
                <w:rFonts w:hint="eastAsia" w:ascii="宋体" w:hAnsi="宋体" w:eastAsia="宋体" w:cs="宋体"/>
                <w:szCs w:val="21"/>
              </w:rPr>
            </w:pPr>
            <w:r>
              <w:rPr>
                <w:rFonts w:hint="eastAsia" w:ascii="宋体" w:hAnsi="宋体" w:eastAsia="宋体" w:cs="宋体"/>
                <w:szCs w:val="21"/>
              </w:rPr>
              <w:t>技术资信分</w:t>
            </w:r>
          </w:p>
          <w:p w14:paraId="10863AF7">
            <w:pPr>
              <w:spacing w:line="360" w:lineRule="auto"/>
              <w:jc w:val="center"/>
              <w:rPr>
                <w:rFonts w:hint="eastAsia" w:ascii="宋体" w:hAnsi="宋体" w:eastAsia="宋体" w:cs="宋体"/>
                <w:b/>
                <w:bCs/>
                <w:szCs w:val="21"/>
              </w:rPr>
            </w:pPr>
            <w:r>
              <w:rPr>
                <w:rFonts w:hint="eastAsia" w:ascii="宋体" w:hAnsi="宋体" w:eastAsia="宋体" w:cs="宋体"/>
                <w:szCs w:val="21"/>
              </w:rPr>
              <w:t>（</w:t>
            </w:r>
            <w:r>
              <w:rPr>
                <w:rFonts w:hint="eastAsia" w:ascii="宋体" w:hAnsi="宋体" w:eastAsia="宋体" w:cs="宋体"/>
                <w:szCs w:val="21"/>
                <w:u w:val="single"/>
              </w:rPr>
              <w:t>90</w:t>
            </w:r>
            <w:r>
              <w:rPr>
                <w:rFonts w:hint="eastAsia" w:ascii="宋体" w:hAnsi="宋体" w:eastAsia="宋体" w:cs="宋体"/>
                <w:szCs w:val="21"/>
              </w:rPr>
              <w:t>分）</w:t>
            </w:r>
          </w:p>
        </w:tc>
        <w:tc>
          <w:tcPr>
            <w:tcW w:w="820" w:type="pct"/>
            <w:tcBorders>
              <w:top w:val="single" w:color="auto" w:sz="4" w:space="0"/>
              <w:left w:val="single" w:color="auto" w:sz="4" w:space="0"/>
              <w:bottom w:val="single" w:color="auto" w:sz="4" w:space="0"/>
              <w:right w:val="single" w:color="auto" w:sz="4" w:space="0"/>
            </w:tcBorders>
            <w:vAlign w:val="center"/>
          </w:tcPr>
          <w:p w14:paraId="0890D845">
            <w:pPr>
              <w:spacing w:line="360" w:lineRule="auto"/>
              <w:jc w:val="center"/>
              <w:rPr>
                <w:rFonts w:hint="eastAsia" w:ascii="宋体" w:hAnsi="宋体" w:eastAsia="宋体" w:cs="宋体"/>
                <w:bCs/>
                <w:szCs w:val="21"/>
              </w:rPr>
            </w:pPr>
            <w:r>
              <w:rPr>
                <w:rFonts w:hint="eastAsia" w:ascii="宋体" w:hAnsi="宋体" w:eastAsia="宋体" w:cs="宋体"/>
                <w:bCs/>
                <w:szCs w:val="21"/>
              </w:rPr>
              <w:t>供应商业绩</w:t>
            </w:r>
          </w:p>
        </w:tc>
        <w:tc>
          <w:tcPr>
            <w:tcW w:w="2943" w:type="pct"/>
            <w:tcBorders>
              <w:top w:val="single" w:color="auto" w:sz="4" w:space="0"/>
              <w:left w:val="single" w:color="auto" w:sz="4" w:space="0"/>
              <w:bottom w:val="single" w:color="auto" w:sz="4" w:space="0"/>
              <w:right w:val="single" w:color="auto" w:sz="4" w:space="0"/>
            </w:tcBorders>
            <w:vAlign w:val="center"/>
          </w:tcPr>
          <w:p w14:paraId="37C58DEF">
            <w:pPr>
              <w:jc w:val="left"/>
              <w:rPr>
                <w:rFonts w:hint="eastAsia" w:ascii="宋体" w:hAnsi="宋体" w:eastAsia="宋体" w:cs="宋体"/>
                <w:bCs/>
                <w:szCs w:val="21"/>
              </w:rPr>
            </w:pPr>
            <w:r>
              <w:rPr>
                <w:rFonts w:hint="eastAsia" w:ascii="宋体" w:hAnsi="宋体" w:eastAsia="宋体" w:cs="宋体"/>
                <w:bCs/>
                <w:szCs w:val="21"/>
              </w:rPr>
              <w:t>20</w:t>
            </w:r>
            <w:r>
              <w:rPr>
                <w:rFonts w:hint="eastAsia" w:ascii="宋体" w:hAnsi="宋体" w:eastAsia="宋体" w:cs="宋体"/>
                <w:bCs/>
                <w:szCs w:val="21"/>
                <w:lang w:val="en-US" w:eastAsia="zh-CN"/>
              </w:rPr>
              <w:t>23</w:t>
            </w:r>
            <w:r>
              <w:rPr>
                <w:rFonts w:hint="eastAsia" w:ascii="宋体" w:hAnsi="宋体" w:eastAsia="宋体" w:cs="宋体"/>
                <w:bCs/>
                <w:szCs w:val="21"/>
              </w:rPr>
              <w:t>年1月1日以来（以合同签订时间为准）每具有一项水利工程（或河道工程）测量业绩的得5分，满分15分。</w:t>
            </w:r>
          </w:p>
          <w:p w14:paraId="30E2CC83">
            <w:pPr>
              <w:jc w:val="left"/>
              <w:rPr>
                <w:rFonts w:hint="eastAsia" w:ascii="宋体" w:hAnsi="宋体" w:eastAsia="宋体" w:cs="宋体"/>
                <w:bCs/>
                <w:szCs w:val="21"/>
              </w:rPr>
            </w:pPr>
            <w:r>
              <w:rPr>
                <w:rFonts w:hint="eastAsia" w:ascii="宋体" w:hAnsi="宋体" w:eastAsia="宋体" w:cs="宋体"/>
                <w:b/>
                <w:szCs w:val="21"/>
              </w:rPr>
              <w:t>注：响应文件中须提供合同扫描件，如合同无法体现签订时间、业绩内容等评审要素的，须另附合同甲方加盖公章的证明材料扫描件，否则本项不得分。</w:t>
            </w:r>
          </w:p>
        </w:tc>
        <w:tc>
          <w:tcPr>
            <w:tcW w:w="708" w:type="pct"/>
            <w:tcBorders>
              <w:top w:val="single" w:color="auto" w:sz="4" w:space="0"/>
              <w:left w:val="single" w:color="auto" w:sz="4" w:space="0"/>
              <w:bottom w:val="single" w:color="auto" w:sz="4" w:space="0"/>
              <w:right w:val="single" w:color="auto" w:sz="4" w:space="0"/>
            </w:tcBorders>
            <w:vAlign w:val="center"/>
          </w:tcPr>
          <w:p w14:paraId="07CC8A65">
            <w:pPr>
              <w:spacing w:line="360" w:lineRule="auto"/>
              <w:jc w:val="center"/>
              <w:rPr>
                <w:rFonts w:hint="eastAsia" w:ascii="宋体" w:hAnsi="宋体" w:eastAsia="宋体" w:cs="宋体"/>
                <w:b/>
                <w:bCs/>
                <w:szCs w:val="21"/>
              </w:rPr>
            </w:pPr>
            <w:r>
              <w:rPr>
                <w:rFonts w:hint="eastAsia" w:ascii="宋体" w:hAnsi="宋体" w:eastAsia="宋体" w:cs="宋体"/>
                <w:szCs w:val="21"/>
              </w:rPr>
              <w:t>0-15分</w:t>
            </w:r>
          </w:p>
        </w:tc>
      </w:tr>
      <w:tr w14:paraId="70CC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2E79AF44">
            <w:pPr>
              <w:spacing w:line="360" w:lineRule="auto"/>
              <w:ind w:firstLine="435"/>
              <w:jc w:val="center"/>
              <w:rPr>
                <w:rFonts w:hint="eastAsia" w:ascii="宋体" w:hAnsi="宋体" w:eastAsia="宋体" w:cs="宋体"/>
                <w:b/>
                <w:bCs/>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0D459D78">
            <w:pPr>
              <w:spacing w:line="360" w:lineRule="auto"/>
              <w:jc w:val="center"/>
              <w:rPr>
                <w:rFonts w:hint="eastAsia" w:ascii="宋体" w:hAnsi="宋体" w:eastAsia="宋体" w:cs="宋体"/>
                <w:szCs w:val="21"/>
              </w:rPr>
            </w:pPr>
            <w:r>
              <w:rPr>
                <w:rFonts w:hint="eastAsia" w:ascii="宋体" w:hAnsi="宋体" w:eastAsia="宋体" w:cs="宋体"/>
                <w:szCs w:val="21"/>
              </w:rPr>
              <w:t>项目负责人实力</w:t>
            </w:r>
          </w:p>
        </w:tc>
        <w:tc>
          <w:tcPr>
            <w:tcW w:w="2943" w:type="pct"/>
            <w:tcBorders>
              <w:top w:val="single" w:color="auto" w:sz="4" w:space="0"/>
              <w:left w:val="single" w:color="auto" w:sz="4" w:space="0"/>
              <w:bottom w:val="single" w:color="auto" w:sz="4" w:space="0"/>
              <w:right w:val="single" w:color="auto" w:sz="4" w:space="0"/>
            </w:tcBorders>
            <w:vAlign w:val="center"/>
          </w:tcPr>
          <w:p w14:paraId="42B6CF4C">
            <w:pPr>
              <w:jc w:val="left"/>
              <w:rPr>
                <w:rFonts w:hint="eastAsia" w:ascii="宋体" w:hAnsi="宋体" w:eastAsia="宋体" w:cs="宋体"/>
                <w:szCs w:val="21"/>
              </w:rPr>
            </w:pPr>
            <w:r>
              <w:rPr>
                <w:rFonts w:hint="eastAsia" w:ascii="宋体" w:hAnsi="宋体" w:eastAsia="宋体" w:cs="宋体"/>
                <w:bCs/>
                <w:szCs w:val="21"/>
              </w:rPr>
              <w:t>供应商拟派项目负责人具有水利水电工程相关专业高级及以上技术职称证书的得5分，具有水利水电工程相关专业中级技术职称证书的得3分，最多得5分；</w:t>
            </w:r>
          </w:p>
          <w:p w14:paraId="7A3B741E">
            <w:pPr>
              <w:pStyle w:val="11"/>
              <w:rPr>
                <w:rFonts w:hint="eastAsia" w:ascii="宋体" w:hAnsi="宋体" w:eastAsia="宋体" w:cs="宋体"/>
                <w:szCs w:val="21"/>
              </w:rPr>
            </w:pPr>
            <w:r>
              <w:rPr>
                <w:rFonts w:hint="eastAsia" w:ascii="宋体" w:hAnsi="宋体" w:eastAsia="宋体" w:cs="宋体"/>
                <w:b/>
                <w:szCs w:val="21"/>
              </w:rPr>
              <w:t>注：响应文件中须提供有效的项目负责人技术职称证书扫描件。</w:t>
            </w:r>
          </w:p>
        </w:tc>
        <w:tc>
          <w:tcPr>
            <w:tcW w:w="708" w:type="pct"/>
            <w:tcBorders>
              <w:top w:val="single" w:color="auto" w:sz="4" w:space="0"/>
              <w:left w:val="single" w:color="auto" w:sz="4" w:space="0"/>
              <w:bottom w:val="single" w:color="auto" w:sz="4" w:space="0"/>
              <w:right w:val="single" w:color="auto" w:sz="4" w:space="0"/>
            </w:tcBorders>
            <w:vAlign w:val="center"/>
          </w:tcPr>
          <w:p w14:paraId="55E2971C">
            <w:pPr>
              <w:spacing w:line="360" w:lineRule="auto"/>
              <w:jc w:val="center"/>
              <w:rPr>
                <w:rFonts w:hint="eastAsia" w:ascii="宋体" w:hAnsi="宋体" w:eastAsia="宋体" w:cs="宋体"/>
                <w:b/>
                <w:bCs/>
                <w:szCs w:val="21"/>
              </w:rPr>
            </w:pPr>
            <w:r>
              <w:rPr>
                <w:rFonts w:hint="eastAsia" w:ascii="宋体" w:hAnsi="宋体" w:eastAsia="宋体" w:cs="宋体"/>
                <w:szCs w:val="21"/>
              </w:rPr>
              <w:t>0-5分</w:t>
            </w:r>
          </w:p>
        </w:tc>
      </w:tr>
      <w:tr w14:paraId="2B66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5D977FA7">
            <w:pPr>
              <w:spacing w:line="360" w:lineRule="auto"/>
              <w:ind w:firstLine="435"/>
              <w:jc w:val="center"/>
              <w:rPr>
                <w:rFonts w:hint="eastAsia" w:ascii="宋体" w:hAnsi="宋体" w:eastAsia="宋体" w:cs="宋体"/>
                <w:b/>
                <w:bCs/>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80904B5">
            <w:pPr>
              <w:spacing w:line="360" w:lineRule="auto"/>
              <w:jc w:val="center"/>
              <w:rPr>
                <w:rFonts w:hint="eastAsia" w:ascii="宋体" w:hAnsi="宋体" w:eastAsia="宋体" w:cs="宋体"/>
                <w:szCs w:val="21"/>
              </w:rPr>
            </w:pPr>
            <w:r>
              <w:rPr>
                <w:rFonts w:hint="eastAsia" w:ascii="宋体" w:hAnsi="宋体" w:eastAsia="宋体" w:cs="宋体"/>
                <w:szCs w:val="21"/>
              </w:rPr>
              <w:t>项目负责人业绩</w:t>
            </w:r>
          </w:p>
        </w:tc>
        <w:tc>
          <w:tcPr>
            <w:tcW w:w="2943" w:type="pct"/>
            <w:tcBorders>
              <w:top w:val="single" w:color="auto" w:sz="4" w:space="0"/>
              <w:left w:val="single" w:color="auto" w:sz="4" w:space="0"/>
              <w:bottom w:val="single" w:color="auto" w:sz="4" w:space="0"/>
              <w:right w:val="single" w:color="auto" w:sz="4" w:space="0"/>
            </w:tcBorders>
            <w:vAlign w:val="center"/>
          </w:tcPr>
          <w:p w14:paraId="2D0661D5">
            <w:pPr>
              <w:pStyle w:val="11"/>
              <w:rPr>
                <w:rFonts w:hint="eastAsia" w:ascii="宋体" w:hAnsi="宋体" w:eastAsia="宋体" w:cs="宋体"/>
                <w:bCs/>
                <w:szCs w:val="21"/>
              </w:rPr>
            </w:pPr>
            <w:r>
              <w:rPr>
                <w:rFonts w:hint="eastAsia" w:ascii="宋体" w:hAnsi="宋体" w:eastAsia="宋体" w:cs="宋体"/>
                <w:bCs/>
                <w:szCs w:val="21"/>
              </w:rPr>
              <w:t>供应商拟派项目负责人，202</w:t>
            </w:r>
            <w:r>
              <w:rPr>
                <w:rFonts w:hint="eastAsia" w:ascii="宋体" w:hAnsi="宋体" w:eastAsia="宋体" w:cs="宋体"/>
                <w:bCs/>
                <w:szCs w:val="21"/>
                <w:lang w:val="en-US" w:eastAsia="zh-CN"/>
              </w:rPr>
              <w:t>3</w:t>
            </w:r>
            <w:r>
              <w:rPr>
                <w:rFonts w:hint="eastAsia" w:ascii="宋体" w:hAnsi="宋体" w:eastAsia="宋体" w:cs="宋体"/>
                <w:bCs/>
                <w:szCs w:val="21"/>
              </w:rPr>
              <w:t>年1月1日以来（以合同签订时间为准）每</w:t>
            </w:r>
            <w:r>
              <w:rPr>
                <w:rFonts w:hint="eastAsia" w:ascii="宋体" w:hAnsi="宋体" w:eastAsia="宋体" w:cs="宋体"/>
                <w:szCs w:val="21"/>
              </w:rPr>
              <w:t>具有1项</w:t>
            </w:r>
            <w:r>
              <w:rPr>
                <w:rFonts w:hint="eastAsia" w:ascii="宋体" w:hAnsi="宋体" w:eastAsia="宋体" w:cs="宋体"/>
                <w:bCs/>
                <w:szCs w:val="21"/>
              </w:rPr>
              <w:t>水利工程（或河道工程）测量</w:t>
            </w:r>
            <w:r>
              <w:rPr>
                <w:rFonts w:hint="eastAsia" w:ascii="宋体" w:hAnsi="宋体" w:eastAsia="宋体" w:cs="宋体"/>
                <w:szCs w:val="21"/>
              </w:rPr>
              <w:t>项目负责人业绩的得5分</w:t>
            </w:r>
            <w:r>
              <w:rPr>
                <w:rFonts w:hint="eastAsia" w:ascii="宋体" w:hAnsi="宋体" w:eastAsia="宋体" w:cs="宋体"/>
                <w:bCs/>
                <w:szCs w:val="21"/>
              </w:rPr>
              <w:t>，最多得10分；</w:t>
            </w:r>
          </w:p>
          <w:p w14:paraId="68E3E631">
            <w:pPr>
              <w:pStyle w:val="11"/>
              <w:rPr>
                <w:rFonts w:hint="eastAsia" w:ascii="宋体" w:hAnsi="宋体" w:eastAsia="宋体" w:cs="宋体"/>
                <w:szCs w:val="21"/>
              </w:rPr>
            </w:pPr>
            <w:r>
              <w:rPr>
                <w:rFonts w:hint="eastAsia" w:ascii="宋体" w:hAnsi="宋体" w:eastAsia="宋体" w:cs="宋体"/>
                <w:b/>
                <w:bCs/>
                <w:szCs w:val="21"/>
              </w:rPr>
              <w:t>注：响应文件中须提供合同扫描件，如合同无法体现</w:t>
            </w:r>
            <w:r>
              <w:rPr>
                <w:rFonts w:hint="eastAsia" w:ascii="宋体" w:hAnsi="宋体" w:eastAsia="宋体" w:cs="宋体"/>
                <w:b/>
                <w:szCs w:val="21"/>
              </w:rPr>
              <w:t>签订时间、业绩内容、</w:t>
            </w:r>
            <w:r>
              <w:rPr>
                <w:rFonts w:hint="eastAsia" w:ascii="宋体" w:hAnsi="宋体" w:eastAsia="宋体" w:cs="宋体"/>
                <w:b/>
                <w:bCs/>
                <w:szCs w:val="21"/>
              </w:rPr>
              <w:t>项目负责人姓名等评审要素的，须另附合同甲方加盖公章的证明材料扫描件，</w:t>
            </w:r>
            <w:r>
              <w:rPr>
                <w:rFonts w:hint="eastAsia" w:ascii="宋体" w:hAnsi="宋体" w:eastAsia="宋体" w:cs="宋体"/>
                <w:b/>
                <w:kern w:val="0"/>
                <w:szCs w:val="21"/>
              </w:rPr>
              <w:t>项目负责人</w:t>
            </w:r>
            <w:r>
              <w:rPr>
                <w:rFonts w:hint="eastAsia" w:ascii="宋体" w:hAnsi="宋体" w:eastAsia="宋体" w:cs="宋体"/>
                <w:b/>
                <w:szCs w:val="21"/>
              </w:rPr>
              <w:t>需为供应商在职人员，并在响应文件中提供相应承诺，格式自拟，否则本项不得分。</w:t>
            </w:r>
          </w:p>
        </w:tc>
        <w:tc>
          <w:tcPr>
            <w:tcW w:w="708" w:type="pct"/>
            <w:tcBorders>
              <w:top w:val="single" w:color="auto" w:sz="4" w:space="0"/>
              <w:left w:val="single" w:color="auto" w:sz="4" w:space="0"/>
              <w:bottom w:val="single" w:color="auto" w:sz="4" w:space="0"/>
              <w:right w:val="single" w:color="auto" w:sz="4" w:space="0"/>
            </w:tcBorders>
            <w:vAlign w:val="center"/>
          </w:tcPr>
          <w:p w14:paraId="0A02E063">
            <w:pPr>
              <w:spacing w:line="360" w:lineRule="auto"/>
              <w:jc w:val="center"/>
              <w:rPr>
                <w:rFonts w:hint="eastAsia" w:ascii="宋体" w:hAnsi="宋体" w:eastAsia="宋体" w:cs="宋体"/>
                <w:b/>
                <w:bCs/>
                <w:szCs w:val="21"/>
              </w:rPr>
            </w:pPr>
            <w:r>
              <w:rPr>
                <w:rFonts w:hint="eastAsia" w:ascii="宋体" w:hAnsi="宋体" w:eastAsia="宋体" w:cs="宋体"/>
                <w:szCs w:val="21"/>
              </w:rPr>
              <w:t>0-10分</w:t>
            </w:r>
          </w:p>
        </w:tc>
      </w:tr>
      <w:tr w14:paraId="1E0F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2707DADC">
            <w:pPr>
              <w:spacing w:line="360" w:lineRule="auto"/>
              <w:ind w:firstLine="435"/>
              <w:jc w:val="center"/>
              <w:rPr>
                <w:rFonts w:hint="eastAsia" w:ascii="宋体" w:hAnsi="宋体" w:eastAsia="宋体" w:cs="宋体"/>
                <w:b/>
                <w:bCs/>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73640269">
            <w:pPr>
              <w:spacing w:line="360" w:lineRule="auto"/>
              <w:jc w:val="center"/>
              <w:rPr>
                <w:rFonts w:hint="eastAsia" w:ascii="宋体" w:hAnsi="宋体" w:eastAsia="宋体" w:cs="宋体"/>
                <w:szCs w:val="21"/>
              </w:rPr>
            </w:pPr>
            <w:r>
              <w:rPr>
                <w:rFonts w:hint="eastAsia" w:ascii="宋体" w:hAnsi="宋体" w:eastAsia="宋体" w:cs="宋体"/>
                <w:szCs w:val="21"/>
              </w:rPr>
              <w:t>项目组成员</w:t>
            </w:r>
          </w:p>
        </w:tc>
        <w:tc>
          <w:tcPr>
            <w:tcW w:w="2943" w:type="pct"/>
            <w:tcBorders>
              <w:top w:val="single" w:color="auto" w:sz="4" w:space="0"/>
              <w:left w:val="single" w:color="auto" w:sz="4" w:space="0"/>
              <w:bottom w:val="single" w:color="auto" w:sz="4" w:space="0"/>
              <w:right w:val="single" w:color="auto" w:sz="4" w:space="0"/>
            </w:tcBorders>
            <w:vAlign w:val="center"/>
          </w:tcPr>
          <w:p w14:paraId="5EBD63D7">
            <w:pPr>
              <w:pStyle w:val="11"/>
              <w:rPr>
                <w:rFonts w:hint="eastAsia" w:ascii="宋体" w:hAnsi="宋体" w:eastAsia="宋体" w:cs="宋体"/>
                <w:bCs/>
                <w:szCs w:val="21"/>
              </w:rPr>
            </w:pPr>
            <w:r>
              <w:rPr>
                <w:rFonts w:hint="eastAsia" w:ascii="宋体" w:hAnsi="宋体" w:eastAsia="宋体" w:cs="宋体"/>
                <w:bCs/>
                <w:szCs w:val="21"/>
              </w:rPr>
              <w:t>（项目负责人除外）</w:t>
            </w:r>
          </w:p>
          <w:p w14:paraId="22AC05F3">
            <w:pPr>
              <w:autoSpaceDE w:val="0"/>
              <w:autoSpaceDN w:val="0"/>
              <w:jc w:val="left"/>
              <w:rPr>
                <w:rFonts w:hint="eastAsia" w:ascii="宋体" w:hAnsi="宋体" w:eastAsia="宋体" w:cs="宋体"/>
                <w:bCs/>
                <w:szCs w:val="21"/>
              </w:rPr>
            </w:pPr>
            <w:r>
              <w:rPr>
                <w:rFonts w:hint="eastAsia" w:ascii="宋体" w:hAnsi="宋体" w:eastAsia="宋体" w:cs="宋体"/>
                <w:bCs/>
                <w:szCs w:val="21"/>
              </w:rPr>
              <w:t>拟投入本项目的项目组成员具有水利工程相关专业高级及以上技术职称证书的，每有一人得5分；具有水利工程相关专业中级技术职称证书，每有一人得3分，最多得30分。</w:t>
            </w:r>
          </w:p>
          <w:p w14:paraId="3C6D02C2">
            <w:pPr>
              <w:pStyle w:val="11"/>
              <w:rPr>
                <w:rFonts w:hint="eastAsia" w:ascii="宋体" w:hAnsi="宋体" w:eastAsia="宋体" w:cs="宋体"/>
                <w:szCs w:val="21"/>
              </w:rPr>
            </w:pPr>
            <w:r>
              <w:rPr>
                <w:rFonts w:hint="eastAsia" w:ascii="宋体" w:hAnsi="宋体" w:eastAsia="宋体" w:cs="宋体"/>
                <w:b/>
              </w:rPr>
              <w:t>注：1.本项目涉及多个单位；</w:t>
            </w:r>
            <w:r>
              <w:rPr>
                <w:rFonts w:hint="eastAsia" w:ascii="宋体" w:hAnsi="宋体" w:eastAsia="宋体" w:cs="宋体"/>
                <w:b/>
                <w:color w:val="000000" w:themeColor="text1"/>
                <w14:textFill>
                  <w14:solidFill>
                    <w14:schemeClr w14:val="tx1"/>
                  </w14:solidFill>
                </w14:textFill>
              </w:rPr>
              <w:t>2.本项最高得30分，</w:t>
            </w:r>
            <w:r>
              <w:rPr>
                <w:rFonts w:hint="eastAsia" w:ascii="宋体" w:hAnsi="宋体" w:eastAsia="宋体" w:cs="宋体"/>
                <w:b/>
              </w:rPr>
              <w:t>同一人员职称以最高得分计，不重复计分。3.相关</w:t>
            </w:r>
            <w:r>
              <w:rPr>
                <w:rFonts w:hint="eastAsia" w:ascii="宋体" w:hAnsi="宋体" w:eastAsia="宋体" w:cs="宋体"/>
                <w:b/>
                <w:kern w:val="0"/>
                <w:szCs w:val="21"/>
              </w:rPr>
              <w:t>项目组成员</w:t>
            </w:r>
            <w:r>
              <w:rPr>
                <w:rFonts w:hint="eastAsia" w:ascii="宋体" w:hAnsi="宋体" w:eastAsia="宋体" w:cs="宋体"/>
                <w:b/>
                <w:szCs w:val="21"/>
              </w:rPr>
              <w:t>需为供应商在职人员，并在响应文件中提供相应承诺，格式自拟，否则本项不得分。</w:t>
            </w:r>
          </w:p>
        </w:tc>
        <w:tc>
          <w:tcPr>
            <w:tcW w:w="708" w:type="pct"/>
            <w:tcBorders>
              <w:top w:val="single" w:color="auto" w:sz="4" w:space="0"/>
              <w:left w:val="single" w:color="auto" w:sz="4" w:space="0"/>
              <w:bottom w:val="single" w:color="auto" w:sz="4" w:space="0"/>
              <w:right w:val="single" w:color="auto" w:sz="4" w:space="0"/>
            </w:tcBorders>
            <w:vAlign w:val="center"/>
          </w:tcPr>
          <w:p w14:paraId="3D0FB141">
            <w:pPr>
              <w:spacing w:line="360" w:lineRule="auto"/>
              <w:jc w:val="center"/>
              <w:rPr>
                <w:rFonts w:hint="eastAsia" w:ascii="宋体" w:hAnsi="宋体" w:eastAsia="宋体" w:cs="宋体"/>
                <w:b/>
                <w:bCs/>
                <w:szCs w:val="21"/>
              </w:rPr>
            </w:pPr>
            <w:r>
              <w:rPr>
                <w:rFonts w:hint="eastAsia" w:ascii="宋体" w:hAnsi="宋体" w:eastAsia="宋体" w:cs="宋体"/>
                <w:szCs w:val="21"/>
              </w:rPr>
              <w:t>0-30分</w:t>
            </w:r>
          </w:p>
        </w:tc>
      </w:tr>
      <w:tr w14:paraId="21DA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647F5382">
            <w:pPr>
              <w:spacing w:line="360" w:lineRule="auto"/>
              <w:ind w:firstLine="435"/>
              <w:jc w:val="center"/>
              <w:rPr>
                <w:rFonts w:hint="eastAsia" w:ascii="宋体" w:hAnsi="宋体" w:eastAsia="宋体" w:cs="宋体"/>
                <w:b/>
                <w:bCs/>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03B380CA">
            <w:pPr>
              <w:jc w:val="center"/>
              <w:rPr>
                <w:rFonts w:hint="eastAsia" w:ascii="宋体" w:hAnsi="宋体" w:eastAsia="宋体" w:cs="宋体"/>
                <w:szCs w:val="21"/>
              </w:rPr>
            </w:pPr>
            <w:r>
              <w:rPr>
                <w:rFonts w:hint="eastAsia" w:ascii="宋体" w:hAnsi="宋体" w:eastAsia="宋体" w:cs="宋体"/>
                <w:szCs w:val="21"/>
              </w:rPr>
              <w:t>监测实施方案、项目重难点</w:t>
            </w:r>
          </w:p>
        </w:tc>
        <w:tc>
          <w:tcPr>
            <w:tcW w:w="2943" w:type="pct"/>
            <w:tcBorders>
              <w:top w:val="single" w:color="auto" w:sz="4" w:space="0"/>
              <w:left w:val="single" w:color="auto" w:sz="4" w:space="0"/>
              <w:bottom w:val="single" w:color="auto" w:sz="4" w:space="0"/>
              <w:right w:val="single" w:color="auto" w:sz="4" w:space="0"/>
            </w:tcBorders>
            <w:vAlign w:val="center"/>
          </w:tcPr>
          <w:p w14:paraId="186081B4">
            <w:pPr>
              <w:jc w:val="left"/>
              <w:rPr>
                <w:rFonts w:hint="eastAsia" w:ascii="宋体" w:hAnsi="宋体" w:eastAsia="宋体" w:cs="宋体"/>
                <w:szCs w:val="21"/>
              </w:rPr>
            </w:pPr>
            <w:r>
              <w:rPr>
                <w:rFonts w:hint="eastAsia" w:ascii="宋体" w:hAnsi="宋体" w:eastAsia="宋体" w:cs="宋体"/>
                <w:szCs w:val="21"/>
              </w:rPr>
              <w:t>评审小组根据供应商提供的监测实施方案是否全面、监测方法是否详细、合理等相关内容进行综合评审：</w:t>
            </w:r>
          </w:p>
          <w:p w14:paraId="495C9255">
            <w:pPr>
              <w:jc w:val="left"/>
              <w:rPr>
                <w:rFonts w:hint="eastAsia" w:ascii="宋体" w:hAnsi="宋体" w:eastAsia="宋体" w:cs="宋体"/>
                <w:szCs w:val="21"/>
              </w:rPr>
            </w:pPr>
            <w:r>
              <w:rPr>
                <w:rFonts w:hint="eastAsia" w:ascii="宋体" w:hAnsi="宋体" w:eastAsia="宋体" w:cs="宋体"/>
                <w:szCs w:val="21"/>
              </w:rPr>
              <w:t>（1）计划周密详细、合理科学，实施方案充分满足项目实际需要的得5分；</w:t>
            </w:r>
          </w:p>
          <w:p w14:paraId="7F66ACB4">
            <w:pPr>
              <w:jc w:val="left"/>
              <w:rPr>
                <w:rFonts w:hint="eastAsia" w:ascii="宋体" w:hAnsi="宋体" w:eastAsia="宋体" w:cs="宋体"/>
                <w:szCs w:val="21"/>
              </w:rPr>
            </w:pPr>
            <w:r>
              <w:rPr>
                <w:rFonts w:hint="eastAsia" w:ascii="宋体" w:hAnsi="宋体" w:eastAsia="宋体" w:cs="宋体"/>
                <w:szCs w:val="21"/>
              </w:rPr>
              <w:t>（2）计划较详细、较合理，实施方案满足项目实际需要的得3分；</w:t>
            </w:r>
          </w:p>
          <w:p w14:paraId="20FC6FD3">
            <w:pPr>
              <w:jc w:val="left"/>
              <w:rPr>
                <w:rFonts w:hint="eastAsia" w:ascii="宋体" w:hAnsi="宋体" w:eastAsia="宋体" w:cs="宋体"/>
                <w:szCs w:val="21"/>
              </w:rPr>
            </w:pPr>
            <w:r>
              <w:rPr>
                <w:rFonts w:hint="eastAsia" w:ascii="宋体" w:hAnsi="宋体" w:eastAsia="宋体" w:cs="宋体"/>
                <w:szCs w:val="21"/>
              </w:rPr>
              <w:t>（3）计划详细性、合理性一般，实施方案勉强满足项目实际需要的得1分；</w:t>
            </w:r>
          </w:p>
          <w:p w14:paraId="0F5AC400">
            <w:pPr>
              <w:jc w:val="left"/>
              <w:rPr>
                <w:rFonts w:hint="eastAsia" w:ascii="宋体" w:hAnsi="宋体" w:eastAsia="宋体" w:cs="宋体"/>
                <w:szCs w:val="21"/>
              </w:rPr>
            </w:pPr>
            <w:r>
              <w:rPr>
                <w:rFonts w:hint="eastAsia" w:ascii="宋体" w:hAnsi="宋体" w:eastAsia="宋体" w:cs="宋体"/>
                <w:szCs w:val="21"/>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281DFF61">
            <w:pPr>
              <w:spacing w:line="360" w:lineRule="auto"/>
              <w:jc w:val="center"/>
              <w:rPr>
                <w:rFonts w:hint="eastAsia" w:ascii="宋体" w:hAnsi="宋体" w:eastAsia="宋体" w:cs="宋体"/>
                <w:b/>
                <w:bCs/>
                <w:szCs w:val="21"/>
              </w:rPr>
            </w:pPr>
            <w:r>
              <w:rPr>
                <w:rFonts w:hint="eastAsia" w:ascii="宋体" w:hAnsi="宋体" w:eastAsia="宋体" w:cs="宋体"/>
                <w:szCs w:val="21"/>
              </w:rPr>
              <w:t>0-5分</w:t>
            </w:r>
          </w:p>
        </w:tc>
      </w:tr>
      <w:tr w14:paraId="330B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68F850C8">
            <w:pPr>
              <w:spacing w:line="360" w:lineRule="auto"/>
              <w:ind w:firstLine="435"/>
              <w:jc w:val="center"/>
              <w:rPr>
                <w:rFonts w:hint="eastAsia" w:ascii="宋体" w:hAnsi="宋体" w:eastAsia="宋体" w:cs="宋体"/>
                <w:b/>
                <w:bCs/>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94001AB">
            <w:pPr>
              <w:jc w:val="center"/>
              <w:rPr>
                <w:rFonts w:hint="eastAsia" w:ascii="宋体" w:hAnsi="宋体" w:eastAsia="宋体" w:cs="宋体"/>
                <w:szCs w:val="21"/>
              </w:rPr>
            </w:pPr>
            <w:r>
              <w:rPr>
                <w:rFonts w:hint="eastAsia" w:ascii="宋体" w:hAnsi="宋体" w:eastAsia="宋体" w:cs="宋体"/>
                <w:szCs w:val="21"/>
              </w:rPr>
              <w:t>测量设备投入情况</w:t>
            </w:r>
          </w:p>
        </w:tc>
        <w:tc>
          <w:tcPr>
            <w:tcW w:w="2943" w:type="pct"/>
            <w:tcBorders>
              <w:top w:val="single" w:color="auto" w:sz="4" w:space="0"/>
              <w:left w:val="single" w:color="auto" w:sz="4" w:space="0"/>
              <w:bottom w:val="single" w:color="auto" w:sz="4" w:space="0"/>
              <w:right w:val="single" w:color="auto" w:sz="4" w:space="0"/>
            </w:tcBorders>
            <w:vAlign w:val="center"/>
          </w:tcPr>
          <w:p w14:paraId="478CBE02">
            <w:pPr>
              <w:jc w:val="left"/>
              <w:rPr>
                <w:rFonts w:hint="eastAsia" w:ascii="宋体" w:hAnsi="宋体" w:eastAsia="宋体" w:cs="宋体"/>
                <w:szCs w:val="21"/>
              </w:rPr>
            </w:pPr>
            <w:r>
              <w:rPr>
                <w:rFonts w:hint="eastAsia" w:ascii="宋体" w:hAnsi="宋体" w:eastAsia="宋体" w:cs="宋体"/>
                <w:szCs w:val="21"/>
              </w:rPr>
              <w:t>评审小组根据供应商对本项目的测量设备投入情况，人员制度管理方案进行综合评审：</w:t>
            </w:r>
          </w:p>
          <w:p w14:paraId="7D62381A">
            <w:pPr>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覆盖全面、要点突出、针对性强，内容完整详实，表述清晰，与本项目实际需求适应度高，利于项目实施的得</w:t>
            </w:r>
            <w:r>
              <w:rPr>
                <w:rFonts w:hint="eastAsia" w:ascii="宋体" w:hAnsi="宋体" w:eastAsia="宋体" w:cs="宋体"/>
                <w:szCs w:val="21"/>
              </w:rPr>
              <w:t>5</w:t>
            </w:r>
            <w:r>
              <w:rPr>
                <w:rFonts w:hint="eastAsia" w:ascii="宋体" w:hAnsi="宋体" w:eastAsia="宋体" w:cs="宋体"/>
                <w:szCs w:val="21"/>
                <w:lang w:val="zh-CN"/>
              </w:rPr>
              <w:t>分；</w:t>
            </w:r>
          </w:p>
          <w:p w14:paraId="3C0F346F">
            <w:pPr>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）覆盖</w:t>
            </w:r>
            <w:r>
              <w:rPr>
                <w:rFonts w:hint="eastAsia" w:ascii="宋体" w:hAnsi="宋体" w:eastAsia="宋体" w:cs="宋体"/>
                <w:szCs w:val="21"/>
              </w:rPr>
              <w:t>基本</w:t>
            </w:r>
            <w:r>
              <w:rPr>
                <w:rFonts w:hint="eastAsia" w:ascii="宋体" w:hAnsi="宋体" w:eastAsia="宋体" w:cs="宋体"/>
                <w:szCs w:val="21"/>
                <w:lang w:val="zh-CN"/>
              </w:rPr>
              <w:t>全面、要点</w:t>
            </w:r>
            <w:r>
              <w:rPr>
                <w:rFonts w:hint="eastAsia" w:ascii="宋体" w:hAnsi="宋体" w:eastAsia="宋体" w:cs="宋体"/>
                <w:szCs w:val="21"/>
              </w:rPr>
              <w:t>基本</w:t>
            </w:r>
            <w:r>
              <w:rPr>
                <w:rFonts w:hint="eastAsia" w:ascii="宋体" w:hAnsi="宋体" w:eastAsia="宋体" w:cs="宋体"/>
                <w:szCs w:val="21"/>
                <w:lang w:val="zh-CN"/>
              </w:rPr>
              <w:t>突出、有一定针对性，内容</w:t>
            </w:r>
            <w:r>
              <w:rPr>
                <w:rFonts w:hint="eastAsia" w:ascii="宋体" w:hAnsi="宋体" w:eastAsia="宋体" w:cs="宋体"/>
                <w:szCs w:val="21"/>
              </w:rPr>
              <w:t>基本完整</w:t>
            </w:r>
            <w:r>
              <w:rPr>
                <w:rFonts w:hint="eastAsia" w:ascii="宋体" w:hAnsi="宋体" w:eastAsia="宋体" w:cs="宋体"/>
                <w:szCs w:val="21"/>
                <w:lang w:val="zh-CN"/>
              </w:rPr>
              <w:t>详实，表述</w:t>
            </w:r>
            <w:r>
              <w:rPr>
                <w:rFonts w:hint="eastAsia" w:ascii="宋体" w:hAnsi="宋体" w:eastAsia="宋体" w:cs="宋体"/>
                <w:szCs w:val="21"/>
              </w:rPr>
              <w:t>基本</w:t>
            </w:r>
            <w:r>
              <w:rPr>
                <w:rFonts w:hint="eastAsia" w:ascii="宋体" w:hAnsi="宋体" w:eastAsia="宋体" w:cs="宋体"/>
                <w:szCs w:val="21"/>
                <w:lang w:val="zh-CN"/>
              </w:rPr>
              <w:t>清晰，与本项目实际需求</w:t>
            </w:r>
            <w:r>
              <w:rPr>
                <w:rFonts w:hint="eastAsia" w:ascii="宋体" w:hAnsi="宋体" w:eastAsia="宋体" w:cs="宋体"/>
                <w:szCs w:val="21"/>
              </w:rPr>
              <w:t>基本适应</w:t>
            </w:r>
            <w:r>
              <w:rPr>
                <w:rFonts w:hint="eastAsia" w:ascii="宋体" w:hAnsi="宋体" w:eastAsia="宋体" w:cs="宋体"/>
                <w:szCs w:val="21"/>
                <w:lang w:val="zh-CN"/>
              </w:rPr>
              <w:t>，</w:t>
            </w:r>
            <w:r>
              <w:rPr>
                <w:rFonts w:hint="eastAsia" w:ascii="宋体" w:hAnsi="宋体" w:eastAsia="宋体" w:cs="宋体"/>
                <w:szCs w:val="21"/>
              </w:rPr>
              <w:t>基本</w:t>
            </w:r>
            <w:r>
              <w:rPr>
                <w:rFonts w:hint="eastAsia" w:ascii="宋体" w:hAnsi="宋体" w:eastAsia="宋体" w:cs="宋体"/>
                <w:szCs w:val="21"/>
                <w:lang w:val="zh-CN"/>
              </w:rPr>
              <w:t>符合项目实施要求的得</w:t>
            </w:r>
            <w:r>
              <w:rPr>
                <w:rFonts w:hint="eastAsia" w:ascii="宋体" w:hAnsi="宋体" w:eastAsia="宋体" w:cs="宋体"/>
                <w:szCs w:val="21"/>
              </w:rPr>
              <w:t>3</w:t>
            </w:r>
            <w:r>
              <w:rPr>
                <w:rFonts w:hint="eastAsia" w:ascii="宋体" w:hAnsi="宋体" w:eastAsia="宋体" w:cs="宋体"/>
                <w:szCs w:val="21"/>
                <w:lang w:val="zh-CN"/>
              </w:rPr>
              <w:t>分；</w:t>
            </w:r>
          </w:p>
          <w:p w14:paraId="2E5B4AE3">
            <w:pPr>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）覆盖</w:t>
            </w:r>
            <w:r>
              <w:rPr>
                <w:rFonts w:hint="eastAsia" w:ascii="宋体" w:hAnsi="宋体" w:eastAsia="宋体" w:cs="宋体"/>
                <w:szCs w:val="21"/>
              </w:rPr>
              <w:t>不</w:t>
            </w:r>
            <w:r>
              <w:rPr>
                <w:rFonts w:hint="eastAsia" w:ascii="宋体" w:hAnsi="宋体" w:eastAsia="宋体" w:cs="宋体"/>
                <w:szCs w:val="21"/>
                <w:lang w:val="zh-CN"/>
              </w:rPr>
              <w:t>全面、要点</w:t>
            </w:r>
            <w:r>
              <w:rPr>
                <w:rFonts w:hint="eastAsia" w:ascii="宋体" w:hAnsi="宋体" w:eastAsia="宋体" w:cs="宋体"/>
                <w:szCs w:val="21"/>
              </w:rPr>
              <w:t>不</w:t>
            </w:r>
            <w:r>
              <w:rPr>
                <w:rFonts w:hint="eastAsia" w:ascii="宋体" w:hAnsi="宋体" w:eastAsia="宋体" w:cs="宋体"/>
                <w:szCs w:val="21"/>
                <w:lang w:val="zh-CN"/>
              </w:rPr>
              <w:t>突出、针对性</w:t>
            </w:r>
            <w:r>
              <w:rPr>
                <w:rFonts w:hint="eastAsia" w:ascii="宋体" w:hAnsi="宋体" w:eastAsia="宋体" w:cs="宋体"/>
                <w:szCs w:val="21"/>
              </w:rPr>
              <w:t>不强</w:t>
            </w:r>
            <w:r>
              <w:rPr>
                <w:rFonts w:hint="eastAsia" w:ascii="宋体" w:hAnsi="宋体" w:eastAsia="宋体" w:cs="宋体"/>
                <w:szCs w:val="21"/>
                <w:lang w:val="zh-CN"/>
              </w:rPr>
              <w:t>，内容</w:t>
            </w:r>
            <w:r>
              <w:rPr>
                <w:rFonts w:hint="eastAsia" w:ascii="宋体" w:hAnsi="宋体" w:eastAsia="宋体" w:cs="宋体"/>
                <w:szCs w:val="21"/>
              </w:rPr>
              <w:t>不完整</w:t>
            </w:r>
            <w:r>
              <w:rPr>
                <w:rFonts w:hint="eastAsia" w:ascii="宋体" w:hAnsi="宋体" w:eastAsia="宋体" w:cs="宋体"/>
                <w:szCs w:val="21"/>
                <w:lang w:val="zh-CN"/>
              </w:rPr>
              <w:t>，表述</w:t>
            </w:r>
            <w:r>
              <w:rPr>
                <w:rFonts w:hint="eastAsia" w:ascii="宋体" w:hAnsi="宋体" w:eastAsia="宋体" w:cs="宋体"/>
                <w:szCs w:val="21"/>
              </w:rPr>
              <w:t>不</w:t>
            </w:r>
            <w:r>
              <w:rPr>
                <w:rFonts w:hint="eastAsia" w:ascii="宋体" w:hAnsi="宋体" w:eastAsia="宋体" w:cs="宋体"/>
                <w:szCs w:val="21"/>
                <w:lang w:val="zh-CN"/>
              </w:rPr>
              <w:t>清晰，与本项目实际需求</w:t>
            </w:r>
            <w:r>
              <w:rPr>
                <w:rFonts w:hint="eastAsia" w:ascii="宋体" w:hAnsi="宋体" w:eastAsia="宋体" w:cs="宋体"/>
                <w:szCs w:val="21"/>
              </w:rPr>
              <w:t>不适应</w:t>
            </w:r>
            <w:r>
              <w:rPr>
                <w:rFonts w:hint="eastAsia" w:ascii="宋体" w:hAnsi="宋体" w:eastAsia="宋体" w:cs="宋体"/>
                <w:szCs w:val="21"/>
                <w:lang w:val="zh-CN"/>
              </w:rPr>
              <w:t>，</w:t>
            </w:r>
            <w:r>
              <w:rPr>
                <w:rFonts w:hint="eastAsia" w:ascii="宋体" w:hAnsi="宋体" w:eastAsia="宋体" w:cs="宋体"/>
                <w:szCs w:val="21"/>
              </w:rPr>
              <w:t>不</w:t>
            </w:r>
            <w:r>
              <w:rPr>
                <w:rFonts w:hint="eastAsia" w:ascii="宋体" w:hAnsi="宋体" w:eastAsia="宋体" w:cs="宋体"/>
                <w:szCs w:val="21"/>
                <w:lang w:val="zh-CN"/>
              </w:rPr>
              <w:t>符合项目实施要求的得</w:t>
            </w:r>
            <w:r>
              <w:rPr>
                <w:rFonts w:hint="eastAsia" w:ascii="宋体" w:hAnsi="宋体" w:eastAsia="宋体" w:cs="宋体"/>
                <w:szCs w:val="21"/>
              </w:rPr>
              <w:t>1</w:t>
            </w:r>
            <w:r>
              <w:rPr>
                <w:rFonts w:hint="eastAsia" w:ascii="宋体" w:hAnsi="宋体" w:eastAsia="宋体" w:cs="宋体"/>
                <w:szCs w:val="21"/>
                <w:lang w:val="zh-CN"/>
              </w:rPr>
              <w:t>分；</w:t>
            </w:r>
          </w:p>
          <w:p w14:paraId="7F54A1A8">
            <w:pPr>
              <w:jc w:val="left"/>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6CCA96E6">
            <w:pPr>
              <w:spacing w:line="360" w:lineRule="auto"/>
              <w:jc w:val="center"/>
              <w:rPr>
                <w:rFonts w:hint="eastAsia" w:ascii="宋体" w:hAnsi="宋体" w:eastAsia="宋体" w:cs="宋体"/>
                <w:b/>
                <w:bCs/>
                <w:szCs w:val="21"/>
              </w:rPr>
            </w:pPr>
            <w:r>
              <w:rPr>
                <w:rFonts w:hint="eastAsia" w:ascii="宋体" w:hAnsi="宋体" w:eastAsia="宋体" w:cs="宋体"/>
                <w:szCs w:val="21"/>
              </w:rPr>
              <w:t>0-5分</w:t>
            </w:r>
          </w:p>
        </w:tc>
      </w:tr>
      <w:tr w14:paraId="7F05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6C72AA23">
            <w:pPr>
              <w:spacing w:line="360" w:lineRule="auto"/>
              <w:ind w:firstLine="435"/>
              <w:jc w:val="center"/>
              <w:rPr>
                <w:rFonts w:hint="eastAsia" w:ascii="宋体" w:hAnsi="宋体" w:eastAsia="宋体" w:cs="宋体"/>
                <w:b/>
                <w:bCs/>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05F5E439">
            <w:pPr>
              <w:jc w:val="center"/>
              <w:rPr>
                <w:rFonts w:hint="eastAsia" w:ascii="宋体" w:hAnsi="宋体" w:eastAsia="宋体" w:cs="宋体"/>
                <w:szCs w:val="21"/>
              </w:rPr>
            </w:pPr>
            <w:r>
              <w:rPr>
                <w:rFonts w:hint="eastAsia" w:ascii="宋体" w:hAnsi="宋体" w:eastAsia="宋体" w:cs="宋体"/>
                <w:szCs w:val="21"/>
              </w:rPr>
              <w:t>前期调研、资料收集方案</w:t>
            </w:r>
          </w:p>
        </w:tc>
        <w:tc>
          <w:tcPr>
            <w:tcW w:w="2943" w:type="pct"/>
            <w:tcBorders>
              <w:top w:val="single" w:color="auto" w:sz="4" w:space="0"/>
              <w:left w:val="single" w:color="auto" w:sz="4" w:space="0"/>
              <w:bottom w:val="single" w:color="auto" w:sz="4" w:space="0"/>
              <w:right w:val="single" w:color="auto" w:sz="4" w:space="0"/>
            </w:tcBorders>
            <w:vAlign w:val="center"/>
          </w:tcPr>
          <w:p w14:paraId="45411A93">
            <w:pPr>
              <w:widowControl/>
              <w:jc w:val="left"/>
              <w:rPr>
                <w:rFonts w:hint="eastAsia" w:ascii="宋体" w:hAnsi="宋体" w:eastAsia="宋体" w:cs="宋体"/>
                <w:color w:val="000000"/>
                <w:kern w:val="0"/>
                <w:szCs w:val="21"/>
                <w:lang w:bidi="ar"/>
              </w:rPr>
            </w:pPr>
            <w:r>
              <w:rPr>
                <w:rFonts w:hint="eastAsia" w:ascii="宋体" w:hAnsi="宋体" w:eastAsia="宋体" w:cs="宋体"/>
                <w:szCs w:val="21"/>
              </w:rPr>
              <w:t>评审小组</w:t>
            </w:r>
            <w:r>
              <w:rPr>
                <w:rFonts w:hint="eastAsia" w:ascii="宋体" w:hAnsi="宋体" w:eastAsia="宋体" w:cs="宋体"/>
                <w:color w:val="000000"/>
                <w:kern w:val="0"/>
                <w:szCs w:val="21"/>
                <w:lang w:bidi="ar"/>
              </w:rPr>
              <w:t>根据</w:t>
            </w:r>
            <w:r>
              <w:rPr>
                <w:rFonts w:hint="eastAsia" w:ascii="宋体" w:hAnsi="宋体" w:eastAsia="宋体" w:cs="宋体"/>
                <w:szCs w:val="21"/>
              </w:rPr>
              <w:t>供应商提供的前期准备方案、现在调研计划、资料收集方案</w:t>
            </w:r>
            <w:r>
              <w:rPr>
                <w:rFonts w:hint="eastAsia" w:ascii="宋体" w:hAnsi="宋体" w:eastAsia="宋体" w:cs="宋体"/>
                <w:color w:val="000000"/>
                <w:kern w:val="0"/>
                <w:szCs w:val="21"/>
                <w:lang w:bidi="ar"/>
              </w:rPr>
              <w:t>要求进行评审：</w:t>
            </w:r>
          </w:p>
          <w:p w14:paraId="6DA55842">
            <w:pPr>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覆盖全面、要点突出、针对性强，内容完整详实，表述清晰，与本项目实际需求适应度高，利于项目实施的得</w:t>
            </w:r>
            <w:r>
              <w:rPr>
                <w:rFonts w:hint="eastAsia" w:ascii="宋体" w:hAnsi="宋体" w:eastAsia="宋体" w:cs="宋体"/>
                <w:szCs w:val="21"/>
              </w:rPr>
              <w:t>5</w:t>
            </w:r>
            <w:r>
              <w:rPr>
                <w:rFonts w:hint="eastAsia" w:ascii="宋体" w:hAnsi="宋体" w:eastAsia="宋体" w:cs="宋体"/>
                <w:szCs w:val="21"/>
                <w:lang w:val="zh-CN"/>
              </w:rPr>
              <w:t>分；</w:t>
            </w:r>
          </w:p>
          <w:p w14:paraId="7B37DA87">
            <w:pPr>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）覆盖</w:t>
            </w:r>
            <w:r>
              <w:rPr>
                <w:rFonts w:hint="eastAsia" w:ascii="宋体" w:hAnsi="宋体" w:eastAsia="宋体" w:cs="宋体"/>
                <w:szCs w:val="21"/>
              </w:rPr>
              <w:t>基本</w:t>
            </w:r>
            <w:r>
              <w:rPr>
                <w:rFonts w:hint="eastAsia" w:ascii="宋体" w:hAnsi="宋体" w:eastAsia="宋体" w:cs="宋体"/>
                <w:szCs w:val="21"/>
                <w:lang w:val="zh-CN"/>
              </w:rPr>
              <w:t>全面、要点</w:t>
            </w:r>
            <w:r>
              <w:rPr>
                <w:rFonts w:hint="eastAsia" w:ascii="宋体" w:hAnsi="宋体" w:eastAsia="宋体" w:cs="宋体"/>
                <w:szCs w:val="21"/>
              </w:rPr>
              <w:t>基本</w:t>
            </w:r>
            <w:r>
              <w:rPr>
                <w:rFonts w:hint="eastAsia" w:ascii="宋体" w:hAnsi="宋体" w:eastAsia="宋体" w:cs="宋体"/>
                <w:szCs w:val="21"/>
                <w:lang w:val="zh-CN"/>
              </w:rPr>
              <w:t>突出、有一定针对性，内容</w:t>
            </w:r>
            <w:r>
              <w:rPr>
                <w:rFonts w:hint="eastAsia" w:ascii="宋体" w:hAnsi="宋体" w:eastAsia="宋体" w:cs="宋体"/>
                <w:szCs w:val="21"/>
              </w:rPr>
              <w:t>基本完整</w:t>
            </w:r>
            <w:r>
              <w:rPr>
                <w:rFonts w:hint="eastAsia" w:ascii="宋体" w:hAnsi="宋体" w:eastAsia="宋体" w:cs="宋体"/>
                <w:szCs w:val="21"/>
                <w:lang w:val="zh-CN"/>
              </w:rPr>
              <w:t>详实，表述</w:t>
            </w:r>
            <w:r>
              <w:rPr>
                <w:rFonts w:hint="eastAsia" w:ascii="宋体" w:hAnsi="宋体" w:eastAsia="宋体" w:cs="宋体"/>
                <w:szCs w:val="21"/>
              </w:rPr>
              <w:t>基本</w:t>
            </w:r>
            <w:r>
              <w:rPr>
                <w:rFonts w:hint="eastAsia" w:ascii="宋体" w:hAnsi="宋体" w:eastAsia="宋体" w:cs="宋体"/>
                <w:szCs w:val="21"/>
                <w:lang w:val="zh-CN"/>
              </w:rPr>
              <w:t>清晰，与本项目实际需求</w:t>
            </w:r>
            <w:r>
              <w:rPr>
                <w:rFonts w:hint="eastAsia" w:ascii="宋体" w:hAnsi="宋体" w:eastAsia="宋体" w:cs="宋体"/>
                <w:szCs w:val="21"/>
              </w:rPr>
              <w:t>基本适应</w:t>
            </w:r>
            <w:r>
              <w:rPr>
                <w:rFonts w:hint="eastAsia" w:ascii="宋体" w:hAnsi="宋体" w:eastAsia="宋体" w:cs="宋体"/>
                <w:szCs w:val="21"/>
                <w:lang w:val="zh-CN"/>
              </w:rPr>
              <w:t>，</w:t>
            </w:r>
            <w:r>
              <w:rPr>
                <w:rFonts w:hint="eastAsia" w:ascii="宋体" w:hAnsi="宋体" w:eastAsia="宋体" w:cs="宋体"/>
                <w:szCs w:val="21"/>
              </w:rPr>
              <w:t>基本</w:t>
            </w:r>
            <w:r>
              <w:rPr>
                <w:rFonts w:hint="eastAsia" w:ascii="宋体" w:hAnsi="宋体" w:eastAsia="宋体" w:cs="宋体"/>
                <w:szCs w:val="21"/>
                <w:lang w:val="zh-CN"/>
              </w:rPr>
              <w:t>符合项目实施要求的得</w:t>
            </w:r>
            <w:r>
              <w:rPr>
                <w:rFonts w:hint="eastAsia" w:ascii="宋体" w:hAnsi="宋体" w:eastAsia="宋体" w:cs="宋体"/>
                <w:szCs w:val="21"/>
              </w:rPr>
              <w:t>3</w:t>
            </w:r>
            <w:r>
              <w:rPr>
                <w:rFonts w:hint="eastAsia" w:ascii="宋体" w:hAnsi="宋体" w:eastAsia="宋体" w:cs="宋体"/>
                <w:szCs w:val="21"/>
                <w:lang w:val="zh-CN"/>
              </w:rPr>
              <w:t>分；</w:t>
            </w:r>
          </w:p>
          <w:p w14:paraId="28C7654E">
            <w:pPr>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）覆盖</w:t>
            </w:r>
            <w:r>
              <w:rPr>
                <w:rFonts w:hint="eastAsia" w:ascii="宋体" w:hAnsi="宋体" w:eastAsia="宋体" w:cs="宋体"/>
                <w:szCs w:val="21"/>
              </w:rPr>
              <w:t>不</w:t>
            </w:r>
            <w:r>
              <w:rPr>
                <w:rFonts w:hint="eastAsia" w:ascii="宋体" w:hAnsi="宋体" w:eastAsia="宋体" w:cs="宋体"/>
                <w:szCs w:val="21"/>
                <w:lang w:val="zh-CN"/>
              </w:rPr>
              <w:t>全面、要点</w:t>
            </w:r>
            <w:r>
              <w:rPr>
                <w:rFonts w:hint="eastAsia" w:ascii="宋体" w:hAnsi="宋体" w:eastAsia="宋体" w:cs="宋体"/>
                <w:szCs w:val="21"/>
              </w:rPr>
              <w:t>不</w:t>
            </w:r>
            <w:r>
              <w:rPr>
                <w:rFonts w:hint="eastAsia" w:ascii="宋体" w:hAnsi="宋体" w:eastAsia="宋体" w:cs="宋体"/>
                <w:szCs w:val="21"/>
                <w:lang w:val="zh-CN"/>
              </w:rPr>
              <w:t>突出、针对性</w:t>
            </w:r>
            <w:r>
              <w:rPr>
                <w:rFonts w:hint="eastAsia" w:ascii="宋体" w:hAnsi="宋体" w:eastAsia="宋体" w:cs="宋体"/>
                <w:szCs w:val="21"/>
              </w:rPr>
              <w:t>不强</w:t>
            </w:r>
            <w:r>
              <w:rPr>
                <w:rFonts w:hint="eastAsia" w:ascii="宋体" w:hAnsi="宋体" w:eastAsia="宋体" w:cs="宋体"/>
                <w:szCs w:val="21"/>
                <w:lang w:val="zh-CN"/>
              </w:rPr>
              <w:t>，内容</w:t>
            </w:r>
            <w:r>
              <w:rPr>
                <w:rFonts w:hint="eastAsia" w:ascii="宋体" w:hAnsi="宋体" w:eastAsia="宋体" w:cs="宋体"/>
                <w:szCs w:val="21"/>
              </w:rPr>
              <w:t>不完整</w:t>
            </w:r>
            <w:r>
              <w:rPr>
                <w:rFonts w:hint="eastAsia" w:ascii="宋体" w:hAnsi="宋体" w:eastAsia="宋体" w:cs="宋体"/>
                <w:szCs w:val="21"/>
                <w:lang w:val="zh-CN"/>
              </w:rPr>
              <w:t>，表述</w:t>
            </w:r>
            <w:r>
              <w:rPr>
                <w:rFonts w:hint="eastAsia" w:ascii="宋体" w:hAnsi="宋体" w:eastAsia="宋体" w:cs="宋体"/>
                <w:szCs w:val="21"/>
              </w:rPr>
              <w:t>不</w:t>
            </w:r>
            <w:r>
              <w:rPr>
                <w:rFonts w:hint="eastAsia" w:ascii="宋体" w:hAnsi="宋体" w:eastAsia="宋体" w:cs="宋体"/>
                <w:szCs w:val="21"/>
                <w:lang w:val="zh-CN"/>
              </w:rPr>
              <w:t>清晰，与本项目实际需求</w:t>
            </w:r>
            <w:r>
              <w:rPr>
                <w:rFonts w:hint="eastAsia" w:ascii="宋体" w:hAnsi="宋体" w:eastAsia="宋体" w:cs="宋体"/>
                <w:szCs w:val="21"/>
              </w:rPr>
              <w:t>不适应</w:t>
            </w:r>
            <w:r>
              <w:rPr>
                <w:rFonts w:hint="eastAsia" w:ascii="宋体" w:hAnsi="宋体" w:eastAsia="宋体" w:cs="宋体"/>
                <w:szCs w:val="21"/>
                <w:lang w:val="zh-CN"/>
              </w:rPr>
              <w:t>，</w:t>
            </w:r>
            <w:r>
              <w:rPr>
                <w:rFonts w:hint="eastAsia" w:ascii="宋体" w:hAnsi="宋体" w:eastAsia="宋体" w:cs="宋体"/>
                <w:szCs w:val="21"/>
              </w:rPr>
              <w:t>不</w:t>
            </w:r>
            <w:r>
              <w:rPr>
                <w:rFonts w:hint="eastAsia" w:ascii="宋体" w:hAnsi="宋体" w:eastAsia="宋体" w:cs="宋体"/>
                <w:szCs w:val="21"/>
                <w:lang w:val="zh-CN"/>
              </w:rPr>
              <w:t>符合项目实施要求的得</w:t>
            </w:r>
            <w:r>
              <w:rPr>
                <w:rFonts w:hint="eastAsia" w:ascii="宋体" w:hAnsi="宋体" w:eastAsia="宋体" w:cs="宋体"/>
                <w:szCs w:val="21"/>
              </w:rPr>
              <w:t>1</w:t>
            </w:r>
            <w:r>
              <w:rPr>
                <w:rFonts w:hint="eastAsia" w:ascii="宋体" w:hAnsi="宋体" w:eastAsia="宋体" w:cs="宋体"/>
                <w:szCs w:val="21"/>
                <w:lang w:val="zh-CN"/>
              </w:rPr>
              <w:t>分；</w:t>
            </w:r>
          </w:p>
          <w:p w14:paraId="04862959">
            <w:pPr>
              <w:widowControl/>
              <w:jc w:val="left"/>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29ECDDCD">
            <w:pPr>
              <w:spacing w:line="360" w:lineRule="auto"/>
              <w:jc w:val="center"/>
              <w:rPr>
                <w:rFonts w:hint="eastAsia" w:ascii="宋体" w:hAnsi="宋体" w:eastAsia="宋体" w:cs="宋体"/>
                <w:b/>
                <w:bCs/>
                <w:szCs w:val="21"/>
              </w:rPr>
            </w:pPr>
            <w:r>
              <w:rPr>
                <w:rFonts w:hint="eastAsia" w:ascii="宋体" w:hAnsi="宋体" w:eastAsia="宋体" w:cs="宋体"/>
                <w:szCs w:val="21"/>
              </w:rPr>
              <w:t>0-5分</w:t>
            </w:r>
          </w:p>
        </w:tc>
      </w:tr>
      <w:tr w14:paraId="6A62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1C2BFB39">
            <w:pPr>
              <w:spacing w:line="360" w:lineRule="auto"/>
              <w:ind w:firstLine="435"/>
              <w:jc w:val="center"/>
              <w:rPr>
                <w:rFonts w:hint="eastAsia" w:ascii="宋体" w:hAnsi="宋体" w:eastAsia="宋体" w:cs="宋体"/>
                <w:b/>
                <w:bCs/>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5E517FC3">
            <w:pPr>
              <w:widowControl/>
              <w:jc w:val="center"/>
              <w:rPr>
                <w:rFonts w:hint="eastAsia" w:ascii="宋体" w:hAnsi="宋体" w:eastAsia="宋体" w:cs="宋体"/>
                <w:szCs w:val="21"/>
              </w:rPr>
            </w:pPr>
            <w:r>
              <w:rPr>
                <w:rFonts w:hint="eastAsia" w:ascii="宋体" w:hAnsi="宋体" w:eastAsia="宋体" w:cs="宋体"/>
                <w:color w:val="000000"/>
                <w:kern w:val="0"/>
                <w:szCs w:val="21"/>
                <w:lang w:bidi="ar"/>
              </w:rPr>
              <w:t>现场服务（质量、安全、文明）保障措施</w:t>
            </w:r>
          </w:p>
          <w:p w14:paraId="779F55AC">
            <w:pPr>
              <w:widowControl/>
              <w:adjustRightInd w:val="0"/>
              <w:snapToGrid w:val="0"/>
              <w:jc w:val="center"/>
              <w:rPr>
                <w:rFonts w:hint="eastAsia" w:ascii="宋体" w:hAnsi="宋体" w:eastAsia="宋体" w:cs="宋体"/>
                <w:szCs w:val="21"/>
              </w:rPr>
            </w:pPr>
          </w:p>
        </w:tc>
        <w:tc>
          <w:tcPr>
            <w:tcW w:w="2943" w:type="pct"/>
            <w:tcBorders>
              <w:top w:val="single" w:color="auto" w:sz="4" w:space="0"/>
              <w:left w:val="single" w:color="auto" w:sz="4" w:space="0"/>
              <w:bottom w:val="single" w:color="auto" w:sz="4" w:space="0"/>
              <w:right w:val="single" w:color="auto" w:sz="4" w:space="0"/>
            </w:tcBorders>
            <w:vAlign w:val="center"/>
          </w:tcPr>
          <w:p w14:paraId="36A68EA9">
            <w:pPr>
              <w:widowControl/>
              <w:jc w:val="left"/>
              <w:rPr>
                <w:rFonts w:hint="eastAsia" w:ascii="宋体" w:hAnsi="宋体" w:eastAsia="宋体" w:cs="宋体"/>
                <w:color w:val="000000"/>
                <w:kern w:val="0"/>
                <w:szCs w:val="21"/>
                <w:lang w:bidi="ar"/>
              </w:rPr>
            </w:pPr>
            <w:r>
              <w:rPr>
                <w:rFonts w:hint="eastAsia" w:ascii="宋体" w:hAnsi="宋体" w:eastAsia="宋体" w:cs="宋体"/>
                <w:szCs w:val="21"/>
              </w:rPr>
              <w:t>评审小组</w:t>
            </w:r>
            <w:r>
              <w:rPr>
                <w:rFonts w:hint="eastAsia" w:ascii="宋体" w:hAnsi="宋体" w:eastAsia="宋体" w:cs="宋体"/>
                <w:color w:val="000000"/>
                <w:kern w:val="0"/>
                <w:szCs w:val="21"/>
                <w:lang w:bidi="ar"/>
              </w:rPr>
              <w:t>根据</w:t>
            </w:r>
            <w:r>
              <w:rPr>
                <w:rFonts w:hint="eastAsia" w:ascii="宋体" w:hAnsi="宋体" w:eastAsia="宋体" w:cs="宋体"/>
                <w:szCs w:val="21"/>
              </w:rPr>
              <w:t>供应商提供的</w:t>
            </w:r>
            <w:r>
              <w:rPr>
                <w:rFonts w:hint="eastAsia" w:ascii="宋体" w:hAnsi="宋体" w:eastAsia="宋体" w:cs="宋体"/>
                <w:color w:val="000000"/>
                <w:kern w:val="0"/>
                <w:szCs w:val="21"/>
                <w:lang w:bidi="ar"/>
              </w:rPr>
              <w:t>项目实施期间的安全、质量保证措施以及针对文明鉴定提出相关方案及措施；</w:t>
            </w:r>
          </w:p>
          <w:p w14:paraId="2EBBC7E1">
            <w:pPr>
              <w:widowControl/>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（1）详细，贴切实际，合理，</w:t>
            </w:r>
            <w:r>
              <w:rPr>
                <w:rFonts w:hint="eastAsia" w:ascii="宋体" w:hAnsi="宋体" w:eastAsia="宋体" w:cs="宋体"/>
                <w:szCs w:val="21"/>
              </w:rPr>
              <w:t>充分满足项目服务需求的</w:t>
            </w:r>
            <w:r>
              <w:rPr>
                <w:rFonts w:hint="eastAsia" w:ascii="宋体" w:hAnsi="宋体" w:eastAsia="宋体" w:cs="宋体"/>
                <w:color w:val="000000"/>
                <w:kern w:val="0"/>
                <w:szCs w:val="21"/>
                <w:lang w:bidi="ar"/>
              </w:rPr>
              <w:t>得5分；</w:t>
            </w:r>
          </w:p>
          <w:p w14:paraId="74EFDE73">
            <w:pPr>
              <w:widowControl/>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（2）较详细，较贴切实际，较合理，</w:t>
            </w:r>
            <w:r>
              <w:rPr>
                <w:rFonts w:hint="eastAsia" w:ascii="宋体" w:hAnsi="宋体" w:eastAsia="宋体" w:cs="宋体"/>
                <w:szCs w:val="21"/>
              </w:rPr>
              <w:t>满足项目服务需求的</w:t>
            </w:r>
            <w:r>
              <w:rPr>
                <w:rFonts w:hint="eastAsia" w:ascii="宋体" w:hAnsi="宋体" w:eastAsia="宋体" w:cs="宋体"/>
                <w:color w:val="000000"/>
                <w:kern w:val="0"/>
                <w:szCs w:val="21"/>
                <w:lang w:bidi="ar"/>
              </w:rPr>
              <w:t>得3分；</w:t>
            </w:r>
          </w:p>
          <w:p w14:paraId="3135C835">
            <w:pPr>
              <w:widowControl/>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（3）详细性、合理性一般，勉强</w:t>
            </w:r>
            <w:r>
              <w:rPr>
                <w:rFonts w:hint="eastAsia" w:ascii="宋体" w:hAnsi="宋体" w:eastAsia="宋体" w:cs="宋体"/>
                <w:szCs w:val="21"/>
              </w:rPr>
              <w:t>满足项目服务需求的</w:t>
            </w:r>
            <w:r>
              <w:rPr>
                <w:rFonts w:hint="eastAsia" w:ascii="宋体" w:hAnsi="宋体" w:eastAsia="宋体" w:cs="宋体"/>
                <w:color w:val="000000"/>
                <w:kern w:val="0"/>
                <w:szCs w:val="21"/>
                <w:lang w:bidi="ar"/>
              </w:rPr>
              <w:t>得1分；</w:t>
            </w:r>
          </w:p>
          <w:p w14:paraId="774E586A">
            <w:pPr>
              <w:widowControl/>
              <w:jc w:val="left"/>
              <w:rPr>
                <w:rFonts w:hint="eastAsia" w:ascii="宋体" w:hAnsi="宋体" w:eastAsia="宋体" w:cs="宋体"/>
                <w:szCs w:val="21"/>
              </w:rPr>
            </w:pPr>
            <w:r>
              <w:rPr>
                <w:rFonts w:hint="eastAsia" w:ascii="宋体" w:hAnsi="宋体" w:eastAsia="宋体" w:cs="宋体"/>
                <w:color w:val="000000"/>
                <w:kern w:val="0"/>
                <w:szCs w:val="21"/>
                <w:lang w:bidi="ar"/>
              </w:rPr>
              <w:t>（4）</w:t>
            </w:r>
            <w:r>
              <w:rPr>
                <w:rFonts w:hint="eastAsia" w:ascii="宋体" w:hAnsi="宋体" w:eastAsia="宋体" w:cs="宋体"/>
                <w:szCs w:val="21"/>
              </w:rPr>
              <w:t>与项目实际需要偏差较大或</w:t>
            </w:r>
            <w:r>
              <w:rPr>
                <w:rFonts w:hint="eastAsia" w:ascii="宋体" w:hAnsi="宋体" w:eastAsia="宋体" w:cs="宋体"/>
                <w:color w:val="000000"/>
                <w:kern w:val="0"/>
                <w:szCs w:val="21"/>
                <w:lang w:bidi="ar"/>
              </w:rPr>
              <w:t xml:space="preserve">未提供的不得分。 </w:t>
            </w:r>
          </w:p>
        </w:tc>
        <w:tc>
          <w:tcPr>
            <w:tcW w:w="708" w:type="pct"/>
            <w:tcBorders>
              <w:top w:val="single" w:color="auto" w:sz="4" w:space="0"/>
              <w:left w:val="single" w:color="auto" w:sz="4" w:space="0"/>
              <w:bottom w:val="single" w:color="auto" w:sz="4" w:space="0"/>
              <w:right w:val="single" w:color="auto" w:sz="4" w:space="0"/>
            </w:tcBorders>
            <w:vAlign w:val="center"/>
          </w:tcPr>
          <w:p w14:paraId="13A2DF6F">
            <w:pPr>
              <w:spacing w:line="360" w:lineRule="auto"/>
              <w:jc w:val="center"/>
              <w:rPr>
                <w:rFonts w:hint="eastAsia" w:ascii="宋体" w:hAnsi="宋体" w:eastAsia="宋体" w:cs="宋体"/>
                <w:b/>
                <w:bCs/>
                <w:szCs w:val="21"/>
              </w:rPr>
            </w:pPr>
            <w:r>
              <w:rPr>
                <w:rFonts w:hint="eastAsia" w:ascii="宋体" w:hAnsi="宋体" w:eastAsia="宋体" w:cs="宋体"/>
                <w:szCs w:val="21"/>
              </w:rPr>
              <w:t>0-5分</w:t>
            </w:r>
          </w:p>
        </w:tc>
      </w:tr>
      <w:tr w14:paraId="51BA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5B4E72A0">
            <w:pPr>
              <w:spacing w:line="360" w:lineRule="auto"/>
              <w:ind w:firstLine="435"/>
              <w:jc w:val="center"/>
              <w:rPr>
                <w:rFonts w:hint="eastAsia" w:ascii="宋体" w:hAnsi="宋体" w:eastAsia="宋体" w:cs="宋体"/>
                <w:b/>
                <w:bCs/>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6B9041B5">
            <w:pPr>
              <w:widowControl/>
              <w:jc w:val="center"/>
              <w:rPr>
                <w:rFonts w:hint="eastAsia" w:ascii="宋体" w:hAnsi="宋体" w:eastAsia="宋体" w:cs="宋体"/>
                <w:szCs w:val="21"/>
              </w:rPr>
            </w:pPr>
            <w:r>
              <w:rPr>
                <w:rFonts w:hint="eastAsia" w:ascii="宋体" w:hAnsi="宋体" w:eastAsia="宋体" w:cs="宋体"/>
                <w:color w:val="000000"/>
                <w:kern w:val="0"/>
                <w:szCs w:val="21"/>
                <w:lang w:bidi="ar"/>
              </w:rPr>
              <w:t>应急预案</w:t>
            </w:r>
          </w:p>
        </w:tc>
        <w:tc>
          <w:tcPr>
            <w:tcW w:w="2943" w:type="pct"/>
            <w:tcBorders>
              <w:top w:val="single" w:color="auto" w:sz="4" w:space="0"/>
              <w:left w:val="single" w:color="auto" w:sz="4" w:space="0"/>
              <w:bottom w:val="single" w:color="auto" w:sz="4" w:space="0"/>
              <w:right w:val="single" w:color="auto" w:sz="4" w:space="0"/>
            </w:tcBorders>
            <w:vAlign w:val="center"/>
          </w:tcPr>
          <w:p w14:paraId="1835B7F0">
            <w:pPr>
              <w:widowControl/>
              <w:jc w:val="left"/>
              <w:rPr>
                <w:rFonts w:hint="eastAsia" w:ascii="宋体" w:hAnsi="宋体" w:eastAsia="宋体" w:cs="宋体"/>
                <w:color w:val="000000"/>
                <w:kern w:val="0"/>
                <w:szCs w:val="21"/>
                <w:lang w:bidi="ar"/>
              </w:rPr>
            </w:pPr>
            <w:r>
              <w:rPr>
                <w:rFonts w:hint="eastAsia" w:ascii="宋体" w:hAnsi="宋体" w:eastAsia="宋体" w:cs="宋体"/>
                <w:szCs w:val="21"/>
              </w:rPr>
              <w:t>评审小组</w:t>
            </w:r>
            <w:r>
              <w:rPr>
                <w:rFonts w:hint="eastAsia" w:ascii="宋体" w:hAnsi="宋体" w:eastAsia="宋体" w:cs="宋体"/>
                <w:color w:val="000000"/>
                <w:kern w:val="0"/>
                <w:szCs w:val="21"/>
                <w:lang w:bidi="ar"/>
              </w:rPr>
              <w:t>根据</w:t>
            </w:r>
            <w:r>
              <w:rPr>
                <w:rFonts w:hint="eastAsia" w:ascii="宋体" w:hAnsi="宋体" w:eastAsia="宋体" w:cs="宋体"/>
                <w:szCs w:val="21"/>
              </w:rPr>
              <w:t>供应商提供的</w:t>
            </w:r>
            <w:r>
              <w:rPr>
                <w:rFonts w:hint="eastAsia" w:ascii="宋体" w:hAnsi="宋体" w:eastAsia="宋体" w:cs="宋体"/>
                <w:color w:val="000000"/>
                <w:kern w:val="0"/>
                <w:szCs w:val="21"/>
                <w:lang w:bidi="ar"/>
              </w:rPr>
              <w:t>项目实施期间的应急预案措施进行评分：</w:t>
            </w:r>
          </w:p>
          <w:p w14:paraId="5FDE3D57">
            <w:pPr>
              <w:widowControl/>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1）应急预案措施科学合理、周密得当的得5分；</w:t>
            </w:r>
          </w:p>
          <w:p w14:paraId="6BE4138F">
            <w:pPr>
              <w:widowControl/>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（2）应急预案措施比较科学合理的得3分；</w:t>
            </w:r>
          </w:p>
          <w:p w14:paraId="27CF56CD">
            <w:pPr>
              <w:widowControl/>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（3）应急预案措施一般，勉强可行的得1分；</w:t>
            </w:r>
          </w:p>
          <w:p w14:paraId="5841C812">
            <w:pPr>
              <w:widowControl/>
              <w:jc w:val="left"/>
              <w:rPr>
                <w:rFonts w:hint="eastAsia" w:ascii="宋体" w:hAnsi="宋体" w:eastAsia="宋体" w:cs="宋体"/>
                <w:szCs w:val="21"/>
              </w:rPr>
            </w:pPr>
            <w:r>
              <w:rPr>
                <w:rFonts w:hint="eastAsia" w:ascii="宋体" w:hAnsi="宋体" w:eastAsia="宋体" w:cs="宋体"/>
                <w:color w:val="000000"/>
                <w:kern w:val="0"/>
                <w:szCs w:val="21"/>
                <w:lang w:bidi="ar"/>
              </w:rPr>
              <w:t>（4）未提供此项内容的不得分。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6EA52CF5">
            <w:pPr>
              <w:spacing w:line="360" w:lineRule="auto"/>
              <w:jc w:val="center"/>
              <w:rPr>
                <w:rFonts w:hint="eastAsia" w:ascii="宋体" w:hAnsi="宋体" w:eastAsia="宋体" w:cs="宋体"/>
                <w:b/>
                <w:bCs/>
                <w:szCs w:val="21"/>
              </w:rPr>
            </w:pPr>
            <w:r>
              <w:rPr>
                <w:rFonts w:hint="eastAsia" w:ascii="宋体" w:hAnsi="宋体" w:eastAsia="宋体" w:cs="宋体"/>
                <w:szCs w:val="21"/>
              </w:rPr>
              <w:t>0-5分</w:t>
            </w:r>
          </w:p>
        </w:tc>
      </w:tr>
      <w:tr w14:paraId="2402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528" w:type="pct"/>
            <w:vMerge w:val="continue"/>
            <w:tcBorders>
              <w:left w:val="single" w:color="auto" w:sz="4" w:space="0"/>
              <w:right w:val="single" w:color="auto" w:sz="4" w:space="0"/>
            </w:tcBorders>
            <w:vAlign w:val="center"/>
          </w:tcPr>
          <w:p w14:paraId="015A56F0">
            <w:pPr>
              <w:spacing w:line="360" w:lineRule="auto"/>
              <w:ind w:firstLine="435"/>
              <w:jc w:val="center"/>
              <w:rPr>
                <w:rFonts w:hint="eastAsia" w:ascii="宋体" w:hAnsi="宋体" w:eastAsia="宋体" w:cs="宋体"/>
                <w:b/>
                <w:bCs/>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01C5E54C">
            <w:pPr>
              <w:widowControl/>
              <w:jc w:val="center"/>
              <w:rPr>
                <w:rFonts w:hint="eastAsia" w:ascii="宋体" w:hAnsi="宋体" w:eastAsia="宋体" w:cs="宋体"/>
                <w:szCs w:val="21"/>
              </w:rPr>
            </w:pPr>
            <w:r>
              <w:rPr>
                <w:rFonts w:hint="eastAsia" w:ascii="宋体" w:hAnsi="宋体" w:eastAsia="宋体" w:cs="宋体"/>
                <w:color w:val="000000"/>
                <w:kern w:val="0"/>
                <w:szCs w:val="21"/>
                <w:lang w:bidi="ar"/>
              </w:rPr>
              <w:t>进度计划和合同履行期限保证措施</w:t>
            </w:r>
          </w:p>
        </w:tc>
        <w:tc>
          <w:tcPr>
            <w:tcW w:w="2943" w:type="pct"/>
            <w:tcBorders>
              <w:top w:val="single" w:color="auto" w:sz="4" w:space="0"/>
              <w:left w:val="single" w:color="auto" w:sz="4" w:space="0"/>
              <w:bottom w:val="single" w:color="auto" w:sz="4" w:space="0"/>
              <w:right w:val="single" w:color="auto" w:sz="4" w:space="0"/>
            </w:tcBorders>
            <w:vAlign w:val="center"/>
          </w:tcPr>
          <w:p w14:paraId="1FFA3941">
            <w:pPr>
              <w:widowControl/>
              <w:jc w:val="left"/>
              <w:rPr>
                <w:rFonts w:hint="eastAsia" w:ascii="宋体" w:hAnsi="宋体" w:eastAsia="宋体" w:cs="宋体"/>
                <w:color w:val="000000"/>
                <w:kern w:val="0"/>
                <w:szCs w:val="21"/>
                <w:lang w:bidi="ar"/>
              </w:rPr>
            </w:pPr>
            <w:r>
              <w:rPr>
                <w:rFonts w:hint="eastAsia" w:ascii="宋体" w:hAnsi="宋体" w:eastAsia="宋体" w:cs="宋体"/>
                <w:szCs w:val="21"/>
              </w:rPr>
              <w:t>评审小组</w:t>
            </w:r>
            <w:r>
              <w:rPr>
                <w:rFonts w:hint="eastAsia" w:ascii="宋体" w:hAnsi="宋体" w:eastAsia="宋体" w:cs="宋体"/>
                <w:color w:val="000000"/>
                <w:kern w:val="0"/>
                <w:szCs w:val="21"/>
                <w:lang w:bidi="ar"/>
              </w:rPr>
              <w:t>根据供应商对项目进度提供的计划方案、合同履行期限的提供保证措施进行综合评分：</w:t>
            </w:r>
          </w:p>
          <w:p w14:paraId="5D732AC5">
            <w:pPr>
              <w:widowControl/>
              <w:numPr>
                <w:ilvl w:val="0"/>
                <w:numId w:val="4"/>
              </w:numPr>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计划方案完善有效，进度控制合理，合同履行期限充分满足项目要求的得5分；</w:t>
            </w:r>
          </w:p>
          <w:p w14:paraId="263CA2F1">
            <w:pPr>
              <w:widowControl/>
              <w:numPr>
                <w:ilvl w:val="0"/>
                <w:numId w:val="4"/>
              </w:numPr>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计划方案完善比较有效，进度控制比较合理，合同履行期限满足项目要求的得3分；</w:t>
            </w:r>
          </w:p>
          <w:p w14:paraId="7F43D1C3">
            <w:pPr>
              <w:widowControl/>
              <w:numPr>
                <w:ilvl w:val="0"/>
                <w:numId w:val="4"/>
              </w:numPr>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计划方案和进度控制一般，合同履行期限勉强满足项目要求的得1分。</w:t>
            </w:r>
          </w:p>
          <w:p w14:paraId="67D31A5A">
            <w:pPr>
              <w:widowControl/>
              <w:numPr>
                <w:ilvl w:val="0"/>
                <w:numId w:val="4"/>
              </w:numPr>
              <w:jc w:val="left"/>
              <w:rPr>
                <w:rFonts w:hint="eastAsia" w:ascii="宋体" w:hAnsi="宋体" w:eastAsia="宋体" w:cs="宋体"/>
                <w:szCs w:val="21"/>
              </w:rPr>
            </w:pPr>
            <w:r>
              <w:rPr>
                <w:rFonts w:hint="eastAsia" w:ascii="宋体" w:hAnsi="宋体" w:eastAsia="宋体" w:cs="宋体"/>
                <w:color w:val="000000"/>
                <w:kern w:val="0"/>
                <w:szCs w:val="21"/>
                <w:lang w:bidi="ar"/>
              </w:rPr>
              <w:t>未提供此项内容的不得分。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28A6D9EB">
            <w:pPr>
              <w:spacing w:line="360" w:lineRule="auto"/>
              <w:jc w:val="center"/>
              <w:rPr>
                <w:rFonts w:hint="eastAsia" w:ascii="宋体" w:hAnsi="宋体" w:eastAsia="宋体" w:cs="宋体"/>
                <w:b/>
                <w:bCs/>
                <w:szCs w:val="21"/>
              </w:rPr>
            </w:pPr>
            <w:r>
              <w:rPr>
                <w:rFonts w:hint="eastAsia" w:ascii="宋体" w:hAnsi="宋体" w:eastAsia="宋体" w:cs="宋体"/>
                <w:szCs w:val="21"/>
              </w:rPr>
              <w:t>0-5分</w:t>
            </w:r>
          </w:p>
        </w:tc>
      </w:tr>
      <w:tr w14:paraId="0D07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left w:val="single" w:color="auto" w:sz="4" w:space="0"/>
              <w:right w:val="single" w:color="auto" w:sz="4" w:space="0"/>
            </w:tcBorders>
            <w:vAlign w:val="center"/>
          </w:tcPr>
          <w:p w14:paraId="1DDC1C14">
            <w:pPr>
              <w:spacing w:line="360" w:lineRule="auto"/>
              <w:jc w:val="center"/>
              <w:rPr>
                <w:rFonts w:hint="eastAsia" w:ascii="宋体" w:hAnsi="宋体" w:eastAsia="宋体" w:cs="宋体"/>
                <w:szCs w:val="21"/>
              </w:rPr>
            </w:pPr>
            <w:r>
              <w:rPr>
                <w:rFonts w:hint="eastAsia" w:ascii="宋体" w:hAnsi="宋体" w:eastAsia="宋体" w:cs="宋体"/>
                <w:szCs w:val="21"/>
              </w:rPr>
              <w:t>价格分</w:t>
            </w:r>
          </w:p>
          <w:p w14:paraId="202DDD52">
            <w:pPr>
              <w:spacing w:line="360" w:lineRule="auto"/>
              <w:jc w:val="center"/>
              <w:rPr>
                <w:rFonts w:hint="eastAsia" w:ascii="宋体" w:hAnsi="宋体" w:eastAsia="宋体" w:cs="宋体"/>
                <w:b/>
                <w:bCs/>
                <w:szCs w:val="21"/>
              </w:rPr>
            </w:pPr>
            <w:r>
              <w:rPr>
                <w:rFonts w:hint="eastAsia" w:ascii="宋体" w:hAnsi="宋体" w:eastAsia="宋体" w:cs="宋体"/>
                <w:szCs w:val="21"/>
              </w:rPr>
              <w:t>（</w:t>
            </w:r>
            <w:r>
              <w:rPr>
                <w:rFonts w:hint="eastAsia" w:ascii="宋体" w:hAnsi="宋体" w:eastAsia="宋体" w:cs="宋体"/>
                <w:szCs w:val="21"/>
                <w:u w:val="single"/>
              </w:rPr>
              <w:t>10</w:t>
            </w:r>
            <w:r>
              <w:rPr>
                <w:rFonts w:hint="eastAsia" w:ascii="宋体" w:hAnsi="宋体" w:eastAsia="宋体" w:cs="宋体"/>
                <w:szCs w:val="21"/>
              </w:rPr>
              <w:t>分）</w:t>
            </w:r>
          </w:p>
        </w:tc>
        <w:tc>
          <w:tcPr>
            <w:tcW w:w="4471" w:type="pct"/>
            <w:gridSpan w:val="3"/>
            <w:tcBorders>
              <w:top w:val="single" w:color="auto" w:sz="4" w:space="0"/>
              <w:left w:val="single" w:color="auto" w:sz="4" w:space="0"/>
              <w:bottom w:val="single" w:color="auto" w:sz="4" w:space="0"/>
              <w:right w:val="single" w:color="auto" w:sz="4" w:space="0"/>
            </w:tcBorders>
            <w:vAlign w:val="center"/>
          </w:tcPr>
          <w:p w14:paraId="1A905328">
            <w:pPr>
              <w:spacing w:line="360" w:lineRule="auto"/>
              <w:rPr>
                <w:rFonts w:hint="eastAsia" w:ascii="宋体" w:hAnsi="宋体" w:eastAsia="宋体" w:cs="宋体"/>
                <w:szCs w:val="21"/>
              </w:rPr>
            </w:pPr>
            <w:r>
              <w:rPr>
                <w:rFonts w:hint="eastAsia" w:ascii="宋体" w:hAnsi="宋体" w:eastAsia="宋体" w:cs="宋体"/>
                <w:szCs w:val="21"/>
              </w:rPr>
              <w:t>价格分统一采用低价优先法，即满足磋商文件要求且最后报价最低的供应商的价格为磋商基准价，其价格分为满分</w:t>
            </w:r>
            <w:r>
              <w:rPr>
                <w:rFonts w:hint="eastAsia" w:ascii="宋体" w:hAnsi="宋体" w:eastAsia="宋体" w:cs="宋体"/>
                <w:szCs w:val="21"/>
                <w:u w:val="single"/>
              </w:rPr>
              <w:t>10</w:t>
            </w:r>
            <w:r>
              <w:rPr>
                <w:rFonts w:hint="eastAsia" w:ascii="宋体" w:hAnsi="宋体" w:eastAsia="宋体" w:cs="宋体"/>
                <w:szCs w:val="21"/>
              </w:rPr>
              <w:t>分。其他供应商的价格分统一按照下列公式计算：</w:t>
            </w:r>
          </w:p>
          <w:p w14:paraId="2DD2DA22">
            <w:pPr>
              <w:spacing w:line="360" w:lineRule="auto"/>
              <w:rPr>
                <w:rFonts w:hint="eastAsia" w:ascii="宋体" w:hAnsi="宋体" w:eastAsia="宋体" w:cs="宋体"/>
                <w:b/>
                <w:bCs/>
                <w:szCs w:val="21"/>
              </w:rPr>
            </w:pPr>
            <w:r>
              <w:rPr>
                <w:rFonts w:hint="eastAsia" w:ascii="宋体" w:hAnsi="宋体" w:eastAsia="宋体" w:cs="宋体"/>
                <w:szCs w:val="21"/>
              </w:rPr>
              <w:t>磋商报价得分＝（磋商基准价/最后磋商报价）×</w:t>
            </w:r>
            <w:r>
              <w:rPr>
                <w:rFonts w:hint="eastAsia" w:ascii="宋体" w:hAnsi="宋体" w:eastAsia="宋体" w:cs="宋体"/>
                <w:szCs w:val="21"/>
                <w:u w:val="single"/>
              </w:rPr>
              <w:t>10</w:t>
            </w:r>
            <w:r>
              <w:rPr>
                <w:rFonts w:hint="eastAsia" w:ascii="宋体" w:hAnsi="宋体" w:eastAsia="宋体" w:cs="宋体"/>
                <w:szCs w:val="21"/>
              </w:rPr>
              <w:t>％×100</w:t>
            </w:r>
          </w:p>
        </w:tc>
      </w:tr>
    </w:tbl>
    <w:p w14:paraId="63359DCD">
      <w:pPr>
        <w:spacing w:line="360" w:lineRule="auto"/>
        <w:ind w:firstLine="435"/>
        <w:rPr>
          <w:rFonts w:hint="eastAsia" w:ascii="宋体" w:hAnsi="宋体" w:eastAsia="宋体" w:cs="宋体"/>
          <w:sz w:val="24"/>
        </w:rPr>
      </w:pPr>
      <w:r>
        <w:rPr>
          <w:rFonts w:hint="eastAsia" w:ascii="宋体" w:hAnsi="宋体" w:eastAsia="宋体" w:cs="宋体"/>
          <w:sz w:val="24"/>
        </w:rPr>
        <w:t>2.2.3分值汇总</w:t>
      </w:r>
    </w:p>
    <w:p w14:paraId="1AF3BBAF">
      <w:pPr>
        <w:spacing w:line="360" w:lineRule="auto"/>
        <w:ind w:firstLine="435"/>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
          <w:bCs/>
          <w:sz w:val="24"/>
        </w:rPr>
        <w:t>磋商小组各成员应当独立对每个有效响应的文件进行评价、打分，然后汇总每个供应商每项评分因素的得分，再取各位评委评分之平均值，四舍五入保留至小数点后两位数，得到该供应商的技术资信分。</w:t>
      </w:r>
    </w:p>
    <w:p w14:paraId="1373E5DE">
      <w:pPr>
        <w:spacing w:line="360" w:lineRule="auto"/>
        <w:ind w:firstLine="435"/>
        <w:rPr>
          <w:rFonts w:hint="eastAsia" w:ascii="宋体" w:hAnsi="宋体" w:eastAsia="宋体" w:cs="宋体"/>
          <w:sz w:val="24"/>
        </w:rPr>
      </w:pPr>
      <w:r>
        <w:rPr>
          <w:rFonts w:hint="eastAsia" w:ascii="宋体" w:hAnsi="宋体" w:eastAsia="宋体" w:cs="宋体"/>
          <w:sz w:val="24"/>
        </w:rPr>
        <w:t>（2）将每个供应商的技术资信分加上根据上述标准计算出的价格分，即为该供应商的综合总得分。</w:t>
      </w:r>
    </w:p>
    <w:p w14:paraId="60463F73">
      <w:pPr>
        <w:widowControl/>
        <w:jc w:val="left"/>
        <w:rPr>
          <w:rFonts w:hint="eastAsia" w:ascii="宋体" w:hAnsi="宋体" w:eastAsia="宋体" w:cs="宋体"/>
          <w:sz w:val="24"/>
        </w:rPr>
      </w:pPr>
      <w:r>
        <w:rPr>
          <w:rFonts w:hint="eastAsia" w:ascii="宋体" w:hAnsi="宋体" w:eastAsia="宋体" w:cs="宋体"/>
          <w:sz w:val="24"/>
        </w:rPr>
        <w:br w:type="page"/>
      </w:r>
    </w:p>
    <w:p w14:paraId="01FD1BC3">
      <w:pPr>
        <w:spacing w:line="360" w:lineRule="auto"/>
        <w:outlineLvl w:val="0"/>
        <w:rPr>
          <w:rFonts w:hint="eastAsia" w:ascii="宋体" w:hAnsi="宋体" w:eastAsia="宋体" w:cs="宋体"/>
          <w:b/>
          <w:sz w:val="28"/>
        </w:rPr>
      </w:pPr>
      <w:bookmarkStart w:id="61" w:name="_Toc17167"/>
      <w:bookmarkStart w:id="62" w:name="_Toc63440929"/>
      <w:r>
        <w:rPr>
          <w:rFonts w:hint="eastAsia" w:ascii="宋体" w:hAnsi="宋体" w:eastAsia="宋体" w:cs="宋体"/>
          <w:b/>
          <w:sz w:val="28"/>
        </w:rPr>
        <w:t>第五章  政府采购合同</w:t>
      </w:r>
      <w:bookmarkEnd w:id="61"/>
      <w:bookmarkEnd w:id="62"/>
    </w:p>
    <w:p w14:paraId="661EBA6A">
      <w:pPr>
        <w:spacing w:line="480" w:lineRule="auto"/>
        <w:jc w:val="center"/>
        <w:rPr>
          <w:rFonts w:hint="eastAsia" w:ascii="宋体" w:hAnsi="宋体" w:eastAsia="宋体" w:cs="宋体"/>
          <w:b/>
          <w:sz w:val="24"/>
        </w:rPr>
      </w:pPr>
    </w:p>
    <w:p w14:paraId="43E265A7">
      <w:pPr>
        <w:spacing w:line="360" w:lineRule="auto"/>
        <w:jc w:val="center"/>
        <w:outlineLvl w:val="1"/>
        <w:rPr>
          <w:rFonts w:hint="eastAsia" w:ascii="宋体" w:hAnsi="宋体" w:eastAsia="宋体" w:cs="宋体"/>
          <w:b/>
          <w:sz w:val="24"/>
        </w:rPr>
      </w:pPr>
      <w:bookmarkStart w:id="63" w:name="_Toc30604"/>
      <w:r>
        <w:rPr>
          <w:rFonts w:hint="eastAsia" w:ascii="宋体" w:hAnsi="宋体" w:eastAsia="宋体" w:cs="宋体"/>
          <w:b/>
          <w:sz w:val="24"/>
        </w:rPr>
        <w:t>第一部分 合同书</w:t>
      </w:r>
      <w:bookmarkEnd w:id="63"/>
    </w:p>
    <w:p w14:paraId="5F628CC9">
      <w:pPr>
        <w:spacing w:line="480" w:lineRule="auto"/>
        <w:jc w:val="center"/>
        <w:rPr>
          <w:rFonts w:hint="eastAsia" w:ascii="宋体" w:hAnsi="宋体" w:eastAsia="宋体" w:cs="宋体"/>
          <w:b/>
          <w:sz w:val="24"/>
        </w:rPr>
      </w:pPr>
    </w:p>
    <w:p w14:paraId="62BFE20B">
      <w:pPr>
        <w:spacing w:line="480" w:lineRule="auto"/>
        <w:jc w:val="center"/>
        <w:rPr>
          <w:rFonts w:hint="eastAsia" w:ascii="宋体" w:hAnsi="宋体" w:eastAsia="宋体" w:cs="宋体"/>
          <w:b/>
          <w:sz w:val="24"/>
        </w:rPr>
      </w:pPr>
    </w:p>
    <w:p w14:paraId="764FB6D4">
      <w:pPr>
        <w:spacing w:line="480" w:lineRule="auto"/>
        <w:jc w:val="center"/>
        <w:rPr>
          <w:rFonts w:hint="eastAsia" w:ascii="宋体" w:hAnsi="宋体" w:eastAsia="宋体" w:cs="宋体"/>
          <w:b/>
          <w:sz w:val="24"/>
        </w:rPr>
      </w:pPr>
    </w:p>
    <w:p w14:paraId="1495B0F2">
      <w:pPr>
        <w:spacing w:before="120" w:line="480" w:lineRule="auto"/>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280367A9">
      <w:pPr>
        <w:spacing w:before="120" w:line="480" w:lineRule="auto"/>
        <w:ind w:left="960"/>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u w:val="single"/>
        </w:rPr>
        <w:t xml:space="preserve">                       </w:t>
      </w:r>
    </w:p>
    <w:p w14:paraId="25AC8B33">
      <w:pPr>
        <w:spacing w:before="120" w:line="480" w:lineRule="auto"/>
        <w:ind w:left="960"/>
        <w:rPr>
          <w:rFonts w:hint="eastAsia" w:ascii="宋体" w:hAnsi="宋体" w:eastAsia="宋体" w:cs="宋体"/>
          <w:b/>
          <w:kern w:val="0"/>
          <w:sz w:val="24"/>
          <w:szCs w:val="28"/>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6764DDF8">
      <w:pPr>
        <w:spacing w:before="120" w:line="480" w:lineRule="auto"/>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23A46703">
      <w:pPr>
        <w:spacing w:before="120" w:line="480" w:lineRule="auto"/>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7510917D">
      <w:pPr>
        <w:spacing w:before="120" w:line="480" w:lineRule="auto"/>
        <w:ind w:firstLine="960" w:firstLineChars="400"/>
        <w:rPr>
          <w:rFonts w:hint="eastAsia" w:ascii="宋体" w:hAnsi="宋体" w:eastAsia="宋体" w:cs="宋体"/>
          <w:sz w:val="24"/>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7AA597B">
      <w:pPr>
        <w:widowControl/>
        <w:jc w:val="left"/>
        <w:rPr>
          <w:rFonts w:hint="eastAsia" w:ascii="宋体" w:hAnsi="宋体" w:eastAsia="宋体" w:cs="宋体"/>
          <w:sz w:val="24"/>
        </w:rPr>
      </w:pPr>
      <w:r>
        <w:rPr>
          <w:rFonts w:hint="eastAsia" w:ascii="宋体" w:hAnsi="宋体" w:eastAsia="宋体" w:cs="宋体"/>
          <w:sz w:val="24"/>
        </w:rPr>
        <w:br w:type="page"/>
      </w:r>
    </w:p>
    <w:p w14:paraId="7D377AE7">
      <w:pPr>
        <w:spacing w:line="360" w:lineRule="auto"/>
        <w:ind w:firstLine="435"/>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u w:val="single"/>
        </w:rPr>
        <w:t xml:space="preserve">                      </w:t>
      </w:r>
    </w:p>
    <w:p w14:paraId="5472EB19">
      <w:pPr>
        <w:spacing w:line="360" w:lineRule="auto"/>
        <w:ind w:firstLine="435"/>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u w:val="single"/>
        </w:rPr>
        <w:t xml:space="preserve">                      </w:t>
      </w:r>
    </w:p>
    <w:p w14:paraId="57B20F99">
      <w:pPr>
        <w:spacing w:line="360" w:lineRule="auto"/>
        <w:ind w:firstLine="435"/>
        <w:rPr>
          <w:rFonts w:hint="eastAsia" w:ascii="宋体" w:hAnsi="宋体" w:eastAsia="宋体" w:cs="宋体"/>
          <w:sz w:val="24"/>
          <w:lang w:val="zh-CN"/>
        </w:rPr>
      </w:pPr>
      <w:r>
        <w:rPr>
          <w:rFonts w:hint="eastAsia" w:ascii="宋体" w:hAnsi="宋体" w:eastAsia="宋体" w:cs="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650D418A">
      <w:pPr>
        <w:spacing w:line="360" w:lineRule="auto"/>
        <w:ind w:firstLine="437"/>
        <w:outlineLvl w:val="2"/>
        <w:rPr>
          <w:rFonts w:hint="eastAsia" w:ascii="宋体" w:hAnsi="宋体" w:eastAsia="宋体" w:cs="宋体"/>
          <w:b/>
          <w:bCs/>
          <w:sz w:val="24"/>
          <w:lang w:val="zh-CN"/>
        </w:rPr>
      </w:pPr>
      <w:bookmarkStart w:id="64" w:name="_Toc3029"/>
      <w:bookmarkStart w:id="65" w:name="_Toc2232"/>
      <w:bookmarkStart w:id="66" w:name="_Toc24059"/>
      <w:r>
        <w:rPr>
          <w:rFonts w:hint="eastAsia" w:ascii="宋体" w:hAnsi="宋体" w:eastAsia="宋体" w:cs="宋体"/>
          <w:b/>
          <w:bCs/>
          <w:sz w:val="24"/>
          <w:lang w:val="zh-CN"/>
        </w:rPr>
        <w:t>1.1 合同组成部分</w:t>
      </w:r>
      <w:bookmarkEnd w:id="64"/>
      <w:bookmarkEnd w:id="65"/>
      <w:bookmarkEnd w:id="66"/>
    </w:p>
    <w:p w14:paraId="4898269F">
      <w:pPr>
        <w:spacing w:line="360" w:lineRule="auto"/>
        <w:ind w:firstLine="435"/>
        <w:rPr>
          <w:rFonts w:hint="eastAsia" w:ascii="宋体" w:hAnsi="宋体" w:eastAsia="宋体" w:cs="宋体"/>
          <w:sz w:val="24"/>
          <w:lang w:val="zh-CN"/>
        </w:rPr>
      </w:pPr>
      <w:r>
        <w:rPr>
          <w:rFonts w:hint="eastAsia" w:ascii="宋体" w:hAnsi="宋体" w:eastAsia="宋体" w:cs="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00E7349">
      <w:pPr>
        <w:spacing w:line="360" w:lineRule="auto"/>
        <w:ind w:firstLine="435"/>
        <w:rPr>
          <w:rFonts w:hint="eastAsia" w:ascii="宋体" w:hAnsi="宋体" w:eastAsia="宋体" w:cs="宋体"/>
          <w:sz w:val="24"/>
          <w:lang w:val="zh-CN"/>
        </w:rPr>
      </w:pPr>
      <w:r>
        <w:rPr>
          <w:rFonts w:hint="eastAsia" w:ascii="宋体" w:hAnsi="宋体" w:eastAsia="宋体" w:cs="宋体"/>
          <w:sz w:val="24"/>
          <w:lang w:val="zh-CN"/>
        </w:rPr>
        <w:t>1.1.1本合同及其补充合同、变更协议；</w:t>
      </w:r>
    </w:p>
    <w:p w14:paraId="156982FA">
      <w:pPr>
        <w:spacing w:line="360" w:lineRule="auto"/>
        <w:ind w:firstLine="435"/>
        <w:rPr>
          <w:rFonts w:hint="eastAsia" w:ascii="宋体" w:hAnsi="宋体" w:eastAsia="宋体" w:cs="宋体"/>
          <w:sz w:val="24"/>
          <w:lang w:val="zh-CN"/>
        </w:rPr>
      </w:pPr>
      <w:r>
        <w:rPr>
          <w:rFonts w:hint="eastAsia" w:ascii="宋体" w:hAnsi="宋体" w:eastAsia="宋体" w:cs="宋体"/>
          <w:sz w:val="24"/>
          <w:lang w:val="zh-CN"/>
        </w:rPr>
        <w:t>1.1.2成交通知书；</w:t>
      </w:r>
    </w:p>
    <w:p w14:paraId="0BD260EE">
      <w:pPr>
        <w:spacing w:line="360" w:lineRule="auto"/>
        <w:ind w:firstLine="435"/>
        <w:rPr>
          <w:rFonts w:hint="eastAsia" w:ascii="宋体" w:hAnsi="宋体" w:eastAsia="宋体" w:cs="宋体"/>
          <w:sz w:val="24"/>
          <w:lang w:val="zh-CN"/>
        </w:rPr>
      </w:pPr>
      <w:r>
        <w:rPr>
          <w:rFonts w:hint="eastAsia" w:ascii="宋体" w:hAnsi="宋体" w:eastAsia="宋体" w:cs="宋体"/>
          <w:sz w:val="24"/>
          <w:lang w:val="zh-CN"/>
        </w:rPr>
        <w:t>1.1.3响应文件（含澄清或者说明文件）；</w:t>
      </w:r>
    </w:p>
    <w:p w14:paraId="20DD2F1A">
      <w:pPr>
        <w:spacing w:line="360" w:lineRule="auto"/>
        <w:ind w:firstLine="435"/>
        <w:rPr>
          <w:rFonts w:hint="eastAsia" w:ascii="宋体" w:hAnsi="宋体" w:eastAsia="宋体" w:cs="宋体"/>
          <w:sz w:val="24"/>
          <w:lang w:val="zh-CN"/>
        </w:rPr>
      </w:pPr>
      <w:r>
        <w:rPr>
          <w:rFonts w:hint="eastAsia" w:ascii="宋体" w:hAnsi="宋体" w:eastAsia="宋体" w:cs="宋体"/>
          <w:sz w:val="24"/>
          <w:lang w:val="zh-CN"/>
        </w:rPr>
        <w:t>1.1.4磋商文件（含澄清或者修改文件）；</w:t>
      </w:r>
    </w:p>
    <w:p w14:paraId="6064CB77">
      <w:pPr>
        <w:spacing w:line="360" w:lineRule="auto"/>
        <w:ind w:firstLine="435"/>
        <w:rPr>
          <w:rFonts w:hint="eastAsia" w:ascii="宋体" w:hAnsi="宋体" w:eastAsia="宋体" w:cs="宋体"/>
          <w:sz w:val="24"/>
          <w:lang w:val="zh-CN"/>
        </w:rPr>
      </w:pPr>
      <w:r>
        <w:rPr>
          <w:rFonts w:hint="eastAsia" w:ascii="宋体" w:hAnsi="宋体" w:eastAsia="宋体" w:cs="宋体"/>
          <w:sz w:val="24"/>
          <w:lang w:val="zh-CN"/>
        </w:rPr>
        <w:t>1.1.5其他相关采购文件。</w:t>
      </w:r>
    </w:p>
    <w:p w14:paraId="15DE77F7">
      <w:pPr>
        <w:spacing w:line="360" w:lineRule="auto"/>
        <w:ind w:firstLine="437"/>
        <w:outlineLvl w:val="2"/>
        <w:rPr>
          <w:rFonts w:hint="eastAsia" w:ascii="宋体" w:hAnsi="宋体" w:eastAsia="宋体" w:cs="宋体"/>
          <w:b/>
          <w:bCs/>
          <w:sz w:val="24"/>
          <w:lang w:val="zh-CN"/>
        </w:rPr>
      </w:pPr>
      <w:bookmarkStart w:id="67" w:name="_Toc2918"/>
      <w:bookmarkStart w:id="68" w:name="_Toc18585"/>
      <w:bookmarkStart w:id="69" w:name="_Toc6773"/>
      <w:bookmarkStart w:id="70" w:name="_Toc22185"/>
      <w:bookmarkStart w:id="71" w:name="_Toc6311"/>
      <w:r>
        <w:rPr>
          <w:rFonts w:hint="eastAsia" w:ascii="宋体" w:hAnsi="宋体" w:eastAsia="宋体" w:cs="宋体"/>
          <w:b/>
          <w:bCs/>
          <w:sz w:val="24"/>
          <w:lang w:val="zh-CN"/>
        </w:rPr>
        <w:t xml:space="preserve">1.2 </w:t>
      </w:r>
      <w:bookmarkEnd w:id="67"/>
      <w:bookmarkEnd w:id="68"/>
      <w:bookmarkEnd w:id="69"/>
      <w:bookmarkEnd w:id="70"/>
      <w:bookmarkEnd w:id="71"/>
      <w:r>
        <w:rPr>
          <w:rFonts w:hint="eastAsia" w:ascii="宋体" w:hAnsi="宋体" w:eastAsia="宋体" w:cs="宋体"/>
          <w:b/>
          <w:bCs/>
          <w:sz w:val="24"/>
          <w:lang w:val="zh-CN"/>
        </w:rPr>
        <w:t>服务</w:t>
      </w:r>
    </w:p>
    <w:p w14:paraId="2A4645B1">
      <w:pPr>
        <w:spacing w:line="360" w:lineRule="auto"/>
        <w:ind w:firstLine="435"/>
        <w:rPr>
          <w:rFonts w:hint="eastAsia" w:ascii="宋体" w:hAnsi="宋体" w:eastAsia="宋体" w:cs="宋体"/>
          <w:sz w:val="24"/>
          <w:u w:val="single"/>
        </w:rPr>
      </w:pPr>
      <w:r>
        <w:rPr>
          <w:rFonts w:hint="eastAsia" w:ascii="宋体" w:hAnsi="宋体" w:eastAsia="宋体" w:cs="宋体"/>
          <w:sz w:val="24"/>
        </w:rPr>
        <w:t>1.2.1服务名称：</w:t>
      </w:r>
      <w:r>
        <w:rPr>
          <w:rFonts w:hint="eastAsia" w:ascii="宋体" w:hAnsi="宋体" w:eastAsia="宋体" w:cs="宋体"/>
          <w:sz w:val="24"/>
          <w:u w:val="single"/>
          <w:lang w:val="zh-CN"/>
        </w:rPr>
        <w:t xml:space="preserve">              </w:t>
      </w:r>
    </w:p>
    <w:p w14:paraId="0E78DC94">
      <w:pPr>
        <w:spacing w:line="360" w:lineRule="auto"/>
        <w:ind w:firstLine="435"/>
        <w:rPr>
          <w:rFonts w:hint="eastAsia" w:ascii="宋体" w:hAnsi="宋体" w:eastAsia="宋体" w:cs="宋体"/>
          <w:sz w:val="24"/>
          <w:u w:val="single"/>
          <w:lang w:val="zh-CN"/>
        </w:rPr>
      </w:pPr>
      <w:r>
        <w:rPr>
          <w:rFonts w:hint="eastAsia" w:ascii="宋体" w:hAnsi="宋体" w:eastAsia="宋体" w:cs="宋体"/>
          <w:sz w:val="24"/>
          <w:lang w:val="zh-CN"/>
        </w:rPr>
        <w:t>1.2.2服务内容：</w:t>
      </w:r>
      <w:r>
        <w:rPr>
          <w:rFonts w:hint="eastAsia" w:ascii="宋体" w:hAnsi="宋体" w:eastAsia="宋体" w:cs="宋体"/>
          <w:sz w:val="24"/>
          <w:u w:val="single"/>
          <w:lang w:val="zh-CN"/>
        </w:rPr>
        <w:t xml:space="preserve">              </w:t>
      </w:r>
    </w:p>
    <w:p w14:paraId="4DB2CCB7">
      <w:pPr>
        <w:spacing w:line="360" w:lineRule="auto"/>
        <w:ind w:firstLine="435"/>
        <w:rPr>
          <w:rFonts w:hint="eastAsia" w:ascii="宋体" w:hAnsi="宋体" w:eastAsia="宋体" w:cs="宋体"/>
          <w:sz w:val="24"/>
          <w:lang w:val="zh-CN"/>
        </w:rPr>
      </w:pPr>
      <w:r>
        <w:rPr>
          <w:rFonts w:hint="eastAsia" w:ascii="宋体" w:hAnsi="宋体" w:eastAsia="宋体" w:cs="宋体"/>
          <w:sz w:val="24"/>
          <w:lang w:val="zh-CN"/>
        </w:rPr>
        <w:t>1.2.3服务质量：</w:t>
      </w:r>
      <w:r>
        <w:rPr>
          <w:rFonts w:hint="eastAsia" w:ascii="宋体" w:hAnsi="宋体" w:eastAsia="宋体" w:cs="宋体"/>
          <w:sz w:val="24"/>
          <w:u w:val="single"/>
          <w:lang w:val="zh-CN"/>
        </w:rPr>
        <w:t>符合国家法律法规及相关规范标准要求</w:t>
      </w:r>
      <w:r>
        <w:rPr>
          <w:rFonts w:hint="eastAsia" w:ascii="宋体" w:hAnsi="宋体" w:eastAsia="宋体" w:cs="宋体"/>
          <w:sz w:val="24"/>
          <w:lang w:val="zh-CN"/>
        </w:rPr>
        <w:t>。</w:t>
      </w:r>
    </w:p>
    <w:p w14:paraId="5F647619">
      <w:pPr>
        <w:spacing w:line="360" w:lineRule="auto"/>
        <w:ind w:firstLine="437"/>
        <w:outlineLvl w:val="2"/>
        <w:rPr>
          <w:rFonts w:hint="eastAsia" w:ascii="宋体" w:hAnsi="宋体" w:eastAsia="宋体" w:cs="宋体"/>
          <w:b/>
          <w:bCs/>
          <w:sz w:val="24"/>
          <w:lang w:val="zh-CN"/>
        </w:rPr>
      </w:pPr>
      <w:bookmarkStart w:id="72" w:name="_Toc21551"/>
      <w:bookmarkStart w:id="73" w:name="_Toc23292"/>
      <w:bookmarkStart w:id="74" w:name="_Toc21631"/>
      <w:r>
        <w:rPr>
          <w:rFonts w:hint="eastAsia" w:ascii="宋体" w:hAnsi="宋体" w:eastAsia="宋体" w:cs="宋体"/>
          <w:b/>
          <w:bCs/>
          <w:sz w:val="24"/>
          <w:lang w:val="zh-CN"/>
        </w:rPr>
        <w:t>1.3 价款</w:t>
      </w:r>
      <w:bookmarkEnd w:id="72"/>
      <w:bookmarkEnd w:id="73"/>
      <w:bookmarkEnd w:id="74"/>
    </w:p>
    <w:p w14:paraId="301B51B5">
      <w:pPr>
        <w:spacing w:line="360" w:lineRule="auto"/>
        <w:ind w:firstLine="435"/>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元（大写：人民币</w:t>
      </w:r>
      <w:r>
        <w:rPr>
          <w:rFonts w:hint="eastAsia" w:ascii="宋体" w:hAnsi="宋体" w:eastAsia="宋体" w:cs="宋体"/>
          <w:sz w:val="24"/>
          <w:u w:val="single"/>
        </w:rPr>
        <w:t xml:space="preserve">                 </w:t>
      </w:r>
      <w:r>
        <w:rPr>
          <w:rFonts w:hint="eastAsia" w:ascii="宋体" w:hAnsi="宋体" w:eastAsia="宋体" w:cs="宋体"/>
          <w:sz w:val="24"/>
        </w:rPr>
        <w:t>元）。</w:t>
      </w:r>
    </w:p>
    <w:p w14:paraId="30B93B6B">
      <w:pPr>
        <w:spacing w:line="360" w:lineRule="auto"/>
        <w:outlineLvl w:val="2"/>
        <w:rPr>
          <w:rFonts w:hint="eastAsia" w:ascii="宋体" w:hAnsi="宋体" w:eastAsia="宋体" w:cs="宋体"/>
          <w:b/>
          <w:bCs/>
          <w:sz w:val="24"/>
          <w:lang w:val="zh-CN"/>
        </w:rPr>
      </w:pPr>
      <w:r>
        <w:rPr>
          <w:rFonts w:hint="eastAsia" w:ascii="宋体" w:hAnsi="宋体" w:eastAsia="宋体" w:cs="宋体"/>
          <w:b/>
          <w:bCs/>
          <w:sz w:val="24"/>
          <w:lang w:val="zh-CN"/>
        </w:rPr>
        <w:t>1.4 付款方式和发票开具方式</w:t>
      </w:r>
    </w:p>
    <w:p w14:paraId="4D2955D5">
      <w:pPr>
        <w:spacing w:line="360" w:lineRule="auto"/>
        <w:ind w:firstLine="435"/>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bCs/>
          <w:kern w:val="0"/>
          <w:sz w:val="24"/>
          <w:szCs w:val="24"/>
          <w:u w:val="single"/>
        </w:rPr>
        <w:t>甲方根据具体情形按照以下方式进行付款：</w:t>
      </w:r>
    </w:p>
    <w:p w14:paraId="0AD6DEC1">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①</w:t>
      </w:r>
      <w:r>
        <w:rPr>
          <w:rFonts w:hint="eastAsia" w:ascii="宋体" w:hAnsi="宋体" w:eastAsia="宋体" w:cs="宋体"/>
          <w:bCs/>
          <w:kern w:val="0"/>
          <w:sz w:val="24"/>
          <w:szCs w:val="24"/>
        </w:rPr>
        <w:t>合同签订后经乙方申请，并提交银行、保险公司、担保公司等金融机构出具的金额为合同总价40%的预付款保函作为担保，经甲方审核确认后，可向乙方支付合同总价的40%作为预付款；</w:t>
      </w:r>
    </w:p>
    <w:p w14:paraId="2AFED565">
      <w:pPr>
        <w:widowControl/>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sz w:val="24"/>
          <w:szCs w:val="24"/>
          <w:lang w:val="en-US" w:eastAsia="zh-CN"/>
        </w:rPr>
        <w:t>合同款按进度支付，项目观测完成后支付至合同价的90%，并一次性扣回所有预付款，年度验收合格并经结算审核后，支付至结算价的100%</w:t>
      </w:r>
      <w:r>
        <w:rPr>
          <w:rFonts w:hint="eastAsia" w:ascii="宋体" w:hAnsi="宋体" w:eastAsia="宋体" w:cs="宋体"/>
          <w:b/>
          <w:sz w:val="24"/>
          <w:szCs w:val="24"/>
        </w:rPr>
        <w:t>。</w:t>
      </w:r>
    </w:p>
    <w:p w14:paraId="2EE3340C">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备注：预付款支付前，乙方须提交银行、保险公司、担保公司等金融机构出具的预付款保函（见索即付保函）；</w:t>
      </w:r>
    </w:p>
    <w:p w14:paraId="49D8B002">
      <w:pPr>
        <w:widowControl/>
        <w:spacing w:line="360" w:lineRule="auto"/>
        <w:ind w:firstLine="480" w:firstLineChars="2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②</w:t>
      </w:r>
      <w:r>
        <w:rPr>
          <w:rFonts w:hint="eastAsia" w:ascii="宋体" w:hAnsi="宋体" w:eastAsia="宋体" w:cs="宋体"/>
          <w:bCs/>
          <w:kern w:val="0"/>
          <w:sz w:val="24"/>
          <w:szCs w:val="24"/>
        </w:rPr>
        <w:t>在签订合同时，乙方书面明确表示无需预付款，即乙方无需提供预付款担保，按皖财购〔2022〕556号规定，甲方可不再支付预付款</w:t>
      </w:r>
      <w:r>
        <w:rPr>
          <w:rFonts w:hint="eastAsia" w:ascii="宋体" w:hAnsi="宋体" w:eastAsia="宋体" w:cs="宋体"/>
          <w:bCs/>
          <w:kern w:val="0"/>
          <w:sz w:val="24"/>
          <w:szCs w:val="24"/>
          <w:lang w:eastAsia="zh-CN"/>
        </w:rPr>
        <w:t>。</w:t>
      </w:r>
    </w:p>
    <w:p w14:paraId="3E6E30FC">
      <w:pPr>
        <w:spacing w:line="360" w:lineRule="auto"/>
        <w:ind w:firstLine="435"/>
        <w:rPr>
          <w:rFonts w:hint="eastAsia" w:ascii="宋体" w:hAnsi="宋体" w:eastAsia="宋体" w:cs="宋体"/>
          <w:b/>
          <w:sz w:val="24"/>
          <w:szCs w:val="24"/>
        </w:rPr>
      </w:pPr>
      <w:r>
        <w:rPr>
          <w:rFonts w:hint="eastAsia" w:ascii="宋体" w:hAnsi="宋体" w:eastAsia="宋体" w:cs="宋体"/>
          <w:b/>
          <w:bCs w:val="0"/>
          <w:kern w:val="0"/>
          <w:sz w:val="24"/>
          <w:szCs w:val="24"/>
          <w:lang w:val="en-US" w:eastAsia="zh-CN"/>
        </w:rPr>
        <w:t>如不支付预付款，</w:t>
      </w:r>
      <w:r>
        <w:rPr>
          <w:rFonts w:hint="eastAsia" w:ascii="宋体" w:hAnsi="宋体" w:eastAsia="宋体" w:cs="宋体"/>
          <w:b/>
          <w:sz w:val="24"/>
          <w:szCs w:val="24"/>
          <w:lang w:val="en-US" w:eastAsia="zh-CN"/>
        </w:rPr>
        <w:t>合同款按进度支付。项目观测完成后支付至合同价的90%，年度验收合格并经结算审核后，支付至结算价的100%</w:t>
      </w:r>
      <w:r>
        <w:rPr>
          <w:rFonts w:hint="eastAsia" w:ascii="宋体" w:hAnsi="宋体" w:eastAsia="宋体" w:cs="宋体"/>
          <w:b/>
          <w:sz w:val="24"/>
          <w:szCs w:val="24"/>
        </w:rPr>
        <w:t>。</w:t>
      </w:r>
    </w:p>
    <w:p w14:paraId="4D3E8394">
      <w:pPr>
        <w:spacing w:line="360" w:lineRule="auto"/>
        <w:ind w:firstLine="435"/>
        <w:rPr>
          <w:rFonts w:hint="eastAsia" w:ascii="宋体" w:hAnsi="宋体" w:eastAsia="宋体" w:cs="宋体"/>
          <w:sz w:val="24"/>
        </w:rPr>
      </w:pPr>
      <w:r>
        <w:rPr>
          <w:rFonts w:hint="eastAsia" w:ascii="宋体" w:hAnsi="宋体" w:eastAsia="宋体" w:cs="宋体"/>
          <w:sz w:val="24"/>
        </w:rPr>
        <w:t>1.4.2发票开具方式：</w:t>
      </w:r>
      <w:r>
        <w:rPr>
          <w:rFonts w:hint="eastAsia" w:ascii="宋体" w:hAnsi="宋体" w:eastAsia="宋体" w:cs="宋体"/>
          <w:sz w:val="24"/>
          <w:u w:val="single"/>
        </w:rPr>
        <w:t>每次付款前乙方按甲方要求出具增值税发票</w:t>
      </w:r>
      <w:r>
        <w:rPr>
          <w:rFonts w:hint="eastAsia" w:ascii="宋体" w:hAnsi="宋体" w:eastAsia="宋体" w:cs="宋体"/>
          <w:sz w:val="24"/>
        </w:rPr>
        <w:t>。</w:t>
      </w:r>
    </w:p>
    <w:p w14:paraId="724AA259">
      <w:pPr>
        <w:spacing w:line="360" w:lineRule="auto"/>
        <w:ind w:firstLine="437"/>
        <w:outlineLvl w:val="2"/>
        <w:rPr>
          <w:rFonts w:hint="eastAsia" w:ascii="宋体" w:hAnsi="宋体" w:eastAsia="宋体" w:cs="宋体"/>
          <w:b/>
          <w:bCs/>
          <w:sz w:val="24"/>
          <w:lang w:val="zh-CN"/>
        </w:rPr>
      </w:pPr>
      <w:bookmarkStart w:id="75" w:name="_Toc19304"/>
      <w:bookmarkStart w:id="76" w:name="_Toc32071"/>
      <w:bookmarkStart w:id="77" w:name="_Toc2846"/>
      <w:r>
        <w:rPr>
          <w:rFonts w:hint="eastAsia" w:ascii="宋体" w:hAnsi="宋体" w:eastAsia="宋体" w:cs="宋体"/>
          <w:b/>
          <w:bCs/>
          <w:sz w:val="24"/>
          <w:lang w:val="zh-CN"/>
        </w:rPr>
        <w:t>1.5 服务期限、地点和方式</w:t>
      </w:r>
      <w:bookmarkEnd w:id="75"/>
      <w:bookmarkEnd w:id="76"/>
      <w:bookmarkEnd w:id="77"/>
    </w:p>
    <w:p w14:paraId="34432B84">
      <w:pPr>
        <w:snapToGrid w:val="0"/>
        <w:spacing w:line="360" w:lineRule="auto"/>
        <w:ind w:firstLine="480" w:firstLineChars="200"/>
        <w:rPr>
          <w:rFonts w:hint="eastAsia" w:ascii="宋体" w:hAnsi="宋体" w:eastAsia="宋体" w:cs="宋体"/>
          <w:sz w:val="24"/>
          <w:u w:val="single"/>
          <w:lang w:val="en-US" w:eastAsia="zh-CN"/>
        </w:rPr>
      </w:pPr>
      <w:r>
        <w:rPr>
          <w:rFonts w:hint="eastAsia" w:ascii="宋体" w:hAnsi="宋体" w:eastAsia="宋体" w:cs="宋体"/>
          <w:sz w:val="24"/>
        </w:rPr>
        <w:t>1.5.1服务期限：</w:t>
      </w:r>
      <w:r>
        <w:rPr>
          <w:rFonts w:hint="eastAsia" w:ascii="宋体" w:hAnsi="宋体" w:eastAsia="宋体" w:cs="宋体"/>
          <w:sz w:val="24"/>
          <w:u w:val="single"/>
          <w:lang w:val="en-US" w:eastAsia="zh-CN"/>
        </w:rPr>
        <w:t xml:space="preserve">                        </w:t>
      </w:r>
    </w:p>
    <w:p w14:paraId="0FE9321C">
      <w:pPr>
        <w:spacing w:line="360" w:lineRule="auto"/>
        <w:ind w:firstLine="435"/>
        <w:rPr>
          <w:rFonts w:hint="eastAsia" w:ascii="宋体" w:hAnsi="宋体" w:eastAsia="宋体" w:cs="宋体"/>
          <w:sz w:val="24"/>
        </w:rPr>
      </w:pPr>
      <w:r>
        <w:rPr>
          <w:rFonts w:hint="eastAsia" w:ascii="宋体" w:hAnsi="宋体" w:eastAsia="宋体" w:cs="宋体"/>
          <w:sz w:val="24"/>
        </w:rPr>
        <w:t>1.5.2服务地点：</w:t>
      </w:r>
      <w:r>
        <w:rPr>
          <w:rFonts w:hint="eastAsia" w:ascii="宋体" w:hAnsi="宋体" w:eastAsia="宋体" w:cs="宋体"/>
          <w:sz w:val="24"/>
          <w:u w:val="single"/>
        </w:rPr>
        <w:t>安徽省境内（采购人指定地点）</w:t>
      </w:r>
      <w:r>
        <w:rPr>
          <w:rFonts w:hint="eastAsia" w:ascii="宋体" w:hAnsi="宋体" w:eastAsia="宋体" w:cs="宋体"/>
          <w:sz w:val="24"/>
        </w:rPr>
        <w:t>；</w:t>
      </w:r>
    </w:p>
    <w:p w14:paraId="003416C5">
      <w:pPr>
        <w:spacing w:line="360" w:lineRule="auto"/>
        <w:ind w:firstLine="435"/>
        <w:rPr>
          <w:rFonts w:hint="eastAsia" w:ascii="宋体" w:hAnsi="宋体" w:eastAsia="宋体" w:cs="宋体"/>
          <w:sz w:val="24"/>
        </w:rPr>
      </w:pPr>
      <w:r>
        <w:rPr>
          <w:rFonts w:hint="eastAsia" w:ascii="宋体" w:hAnsi="宋体" w:eastAsia="宋体" w:cs="宋体"/>
          <w:sz w:val="24"/>
        </w:rPr>
        <w:t>1.5.3服务方式：</w:t>
      </w:r>
      <w:r>
        <w:rPr>
          <w:rFonts w:hint="eastAsia" w:ascii="宋体" w:hAnsi="宋体" w:eastAsia="宋体" w:cs="宋体"/>
          <w:sz w:val="24"/>
          <w:u w:val="single"/>
        </w:rPr>
        <w:t xml:space="preserve"> 技术服务 </w:t>
      </w:r>
      <w:r>
        <w:rPr>
          <w:rFonts w:hint="eastAsia" w:ascii="宋体" w:hAnsi="宋体" w:eastAsia="宋体" w:cs="宋体"/>
          <w:sz w:val="24"/>
        </w:rPr>
        <w:t>。</w:t>
      </w:r>
    </w:p>
    <w:p w14:paraId="695A38B0">
      <w:pPr>
        <w:spacing w:line="360" w:lineRule="auto"/>
        <w:ind w:firstLine="437"/>
        <w:outlineLvl w:val="2"/>
        <w:rPr>
          <w:rFonts w:hint="eastAsia" w:ascii="宋体" w:hAnsi="宋体" w:eastAsia="宋体" w:cs="宋体"/>
          <w:b/>
          <w:bCs/>
          <w:sz w:val="24"/>
          <w:lang w:val="zh-CN"/>
        </w:rPr>
      </w:pPr>
      <w:bookmarkStart w:id="78" w:name="_Toc19554"/>
      <w:bookmarkStart w:id="79" w:name="_Toc21423"/>
      <w:bookmarkStart w:id="80" w:name="_Toc27250"/>
      <w:r>
        <w:rPr>
          <w:rFonts w:hint="eastAsia" w:ascii="宋体" w:hAnsi="宋体" w:eastAsia="宋体" w:cs="宋体"/>
          <w:b/>
          <w:bCs/>
          <w:sz w:val="24"/>
          <w:lang w:val="zh-CN"/>
        </w:rPr>
        <w:t>1.6 违约责任</w:t>
      </w:r>
      <w:bookmarkEnd w:id="78"/>
      <w:bookmarkEnd w:id="79"/>
      <w:bookmarkEnd w:id="80"/>
    </w:p>
    <w:p w14:paraId="453DAFD3">
      <w:pPr>
        <w:spacing w:line="360" w:lineRule="auto"/>
        <w:ind w:firstLine="435"/>
        <w:rPr>
          <w:rFonts w:hint="eastAsia" w:ascii="宋体" w:hAnsi="宋体" w:eastAsia="宋体" w:cs="宋体"/>
          <w:sz w:val="24"/>
        </w:rPr>
      </w:pPr>
      <w:r>
        <w:rPr>
          <w:rFonts w:hint="eastAsia" w:ascii="宋体" w:hAnsi="宋体" w:eastAsia="宋体" w:cs="宋体"/>
          <w:sz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0.1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5 </w:t>
      </w:r>
      <w:r>
        <w:rPr>
          <w:rFonts w:hint="eastAsia" w:ascii="宋体" w:hAnsi="宋体" w:eastAsia="宋体" w:cs="宋体"/>
          <w:sz w:val="24"/>
        </w:rPr>
        <w:t>%；迟延履行的违约金计算数额达到前述最高限额之日起，甲方有权在要求乙方支付违约金的同时，书面通知乙方解除本合同；</w:t>
      </w:r>
    </w:p>
    <w:p w14:paraId="6A8F0B7D">
      <w:pPr>
        <w:spacing w:line="360" w:lineRule="auto"/>
        <w:ind w:firstLine="435"/>
        <w:rPr>
          <w:rFonts w:hint="eastAsia" w:ascii="宋体" w:hAnsi="宋体" w:eastAsia="宋体" w:cs="宋体"/>
          <w:sz w:val="24"/>
        </w:rPr>
      </w:pPr>
      <w:r>
        <w:rPr>
          <w:rFonts w:hint="eastAsia" w:ascii="宋体" w:hAnsi="宋体" w:eastAsia="宋体" w:cs="宋体"/>
          <w:sz w:val="24"/>
        </w:rPr>
        <w:t>1.6.2除不可抗力外，如果甲方没有按照本合同约定的付款方式付款，那么乙方可要求甲方支付违约金，违约金按每迟延付款一日的应付而未付款的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0.1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5 </w:t>
      </w:r>
      <w:r>
        <w:rPr>
          <w:rFonts w:hint="eastAsia" w:ascii="宋体" w:hAnsi="宋体" w:eastAsia="宋体" w:cs="宋体"/>
          <w:sz w:val="24"/>
        </w:rPr>
        <w:t>%；迟延付款的违约金计算数额达到前述最高限额之日起，乙方有权在要求甲方支付违约金的同时，书面通知甲方解除本合同；</w:t>
      </w:r>
    </w:p>
    <w:p w14:paraId="0CB8B273">
      <w:pPr>
        <w:spacing w:line="360" w:lineRule="auto"/>
        <w:ind w:firstLine="435"/>
        <w:rPr>
          <w:rFonts w:hint="eastAsia" w:ascii="宋体" w:hAnsi="宋体" w:eastAsia="宋体" w:cs="宋体"/>
          <w:sz w:val="24"/>
        </w:rPr>
      </w:pPr>
      <w:r>
        <w:rPr>
          <w:rFonts w:hint="eastAsia" w:ascii="宋体" w:hAnsi="宋体" w:eastAsia="宋体" w:cs="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A298CE">
      <w:pPr>
        <w:spacing w:line="360" w:lineRule="auto"/>
        <w:ind w:firstLine="435"/>
        <w:rPr>
          <w:rFonts w:hint="eastAsia" w:ascii="宋体" w:hAnsi="宋体" w:eastAsia="宋体" w:cs="宋体"/>
          <w:sz w:val="24"/>
        </w:rPr>
      </w:pPr>
      <w:r>
        <w:rPr>
          <w:rFonts w:hint="eastAsia" w:ascii="宋体" w:hAnsi="宋体" w:eastAsia="宋体" w:cs="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CCCE511">
      <w:pPr>
        <w:spacing w:line="360" w:lineRule="auto"/>
        <w:ind w:firstLine="435"/>
        <w:rPr>
          <w:rFonts w:hint="eastAsia" w:ascii="宋体" w:hAnsi="宋体" w:eastAsia="宋体" w:cs="宋体"/>
          <w:sz w:val="24"/>
        </w:rPr>
      </w:pPr>
      <w:r>
        <w:rPr>
          <w:rFonts w:hint="eastAsia" w:ascii="宋体" w:hAnsi="宋体" w:eastAsia="宋体" w:cs="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B7C6291">
      <w:pPr>
        <w:spacing w:line="360" w:lineRule="auto"/>
        <w:ind w:firstLine="435"/>
        <w:rPr>
          <w:rFonts w:hint="eastAsia" w:ascii="宋体" w:hAnsi="宋体" w:eastAsia="宋体" w:cs="宋体"/>
          <w:sz w:val="24"/>
        </w:rPr>
      </w:pPr>
      <w:r>
        <w:rPr>
          <w:rFonts w:hint="eastAsia" w:ascii="宋体" w:hAnsi="宋体" w:eastAsia="宋体" w:cs="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5DDE20A7">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1.6.7</w:t>
      </w:r>
      <w:r>
        <w:rPr>
          <w:rFonts w:hint="eastAsia" w:ascii="宋体" w:hAnsi="宋体" w:eastAsia="宋体" w:cs="宋体"/>
          <w:color w:val="000000" w:themeColor="text1"/>
          <w:sz w:val="24"/>
          <w:szCs w:val="24"/>
          <w14:textFill>
            <w14:solidFill>
              <w14:schemeClr w14:val="tx1"/>
            </w14:solidFill>
          </w14:textFill>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2D97878D">
      <w:pPr>
        <w:spacing w:line="360" w:lineRule="auto"/>
        <w:ind w:firstLine="437"/>
        <w:outlineLvl w:val="2"/>
        <w:rPr>
          <w:rFonts w:hint="eastAsia" w:ascii="宋体" w:hAnsi="宋体" w:eastAsia="宋体" w:cs="宋体"/>
          <w:b/>
          <w:bCs/>
          <w:sz w:val="24"/>
          <w:lang w:val="zh-CN"/>
        </w:rPr>
      </w:pPr>
      <w:r>
        <w:rPr>
          <w:rFonts w:hint="eastAsia" w:ascii="宋体" w:hAnsi="宋体" w:eastAsia="宋体" w:cs="宋体"/>
          <w:b/>
          <w:bCs/>
          <w:sz w:val="24"/>
          <w:lang w:val="zh-CN"/>
        </w:rPr>
        <w:t>1.7 合同争议的解决</w:t>
      </w:r>
    </w:p>
    <w:p w14:paraId="293800BE">
      <w:pPr>
        <w:spacing w:line="360" w:lineRule="auto"/>
        <w:ind w:firstLine="435"/>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1.7.1 </w:t>
      </w:r>
      <w:r>
        <w:rPr>
          <w:rFonts w:hint="eastAsia" w:ascii="宋体" w:hAnsi="宋体" w:eastAsia="宋体" w:cs="宋体"/>
          <w:sz w:val="24"/>
        </w:rPr>
        <w:t>种方式解决：</w:t>
      </w:r>
    </w:p>
    <w:p w14:paraId="64814EAA">
      <w:pPr>
        <w:spacing w:line="360" w:lineRule="auto"/>
        <w:ind w:firstLine="435"/>
        <w:rPr>
          <w:rFonts w:hint="eastAsia" w:ascii="宋体" w:hAnsi="宋体" w:eastAsia="宋体" w:cs="宋体"/>
          <w:sz w:val="24"/>
        </w:rPr>
      </w:pPr>
      <w:r>
        <w:rPr>
          <w:rFonts w:hint="eastAsia" w:ascii="宋体" w:hAnsi="宋体" w:eastAsia="宋体" w:cs="宋体"/>
          <w:sz w:val="24"/>
        </w:rPr>
        <w:t>1.7.1将争议提交</w:t>
      </w:r>
      <w:r>
        <w:rPr>
          <w:rFonts w:hint="eastAsia" w:ascii="宋体" w:hAnsi="宋体" w:eastAsia="宋体" w:cs="宋体"/>
          <w:sz w:val="24"/>
          <w:u w:val="single"/>
        </w:rPr>
        <w:t xml:space="preserve"> </w:t>
      </w:r>
      <w:r>
        <w:rPr>
          <w:rFonts w:hint="eastAsia" w:ascii="宋体" w:hAnsi="宋体" w:eastAsia="宋体" w:cs="宋体"/>
          <w:bCs/>
          <w:sz w:val="24"/>
          <w:szCs w:val="24"/>
          <w:u w:val="single"/>
        </w:rPr>
        <w:t>甲方法人证书登记的住所地</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14:paraId="379CCB5C">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1.7.2向</w:t>
      </w:r>
      <w:r>
        <w:rPr>
          <w:rFonts w:hint="eastAsia" w:ascii="宋体" w:hAnsi="宋体" w:eastAsia="宋体" w:cs="宋体"/>
          <w:sz w:val="24"/>
          <w:u w:val="single"/>
        </w:rPr>
        <w:t xml:space="preserve"> </w:t>
      </w:r>
      <w:r>
        <w:rPr>
          <w:rFonts w:hint="eastAsia" w:ascii="宋体" w:hAnsi="宋体" w:eastAsia="宋体" w:cs="宋体"/>
          <w:bCs/>
          <w:sz w:val="24"/>
          <w:szCs w:val="24"/>
          <w:u w:val="single"/>
        </w:rPr>
        <w:t>甲方法人证书登记的住所地</w:t>
      </w:r>
      <w:r>
        <w:rPr>
          <w:rFonts w:hint="eastAsia" w:ascii="宋体" w:hAnsi="宋体" w:eastAsia="宋体" w:cs="宋体"/>
          <w:sz w:val="24"/>
          <w:u w:val="single"/>
        </w:rPr>
        <w:t xml:space="preserve"> </w:t>
      </w:r>
      <w:r>
        <w:rPr>
          <w:rFonts w:hint="eastAsia" w:ascii="宋体" w:hAnsi="宋体" w:eastAsia="宋体" w:cs="宋体"/>
          <w:sz w:val="24"/>
        </w:rPr>
        <w:t>人民法院起诉。</w:t>
      </w:r>
    </w:p>
    <w:p w14:paraId="52CCC773">
      <w:pPr>
        <w:autoSpaceDE w:val="0"/>
        <w:autoSpaceDN w:val="0"/>
        <w:adjustRightInd w:val="0"/>
        <w:snapToGrid w:val="0"/>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乙方责任义务</w:t>
      </w:r>
    </w:p>
    <w:p w14:paraId="51F9BD68">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1.8.1</w:t>
      </w:r>
      <w:r>
        <w:rPr>
          <w:rFonts w:hint="eastAsia" w:ascii="宋体" w:hAnsi="宋体" w:eastAsia="宋体" w:cs="宋体"/>
          <w:b/>
          <w:bCs/>
          <w:color w:val="auto"/>
          <w:kern w:val="0"/>
          <w:sz w:val="24"/>
          <w:szCs w:val="24"/>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4A1BE942">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1.8.2</w:t>
      </w:r>
      <w:r>
        <w:rPr>
          <w:rFonts w:hint="eastAsia" w:ascii="宋体" w:hAnsi="宋体" w:eastAsia="宋体" w:cs="宋体"/>
          <w:b/>
          <w:bCs/>
          <w:color w:val="auto"/>
          <w:kern w:val="0"/>
          <w:sz w:val="24"/>
          <w:szCs w:val="24"/>
        </w:rPr>
        <w:t>项目实施前，乙方须提供本项目所有从业人员的社会保险（含工伤和医疗）缴纳证明，如无法提供相应证明材料，则须为本项目</w:t>
      </w:r>
      <w:r>
        <w:rPr>
          <w:rFonts w:hint="eastAsia" w:ascii="宋体" w:hAnsi="宋体" w:eastAsia="宋体" w:cs="宋体"/>
          <w:b/>
          <w:bCs/>
          <w:color w:val="auto"/>
          <w:kern w:val="0"/>
          <w:sz w:val="24"/>
          <w:szCs w:val="24"/>
          <w:lang w:val="en-US" w:eastAsia="zh-CN"/>
        </w:rPr>
        <w:t>无社会保险的</w:t>
      </w:r>
      <w:r>
        <w:rPr>
          <w:rFonts w:hint="eastAsia" w:ascii="宋体" w:hAnsi="宋体" w:eastAsia="宋体" w:cs="宋体"/>
          <w:b/>
          <w:bCs/>
          <w:color w:val="auto"/>
          <w:kern w:val="0"/>
          <w:sz w:val="24"/>
          <w:szCs w:val="24"/>
        </w:rPr>
        <w:t>从业人员购买以下保险（</w:t>
      </w:r>
      <w:r>
        <w:rPr>
          <w:rFonts w:hint="eastAsia" w:ascii="宋体" w:hAnsi="宋体" w:eastAsia="宋体" w:cs="宋体"/>
          <w:b/>
          <w:bCs/>
          <w:color w:val="auto"/>
          <w:kern w:val="0"/>
          <w:sz w:val="24"/>
          <w:szCs w:val="24"/>
          <w:lang w:val="en-US" w:eastAsia="zh-CN"/>
        </w:rPr>
        <w:t>三</w:t>
      </w:r>
      <w:r>
        <w:rPr>
          <w:rFonts w:hint="eastAsia" w:ascii="宋体" w:hAnsi="宋体" w:eastAsia="宋体" w:cs="宋体"/>
          <w:b/>
          <w:bCs/>
          <w:color w:val="auto"/>
          <w:kern w:val="0"/>
          <w:sz w:val="24"/>
          <w:szCs w:val="24"/>
        </w:rPr>
        <w:t>者任选其一）：雇主责任险或团体意外险</w:t>
      </w:r>
      <w:r>
        <w:rPr>
          <w:rFonts w:hint="eastAsia" w:ascii="宋体" w:hAnsi="宋体" w:eastAsia="宋体" w:cs="宋体"/>
          <w:b/>
          <w:bCs/>
          <w:color w:val="auto"/>
          <w:kern w:val="0"/>
          <w:sz w:val="24"/>
          <w:szCs w:val="24"/>
          <w:lang w:val="en-US" w:eastAsia="zh-CN"/>
        </w:rPr>
        <w:t>或安全责任险</w:t>
      </w:r>
      <w:r>
        <w:rPr>
          <w:rFonts w:hint="eastAsia" w:ascii="宋体" w:hAnsi="宋体" w:eastAsia="宋体" w:cs="宋体"/>
          <w:b/>
          <w:bCs/>
          <w:color w:val="auto"/>
          <w:kern w:val="0"/>
          <w:sz w:val="24"/>
          <w:szCs w:val="24"/>
        </w:rPr>
        <w:t>，其保险费已包含在签约合同价中。</w:t>
      </w:r>
    </w:p>
    <w:p w14:paraId="570E752C">
      <w:pPr>
        <w:spacing w:line="360" w:lineRule="auto"/>
        <w:ind w:firstLine="435"/>
        <w:rPr>
          <w:rFonts w:hint="eastAsia" w:ascii="宋体" w:hAnsi="宋体" w:eastAsia="宋体" w:cs="宋体"/>
          <w:lang w:val="en-US" w:eastAsia="zh-CN"/>
        </w:rPr>
      </w:pPr>
      <w:r>
        <w:rPr>
          <w:rFonts w:hint="eastAsia" w:ascii="宋体" w:hAnsi="宋体" w:eastAsia="宋体" w:cs="宋体"/>
          <w:b/>
          <w:bCs/>
          <w:color w:val="auto"/>
          <w:sz w:val="24"/>
          <w:szCs w:val="24"/>
        </w:rPr>
        <w:t>1.8.3</w:t>
      </w:r>
      <w:r>
        <w:rPr>
          <w:rFonts w:hint="eastAsia" w:ascii="宋体" w:hAnsi="宋体" w:eastAsia="宋体" w:cs="宋体"/>
          <w:b/>
          <w:bCs/>
          <w:color w:val="auto"/>
          <w:sz w:val="24"/>
          <w:szCs w:val="24"/>
          <w:lang w:val="zh-CN"/>
        </w:rPr>
        <w:t>乙方承诺，作业过程中如出现作业人员未有效佩戴现场安全防护必须的安全帽、安全绳、救生衣以及其他必须的作业防护等安全防护用品，发生不安全行为的，每出现一次，从完工结算价中自愿核减1000元，减完为止。</w:t>
      </w:r>
    </w:p>
    <w:p w14:paraId="3E079B84">
      <w:pPr>
        <w:spacing w:line="360" w:lineRule="auto"/>
        <w:ind w:firstLine="437"/>
        <w:outlineLvl w:val="2"/>
        <w:rPr>
          <w:rFonts w:hint="eastAsia" w:ascii="宋体" w:hAnsi="宋体" w:eastAsia="宋体" w:cs="宋体"/>
          <w:b/>
          <w:bCs/>
          <w:sz w:val="24"/>
          <w:lang w:val="zh-CN"/>
        </w:rPr>
      </w:pPr>
      <w:bookmarkStart w:id="81" w:name="_Toc15322"/>
      <w:bookmarkStart w:id="82" w:name="_Toc7245"/>
      <w:bookmarkStart w:id="83" w:name="_Toc11173"/>
      <w:r>
        <w:rPr>
          <w:rFonts w:hint="eastAsia" w:ascii="宋体" w:hAnsi="宋体" w:eastAsia="宋体" w:cs="宋体"/>
          <w:b/>
          <w:bCs/>
          <w:sz w:val="24"/>
          <w:lang w:val="zh-CN"/>
        </w:rPr>
        <w:t>1.</w:t>
      </w:r>
      <w:r>
        <w:rPr>
          <w:rFonts w:hint="eastAsia" w:ascii="宋体" w:hAnsi="宋体" w:eastAsia="宋体" w:cs="宋体"/>
          <w:b/>
          <w:bCs/>
          <w:sz w:val="24"/>
          <w:lang w:val="en-US" w:eastAsia="zh-CN"/>
        </w:rPr>
        <w:t>9</w:t>
      </w:r>
      <w:r>
        <w:rPr>
          <w:rFonts w:hint="eastAsia" w:ascii="宋体" w:hAnsi="宋体" w:eastAsia="宋体" w:cs="宋体"/>
          <w:b/>
          <w:bCs/>
          <w:sz w:val="24"/>
          <w:lang w:val="zh-CN"/>
        </w:rPr>
        <w:t>合同生效</w:t>
      </w:r>
      <w:bookmarkEnd w:id="81"/>
      <w:bookmarkEnd w:id="82"/>
      <w:bookmarkEnd w:id="83"/>
    </w:p>
    <w:p w14:paraId="44E5F690">
      <w:pPr>
        <w:spacing w:line="360" w:lineRule="auto"/>
        <w:ind w:firstLine="435"/>
        <w:rPr>
          <w:rFonts w:hint="eastAsia" w:ascii="宋体" w:hAnsi="宋体" w:eastAsia="宋体" w:cs="宋体"/>
          <w:sz w:val="24"/>
        </w:rPr>
      </w:pPr>
      <w:r>
        <w:rPr>
          <w:rFonts w:hint="eastAsia" w:ascii="宋体" w:hAnsi="宋体" w:eastAsia="宋体" w:cs="宋体"/>
          <w:sz w:val="24"/>
        </w:rPr>
        <w:t>本合同自双方当事人盖章时生效。</w:t>
      </w:r>
    </w:p>
    <w:p w14:paraId="4530C376">
      <w:pPr>
        <w:autoSpaceDE w:val="0"/>
        <w:autoSpaceDN w:val="0"/>
        <w:adjustRightInd w:val="0"/>
        <w:spacing w:line="560" w:lineRule="exact"/>
        <w:rPr>
          <w:rFonts w:hint="eastAsia" w:ascii="宋体" w:hAnsi="宋体" w:eastAsia="宋体" w:cs="宋体"/>
          <w:sz w:val="24"/>
          <w:lang w:val="zh-CN"/>
        </w:rPr>
      </w:pPr>
    </w:p>
    <w:p w14:paraId="7AC754D7">
      <w:pPr>
        <w:autoSpaceDE w:val="0"/>
        <w:autoSpaceDN w:val="0"/>
        <w:adjustRightInd w:val="0"/>
        <w:spacing w:line="560" w:lineRule="exact"/>
        <w:rPr>
          <w:rFonts w:hint="eastAsia" w:ascii="宋体" w:hAnsi="宋体" w:eastAsia="宋体" w:cs="宋体"/>
          <w:sz w:val="24"/>
          <w:lang w:val="zh-CN"/>
        </w:rPr>
      </w:pPr>
    </w:p>
    <w:p w14:paraId="4C0EA72D">
      <w:pPr>
        <w:autoSpaceDE w:val="0"/>
        <w:autoSpaceDN w:val="0"/>
        <w:adjustRightInd w:val="0"/>
        <w:spacing w:line="560" w:lineRule="exact"/>
        <w:rPr>
          <w:rFonts w:hint="eastAsia" w:ascii="宋体" w:hAnsi="宋体" w:eastAsia="宋体" w:cs="宋体"/>
          <w:sz w:val="24"/>
          <w:lang w:val="zh-CN"/>
        </w:rPr>
      </w:pPr>
    </w:p>
    <w:p w14:paraId="693058EA">
      <w:pPr>
        <w:autoSpaceDE w:val="0"/>
        <w:autoSpaceDN w:val="0"/>
        <w:adjustRightInd w:val="0"/>
        <w:spacing w:line="560" w:lineRule="exact"/>
        <w:rPr>
          <w:rFonts w:hint="eastAsia" w:ascii="宋体" w:hAnsi="宋体" w:eastAsia="宋体" w:cs="宋体"/>
          <w:bCs/>
          <w:sz w:val="24"/>
          <w:szCs w:val="24"/>
          <w:lang w:val="zh-CN"/>
        </w:rPr>
      </w:pPr>
      <w:r>
        <w:rPr>
          <w:rFonts w:hint="eastAsia" w:ascii="宋体" w:hAnsi="宋体" w:eastAsia="宋体" w:cs="宋体"/>
          <w:bCs/>
          <w:sz w:val="24"/>
          <w:szCs w:val="24"/>
          <w:lang w:val="zh-CN"/>
        </w:rPr>
        <w:t>甲    方：</w:t>
      </w:r>
      <w:r>
        <w:rPr>
          <w:rFonts w:hint="eastAsia" w:ascii="宋体" w:hAnsi="宋体" w:eastAsia="宋体" w:cs="宋体"/>
          <w:bCs/>
          <w:sz w:val="24"/>
          <w:szCs w:val="24"/>
          <w:u w:val="single"/>
          <w:lang w:val="zh-CN"/>
        </w:rPr>
        <w:t xml:space="preserve">    （单位盖章）     </w:t>
      </w:r>
      <w:r>
        <w:rPr>
          <w:rFonts w:hint="eastAsia" w:ascii="宋体" w:hAnsi="宋体" w:eastAsia="宋体" w:cs="宋体"/>
          <w:bCs/>
          <w:sz w:val="24"/>
          <w:szCs w:val="24"/>
          <w:lang w:val="zh-CN"/>
        </w:rPr>
        <w:t xml:space="preserve">          乙方：</w:t>
      </w:r>
      <w:r>
        <w:rPr>
          <w:rFonts w:hint="eastAsia" w:ascii="宋体" w:hAnsi="宋体" w:eastAsia="宋体" w:cs="宋体"/>
          <w:bCs/>
          <w:sz w:val="24"/>
          <w:szCs w:val="24"/>
          <w:u w:val="single"/>
          <w:lang w:val="zh-CN"/>
        </w:rPr>
        <w:t xml:space="preserve">    （单位盖章）     </w:t>
      </w:r>
    </w:p>
    <w:p w14:paraId="7ECFF49A">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                               法定代表人</w:t>
      </w:r>
    </w:p>
    <w:p w14:paraId="0AE7B1DB">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或授权代表（签字）：                      或授权代表（签字）：</w:t>
      </w:r>
    </w:p>
    <w:p w14:paraId="759EE669">
      <w:pPr>
        <w:widowControl/>
        <w:spacing w:line="560" w:lineRule="exact"/>
        <w:jc w:val="left"/>
        <w:rPr>
          <w:rFonts w:hint="eastAsia" w:ascii="宋体" w:hAnsi="宋体" w:eastAsia="宋体" w:cs="宋体"/>
          <w:bCs/>
          <w:sz w:val="24"/>
          <w:szCs w:val="24"/>
        </w:rPr>
      </w:pPr>
      <w:r>
        <w:rPr>
          <w:rFonts w:hint="eastAsia" w:ascii="宋体" w:hAnsi="宋体" w:eastAsia="宋体" w:cs="宋体"/>
          <w:bCs/>
          <w:sz w:val="24"/>
          <w:szCs w:val="24"/>
        </w:rPr>
        <w:t>时间：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               时间：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6BFA51C3">
      <w:pPr>
        <w:widowControl/>
        <w:spacing w:line="560" w:lineRule="exact"/>
        <w:jc w:val="left"/>
        <w:rPr>
          <w:rFonts w:hint="eastAsia" w:ascii="宋体" w:hAnsi="宋体" w:eastAsia="宋体" w:cs="宋体"/>
          <w:bCs/>
          <w:sz w:val="24"/>
          <w:szCs w:val="24"/>
        </w:rPr>
      </w:pPr>
      <w:r>
        <w:rPr>
          <w:rFonts w:hint="eastAsia" w:ascii="宋体" w:hAnsi="宋体" w:eastAsia="宋体" w:cs="宋体"/>
          <w:bCs/>
          <w:sz w:val="24"/>
          <w:szCs w:val="24"/>
        </w:rPr>
        <w:t xml:space="preserve">                                        乙方账户信息</w:t>
      </w:r>
    </w:p>
    <w:p w14:paraId="7D1F9D59">
      <w:pPr>
        <w:widowControl/>
        <w:spacing w:line="560" w:lineRule="exact"/>
        <w:jc w:val="left"/>
        <w:rPr>
          <w:rFonts w:hint="eastAsia" w:ascii="宋体" w:hAnsi="宋体" w:eastAsia="宋体" w:cs="宋体"/>
          <w:bCs/>
          <w:sz w:val="24"/>
          <w:szCs w:val="24"/>
          <w:u w:val="single"/>
        </w:rPr>
      </w:pPr>
      <w:r>
        <w:rPr>
          <w:rFonts w:hint="eastAsia" w:ascii="宋体" w:hAnsi="宋体" w:eastAsia="宋体" w:cs="宋体"/>
          <w:bCs/>
          <w:sz w:val="24"/>
          <w:szCs w:val="24"/>
        </w:rPr>
        <w:t xml:space="preserve">                                        户名：</w:t>
      </w:r>
      <w:r>
        <w:rPr>
          <w:rFonts w:hint="eastAsia" w:ascii="宋体" w:hAnsi="宋体" w:eastAsia="宋体" w:cs="宋体"/>
          <w:bCs/>
          <w:sz w:val="24"/>
          <w:szCs w:val="24"/>
          <w:u w:val="single"/>
        </w:rPr>
        <w:t xml:space="preserve">                    </w:t>
      </w:r>
    </w:p>
    <w:p w14:paraId="40E454BF">
      <w:pPr>
        <w:widowControl/>
        <w:spacing w:line="560" w:lineRule="exact"/>
        <w:jc w:val="left"/>
        <w:rPr>
          <w:rFonts w:hint="eastAsia" w:ascii="宋体" w:hAnsi="宋体" w:eastAsia="宋体" w:cs="宋体"/>
          <w:bCs/>
          <w:sz w:val="24"/>
          <w:szCs w:val="24"/>
          <w:u w:val="single"/>
        </w:rPr>
      </w:pPr>
      <w:r>
        <w:rPr>
          <w:rFonts w:hint="eastAsia" w:ascii="宋体" w:hAnsi="宋体" w:eastAsia="宋体" w:cs="宋体"/>
          <w:bCs/>
          <w:sz w:val="24"/>
          <w:szCs w:val="24"/>
        </w:rPr>
        <w:t xml:space="preserve">                                        账号：</w:t>
      </w:r>
      <w:r>
        <w:rPr>
          <w:rFonts w:hint="eastAsia" w:ascii="宋体" w:hAnsi="宋体" w:eastAsia="宋体" w:cs="宋体"/>
          <w:bCs/>
          <w:sz w:val="24"/>
          <w:szCs w:val="24"/>
          <w:u w:val="single"/>
        </w:rPr>
        <w:t xml:space="preserve">                    </w:t>
      </w:r>
    </w:p>
    <w:p w14:paraId="1293EF24">
      <w:pPr>
        <w:widowControl/>
        <w:spacing w:line="560" w:lineRule="exact"/>
        <w:jc w:val="left"/>
        <w:rPr>
          <w:rFonts w:hint="eastAsia" w:ascii="宋体" w:hAnsi="宋体" w:eastAsia="宋体" w:cs="宋体"/>
          <w:bCs/>
          <w:sz w:val="24"/>
          <w:szCs w:val="24"/>
          <w:u w:val="single"/>
        </w:rPr>
      </w:pPr>
      <w:r>
        <w:rPr>
          <w:rFonts w:hint="eastAsia" w:ascii="宋体" w:hAnsi="宋体" w:eastAsia="宋体" w:cs="宋体"/>
          <w:bCs/>
          <w:sz w:val="24"/>
          <w:szCs w:val="24"/>
        </w:rPr>
        <w:t xml:space="preserve">                                        开户银行：</w:t>
      </w:r>
      <w:r>
        <w:rPr>
          <w:rFonts w:hint="eastAsia" w:ascii="宋体" w:hAnsi="宋体" w:eastAsia="宋体" w:cs="宋体"/>
          <w:bCs/>
          <w:sz w:val="24"/>
          <w:szCs w:val="24"/>
          <w:u w:val="single"/>
        </w:rPr>
        <w:t xml:space="preserve">                </w:t>
      </w:r>
    </w:p>
    <w:p w14:paraId="504A040E">
      <w:pPr>
        <w:widowControl/>
        <w:jc w:val="left"/>
        <w:rPr>
          <w:rFonts w:hint="eastAsia" w:ascii="宋体" w:hAnsi="宋体" w:eastAsia="宋体" w:cs="宋体"/>
          <w:b/>
          <w:sz w:val="24"/>
        </w:rPr>
      </w:pPr>
      <w:r>
        <w:rPr>
          <w:rFonts w:hint="eastAsia" w:ascii="宋体" w:hAnsi="宋体" w:eastAsia="宋体" w:cs="宋体"/>
          <w:b/>
          <w:sz w:val="24"/>
        </w:rPr>
        <w:br w:type="page"/>
      </w:r>
    </w:p>
    <w:p w14:paraId="428A6DF8">
      <w:pPr>
        <w:spacing w:line="360" w:lineRule="auto"/>
        <w:jc w:val="center"/>
        <w:outlineLvl w:val="1"/>
        <w:rPr>
          <w:rFonts w:hint="eastAsia" w:ascii="宋体" w:hAnsi="宋体" w:eastAsia="宋体" w:cs="宋体"/>
          <w:b/>
          <w:sz w:val="24"/>
        </w:rPr>
      </w:pPr>
      <w:bookmarkStart w:id="84" w:name="_Toc8809"/>
      <w:r>
        <w:rPr>
          <w:rFonts w:hint="eastAsia" w:ascii="宋体" w:hAnsi="宋体" w:eastAsia="宋体" w:cs="宋体"/>
          <w:b/>
          <w:sz w:val="24"/>
        </w:rPr>
        <w:t>第二部分 合同一般条款</w:t>
      </w:r>
      <w:bookmarkEnd w:id="84"/>
    </w:p>
    <w:p w14:paraId="53A9979D">
      <w:pPr>
        <w:spacing w:line="360" w:lineRule="auto"/>
        <w:ind w:firstLine="437"/>
        <w:outlineLvl w:val="2"/>
        <w:rPr>
          <w:rFonts w:hint="eastAsia" w:ascii="宋体" w:hAnsi="宋体" w:eastAsia="宋体" w:cs="宋体"/>
          <w:b/>
          <w:bCs/>
          <w:sz w:val="24"/>
          <w:lang w:val="zh-CN"/>
        </w:rPr>
      </w:pPr>
      <w:bookmarkStart w:id="85" w:name="_Ref467379094"/>
      <w:bookmarkStart w:id="86" w:name="_Ref467379195"/>
      <w:bookmarkStart w:id="87" w:name="_Ref467379214"/>
      <w:bookmarkStart w:id="88" w:name="_Toc279701240"/>
      <w:bookmarkStart w:id="89" w:name="_Ref467378499"/>
      <w:bookmarkStart w:id="90" w:name="_Ref467378463"/>
      <w:bookmarkStart w:id="91" w:name="_Ref467378404"/>
      <w:bookmarkStart w:id="92" w:name="_Toc28763"/>
      <w:bookmarkStart w:id="93" w:name="_Toc16917"/>
      <w:bookmarkStart w:id="94" w:name="_Ref467379101"/>
      <w:bookmarkStart w:id="95" w:name="_Toc487900349"/>
      <w:bookmarkStart w:id="96" w:name="_Ref467379225"/>
      <w:bookmarkStart w:id="97" w:name="_Ref467379109"/>
      <w:bookmarkStart w:id="98" w:name="_Toc19614"/>
      <w:bookmarkStart w:id="99" w:name="_Ref467379205"/>
      <w:bookmarkStart w:id="100" w:name="_Toc259093669"/>
      <w:r>
        <w:rPr>
          <w:rFonts w:hint="eastAsia" w:ascii="宋体" w:hAnsi="宋体" w:eastAsia="宋体" w:cs="宋体"/>
          <w:b/>
          <w:bCs/>
          <w:sz w:val="24"/>
          <w:lang w:val="zh-CN"/>
        </w:rPr>
        <w:t>2.1 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C2A37AE">
      <w:pPr>
        <w:spacing w:line="360" w:lineRule="auto"/>
        <w:ind w:firstLine="435"/>
        <w:rPr>
          <w:rFonts w:hint="eastAsia" w:ascii="宋体" w:hAnsi="宋体" w:eastAsia="宋体" w:cs="宋体"/>
          <w:sz w:val="24"/>
        </w:rPr>
      </w:pPr>
      <w:r>
        <w:rPr>
          <w:rFonts w:hint="eastAsia" w:ascii="宋体" w:hAnsi="宋体" w:eastAsia="宋体" w:cs="宋体"/>
          <w:sz w:val="24"/>
        </w:rPr>
        <w:t>本合同中的下列词语应按以下内容进行解释：</w:t>
      </w:r>
    </w:p>
    <w:p w14:paraId="6AA6D949">
      <w:pPr>
        <w:spacing w:line="360" w:lineRule="auto"/>
        <w:ind w:firstLine="435"/>
        <w:rPr>
          <w:rFonts w:hint="eastAsia" w:ascii="宋体" w:hAnsi="宋体" w:eastAsia="宋体" w:cs="宋体"/>
          <w:sz w:val="24"/>
        </w:rPr>
      </w:pPr>
      <w:r>
        <w:rPr>
          <w:rFonts w:hint="eastAsia" w:ascii="宋体" w:hAnsi="宋体" w:eastAsia="宋体" w:cs="宋体"/>
          <w:sz w:val="24"/>
        </w:rPr>
        <w:t>2.1.1“合同”系指采购人和成交供应商签订的载明双方当事人所达成的协议，并包括所有的附件、附录和构成合同的其他文件。</w:t>
      </w:r>
    </w:p>
    <w:p w14:paraId="1DEAC5E0">
      <w:pPr>
        <w:spacing w:line="360" w:lineRule="auto"/>
        <w:ind w:firstLine="435"/>
        <w:rPr>
          <w:rFonts w:hint="eastAsia" w:ascii="宋体" w:hAnsi="宋体" w:eastAsia="宋体" w:cs="宋体"/>
          <w:sz w:val="24"/>
        </w:rPr>
      </w:pPr>
      <w:r>
        <w:rPr>
          <w:rFonts w:hint="eastAsia" w:ascii="宋体" w:hAnsi="宋体" w:eastAsia="宋体" w:cs="宋体"/>
          <w:sz w:val="24"/>
        </w:rPr>
        <w:t>2.1.2“合同价”系指根据合同约定，成交供应商在完全履行合同义务后，采购人应支付给成交供应商的价格。</w:t>
      </w:r>
    </w:p>
    <w:p w14:paraId="52B5DB9F">
      <w:pPr>
        <w:spacing w:line="360" w:lineRule="auto"/>
        <w:ind w:firstLine="435"/>
        <w:rPr>
          <w:rFonts w:hint="eastAsia" w:ascii="宋体" w:hAnsi="宋体" w:eastAsia="宋体" w:cs="宋体"/>
          <w:sz w:val="24"/>
        </w:rPr>
      </w:pPr>
      <w:r>
        <w:rPr>
          <w:rFonts w:hint="eastAsia" w:ascii="宋体" w:hAnsi="宋体" w:eastAsia="宋体" w:cs="宋体"/>
          <w:sz w:val="24"/>
        </w:rPr>
        <w:t>2.1.3“服务”系指成交供应商根据合同约定应向采购人履行的除货物和服务以外的其他政府采购对象，包括采购人自身需要的服务和向社会公众提供的公共服务。</w:t>
      </w:r>
    </w:p>
    <w:p w14:paraId="25B733E9">
      <w:pPr>
        <w:spacing w:line="360" w:lineRule="auto"/>
        <w:ind w:firstLine="435"/>
        <w:rPr>
          <w:rFonts w:hint="eastAsia" w:ascii="宋体" w:hAnsi="宋体" w:eastAsia="宋体" w:cs="宋体"/>
          <w:sz w:val="24"/>
        </w:rPr>
      </w:pPr>
      <w:bookmarkStart w:id="101" w:name="_Ref467378840"/>
      <w:r>
        <w:rPr>
          <w:rFonts w:hint="eastAsia" w:ascii="宋体" w:hAnsi="宋体" w:eastAsia="宋体" w:cs="宋体"/>
          <w:sz w:val="24"/>
        </w:rPr>
        <w:t>2.1.4“甲方”系指与成交供应商签署合同的采购人</w:t>
      </w:r>
      <w:bookmarkEnd w:id="101"/>
      <w:r>
        <w:rPr>
          <w:rFonts w:hint="eastAsia" w:ascii="宋体" w:hAnsi="宋体" w:eastAsia="宋体" w:cs="宋体"/>
          <w:sz w:val="24"/>
        </w:rPr>
        <w:t>；采购人委托采购代理机构代表其与乙方签订合同的，采购人的授权委托书作为合同附件。</w:t>
      </w:r>
    </w:p>
    <w:p w14:paraId="004F40A0">
      <w:pPr>
        <w:spacing w:line="360" w:lineRule="auto"/>
        <w:ind w:firstLine="435"/>
        <w:rPr>
          <w:rFonts w:hint="eastAsia" w:ascii="宋体" w:hAnsi="宋体" w:eastAsia="宋体" w:cs="宋体"/>
          <w:sz w:val="24"/>
        </w:rPr>
      </w:pPr>
      <w:bookmarkStart w:id="102" w:name="_Ref467379400"/>
      <w:r>
        <w:rPr>
          <w:rFonts w:hint="eastAsia" w:ascii="宋体" w:hAnsi="宋体" w:eastAsia="宋体" w:cs="宋体"/>
          <w:sz w:val="24"/>
        </w:rPr>
        <w:t>2.1.5“乙方”系指根据合同约定提供服务的成交供应商</w:t>
      </w:r>
      <w:bookmarkEnd w:id="102"/>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6ED878">
      <w:pPr>
        <w:spacing w:line="360" w:lineRule="auto"/>
        <w:ind w:firstLine="435"/>
        <w:rPr>
          <w:rFonts w:hint="eastAsia" w:ascii="宋体" w:hAnsi="宋体" w:eastAsia="宋体" w:cs="宋体"/>
          <w:sz w:val="24"/>
        </w:rPr>
      </w:pPr>
      <w:bookmarkStart w:id="103" w:name="_Ref467379436"/>
      <w:r>
        <w:rPr>
          <w:rFonts w:hint="eastAsia" w:ascii="宋体" w:hAnsi="宋体" w:eastAsia="宋体" w:cs="宋体"/>
          <w:sz w:val="24"/>
        </w:rPr>
        <w:t>2.1.6“现场”系指合同约定提供服务的地点。</w:t>
      </w:r>
      <w:bookmarkEnd w:id="103"/>
    </w:p>
    <w:p w14:paraId="66736316">
      <w:pPr>
        <w:spacing w:line="360" w:lineRule="auto"/>
        <w:ind w:firstLine="437"/>
        <w:outlineLvl w:val="2"/>
        <w:rPr>
          <w:rFonts w:hint="eastAsia" w:ascii="宋体" w:hAnsi="宋体" w:eastAsia="宋体" w:cs="宋体"/>
          <w:b/>
          <w:bCs/>
          <w:sz w:val="24"/>
          <w:lang w:val="zh-CN"/>
        </w:rPr>
      </w:pPr>
      <w:bookmarkStart w:id="104" w:name="_Toc487900350"/>
      <w:bookmarkStart w:id="105" w:name="_Toc259093670"/>
      <w:bookmarkStart w:id="106" w:name="_Toc27635"/>
      <w:bookmarkStart w:id="107" w:name="_Toc279701241"/>
      <w:bookmarkStart w:id="108" w:name="_Toc32504"/>
      <w:bookmarkStart w:id="109" w:name="_Toc13336"/>
      <w:r>
        <w:rPr>
          <w:rFonts w:hint="eastAsia" w:ascii="宋体" w:hAnsi="宋体" w:eastAsia="宋体" w:cs="宋体"/>
          <w:b/>
          <w:bCs/>
          <w:sz w:val="24"/>
          <w:lang w:val="zh-CN"/>
        </w:rPr>
        <w:t>2.2 技术规范</w:t>
      </w:r>
      <w:bookmarkEnd w:id="104"/>
      <w:bookmarkEnd w:id="105"/>
      <w:bookmarkEnd w:id="106"/>
      <w:bookmarkEnd w:id="107"/>
      <w:bookmarkEnd w:id="108"/>
      <w:bookmarkEnd w:id="109"/>
    </w:p>
    <w:p w14:paraId="73AD3601">
      <w:pPr>
        <w:spacing w:line="360" w:lineRule="auto"/>
        <w:ind w:firstLine="435"/>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6FDBD99">
      <w:pPr>
        <w:spacing w:line="360" w:lineRule="auto"/>
        <w:ind w:firstLine="437"/>
        <w:outlineLvl w:val="2"/>
        <w:rPr>
          <w:rFonts w:hint="eastAsia" w:ascii="宋体" w:hAnsi="宋体" w:eastAsia="宋体" w:cs="宋体"/>
          <w:b/>
          <w:bCs/>
          <w:sz w:val="24"/>
          <w:lang w:val="zh-CN"/>
        </w:rPr>
      </w:pPr>
      <w:bookmarkStart w:id="110" w:name="_Toc487900351"/>
      <w:bookmarkStart w:id="111" w:name="_Toc279701242"/>
      <w:bookmarkStart w:id="112" w:name="_Toc9829"/>
      <w:bookmarkStart w:id="113" w:name="_Toc31634"/>
      <w:bookmarkStart w:id="114" w:name="_Toc27853"/>
      <w:bookmarkStart w:id="115" w:name="_Toc259093671"/>
      <w:r>
        <w:rPr>
          <w:rFonts w:hint="eastAsia" w:ascii="宋体" w:hAnsi="宋体" w:eastAsia="宋体" w:cs="宋体"/>
          <w:b/>
          <w:bCs/>
          <w:sz w:val="24"/>
          <w:lang w:val="zh-CN"/>
        </w:rPr>
        <w:t>2.3 知识产权</w:t>
      </w:r>
      <w:bookmarkEnd w:id="110"/>
      <w:bookmarkEnd w:id="111"/>
      <w:bookmarkEnd w:id="112"/>
      <w:bookmarkEnd w:id="113"/>
      <w:bookmarkEnd w:id="114"/>
      <w:bookmarkEnd w:id="115"/>
    </w:p>
    <w:p w14:paraId="5F5F6C86">
      <w:pPr>
        <w:spacing w:line="360" w:lineRule="auto"/>
        <w:ind w:firstLine="435"/>
        <w:rPr>
          <w:rFonts w:hint="eastAsia" w:ascii="宋体" w:hAnsi="宋体" w:eastAsia="宋体" w:cs="宋体"/>
          <w:sz w:val="24"/>
        </w:rPr>
      </w:pPr>
      <w:r>
        <w:rPr>
          <w:rFonts w:hint="eastAsia" w:ascii="宋体" w:hAnsi="宋体" w:eastAsia="宋体" w:cs="宋体"/>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AD337A1">
      <w:pPr>
        <w:spacing w:line="360" w:lineRule="auto"/>
        <w:ind w:firstLine="435"/>
        <w:rPr>
          <w:rFonts w:hint="eastAsia" w:ascii="宋体" w:hAnsi="宋体" w:eastAsia="宋体" w:cs="宋体"/>
          <w:sz w:val="24"/>
        </w:rPr>
      </w:pPr>
      <w:r>
        <w:rPr>
          <w:rFonts w:hint="eastAsia" w:ascii="宋体" w:hAnsi="宋体" w:eastAsia="宋体" w:cs="宋体"/>
          <w:sz w:val="24"/>
        </w:rPr>
        <w:t>2.3.2具有知识产权的计算机软件等货物的知识产权归属，详见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14:paraId="440A0B5B">
      <w:pPr>
        <w:spacing w:line="360" w:lineRule="auto"/>
        <w:ind w:firstLine="437"/>
        <w:outlineLvl w:val="2"/>
        <w:rPr>
          <w:rFonts w:hint="eastAsia" w:ascii="宋体" w:hAnsi="宋体" w:eastAsia="宋体" w:cs="宋体"/>
          <w:b/>
          <w:bCs/>
          <w:sz w:val="24"/>
          <w:lang w:val="zh-CN"/>
        </w:rPr>
      </w:pPr>
      <w:bookmarkStart w:id="116" w:name="_Toc487900354"/>
      <w:bookmarkStart w:id="117" w:name="_Ref467378541"/>
      <w:bookmarkStart w:id="118" w:name="_Ref467379527"/>
      <w:bookmarkStart w:id="119" w:name="_Ref467378591"/>
      <w:bookmarkStart w:id="120" w:name="_Ref467379542"/>
      <w:bookmarkStart w:id="121" w:name="_Toc279701245"/>
      <w:bookmarkStart w:id="122" w:name="_Toc259093674"/>
      <w:bookmarkStart w:id="123" w:name="_Ref467379536"/>
      <w:bookmarkStart w:id="124" w:name="_Toc30272"/>
      <w:bookmarkStart w:id="125" w:name="_Toc19074"/>
      <w:bookmarkStart w:id="126" w:name="_Toc26182"/>
      <w:r>
        <w:rPr>
          <w:rFonts w:hint="eastAsia" w:ascii="宋体" w:hAnsi="宋体" w:eastAsia="宋体" w:cs="宋体"/>
          <w:b/>
          <w:bCs/>
          <w:sz w:val="24"/>
          <w:lang w:val="zh-CN"/>
        </w:rPr>
        <w:t>2.</w:t>
      </w:r>
      <w:bookmarkEnd w:id="116"/>
      <w:bookmarkEnd w:id="117"/>
      <w:bookmarkEnd w:id="118"/>
      <w:bookmarkEnd w:id="119"/>
      <w:bookmarkEnd w:id="120"/>
      <w:bookmarkEnd w:id="121"/>
      <w:bookmarkEnd w:id="122"/>
      <w:bookmarkEnd w:id="123"/>
      <w:r>
        <w:rPr>
          <w:rFonts w:hint="eastAsia" w:ascii="宋体" w:hAnsi="宋体" w:eastAsia="宋体" w:cs="宋体"/>
          <w:b/>
          <w:bCs/>
          <w:sz w:val="24"/>
          <w:lang w:val="zh-CN"/>
        </w:rPr>
        <w:t>4 履约检查和问题反馈</w:t>
      </w:r>
      <w:bookmarkEnd w:id="124"/>
      <w:bookmarkEnd w:id="125"/>
      <w:bookmarkEnd w:id="126"/>
    </w:p>
    <w:p w14:paraId="5062833D">
      <w:pPr>
        <w:spacing w:line="360" w:lineRule="auto"/>
        <w:ind w:firstLine="435"/>
        <w:rPr>
          <w:rFonts w:hint="eastAsia" w:ascii="宋体" w:hAnsi="宋体" w:eastAsia="宋体" w:cs="宋体"/>
          <w:sz w:val="24"/>
        </w:rPr>
      </w:pPr>
      <w:r>
        <w:rPr>
          <w:rFonts w:hint="eastAsia" w:ascii="宋体" w:hAnsi="宋体" w:eastAsia="宋体" w:cs="宋体"/>
          <w:sz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6E51AB8D">
      <w:pPr>
        <w:spacing w:line="360" w:lineRule="auto"/>
        <w:ind w:firstLine="435"/>
        <w:rPr>
          <w:rFonts w:hint="eastAsia" w:ascii="宋体" w:hAnsi="宋体" w:eastAsia="宋体" w:cs="宋体"/>
          <w:sz w:val="24"/>
        </w:rPr>
      </w:pPr>
      <w:r>
        <w:rPr>
          <w:rFonts w:hint="eastAsia" w:ascii="宋体" w:hAnsi="宋体" w:eastAsia="宋体" w:cs="宋体"/>
          <w:sz w:val="24"/>
        </w:rPr>
        <w:t>2.4.2合同履行期间，甲方有权将履行过程中出现的问题反馈给乙方，双方当事人应以书面形式约定需要完善和改进的内容。</w:t>
      </w:r>
    </w:p>
    <w:p w14:paraId="4E2F2BBF">
      <w:pPr>
        <w:spacing w:line="360" w:lineRule="auto"/>
        <w:ind w:firstLine="437"/>
        <w:outlineLvl w:val="2"/>
        <w:rPr>
          <w:rFonts w:hint="eastAsia" w:ascii="宋体" w:hAnsi="宋体" w:eastAsia="宋体" w:cs="宋体"/>
          <w:b/>
          <w:bCs/>
          <w:sz w:val="24"/>
          <w:lang w:val="zh-CN"/>
        </w:rPr>
      </w:pPr>
      <w:bookmarkStart w:id="127" w:name="_Toc28451"/>
      <w:bookmarkStart w:id="128" w:name="_Toc19219"/>
      <w:bookmarkStart w:id="129" w:name="_Toc7836"/>
      <w:r>
        <w:rPr>
          <w:rFonts w:hint="eastAsia" w:ascii="宋体" w:hAnsi="宋体" w:eastAsia="宋体" w:cs="宋体"/>
          <w:b/>
          <w:bCs/>
          <w:sz w:val="24"/>
          <w:lang w:val="zh-CN"/>
        </w:rPr>
        <w:t>2.5 结算方式和付款条件</w:t>
      </w:r>
      <w:bookmarkEnd w:id="127"/>
      <w:bookmarkEnd w:id="128"/>
      <w:bookmarkEnd w:id="129"/>
    </w:p>
    <w:p w14:paraId="02AE0B0B">
      <w:pPr>
        <w:spacing w:line="360" w:lineRule="auto"/>
        <w:ind w:firstLine="435"/>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14:paraId="69EA5180">
      <w:pPr>
        <w:spacing w:line="360" w:lineRule="auto"/>
        <w:ind w:firstLine="437"/>
        <w:outlineLvl w:val="2"/>
        <w:rPr>
          <w:rFonts w:hint="eastAsia" w:ascii="宋体" w:hAnsi="宋体" w:eastAsia="宋体" w:cs="宋体"/>
          <w:b/>
          <w:bCs/>
          <w:sz w:val="24"/>
          <w:lang w:val="zh-CN"/>
        </w:rPr>
      </w:pPr>
      <w:bookmarkStart w:id="130" w:name="_Ref467379923"/>
      <w:bookmarkStart w:id="131" w:name="_Toc487900358"/>
      <w:bookmarkStart w:id="132" w:name="_Ref467379863"/>
      <w:bookmarkStart w:id="133" w:name="_Toc259093677"/>
      <w:bookmarkStart w:id="134" w:name="_Toc279701248"/>
      <w:bookmarkStart w:id="135" w:name="_Ref467379852"/>
      <w:bookmarkStart w:id="136" w:name="_Toc3225"/>
      <w:bookmarkStart w:id="137" w:name="_Toc774"/>
      <w:bookmarkStart w:id="138" w:name="_Toc16110"/>
      <w:r>
        <w:rPr>
          <w:rFonts w:hint="eastAsia" w:ascii="宋体" w:hAnsi="宋体" w:eastAsia="宋体" w:cs="宋体"/>
          <w:b/>
          <w:bCs/>
          <w:sz w:val="24"/>
          <w:lang w:val="zh-CN"/>
        </w:rPr>
        <w:t>2.6 技术资料</w:t>
      </w:r>
      <w:bookmarkEnd w:id="130"/>
      <w:bookmarkEnd w:id="131"/>
      <w:bookmarkEnd w:id="132"/>
      <w:bookmarkEnd w:id="133"/>
      <w:bookmarkEnd w:id="134"/>
      <w:bookmarkEnd w:id="135"/>
      <w:r>
        <w:rPr>
          <w:rFonts w:hint="eastAsia" w:ascii="宋体" w:hAnsi="宋体" w:eastAsia="宋体" w:cs="宋体"/>
          <w:b/>
          <w:bCs/>
          <w:sz w:val="24"/>
          <w:lang w:val="zh-CN"/>
        </w:rPr>
        <w:t>和保密义务</w:t>
      </w:r>
      <w:bookmarkEnd w:id="136"/>
      <w:bookmarkEnd w:id="137"/>
      <w:bookmarkEnd w:id="138"/>
    </w:p>
    <w:p w14:paraId="5D4597A8">
      <w:pPr>
        <w:spacing w:line="360" w:lineRule="auto"/>
        <w:ind w:firstLine="435"/>
        <w:rPr>
          <w:rFonts w:hint="eastAsia" w:ascii="宋体" w:hAnsi="宋体" w:eastAsia="宋体" w:cs="宋体"/>
          <w:sz w:val="24"/>
        </w:rPr>
      </w:pPr>
      <w:r>
        <w:rPr>
          <w:rFonts w:hint="eastAsia" w:ascii="宋体" w:hAnsi="宋体" w:eastAsia="宋体" w:cs="宋体"/>
          <w:sz w:val="24"/>
        </w:rPr>
        <w:t>2.6.1乙方有权依据合同约定和项目需要，向甲方了解有关情况，调阅有关资料等，甲方应予积极配合；</w:t>
      </w:r>
    </w:p>
    <w:p w14:paraId="51D7F80C">
      <w:pPr>
        <w:spacing w:line="360" w:lineRule="auto"/>
        <w:ind w:firstLine="435"/>
        <w:rPr>
          <w:rFonts w:hint="eastAsia" w:ascii="宋体" w:hAnsi="宋体" w:eastAsia="宋体" w:cs="宋体"/>
          <w:sz w:val="24"/>
        </w:rPr>
      </w:pPr>
      <w:r>
        <w:rPr>
          <w:rFonts w:hint="eastAsia" w:ascii="宋体" w:hAnsi="宋体" w:eastAsia="宋体" w:cs="宋体"/>
          <w:sz w:val="24"/>
        </w:rPr>
        <w:t>2.6.2乙方有义务妥善保管和保护由甲方提供的前款信息和资料等；</w:t>
      </w:r>
    </w:p>
    <w:p w14:paraId="6553D367">
      <w:pPr>
        <w:spacing w:line="360" w:lineRule="auto"/>
        <w:ind w:firstLine="435"/>
        <w:rPr>
          <w:rFonts w:hint="eastAsia" w:ascii="宋体" w:hAnsi="宋体" w:eastAsia="宋体" w:cs="宋体"/>
          <w:sz w:val="24"/>
        </w:rPr>
      </w:pPr>
      <w:r>
        <w:rPr>
          <w:rFonts w:hint="eastAsia" w:ascii="宋体" w:hAnsi="宋体" w:eastAsia="宋体" w:cs="宋体"/>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BE1F799">
      <w:pPr>
        <w:spacing w:line="360" w:lineRule="auto"/>
        <w:ind w:firstLine="437"/>
        <w:outlineLvl w:val="2"/>
        <w:rPr>
          <w:rFonts w:hint="eastAsia" w:ascii="宋体" w:hAnsi="宋体" w:eastAsia="宋体" w:cs="宋体"/>
          <w:b/>
          <w:bCs/>
          <w:sz w:val="24"/>
          <w:lang w:val="zh-CN"/>
        </w:rPr>
      </w:pPr>
      <w:bookmarkStart w:id="139" w:name="_Toc7860"/>
      <w:r>
        <w:rPr>
          <w:rFonts w:hint="eastAsia" w:ascii="宋体" w:hAnsi="宋体" w:eastAsia="宋体" w:cs="宋体"/>
          <w:b/>
          <w:bCs/>
          <w:sz w:val="24"/>
          <w:lang w:val="zh-CN"/>
        </w:rPr>
        <w:t>2.7 质量保证</w:t>
      </w:r>
      <w:bookmarkEnd w:id="139"/>
    </w:p>
    <w:p w14:paraId="06E498FA">
      <w:pPr>
        <w:spacing w:line="360" w:lineRule="auto"/>
        <w:ind w:firstLine="435"/>
        <w:rPr>
          <w:rFonts w:hint="eastAsia" w:ascii="宋体" w:hAnsi="宋体" w:eastAsia="宋体" w:cs="宋体"/>
          <w:sz w:val="24"/>
        </w:rPr>
      </w:pPr>
      <w:r>
        <w:rPr>
          <w:rFonts w:hint="eastAsia" w:ascii="宋体" w:hAnsi="宋体" w:eastAsia="宋体" w:cs="宋体"/>
          <w:sz w:val="24"/>
        </w:rPr>
        <w:t>2.7.1乙方应建立和完善履行合同的内部质量保证体系，并提供相关内部规章制度给甲方，以便甲方进行监督检查；</w:t>
      </w:r>
    </w:p>
    <w:p w14:paraId="0ACD73FC">
      <w:pPr>
        <w:spacing w:line="360" w:lineRule="auto"/>
        <w:ind w:firstLine="435"/>
        <w:rPr>
          <w:rFonts w:hint="eastAsia" w:ascii="宋体" w:hAnsi="宋体" w:eastAsia="宋体" w:cs="宋体"/>
          <w:sz w:val="24"/>
        </w:rPr>
      </w:pPr>
      <w:r>
        <w:rPr>
          <w:rFonts w:hint="eastAsia" w:ascii="宋体" w:hAnsi="宋体" w:eastAsia="宋体" w:cs="宋体"/>
          <w:sz w:val="24"/>
        </w:rPr>
        <w:t>2.7.2乙方应保证履行合同的人员数量和素质、软件和硬件设备的配置、场地、环境和设施等满足全面履行合同的要求，并应接受甲方的监督检查。</w:t>
      </w:r>
    </w:p>
    <w:p w14:paraId="06E730C4">
      <w:pPr>
        <w:spacing w:line="360" w:lineRule="auto"/>
        <w:ind w:firstLine="437"/>
        <w:outlineLvl w:val="2"/>
        <w:rPr>
          <w:rFonts w:hint="eastAsia" w:ascii="宋体" w:hAnsi="宋体" w:eastAsia="宋体" w:cs="宋体"/>
          <w:b/>
          <w:sz w:val="24"/>
        </w:rPr>
      </w:pPr>
      <w:bookmarkStart w:id="140" w:name="_Toc22267"/>
      <w:r>
        <w:rPr>
          <w:rFonts w:hint="eastAsia" w:ascii="宋体" w:hAnsi="宋体" w:eastAsia="宋体" w:cs="宋体"/>
          <w:b/>
          <w:sz w:val="24"/>
        </w:rPr>
        <w:t>2.8 延迟履行</w:t>
      </w:r>
      <w:bookmarkEnd w:id="140"/>
    </w:p>
    <w:p w14:paraId="6E4674BD">
      <w:pPr>
        <w:spacing w:line="360" w:lineRule="auto"/>
        <w:ind w:firstLine="435"/>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FF976F1">
      <w:pPr>
        <w:spacing w:line="360" w:lineRule="auto"/>
        <w:ind w:firstLine="437"/>
        <w:outlineLvl w:val="2"/>
        <w:rPr>
          <w:rFonts w:hint="eastAsia" w:ascii="宋体" w:hAnsi="宋体" w:eastAsia="宋体" w:cs="宋体"/>
          <w:b/>
          <w:bCs/>
          <w:sz w:val="24"/>
          <w:lang w:val="zh-CN"/>
        </w:rPr>
      </w:pPr>
      <w:bookmarkStart w:id="141" w:name="_Toc7502"/>
      <w:r>
        <w:rPr>
          <w:rFonts w:hint="eastAsia" w:ascii="宋体" w:hAnsi="宋体" w:eastAsia="宋体" w:cs="宋体"/>
          <w:b/>
          <w:bCs/>
          <w:sz w:val="24"/>
          <w:lang w:val="zh-CN"/>
        </w:rPr>
        <w:t>2.9 合同变更</w:t>
      </w:r>
      <w:bookmarkEnd w:id="141"/>
    </w:p>
    <w:p w14:paraId="4054ADD4">
      <w:pPr>
        <w:spacing w:line="360" w:lineRule="auto"/>
        <w:ind w:firstLine="435"/>
        <w:rPr>
          <w:rFonts w:hint="eastAsia" w:ascii="宋体" w:hAnsi="宋体" w:eastAsia="宋体" w:cs="宋体"/>
          <w:sz w:val="24"/>
        </w:rPr>
      </w:pPr>
      <w:r>
        <w:rPr>
          <w:rFonts w:hint="eastAsia" w:ascii="宋体" w:hAnsi="宋体" w:eastAsia="宋体" w:cs="宋体"/>
          <w:sz w:val="24"/>
        </w:rPr>
        <w:t>2.9.1双方当事人协商一致，可以签订书面补充合同的形式变更合同，但不得违背采购文件确定的事项；</w:t>
      </w:r>
    </w:p>
    <w:p w14:paraId="0B9D734A">
      <w:pPr>
        <w:spacing w:line="360" w:lineRule="auto"/>
        <w:ind w:firstLine="435"/>
        <w:rPr>
          <w:rFonts w:hint="eastAsia" w:ascii="宋体" w:hAnsi="宋体" w:eastAsia="宋体" w:cs="宋体"/>
          <w:sz w:val="24"/>
        </w:rPr>
      </w:pPr>
      <w:r>
        <w:rPr>
          <w:rFonts w:hint="eastAsia" w:ascii="宋体" w:hAnsi="宋体" w:eastAsia="宋体" w:cs="宋体"/>
          <w:sz w:val="24"/>
        </w:rPr>
        <w:t>2.9.2合同继续履行将损害国家利益和社会公共利益的，双方当事人应当以书面形式变更合同。有过错的一方应当承担赔偿责任，双方当事人都有过错的，各自承担相应的责任。</w:t>
      </w:r>
    </w:p>
    <w:p w14:paraId="325C861F">
      <w:pPr>
        <w:spacing w:line="360" w:lineRule="auto"/>
        <w:ind w:firstLine="437"/>
        <w:outlineLvl w:val="2"/>
        <w:rPr>
          <w:rFonts w:hint="eastAsia" w:ascii="宋体" w:hAnsi="宋体" w:eastAsia="宋体" w:cs="宋体"/>
          <w:b/>
          <w:bCs/>
          <w:sz w:val="24"/>
          <w:lang w:val="zh-CN"/>
        </w:rPr>
      </w:pPr>
      <w:bookmarkStart w:id="142" w:name="_Toc15237"/>
      <w:bookmarkStart w:id="143" w:name="_Toc22955"/>
      <w:bookmarkStart w:id="144" w:name="_Toc10366"/>
      <w:r>
        <w:rPr>
          <w:rFonts w:hint="eastAsia" w:ascii="宋体" w:hAnsi="宋体" w:eastAsia="宋体" w:cs="宋体"/>
          <w:b/>
          <w:bCs/>
          <w:sz w:val="24"/>
          <w:lang w:val="zh-CN"/>
        </w:rPr>
        <w:t>2.10 合同转让和分包</w:t>
      </w:r>
      <w:bookmarkEnd w:id="142"/>
      <w:bookmarkEnd w:id="143"/>
      <w:bookmarkEnd w:id="144"/>
    </w:p>
    <w:p w14:paraId="22921B7F">
      <w:pPr>
        <w:spacing w:line="360" w:lineRule="auto"/>
        <w:ind w:firstLine="435"/>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A358E82">
      <w:pPr>
        <w:spacing w:line="360" w:lineRule="auto"/>
        <w:ind w:firstLine="437"/>
        <w:outlineLvl w:val="2"/>
        <w:rPr>
          <w:rFonts w:hint="eastAsia" w:ascii="宋体" w:hAnsi="宋体" w:eastAsia="宋体" w:cs="宋体"/>
          <w:b/>
          <w:bCs/>
          <w:sz w:val="24"/>
          <w:lang w:val="zh-CN"/>
        </w:rPr>
      </w:pPr>
      <w:bookmarkStart w:id="145" w:name="_Toc16508"/>
      <w:bookmarkStart w:id="146" w:name="_Toc13566"/>
      <w:bookmarkStart w:id="147" w:name="_Toc14066"/>
      <w:r>
        <w:rPr>
          <w:rFonts w:hint="eastAsia" w:ascii="宋体" w:hAnsi="宋体" w:eastAsia="宋体" w:cs="宋体"/>
          <w:b/>
          <w:bCs/>
          <w:sz w:val="24"/>
          <w:lang w:val="zh-CN"/>
        </w:rPr>
        <w:t>2.11 不可抗力</w:t>
      </w:r>
      <w:bookmarkEnd w:id="145"/>
      <w:bookmarkEnd w:id="146"/>
      <w:bookmarkEnd w:id="147"/>
    </w:p>
    <w:p w14:paraId="53A8F3FB">
      <w:pPr>
        <w:spacing w:line="360" w:lineRule="auto"/>
        <w:ind w:firstLine="435"/>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14:paraId="13A4CD76">
      <w:pPr>
        <w:spacing w:line="360" w:lineRule="auto"/>
        <w:ind w:firstLine="435"/>
        <w:rPr>
          <w:rFonts w:hint="eastAsia" w:ascii="宋体" w:hAnsi="宋体" w:eastAsia="宋体" w:cs="宋体"/>
          <w:sz w:val="24"/>
        </w:rPr>
      </w:pPr>
      <w:r>
        <w:rPr>
          <w:rFonts w:hint="eastAsia" w:ascii="宋体" w:hAnsi="宋体" w:eastAsia="宋体" w:cs="宋体"/>
          <w:sz w:val="24"/>
        </w:rPr>
        <w:t>2.11.2因不可抗力致使不能实现合同目的的，当事人可以解除合同；</w:t>
      </w:r>
    </w:p>
    <w:p w14:paraId="346AE336">
      <w:pPr>
        <w:spacing w:line="360" w:lineRule="auto"/>
        <w:ind w:firstLine="435"/>
        <w:rPr>
          <w:rFonts w:hint="eastAsia" w:ascii="宋体" w:hAnsi="宋体" w:eastAsia="宋体" w:cs="宋体"/>
          <w:sz w:val="24"/>
        </w:rPr>
      </w:pPr>
      <w:r>
        <w:rPr>
          <w:rFonts w:hint="eastAsia" w:ascii="宋体" w:hAnsi="宋体" w:eastAsia="宋体" w:cs="宋体"/>
          <w:sz w:val="24"/>
        </w:rPr>
        <w:t>2.11.3因不可抗力致使合同有变更必要的，双方当事人应在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14:paraId="039B6311">
      <w:pPr>
        <w:spacing w:line="360" w:lineRule="auto"/>
        <w:ind w:firstLine="435"/>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14:paraId="7B342B7C">
      <w:pPr>
        <w:spacing w:line="360" w:lineRule="auto"/>
        <w:ind w:firstLine="437"/>
        <w:outlineLvl w:val="2"/>
        <w:rPr>
          <w:rFonts w:hint="eastAsia" w:ascii="宋体" w:hAnsi="宋体" w:eastAsia="宋体" w:cs="宋体"/>
          <w:b/>
          <w:bCs/>
          <w:sz w:val="24"/>
          <w:lang w:val="zh-CN"/>
        </w:rPr>
      </w:pPr>
      <w:bookmarkStart w:id="148" w:name="_Toc30676"/>
      <w:bookmarkStart w:id="149" w:name="_Toc259093684"/>
      <w:bookmarkStart w:id="150" w:name="_Toc279701255"/>
      <w:bookmarkStart w:id="151" w:name="_Toc6969"/>
      <w:bookmarkStart w:id="152" w:name="_Toc689"/>
      <w:bookmarkStart w:id="153" w:name="_Toc487900365"/>
      <w:r>
        <w:rPr>
          <w:rFonts w:hint="eastAsia" w:ascii="宋体" w:hAnsi="宋体" w:eastAsia="宋体" w:cs="宋体"/>
          <w:b/>
          <w:bCs/>
          <w:sz w:val="24"/>
          <w:lang w:val="zh-CN"/>
        </w:rPr>
        <w:t>2.12 税费</w:t>
      </w:r>
      <w:bookmarkEnd w:id="148"/>
      <w:bookmarkEnd w:id="149"/>
      <w:bookmarkEnd w:id="150"/>
      <w:bookmarkEnd w:id="151"/>
      <w:bookmarkEnd w:id="152"/>
      <w:bookmarkEnd w:id="153"/>
    </w:p>
    <w:p w14:paraId="1B75299D">
      <w:pPr>
        <w:spacing w:line="360" w:lineRule="auto"/>
        <w:ind w:firstLine="435"/>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78CA1F5C">
      <w:pPr>
        <w:spacing w:line="360" w:lineRule="auto"/>
        <w:ind w:firstLine="437"/>
        <w:outlineLvl w:val="2"/>
        <w:rPr>
          <w:rFonts w:hint="eastAsia" w:ascii="宋体" w:hAnsi="宋体" w:eastAsia="宋体" w:cs="宋体"/>
          <w:b/>
          <w:bCs/>
          <w:sz w:val="24"/>
          <w:lang w:val="zh-CN"/>
        </w:rPr>
      </w:pPr>
      <w:bookmarkStart w:id="154" w:name="_Toc7102"/>
      <w:bookmarkStart w:id="155" w:name="_Toc8298"/>
      <w:bookmarkStart w:id="156" w:name="_Toc16959"/>
      <w:bookmarkStart w:id="157" w:name="_Toc259093687"/>
      <w:bookmarkStart w:id="158" w:name="_Toc279701258"/>
      <w:bookmarkStart w:id="159" w:name="_Toc487900368"/>
      <w:r>
        <w:rPr>
          <w:rFonts w:hint="eastAsia" w:ascii="宋体" w:hAnsi="宋体" w:eastAsia="宋体" w:cs="宋体"/>
          <w:b/>
          <w:bCs/>
          <w:sz w:val="24"/>
          <w:lang w:val="zh-CN"/>
        </w:rPr>
        <w:t>2.13 乙方破产</w:t>
      </w:r>
      <w:bookmarkEnd w:id="154"/>
      <w:bookmarkEnd w:id="155"/>
      <w:bookmarkEnd w:id="156"/>
      <w:bookmarkEnd w:id="157"/>
      <w:bookmarkEnd w:id="158"/>
      <w:bookmarkEnd w:id="159"/>
    </w:p>
    <w:p w14:paraId="7D21F684">
      <w:pPr>
        <w:spacing w:line="360" w:lineRule="auto"/>
        <w:ind w:firstLine="435"/>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AFB2DF3">
      <w:pPr>
        <w:spacing w:line="360" w:lineRule="auto"/>
        <w:ind w:firstLine="437"/>
        <w:outlineLvl w:val="2"/>
        <w:rPr>
          <w:rFonts w:hint="eastAsia" w:ascii="宋体" w:hAnsi="宋体" w:eastAsia="宋体" w:cs="宋体"/>
          <w:b/>
          <w:sz w:val="24"/>
        </w:rPr>
      </w:pPr>
      <w:bookmarkStart w:id="160" w:name="_Toc15387"/>
      <w:bookmarkStart w:id="161" w:name="_Toc29333"/>
      <w:bookmarkStart w:id="162" w:name="_Toc6134"/>
      <w:r>
        <w:rPr>
          <w:rFonts w:hint="eastAsia" w:ascii="宋体" w:hAnsi="宋体" w:eastAsia="宋体" w:cs="宋体"/>
          <w:b/>
          <w:bCs/>
          <w:sz w:val="24"/>
          <w:lang w:val="zh-CN"/>
        </w:rPr>
        <w:t>2.14 合同中止、终止</w:t>
      </w:r>
      <w:bookmarkEnd w:id="160"/>
      <w:bookmarkEnd w:id="161"/>
      <w:bookmarkEnd w:id="162"/>
    </w:p>
    <w:p w14:paraId="311E90D4">
      <w:pPr>
        <w:spacing w:line="360" w:lineRule="auto"/>
        <w:ind w:firstLine="435"/>
        <w:rPr>
          <w:rFonts w:hint="eastAsia" w:ascii="宋体" w:hAnsi="宋体" w:eastAsia="宋体" w:cs="宋体"/>
          <w:sz w:val="24"/>
        </w:rPr>
      </w:pPr>
      <w:r>
        <w:rPr>
          <w:rFonts w:hint="eastAsia" w:ascii="宋体" w:hAnsi="宋体" w:eastAsia="宋体" w:cs="宋体"/>
          <w:sz w:val="24"/>
        </w:rPr>
        <w:t>2.14.1双方当事人不得擅自中止或者终止合同；</w:t>
      </w:r>
    </w:p>
    <w:p w14:paraId="7CA6EEC7">
      <w:pPr>
        <w:spacing w:line="360" w:lineRule="auto"/>
        <w:ind w:firstLine="435"/>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14:paraId="2B23395D">
      <w:pPr>
        <w:spacing w:line="360" w:lineRule="auto"/>
        <w:ind w:firstLine="437"/>
        <w:outlineLvl w:val="2"/>
        <w:rPr>
          <w:rFonts w:hint="eastAsia" w:ascii="宋体" w:hAnsi="宋体" w:eastAsia="宋体" w:cs="宋体"/>
          <w:b/>
          <w:bCs/>
          <w:sz w:val="24"/>
          <w:lang w:val="zh-CN"/>
        </w:rPr>
      </w:pPr>
      <w:bookmarkStart w:id="163" w:name="_Toc1125"/>
      <w:bookmarkStart w:id="164" w:name="_Toc14563"/>
      <w:bookmarkStart w:id="165" w:name="_Toc6596"/>
      <w:r>
        <w:rPr>
          <w:rFonts w:hint="eastAsia" w:ascii="宋体" w:hAnsi="宋体" w:eastAsia="宋体" w:cs="宋体"/>
          <w:b/>
          <w:bCs/>
          <w:sz w:val="24"/>
          <w:lang w:val="zh-CN"/>
        </w:rPr>
        <w:t>2.15 检验和验收</w:t>
      </w:r>
      <w:bookmarkEnd w:id="163"/>
      <w:bookmarkEnd w:id="164"/>
      <w:bookmarkEnd w:id="165"/>
    </w:p>
    <w:p w14:paraId="015C5C03">
      <w:pPr>
        <w:spacing w:line="360" w:lineRule="auto"/>
        <w:ind w:firstLine="435"/>
        <w:rPr>
          <w:rFonts w:hint="eastAsia" w:ascii="宋体" w:hAnsi="宋体" w:eastAsia="宋体" w:cs="宋体"/>
          <w:sz w:val="24"/>
        </w:rPr>
      </w:pPr>
      <w:r>
        <w:rPr>
          <w:rFonts w:hint="eastAsia" w:ascii="宋体" w:hAnsi="宋体" w:eastAsia="宋体" w:cs="宋体"/>
          <w:sz w:val="24"/>
        </w:rPr>
        <w:t>2.15.1乙方按照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14:paraId="4F428D8B">
      <w:pPr>
        <w:spacing w:line="360" w:lineRule="auto"/>
        <w:ind w:firstLine="435"/>
        <w:rPr>
          <w:rFonts w:hint="eastAsia" w:ascii="宋体" w:hAnsi="宋体" w:eastAsia="宋体" w:cs="宋体"/>
          <w:sz w:val="24"/>
        </w:rPr>
      </w:pPr>
      <w:r>
        <w:rPr>
          <w:rFonts w:hint="eastAsia" w:ascii="宋体" w:hAnsi="宋体" w:eastAsia="宋体" w:cs="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73CFF03">
      <w:pPr>
        <w:spacing w:line="360" w:lineRule="auto"/>
        <w:ind w:firstLine="435"/>
        <w:rPr>
          <w:rFonts w:hint="eastAsia" w:ascii="宋体" w:hAnsi="宋体" w:eastAsia="宋体" w:cs="宋体"/>
          <w:sz w:val="24"/>
        </w:rPr>
      </w:pPr>
      <w:r>
        <w:rPr>
          <w:rFonts w:hint="eastAsia" w:ascii="宋体" w:hAnsi="宋体" w:eastAsia="宋体" w:cs="宋体"/>
          <w:sz w:val="24"/>
        </w:rPr>
        <w:t>2.15.3检验和验收标准、程序等具体内容以及前述验收书的效力详见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p w14:paraId="0A100284">
      <w:pPr>
        <w:spacing w:line="360" w:lineRule="auto"/>
        <w:ind w:firstLine="437"/>
        <w:outlineLvl w:val="2"/>
        <w:rPr>
          <w:rFonts w:hint="eastAsia" w:ascii="宋体" w:hAnsi="宋体" w:eastAsia="宋体" w:cs="宋体"/>
          <w:b/>
          <w:bCs/>
          <w:sz w:val="24"/>
        </w:rPr>
      </w:pPr>
      <w:bookmarkStart w:id="166" w:name="_Toc18567"/>
      <w:bookmarkStart w:id="167" w:name="_Toc487900373"/>
      <w:bookmarkStart w:id="168" w:name="_Toc10330"/>
      <w:bookmarkStart w:id="169" w:name="_Toc12773"/>
      <w:bookmarkStart w:id="170" w:name="_Toc279701263"/>
      <w:bookmarkStart w:id="171" w:name="_Toc259093692"/>
      <w:r>
        <w:rPr>
          <w:rFonts w:hint="eastAsia" w:ascii="宋体" w:hAnsi="宋体" w:eastAsia="宋体" w:cs="宋体"/>
          <w:b/>
          <w:bCs/>
          <w:sz w:val="24"/>
        </w:rPr>
        <w:t xml:space="preserve">2.16 </w:t>
      </w:r>
      <w:r>
        <w:rPr>
          <w:rFonts w:hint="eastAsia" w:ascii="宋体" w:hAnsi="宋体" w:eastAsia="宋体" w:cs="宋体"/>
          <w:b/>
          <w:bCs/>
          <w:sz w:val="24"/>
          <w:lang w:val="zh-CN"/>
        </w:rPr>
        <w:t>合同使用的文字和适用的法律</w:t>
      </w:r>
      <w:bookmarkEnd w:id="166"/>
      <w:bookmarkEnd w:id="167"/>
      <w:bookmarkEnd w:id="168"/>
      <w:bookmarkEnd w:id="169"/>
      <w:bookmarkEnd w:id="170"/>
      <w:bookmarkEnd w:id="171"/>
    </w:p>
    <w:p w14:paraId="233D2F10">
      <w:pPr>
        <w:spacing w:line="360" w:lineRule="auto"/>
        <w:ind w:firstLine="435"/>
        <w:rPr>
          <w:rFonts w:hint="eastAsia" w:ascii="宋体" w:hAnsi="宋体" w:eastAsia="宋体" w:cs="宋体"/>
          <w:sz w:val="24"/>
        </w:rPr>
      </w:pPr>
      <w:r>
        <w:rPr>
          <w:rFonts w:hint="eastAsia" w:ascii="宋体" w:hAnsi="宋体" w:eastAsia="宋体" w:cs="宋体"/>
          <w:sz w:val="24"/>
        </w:rPr>
        <w:t>2.16.1合同使用汉语书就、变更和解释；</w:t>
      </w:r>
    </w:p>
    <w:p w14:paraId="7D43399F">
      <w:pPr>
        <w:spacing w:line="360" w:lineRule="auto"/>
        <w:ind w:firstLine="435"/>
        <w:rPr>
          <w:rFonts w:hint="eastAsia" w:ascii="宋体" w:hAnsi="宋体" w:eastAsia="宋体" w:cs="宋体"/>
          <w:sz w:val="24"/>
        </w:rPr>
      </w:pPr>
      <w:r>
        <w:rPr>
          <w:rFonts w:hint="eastAsia" w:ascii="宋体" w:hAnsi="宋体" w:eastAsia="宋体" w:cs="宋体"/>
          <w:sz w:val="24"/>
        </w:rPr>
        <w:t>2.16.2合同适用中华人民共和国法律。</w:t>
      </w:r>
    </w:p>
    <w:p w14:paraId="17068D8A">
      <w:pPr>
        <w:spacing w:line="360" w:lineRule="auto"/>
        <w:ind w:firstLine="437"/>
        <w:outlineLvl w:val="2"/>
        <w:rPr>
          <w:rFonts w:hint="eastAsia" w:ascii="宋体" w:hAnsi="宋体" w:eastAsia="宋体" w:cs="宋体"/>
          <w:b/>
          <w:sz w:val="24"/>
        </w:rPr>
      </w:pPr>
      <w:bookmarkStart w:id="172" w:name="_Toc12004"/>
      <w:bookmarkStart w:id="173" w:name="_Toc279701264"/>
      <w:bookmarkStart w:id="174" w:name="_Toc259093693"/>
      <w:bookmarkStart w:id="175" w:name="_Toc16673"/>
      <w:bookmarkStart w:id="176" w:name="_Toc3148"/>
      <w:r>
        <w:rPr>
          <w:rFonts w:hint="eastAsia" w:ascii="宋体" w:hAnsi="宋体" w:eastAsia="宋体" w:cs="宋体"/>
          <w:b/>
          <w:bCs/>
          <w:sz w:val="24"/>
          <w:lang w:val="zh-CN"/>
        </w:rPr>
        <w:t>2.17 履约保证金</w:t>
      </w:r>
      <w:bookmarkEnd w:id="172"/>
      <w:bookmarkEnd w:id="173"/>
      <w:bookmarkEnd w:id="174"/>
      <w:bookmarkEnd w:id="175"/>
      <w:bookmarkEnd w:id="176"/>
    </w:p>
    <w:p w14:paraId="71709583">
      <w:pPr>
        <w:spacing w:line="360" w:lineRule="auto"/>
        <w:ind w:firstLine="435"/>
        <w:rPr>
          <w:rFonts w:hint="eastAsia" w:ascii="宋体" w:hAnsi="宋体" w:eastAsia="宋体" w:cs="宋体"/>
          <w:sz w:val="24"/>
        </w:rPr>
      </w:pPr>
      <w:r>
        <w:rPr>
          <w:rFonts w:hint="eastAsia" w:ascii="宋体" w:hAnsi="宋体" w:eastAsia="宋体" w:cs="宋体"/>
          <w:sz w:val="24"/>
        </w:rPr>
        <w:t>2.17.1采购文件要求乙方提交履约保证金的，乙方应按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w:t>
      </w:r>
    </w:p>
    <w:p w14:paraId="0724AD24">
      <w:pPr>
        <w:spacing w:line="360" w:lineRule="auto"/>
        <w:ind w:firstLine="435"/>
        <w:rPr>
          <w:rFonts w:hint="eastAsia" w:ascii="宋体" w:hAnsi="宋体" w:eastAsia="宋体" w:cs="宋体"/>
          <w:sz w:val="24"/>
        </w:rPr>
      </w:pPr>
      <w:r>
        <w:rPr>
          <w:rFonts w:hint="eastAsia" w:ascii="宋体" w:hAnsi="宋体" w:eastAsia="宋体" w:cs="宋体"/>
          <w:color w:val="000000" w:themeColor="text1"/>
          <w:sz w:val="24"/>
          <w:szCs w:val="24"/>
          <w14:textFill>
            <w14:solidFill>
              <w14:schemeClr w14:val="tx1"/>
            </w14:solidFill>
          </w14:textFill>
        </w:rPr>
        <w:t>2.17.2履约保证金在</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约定期间内或者货物质量保证期内不予退还或者应完全有效，前述约定期间届满或者货物质量保证期届满之日起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个工作日内，甲方应将履约保证金退还乙方，甲方逾期退还履约保证金应承担违约责任。</w:t>
      </w:r>
    </w:p>
    <w:p w14:paraId="2512FCF2">
      <w:pPr>
        <w:spacing w:line="360" w:lineRule="auto"/>
        <w:ind w:firstLine="435"/>
        <w:rPr>
          <w:rFonts w:hint="eastAsia" w:ascii="宋体" w:hAnsi="宋体" w:eastAsia="宋体" w:cs="宋体"/>
          <w:sz w:val="24"/>
        </w:rPr>
      </w:pPr>
      <w:r>
        <w:rPr>
          <w:rFonts w:hint="eastAsia" w:ascii="宋体" w:hAnsi="宋体" w:eastAsia="宋体" w:cs="宋体"/>
          <w:sz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7E9299">
      <w:pPr>
        <w:spacing w:line="360" w:lineRule="auto"/>
        <w:ind w:firstLine="437"/>
        <w:outlineLvl w:val="2"/>
        <w:rPr>
          <w:rFonts w:hint="eastAsia" w:ascii="宋体" w:hAnsi="宋体" w:eastAsia="宋体" w:cs="宋体"/>
          <w:b/>
          <w:sz w:val="24"/>
        </w:rPr>
      </w:pPr>
      <w:bookmarkStart w:id="177" w:name="_Toc6885"/>
      <w:bookmarkStart w:id="178" w:name="_Toc19890"/>
      <w:bookmarkStart w:id="179" w:name="_Toc14001"/>
      <w:r>
        <w:rPr>
          <w:rFonts w:hint="eastAsia" w:ascii="宋体" w:hAnsi="宋体" w:eastAsia="宋体" w:cs="宋体"/>
          <w:b/>
          <w:bCs/>
          <w:sz w:val="24"/>
          <w:lang w:val="zh-CN"/>
        </w:rPr>
        <w:t>2.18 合同份数</w:t>
      </w:r>
      <w:bookmarkEnd w:id="177"/>
      <w:bookmarkEnd w:id="178"/>
      <w:bookmarkEnd w:id="179"/>
    </w:p>
    <w:p w14:paraId="66CAEABF">
      <w:pPr>
        <w:spacing w:line="360" w:lineRule="auto"/>
        <w:ind w:firstLine="435"/>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14:paraId="628D0978">
      <w:pPr>
        <w:spacing w:line="360" w:lineRule="auto"/>
        <w:jc w:val="center"/>
        <w:outlineLvl w:val="9"/>
        <w:rPr>
          <w:rFonts w:hint="eastAsia" w:ascii="宋体" w:hAnsi="宋体" w:eastAsia="宋体" w:cs="宋体"/>
          <w:sz w:val="24"/>
        </w:rPr>
      </w:pPr>
      <w:r>
        <w:rPr>
          <w:rFonts w:hint="eastAsia" w:ascii="宋体" w:hAnsi="宋体" w:eastAsia="宋体" w:cs="宋体"/>
          <w:sz w:val="24"/>
        </w:rPr>
        <w:br w:type="page"/>
      </w:r>
    </w:p>
    <w:p w14:paraId="119C8232">
      <w:pPr>
        <w:spacing w:line="360" w:lineRule="auto"/>
        <w:jc w:val="center"/>
        <w:outlineLvl w:val="1"/>
        <w:rPr>
          <w:rFonts w:hint="eastAsia" w:ascii="宋体" w:hAnsi="宋体" w:eastAsia="宋体" w:cs="宋体"/>
          <w:b/>
          <w:sz w:val="24"/>
        </w:rPr>
      </w:pPr>
      <w:r>
        <w:rPr>
          <w:rFonts w:hint="eastAsia" w:ascii="宋体" w:hAnsi="宋体" w:eastAsia="宋体" w:cs="宋体"/>
          <w:b/>
          <w:sz w:val="24"/>
        </w:rPr>
        <w:t>第三部分 合同专用条款</w:t>
      </w:r>
    </w:p>
    <w:p w14:paraId="3C3B85B7">
      <w:pPr>
        <w:spacing w:line="360" w:lineRule="auto"/>
        <w:ind w:firstLine="435"/>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8"/>
        <w:gridCol w:w="8362"/>
      </w:tblGrid>
      <w:tr w14:paraId="53577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5285973E">
            <w:pPr>
              <w:jc w:val="center"/>
              <w:rPr>
                <w:rFonts w:hint="eastAsia" w:ascii="宋体" w:hAnsi="宋体" w:eastAsia="宋体" w:cs="宋体"/>
                <w:b/>
                <w:sz w:val="24"/>
              </w:rPr>
            </w:pPr>
            <w:r>
              <w:rPr>
                <w:rFonts w:hint="eastAsia" w:ascii="宋体" w:hAnsi="宋体" w:eastAsia="宋体" w:cs="宋体"/>
                <w:b/>
                <w:sz w:val="24"/>
              </w:rPr>
              <w:t>条款号</w:t>
            </w:r>
          </w:p>
        </w:tc>
        <w:tc>
          <w:tcPr>
            <w:tcW w:w="4524" w:type="pct"/>
            <w:vAlign w:val="center"/>
          </w:tcPr>
          <w:p w14:paraId="6A081697">
            <w:pPr>
              <w:jc w:val="center"/>
              <w:rPr>
                <w:rFonts w:hint="eastAsia" w:ascii="宋体" w:hAnsi="宋体" w:eastAsia="宋体" w:cs="宋体"/>
                <w:b/>
                <w:sz w:val="24"/>
              </w:rPr>
            </w:pPr>
            <w:r>
              <w:rPr>
                <w:rFonts w:hint="eastAsia" w:ascii="宋体" w:hAnsi="宋体" w:eastAsia="宋体" w:cs="宋体"/>
                <w:b/>
                <w:sz w:val="24"/>
              </w:rPr>
              <w:t>约定内容</w:t>
            </w:r>
          </w:p>
        </w:tc>
      </w:tr>
      <w:tr w14:paraId="417F0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5E4AEFFF">
            <w:pPr>
              <w:spacing w:line="360" w:lineRule="auto"/>
              <w:rPr>
                <w:rFonts w:hint="eastAsia" w:ascii="宋体" w:hAnsi="宋体" w:eastAsia="宋体" w:cs="宋体"/>
                <w:sz w:val="24"/>
              </w:rPr>
            </w:pPr>
            <w:r>
              <w:rPr>
                <w:rFonts w:hint="eastAsia" w:ascii="宋体" w:hAnsi="宋体" w:eastAsia="宋体" w:cs="宋体"/>
                <w:sz w:val="24"/>
              </w:rPr>
              <w:t>2.3.2</w:t>
            </w:r>
          </w:p>
        </w:tc>
        <w:tc>
          <w:tcPr>
            <w:tcW w:w="4524" w:type="pct"/>
            <w:vAlign w:val="center"/>
          </w:tcPr>
          <w:p w14:paraId="7BE5FF45">
            <w:pPr>
              <w:pStyle w:val="54"/>
              <w:spacing w:line="360" w:lineRule="auto"/>
              <w:rPr>
                <w:rFonts w:hint="eastAsia" w:ascii="宋体" w:hAnsi="宋体" w:eastAsia="宋体" w:cs="宋体"/>
                <w:sz w:val="24"/>
              </w:rPr>
            </w:pPr>
            <w:r>
              <w:rPr>
                <w:rFonts w:hint="eastAsia" w:ascii="宋体" w:hAnsi="宋体" w:eastAsia="宋体" w:cs="宋体"/>
                <w:bCs/>
                <w:kern w:val="0"/>
                <w:sz w:val="24"/>
                <w:szCs w:val="28"/>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29F50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C221988">
            <w:pPr>
              <w:spacing w:line="360" w:lineRule="auto"/>
              <w:rPr>
                <w:rFonts w:hint="eastAsia" w:ascii="宋体" w:hAnsi="宋体" w:eastAsia="宋体" w:cs="宋体"/>
                <w:sz w:val="24"/>
              </w:rPr>
            </w:pPr>
            <w:r>
              <w:rPr>
                <w:rFonts w:hint="eastAsia" w:ascii="宋体" w:hAnsi="宋体" w:eastAsia="宋体" w:cs="宋体"/>
                <w:sz w:val="24"/>
              </w:rPr>
              <w:t>2.11.3</w:t>
            </w:r>
          </w:p>
          <w:p w14:paraId="533A5F15">
            <w:pPr>
              <w:spacing w:line="360" w:lineRule="auto"/>
              <w:rPr>
                <w:rFonts w:hint="eastAsia" w:ascii="宋体" w:hAnsi="宋体" w:eastAsia="宋体" w:cs="宋体"/>
                <w:sz w:val="24"/>
              </w:rPr>
            </w:pPr>
            <w:r>
              <w:rPr>
                <w:rFonts w:hint="eastAsia" w:ascii="宋体" w:hAnsi="宋体" w:eastAsia="宋体" w:cs="宋体"/>
                <w:sz w:val="24"/>
              </w:rPr>
              <w:t>2.11.4</w:t>
            </w:r>
          </w:p>
        </w:tc>
        <w:tc>
          <w:tcPr>
            <w:tcW w:w="4524" w:type="pct"/>
            <w:vAlign w:val="center"/>
          </w:tcPr>
          <w:p w14:paraId="015E78F5">
            <w:pPr>
              <w:pStyle w:val="54"/>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不可抗力致使合同有变更必要，甲乙双方应在不可抗力发生后5个工作日内应以书面形式变更合同。</w:t>
            </w:r>
          </w:p>
          <w:p w14:paraId="2052F7B1">
            <w:pPr>
              <w:spacing w:line="360" w:lineRule="auto"/>
              <w:rPr>
                <w:rFonts w:hint="eastAsia" w:ascii="宋体" w:hAnsi="宋体" w:eastAsia="宋体" w:cs="宋体"/>
                <w:sz w:val="24"/>
              </w:rPr>
            </w:pPr>
            <w:r>
              <w:rPr>
                <w:rFonts w:hint="eastAsia" w:ascii="宋体" w:hAnsi="宋体" w:eastAsia="宋体" w:cs="宋体"/>
                <w:bCs/>
                <w:kern w:val="0"/>
                <w:sz w:val="24"/>
                <w:szCs w:val="28"/>
              </w:rPr>
              <w:t>受不可抗力影响的一方在不可抗力发生后，甲乙双方应在不可抗力发生后10个工作日内以书面形式通知对方当事人，将有关部门出具的证明文件送达对方当事人。</w:t>
            </w:r>
          </w:p>
        </w:tc>
      </w:tr>
      <w:tr w14:paraId="7DDD0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8FFC9B2">
            <w:pPr>
              <w:spacing w:line="360" w:lineRule="auto"/>
              <w:rPr>
                <w:rFonts w:hint="eastAsia" w:ascii="宋体" w:hAnsi="宋体" w:eastAsia="宋体" w:cs="宋体"/>
                <w:sz w:val="24"/>
              </w:rPr>
            </w:pPr>
            <w:r>
              <w:rPr>
                <w:rFonts w:hint="eastAsia" w:ascii="宋体" w:hAnsi="宋体" w:eastAsia="宋体" w:cs="宋体"/>
                <w:sz w:val="24"/>
              </w:rPr>
              <w:t>2.15.3</w:t>
            </w:r>
          </w:p>
        </w:tc>
        <w:tc>
          <w:tcPr>
            <w:tcW w:w="4524" w:type="pct"/>
            <w:vAlign w:val="center"/>
          </w:tcPr>
          <w:p w14:paraId="47E97EF4">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1.验收标准：</w:t>
            </w:r>
            <w:r>
              <w:rPr>
                <w:rFonts w:hint="eastAsia" w:ascii="宋体" w:hAnsi="宋体" w:eastAsia="宋体" w:cs="宋体"/>
                <w:sz w:val="24"/>
                <w:szCs w:val="24"/>
              </w:rPr>
              <w:t>符合国家法律法规及相关规范标准要求。</w:t>
            </w:r>
          </w:p>
          <w:p w14:paraId="63B82B28">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2.验收程序：（1）成立验收小组，验收人员应由甲方、乙方组成。</w:t>
            </w:r>
          </w:p>
          <w:p w14:paraId="2B5C998A">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（2）出具验收报告。</w:t>
            </w:r>
          </w:p>
          <w:p w14:paraId="1A7B0E37">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3.验收合格后，乙方向甲方提交成果报告电子档及纸质文档</w:t>
            </w:r>
            <w:r>
              <w:rPr>
                <w:rFonts w:hint="eastAsia" w:ascii="宋体" w:hAnsi="宋体" w:eastAsia="宋体" w:cs="宋体"/>
                <w:sz w:val="24"/>
                <w:u w:val="single"/>
              </w:rPr>
              <w:t xml:space="preserve"> 8 </w:t>
            </w:r>
            <w:r>
              <w:rPr>
                <w:rFonts w:hint="eastAsia" w:ascii="宋体" w:hAnsi="宋体" w:eastAsia="宋体" w:cs="宋体"/>
                <w:sz w:val="24"/>
              </w:rPr>
              <w:t>份。</w:t>
            </w:r>
          </w:p>
        </w:tc>
      </w:tr>
      <w:tr w14:paraId="4B494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379A4EB">
            <w:pPr>
              <w:spacing w:line="560" w:lineRule="exact"/>
              <w:rPr>
                <w:rFonts w:hint="eastAsia" w:ascii="宋体" w:hAnsi="宋体" w:eastAsia="宋体" w:cs="宋体"/>
                <w:sz w:val="24"/>
              </w:rPr>
            </w:pPr>
            <w:r>
              <w:rPr>
                <w:rFonts w:hint="eastAsia" w:ascii="宋体" w:hAnsi="宋体" w:eastAsia="宋体" w:cs="宋体"/>
                <w:sz w:val="24"/>
              </w:rPr>
              <w:t>2.17.1</w:t>
            </w:r>
          </w:p>
        </w:tc>
        <w:tc>
          <w:tcPr>
            <w:tcW w:w="4524" w:type="pct"/>
            <w:vAlign w:val="center"/>
          </w:tcPr>
          <w:p w14:paraId="0CB89C86">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（1）金额：合同价的</w:t>
            </w:r>
            <w:r>
              <w:rPr>
                <w:rFonts w:hint="eastAsia" w:ascii="宋体" w:hAnsi="宋体" w:eastAsia="宋体" w:cs="宋体"/>
                <w:bCs/>
                <w:kern w:val="0"/>
                <w:sz w:val="24"/>
                <w:szCs w:val="28"/>
                <w:u w:val="single"/>
              </w:rPr>
              <w:t>2.5</w:t>
            </w:r>
            <w:r>
              <w:rPr>
                <w:rFonts w:hint="eastAsia" w:ascii="宋体" w:hAnsi="宋体" w:eastAsia="宋体" w:cs="宋体"/>
                <w:bCs/>
                <w:kern w:val="0"/>
                <w:sz w:val="24"/>
                <w:szCs w:val="28"/>
              </w:rPr>
              <w:t>%</w:t>
            </w:r>
          </w:p>
          <w:p w14:paraId="2159694B">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（2）支付方式：</w:t>
            </w:r>
          </w:p>
          <w:p w14:paraId="7E2926F4">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转账/电汇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支票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汇票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本票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 xml:space="preserve">保险 </w:t>
            </w:r>
            <w:r>
              <w:rPr>
                <w:rFonts w:hint="eastAsia" w:ascii="宋体" w:hAnsi="宋体" w:eastAsia="宋体" w:cs="宋体"/>
                <w:bCs/>
                <w:kern w:val="0"/>
                <w:sz w:val="24"/>
                <w:szCs w:val="28"/>
              </w:rPr>
              <w:sym w:font="Wingdings" w:char="F0FE"/>
            </w:r>
            <w:r>
              <w:rPr>
                <w:rFonts w:hint="eastAsia" w:ascii="宋体" w:hAnsi="宋体" w:eastAsia="宋体" w:cs="宋体"/>
                <w:bCs/>
                <w:kern w:val="0"/>
                <w:sz w:val="24"/>
                <w:szCs w:val="28"/>
              </w:rPr>
              <w:t>保函</w:t>
            </w:r>
          </w:p>
          <w:p w14:paraId="0BC84E23">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（3）收取单位：</w:t>
            </w:r>
            <w:r>
              <w:rPr>
                <w:rFonts w:hint="eastAsia" w:ascii="宋体" w:hAnsi="宋体" w:eastAsia="宋体" w:cs="宋体"/>
                <w:b/>
                <w:kern w:val="0"/>
                <w:sz w:val="24"/>
                <w:szCs w:val="28"/>
                <w:u w:val="single"/>
              </w:rPr>
              <w:t>本项目为统采分签项目，供应商成交后，履约保证金由各合同甲方分别收取</w:t>
            </w:r>
          </w:p>
          <w:p w14:paraId="1E6A52FC">
            <w:pPr>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（4）收取账号：</w:t>
            </w:r>
            <w:r>
              <w:rPr>
                <w:rFonts w:hint="eastAsia" w:ascii="宋体" w:hAnsi="宋体" w:eastAsia="宋体" w:cs="宋体"/>
                <w:bCs/>
                <w:kern w:val="0"/>
                <w:sz w:val="24"/>
                <w:szCs w:val="28"/>
                <w:u w:val="single"/>
              </w:rPr>
              <w:t>成交后提供</w:t>
            </w:r>
          </w:p>
          <w:p w14:paraId="6FFE3ED9">
            <w:pPr>
              <w:spacing w:line="360" w:lineRule="auto"/>
              <w:rPr>
                <w:rFonts w:hint="eastAsia" w:ascii="宋体" w:hAnsi="宋体" w:eastAsia="宋体" w:cs="宋体"/>
                <w:bCs/>
                <w:sz w:val="24"/>
                <w:szCs w:val="24"/>
                <w:u w:val="single"/>
              </w:rPr>
            </w:pPr>
            <w:r>
              <w:rPr>
                <w:rFonts w:hint="eastAsia" w:ascii="宋体" w:hAnsi="宋体" w:eastAsia="宋体" w:cs="宋体"/>
                <w:bCs/>
                <w:kern w:val="0"/>
                <w:sz w:val="24"/>
                <w:szCs w:val="28"/>
              </w:rPr>
              <w:t>（5）</w:t>
            </w:r>
            <w:r>
              <w:rPr>
                <w:rFonts w:hint="eastAsia" w:ascii="宋体" w:hAnsi="宋体" w:eastAsia="宋体" w:cs="宋体"/>
                <w:sz w:val="24"/>
              </w:rPr>
              <w:t>退还时间：</w:t>
            </w:r>
            <w:r>
              <w:rPr>
                <w:rFonts w:hint="eastAsia" w:ascii="宋体" w:hAnsi="宋体" w:eastAsia="宋体" w:cs="宋体"/>
                <w:sz w:val="24"/>
                <w:u w:val="single"/>
              </w:rPr>
              <w:t>履约保证金在合同生效之日起至项目验收合格前一直有效，移交项目成果并通过验收后经乙方申请，合同甲方确认后7个日历日内将履约保证金款项退还给乙方或者解除履约担保。</w:t>
            </w:r>
          </w:p>
          <w:p w14:paraId="07BDF89B">
            <w:pPr>
              <w:spacing w:line="360" w:lineRule="auto"/>
              <w:rPr>
                <w:rFonts w:hint="eastAsia" w:ascii="宋体" w:hAnsi="宋体" w:eastAsia="宋体" w:cs="宋体"/>
                <w:bCs/>
                <w:sz w:val="24"/>
                <w:u w:val="single"/>
              </w:rPr>
            </w:pPr>
            <w:r>
              <w:rPr>
                <w:rFonts w:hint="eastAsia" w:ascii="宋体" w:hAnsi="宋体" w:eastAsia="宋体" w:cs="宋体"/>
                <w:bCs/>
                <w:sz w:val="24"/>
                <w:szCs w:val="24"/>
                <w:u w:val="single"/>
              </w:rPr>
              <w:t>如果乙方不履行合同，履约保证金不予退还；如果乙方未能按合同约定全面履行义务，甲方有权从履约保证金中取得补偿或赔偿，同时不影响甲方要求乙方承担合同约定的超过履约保证金的违约责任的权利。</w:t>
            </w:r>
          </w:p>
          <w:p w14:paraId="1DF709D5">
            <w:pPr>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注意事项：</w:t>
            </w:r>
          </w:p>
          <w:p w14:paraId="2940FAB6">
            <w:pPr>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（1）以上各类机构出具的以担保函、保证保险承担责任的方式均须满足无条件见索即付条件。</w:t>
            </w:r>
          </w:p>
          <w:p w14:paraId="3CDED2C9">
            <w:pPr>
              <w:adjustRightInd w:val="0"/>
              <w:snapToGrid w:val="0"/>
              <w:spacing w:line="360" w:lineRule="auto"/>
              <w:jc w:val="left"/>
              <w:rPr>
                <w:rFonts w:hint="eastAsia" w:ascii="宋体" w:hAnsi="宋体" w:eastAsia="宋体" w:cs="宋体"/>
                <w:sz w:val="24"/>
                <w:u w:val="single"/>
              </w:rPr>
            </w:pPr>
            <w:r>
              <w:rPr>
                <w:rFonts w:hint="eastAsia" w:ascii="宋体" w:hAnsi="宋体" w:eastAsia="宋体" w:cs="宋体"/>
                <w:sz w:val="24"/>
                <w:szCs w:val="24"/>
              </w:rPr>
              <w:t>（2）以担保函、保证保险形式缴纳履约保证金的，受益人和收取单位须为</w:t>
            </w:r>
            <w:r>
              <w:rPr>
                <w:rFonts w:hint="eastAsia" w:ascii="宋体" w:hAnsi="宋体" w:eastAsia="宋体" w:cs="宋体"/>
                <w:sz w:val="24"/>
                <w:szCs w:val="24"/>
                <w:lang w:val="en-US" w:eastAsia="zh-CN"/>
              </w:rPr>
              <w:t>合同</w:t>
            </w:r>
            <w:r>
              <w:rPr>
                <w:rFonts w:hint="eastAsia" w:ascii="宋体" w:hAnsi="宋体" w:eastAsia="宋体" w:cs="宋体"/>
                <w:sz w:val="24"/>
                <w:szCs w:val="24"/>
              </w:rPr>
              <w:t>甲方。</w:t>
            </w:r>
          </w:p>
        </w:tc>
      </w:tr>
      <w:tr w14:paraId="71737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5E154B8">
            <w:pPr>
              <w:pStyle w:val="54"/>
              <w:spacing w:line="360" w:lineRule="auto"/>
              <w:jc w:val="left"/>
              <w:rPr>
                <w:rFonts w:hint="eastAsia" w:ascii="宋体" w:hAnsi="宋体" w:eastAsia="宋体" w:cs="宋体"/>
                <w:sz w:val="24"/>
              </w:rPr>
            </w:pPr>
            <w:r>
              <w:rPr>
                <w:rFonts w:hint="eastAsia" w:ascii="宋体" w:hAnsi="宋体" w:eastAsia="宋体" w:cs="宋体"/>
                <w:sz w:val="24"/>
              </w:rPr>
              <w:t>2.18</w:t>
            </w:r>
          </w:p>
        </w:tc>
        <w:tc>
          <w:tcPr>
            <w:tcW w:w="4524" w:type="pct"/>
            <w:vAlign w:val="center"/>
          </w:tcPr>
          <w:p w14:paraId="407C0909">
            <w:pPr>
              <w:pStyle w:val="54"/>
              <w:spacing w:line="360" w:lineRule="auto"/>
              <w:rPr>
                <w:rFonts w:hint="eastAsia" w:ascii="宋体" w:hAnsi="宋体" w:eastAsia="宋体" w:cs="宋体"/>
                <w:sz w:val="24"/>
              </w:rPr>
            </w:pPr>
            <w:r>
              <w:rPr>
                <w:rFonts w:hint="eastAsia" w:ascii="宋体" w:hAnsi="宋体" w:eastAsia="宋体" w:cs="宋体"/>
                <w:sz w:val="24"/>
              </w:rPr>
              <w:t>本合同一式陆份，甲乙双方各执叁份。</w:t>
            </w:r>
          </w:p>
        </w:tc>
      </w:tr>
      <w:tr w14:paraId="62F16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4CB27BD">
            <w:pPr>
              <w:pStyle w:val="54"/>
              <w:spacing w:line="360" w:lineRule="auto"/>
              <w:jc w:val="left"/>
              <w:rPr>
                <w:rFonts w:hint="eastAsia" w:ascii="宋体" w:hAnsi="宋体" w:eastAsia="宋体" w:cs="宋体"/>
                <w:sz w:val="24"/>
              </w:rPr>
            </w:pPr>
            <w:r>
              <w:rPr>
                <w:rFonts w:hint="eastAsia" w:ascii="宋体" w:hAnsi="宋体" w:eastAsia="宋体" w:cs="宋体"/>
                <w:sz w:val="24"/>
              </w:rPr>
              <w:t>2.19</w:t>
            </w:r>
          </w:p>
        </w:tc>
        <w:tc>
          <w:tcPr>
            <w:tcW w:w="4524" w:type="pct"/>
            <w:vAlign w:val="center"/>
          </w:tcPr>
          <w:p w14:paraId="30C07911">
            <w:pPr>
              <w:pStyle w:val="54"/>
              <w:spacing w:line="360" w:lineRule="auto"/>
              <w:rPr>
                <w:rFonts w:hint="eastAsia" w:ascii="宋体" w:hAnsi="宋体" w:eastAsia="宋体" w:cs="宋体"/>
                <w:sz w:val="24"/>
                <w:u w:val="single"/>
              </w:rPr>
            </w:pPr>
            <w:r>
              <w:rPr>
                <w:rFonts w:hint="eastAsia" w:ascii="宋体" w:hAnsi="宋体" w:eastAsia="宋体" w:cs="宋体"/>
                <w:bCs/>
                <w:kern w:val="0"/>
                <w:sz w:val="24"/>
                <w:szCs w:val="28"/>
              </w:rPr>
              <w:t>需要补充的其他内容：项目组成员表（详见附件一）。</w:t>
            </w:r>
          </w:p>
        </w:tc>
      </w:tr>
      <w:tr w14:paraId="39FD5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12EEF43">
            <w:pPr>
              <w:pStyle w:val="54"/>
              <w:spacing w:line="360" w:lineRule="auto"/>
              <w:jc w:val="left"/>
              <w:rPr>
                <w:rFonts w:hint="eastAsia" w:ascii="宋体" w:hAnsi="宋体" w:eastAsia="宋体" w:cs="宋体"/>
                <w:sz w:val="24"/>
              </w:rPr>
            </w:pPr>
            <w:r>
              <w:rPr>
                <w:rFonts w:hint="eastAsia" w:ascii="宋体" w:hAnsi="宋体" w:eastAsia="宋体" w:cs="宋体"/>
                <w:sz w:val="24"/>
              </w:rPr>
              <w:t>2.20</w:t>
            </w:r>
          </w:p>
        </w:tc>
        <w:tc>
          <w:tcPr>
            <w:tcW w:w="4524" w:type="pct"/>
            <w:vAlign w:val="center"/>
          </w:tcPr>
          <w:p w14:paraId="4C674292">
            <w:pPr>
              <w:pStyle w:val="54"/>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项目实施前，乙方须提供本项目所有从业人员的社会保险（含工伤和医疗）缴纳证明，如无法提供相应证明材料，则须为本项目无社会保险的从业人员购买以下保险（</w:t>
            </w:r>
            <w:r>
              <w:rPr>
                <w:rFonts w:hint="eastAsia" w:ascii="宋体" w:hAnsi="宋体" w:eastAsia="宋体" w:cs="宋体"/>
                <w:bCs/>
                <w:kern w:val="0"/>
                <w:sz w:val="24"/>
                <w:szCs w:val="28"/>
                <w:lang w:val="en-US" w:eastAsia="zh-CN"/>
              </w:rPr>
              <w:t>三</w:t>
            </w:r>
            <w:r>
              <w:rPr>
                <w:rFonts w:hint="eastAsia" w:ascii="宋体" w:hAnsi="宋体" w:eastAsia="宋体" w:cs="宋体"/>
                <w:bCs/>
                <w:kern w:val="0"/>
                <w:sz w:val="24"/>
                <w:szCs w:val="28"/>
              </w:rPr>
              <w:t>者任选其一）</w:t>
            </w:r>
          </w:p>
          <w:p w14:paraId="1D5573B7">
            <w:pPr>
              <w:pStyle w:val="54"/>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1.雇主责任险</w:t>
            </w:r>
          </w:p>
          <w:p w14:paraId="7244E3F5">
            <w:pPr>
              <w:pStyle w:val="54"/>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保险责任：被保险人为服务企业建立劳动关系的人员，在工作时间和工作场所内,因工作原因受到事故伤害;在工作时间和工作场所内,因履行工作职责受到暴力等意外伤害;被诊断、鉴定为职业病;在上下班途中,受到非本人主要责任的交通事故或者城市轨道交通、客运轮渡、火车事故伤害;在工作时间和工作岗位,突发疾病死亡或者在48小时之内经抢无效死亡;</w:t>
            </w:r>
          </w:p>
          <w:p w14:paraId="57EA1BD9">
            <w:pPr>
              <w:pStyle w:val="54"/>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2.企业作业人员员团队意外险</w:t>
            </w:r>
          </w:p>
          <w:p w14:paraId="4B3B38C3">
            <w:pPr>
              <w:pStyle w:val="54"/>
              <w:spacing w:line="360" w:lineRule="auto"/>
              <w:rPr>
                <w:rFonts w:hint="eastAsia" w:ascii="宋体" w:hAnsi="宋体" w:eastAsia="宋体" w:cs="宋体"/>
                <w:bCs/>
                <w:kern w:val="0"/>
                <w:sz w:val="24"/>
                <w:szCs w:val="28"/>
              </w:rPr>
            </w:pPr>
            <w:r>
              <w:rPr>
                <w:rFonts w:hint="eastAsia" w:ascii="宋体" w:hAnsi="宋体" w:eastAsia="宋体" w:cs="宋体"/>
                <w:bCs/>
                <w:kern w:val="0"/>
                <w:sz w:val="24"/>
                <w:szCs w:val="28"/>
              </w:rPr>
              <w:t>保险责任：在从事工程服务或从事工程服务相关工作，以及在作业现场或在指定的生活区域内，因遭受意外伤害事故而导致的身故、残疾或发生的医疗费用，保险公司依照约定给付身故保险金，或按照残疾比例给付表给付伤残保险金，或医疗费用补偿金。</w:t>
            </w:r>
          </w:p>
          <w:p w14:paraId="7C41440B">
            <w:pPr>
              <w:pStyle w:val="54"/>
              <w:numPr>
                <w:ilvl w:val="0"/>
                <w:numId w:val="5"/>
              </w:numPr>
              <w:spacing w:line="360" w:lineRule="auto"/>
              <w:rPr>
                <w:rFonts w:hint="eastAsia" w:ascii="宋体" w:hAnsi="宋体" w:eastAsia="宋体" w:cs="宋体"/>
                <w:bCs/>
                <w:color w:val="auto"/>
                <w:kern w:val="0"/>
                <w:sz w:val="24"/>
                <w:szCs w:val="28"/>
                <w:lang w:val="en-US" w:eastAsia="zh-CN"/>
              </w:rPr>
            </w:pPr>
            <w:r>
              <w:rPr>
                <w:rFonts w:hint="eastAsia" w:ascii="宋体" w:hAnsi="宋体" w:eastAsia="宋体" w:cs="宋体"/>
                <w:bCs/>
                <w:color w:val="auto"/>
                <w:kern w:val="0"/>
                <w:sz w:val="24"/>
                <w:szCs w:val="28"/>
                <w:lang w:val="en-US" w:eastAsia="zh-CN"/>
              </w:rPr>
              <w:t>安全生产责任保险（安责险）</w:t>
            </w:r>
            <w:r>
              <w:rPr>
                <w:rFonts w:hint="eastAsia" w:ascii="宋体" w:hAnsi="宋体" w:eastAsia="宋体" w:cs="宋体"/>
                <w:bCs/>
                <w:color w:val="auto"/>
                <w:kern w:val="0"/>
                <w:sz w:val="24"/>
                <w:szCs w:val="28"/>
                <w:lang w:val="en-US" w:eastAsia="zh-CN"/>
              </w:rPr>
              <w:t>：</w:t>
            </w:r>
          </w:p>
          <w:p w14:paraId="1E435193">
            <w:pPr>
              <w:pStyle w:val="54"/>
              <w:spacing w:line="360" w:lineRule="auto"/>
              <w:rPr>
                <w:rFonts w:hint="eastAsia" w:ascii="宋体" w:hAnsi="宋体" w:eastAsia="宋体" w:cs="宋体"/>
                <w:bCs/>
                <w:kern w:val="0"/>
                <w:sz w:val="24"/>
                <w:szCs w:val="28"/>
                <w:lang w:val="en-US" w:eastAsia="zh-CN"/>
              </w:rPr>
            </w:pPr>
            <w:r>
              <w:rPr>
                <w:rFonts w:hint="eastAsia" w:ascii="宋体" w:hAnsi="宋体" w:eastAsia="宋体" w:cs="宋体"/>
                <w:bCs/>
                <w:color w:val="auto"/>
                <w:kern w:val="0"/>
                <w:sz w:val="24"/>
                <w:szCs w:val="28"/>
                <w:lang w:val="en-US" w:eastAsia="zh-CN"/>
              </w:rPr>
              <w:t>保险责任：</w:t>
            </w:r>
            <w:r>
              <w:rPr>
                <w:rFonts w:hint="eastAsia" w:ascii="宋体" w:hAnsi="宋体" w:eastAsia="宋体" w:cs="宋体"/>
                <w:bCs/>
                <w:color w:val="auto"/>
                <w:kern w:val="0"/>
                <w:sz w:val="24"/>
                <w:szCs w:val="28"/>
                <w:lang w:val="en-US" w:eastAsia="zh-CN"/>
              </w:rPr>
              <w:t>是为生产经营单位提供生产安全事故伤亡与经济损失赔偿，并配套事故预防服务的商业保险，高危行业领域单位依法强制投保，保费由企业承担，不得摊派给个人。主险：从业人员因生产安全事故致伤亡的赔偿；第三者人身伤亡与财产损失的赔偿；事故抢险救援、医疗救护、鉴定、法律诉讼等费用 。附加</w:t>
            </w:r>
            <w:r>
              <w:rPr>
                <w:rFonts w:hint="eastAsia" w:ascii="宋体" w:hAnsi="宋体" w:eastAsia="宋体" w:cs="宋体"/>
                <w:bCs/>
                <w:color w:val="auto"/>
                <w:kern w:val="0"/>
                <w:sz w:val="24"/>
                <w:szCs w:val="28"/>
                <w:lang w:val="en-US" w:eastAsia="zh-CN"/>
              </w:rPr>
              <w:t>险</w:t>
            </w:r>
            <w:r>
              <w:rPr>
                <w:rFonts w:hint="eastAsia" w:ascii="宋体" w:hAnsi="宋体" w:eastAsia="宋体" w:cs="宋体"/>
                <w:bCs/>
                <w:color w:val="auto"/>
                <w:kern w:val="0"/>
                <w:sz w:val="24"/>
                <w:szCs w:val="28"/>
                <w:lang w:val="en-US" w:eastAsia="zh-CN"/>
              </w:rPr>
              <w:t>：医疗费用、施救与善后费用、精神损害赔偿、雇主责任扩展等，按合同约定执行 。</w:t>
            </w:r>
          </w:p>
        </w:tc>
      </w:tr>
    </w:tbl>
    <w:p w14:paraId="60229952">
      <w:pPr>
        <w:rPr>
          <w:rFonts w:hint="eastAsia" w:ascii="宋体" w:hAnsi="宋体" w:eastAsia="宋体" w:cs="宋体"/>
          <w:b/>
        </w:rPr>
      </w:pPr>
      <w:r>
        <w:rPr>
          <w:rFonts w:hint="eastAsia" w:ascii="宋体" w:hAnsi="宋体" w:eastAsia="宋体" w:cs="宋体"/>
          <w:b/>
        </w:rPr>
        <w:br w:type="page"/>
      </w:r>
    </w:p>
    <w:p w14:paraId="3F041D41">
      <w:pPr>
        <w:spacing w:line="400" w:lineRule="exact"/>
        <w:jc w:val="center"/>
        <w:outlineLvl w:val="1"/>
        <w:rPr>
          <w:rFonts w:hint="eastAsia" w:ascii="宋体" w:hAnsi="宋体" w:eastAsia="宋体" w:cs="宋体"/>
        </w:rPr>
      </w:pPr>
      <w:r>
        <w:rPr>
          <w:rFonts w:hint="eastAsia" w:ascii="宋体" w:hAnsi="宋体" w:eastAsia="宋体" w:cs="宋体"/>
          <w:b/>
        </w:rPr>
        <w:t>第四部分 廉政协议书</w:t>
      </w:r>
    </w:p>
    <w:p w14:paraId="1BE32ED7">
      <w:pPr>
        <w:spacing w:line="360" w:lineRule="auto"/>
        <w:ind w:firstLine="420" w:firstLineChars="200"/>
        <w:rPr>
          <w:rFonts w:hint="eastAsia" w:ascii="宋体" w:hAnsi="宋体" w:eastAsia="宋体" w:cs="宋体"/>
          <w:szCs w:val="32"/>
        </w:rPr>
      </w:pPr>
    </w:p>
    <w:p w14:paraId="7588BAFB">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为加强服务项目中的廉政建设，规范服务项目采购双方的各项活动，防止发生各种谋取不正当利益的违法违纪行为，保护国家、集体和当事人的合法权益，根据国家有关法律法规和廉政建设责任制规定，就</w:t>
      </w:r>
      <w:r>
        <w:rPr>
          <w:rFonts w:hint="eastAsia" w:ascii="宋体" w:hAnsi="宋体" w:eastAsia="宋体" w:cs="宋体"/>
          <w:b/>
          <w:bCs/>
          <w:color w:val="FF0000"/>
          <w:u w:val="single"/>
          <w:lang w:val="en-US" w:eastAsia="zh-CN"/>
        </w:rPr>
        <w:t xml:space="preserve">             </w:t>
      </w:r>
      <w:r>
        <w:rPr>
          <w:rFonts w:hint="eastAsia" w:ascii="宋体" w:hAnsi="宋体" w:eastAsia="宋体" w:cs="宋体"/>
          <w:szCs w:val="32"/>
        </w:rPr>
        <w:t>特订立廉政合同。</w:t>
      </w:r>
    </w:p>
    <w:p w14:paraId="197A16F6">
      <w:pPr>
        <w:spacing w:line="400" w:lineRule="exact"/>
        <w:ind w:firstLine="422" w:firstLineChars="200"/>
        <w:rPr>
          <w:rFonts w:hint="eastAsia" w:ascii="宋体" w:hAnsi="宋体" w:eastAsia="宋体" w:cs="宋体"/>
          <w:b/>
          <w:szCs w:val="32"/>
        </w:rPr>
      </w:pPr>
      <w:r>
        <w:rPr>
          <w:rFonts w:hint="eastAsia" w:ascii="宋体" w:hAnsi="宋体" w:eastAsia="宋体" w:cs="宋体"/>
          <w:b/>
          <w:szCs w:val="32"/>
        </w:rPr>
        <w:t>第一条</w:t>
      </w:r>
      <w:r>
        <w:rPr>
          <w:rFonts w:hint="eastAsia" w:ascii="宋体" w:hAnsi="宋体" w:eastAsia="宋体" w:cs="宋体"/>
          <w:b/>
          <w:szCs w:val="32"/>
        </w:rPr>
        <w:tab/>
      </w:r>
      <w:r>
        <w:rPr>
          <w:rFonts w:hint="eastAsia" w:ascii="宋体" w:hAnsi="宋体" w:eastAsia="宋体" w:cs="宋体"/>
          <w:b/>
          <w:szCs w:val="32"/>
        </w:rPr>
        <w:t>甲乙双方的责任</w:t>
      </w:r>
    </w:p>
    <w:p w14:paraId="7BCFA4DE">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（一）应严格遵守国家关于市场准入、项目采购、服务建设、服务安装和市场活动等有关法律、法规，相关政策，以及廉政建设的各项规定。</w:t>
      </w:r>
    </w:p>
    <w:p w14:paraId="67F4E01E">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（二）严格执行本项目合同书，自觉按合同办事。</w:t>
      </w:r>
    </w:p>
    <w:p w14:paraId="3846C853">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（三）业务活动必须坚持公开、公平、公正、诚信、透明的原则（除法律法规另有规定者外），不得为获取不正当的利益，损害国家、集体和对方利益，不得违反服务建设管理、服务安装的规章制度。</w:t>
      </w:r>
    </w:p>
    <w:p w14:paraId="0E7FE170">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（四）发现对方在业务活动中有违规、违纪、违法行为的，应及时提醒对方，情节严重的，应向其上级主管部门或纪检监察、司法等有关机关举报。</w:t>
      </w:r>
    </w:p>
    <w:p w14:paraId="5AF82B86">
      <w:pPr>
        <w:spacing w:line="400" w:lineRule="exact"/>
        <w:ind w:firstLine="422" w:firstLineChars="200"/>
        <w:rPr>
          <w:rFonts w:hint="eastAsia" w:ascii="宋体" w:hAnsi="宋体" w:eastAsia="宋体" w:cs="宋体"/>
          <w:b/>
          <w:szCs w:val="32"/>
        </w:rPr>
      </w:pPr>
      <w:r>
        <w:rPr>
          <w:rFonts w:hint="eastAsia" w:ascii="宋体" w:hAnsi="宋体" w:eastAsia="宋体" w:cs="宋体"/>
          <w:b/>
          <w:szCs w:val="32"/>
        </w:rPr>
        <w:t>第二条</w:t>
      </w:r>
      <w:r>
        <w:rPr>
          <w:rFonts w:hint="eastAsia" w:ascii="宋体" w:hAnsi="宋体" w:eastAsia="宋体" w:cs="宋体"/>
          <w:b/>
          <w:szCs w:val="32"/>
        </w:rPr>
        <w:tab/>
      </w:r>
      <w:r>
        <w:rPr>
          <w:rFonts w:hint="eastAsia" w:ascii="宋体" w:hAnsi="宋体" w:eastAsia="宋体" w:cs="宋体"/>
          <w:b/>
          <w:szCs w:val="32"/>
        </w:rPr>
        <w:t>甲方的责任</w:t>
      </w:r>
    </w:p>
    <w:p w14:paraId="7DAAA977">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甲方的领导和从事该服务项目的工作人员，在项目实施的事前、事中、事后应遵守以下规定：</w:t>
      </w:r>
    </w:p>
    <w:p w14:paraId="173428C1">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 xml:space="preserve">（一）不准向乙方和相关单位索要或接受回扣、礼金、有价证券、贵重物品和好处费、感谢费等。   </w:t>
      </w:r>
    </w:p>
    <w:p w14:paraId="470C2497">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（二）不准在乙方和相关单位报销任何应由甲方或个人支付的费用。</w:t>
      </w:r>
    </w:p>
    <w:p w14:paraId="37E4A2B3">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（三）不准要求、暗示或接受乙方和相关单位为个人装修住房、婚丧嫁娶、配偶子女的工作安排以及出国(境)、旅游等提供方便。</w:t>
      </w:r>
    </w:p>
    <w:p w14:paraId="594291CE">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（四）不准参加有可能影响公正执行公务的乙方和相关单位的宴请和健身、娱乐等活动。</w:t>
      </w:r>
    </w:p>
    <w:p w14:paraId="69E07170">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五）不准向乙方介绍或为配偶、子女、亲属参与同甲方实施项目合同有关的设备、材料、服务分包、劳务等经济活动。不得以任何理由向乙方和相关单位推荐分包单位和要求乙方购买合同规定以外的材料、设备等。</w:t>
      </w:r>
    </w:p>
    <w:p w14:paraId="626CBB37">
      <w:pPr>
        <w:spacing w:line="400" w:lineRule="exact"/>
        <w:ind w:firstLine="422" w:firstLineChars="200"/>
        <w:rPr>
          <w:rFonts w:hint="eastAsia" w:ascii="宋体" w:hAnsi="宋体" w:eastAsia="宋体" w:cs="宋体"/>
          <w:b/>
          <w:szCs w:val="32"/>
        </w:rPr>
      </w:pPr>
      <w:r>
        <w:rPr>
          <w:rFonts w:hint="eastAsia" w:ascii="宋体" w:hAnsi="宋体" w:eastAsia="宋体" w:cs="宋体"/>
          <w:b/>
          <w:szCs w:val="32"/>
        </w:rPr>
        <w:t>第三条 乙方的责任</w:t>
      </w:r>
    </w:p>
    <w:p w14:paraId="00570B8B">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应与甲方保持正常的业务交往，按照有关法律法规和程序开展业务工作，严格执行项目实施的有关方针、政策，尤其是有关建筑服务安装的强制性标准和规范，并遵守以下规定：</w:t>
      </w:r>
    </w:p>
    <w:p w14:paraId="26628FD1">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（一）不准以任何理由向甲方及其工作人员索要、接受或赠送礼金、有价证券、贵重物品和回扣、好处费、感谢费等。</w:t>
      </w:r>
    </w:p>
    <w:p w14:paraId="2E3400DF">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（二）不准以任何理由为甲方和相关单位报销应由对方或个人支付的费用。</w:t>
      </w:r>
    </w:p>
    <w:p w14:paraId="1C1238DD">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（三）不准接受或暗示为甲方、相关单位或个人装修住房、婚丧嫁娶、配偶子女的工作安排以及出国(境)、旅游等提供方便。</w:t>
      </w:r>
    </w:p>
    <w:p w14:paraId="021C4590">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（四）不准以任何理由为甲方、相关单位或个人组织有可能影响公正执行公务的宴请、健身、娱乐等活动。</w:t>
      </w:r>
    </w:p>
    <w:p w14:paraId="11A55F89">
      <w:pPr>
        <w:spacing w:line="400" w:lineRule="exact"/>
        <w:ind w:firstLine="422" w:firstLineChars="200"/>
        <w:rPr>
          <w:rFonts w:hint="eastAsia" w:ascii="宋体" w:hAnsi="宋体" w:eastAsia="宋体" w:cs="宋体"/>
          <w:b/>
          <w:szCs w:val="32"/>
        </w:rPr>
      </w:pPr>
      <w:r>
        <w:rPr>
          <w:rFonts w:hint="eastAsia" w:ascii="宋体" w:hAnsi="宋体" w:eastAsia="宋体" w:cs="宋体"/>
          <w:b/>
          <w:szCs w:val="32"/>
        </w:rPr>
        <w:t>第四条 违约责任</w:t>
      </w:r>
    </w:p>
    <w:p w14:paraId="104EC36C">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（一）甲方工作人员有违反本合同第一、二条责任行为的，按照管理权限，依据有关法律法规和规定给予党纪、政纪处分或组织处理；涉嫌犯罪的，移交司法机关追究刑事责任。</w:t>
      </w:r>
    </w:p>
    <w:p w14:paraId="38ABB6A4">
      <w:pPr>
        <w:spacing w:line="400" w:lineRule="exact"/>
        <w:ind w:firstLine="420" w:firstLineChars="200"/>
        <w:rPr>
          <w:rFonts w:hint="eastAsia" w:ascii="宋体" w:hAnsi="宋体" w:eastAsia="宋体" w:cs="宋体"/>
          <w:szCs w:val="32"/>
        </w:rPr>
      </w:pPr>
      <w:r>
        <w:rPr>
          <w:rFonts w:hint="eastAsia" w:ascii="宋体" w:hAnsi="宋体" w:eastAsia="宋体" w:cs="宋体"/>
          <w:szCs w:val="32"/>
        </w:rPr>
        <w:t>（二）乙方工作人员有违反本合同第一、三条责任行为的，按照管理权限，依据有关法律法规和规定给予党纪、政纪处分或组织处理；涉嫌犯罪的，移交司法机关追究刑事责任。</w:t>
      </w:r>
    </w:p>
    <w:p w14:paraId="2E8A7218">
      <w:pPr>
        <w:spacing w:line="400" w:lineRule="exact"/>
        <w:ind w:firstLine="422" w:firstLineChars="200"/>
        <w:rPr>
          <w:rFonts w:hint="eastAsia" w:ascii="宋体" w:hAnsi="宋体" w:eastAsia="宋体" w:cs="宋体"/>
          <w:szCs w:val="32"/>
        </w:rPr>
      </w:pPr>
      <w:r>
        <w:rPr>
          <w:rFonts w:hint="eastAsia" w:ascii="宋体" w:hAnsi="宋体" w:eastAsia="宋体" w:cs="宋体"/>
          <w:b/>
          <w:szCs w:val="32"/>
        </w:rPr>
        <w:t>第五条</w:t>
      </w:r>
      <w:r>
        <w:rPr>
          <w:rFonts w:hint="eastAsia" w:ascii="宋体" w:hAnsi="宋体" w:eastAsia="宋体" w:cs="宋体"/>
          <w:szCs w:val="32"/>
        </w:rPr>
        <w:tab/>
      </w:r>
      <w:r>
        <w:rPr>
          <w:rFonts w:hint="eastAsia" w:ascii="宋体" w:hAnsi="宋体" w:eastAsia="宋体" w:cs="宋体"/>
          <w:szCs w:val="32"/>
        </w:rPr>
        <w:t>本协议作为合同书的附件，与合同书具有同等法律效力。经双方签署后立即生效。</w:t>
      </w:r>
    </w:p>
    <w:p w14:paraId="1047C542">
      <w:pPr>
        <w:spacing w:line="400" w:lineRule="exact"/>
        <w:ind w:firstLine="422" w:firstLineChars="200"/>
        <w:rPr>
          <w:rFonts w:hint="eastAsia" w:ascii="宋体" w:hAnsi="宋体" w:eastAsia="宋体" w:cs="宋体"/>
          <w:szCs w:val="32"/>
        </w:rPr>
      </w:pPr>
      <w:r>
        <w:rPr>
          <w:rFonts w:hint="eastAsia" w:ascii="宋体" w:hAnsi="宋体" w:eastAsia="宋体" w:cs="宋体"/>
          <w:b/>
          <w:szCs w:val="32"/>
        </w:rPr>
        <w:t>第六条</w:t>
      </w:r>
      <w:r>
        <w:rPr>
          <w:rFonts w:hint="eastAsia" w:ascii="宋体" w:hAnsi="宋体" w:eastAsia="宋体" w:cs="宋体"/>
          <w:b/>
          <w:szCs w:val="32"/>
        </w:rPr>
        <w:tab/>
      </w:r>
      <w:r>
        <w:rPr>
          <w:rFonts w:hint="eastAsia" w:ascii="宋体" w:hAnsi="宋体" w:eastAsia="宋体" w:cs="宋体"/>
          <w:szCs w:val="32"/>
        </w:rPr>
        <w:t>本协议的有效期为双方签署之日起至该项目完工验收合格时止。</w:t>
      </w:r>
    </w:p>
    <w:p w14:paraId="538B7C0A">
      <w:pPr>
        <w:pStyle w:val="69"/>
        <w:ind w:left="210" w:right="210" w:firstLine="210"/>
        <w:rPr>
          <w:rFonts w:hint="eastAsia" w:ascii="宋体" w:hAnsi="宋体" w:eastAsia="宋体" w:cs="宋体"/>
        </w:rPr>
      </w:pPr>
    </w:p>
    <w:p w14:paraId="49D67614">
      <w:pPr>
        <w:pStyle w:val="69"/>
        <w:ind w:left="210" w:right="210" w:firstLine="210"/>
        <w:rPr>
          <w:rFonts w:hint="eastAsia" w:ascii="宋体" w:hAnsi="宋体" w:eastAsia="宋体" w:cs="宋体"/>
        </w:rPr>
      </w:pPr>
    </w:p>
    <w:p w14:paraId="23808D5C">
      <w:pPr>
        <w:pStyle w:val="69"/>
        <w:ind w:left="210" w:right="210" w:firstLine="210"/>
        <w:rPr>
          <w:rFonts w:hint="eastAsia" w:ascii="宋体" w:hAnsi="宋体" w:eastAsia="宋体" w:cs="宋体"/>
        </w:rPr>
      </w:pPr>
    </w:p>
    <w:p w14:paraId="618DD890">
      <w:pPr>
        <w:pStyle w:val="69"/>
        <w:ind w:left="210" w:right="210" w:firstLine="210"/>
        <w:rPr>
          <w:rFonts w:hint="eastAsia" w:ascii="宋体" w:hAnsi="宋体" w:eastAsia="宋体" w:cs="宋体"/>
        </w:rPr>
      </w:pPr>
    </w:p>
    <w:p w14:paraId="19BA027A">
      <w:pPr>
        <w:pStyle w:val="70"/>
        <w:spacing w:line="360" w:lineRule="auto"/>
        <w:ind w:firstLine="420"/>
        <w:rPr>
          <w:rFonts w:hint="eastAsia" w:ascii="宋体" w:hAnsi="宋体" w:eastAsia="宋体" w:cs="宋体"/>
          <w:sz w:val="24"/>
          <w:szCs w:val="24"/>
        </w:rPr>
      </w:pPr>
      <w:r>
        <w:rPr>
          <w:rFonts w:hint="eastAsia" w:ascii="宋体" w:hAnsi="宋体" w:eastAsia="宋体" w:cs="宋体"/>
          <w:bCs/>
          <w:color w:val="000000"/>
          <w:sz w:val="24"/>
          <w:szCs w:val="24"/>
        </w:rPr>
        <w:t>甲方</w:t>
      </w:r>
      <w:r>
        <w:rPr>
          <w:rFonts w:hint="eastAsia" w:ascii="宋体" w:hAnsi="宋体" w:eastAsia="宋体" w:cs="宋体"/>
          <w:sz w:val="24"/>
          <w:szCs w:val="24"/>
        </w:rPr>
        <w:t>（盖章）：</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乙方</w:t>
      </w:r>
      <w:r>
        <w:rPr>
          <w:rFonts w:hint="eastAsia" w:ascii="宋体" w:hAnsi="宋体" w:eastAsia="宋体" w:cs="宋体"/>
          <w:sz w:val="24"/>
          <w:szCs w:val="24"/>
        </w:rPr>
        <w:t>（盖章）：</w:t>
      </w:r>
    </w:p>
    <w:p w14:paraId="0FFDC6F5">
      <w:pPr>
        <w:pStyle w:val="70"/>
        <w:tabs>
          <w:tab w:val="left" w:pos="1245"/>
          <w:tab w:val="left" w:pos="1790"/>
          <w:tab w:val="left" w:pos="2630"/>
        </w:tabs>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                  法定</w:t>
      </w:r>
      <w:r>
        <w:rPr>
          <w:rFonts w:hint="eastAsia" w:ascii="宋体" w:hAnsi="宋体" w:eastAsia="宋体" w:cs="宋体"/>
          <w:bCs/>
          <w:sz w:val="24"/>
          <w:szCs w:val="24"/>
        </w:rPr>
        <w:t>代表人</w:t>
      </w:r>
      <w:r>
        <w:rPr>
          <w:rFonts w:hint="eastAsia" w:ascii="宋体" w:hAnsi="宋体" w:eastAsia="宋体" w:cs="宋体"/>
          <w:sz w:val="24"/>
          <w:szCs w:val="24"/>
        </w:rPr>
        <w:t>（签字）：</w:t>
      </w:r>
    </w:p>
    <w:p w14:paraId="15C6672B">
      <w:pPr>
        <w:tabs>
          <w:tab w:val="left" w:pos="525"/>
          <w:tab w:val="left" w:pos="1155"/>
        </w:tabs>
        <w:snapToGrid w:val="0"/>
        <w:spacing w:line="360" w:lineRule="auto"/>
        <w:ind w:firstLine="480" w:firstLineChars="200"/>
        <w:rPr>
          <w:rFonts w:hint="eastAsia" w:ascii="宋体" w:hAnsi="宋体" w:eastAsia="宋体" w:cs="宋体"/>
          <w:sz w:val="24"/>
          <w:szCs w:val="24"/>
        </w:rPr>
      </w:pPr>
    </w:p>
    <w:p w14:paraId="77709F01">
      <w:pPr>
        <w:tabs>
          <w:tab w:val="left" w:pos="525"/>
          <w:tab w:val="left" w:pos="115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3690E705">
      <w:pPr>
        <w:pStyle w:val="70"/>
        <w:tabs>
          <w:tab w:val="left" w:pos="946"/>
          <w:tab w:val="left" w:pos="1790"/>
          <w:tab w:val="left" w:pos="2630"/>
        </w:tabs>
        <w:spacing w:line="360" w:lineRule="auto"/>
        <w:ind w:firstLine="420"/>
        <w:jc w:val="right"/>
        <w:rPr>
          <w:rFonts w:hint="eastAsia" w:ascii="宋体" w:hAnsi="宋体" w:eastAsia="宋体" w:cs="宋体"/>
          <w:kern w:val="0"/>
          <w:sz w:val="24"/>
          <w:szCs w:val="24"/>
        </w:rPr>
      </w:pPr>
      <w:r>
        <w:rPr>
          <w:rFonts w:hint="eastAsia" w:ascii="宋体" w:hAnsi="宋体" w:eastAsia="宋体" w:cs="宋体"/>
          <w:sz w:val="24"/>
          <w:szCs w:val="24"/>
          <w:lang w:eastAsia="zh-CN"/>
        </w:rPr>
        <w:t xml:space="preserve">                             </w:t>
      </w:r>
      <w:r>
        <w:rPr>
          <w:rFonts w:hint="eastAsia" w:ascii="宋体" w:hAnsi="宋体" w:eastAsia="宋体" w:cs="宋体"/>
          <w:kern w:val="0"/>
          <w:sz w:val="24"/>
          <w:szCs w:val="24"/>
        </w:rPr>
        <w:t>年      月      日</w:t>
      </w:r>
    </w:p>
    <w:p w14:paraId="0E74191D">
      <w:pPr>
        <w:pStyle w:val="69"/>
        <w:ind w:left="210" w:right="210" w:firstLine="210"/>
        <w:rPr>
          <w:rFonts w:hint="eastAsia" w:ascii="宋体" w:hAnsi="宋体" w:eastAsia="宋体" w:cs="宋体"/>
        </w:rPr>
        <w:sectPr>
          <w:footerReference r:id="rId6" w:type="default"/>
          <w:pgSz w:w="11906" w:h="16838"/>
          <w:pgMar w:top="1361" w:right="1361" w:bottom="1361" w:left="1361" w:header="851" w:footer="992" w:gutter="0"/>
          <w:pgNumType w:fmt="decimal"/>
          <w:cols w:space="720" w:num="1"/>
          <w:docGrid w:type="lines" w:linePitch="312" w:charSpace="0"/>
        </w:sectPr>
      </w:pPr>
    </w:p>
    <w:p w14:paraId="6AF688D8">
      <w:pPr>
        <w:pStyle w:val="74"/>
        <w:spacing w:after="312" w:afterLines="100"/>
        <w:ind w:firstLine="482"/>
        <w:outlineLvl w:val="1"/>
        <w:rPr>
          <w:rFonts w:hint="eastAsia" w:ascii="宋体" w:hAnsi="宋体" w:eastAsia="宋体" w:cs="宋体"/>
          <w:b/>
          <w:color w:val="auto"/>
          <w:lang w:val="en-US" w:eastAsia="zh-CN"/>
        </w:rPr>
      </w:pPr>
      <w:r>
        <w:rPr>
          <w:rFonts w:hint="eastAsia" w:ascii="宋体" w:hAnsi="宋体" w:eastAsia="宋体" w:cs="宋体"/>
          <w:b/>
          <w:color w:val="auto"/>
        </w:rPr>
        <w:t xml:space="preserve">第五部分 </w:t>
      </w:r>
      <w:r>
        <w:rPr>
          <w:rFonts w:hint="eastAsia" w:ascii="宋体" w:hAnsi="宋体" w:eastAsia="宋体" w:cs="宋体"/>
          <w:b/>
          <w:color w:val="auto"/>
          <w:lang w:val="en-US" w:eastAsia="zh-CN"/>
        </w:rPr>
        <w:t>安全生产协议书</w:t>
      </w:r>
    </w:p>
    <w:p w14:paraId="61762B77">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为在 </w:t>
      </w:r>
      <w:r>
        <w:rPr>
          <w:rFonts w:hint="eastAsia" w:ascii="宋体" w:hAnsi="宋体" w:eastAsia="宋体" w:cs="宋体"/>
          <w:bCs/>
          <w:color w:val="auto"/>
          <w:sz w:val="24"/>
          <w:szCs w:val="24"/>
          <w:u w:val="single"/>
        </w:rPr>
        <w:t xml:space="preserve">           （项目名称）</w:t>
      </w:r>
      <w:r>
        <w:rPr>
          <w:rFonts w:hint="eastAsia" w:ascii="宋体" w:hAnsi="宋体" w:eastAsia="宋体" w:cs="宋体"/>
          <w:bCs/>
          <w:color w:val="auto"/>
          <w:sz w:val="24"/>
          <w:szCs w:val="24"/>
        </w:rPr>
        <w:t>合同的实施过程中创造安全、高效的作业环境，切实搞好本项目的安全管理工作，本项目</w:t>
      </w:r>
      <w:r>
        <w:rPr>
          <w:rFonts w:hint="eastAsia" w:ascii="宋体" w:hAnsi="宋体" w:eastAsia="宋体" w:cs="宋体"/>
          <w:bCs/>
          <w:color w:val="auto"/>
          <w:sz w:val="24"/>
          <w:szCs w:val="24"/>
          <w:u w:val="single"/>
        </w:rPr>
        <w:t>甲方       （甲方名称，以下简称“甲方”）</w:t>
      </w:r>
      <w:r>
        <w:rPr>
          <w:rFonts w:hint="eastAsia" w:ascii="宋体" w:hAnsi="宋体" w:eastAsia="宋体" w:cs="宋体"/>
          <w:bCs/>
          <w:color w:val="auto"/>
          <w:sz w:val="24"/>
          <w:szCs w:val="24"/>
        </w:rPr>
        <w:t>与</w:t>
      </w:r>
      <w:r>
        <w:rPr>
          <w:rFonts w:hint="eastAsia" w:ascii="宋体" w:hAnsi="宋体" w:eastAsia="宋体" w:cs="宋体"/>
          <w:bCs/>
          <w:color w:val="auto"/>
          <w:sz w:val="24"/>
          <w:szCs w:val="24"/>
          <w:u w:val="single"/>
        </w:rPr>
        <w:t>乙方         （乙方名称，以下简称“乙方”）</w:t>
      </w:r>
      <w:r>
        <w:rPr>
          <w:rFonts w:hint="eastAsia" w:ascii="宋体" w:hAnsi="宋体" w:eastAsia="宋体" w:cs="宋体"/>
          <w:bCs/>
          <w:color w:val="auto"/>
          <w:sz w:val="24"/>
          <w:szCs w:val="24"/>
        </w:rPr>
        <w:t>特此签订安全生产合同：</w:t>
      </w:r>
    </w:p>
    <w:p w14:paraId="24719566">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一、甲方职责</w:t>
      </w:r>
    </w:p>
    <w:p w14:paraId="212D14AC">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1.甲方依据《中华人民共和国安全生产法》等法律法规规定责任，全面履行自己应有的权利和义务。</w:t>
      </w:r>
    </w:p>
    <w:p w14:paraId="167CE3D6">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2.甲方对乙方作业安全具有监督、检查和指导的权利。</w:t>
      </w:r>
    </w:p>
    <w:p w14:paraId="7C53812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二、乙方的安全责任</w:t>
      </w:r>
    </w:p>
    <w:p w14:paraId="06A218D9">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z w:val="24"/>
          <w:szCs w:val="24"/>
        </w:rPr>
        <w:t>乙方要严格执行国家已发布的有关法律法规和地方政府有关安全管理的规定，严格各项安全生产的规章制度和方案。</w:t>
      </w:r>
    </w:p>
    <w:p w14:paraId="3F6A1AC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lang w:val="en-US" w:eastAsia="zh-CN"/>
        </w:rPr>
        <w:t>在开工前，</w:t>
      </w:r>
      <w:r>
        <w:rPr>
          <w:rFonts w:hint="eastAsia" w:ascii="宋体" w:hAnsi="宋体" w:eastAsia="宋体" w:cs="宋体"/>
          <w:b w:val="0"/>
          <w:bCs/>
          <w:color w:val="auto"/>
          <w:kern w:val="2"/>
          <w:sz w:val="24"/>
          <w:szCs w:val="24"/>
          <w:lang w:val="en-US" w:eastAsia="zh-CN" w:bidi="ar-SA"/>
        </w:rPr>
        <w:t>必须</w:t>
      </w:r>
      <w:r>
        <w:rPr>
          <w:rFonts w:hint="eastAsia" w:ascii="宋体" w:hAnsi="宋体" w:eastAsia="宋体" w:cs="宋体"/>
          <w:b/>
          <w:bCs/>
          <w:color w:val="FF0000"/>
          <w:sz w:val="24"/>
          <w:szCs w:val="24"/>
          <w:highlight w:val="yellow"/>
          <w:lang w:val="en-US" w:eastAsia="zh-CN"/>
        </w:rPr>
        <w:t>进行安全技术交底，落实项目实施过程中所有安全技术措施和人身防护用品，未经落实的不得进行实施。</w:t>
      </w:r>
      <w:r>
        <w:rPr>
          <w:rFonts w:hint="eastAsia" w:ascii="宋体" w:hAnsi="宋体" w:eastAsia="宋体" w:cs="宋体"/>
          <w:b w:val="0"/>
          <w:bCs/>
          <w:color w:val="auto"/>
          <w:kern w:val="2"/>
          <w:sz w:val="24"/>
          <w:szCs w:val="24"/>
          <w:lang w:val="en-US" w:eastAsia="zh-CN" w:bidi="ar-SA"/>
        </w:rPr>
        <w:t>明确各级人员的安全生产责任，</w:t>
      </w:r>
      <w:r>
        <w:rPr>
          <w:rFonts w:hint="eastAsia" w:ascii="宋体" w:hAnsi="宋体" w:eastAsia="宋体" w:cs="宋体"/>
          <w:color w:val="auto"/>
          <w:sz w:val="24"/>
          <w:szCs w:val="24"/>
        </w:rPr>
        <w:t>对所有参与现场</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的人员进行安全教育，使其具备安全意识和应对突发情况的能力。临水临空等安全风险较大的作业应有现场安全监督人员现场监督，并通知管理单位技术人员到场。</w:t>
      </w:r>
    </w:p>
    <w:p w14:paraId="1BE3069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参加</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审查，无证人员禁止从事特种作业；</w:t>
      </w:r>
      <w:r>
        <w:rPr>
          <w:rFonts w:hint="eastAsia" w:ascii="宋体" w:hAnsi="宋体" w:eastAsia="宋体" w:cs="宋体"/>
          <w:color w:val="auto"/>
          <w:sz w:val="24"/>
          <w:szCs w:val="24"/>
          <w:lang w:val="en-US" w:eastAsia="zh-CN"/>
        </w:rPr>
        <w:t>鉴定检测实施过程中</w:t>
      </w:r>
      <w:r>
        <w:rPr>
          <w:rFonts w:hint="eastAsia" w:ascii="宋体" w:hAnsi="宋体" w:eastAsia="宋体" w:cs="宋体"/>
          <w:color w:val="auto"/>
          <w:sz w:val="24"/>
          <w:szCs w:val="24"/>
        </w:rPr>
        <w:t>如出现特种作业无证操作现象时，</w:t>
      </w:r>
      <w:r>
        <w:rPr>
          <w:rFonts w:hint="eastAsia" w:ascii="宋体" w:hAnsi="宋体" w:eastAsia="宋体" w:cs="宋体"/>
          <w:color w:val="auto"/>
          <w:sz w:val="24"/>
          <w:szCs w:val="24"/>
          <w:lang w:eastAsia="zh-CN"/>
        </w:rPr>
        <w:t>项目负责人</w:t>
      </w:r>
      <w:r>
        <w:rPr>
          <w:rFonts w:hint="eastAsia" w:ascii="宋体" w:hAnsi="宋体" w:eastAsia="宋体" w:cs="宋体"/>
          <w:color w:val="auto"/>
          <w:sz w:val="24"/>
          <w:szCs w:val="24"/>
        </w:rPr>
        <w:t>必须承担管理责任。</w:t>
      </w:r>
    </w:p>
    <w:p w14:paraId="27AA9B9C">
      <w:pPr>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lang w:val="en-US" w:eastAsia="zh-CN"/>
        </w:rPr>
        <w:t>4.</w:t>
      </w:r>
      <w:r>
        <w:rPr>
          <w:rFonts w:hint="eastAsia" w:ascii="宋体" w:hAnsi="宋体" w:eastAsia="宋体" w:cs="宋体"/>
          <w:color w:val="auto"/>
          <w:sz w:val="24"/>
          <w:szCs w:val="24"/>
          <w:highlight w:val="yellow"/>
          <w:lang w:eastAsia="zh-CN"/>
        </w:rPr>
        <w:t>乙方</w:t>
      </w:r>
      <w:r>
        <w:rPr>
          <w:rFonts w:hint="eastAsia" w:ascii="宋体" w:hAnsi="宋体" w:eastAsia="宋体" w:cs="宋体"/>
          <w:color w:val="auto"/>
          <w:sz w:val="24"/>
          <w:szCs w:val="24"/>
          <w:highlight w:val="yellow"/>
        </w:rPr>
        <w:t>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4FAA76DF">
      <w:pPr>
        <w:spacing w:line="360" w:lineRule="auto"/>
        <w:ind w:firstLine="482" w:firstLineChars="200"/>
        <w:rPr>
          <w:rFonts w:hint="eastAsia" w:ascii="宋体" w:hAnsi="宋体" w:eastAsia="宋体" w:cs="宋体"/>
          <w:b/>
          <w:bCs/>
          <w:color w:val="FF0000"/>
          <w:sz w:val="24"/>
          <w:szCs w:val="24"/>
          <w:highlight w:val="yellow"/>
          <w:lang w:val="en-US" w:eastAsia="zh-CN"/>
        </w:rPr>
      </w:pPr>
      <w:r>
        <w:rPr>
          <w:rFonts w:hint="eastAsia" w:ascii="宋体" w:hAnsi="宋体" w:eastAsia="宋体" w:cs="宋体"/>
          <w:b/>
          <w:bCs/>
          <w:color w:val="FF0000"/>
          <w:sz w:val="24"/>
          <w:szCs w:val="24"/>
          <w:highlight w:val="yellow"/>
          <w:lang w:val="en-US" w:eastAsia="zh-CN"/>
        </w:rPr>
        <w:t>5.应加强交叉作业管理，在交叉作业区域设置明显的警示标志，并指派专人负责协调各作业单位间的配合，做好安全防护，如开闸放水期间等，禁止进行水上及临近项目作业。</w:t>
      </w:r>
    </w:p>
    <w:p w14:paraId="76E9C55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.箱涵等封闭空间作业要求：</w:t>
      </w:r>
    </w:p>
    <w:p w14:paraId="6E0FDAB3">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①危险源识别</w:t>
      </w:r>
    </w:p>
    <w:p w14:paraId="786DA4C6">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a、中毒危害：有限空间容易积聚高浓度有害物质。有害物质可以是原来就存在于有限空间的也可以是作业过程中逐渐积聚的。</w:t>
      </w:r>
    </w:p>
    <w:p w14:paraId="6DD4FDEE">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b、缺氧危害：空气中氧浓度过低会引起缺氧。</w:t>
      </w:r>
    </w:p>
    <w:p w14:paraId="44FB0551">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c、燃爆危害：空气中存在易燃、易爆物质，浓度过高遇火会引起爆炸或燃烧。</w:t>
      </w:r>
    </w:p>
    <w:p w14:paraId="29B0BAB9">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d、其他危害：其他任何威胁生命或健康的环境条件。如坠落、溺水、物体打击、电击等。</w:t>
      </w:r>
    </w:p>
    <w:p w14:paraId="0B34C1E8">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②作业前准备工作</w:t>
      </w:r>
    </w:p>
    <w:p w14:paraId="0C6941A3">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a制定作业方案。详细了解密闭空间现场整体情况以往发生事故情况，做好风险识别和评估工作，制定作业方案和应急预案。</w:t>
      </w:r>
    </w:p>
    <w:p w14:paraId="7E992B06">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b配齐防护措施。要配齐职业病防护设施设备和个人防护装备，严禁无防护监护措施作业。</w:t>
      </w:r>
    </w:p>
    <w:p w14:paraId="6125BBD3">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c 明确安全责任。明确监护人员、作业人员、应急救援人员及其安全责任。</w:t>
      </w:r>
    </w:p>
    <w:p w14:paraId="3BA8215A">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d进行安全培训。向作业人员、应急救援人员进行安全培训。</w:t>
      </w:r>
    </w:p>
    <w:p w14:paraId="45D32A62">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③作业时管控措施</w:t>
      </w:r>
    </w:p>
    <w:p w14:paraId="16413F29">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a采取阻断措施。作业人员应在醒目位置设置警示标识或安全告知牌，防止无关人员随意进入。空间内发现存在可能危及作业安全的风险源时（如可燃气体浓度超标），作业人员应采取封闭、封堵、切断能源等隔离阻断措施。</w:t>
      </w:r>
    </w:p>
    <w:p w14:paraId="76B932D6">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b采取通风检测措施。进入作业现场前，作业人员应当严格遵守“先通风、再检测、后作业”的原则，对密闭空间进行强制通风一段时间后再进行气体检测，检测结果合格后佩戴符合要求的个体防护用品、安全防护设备和联络通讯设备方可进入作业。作业人员应拴带救生绳。未经通风和检测，任何人员不得进入密闭空间作业。</w:t>
      </w:r>
    </w:p>
    <w:p w14:paraId="604AC3CF">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c如检测结果不合格，在缺氧或有毒的受限空间作业时，应佩戴符合要求的供氧设备及个体防护用品、安全防护设备和联络通讯设备方可进入作业；作业人员应拴带救生绳。</w:t>
      </w:r>
    </w:p>
    <w:p w14:paraId="44F60060">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d受限空间外应备有消防器材、清水等相应的应急用品。</w:t>
      </w:r>
    </w:p>
    <w:p w14:paraId="7F7B5522">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④制定应急措施</w:t>
      </w:r>
    </w:p>
    <w:p w14:paraId="13F6A37E">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必须制定应急措施，现场配备应急装备，严禁盲目施救。</w:t>
      </w:r>
    </w:p>
    <w:p w14:paraId="7B5C6785">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a如发生异常情况或作业人员感觉不适或呼吸困难时，应立即撤离受限空间；</w:t>
      </w:r>
    </w:p>
    <w:p w14:paraId="2CAC70AA">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b发生突发性事件，项目负责人应立即帮助作业人员撤离受限空间，必要时可以采取急救手段，同时将情况上报部门负责人;</w:t>
      </w:r>
    </w:p>
    <w:p w14:paraId="28D0A745">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c出现有人中毒、窒息的紧急情况，抢救人员必须佩带隔离式防护面具进入受限空间，并至少一人在外部做联络工作发生事故，抢救工作应争分夺秒，但须沉着冷静正确处理事故。不得拖延耽误，更不能盲目抢救。抢救者首先要保护好自己，只有将自己保护好，才能更有效地抢救别人;</w:t>
      </w:r>
    </w:p>
    <w:p w14:paraId="42A3DCA2">
      <w:pPr>
        <w:widowControl/>
        <w:adjustRightInd w:val="0"/>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d发生其他较严重情形按照应急预案相关要求处理。</w:t>
      </w:r>
    </w:p>
    <w:p w14:paraId="18AB23B9">
      <w:pPr>
        <w:numPr>
          <w:ilvl w:val="0"/>
          <w:numId w:val="6"/>
        </w:numPr>
        <w:spacing w:line="360" w:lineRule="auto"/>
        <w:ind w:firstLine="480" w:firstLineChars="200"/>
        <w:rPr>
          <w:rFonts w:hint="eastAsia" w:ascii="宋体" w:hAnsi="宋体" w:eastAsia="宋体" w:cs="宋体"/>
          <w:b/>
          <w:bCs/>
          <w:color w:val="FF0000"/>
          <w:sz w:val="24"/>
          <w:szCs w:val="24"/>
          <w:highlight w:val="yellow"/>
          <w:lang w:val="en-US" w:eastAsia="zh-CN"/>
        </w:rPr>
      </w:pP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高空作业时，禁止穿硬底和带钉易滑的鞋，患有心脏病、高血压、精神病、癫痫病</w:t>
      </w:r>
      <w:r>
        <w:rPr>
          <w:rFonts w:hint="eastAsia" w:ascii="宋体" w:hAnsi="宋体" w:eastAsia="宋体" w:cs="宋体"/>
          <w:color w:val="auto"/>
          <w:sz w:val="24"/>
          <w:szCs w:val="24"/>
          <w:lang w:eastAsia="zh-CN"/>
        </w:rPr>
        <w:t>患者</w:t>
      </w:r>
      <w:r>
        <w:rPr>
          <w:rFonts w:hint="eastAsia" w:ascii="宋体" w:hAnsi="宋体" w:eastAsia="宋体" w:cs="宋体"/>
          <w:color w:val="auto"/>
          <w:sz w:val="24"/>
          <w:szCs w:val="24"/>
        </w:rPr>
        <w:t>禁止从事高空操作，高空作业操作人员要系安全带，并且安全带要固定牢靠。</w:t>
      </w:r>
      <w:r>
        <w:rPr>
          <w:rFonts w:hint="eastAsia" w:ascii="宋体" w:hAnsi="宋体" w:eastAsia="宋体" w:cs="宋体"/>
          <w:b/>
          <w:bCs/>
          <w:color w:val="FF0000"/>
          <w:sz w:val="24"/>
          <w:szCs w:val="24"/>
          <w:highlight w:val="yellow"/>
          <w:lang w:val="en-US" w:eastAsia="zh-CN"/>
        </w:rPr>
        <w:t>攀爬和悬空高处作业人员以及搭设高处作业安全设施的人员，必须经过专业技术培训，持证上岗，并定期进行身体检查。非作业人员不准在高处作业面上。</w:t>
      </w:r>
    </w:p>
    <w:p w14:paraId="5E34ED5C">
      <w:pPr>
        <w:numPr>
          <w:ilvl w:val="0"/>
          <w:numId w:val="6"/>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遇高温天气，应结合天气、</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进度等实际情况，加强作业人员身心关怀，合理安排作业时间，及时安排休息避暑，并配备防暑降温等</w:t>
      </w:r>
      <w:r>
        <w:rPr>
          <w:rFonts w:hint="eastAsia" w:ascii="宋体" w:hAnsi="宋体" w:eastAsia="宋体" w:cs="宋体"/>
          <w:color w:val="auto"/>
          <w:sz w:val="24"/>
          <w:szCs w:val="24"/>
          <w:lang w:eastAsia="zh-CN"/>
        </w:rPr>
        <w:t>必需的</w:t>
      </w:r>
      <w:r>
        <w:rPr>
          <w:rFonts w:hint="eastAsia" w:ascii="宋体" w:hAnsi="宋体" w:eastAsia="宋体" w:cs="宋体"/>
          <w:color w:val="auto"/>
          <w:sz w:val="24"/>
          <w:szCs w:val="24"/>
        </w:rPr>
        <w:t>应急药品、物品，避免人员中暑、疲劳作业等情况。</w:t>
      </w:r>
    </w:p>
    <w:p w14:paraId="31F7553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操作人员上岗，必须按规定穿戴防护用品。</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负责人和安全检查员应随时检查劳动防护用品的穿戴情况，不按规定穿戴防护用品的人员不得上岗。</w:t>
      </w:r>
    </w:p>
    <w:p w14:paraId="70F5376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.乙方应根据</w:t>
      </w:r>
      <w:r>
        <w:rPr>
          <w:rFonts w:hint="eastAsia" w:ascii="宋体" w:hAnsi="宋体" w:eastAsia="宋体" w:cs="宋体"/>
          <w:color w:val="auto"/>
          <w:kern w:val="0"/>
          <w:sz w:val="24"/>
          <w:szCs w:val="24"/>
          <w:lang w:val="en-US" w:eastAsia="zh-CN"/>
        </w:rPr>
        <w:t>项目</w:t>
      </w:r>
      <w:r>
        <w:rPr>
          <w:rFonts w:hint="eastAsia" w:ascii="宋体" w:hAnsi="宋体" w:eastAsia="宋体" w:cs="宋体"/>
          <w:color w:val="auto"/>
          <w:kern w:val="0"/>
          <w:sz w:val="24"/>
          <w:szCs w:val="24"/>
        </w:rPr>
        <w:t>特点，合理安排身体素质、技术水平高、安全责任心强的人员作业，作业过程中做好职业健康、环境保护、劳动卫生、安全生产等有关工作，做到安全文明作业，坚决防范各类安全事故发生。</w:t>
      </w:r>
    </w:p>
    <w:p w14:paraId="46DDE539">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11</w:t>
      </w:r>
      <w:r>
        <w:rPr>
          <w:rFonts w:hint="eastAsia" w:ascii="宋体" w:hAnsi="宋体" w:eastAsia="宋体" w:cs="宋体"/>
          <w:b/>
          <w:bCs/>
          <w:color w:val="auto"/>
          <w:kern w:val="0"/>
          <w:sz w:val="24"/>
          <w:szCs w:val="24"/>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6400B205">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12</w:t>
      </w:r>
      <w:r>
        <w:rPr>
          <w:rFonts w:hint="eastAsia" w:ascii="宋体" w:hAnsi="宋体" w:eastAsia="宋体" w:cs="宋体"/>
          <w:b/>
          <w:bCs/>
          <w:color w:val="auto"/>
          <w:kern w:val="0"/>
          <w:sz w:val="24"/>
          <w:szCs w:val="24"/>
        </w:rPr>
        <w:t>.项目实施前，乙方须提供本项目所有从业人员的社会保险（含工伤和医疗）缴纳证明，如无法提供相应证明材料，则须为本项目</w:t>
      </w:r>
      <w:r>
        <w:rPr>
          <w:rFonts w:hint="eastAsia" w:ascii="宋体" w:hAnsi="宋体" w:eastAsia="宋体" w:cs="宋体"/>
          <w:b/>
          <w:bCs/>
          <w:color w:val="auto"/>
          <w:kern w:val="0"/>
          <w:sz w:val="24"/>
          <w:szCs w:val="24"/>
          <w:lang w:val="en-US" w:eastAsia="zh-CN"/>
        </w:rPr>
        <w:t>无社会保险的</w:t>
      </w:r>
      <w:r>
        <w:rPr>
          <w:rFonts w:hint="eastAsia" w:ascii="宋体" w:hAnsi="宋体" w:eastAsia="宋体" w:cs="宋体"/>
          <w:b/>
          <w:bCs/>
          <w:color w:val="auto"/>
          <w:kern w:val="0"/>
          <w:sz w:val="24"/>
          <w:szCs w:val="24"/>
        </w:rPr>
        <w:t>从业人员购买以下保险（</w:t>
      </w:r>
      <w:r>
        <w:rPr>
          <w:rFonts w:hint="eastAsia" w:ascii="宋体" w:hAnsi="宋体" w:eastAsia="宋体" w:cs="宋体"/>
          <w:b/>
          <w:bCs/>
          <w:color w:val="auto"/>
          <w:kern w:val="0"/>
          <w:sz w:val="24"/>
          <w:szCs w:val="24"/>
          <w:lang w:val="en-US" w:eastAsia="zh-CN"/>
        </w:rPr>
        <w:t>三</w:t>
      </w:r>
      <w:r>
        <w:rPr>
          <w:rFonts w:hint="eastAsia" w:ascii="宋体" w:hAnsi="宋体" w:eastAsia="宋体" w:cs="宋体"/>
          <w:b/>
          <w:bCs/>
          <w:color w:val="auto"/>
          <w:kern w:val="0"/>
          <w:sz w:val="24"/>
          <w:szCs w:val="24"/>
        </w:rPr>
        <w:t>者任选其一）：雇主责任险或团体意外险</w:t>
      </w:r>
      <w:r>
        <w:rPr>
          <w:rFonts w:hint="eastAsia" w:ascii="宋体" w:hAnsi="宋体" w:eastAsia="宋体" w:cs="宋体"/>
          <w:b/>
          <w:bCs/>
          <w:color w:val="auto"/>
          <w:kern w:val="0"/>
          <w:sz w:val="24"/>
          <w:szCs w:val="24"/>
          <w:lang w:val="en-US" w:eastAsia="zh-CN"/>
        </w:rPr>
        <w:t>或安全责任险</w:t>
      </w:r>
      <w:r>
        <w:rPr>
          <w:rFonts w:hint="eastAsia" w:ascii="宋体" w:hAnsi="宋体" w:eastAsia="宋体" w:cs="宋体"/>
          <w:b/>
          <w:bCs/>
          <w:color w:val="auto"/>
          <w:kern w:val="0"/>
          <w:sz w:val="24"/>
          <w:szCs w:val="24"/>
        </w:rPr>
        <w:t>，其保险费已包含在签约合同价中。</w:t>
      </w:r>
    </w:p>
    <w:p w14:paraId="6642C438">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13.</w:t>
      </w:r>
      <w:r>
        <w:rPr>
          <w:rFonts w:hint="eastAsia" w:ascii="宋体" w:hAnsi="宋体" w:eastAsia="宋体" w:cs="宋体"/>
          <w:b/>
          <w:bCs/>
          <w:color w:val="auto"/>
          <w:kern w:val="0"/>
          <w:sz w:val="24"/>
          <w:szCs w:val="24"/>
        </w:rPr>
        <w:t>安全承诺</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乙方承诺，</w:t>
      </w:r>
      <w:r>
        <w:rPr>
          <w:rFonts w:hint="eastAsia" w:ascii="宋体" w:hAnsi="宋体" w:eastAsia="宋体" w:cs="宋体"/>
          <w:b/>
          <w:bCs/>
          <w:color w:val="auto"/>
          <w:kern w:val="0"/>
          <w:sz w:val="24"/>
          <w:szCs w:val="24"/>
          <w:lang w:val="en-US" w:eastAsia="zh-CN"/>
        </w:rPr>
        <w:t>作业</w:t>
      </w:r>
      <w:r>
        <w:rPr>
          <w:rFonts w:hint="eastAsia" w:ascii="宋体" w:hAnsi="宋体" w:eastAsia="宋体" w:cs="宋体"/>
          <w:b/>
          <w:bCs/>
          <w:color w:val="auto"/>
          <w:kern w:val="0"/>
          <w:sz w:val="24"/>
          <w:szCs w:val="24"/>
        </w:rPr>
        <w:t>过程中如出现作业人员未有效佩戴安全帽、安全绳等安全防护用品，发生不安全行为的，每出现一次，从完工结算价中自愿核减1000元，减完为止。</w:t>
      </w:r>
    </w:p>
    <w:p w14:paraId="5EE42328">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rPr>
        <w:t>.本合同由双方法定代表人或其授权的代理人签署并加盖单位章后生效，全部工程竣工验收后失效。</w:t>
      </w:r>
    </w:p>
    <w:p w14:paraId="255E4D14">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四</w:t>
      </w:r>
      <w:r>
        <w:rPr>
          <w:rFonts w:hint="eastAsia" w:ascii="宋体" w:hAnsi="宋体" w:eastAsia="宋体" w:cs="宋体"/>
          <w:color w:val="auto"/>
          <w:kern w:val="0"/>
          <w:sz w:val="24"/>
          <w:szCs w:val="24"/>
        </w:rPr>
        <w:t>.本合同正本—式</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份，副本</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份，合同双方各执正本—份，副本</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份，当正本与副本的内容不一致时，以正本为准。</w:t>
      </w:r>
    </w:p>
    <w:p w14:paraId="620B37D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      乙方：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4579E05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（签字）  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（签字）</w:t>
      </w:r>
    </w:p>
    <w:p w14:paraId="414C6385">
      <w:pPr>
        <w:spacing w:line="360" w:lineRule="auto"/>
        <w:rPr>
          <w:rFonts w:hint="eastAsia" w:ascii="宋体" w:hAnsi="宋体" w:eastAsia="宋体" w:cs="宋体"/>
          <w:color w:val="auto"/>
          <w:kern w:val="0"/>
          <w:sz w:val="24"/>
          <w:szCs w:val="24"/>
        </w:rPr>
      </w:pPr>
    </w:p>
    <w:p w14:paraId="678D4508">
      <w:pPr>
        <w:spacing w:line="360" w:lineRule="auto"/>
        <w:ind w:firstLine="840"/>
        <w:rPr>
          <w:rFonts w:hint="eastAsia" w:ascii="宋体" w:hAnsi="宋体" w:eastAsia="宋体" w:cs="宋体"/>
          <w:color w:val="auto"/>
          <w:kern w:val="0"/>
          <w:sz w:val="24"/>
          <w:szCs w:val="24"/>
        </w:rPr>
      </w:pP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日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02AA1CCC">
      <w:pPr>
        <w:rPr>
          <w:rFonts w:hint="eastAsia" w:ascii="宋体" w:hAnsi="宋体" w:eastAsia="宋体" w:cs="宋体"/>
          <w:b/>
          <w:sz w:val="28"/>
        </w:rPr>
      </w:pPr>
      <w:r>
        <w:rPr>
          <w:rFonts w:hint="eastAsia" w:ascii="宋体" w:hAnsi="宋体" w:eastAsia="宋体" w:cs="宋体"/>
          <w:b/>
          <w:sz w:val="28"/>
        </w:rPr>
        <w:br w:type="page"/>
      </w:r>
    </w:p>
    <w:p w14:paraId="389A4C99">
      <w:pPr>
        <w:spacing w:line="360" w:lineRule="auto"/>
        <w:jc w:val="center"/>
        <w:outlineLvl w:val="0"/>
        <w:rPr>
          <w:rFonts w:hint="eastAsia" w:ascii="宋体" w:hAnsi="宋体" w:eastAsia="宋体" w:cs="宋体"/>
          <w:b/>
          <w:sz w:val="28"/>
        </w:rPr>
      </w:pPr>
      <w:r>
        <w:rPr>
          <w:rFonts w:hint="eastAsia" w:ascii="宋体" w:hAnsi="宋体" w:eastAsia="宋体" w:cs="宋体"/>
          <w:b/>
          <w:sz w:val="28"/>
        </w:rPr>
        <w:t>第六章  响应文件格式</w:t>
      </w:r>
    </w:p>
    <w:p w14:paraId="12796E37">
      <w:pPr>
        <w:spacing w:line="900" w:lineRule="exact"/>
        <w:jc w:val="center"/>
        <w:rPr>
          <w:rFonts w:hint="eastAsia" w:ascii="宋体" w:hAnsi="宋体" w:eastAsia="宋体" w:cs="宋体"/>
          <w:b/>
          <w:sz w:val="72"/>
        </w:rPr>
      </w:pPr>
    </w:p>
    <w:p w14:paraId="5785E548">
      <w:pPr>
        <w:spacing w:line="900" w:lineRule="exact"/>
        <w:jc w:val="center"/>
        <w:rPr>
          <w:rFonts w:hint="eastAsia" w:ascii="宋体" w:hAnsi="宋体" w:eastAsia="宋体" w:cs="宋体"/>
          <w:b/>
          <w:sz w:val="72"/>
        </w:rPr>
      </w:pPr>
      <w:r>
        <w:rPr>
          <w:rFonts w:hint="eastAsia" w:ascii="宋体" w:hAnsi="宋体" w:eastAsia="宋体" w:cs="宋体"/>
          <w:b/>
          <w:sz w:val="72"/>
        </w:rPr>
        <w:t>响</w:t>
      </w:r>
    </w:p>
    <w:p w14:paraId="46B9E8ED">
      <w:pPr>
        <w:spacing w:line="900" w:lineRule="exact"/>
        <w:jc w:val="center"/>
        <w:rPr>
          <w:rFonts w:hint="eastAsia" w:ascii="宋体" w:hAnsi="宋体" w:eastAsia="宋体" w:cs="宋体"/>
          <w:b/>
          <w:sz w:val="72"/>
        </w:rPr>
      </w:pPr>
    </w:p>
    <w:p w14:paraId="6529A9E8">
      <w:pPr>
        <w:spacing w:line="900" w:lineRule="exact"/>
        <w:jc w:val="center"/>
        <w:rPr>
          <w:rFonts w:hint="eastAsia" w:ascii="宋体" w:hAnsi="宋体" w:eastAsia="宋体" w:cs="宋体"/>
          <w:b/>
          <w:sz w:val="72"/>
        </w:rPr>
      </w:pPr>
      <w:r>
        <w:rPr>
          <w:rFonts w:hint="eastAsia" w:ascii="宋体" w:hAnsi="宋体" w:eastAsia="宋体" w:cs="宋体"/>
          <w:b/>
          <w:sz w:val="72"/>
        </w:rPr>
        <w:t>应</w:t>
      </w:r>
    </w:p>
    <w:p w14:paraId="0A681302">
      <w:pPr>
        <w:spacing w:line="900" w:lineRule="exact"/>
        <w:jc w:val="center"/>
        <w:rPr>
          <w:rFonts w:hint="eastAsia" w:ascii="宋体" w:hAnsi="宋体" w:eastAsia="宋体" w:cs="宋体"/>
          <w:b/>
          <w:sz w:val="72"/>
        </w:rPr>
      </w:pPr>
    </w:p>
    <w:p w14:paraId="55ADF284">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0D3D940A">
      <w:pPr>
        <w:spacing w:line="900" w:lineRule="exact"/>
        <w:jc w:val="center"/>
        <w:rPr>
          <w:rFonts w:hint="eastAsia" w:ascii="宋体" w:hAnsi="宋体" w:eastAsia="宋体" w:cs="宋体"/>
          <w:b/>
          <w:sz w:val="72"/>
        </w:rPr>
      </w:pPr>
    </w:p>
    <w:p w14:paraId="0E64EE32">
      <w:pPr>
        <w:jc w:val="center"/>
        <w:rPr>
          <w:rFonts w:hint="eastAsia" w:ascii="宋体" w:hAnsi="宋体" w:eastAsia="宋体" w:cs="宋体"/>
          <w:b/>
          <w:sz w:val="72"/>
        </w:rPr>
      </w:pPr>
      <w:r>
        <w:rPr>
          <w:rFonts w:hint="eastAsia" w:ascii="宋体" w:hAnsi="宋体" w:eastAsia="宋体" w:cs="宋体"/>
          <w:b/>
          <w:sz w:val="72"/>
        </w:rPr>
        <w:t>件</w:t>
      </w:r>
    </w:p>
    <w:p w14:paraId="5112AE3C">
      <w:pPr>
        <w:spacing w:after="156" w:afterLines="50" w:line="500" w:lineRule="exact"/>
        <w:rPr>
          <w:rFonts w:hint="eastAsia" w:ascii="宋体" w:hAnsi="宋体" w:eastAsia="宋体" w:cs="宋体"/>
          <w:b/>
          <w:sz w:val="72"/>
          <w:highlight w:val="yellow"/>
        </w:rPr>
      </w:pPr>
    </w:p>
    <w:p w14:paraId="54B304DE">
      <w:pPr>
        <w:spacing w:after="156" w:afterLines="50" w:line="500" w:lineRule="exact"/>
        <w:jc w:val="center"/>
        <w:rPr>
          <w:rFonts w:hint="eastAsia" w:ascii="宋体" w:hAnsi="宋体" w:eastAsia="宋体" w:cs="宋体"/>
          <w:b/>
          <w:sz w:val="28"/>
          <w:szCs w:val="28"/>
        </w:rPr>
      </w:pPr>
    </w:p>
    <w:p w14:paraId="72CEA704">
      <w:pPr>
        <w:tabs>
          <w:tab w:val="left" w:pos="2410"/>
        </w:tabs>
        <w:autoSpaceDE w:val="0"/>
        <w:autoSpaceDN w:val="0"/>
        <w:adjustRightInd w:val="0"/>
        <w:snapToGrid w:val="0"/>
        <w:spacing w:line="360" w:lineRule="auto"/>
        <w:ind w:firstLine="643" w:firstLineChars="200"/>
        <w:rPr>
          <w:rFonts w:hint="eastAsia" w:ascii="宋体" w:hAnsi="宋体" w:eastAsia="宋体" w:cs="宋体"/>
          <w:b/>
          <w:spacing w:val="20"/>
          <w:kern w:val="0"/>
          <w:sz w:val="32"/>
          <w:szCs w:val="32"/>
        </w:rPr>
      </w:pPr>
      <w:r>
        <w:rPr>
          <w:rFonts w:hint="eastAsia" w:ascii="宋体" w:hAnsi="宋体" w:eastAsia="宋体" w:cs="宋体"/>
          <w:b/>
          <w:sz w:val="32"/>
        </w:rPr>
        <w:t>项目名称：</w:t>
      </w:r>
      <w:r>
        <w:rPr>
          <w:rFonts w:hint="eastAsia" w:ascii="宋体" w:hAnsi="宋体" w:eastAsia="宋体" w:cs="宋体"/>
          <w:b/>
          <w:sz w:val="32"/>
          <w:u w:val="single"/>
        </w:rPr>
        <w:t xml:space="preserve">                  </w:t>
      </w:r>
    </w:p>
    <w:p w14:paraId="7CEA33A5">
      <w:pPr>
        <w:tabs>
          <w:tab w:val="left" w:pos="2410"/>
        </w:tabs>
        <w:autoSpaceDE w:val="0"/>
        <w:autoSpaceDN w:val="0"/>
        <w:adjustRightInd w:val="0"/>
        <w:snapToGrid w:val="0"/>
        <w:spacing w:line="360" w:lineRule="auto"/>
        <w:ind w:firstLine="643" w:firstLineChars="200"/>
        <w:rPr>
          <w:rFonts w:hint="eastAsia" w:ascii="宋体" w:hAnsi="宋体" w:eastAsia="宋体" w:cs="宋体"/>
          <w:b/>
          <w:sz w:val="32"/>
          <w:u w:val="single"/>
        </w:rPr>
      </w:pPr>
      <w:r>
        <w:rPr>
          <w:rFonts w:hint="eastAsia" w:ascii="宋体" w:hAnsi="宋体" w:eastAsia="宋体" w:cs="宋体"/>
          <w:b/>
          <w:sz w:val="32"/>
        </w:rPr>
        <w:t>项目编号：</w:t>
      </w:r>
      <w:r>
        <w:rPr>
          <w:rFonts w:hint="eastAsia" w:ascii="宋体" w:hAnsi="宋体" w:eastAsia="宋体" w:cs="宋体"/>
          <w:b/>
          <w:sz w:val="32"/>
          <w:u w:val="single"/>
        </w:rPr>
        <w:t xml:space="preserve">                  </w:t>
      </w:r>
    </w:p>
    <w:p w14:paraId="3FCC300F">
      <w:pPr>
        <w:tabs>
          <w:tab w:val="left" w:pos="2410"/>
        </w:tabs>
        <w:autoSpaceDE w:val="0"/>
        <w:autoSpaceDN w:val="0"/>
        <w:adjustRightInd w:val="0"/>
        <w:snapToGrid w:val="0"/>
        <w:spacing w:line="360" w:lineRule="auto"/>
        <w:ind w:firstLine="643" w:firstLineChars="200"/>
        <w:rPr>
          <w:rFonts w:hint="eastAsia" w:ascii="宋体" w:hAnsi="宋体" w:eastAsia="宋体" w:cs="宋体"/>
          <w:b/>
          <w:sz w:val="32"/>
          <w:u w:val="single"/>
        </w:rPr>
      </w:pPr>
      <w:r>
        <w:rPr>
          <w:rFonts w:hint="eastAsia" w:ascii="宋体" w:hAnsi="宋体" w:eastAsia="宋体" w:cs="宋体"/>
          <w:b/>
          <w:sz w:val="32"/>
        </w:rPr>
        <w:t>供 应 商：</w:t>
      </w:r>
      <w:r>
        <w:rPr>
          <w:rFonts w:hint="eastAsia" w:ascii="宋体" w:hAnsi="宋体" w:eastAsia="宋体" w:cs="宋体"/>
          <w:b/>
          <w:sz w:val="32"/>
          <w:u w:val="single"/>
        </w:rPr>
        <w:t xml:space="preserve">                  </w:t>
      </w:r>
    </w:p>
    <w:p w14:paraId="175C97AD">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bookmarkStart w:id="180" w:name="_Toc8037"/>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bookmarkEnd w:id="180"/>
    </w:p>
    <w:p w14:paraId="563394B9">
      <w:pPr>
        <w:widowControl/>
        <w:jc w:val="left"/>
        <w:rPr>
          <w:rFonts w:hint="eastAsia" w:ascii="宋体" w:hAnsi="宋体" w:eastAsia="宋体" w:cs="宋体"/>
          <w:b/>
          <w:sz w:val="28"/>
        </w:rPr>
      </w:pPr>
      <w:r>
        <w:rPr>
          <w:rFonts w:hint="eastAsia" w:ascii="宋体" w:hAnsi="宋体" w:eastAsia="宋体" w:cs="宋体"/>
          <w:b/>
          <w:sz w:val="28"/>
        </w:rPr>
        <w:br w:type="page"/>
      </w:r>
    </w:p>
    <w:p w14:paraId="13DD64FC">
      <w:pPr>
        <w:spacing w:line="360" w:lineRule="auto"/>
        <w:jc w:val="center"/>
        <w:outlineLvl w:val="1"/>
        <w:rPr>
          <w:rFonts w:hint="eastAsia" w:ascii="宋体" w:hAnsi="宋体" w:eastAsia="宋体" w:cs="宋体"/>
          <w:b/>
          <w:sz w:val="24"/>
        </w:rPr>
      </w:pPr>
      <w:bookmarkStart w:id="181" w:name="_Toc461053086"/>
      <w:bookmarkStart w:id="182" w:name="_Toc461056631"/>
      <w:bookmarkStart w:id="183" w:name="_Toc520983587"/>
      <w:bookmarkStart w:id="184" w:name="_Toc5881"/>
      <w:bookmarkStart w:id="185" w:name="_Toc26791"/>
      <w:r>
        <w:rPr>
          <w:rFonts w:hint="eastAsia" w:ascii="宋体" w:hAnsi="宋体" w:eastAsia="宋体" w:cs="宋体"/>
          <w:b/>
          <w:sz w:val="24"/>
        </w:rPr>
        <w:t>一</w:t>
      </w:r>
      <w:bookmarkEnd w:id="181"/>
      <w:bookmarkEnd w:id="182"/>
      <w:r>
        <w:rPr>
          <w:rFonts w:hint="eastAsia" w:ascii="宋体" w:hAnsi="宋体" w:eastAsia="宋体" w:cs="宋体"/>
          <w:b/>
          <w:sz w:val="24"/>
        </w:rPr>
        <w:t>、报价表格式</w:t>
      </w:r>
      <w:bookmarkEnd w:id="183"/>
      <w:bookmarkEnd w:id="184"/>
      <w:bookmarkEnd w:id="185"/>
    </w:p>
    <w:p w14:paraId="2F77E0FA">
      <w:pPr>
        <w:spacing w:before="156" w:beforeLines="50" w:after="156" w:afterLines="50" w:line="360" w:lineRule="auto"/>
        <w:jc w:val="left"/>
        <w:rPr>
          <w:rFonts w:hint="eastAsia" w:ascii="宋体" w:hAnsi="宋体" w:eastAsia="宋体" w:cs="宋体"/>
          <w:b/>
          <w:sz w:val="24"/>
          <w:szCs w:val="28"/>
        </w:rPr>
      </w:pPr>
      <w:r>
        <w:rPr>
          <w:rFonts w:hint="eastAsia" w:ascii="宋体" w:hAnsi="宋体" w:eastAsia="宋体" w:cs="宋体"/>
          <w:b/>
          <w:sz w:val="24"/>
          <w:szCs w:val="28"/>
        </w:rPr>
        <w:t>1-1 报价表</w:t>
      </w:r>
    </w:p>
    <w:p w14:paraId="6840DAAE">
      <w:pPr>
        <w:snapToGrid w:val="0"/>
        <w:spacing w:line="360" w:lineRule="auto"/>
        <w:jc w:val="left"/>
        <w:rPr>
          <w:rFonts w:hint="eastAsia" w:ascii="宋体" w:hAnsi="宋体" w:eastAsia="宋体" w:cs="宋体"/>
          <w:b/>
          <w:color w:val="FF0000"/>
          <w:sz w:val="24"/>
          <w:szCs w:val="28"/>
          <w:u w:val="single"/>
        </w:rPr>
      </w:pPr>
      <w:r>
        <w:rPr>
          <w:rFonts w:hint="eastAsia" w:ascii="宋体" w:hAnsi="宋体" w:eastAsia="宋体" w:cs="宋体"/>
          <w:b/>
          <w:sz w:val="24"/>
          <w:szCs w:val="28"/>
        </w:rPr>
        <w:t>项目名称：</w:t>
      </w:r>
      <w:r>
        <w:rPr>
          <w:rFonts w:hint="eastAsia" w:ascii="宋体" w:hAnsi="宋体" w:eastAsia="宋体" w:cs="宋体"/>
          <w:b/>
          <w:color w:val="FF0000"/>
          <w:sz w:val="24"/>
          <w:szCs w:val="28"/>
          <w:u w:val="single"/>
          <w:lang w:eastAsia="zh-CN"/>
        </w:rPr>
        <w:t>2026年省淮河局、省临淮岗局水闸及堤防监测</w:t>
      </w:r>
      <w:r>
        <w:rPr>
          <w:rFonts w:hint="eastAsia" w:ascii="宋体" w:hAnsi="宋体" w:eastAsia="宋体" w:cs="宋体"/>
          <w:b/>
          <w:color w:val="FF0000"/>
          <w:sz w:val="24"/>
          <w:szCs w:val="28"/>
          <w:u w:val="single"/>
        </w:rPr>
        <w:t>（第   包）</w:t>
      </w:r>
    </w:p>
    <w:p w14:paraId="627FC190">
      <w:pPr>
        <w:snapToGrid w:val="0"/>
        <w:spacing w:after="156" w:afterLines="50" w:line="360" w:lineRule="auto"/>
        <w:jc w:val="left"/>
        <w:rPr>
          <w:rFonts w:hint="eastAsia" w:ascii="宋体" w:hAnsi="宋体" w:eastAsia="宋体" w:cs="宋体"/>
          <w:b/>
          <w:bCs/>
          <w:sz w:val="24"/>
          <w:szCs w:val="28"/>
          <w:u w:val="single"/>
          <w:lang w:val="en-US" w:eastAsia="zh-CN"/>
        </w:rPr>
      </w:pPr>
      <w:r>
        <w:rPr>
          <w:rFonts w:hint="eastAsia" w:ascii="宋体" w:hAnsi="宋体" w:eastAsia="宋体" w:cs="宋体"/>
          <w:b/>
          <w:sz w:val="24"/>
          <w:szCs w:val="28"/>
        </w:rPr>
        <w:t>项目编号：</w:t>
      </w:r>
      <w:r>
        <w:rPr>
          <w:rFonts w:hint="eastAsia" w:ascii="宋体" w:hAnsi="宋体" w:eastAsia="宋体" w:cs="宋体"/>
          <w:b/>
          <w:sz w:val="24"/>
          <w:szCs w:val="28"/>
          <w:u w:val="single"/>
          <w:lang w:val="en-US" w:eastAsia="zh-CN"/>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979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6AAE21">
            <w:pPr>
              <w:spacing w:line="360" w:lineRule="auto"/>
              <w:jc w:val="center"/>
              <w:rPr>
                <w:rFonts w:hint="eastAsia" w:ascii="宋体" w:hAnsi="宋体" w:eastAsia="宋体" w:cs="宋体"/>
                <w:b/>
                <w:sz w:val="24"/>
              </w:rPr>
            </w:pPr>
            <w:r>
              <w:rPr>
                <w:rFonts w:hint="eastAsia" w:ascii="宋体" w:hAnsi="宋体" w:eastAsia="宋体" w:cs="宋体"/>
                <w:b/>
                <w:sz w:val="24"/>
              </w:rPr>
              <w:t>供应商名称</w:t>
            </w:r>
          </w:p>
        </w:tc>
        <w:tc>
          <w:tcPr>
            <w:tcW w:w="3557" w:type="pct"/>
            <w:tcBorders>
              <w:left w:val="single" w:color="auto" w:sz="4" w:space="0"/>
            </w:tcBorders>
          </w:tcPr>
          <w:p w14:paraId="1DA6F7B7">
            <w:pPr>
              <w:spacing w:line="360" w:lineRule="auto"/>
              <w:rPr>
                <w:rFonts w:hint="eastAsia" w:ascii="宋体" w:hAnsi="宋体" w:eastAsia="宋体" w:cs="宋体"/>
                <w:b/>
                <w:sz w:val="24"/>
              </w:rPr>
            </w:pPr>
          </w:p>
        </w:tc>
      </w:tr>
      <w:tr w14:paraId="0D17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58A916">
            <w:pPr>
              <w:spacing w:line="360" w:lineRule="exact"/>
              <w:jc w:val="center"/>
              <w:rPr>
                <w:rFonts w:hint="eastAsia" w:ascii="宋体" w:hAnsi="宋体" w:eastAsia="宋体" w:cs="宋体"/>
                <w:b/>
                <w:sz w:val="24"/>
              </w:rPr>
            </w:pPr>
            <w:r>
              <w:rPr>
                <w:rFonts w:hint="eastAsia" w:ascii="宋体" w:hAnsi="宋体" w:eastAsia="宋体" w:cs="宋体"/>
                <w:b/>
                <w:sz w:val="24"/>
              </w:rPr>
              <w:t>磋商范围</w:t>
            </w:r>
          </w:p>
        </w:tc>
        <w:tc>
          <w:tcPr>
            <w:tcW w:w="3557" w:type="pct"/>
            <w:tcBorders>
              <w:left w:val="single" w:color="auto" w:sz="4" w:space="0"/>
            </w:tcBorders>
            <w:vAlign w:val="center"/>
          </w:tcPr>
          <w:p w14:paraId="185B995F">
            <w:pPr>
              <w:widowControl/>
              <w:spacing w:line="360" w:lineRule="exact"/>
              <w:rPr>
                <w:rFonts w:hint="eastAsia" w:ascii="宋体" w:hAnsi="宋体" w:eastAsia="宋体" w:cs="宋体"/>
                <w:b/>
                <w:sz w:val="24"/>
              </w:rPr>
            </w:pPr>
            <w:r>
              <w:rPr>
                <w:rFonts w:hint="eastAsia" w:ascii="宋体" w:hAnsi="宋体" w:eastAsia="宋体" w:cs="宋体"/>
                <w:sz w:val="24"/>
                <w:szCs w:val="28"/>
              </w:rPr>
              <w:t xml:space="preserve">全部 </w:t>
            </w:r>
          </w:p>
        </w:tc>
      </w:tr>
      <w:tr w14:paraId="0236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A7B0DE6">
            <w:pPr>
              <w:spacing w:line="360" w:lineRule="auto"/>
              <w:jc w:val="center"/>
              <w:rPr>
                <w:rFonts w:hint="eastAsia" w:ascii="宋体" w:hAnsi="宋体" w:eastAsia="宋体" w:cs="宋体"/>
                <w:b/>
                <w:sz w:val="24"/>
              </w:rPr>
            </w:pPr>
            <w:r>
              <w:rPr>
                <w:rFonts w:hint="eastAsia" w:ascii="宋体" w:hAnsi="宋体" w:eastAsia="宋体" w:cs="宋体"/>
                <w:b/>
                <w:sz w:val="24"/>
              </w:rPr>
              <w:t>报价</w:t>
            </w:r>
          </w:p>
          <w:p w14:paraId="3DD12119">
            <w:pPr>
              <w:spacing w:line="360" w:lineRule="auto"/>
              <w:jc w:val="center"/>
              <w:rPr>
                <w:rFonts w:hint="eastAsia" w:ascii="宋体" w:hAnsi="宋体" w:eastAsia="宋体" w:cs="宋体"/>
                <w:b/>
                <w:sz w:val="24"/>
              </w:rPr>
            </w:pPr>
            <w:r>
              <w:rPr>
                <w:rFonts w:hint="eastAsia" w:ascii="宋体" w:hAnsi="宋体" w:eastAsia="宋体" w:cs="宋体"/>
                <w:b/>
                <w:sz w:val="24"/>
              </w:rPr>
              <w:t>（详见备注说明）</w:t>
            </w:r>
          </w:p>
        </w:tc>
        <w:tc>
          <w:tcPr>
            <w:tcW w:w="3557" w:type="pct"/>
            <w:vAlign w:val="center"/>
          </w:tcPr>
          <w:p w14:paraId="1AEF8F2E">
            <w:pPr>
              <w:snapToGrid w:val="0"/>
              <w:spacing w:line="360" w:lineRule="auto"/>
              <w:rPr>
                <w:rFonts w:hint="eastAsia" w:ascii="宋体" w:hAnsi="宋体" w:eastAsia="宋体" w:cs="宋体"/>
                <w:sz w:val="24"/>
                <w:szCs w:val="28"/>
              </w:rPr>
            </w:pPr>
          </w:p>
          <w:p w14:paraId="73549C0B">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0FF34504">
            <w:pPr>
              <w:spacing w:line="360" w:lineRule="auto"/>
              <w:ind w:right="-670"/>
              <w:rPr>
                <w:rFonts w:hint="eastAsia" w:ascii="宋体" w:hAnsi="宋体" w:eastAsia="宋体" w:cs="宋体"/>
                <w:sz w:val="24"/>
              </w:rPr>
            </w:pPr>
            <w:r>
              <w:rPr>
                <w:rFonts w:hint="eastAsia" w:ascii="宋体" w:hAnsi="宋体" w:eastAsia="宋体" w:cs="宋体"/>
                <w:bCs/>
                <w:sz w:val="24"/>
                <w:szCs w:val="24"/>
              </w:rPr>
              <w:t>小写</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元）</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p>
          <w:p w14:paraId="02AB570A">
            <w:pPr>
              <w:snapToGrid w:val="0"/>
              <w:spacing w:line="360" w:lineRule="auto"/>
              <w:rPr>
                <w:rFonts w:hint="eastAsia" w:ascii="宋体" w:hAnsi="宋体" w:eastAsia="宋体" w:cs="宋体"/>
                <w:b/>
                <w:sz w:val="24"/>
              </w:rPr>
            </w:pPr>
          </w:p>
        </w:tc>
      </w:tr>
      <w:tr w14:paraId="676B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BFDF4CE">
            <w:pPr>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c>
          <w:tcPr>
            <w:tcW w:w="3557" w:type="pct"/>
          </w:tcPr>
          <w:p w14:paraId="28A54598">
            <w:pPr>
              <w:spacing w:line="360" w:lineRule="auto"/>
              <w:rPr>
                <w:rFonts w:hint="eastAsia" w:ascii="宋体" w:hAnsi="宋体" w:eastAsia="宋体" w:cs="宋体"/>
                <w:b/>
                <w:sz w:val="24"/>
              </w:rPr>
            </w:pPr>
          </w:p>
        </w:tc>
      </w:tr>
    </w:tbl>
    <w:p w14:paraId="278D6ABD">
      <w:pPr>
        <w:spacing w:line="360" w:lineRule="auto"/>
        <w:ind w:firstLine="4800" w:firstLineChars="2000"/>
        <w:rPr>
          <w:rFonts w:hint="eastAsia" w:ascii="宋体" w:hAnsi="宋体" w:eastAsia="宋体" w:cs="宋体"/>
          <w:sz w:val="24"/>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77449E29">
      <w:pPr>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1E74925E">
      <w:pPr>
        <w:adjustRightInd w:val="0"/>
        <w:snapToGrid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注：</w:t>
      </w:r>
    </w:p>
    <w:p w14:paraId="791FE335">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szCs w:val="28"/>
        </w:rPr>
        <w:t>1.本表内容根据磋商文件要求包括了服务及其配套的设计、试验、保险、税费以及培训、技术服务（包括技术资料、图纸的提供）质保期内的售后服务保障等所有费用。</w:t>
      </w:r>
    </w:p>
    <w:p w14:paraId="575C57E5">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rPr>
        <w:t>2.特殊事项在备注中注明。</w:t>
      </w:r>
    </w:p>
    <w:p w14:paraId="0CA4DEE9">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rPr>
        <w:t>3.表中大写金额与小写金额不一致的，以大写金额为准。</w:t>
      </w:r>
    </w:p>
    <w:p w14:paraId="2C0847A5">
      <w:pPr>
        <w:widowControl/>
        <w:jc w:val="left"/>
        <w:rPr>
          <w:rFonts w:hint="eastAsia" w:ascii="宋体" w:hAnsi="宋体" w:eastAsia="宋体" w:cs="宋体"/>
          <w:b/>
          <w:bCs/>
          <w:sz w:val="24"/>
          <w:szCs w:val="28"/>
        </w:rPr>
      </w:pPr>
      <w:r>
        <w:rPr>
          <w:rFonts w:hint="eastAsia" w:ascii="宋体" w:hAnsi="宋体" w:eastAsia="宋体" w:cs="宋体"/>
          <w:b/>
          <w:bCs/>
          <w:sz w:val="24"/>
          <w:szCs w:val="28"/>
        </w:rPr>
        <w:br w:type="page"/>
      </w:r>
    </w:p>
    <w:p w14:paraId="5C0DF97D">
      <w:pPr>
        <w:spacing w:before="156" w:beforeLines="50" w:after="156" w:afterLines="50" w:line="360" w:lineRule="auto"/>
        <w:jc w:val="left"/>
        <w:rPr>
          <w:rFonts w:hint="eastAsia" w:ascii="宋体" w:hAnsi="宋体" w:eastAsia="宋体" w:cs="宋体"/>
          <w:b/>
          <w:sz w:val="24"/>
          <w:szCs w:val="28"/>
        </w:rPr>
      </w:pPr>
      <w:r>
        <w:rPr>
          <w:rFonts w:hint="eastAsia" w:ascii="宋体" w:hAnsi="宋体" w:eastAsia="宋体" w:cs="宋体"/>
          <w:b/>
          <w:sz w:val="24"/>
          <w:szCs w:val="28"/>
        </w:rPr>
        <w:t>1-2 分项报价明细表</w:t>
      </w:r>
    </w:p>
    <w:p w14:paraId="201C6938">
      <w:pPr>
        <w:spacing w:before="156" w:beforeLines="50" w:after="156" w:afterLines="50" w:line="360" w:lineRule="auto"/>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第1包淮河局</w:t>
      </w:r>
    </w:p>
    <w:tbl>
      <w:tblPr>
        <w:tblStyle w:val="24"/>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296"/>
        <w:gridCol w:w="1179"/>
        <w:gridCol w:w="3040"/>
        <w:gridCol w:w="968"/>
        <w:gridCol w:w="968"/>
        <w:gridCol w:w="1108"/>
      </w:tblGrid>
      <w:tr w14:paraId="2D6B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716" w:type="dxa"/>
            <w:vAlign w:val="center"/>
          </w:tcPr>
          <w:p w14:paraId="1FC7ECAC">
            <w:pPr>
              <w:snapToGrid w:val="0"/>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管理单位</w:t>
            </w:r>
          </w:p>
        </w:tc>
        <w:tc>
          <w:tcPr>
            <w:tcW w:w="1296" w:type="dxa"/>
            <w:vAlign w:val="center"/>
          </w:tcPr>
          <w:p w14:paraId="53CF4565">
            <w:pPr>
              <w:snapToGrid w:val="0"/>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工程名称</w:t>
            </w:r>
          </w:p>
        </w:tc>
        <w:tc>
          <w:tcPr>
            <w:tcW w:w="1179" w:type="dxa"/>
            <w:vAlign w:val="center"/>
          </w:tcPr>
          <w:p w14:paraId="51A61566">
            <w:pPr>
              <w:snapToGrid w:val="0"/>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工程规模</w:t>
            </w:r>
          </w:p>
        </w:tc>
        <w:tc>
          <w:tcPr>
            <w:tcW w:w="3040" w:type="dxa"/>
            <w:vAlign w:val="center"/>
          </w:tcPr>
          <w:p w14:paraId="6B8FBE7F">
            <w:pPr>
              <w:snapToGrid w:val="0"/>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观测内容及频次</w:t>
            </w:r>
          </w:p>
        </w:tc>
        <w:tc>
          <w:tcPr>
            <w:tcW w:w="968" w:type="dxa"/>
            <w:vAlign w:val="center"/>
          </w:tcPr>
          <w:p w14:paraId="37BDB853">
            <w:pPr>
              <w:snapToGrid w:val="0"/>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单价</w:t>
            </w:r>
          </w:p>
          <w:p w14:paraId="0A62A4B3">
            <w:pPr>
              <w:snapToGrid w:val="0"/>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（元）</w:t>
            </w:r>
          </w:p>
        </w:tc>
        <w:tc>
          <w:tcPr>
            <w:tcW w:w="968" w:type="dxa"/>
            <w:vAlign w:val="center"/>
          </w:tcPr>
          <w:p w14:paraId="3D5E6318">
            <w:pPr>
              <w:snapToGrid w:val="0"/>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合价</w:t>
            </w:r>
          </w:p>
          <w:p w14:paraId="2EF4A0DF">
            <w:pPr>
              <w:snapToGrid w:val="0"/>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（元）</w:t>
            </w:r>
          </w:p>
        </w:tc>
        <w:tc>
          <w:tcPr>
            <w:tcW w:w="1108" w:type="dxa"/>
            <w:vAlign w:val="center"/>
          </w:tcPr>
          <w:p w14:paraId="79CC4B26">
            <w:pPr>
              <w:snapToGrid w:val="0"/>
              <w:ind w:left="0" w:leftChars="0" w:right="0" w:rightChars="0" w:firstLine="0" w:firstLineChars="0"/>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备注</w:t>
            </w:r>
          </w:p>
        </w:tc>
      </w:tr>
      <w:tr w14:paraId="194D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1E12CD9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王家坝闸管理处</w:t>
            </w:r>
          </w:p>
        </w:tc>
        <w:tc>
          <w:tcPr>
            <w:tcW w:w="1296" w:type="dxa"/>
            <w:vAlign w:val="center"/>
          </w:tcPr>
          <w:p w14:paraId="5266EE2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王家坝闸</w:t>
            </w:r>
          </w:p>
        </w:tc>
        <w:tc>
          <w:tcPr>
            <w:tcW w:w="1179" w:type="dxa"/>
            <w:vAlign w:val="center"/>
          </w:tcPr>
          <w:p w14:paraId="51CC350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大（2）型水闸</w:t>
            </w:r>
          </w:p>
        </w:tc>
        <w:tc>
          <w:tcPr>
            <w:tcW w:w="3040" w:type="dxa"/>
            <w:vAlign w:val="center"/>
          </w:tcPr>
          <w:p w14:paraId="221A161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1）垂直位移：观测1次，监测点36个；垂直位移工作基点校核1次</w:t>
            </w:r>
          </w:p>
          <w:p w14:paraId="5DCF63E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2）上下游河床冲刷和淤积：观测1次；</w:t>
            </w:r>
          </w:p>
          <w:p w14:paraId="78394B9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3）水位尺及测压管管口高程校核1次；</w:t>
            </w:r>
          </w:p>
          <w:p w14:paraId="4914FD0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4）水平位移：观测1次，监测点18个；</w:t>
            </w:r>
          </w:p>
        </w:tc>
        <w:tc>
          <w:tcPr>
            <w:tcW w:w="968" w:type="dxa"/>
            <w:vAlign w:val="center"/>
          </w:tcPr>
          <w:p w14:paraId="453BB90E">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1F371AD1">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200C7767">
            <w:pPr>
              <w:snapToGrid w:val="0"/>
              <w:ind w:left="0" w:leftChars="0" w:right="0" w:rightChars="0" w:firstLine="0" w:firstLineChars="0"/>
              <w:jc w:val="right"/>
              <w:rPr>
                <w:rFonts w:hint="eastAsia" w:ascii="宋体" w:hAnsi="宋体" w:eastAsia="宋体" w:cs="宋体"/>
                <w:b/>
                <w:bCs/>
                <w:color w:val="FF0000"/>
                <w:szCs w:val="21"/>
              </w:rPr>
            </w:pPr>
            <w:bookmarkStart w:id="186" w:name="OLE_LINK14"/>
            <w:r>
              <w:rPr>
                <w:rFonts w:hint="eastAsia" w:ascii="宋体" w:hAnsi="宋体" w:eastAsia="宋体" w:cs="宋体"/>
                <w:b/>
                <w:bCs/>
                <w:color w:val="FF0000"/>
                <w:szCs w:val="21"/>
              </w:rPr>
              <w:t>分项限价3</w:t>
            </w:r>
            <w:r>
              <w:rPr>
                <w:rFonts w:hint="eastAsia" w:ascii="宋体" w:hAnsi="宋体" w:eastAsia="宋体" w:cs="宋体"/>
                <w:b/>
                <w:bCs/>
                <w:color w:val="FF0000"/>
                <w:szCs w:val="21"/>
              </w:rPr>
              <w:t>.3</w:t>
            </w:r>
            <w:r>
              <w:rPr>
                <w:rFonts w:hint="eastAsia" w:ascii="宋体" w:hAnsi="宋体" w:eastAsia="宋体" w:cs="宋体"/>
                <w:b/>
                <w:bCs/>
                <w:color w:val="FF0000"/>
                <w:szCs w:val="21"/>
              </w:rPr>
              <w:t>万元</w:t>
            </w:r>
            <w:bookmarkEnd w:id="186"/>
          </w:p>
        </w:tc>
      </w:tr>
      <w:tr w14:paraId="2A3D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4C9E57B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曹台闸管理处</w:t>
            </w:r>
          </w:p>
        </w:tc>
        <w:tc>
          <w:tcPr>
            <w:tcW w:w="1296" w:type="dxa"/>
            <w:vAlign w:val="center"/>
          </w:tcPr>
          <w:p w14:paraId="7199089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曹台闸</w:t>
            </w:r>
          </w:p>
        </w:tc>
        <w:tc>
          <w:tcPr>
            <w:tcW w:w="1179" w:type="dxa"/>
            <w:vAlign w:val="center"/>
          </w:tcPr>
          <w:p w14:paraId="16EC3AC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大（2）型水闸</w:t>
            </w:r>
          </w:p>
        </w:tc>
        <w:tc>
          <w:tcPr>
            <w:tcW w:w="3040" w:type="dxa"/>
            <w:vAlign w:val="center"/>
          </w:tcPr>
          <w:p w14:paraId="7F98236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垂直位移：观测1次，监测点84个；</w:t>
            </w:r>
          </w:p>
          <w:p w14:paraId="0A94412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上下游河床冲刷和淤积：观测1次；</w:t>
            </w:r>
          </w:p>
          <w:p w14:paraId="74952BE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水位尺及测压管管口高程校核</w:t>
            </w:r>
            <w:r>
              <w:rPr>
                <w:rFonts w:hint="eastAsia" w:ascii="宋体" w:hAnsi="宋体" w:eastAsia="宋体" w:cs="宋体"/>
                <w:color w:val="000000" w:themeColor="text1"/>
                <w:szCs w:val="21"/>
                <w14:textFill>
                  <w14:solidFill>
                    <w14:schemeClr w14:val="tx1"/>
                  </w14:solidFill>
                </w14:textFill>
              </w:rPr>
              <w:t>1次</w:t>
            </w:r>
            <w:r>
              <w:rPr>
                <w:rFonts w:hint="eastAsia" w:ascii="宋体" w:hAnsi="宋体" w:eastAsia="宋体" w:cs="宋体"/>
                <w:color w:val="000000" w:themeColor="text1"/>
                <w:szCs w:val="21"/>
                <w14:textFill>
                  <w14:solidFill>
                    <w14:schemeClr w14:val="tx1"/>
                  </w14:solidFill>
                </w14:textFill>
              </w:rPr>
              <w:t>；</w:t>
            </w:r>
          </w:p>
          <w:p w14:paraId="19C1D42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水平位移：观测1次，监测点20个</w:t>
            </w:r>
            <w:r>
              <w:rPr>
                <w:rFonts w:hint="eastAsia" w:ascii="宋体" w:hAnsi="宋体" w:eastAsia="宋体" w:cs="宋体"/>
                <w:color w:val="000000" w:themeColor="text1"/>
                <w:szCs w:val="21"/>
                <w14:textFill>
                  <w14:solidFill>
                    <w14:schemeClr w14:val="tx1"/>
                  </w14:solidFill>
                </w14:textFill>
              </w:rPr>
              <w:t>；</w:t>
            </w:r>
          </w:p>
        </w:tc>
        <w:tc>
          <w:tcPr>
            <w:tcW w:w="968" w:type="dxa"/>
            <w:vAlign w:val="center"/>
          </w:tcPr>
          <w:p w14:paraId="3BF4754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2C43AC23">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3B2F8CE9">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分项限价3</w:t>
            </w:r>
            <w:r>
              <w:rPr>
                <w:rFonts w:hint="eastAsia" w:ascii="宋体" w:hAnsi="宋体" w:eastAsia="宋体" w:cs="宋体"/>
                <w:b/>
                <w:bCs/>
                <w:color w:val="FF0000"/>
                <w:szCs w:val="21"/>
              </w:rPr>
              <w:t>.3</w:t>
            </w:r>
            <w:r>
              <w:rPr>
                <w:rFonts w:hint="eastAsia" w:ascii="宋体" w:hAnsi="宋体" w:eastAsia="宋体" w:cs="宋体"/>
                <w:b/>
                <w:bCs/>
                <w:color w:val="FF0000"/>
                <w:szCs w:val="21"/>
              </w:rPr>
              <w:t>万元</w:t>
            </w:r>
          </w:p>
        </w:tc>
      </w:tr>
      <w:tr w14:paraId="508A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1AC0D58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东淝闸管理处</w:t>
            </w:r>
          </w:p>
        </w:tc>
        <w:tc>
          <w:tcPr>
            <w:tcW w:w="1296" w:type="dxa"/>
            <w:vAlign w:val="center"/>
          </w:tcPr>
          <w:p w14:paraId="72CC1DB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东淝闸</w:t>
            </w:r>
          </w:p>
        </w:tc>
        <w:tc>
          <w:tcPr>
            <w:tcW w:w="1179" w:type="dxa"/>
            <w:vAlign w:val="center"/>
          </w:tcPr>
          <w:p w14:paraId="1B9BE8F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大（2）型水闸</w:t>
            </w:r>
          </w:p>
        </w:tc>
        <w:tc>
          <w:tcPr>
            <w:tcW w:w="3040" w:type="dxa"/>
            <w:vAlign w:val="center"/>
          </w:tcPr>
          <w:p w14:paraId="47461C1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垂直位移：观测1次，监测点76个；</w:t>
            </w:r>
          </w:p>
          <w:p w14:paraId="67B03A3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上下游河床冲刷和淤积：观测1次；</w:t>
            </w:r>
          </w:p>
          <w:p w14:paraId="6EB6B2C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水位尺及测压管管口高程校核</w:t>
            </w:r>
            <w:r>
              <w:rPr>
                <w:rFonts w:hint="eastAsia" w:ascii="宋体" w:hAnsi="宋体" w:eastAsia="宋体" w:cs="宋体"/>
                <w:color w:val="000000" w:themeColor="text1"/>
                <w:szCs w:val="21"/>
                <w14:textFill>
                  <w14:solidFill>
                    <w14:schemeClr w14:val="tx1"/>
                  </w14:solidFill>
                </w14:textFill>
              </w:rPr>
              <w:t>1次；</w:t>
            </w:r>
          </w:p>
          <w:p w14:paraId="71F5C28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水平位移：观测1次，监测点16个</w:t>
            </w:r>
            <w:r>
              <w:rPr>
                <w:rFonts w:hint="eastAsia" w:ascii="宋体" w:hAnsi="宋体" w:eastAsia="宋体" w:cs="宋体"/>
                <w:color w:val="000000" w:themeColor="text1"/>
                <w:szCs w:val="21"/>
                <w14:textFill>
                  <w14:solidFill>
                    <w14:schemeClr w14:val="tx1"/>
                  </w14:solidFill>
                </w14:textFill>
              </w:rPr>
              <w:t>；</w:t>
            </w:r>
          </w:p>
        </w:tc>
        <w:tc>
          <w:tcPr>
            <w:tcW w:w="968" w:type="dxa"/>
            <w:vAlign w:val="center"/>
          </w:tcPr>
          <w:p w14:paraId="7C358D09">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2D708F2D">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52318365">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分项限价3</w:t>
            </w:r>
            <w:r>
              <w:rPr>
                <w:rFonts w:hint="eastAsia" w:ascii="宋体" w:hAnsi="宋体" w:eastAsia="宋体" w:cs="宋体"/>
                <w:b/>
                <w:bCs/>
                <w:color w:val="FF0000"/>
                <w:szCs w:val="21"/>
              </w:rPr>
              <w:t>.3</w:t>
            </w:r>
            <w:r>
              <w:rPr>
                <w:rFonts w:hint="eastAsia" w:ascii="宋体" w:hAnsi="宋体" w:eastAsia="宋体" w:cs="宋体"/>
                <w:b/>
                <w:bCs/>
                <w:color w:val="FF0000"/>
                <w:szCs w:val="21"/>
              </w:rPr>
              <w:t>万元</w:t>
            </w:r>
          </w:p>
        </w:tc>
      </w:tr>
      <w:tr w14:paraId="389B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6EB240E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东湖闸管理处</w:t>
            </w:r>
          </w:p>
        </w:tc>
        <w:tc>
          <w:tcPr>
            <w:tcW w:w="1296" w:type="dxa"/>
            <w:vAlign w:val="center"/>
          </w:tcPr>
          <w:p w14:paraId="4771DE7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城东湖闸</w:t>
            </w:r>
          </w:p>
        </w:tc>
        <w:tc>
          <w:tcPr>
            <w:tcW w:w="1179" w:type="dxa"/>
            <w:vAlign w:val="center"/>
          </w:tcPr>
          <w:p w14:paraId="766FC28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大（2）型水闸</w:t>
            </w:r>
          </w:p>
        </w:tc>
        <w:tc>
          <w:tcPr>
            <w:tcW w:w="3040" w:type="dxa"/>
            <w:vAlign w:val="center"/>
          </w:tcPr>
          <w:p w14:paraId="3885E22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垂直位移：观测1次，监测点116个；</w:t>
            </w:r>
          </w:p>
          <w:p w14:paraId="0342900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上下游河床冲刷和淤积：观测1次；</w:t>
            </w:r>
          </w:p>
          <w:p w14:paraId="2B9BE81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水位尺及测压管管口高程校核</w:t>
            </w:r>
            <w:r>
              <w:rPr>
                <w:rFonts w:hint="eastAsia" w:ascii="宋体" w:hAnsi="宋体" w:eastAsia="宋体" w:cs="宋体"/>
                <w:color w:val="000000" w:themeColor="text1"/>
                <w:szCs w:val="21"/>
                <w14:textFill>
                  <w14:solidFill>
                    <w14:schemeClr w14:val="tx1"/>
                  </w14:solidFill>
                </w14:textFill>
              </w:rPr>
              <w:t>1次；</w:t>
            </w:r>
          </w:p>
          <w:p w14:paraId="1723466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水平位移：观测1次，监测点19个。</w:t>
            </w:r>
          </w:p>
        </w:tc>
        <w:tc>
          <w:tcPr>
            <w:tcW w:w="968" w:type="dxa"/>
            <w:vAlign w:val="center"/>
          </w:tcPr>
          <w:p w14:paraId="3F51711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326BEFEC">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71DFFA89">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分项限价3</w:t>
            </w:r>
            <w:r>
              <w:rPr>
                <w:rFonts w:hint="eastAsia" w:ascii="宋体" w:hAnsi="宋体" w:eastAsia="宋体" w:cs="宋体"/>
                <w:b/>
                <w:bCs/>
                <w:color w:val="FF0000"/>
                <w:szCs w:val="21"/>
              </w:rPr>
              <w:t>.3</w:t>
            </w:r>
            <w:r>
              <w:rPr>
                <w:rFonts w:hint="eastAsia" w:ascii="宋体" w:hAnsi="宋体" w:eastAsia="宋体" w:cs="宋体"/>
                <w:b/>
                <w:bCs/>
                <w:color w:val="FF0000"/>
                <w:szCs w:val="21"/>
              </w:rPr>
              <w:t>万元</w:t>
            </w:r>
          </w:p>
        </w:tc>
      </w:tr>
      <w:tr w14:paraId="5B0F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3A5BDCB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阜阳闸管理处</w:t>
            </w:r>
          </w:p>
        </w:tc>
        <w:tc>
          <w:tcPr>
            <w:tcW w:w="1296" w:type="dxa"/>
            <w:vAlign w:val="center"/>
          </w:tcPr>
          <w:p w14:paraId="712E3D1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阜阳闸</w:t>
            </w:r>
          </w:p>
        </w:tc>
        <w:tc>
          <w:tcPr>
            <w:tcW w:w="1179" w:type="dxa"/>
            <w:vAlign w:val="center"/>
          </w:tcPr>
          <w:p w14:paraId="15EA0CB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大（2）型水闸</w:t>
            </w:r>
          </w:p>
        </w:tc>
        <w:tc>
          <w:tcPr>
            <w:tcW w:w="3040" w:type="dxa"/>
            <w:vAlign w:val="center"/>
          </w:tcPr>
          <w:p w14:paraId="1C6AF28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1）垂直位移：观测2次，（监测点不少于56个、工作基点不少于2个）/次；</w:t>
            </w:r>
          </w:p>
          <w:p w14:paraId="4DE673A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2）上下游河床冲刷和淤积：观测2次；</w:t>
            </w:r>
          </w:p>
          <w:p w14:paraId="1CF0261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3）水位尺及测压管管口高程校核2次；</w:t>
            </w:r>
          </w:p>
          <w:p w14:paraId="584044C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4）水平位移：观测2次，监测点不少于18个/次；</w:t>
            </w:r>
          </w:p>
        </w:tc>
        <w:tc>
          <w:tcPr>
            <w:tcW w:w="968" w:type="dxa"/>
            <w:vAlign w:val="center"/>
          </w:tcPr>
          <w:p w14:paraId="349CAA5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793FB01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1B5305B9">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6</w:t>
            </w:r>
            <w:r>
              <w:rPr>
                <w:rFonts w:hint="eastAsia" w:ascii="宋体" w:hAnsi="宋体" w:eastAsia="宋体" w:cs="宋体"/>
                <w:b/>
                <w:bCs/>
                <w:color w:val="FF0000"/>
                <w:szCs w:val="21"/>
              </w:rPr>
              <w:t>万元，具体点位数量位置以合同甲方要求为准</w:t>
            </w:r>
          </w:p>
        </w:tc>
      </w:tr>
      <w:tr w14:paraId="4390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76F7039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颍上闸管理处</w:t>
            </w:r>
          </w:p>
        </w:tc>
        <w:tc>
          <w:tcPr>
            <w:tcW w:w="1296" w:type="dxa"/>
            <w:vAlign w:val="center"/>
          </w:tcPr>
          <w:p w14:paraId="7D52B52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颍上闸</w:t>
            </w:r>
          </w:p>
        </w:tc>
        <w:tc>
          <w:tcPr>
            <w:tcW w:w="1179" w:type="dxa"/>
            <w:vAlign w:val="center"/>
          </w:tcPr>
          <w:p w14:paraId="68FCF45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大（2）型水闸</w:t>
            </w:r>
          </w:p>
        </w:tc>
        <w:tc>
          <w:tcPr>
            <w:tcW w:w="3040" w:type="dxa"/>
            <w:vAlign w:val="center"/>
          </w:tcPr>
          <w:p w14:paraId="4B36464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垂直位移：观测1次，监测点98个；</w:t>
            </w:r>
          </w:p>
          <w:p w14:paraId="7C32229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上下游河床冲刷和淤积：观测1次；</w:t>
            </w:r>
          </w:p>
          <w:p w14:paraId="2A66328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水位尺及测压管管口高程校核</w:t>
            </w:r>
            <w:r>
              <w:rPr>
                <w:rFonts w:hint="eastAsia" w:ascii="宋体" w:hAnsi="宋体" w:eastAsia="宋体" w:cs="宋体"/>
                <w:color w:val="000000" w:themeColor="text1"/>
                <w:szCs w:val="21"/>
                <w14:textFill>
                  <w14:solidFill>
                    <w14:schemeClr w14:val="tx1"/>
                  </w14:solidFill>
                </w14:textFill>
              </w:rPr>
              <w:t>1次；</w:t>
            </w:r>
          </w:p>
          <w:p w14:paraId="2DAC607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水平位移：观测1次，监测点29个。</w:t>
            </w:r>
          </w:p>
        </w:tc>
        <w:tc>
          <w:tcPr>
            <w:tcW w:w="968" w:type="dxa"/>
            <w:vAlign w:val="center"/>
          </w:tcPr>
          <w:p w14:paraId="48FEB59D">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6E8A1AD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43342C34">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分项限价3</w:t>
            </w:r>
            <w:r>
              <w:rPr>
                <w:rFonts w:hint="eastAsia" w:ascii="宋体" w:hAnsi="宋体" w:eastAsia="宋体" w:cs="宋体"/>
                <w:b/>
                <w:bCs/>
                <w:color w:val="FF0000"/>
                <w:szCs w:val="21"/>
              </w:rPr>
              <w:t>.3</w:t>
            </w:r>
            <w:r>
              <w:rPr>
                <w:rFonts w:hint="eastAsia" w:ascii="宋体" w:hAnsi="宋体" w:eastAsia="宋体" w:cs="宋体"/>
                <w:b/>
                <w:bCs/>
                <w:color w:val="FF0000"/>
                <w:szCs w:val="21"/>
              </w:rPr>
              <w:t>万元</w:t>
            </w:r>
          </w:p>
        </w:tc>
      </w:tr>
      <w:tr w14:paraId="6B0E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1EF171E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蒙城闸管理处</w:t>
            </w:r>
          </w:p>
        </w:tc>
        <w:tc>
          <w:tcPr>
            <w:tcW w:w="1296" w:type="dxa"/>
            <w:vAlign w:val="center"/>
          </w:tcPr>
          <w:p w14:paraId="2FAC01E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蒙城闸</w:t>
            </w:r>
          </w:p>
        </w:tc>
        <w:tc>
          <w:tcPr>
            <w:tcW w:w="1179" w:type="dxa"/>
            <w:vAlign w:val="center"/>
          </w:tcPr>
          <w:p w14:paraId="74D1402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大（2）型水闸</w:t>
            </w:r>
          </w:p>
        </w:tc>
        <w:tc>
          <w:tcPr>
            <w:tcW w:w="3040" w:type="dxa"/>
            <w:vAlign w:val="center"/>
          </w:tcPr>
          <w:p w14:paraId="1A97C89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垂直位移：观测1次，监测点150个，其中节制闸64个，分洪闸43个，船闸43个；</w:t>
            </w:r>
          </w:p>
          <w:p w14:paraId="4BF7961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上下游河床冲刷和淤积：观测1次，其中</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szCs w:val="21"/>
                <w14:textFill>
                  <w14:solidFill>
                    <w14:schemeClr w14:val="tx1"/>
                  </w14:solidFill>
                </w14:textFill>
              </w:rPr>
              <w:t>洪闸上游与下游各监测5条；节制闸上游监测5条，下游则监测6条，共计21条；</w:t>
            </w:r>
          </w:p>
          <w:p w14:paraId="7445912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水位尺及测压管管口高程校核</w:t>
            </w:r>
            <w:r>
              <w:rPr>
                <w:rFonts w:hint="eastAsia" w:ascii="宋体" w:hAnsi="宋体" w:eastAsia="宋体" w:cs="宋体"/>
                <w:color w:val="000000" w:themeColor="text1"/>
                <w:szCs w:val="21"/>
                <w14:textFill>
                  <w14:solidFill>
                    <w14:schemeClr w14:val="tx1"/>
                  </w14:solidFill>
                </w14:textFill>
              </w:rPr>
              <w:t>；</w:t>
            </w:r>
          </w:p>
        </w:tc>
        <w:tc>
          <w:tcPr>
            <w:tcW w:w="968" w:type="dxa"/>
            <w:vAlign w:val="center"/>
          </w:tcPr>
          <w:p w14:paraId="2BDF3441">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2CE4716A">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52DFB424">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6</w:t>
            </w:r>
            <w:r>
              <w:rPr>
                <w:rFonts w:hint="eastAsia" w:ascii="宋体" w:hAnsi="宋体" w:eastAsia="宋体" w:cs="宋体"/>
                <w:b/>
                <w:bCs/>
                <w:color w:val="FF0000"/>
                <w:szCs w:val="21"/>
              </w:rPr>
              <w:t>万元</w:t>
            </w:r>
          </w:p>
        </w:tc>
      </w:tr>
      <w:tr w14:paraId="5158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2DC049B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蚌埠闸工程管理处</w:t>
            </w:r>
          </w:p>
        </w:tc>
        <w:tc>
          <w:tcPr>
            <w:tcW w:w="1296" w:type="dxa"/>
            <w:vAlign w:val="center"/>
          </w:tcPr>
          <w:p w14:paraId="44D8091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蚌埠闸</w:t>
            </w:r>
          </w:p>
        </w:tc>
        <w:tc>
          <w:tcPr>
            <w:tcW w:w="1179" w:type="dxa"/>
            <w:vAlign w:val="center"/>
          </w:tcPr>
          <w:p w14:paraId="2EE229A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大（1）型水闸</w:t>
            </w:r>
          </w:p>
        </w:tc>
        <w:tc>
          <w:tcPr>
            <w:tcW w:w="3040" w:type="dxa"/>
            <w:vAlign w:val="center"/>
          </w:tcPr>
          <w:p w14:paraId="356595A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1）垂直位移监测：监测1次，监测点28孔节制闸58个；12孔节制闸50个；老船闸40个；分洪道及船闸公路桥84个；堤防16个。</w:t>
            </w:r>
          </w:p>
          <w:p w14:paraId="152B36A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2）上下游河床冲刷和淤积监测：监测2次，28孔节制闸上游13条，下游11条；12孔节制闸上游11条，下游21条。</w:t>
            </w:r>
          </w:p>
          <w:p w14:paraId="35DBAE3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3）堤防断面监测：监测2次，每次断面8条。</w:t>
            </w:r>
          </w:p>
          <w:p w14:paraId="47B6FA6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4）测压管管口高程校核1次，其中：28孔节制闸22个；12孔节制闸12个；老船闸14个；堤防5个。</w:t>
            </w:r>
          </w:p>
          <w:p w14:paraId="51B1F2E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5）水平位移监测：监测1次，监测点28孔节制闸3条视准线38个监测点；12孔节制闸3条视准线22个监测点。</w:t>
            </w:r>
          </w:p>
        </w:tc>
        <w:tc>
          <w:tcPr>
            <w:tcW w:w="968" w:type="dxa"/>
            <w:vAlign w:val="center"/>
          </w:tcPr>
          <w:p w14:paraId="32C05073">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16DB1F07">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6F41FB73">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6.5</w:t>
            </w:r>
            <w:r>
              <w:rPr>
                <w:rFonts w:hint="eastAsia" w:ascii="宋体" w:hAnsi="宋体" w:eastAsia="宋体" w:cs="宋体"/>
                <w:b/>
                <w:bCs/>
                <w:color w:val="FF0000"/>
                <w:szCs w:val="21"/>
              </w:rPr>
              <w:t>万元</w:t>
            </w:r>
          </w:p>
        </w:tc>
      </w:tr>
      <w:tr w14:paraId="32C9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2019A22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窑河闸管理处</w:t>
            </w:r>
          </w:p>
        </w:tc>
        <w:tc>
          <w:tcPr>
            <w:tcW w:w="1296" w:type="dxa"/>
            <w:vAlign w:val="center"/>
          </w:tcPr>
          <w:p w14:paraId="126E1C9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窑河闸</w:t>
            </w:r>
          </w:p>
        </w:tc>
        <w:tc>
          <w:tcPr>
            <w:tcW w:w="1179" w:type="dxa"/>
            <w:vAlign w:val="center"/>
          </w:tcPr>
          <w:p w14:paraId="254B9AB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607AE10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垂直位移：观测1次，监测点22个；</w:t>
            </w:r>
          </w:p>
          <w:p w14:paraId="6517AA2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上下游河床冲刷和淤积：观测1次；</w:t>
            </w:r>
          </w:p>
          <w:p w14:paraId="57E66CA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水位尺及测压管管口高程校核。</w:t>
            </w:r>
          </w:p>
        </w:tc>
        <w:tc>
          <w:tcPr>
            <w:tcW w:w="968" w:type="dxa"/>
            <w:vAlign w:val="center"/>
          </w:tcPr>
          <w:p w14:paraId="3DE268FB">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31E22EC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4D28D6EA">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2</w:t>
            </w:r>
            <w:r>
              <w:rPr>
                <w:rFonts w:hint="eastAsia" w:ascii="宋体" w:hAnsi="宋体" w:eastAsia="宋体" w:cs="宋体"/>
                <w:b/>
                <w:bCs/>
                <w:color w:val="FF0000"/>
                <w:szCs w:val="21"/>
              </w:rPr>
              <w:t>万元</w:t>
            </w:r>
          </w:p>
        </w:tc>
      </w:tr>
      <w:tr w14:paraId="5070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restart"/>
            <w:vAlign w:val="center"/>
          </w:tcPr>
          <w:p w14:paraId="7F172AB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颍东局</w:t>
            </w:r>
          </w:p>
        </w:tc>
        <w:tc>
          <w:tcPr>
            <w:tcW w:w="1296" w:type="dxa"/>
            <w:vAlign w:val="center"/>
          </w:tcPr>
          <w:p w14:paraId="36CE9D8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新河涵</w:t>
            </w:r>
          </w:p>
        </w:tc>
        <w:tc>
          <w:tcPr>
            <w:tcW w:w="1179" w:type="dxa"/>
            <w:vAlign w:val="center"/>
          </w:tcPr>
          <w:p w14:paraId="2F7DFF0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0FACEE0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垂直位移：观测1次，监测点27个；</w:t>
            </w:r>
          </w:p>
          <w:p w14:paraId="7835725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水位尺高程校核</w:t>
            </w:r>
            <w:r>
              <w:rPr>
                <w:rFonts w:hint="eastAsia" w:ascii="宋体" w:hAnsi="宋体" w:eastAsia="宋体" w:cs="宋体"/>
                <w:color w:val="000000" w:themeColor="text1"/>
                <w:szCs w:val="21"/>
                <w14:textFill>
                  <w14:solidFill>
                    <w14:schemeClr w14:val="tx1"/>
                  </w14:solidFill>
                </w14:textFill>
              </w:rPr>
              <w:t>1次</w:t>
            </w:r>
          </w:p>
        </w:tc>
        <w:tc>
          <w:tcPr>
            <w:tcW w:w="968" w:type="dxa"/>
            <w:vAlign w:val="center"/>
          </w:tcPr>
          <w:p w14:paraId="35714D7A">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restart"/>
            <w:vAlign w:val="center"/>
          </w:tcPr>
          <w:p w14:paraId="56B6062E">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restart"/>
            <w:vAlign w:val="center"/>
          </w:tcPr>
          <w:p w14:paraId="2017E9C8">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6.1</w:t>
            </w:r>
            <w:r>
              <w:rPr>
                <w:rFonts w:hint="eastAsia" w:ascii="宋体" w:hAnsi="宋体" w:eastAsia="宋体" w:cs="宋体"/>
                <w:b/>
                <w:bCs/>
                <w:color w:val="FF0000"/>
                <w:szCs w:val="21"/>
              </w:rPr>
              <w:t>万元</w:t>
            </w:r>
          </w:p>
        </w:tc>
      </w:tr>
      <w:tr w14:paraId="50EC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004712A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41A26AD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颍东朱沟堤段①</w:t>
            </w:r>
          </w:p>
        </w:tc>
        <w:tc>
          <w:tcPr>
            <w:tcW w:w="1179" w:type="dxa"/>
            <w:vMerge w:val="restart"/>
            <w:vAlign w:val="center"/>
          </w:tcPr>
          <w:p w14:paraId="0EEA082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重点堤段</w:t>
            </w:r>
          </w:p>
        </w:tc>
        <w:tc>
          <w:tcPr>
            <w:tcW w:w="3040" w:type="dxa"/>
            <w:vAlign w:val="center"/>
          </w:tcPr>
          <w:p w14:paraId="4347E26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37C4D37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14F184D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10817184">
            <w:pPr>
              <w:snapToGrid w:val="0"/>
              <w:ind w:left="0" w:leftChars="0" w:right="0" w:rightChars="0" w:firstLine="0" w:firstLineChars="0"/>
              <w:jc w:val="right"/>
              <w:rPr>
                <w:rFonts w:hint="eastAsia" w:ascii="宋体" w:hAnsi="宋体" w:eastAsia="宋体" w:cs="宋体"/>
                <w:b/>
                <w:bCs/>
                <w:color w:val="FF0000"/>
                <w:szCs w:val="21"/>
              </w:rPr>
            </w:pPr>
          </w:p>
        </w:tc>
      </w:tr>
      <w:tr w14:paraId="1B70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1CFB787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7649C7A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颍东朱沟堤段②</w:t>
            </w:r>
          </w:p>
        </w:tc>
        <w:tc>
          <w:tcPr>
            <w:tcW w:w="1179" w:type="dxa"/>
            <w:vMerge w:val="continue"/>
            <w:vAlign w:val="center"/>
          </w:tcPr>
          <w:p w14:paraId="077CF14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5F41708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6C870AA3">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13B00B60">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63B11499">
            <w:pPr>
              <w:snapToGrid w:val="0"/>
              <w:ind w:left="0" w:leftChars="0" w:right="0" w:rightChars="0" w:firstLine="0" w:firstLineChars="0"/>
              <w:jc w:val="right"/>
              <w:rPr>
                <w:rFonts w:hint="eastAsia" w:ascii="宋体" w:hAnsi="宋体" w:eastAsia="宋体" w:cs="宋体"/>
                <w:b/>
                <w:bCs/>
                <w:color w:val="FF0000"/>
                <w:szCs w:val="21"/>
              </w:rPr>
            </w:pPr>
          </w:p>
        </w:tc>
      </w:tr>
      <w:tr w14:paraId="120B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3A079FA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5183D45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颍东倒栽槐堤段</w:t>
            </w:r>
          </w:p>
        </w:tc>
        <w:tc>
          <w:tcPr>
            <w:tcW w:w="1179" w:type="dxa"/>
            <w:vMerge w:val="continue"/>
            <w:vAlign w:val="center"/>
          </w:tcPr>
          <w:p w14:paraId="4975897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3D28344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4A69BC7D">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5570F28E">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6916280C">
            <w:pPr>
              <w:snapToGrid w:val="0"/>
              <w:ind w:left="0" w:leftChars="0" w:right="0" w:rightChars="0" w:firstLine="0" w:firstLineChars="0"/>
              <w:jc w:val="right"/>
              <w:rPr>
                <w:rFonts w:hint="eastAsia" w:ascii="宋体" w:hAnsi="宋体" w:eastAsia="宋体" w:cs="宋体"/>
                <w:b/>
                <w:bCs/>
                <w:color w:val="FF0000"/>
                <w:szCs w:val="21"/>
              </w:rPr>
            </w:pPr>
          </w:p>
        </w:tc>
      </w:tr>
      <w:tr w14:paraId="6B14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restart"/>
            <w:vAlign w:val="center"/>
          </w:tcPr>
          <w:p w14:paraId="52F800B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颍上局</w:t>
            </w:r>
          </w:p>
        </w:tc>
        <w:tc>
          <w:tcPr>
            <w:tcW w:w="1296" w:type="dxa"/>
            <w:vAlign w:val="center"/>
          </w:tcPr>
          <w:p w14:paraId="0F3F4A3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乌江涵</w:t>
            </w:r>
          </w:p>
        </w:tc>
        <w:tc>
          <w:tcPr>
            <w:tcW w:w="1179" w:type="dxa"/>
            <w:vAlign w:val="center"/>
          </w:tcPr>
          <w:p w14:paraId="0A0DDCA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w:t>
            </w:r>
            <w:r>
              <w:rPr>
                <w:rFonts w:hint="eastAsia" w:ascii="宋体" w:hAnsi="宋体" w:eastAsia="宋体" w:cs="宋体"/>
                <w:color w:val="000000" w:themeColor="text1"/>
                <w:szCs w:val="21"/>
                <w14:textFill>
                  <w14:solidFill>
                    <w14:schemeClr w14:val="tx1"/>
                  </w14:solidFill>
                </w14:textFill>
              </w:rPr>
              <w:t>型</w:t>
            </w:r>
            <w:r>
              <w:rPr>
                <w:rFonts w:hint="eastAsia" w:ascii="宋体" w:hAnsi="宋体" w:eastAsia="宋体" w:cs="宋体"/>
                <w:color w:val="000000" w:themeColor="text1"/>
                <w:szCs w:val="21"/>
                <w14:textFill>
                  <w14:solidFill>
                    <w14:schemeClr w14:val="tx1"/>
                  </w14:solidFill>
                </w14:textFill>
              </w:rPr>
              <w:t>水闸</w:t>
            </w:r>
          </w:p>
        </w:tc>
        <w:tc>
          <w:tcPr>
            <w:tcW w:w="3040" w:type="dxa"/>
            <w:vAlign w:val="center"/>
          </w:tcPr>
          <w:p w14:paraId="50D66B2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垂直位移：观测1次，监测点24个；</w:t>
            </w:r>
          </w:p>
        </w:tc>
        <w:tc>
          <w:tcPr>
            <w:tcW w:w="968" w:type="dxa"/>
            <w:vAlign w:val="center"/>
          </w:tcPr>
          <w:p w14:paraId="4CDA70E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restart"/>
            <w:vAlign w:val="center"/>
          </w:tcPr>
          <w:p w14:paraId="7329C8F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restart"/>
            <w:vAlign w:val="center"/>
          </w:tcPr>
          <w:p w14:paraId="250FD2BF">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6.1</w:t>
            </w:r>
            <w:r>
              <w:rPr>
                <w:rFonts w:hint="eastAsia" w:ascii="宋体" w:hAnsi="宋体" w:eastAsia="宋体" w:cs="宋体"/>
                <w:b/>
                <w:bCs/>
                <w:color w:val="FF0000"/>
                <w:szCs w:val="21"/>
              </w:rPr>
              <w:t>万元</w:t>
            </w:r>
          </w:p>
        </w:tc>
      </w:tr>
      <w:tr w14:paraId="4CC9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15E021C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527C023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颍上高台孜堤段</w:t>
            </w:r>
          </w:p>
        </w:tc>
        <w:tc>
          <w:tcPr>
            <w:tcW w:w="1179" w:type="dxa"/>
            <w:vMerge w:val="restart"/>
            <w:vAlign w:val="center"/>
          </w:tcPr>
          <w:p w14:paraId="7A6CEF2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重点堤段</w:t>
            </w:r>
          </w:p>
        </w:tc>
        <w:tc>
          <w:tcPr>
            <w:tcW w:w="3040" w:type="dxa"/>
            <w:vAlign w:val="center"/>
          </w:tcPr>
          <w:p w14:paraId="401FDE2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219B159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55978F3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325D9FD3">
            <w:pPr>
              <w:snapToGrid w:val="0"/>
              <w:ind w:left="0" w:leftChars="0" w:right="0" w:rightChars="0" w:firstLine="0" w:firstLineChars="0"/>
              <w:jc w:val="right"/>
              <w:rPr>
                <w:rFonts w:hint="eastAsia" w:ascii="宋体" w:hAnsi="宋体" w:eastAsia="宋体" w:cs="宋体"/>
                <w:b/>
                <w:bCs/>
                <w:color w:val="FF0000"/>
                <w:szCs w:val="21"/>
              </w:rPr>
            </w:pPr>
          </w:p>
        </w:tc>
      </w:tr>
      <w:tr w14:paraId="6CEB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5B8F69E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27DE202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颍上高庄孜堤段①</w:t>
            </w:r>
          </w:p>
        </w:tc>
        <w:tc>
          <w:tcPr>
            <w:tcW w:w="1179" w:type="dxa"/>
            <w:vMerge w:val="continue"/>
            <w:vAlign w:val="center"/>
          </w:tcPr>
          <w:p w14:paraId="0F84473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60ACFB0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6726DA30">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588D4871">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3F20EB32">
            <w:pPr>
              <w:snapToGrid w:val="0"/>
              <w:ind w:left="0" w:leftChars="0" w:right="0" w:rightChars="0" w:firstLine="0" w:firstLineChars="0"/>
              <w:jc w:val="right"/>
              <w:rPr>
                <w:rFonts w:hint="eastAsia" w:ascii="宋体" w:hAnsi="宋体" w:eastAsia="宋体" w:cs="宋体"/>
                <w:b/>
                <w:bCs/>
                <w:color w:val="FF0000"/>
                <w:szCs w:val="21"/>
              </w:rPr>
            </w:pPr>
          </w:p>
        </w:tc>
      </w:tr>
      <w:tr w14:paraId="2EDB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29BE943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0F4840B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颍上高庄孜堤段②</w:t>
            </w:r>
          </w:p>
        </w:tc>
        <w:tc>
          <w:tcPr>
            <w:tcW w:w="1179" w:type="dxa"/>
            <w:vMerge w:val="continue"/>
            <w:vAlign w:val="center"/>
          </w:tcPr>
          <w:p w14:paraId="61E7A4A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0EA4F51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695B12F9">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65F3CD52">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518AE16">
            <w:pPr>
              <w:snapToGrid w:val="0"/>
              <w:ind w:left="0" w:leftChars="0" w:right="0" w:rightChars="0" w:firstLine="0" w:firstLineChars="0"/>
              <w:jc w:val="right"/>
              <w:rPr>
                <w:rFonts w:hint="eastAsia" w:ascii="宋体" w:hAnsi="宋体" w:eastAsia="宋体" w:cs="宋体"/>
                <w:b/>
                <w:bCs/>
                <w:color w:val="FF0000"/>
                <w:szCs w:val="21"/>
              </w:rPr>
            </w:pPr>
          </w:p>
        </w:tc>
      </w:tr>
      <w:tr w14:paraId="6467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30FFC4C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5F2E11F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颍上邹王村堤段</w:t>
            </w:r>
          </w:p>
        </w:tc>
        <w:tc>
          <w:tcPr>
            <w:tcW w:w="1179" w:type="dxa"/>
            <w:vMerge w:val="continue"/>
            <w:vAlign w:val="center"/>
          </w:tcPr>
          <w:p w14:paraId="0574FA1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73AC174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2C0507F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580F18D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6390450">
            <w:pPr>
              <w:snapToGrid w:val="0"/>
              <w:ind w:left="0" w:leftChars="0" w:right="0" w:rightChars="0" w:firstLine="0" w:firstLineChars="0"/>
              <w:jc w:val="right"/>
              <w:rPr>
                <w:rFonts w:hint="eastAsia" w:ascii="宋体" w:hAnsi="宋体" w:eastAsia="宋体" w:cs="宋体"/>
                <w:b/>
                <w:bCs/>
                <w:color w:val="FF0000"/>
                <w:szCs w:val="21"/>
              </w:rPr>
            </w:pPr>
          </w:p>
        </w:tc>
      </w:tr>
      <w:tr w14:paraId="7182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6B54FEB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36BC4B48">
            <w:pPr>
              <w:snapToGrid w:val="0"/>
              <w:ind w:left="0" w:leftChars="0" w:right="0" w:rightChars="0" w:firstLine="0" w:firstLineChars="0"/>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淮北大堤颍上段</w:t>
            </w:r>
          </w:p>
        </w:tc>
        <w:tc>
          <w:tcPr>
            <w:tcW w:w="1179" w:type="dxa"/>
            <w:vMerge w:val="continue"/>
            <w:vAlign w:val="center"/>
          </w:tcPr>
          <w:p w14:paraId="70A0E7C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67E91A08">
            <w:pPr>
              <w:snapToGrid w:val="0"/>
              <w:ind w:left="0" w:leftChars="0" w:right="0" w:rightChars="0" w:firstLine="0" w:firstLineChars="0"/>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堤防</w:t>
            </w:r>
            <w:r>
              <w:rPr>
                <w:rFonts w:hint="eastAsia" w:ascii="宋体" w:hAnsi="宋体" w:eastAsia="宋体" w:cs="宋体"/>
                <w:bCs/>
                <w:color w:val="000000" w:themeColor="text1"/>
                <w:szCs w:val="21"/>
                <w14:textFill>
                  <w14:solidFill>
                    <w14:schemeClr w14:val="tx1"/>
                  </w14:solidFill>
                </w14:textFill>
              </w:rPr>
              <w:t>7处测压管高程校测</w:t>
            </w:r>
          </w:p>
        </w:tc>
        <w:tc>
          <w:tcPr>
            <w:tcW w:w="968" w:type="dxa"/>
            <w:vAlign w:val="center"/>
          </w:tcPr>
          <w:p w14:paraId="7498833D">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19EFAF4D">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1B24E56E">
            <w:pPr>
              <w:snapToGrid w:val="0"/>
              <w:ind w:left="0" w:leftChars="0" w:right="0" w:rightChars="0" w:firstLine="0" w:firstLineChars="0"/>
              <w:jc w:val="right"/>
              <w:rPr>
                <w:rFonts w:hint="eastAsia" w:ascii="宋体" w:hAnsi="宋体" w:eastAsia="宋体" w:cs="宋体"/>
                <w:b/>
                <w:bCs/>
                <w:color w:val="FF0000"/>
                <w:szCs w:val="21"/>
              </w:rPr>
            </w:pPr>
          </w:p>
        </w:tc>
      </w:tr>
      <w:tr w14:paraId="46E8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restart"/>
            <w:vAlign w:val="center"/>
          </w:tcPr>
          <w:p w14:paraId="3571EF8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凤台局</w:t>
            </w:r>
          </w:p>
        </w:tc>
        <w:tc>
          <w:tcPr>
            <w:tcW w:w="1296" w:type="dxa"/>
            <w:vAlign w:val="center"/>
          </w:tcPr>
          <w:p w14:paraId="6EFFDEB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焦岗闸</w:t>
            </w:r>
          </w:p>
        </w:tc>
        <w:tc>
          <w:tcPr>
            <w:tcW w:w="1179" w:type="dxa"/>
            <w:vAlign w:val="center"/>
          </w:tcPr>
          <w:p w14:paraId="690F30C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06CEFB2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1）垂直位移：观测1次，监测点28个；</w:t>
            </w:r>
          </w:p>
          <w:p w14:paraId="4D864EE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2）河道断面测量：观测1次，固定断面6条，上、下游各3条；</w:t>
            </w:r>
          </w:p>
          <w:p w14:paraId="348EBDA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3）水位尺及测压管管口高程校核1次；</w:t>
            </w:r>
          </w:p>
        </w:tc>
        <w:tc>
          <w:tcPr>
            <w:tcW w:w="968" w:type="dxa"/>
            <w:vAlign w:val="center"/>
          </w:tcPr>
          <w:p w14:paraId="630F7F0C">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restart"/>
            <w:vAlign w:val="center"/>
          </w:tcPr>
          <w:p w14:paraId="6489CA1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restart"/>
            <w:vAlign w:val="center"/>
          </w:tcPr>
          <w:p w14:paraId="151AF9A6">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9.4</w:t>
            </w:r>
            <w:r>
              <w:rPr>
                <w:rFonts w:hint="eastAsia" w:ascii="宋体" w:hAnsi="宋体" w:eastAsia="宋体" w:cs="宋体"/>
                <w:b/>
                <w:bCs/>
                <w:color w:val="FF0000"/>
                <w:szCs w:val="21"/>
              </w:rPr>
              <w:t>万元</w:t>
            </w:r>
          </w:p>
        </w:tc>
      </w:tr>
      <w:tr w14:paraId="28DC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52AAC40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7C2F2EC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新西淝闸</w:t>
            </w:r>
          </w:p>
        </w:tc>
        <w:tc>
          <w:tcPr>
            <w:tcW w:w="1179" w:type="dxa"/>
            <w:vAlign w:val="center"/>
          </w:tcPr>
          <w:p w14:paraId="3921D01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6139203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1）垂直位移：观测1次，监测点20个；</w:t>
            </w:r>
          </w:p>
          <w:p w14:paraId="6796466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2）河道断面测量：观测1次，固定断面6条，上、下游各3条；</w:t>
            </w:r>
          </w:p>
          <w:p w14:paraId="0B17EED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3）水位尺及测压管管口高程校核1次；</w:t>
            </w:r>
          </w:p>
        </w:tc>
        <w:tc>
          <w:tcPr>
            <w:tcW w:w="968" w:type="dxa"/>
            <w:vAlign w:val="center"/>
          </w:tcPr>
          <w:p w14:paraId="303310B1">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32141491">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4765D657">
            <w:pPr>
              <w:snapToGrid w:val="0"/>
              <w:ind w:left="0" w:leftChars="0" w:right="0" w:rightChars="0" w:firstLine="0" w:firstLineChars="0"/>
              <w:jc w:val="right"/>
              <w:rPr>
                <w:rFonts w:hint="eastAsia" w:ascii="宋体" w:hAnsi="宋体" w:eastAsia="宋体" w:cs="宋体"/>
                <w:b/>
                <w:bCs/>
                <w:color w:val="FF0000"/>
                <w:szCs w:val="21"/>
              </w:rPr>
            </w:pPr>
          </w:p>
        </w:tc>
      </w:tr>
      <w:tr w14:paraId="216B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362701B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1178804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新港河闸</w:t>
            </w:r>
          </w:p>
        </w:tc>
        <w:tc>
          <w:tcPr>
            <w:tcW w:w="1179" w:type="dxa"/>
            <w:vAlign w:val="center"/>
          </w:tcPr>
          <w:p w14:paraId="56DEC8C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3BC8C2E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1）垂直位移：观测1次，监测点44个；</w:t>
            </w:r>
          </w:p>
          <w:p w14:paraId="1FEAA8A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2）河道断面测量：观测1次，固定断面6条，上、下游各3条；</w:t>
            </w:r>
          </w:p>
          <w:p w14:paraId="0855157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3）水位尺及测压管管口高程校核1次；</w:t>
            </w:r>
          </w:p>
        </w:tc>
        <w:tc>
          <w:tcPr>
            <w:tcW w:w="968" w:type="dxa"/>
            <w:vAlign w:val="center"/>
          </w:tcPr>
          <w:p w14:paraId="4325474E">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082D4359">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4B7D4FCC">
            <w:pPr>
              <w:snapToGrid w:val="0"/>
              <w:ind w:left="0" w:leftChars="0" w:right="0" w:rightChars="0" w:firstLine="0" w:firstLineChars="0"/>
              <w:jc w:val="right"/>
              <w:rPr>
                <w:rFonts w:hint="eastAsia" w:ascii="宋体" w:hAnsi="宋体" w:eastAsia="宋体" w:cs="宋体"/>
                <w:b/>
                <w:bCs/>
                <w:color w:val="FF0000"/>
                <w:szCs w:val="21"/>
              </w:rPr>
            </w:pPr>
          </w:p>
        </w:tc>
      </w:tr>
      <w:tr w14:paraId="679D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28BF7D3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5533B99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凤台乔口孜堤段</w:t>
            </w:r>
          </w:p>
        </w:tc>
        <w:tc>
          <w:tcPr>
            <w:tcW w:w="1179" w:type="dxa"/>
            <w:vMerge w:val="restart"/>
            <w:vAlign w:val="center"/>
          </w:tcPr>
          <w:p w14:paraId="3C64A7E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重点堤段</w:t>
            </w:r>
          </w:p>
        </w:tc>
        <w:tc>
          <w:tcPr>
            <w:tcW w:w="3040" w:type="dxa"/>
            <w:vAlign w:val="center"/>
          </w:tcPr>
          <w:p w14:paraId="7C8B44E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05DE4967">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3BB2A9FE">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0304A3E">
            <w:pPr>
              <w:snapToGrid w:val="0"/>
              <w:ind w:left="0" w:leftChars="0" w:right="0" w:rightChars="0" w:firstLine="0" w:firstLineChars="0"/>
              <w:jc w:val="right"/>
              <w:rPr>
                <w:rFonts w:hint="eastAsia" w:ascii="宋体" w:hAnsi="宋体" w:eastAsia="宋体" w:cs="宋体"/>
                <w:b/>
                <w:bCs/>
                <w:color w:val="FF0000"/>
                <w:szCs w:val="21"/>
              </w:rPr>
            </w:pPr>
          </w:p>
        </w:tc>
      </w:tr>
      <w:tr w14:paraId="594F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0DED30C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5F7411F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凤台哑巴渡堤段</w:t>
            </w:r>
          </w:p>
        </w:tc>
        <w:tc>
          <w:tcPr>
            <w:tcW w:w="1179" w:type="dxa"/>
            <w:vMerge w:val="continue"/>
            <w:vAlign w:val="center"/>
          </w:tcPr>
          <w:p w14:paraId="02E2E16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54ED81E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w:t>
            </w:r>
          </w:p>
        </w:tc>
        <w:tc>
          <w:tcPr>
            <w:tcW w:w="968" w:type="dxa"/>
            <w:vAlign w:val="center"/>
          </w:tcPr>
          <w:p w14:paraId="369E880B">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7AD5CCC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771E1D19">
            <w:pPr>
              <w:snapToGrid w:val="0"/>
              <w:ind w:left="0" w:leftChars="0" w:right="0" w:rightChars="0" w:firstLine="0" w:firstLineChars="0"/>
              <w:jc w:val="right"/>
              <w:rPr>
                <w:rFonts w:hint="eastAsia" w:ascii="宋体" w:hAnsi="宋体" w:eastAsia="宋体" w:cs="宋体"/>
                <w:b/>
                <w:bCs/>
                <w:color w:val="FF0000"/>
                <w:szCs w:val="21"/>
              </w:rPr>
            </w:pPr>
          </w:p>
        </w:tc>
      </w:tr>
      <w:tr w14:paraId="7B62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5041B98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047743F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凤台新建队堤段</w:t>
            </w:r>
          </w:p>
        </w:tc>
        <w:tc>
          <w:tcPr>
            <w:tcW w:w="1179" w:type="dxa"/>
            <w:vMerge w:val="continue"/>
            <w:vAlign w:val="center"/>
          </w:tcPr>
          <w:p w14:paraId="6E771EF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6AECBBF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w:t>
            </w:r>
            <w:r>
              <w:rPr>
                <w:rFonts w:hint="eastAsia" w:ascii="宋体" w:hAnsi="宋体" w:eastAsia="宋体" w:cs="宋体"/>
                <w:bCs/>
                <w:color w:val="000000" w:themeColor="text1"/>
                <w:szCs w:val="21"/>
                <w14:textFill>
                  <w14:solidFill>
                    <w14:schemeClr w14:val="tx1"/>
                  </w14:solidFill>
                </w14:textFill>
              </w:rPr>
              <w:t>1次</w:t>
            </w:r>
          </w:p>
        </w:tc>
        <w:tc>
          <w:tcPr>
            <w:tcW w:w="968" w:type="dxa"/>
            <w:vAlign w:val="center"/>
          </w:tcPr>
          <w:p w14:paraId="16F37D26">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1614D7E0">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38AA6146">
            <w:pPr>
              <w:snapToGrid w:val="0"/>
              <w:ind w:left="0" w:leftChars="0" w:right="0" w:rightChars="0" w:firstLine="0" w:firstLineChars="0"/>
              <w:jc w:val="right"/>
              <w:rPr>
                <w:rFonts w:hint="eastAsia" w:ascii="宋体" w:hAnsi="宋体" w:eastAsia="宋体" w:cs="宋体"/>
                <w:b/>
                <w:bCs/>
                <w:color w:val="FF0000"/>
                <w:szCs w:val="21"/>
              </w:rPr>
            </w:pPr>
          </w:p>
        </w:tc>
      </w:tr>
      <w:tr w14:paraId="3766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113D9CF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03BB5EB7">
            <w:pPr>
              <w:snapToGrid w:val="0"/>
              <w:ind w:left="0" w:leftChars="0" w:right="0" w:rightChars="0" w:firstLine="0" w:firstLineChars="0"/>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淮北大堤凤台段</w:t>
            </w:r>
          </w:p>
        </w:tc>
        <w:tc>
          <w:tcPr>
            <w:tcW w:w="1179" w:type="dxa"/>
            <w:vMerge w:val="continue"/>
            <w:vAlign w:val="center"/>
          </w:tcPr>
          <w:p w14:paraId="462D41A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513DC10C">
            <w:pPr>
              <w:snapToGrid w:val="0"/>
              <w:ind w:left="0" w:leftChars="0" w:right="0" w:rightChars="0" w:firstLine="0" w:firstLineChars="0"/>
              <w:jc w:val="left"/>
              <w:rPr>
                <w:rFonts w:hint="eastAsia" w:ascii="宋体" w:hAnsi="宋体" w:eastAsia="宋体" w:cs="宋体"/>
                <w:bCs/>
                <w:color w:val="000000" w:themeColor="text1"/>
                <w:szCs w:val="21"/>
                <w14:textFill>
                  <w14:solidFill>
                    <w14:schemeClr w14:val="tx1"/>
                  </w14:solidFill>
                </w14:textFill>
              </w:rPr>
            </w:pPr>
            <w:bookmarkStart w:id="187" w:name="OLE_LINK7"/>
            <w:r>
              <w:rPr>
                <w:rFonts w:hint="eastAsia" w:ascii="宋体" w:hAnsi="宋体" w:eastAsia="宋体" w:cs="宋体"/>
                <w:bCs/>
                <w:color w:val="000000" w:themeColor="text1"/>
                <w:szCs w:val="21"/>
                <w14:textFill>
                  <w14:solidFill>
                    <w14:schemeClr w14:val="tx1"/>
                  </w14:solidFill>
                </w14:textFill>
              </w:rPr>
              <w:t>堤防3</w:t>
            </w:r>
            <w:r>
              <w:rPr>
                <w:rFonts w:hint="eastAsia" w:ascii="宋体" w:hAnsi="宋体" w:eastAsia="宋体" w:cs="宋体"/>
                <w:bCs/>
                <w:color w:val="000000" w:themeColor="text1"/>
                <w:szCs w:val="21"/>
                <w14:textFill>
                  <w14:solidFill>
                    <w14:schemeClr w14:val="tx1"/>
                  </w14:solidFill>
                </w14:textFill>
              </w:rPr>
              <w:t>7</w:t>
            </w:r>
            <w:r>
              <w:rPr>
                <w:rFonts w:hint="eastAsia" w:ascii="宋体" w:hAnsi="宋体" w:eastAsia="宋体" w:cs="宋体"/>
                <w:bCs/>
                <w:color w:val="000000" w:themeColor="text1"/>
                <w:szCs w:val="21"/>
                <w14:textFill>
                  <w14:solidFill>
                    <w14:schemeClr w14:val="tx1"/>
                  </w14:solidFill>
                </w14:textFill>
              </w:rPr>
              <w:t>处减压井、2</w:t>
            </w:r>
            <w:r>
              <w:rPr>
                <w:rFonts w:hint="eastAsia" w:ascii="宋体" w:hAnsi="宋体" w:eastAsia="宋体" w:cs="宋体"/>
                <w:bCs/>
                <w:color w:val="000000" w:themeColor="text1"/>
                <w:szCs w:val="21"/>
                <w14:textFill>
                  <w14:solidFill>
                    <w14:schemeClr w14:val="tx1"/>
                  </w14:solidFill>
                </w14:textFill>
              </w:rPr>
              <w:t>8</w:t>
            </w:r>
            <w:r>
              <w:rPr>
                <w:rFonts w:hint="eastAsia" w:ascii="宋体" w:hAnsi="宋体" w:eastAsia="宋体" w:cs="宋体"/>
                <w:bCs/>
                <w:color w:val="000000" w:themeColor="text1"/>
                <w:szCs w:val="21"/>
                <w14:textFill>
                  <w14:solidFill>
                    <w14:schemeClr w14:val="tx1"/>
                  </w14:solidFill>
                </w14:textFill>
              </w:rPr>
              <w:t>处</w:t>
            </w:r>
            <w:r>
              <w:rPr>
                <w:rFonts w:hint="eastAsia" w:ascii="宋体" w:hAnsi="宋体" w:eastAsia="宋体" w:cs="宋体"/>
                <w:bCs/>
                <w:color w:val="000000" w:themeColor="text1"/>
                <w:szCs w:val="21"/>
                <w14:textFill>
                  <w14:solidFill>
                    <w14:schemeClr w14:val="tx1"/>
                  </w14:solidFill>
                </w14:textFill>
              </w:rPr>
              <w:t>测压管</w:t>
            </w:r>
            <w:r>
              <w:rPr>
                <w:rFonts w:hint="eastAsia" w:ascii="宋体" w:hAnsi="宋体" w:eastAsia="宋体" w:cs="宋体"/>
                <w:bCs/>
                <w:color w:val="000000" w:themeColor="text1"/>
                <w:szCs w:val="21"/>
                <w14:textFill>
                  <w14:solidFill>
                    <w14:schemeClr w14:val="tx1"/>
                  </w14:solidFill>
                </w14:textFill>
              </w:rPr>
              <w:t>高程校核</w:t>
            </w:r>
            <w:bookmarkEnd w:id="187"/>
          </w:p>
        </w:tc>
        <w:tc>
          <w:tcPr>
            <w:tcW w:w="968" w:type="dxa"/>
            <w:vAlign w:val="center"/>
          </w:tcPr>
          <w:p w14:paraId="4923C77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7CA825D3">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9C00AAF">
            <w:pPr>
              <w:snapToGrid w:val="0"/>
              <w:ind w:left="0" w:leftChars="0" w:right="0" w:rightChars="0" w:firstLine="0" w:firstLineChars="0"/>
              <w:jc w:val="right"/>
              <w:rPr>
                <w:rFonts w:hint="eastAsia" w:ascii="宋体" w:hAnsi="宋体" w:eastAsia="宋体" w:cs="宋体"/>
                <w:b/>
                <w:bCs/>
                <w:color w:val="FF0000"/>
                <w:szCs w:val="21"/>
              </w:rPr>
            </w:pPr>
          </w:p>
        </w:tc>
      </w:tr>
      <w:tr w14:paraId="6CDA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restart"/>
            <w:vAlign w:val="center"/>
          </w:tcPr>
          <w:p w14:paraId="7BC5E41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潘集局</w:t>
            </w:r>
          </w:p>
        </w:tc>
        <w:tc>
          <w:tcPr>
            <w:tcW w:w="1296" w:type="dxa"/>
            <w:vAlign w:val="center"/>
          </w:tcPr>
          <w:p w14:paraId="71CCD8A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青年闸</w:t>
            </w:r>
          </w:p>
        </w:tc>
        <w:tc>
          <w:tcPr>
            <w:tcW w:w="1179" w:type="dxa"/>
            <w:vAlign w:val="center"/>
          </w:tcPr>
          <w:p w14:paraId="5AA0F18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6B5DFCE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1）垂直位移：观测1次，监测点14个；</w:t>
            </w:r>
          </w:p>
          <w:p w14:paraId="0FBB898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2）河道断面测量：观测1次，固定断面6条；</w:t>
            </w:r>
          </w:p>
        </w:tc>
        <w:tc>
          <w:tcPr>
            <w:tcW w:w="968" w:type="dxa"/>
            <w:vAlign w:val="center"/>
          </w:tcPr>
          <w:p w14:paraId="2898AE1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restart"/>
            <w:vAlign w:val="center"/>
          </w:tcPr>
          <w:p w14:paraId="045B1687">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restart"/>
            <w:vAlign w:val="center"/>
          </w:tcPr>
          <w:p w14:paraId="357BE3AE">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6.7</w:t>
            </w:r>
            <w:r>
              <w:rPr>
                <w:rFonts w:hint="eastAsia" w:ascii="宋体" w:hAnsi="宋体" w:eastAsia="宋体" w:cs="宋体"/>
                <w:b/>
                <w:bCs/>
                <w:color w:val="FF0000"/>
                <w:szCs w:val="21"/>
              </w:rPr>
              <w:t>万元</w:t>
            </w:r>
          </w:p>
        </w:tc>
      </w:tr>
      <w:tr w14:paraId="295B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0D85A33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5AD2CA5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尹家沟闸</w:t>
            </w:r>
          </w:p>
        </w:tc>
        <w:tc>
          <w:tcPr>
            <w:tcW w:w="1179" w:type="dxa"/>
            <w:vAlign w:val="center"/>
          </w:tcPr>
          <w:p w14:paraId="63A9849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79512B1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1）垂直位移：观测1次，监测点17个；</w:t>
            </w:r>
          </w:p>
          <w:p w14:paraId="39EDEF3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2）河道断面测量：观测1次，固定断面6条；</w:t>
            </w:r>
          </w:p>
        </w:tc>
        <w:tc>
          <w:tcPr>
            <w:tcW w:w="968" w:type="dxa"/>
            <w:vAlign w:val="center"/>
          </w:tcPr>
          <w:p w14:paraId="77FEC1C1">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035C12D6">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7E4B49D2">
            <w:pPr>
              <w:snapToGrid w:val="0"/>
              <w:ind w:left="0" w:leftChars="0" w:right="0" w:rightChars="0" w:firstLine="0" w:firstLineChars="0"/>
              <w:jc w:val="right"/>
              <w:rPr>
                <w:rFonts w:hint="eastAsia" w:ascii="宋体" w:hAnsi="宋体" w:eastAsia="宋体" w:cs="宋体"/>
                <w:b/>
                <w:bCs/>
                <w:color w:val="FF0000"/>
                <w:szCs w:val="21"/>
              </w:rPr>
            </w:pPr>
          </w:p>
        </w:tc>
      </w:tr>
      <w:tr w14:paraId="6144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476C4FD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2140B8D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架河闸</w:t>
            </w:r>
          </w:p>
        </w:tc>
        <w:tc>
          <w:tcPr>
            <w:tcW w:w="1179" w:type="dxa"/>
            <w:vAlign w:val="center"/>
          </w:tcPr>
          <w:p w14:paraId="4AFFC4A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51273AF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1）垂直位移：观测1次，监测点14个；</w:t>
            </w:r>
          </w:p>
          <w:p w14:paraId="690EE85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2）河道断面测量：观测1次，固定断面6条；</w:t>
            </w:r>
          </w:p>
        </w:tc>
        <w:tc>
          <w:tcPr>
            <w:tcW w:w="968" w:type="dxa"/>
            <w:vAlign w:val="center"/>
          </w:tcPr>
          <w:p w14:paraId="7BF3D85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54BFB582">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9A31AB6">
            <w:pPr>
              <w:snapToGrid w:val="0"/>
              <w:ind w:left="0" w:leftChars="0" w:right="0" w:rightChars="0" w:firstLine="0" w:firstLineChars="0"/>
              <w:jc w:val="right"/>
              <w:rPr>
                <w:rFonts w:hint="eastAsia" w:ascii="宋体" w:hAnsi="宋体" w:eastAsia="宋体" w:cs="宋体"/>
                <w:b/>
                <w:bCs/>
                <w:color w:val="FF0000"/>
                <w:szCs w:val="21"/>
              </w:rPr>
            </w:pPr>
          </w:p>
        </w:tc>
      </w:tr>
      <w:tr w14:paraId="3153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1EE8127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48185E8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利民新河闸</w:t>
            </w:r>
          </w:p>
        </w:tc>
        <w:tc>
          <w:tcPr>
            <w:tcW w:w="1179" w:type="dxa"/>
            <w:vAlign w:val="center"/>
          </w:tcPr>
          <w:p w14:paraId="69EE527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76DE12F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（1）垂直位移观测</w:t>
            </w:r>
            <w:r>
              <w:rPr>
                <w:rFonts w:hint="eastAsia" w:ascii="宋体" w:hAnsi="宋体" w:eastAsia="宋体" w:cs="宋体"/>
                <w:color w:val="000000" w:themeColor="text1"/>
                <w:szCs w:val="21"/>
                <w14:textFill>
                  <w14:solidFill>
                    <w14:schemeClr w14:val="tx1"/>
                  </w14:solidFill>
                </w14:textFill>
              </w:rPr>
              <w:t>1次，监测点10个；</w:t>
            </w:r>
          </w:p>
          <w:p w14:paraId="4089897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（2）水位尺及测压管高程校核</w:t>
            </w:r>
            <w:r>
              <w:rPr>
                <w:rFonts w:hint="eastAsia" w:ascii="宋体" w:hAnsi="宋体" w:eastAsia="宋体" w:cs="宋体"/>
                <w:color w:val="000000" w:themeColor="text1"/>
                <w:szCs w:val="21"/>
                <w14:textFill>
                  <w14:solidFill>
                    <w14:schemeClr w14:val="tx1"/>
                  </w14:solidFill>
                </w14:textFill>
              </w:rPr>
              <w:t>1次；</w:t>
            </w:r>
          </w:p>
        </w:tc>
        <w:tc>
          <w:tcPr>
            <w:tcW w:w="968" w:type="dxa"/>
            <w:vAlign w:val="center"/>
          </w:tcPr>
          <w:p w14:paraId="776C1D1B">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09A5847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2DD7227E">
            <w:pPr>
              <w:snapToGrid w:val="0"/>
              <w:ind w:left="0" w:leftChars="0" w:right="0" w:rightChars="0" w:firstLine="0" w:firstLineChars="0"/>
              <w:jc w:val="right"/>
              <w:rPr>
                <w:rFonts w:hint="eastAsia" w:ascii="宋体" w:hAnsi="宋体" w:eastAsia="宋体" w:cs="宋体"/>
                <w:b/>
                <w:bCs/>
                <w:color w:val="FF0000"/>
                <w:szCs w:val="21"/>
              </w:rPr>
            </w:pPr>
          </w:p>
        </w:tc>
      </w:tr>
      <w:tr w14:paraId="13C3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5BF813A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5715DF0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淮北大堤潘集段</w:t>
            </w:r>
          </w:p>
        </w:tc>
        <w:tc>
          <w:tcPr>
            <w:tcW w:w="1179" w:type="dxa"/>
            <w:vAlign w:val="center"/>
          </w:tcPr>
          <w:p w14:paraId="7D19093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重点堤段</w:t>
            </w:r>
          </w:p>
        </w:tc>
        <w:tc>
          <w:tcPr>
            <w:tcW w:w="3040" w:type="dxa"/>
            <w:vAlign w:val="center"/>
          </w:tcPr>
          <w:p w14:paraId="4482A93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堤防</w:t>
            </w:r>
            <w:r>
              <w:rPr>
                <w:rFonts w:hint="eastAsia" w:ascii="宋体" w:hAnsi="宋体" w:eastAsia="宋体" w:cs="宋体"/>
                <w:color w:val="000000" w:themeColor="text1"/>
                <w:szCs w:val="21"/>
                <w14:textFill>
                  <w14:solidFill>
                    <w14:schemeClr w14:val="tx1"/>
                  </w14:solidFill>
                </w14:textFill>
              </w:rPr>
              <w:t>36处测压管高程校核</w:t>
            </w:r>
          </w:p>
        </w:tc>
        <w:tc>
          <w:tcPr>
            <w:tcW w:w="968" w:type="dxa"/>
            <w:vAlign w:val="center"/>
          </w:tcPr>
          <w:p w14:paraId="63A28C1A">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6DE5BB93">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2159F974">
            <w:pPr>
              <w:snapToGrid w:val="0"/>
              <w:ind w:left="0" w:leftChars="0" w:right="0" w:rightChars="0" w:firstLine="0" w:firstLineChars="0"/>
              <w:jc w:val="right"/>
              <w:rPr>
                <w:rFonts w:hint="eastAsia" w:ascii="宋体" w:hAnsi="宋体" w:eastAsia="宋体" w:cs="宋体"/>
                <w:b/>
                <w:bCs/>
                <w:color w:val="FF0000"/>
                <w:szCs w:val="21"/>
              </w:rPr>
            </w:pPr>
          </w:p>
        </w:tc>
      </w:tr>
      <w:tr w14:paraId="093C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restart"/>
            <w:vAlign w:val="center"/>
          </w:tcPr>
          <w:p w14:paraId="53A3334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蒙城局</w:t>
            </w:r>
          </w:p>
        </w:tc>
        <w:tc>
          <w:tcPr>
            <w:tcW w:w="1296" w:type="dxa"/>
            <w:vAlign w:val="center"/>
          </w:tcPr>
          <w:p w14:paraId="36F3763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阜蒙新河闸</w:t>
            </w:r>
          </w:p>
        </w:tc>
        <w:tc>
          <w:tcPr>
            <w:tcW w:w="1179" w:type="dxa"/>
            <w:vAlign w:val="center"/>
          </w:tcPr>
          <w:p w14:paraId="350B487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0CE7DC5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垂直位移：观测1次，监测点26个：</w:t>
            </w:r>
          </w:p>
          <w:p w14:paraId="35FBD62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（2）上下游河床冲刷和淤积：观测1次；</w:t>
            </w:r>
          </w:p>
          <w:p w14:paraId="1953A85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水位尺及测压管管口高程校核1</w:t>
            </w:r>
            <w:r>
              <w:rPr>
                <w:rFonts w:hint="eastAsia" w:ascii="宋体" w:hAnsi="宋体" w:eastAsia="宋体" w:cs="宋体"/>
                <w:color w:val="000000" w:themeColor="text1"/>
                <w:szCs w:val="21"/>
                <w14:textFill>
                  <w14:solidFill>
                    <w14:schemeClr w14:val="tx1"/>
                  </w14:solidFill>
                </w14:textFill>
              </w:rPr>
              <w:t>次；</w:t>
            </w:r>
            <w:r>
              <w:rPr>
                <w:rFonts w:hint="eastAsia" w:ascii="宋体" w:hAnsi="宋体" w:eastAsia="宋体" w:cs="宋体"/>
                <w:color w:val="000000" w:themeColor="text1"/>
                <w:szCs w:val="21"/>
                <w14:textFill>
                  <w14:solidFill>
                    <w14:schemeClr w14:val="tx1"/>
                  </w14:solidFill>
                </w14:textFill>
              </w:rPr>
              <w:t xml:space="preserve">                                        </w:t>
            </w:r>
          </w:p>
        </w:tc>
        <w:tc>
          <w:tcPr>
            <w:tcW w:w="968" w:type="dxa"/>
            <w:vAlign w:val="center"/>
          </w:tcPr>
          <w:p w14:paraId="396E6D2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restart"/>
            <w:vAlign w:val="center"/>
          </w:tcPr>
          <w:p w14:paraId="5C5E0639">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restart"/>
            <w:vAlign w:val="center"/>
          </w:tcPr>
          <w:p w14:paraId="1E21941F">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7</w:t>
            </w:r>
            <w:r>
              <w:rPr>
                <w:rFonts w:hint="eastAsia" w:ascii="宋体" w:hAnsi="宋体" w:eastAsia="宋体" w:cs="宋体"/>
                <w:b/>
                <w:bCs/>
                <w:color w:val="FF0000"/>
                <w:szCs w:val="21"/>
              </w:rPr>
              <w:t>万元</w:t>
            </w:r>
          </w:p>
        </w:tc>
      </w:tr>
      <w:tr w14:paraId="0AB2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659CA87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45F90C9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华阳沟涵</w:t>
            </w:r>
          </w:p>
        </w:tc>
        <w:tc>
          <w:tcPr>
            <w:tcW w:w="1179" w:type="dxa"/>
            <w:vAlign w:val="center"/>
          </w:tcPr>
          <w:p w14:paraId="7E64F1B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019AEDA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1）垂直位移：观测1次，监测点31个：</w:t>
            </w:r>
          </w:p>
          <w:p w14:paraId="2F9BDB3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2）水位尺校核1次</w:t>
            </w:r>
          </w:p>
        </w:tc>
        <w:tc>
          <w:tcPr>
            <w:tcW w:w="968" w:type="dxa"/>
            <w:vAlign w:val="center"/>
          </w:tcPr>
          <w:p w14:paraId="09367627">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095F5D9F">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2A97555F">
            <w:pPr>
              <w:snapToGrid w:val="0"/>
              <w:ind w:left="0" w:leftChars="0" w:right="0" w:rightChars="0" w:firstLine="0" w:firstLineChars="0"/>
              <w:jc w:val="right"/>
              <w:rPr>
                <w:rFonts w:hint="eastAsia" w:ascii="宋体" w:hAnsi="宋体" w:eastAsia="宋体" w:cs="宋体"/>
                <w:b/>
                <w:bCs/>
                <w:color w:val="FF0000"/>
                <w:szCs w:val="21"/>
              </w:rPr>
            </w:pPr>
          </w:p>
        </w:tc>
      </w:tr>
      <w:tr w14:paraId="2A3C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0D39EB4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0203EAA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丁花沟涵</w:t>
            </w:r>
          </w:p>
        </w:tc>
        <w:tc>
          <w:tcPr>
            <w:tcW w:w="1179" w:type="dxa"/>
            <w:vAlign w:val="center"/>
          </w:tcPr>
          <w:p w14:paraId="6B4EFC4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5030F09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1）垂直位移：观测1次，监测点22个：</w:t>
            </w:r>
          </w:p>
          <w:p w14:paraId="0089EFD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2）水位尺校核1次</w:t>
            </w:r>
          </w:p>
        </w:tc>
        <w:tc>
          <w:tcPr>
            <w:tcW w:w="968" w:type="dxa"/>
            <w:vAlign w:val="center"/>
          </w:tcPr>
          <w:p w14:paraId="46C242E0">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258C6152">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157E52D8">
            <w:pPr>
              <w:snapToGrid w:val="0"/>
              <w:ind w:left="0" w:leftChars="0" w:right="0" w:rightChars="0" w:firstLine="0" w:firstLineChars="0"/>
              <w:jc w:val="right"/>
              <w:rPr>
                <w:rFonts w:hint="eastAsia" w:ascii="宋体" w:hAnsi="宋体" w:eastAsia="宋体" w:cs="宋体"/>
                <w:b/>
                <w:bCs/>
                <w:color w:val="FF0000"/>
                <w:szCs w:val="21"/>
              </w:rPr>
            </w:pPr>
          </w:p>
        </w:tc>
      </w:tr>
      <w:tr w14:paraId="6CE1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716" w:type="dxa"/>
            <w:vMerge w:val="continue"/>
            <w:vAlign w:val="center"/>
          </w:tcPr>
          <w:p w14:paraId="7DE82C6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4EFC416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丁沟涵</w:t>
            </w:r>
          </w:p>
        </w:tc>
        <w:tc>
          <w:tcPr>
            <w:tcW w:w="1179" w:type="dxa"/>
            <w:vAlign w:val="center"/>
          </w:tcPr>
          <w:p w14:paraId="3E672D3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173F8F4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1）垂直位移：观测1次，监测点22个：</w:t>
            </w:r>
          </w:p>
          <w:p w14:paraId="7C682B8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2）水位尺校核1次</w:t>
            </w:r>
          </w:p>
        </w:tc>
        <w:tc>
          <w:tcPr>
            <w:tcW w:w="968" w:type="dxa"/>
            <w:vAlign w:val="center"/>
          </w:tcPr>
          <w:p w14:paraId="435B7FC3">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284136E1">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68E323D0">
            <w:pPr>
              <w:snapToGrid w:val="0"/>
              <w:ind w:left="0" w:leftChars="0" w:right="0" w:rightChars="0" w:firstLine="0" w:firstLineChars="0"/>
              <w:jc w:val="right"/>
              <w:rPr>
                <w:rFonts w:hint="eastAsia" w:ascii="宋体" w:hAnsi="宋体" w:eastAsia="宋体" w:cs="宋体"/>
                <w:b/>
                <w:bCs/>
                <w:color w:val="FF0000"/>
                <w:szCs w:val="21"/>
              </w:rPr>
            </w:pPr>
          </w:p>
        </w:tc>
      </w:tr>
      <w:tr w14:paraId="7F7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716" w:type="dxa"/>
            <w:vMerge w:val="continue"/>
            <w:vAlign w:val="center"/>
          </w:tcPr>
          <w:p w14:paraId="2C923B3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00F799A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长流沟涵</w:t>
            </w:r>
          </w:p>
        </w:tc>
        <w:tc>
          <w:tcPr>
            <w:tcW w:w="1179" w:type="dxa"/>
            <w:vAlign w:val="center"/>
          </w:tcPr>
          <w:p w14:paraId="35CE9D9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5280A8B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垂直位移：观测1次，监测点22个：</w:t>
            </w:r>
          </w:p>
          <w:p w14:paraId="2CD520E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水位尺校核</w:t>
            </w:r>
            <w:r>
              <w:rPr>
                <w:rFonts w:hint="eastAsia" w:ascii="宋体" w:hAnsi="宋体" w:eastAsia="宋体" w:cs="宋体"/>
                <w:color w:val="000000" w:themeColor="text1"/>
                <w:szCs w:val="21"/>
                <w14:textFill>
                  <w14:solidFill>
                    <w14:schemeClr w14:val="tx1"/>
                  </w14:solidFill>
                </w14:textFill>
              </w:rPr>
              <w:t>1次</w:t>
            </w:r>
          </w:p>
        </w:tc>
        <w:tc>
          <w:tcPr>
            <w:tcW w:w="968" w:type="dxa"/>
            <w:vAlign w:val="center"/>
          </w:tcPr>
          <w:p w14:paraId="075C7FD6">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02A0EB8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7277F853">
            <w:pPr>
              <w:snapToGrid w:val="0"/>
              <w:ind w:left="0" w:leftChars="0" w:right="0" w:rightChars="0" w:firstLine="0" w:firstLineChars="0"/>
              <w:jc w:val="right"/>
              <w:rPr>
                <w:rFonts w:hint="eastAsia" w:ascii="宋体" w:hAnsi="宋体" w:eastAsia="宋体" w:cs="宋体"/>
                <w:b/>
                <w:bCs/>
                <w:color w:val="FF0000"/>
                <w:szCs w:val="21"/>
              </w:rPr>
            </w:pPr>
          </w:p>
        </w:tc>
      </w:tr>
      <w:tr w14:paraId="02F1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716" w:type="dxa"/>
            <w:vMerge w:val="continue"/>
            <w:vAlign w:val="center"/>
          </w:tcPr>
          <w:p w14:paraId="3003649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0D37E90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双涧沟涵</w:t>
            </w:r>
          </w:p>
        </w:tc>
        <w:tc>
          <w:tcPr>
            <w:tcW w:w="1179" w:type="dxa"/>
            <w:vAlign w:val="center"/>
          </w:tcPr>
          <w:p w14:paraId="34F36D0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79AAD4A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1）垂直位移：观测1次，监测点26个：</w:t>
            </w:r>
          </w:p>
          <w:p w14:paraId="29ACD11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2）水位尺校核1次</w:t>
            </w:r>
          </w:p>
        </w:tc>
        <w:tc>
          <w:tcPr>
            <w:tcW w:w="968" w:type="dxa"/>
            <w:vAlign w:val="center"/>
          </w:tcPr>
          <w:p w14:paraId="65DEA26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2908CF4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2041D9F">
            <w:pPr>
              <w:snapToGrid w:val="0"/>
              <w:ind w:left="0" w:leftChars="0" w:right="0" w:rightChars="0" w:firstLine="0" w:firstLineChars="0"/>
              <w:jc w:val="right"/>
              <w:rPr>
                <w:rFonts w:hint="eastAsia" w:ascii="宋体" w:hAnsi="宋体" w:eastAsia="宋体" w:cs="宋体"/>
                <w:b/>
                <w:bCs/>
                <w:color w:val="FF0000"/>
                <w:szCs w:val="21"/>
              </w:rPr>
            </w:pPr>
          </w:p>
        </w:tc>
      </w:tr>
      <w:tr w14:paraId="3DFF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716" w:type="dxa"/>
            <w:vMerge w:val="restart"/>
            <w:vAlign w:val="center"/>
          </w:tcPr>
          <w:p w14:paraId="7D21489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怀远局</w:t>
            </w:r>
          </w:p>
        </w:tc>
        <w:tc>
          <w:tcPr>
            <w:tcW w:w="1296" w:type="dxa"/>
            <w:vAlign w:val="center"/>
          </w:tcPr>
          <w:p w14:paraId="00EA90F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芡河新闸</w:t>
            </w:r>
          </w:p>
        </w:tc>
        <w:tc>
          <w:tcPr>
            <w:tcW w:w="1179" w:type="dxa"/>
            <w:vAlign w:val="center"/>
          </w:tcPr>
          <w:p w14:paraId="41C72E1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113F04B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1）垂直位移：观测1次，观测点30个。</w:t>
            </w:r>
          </w:p>
          <w:p w14:paraId="39A4AAC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2）水位尺高程校核</w:t>
            </w:r>
            <w:r>
              <w:rPr>
                <w:rFonts w:hint="eastAsia" w:ascii="宋体" w:hAnsi="宋体" w:eastAsia="宋体" w:cs="宋体"/>
                <w:color w:val="000000" w:themeColor="text1"/>
                <w:szCs w:val="21"/>
                <w14:textFill>
                  <w14:solidFill>
                    <w14:schemeClr w14:val="tx1"/>
                  </w14:solidFill>
                </w14:textFill>
              </w:rPr>
              <w:t>1次</w:t>
            </w:r>
          </w:p>
        </w:tc>
        <w:tc>
          <w:tcPr>
            <w:tcW w:w="968" w:type="dxa"/>
            <w:vAlign w:val="center"/>
          </w:tcPr>
          <w:p w14:paraId="7D39A83A">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restart"/>
            <w:vAlign w:val="center"/>
          </w:tcPr>
          <w:p w14:paraId="27F7C1E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restart"/>
            <w:vAlign w:val="center"/>
          </w:tcPr>
          <w:p w14:paraId="66D61560">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15.9</w:t>
            </w:r>
            <w:r>
              <w:rPr>
                <w:rFonts w:hint="eastAsia" w:ascii="宋体" w:hAnsi="宋体" w:eastAsia="宋体" w:cs="宋体"/>
                <w:b/>
                <w:bCs/>
                <w:color w:val="FF0000"/>
                <w:szCs w:val="21"/>
              </w:rPr>
              <w:t>万元</w:t>
            </w:r>
          </w:p>
        </w:tc>
      </w:tr>
      <w:tr w14:paraId="6A0F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716" w:type="dxa"/>
            <w:vMerge w:val="continue"/>
            <w:vAlign w:val="center"/>
          </w:tcPr>
          <w:p w14:paraId="7B49651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49B71AB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刘桥闸</w:t>
            </w:r>
          </w:p>
        </w:tc>
        <w:tc>
          <w:tcPr>
            <w:tcW w:w="1179" w:type="dxa"/>
            <w:vAlign w:val="center"/>
          </w:tcPr>
          <w:p w14:paraId="10879FC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3E09D7A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1）垂直位移：观测1次，观测点24个。</w:t>
            </w:r>
          </w:p>
          <w:p w14:paraId="1AA3289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2）水位尺及测压管管口高程校核。</w:t>
            </w:r>
          </w:p>
        </w:tc>
        <w:tc>
          <w:tcPr>
            <w:tcW w:w="968" w:type="dxa"/>
            <w:vAlign w:val="center"/>
          </w:tcPr>
          <w:p w14:paraId="0059EE0C">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150E0220">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5744F34">
            <w:pPr>
              <w:snapToGrid w:val="0"/>
              <w:ind w:left="0" w:leftChars="0" w:right="0" w:rightChars="0" w:firstLine="0" w:firstLineChars="0"/>
              <w:jc w:val="right"/>
              <w:rPr>
                <w:rFonts w:hint="eastAsia" w:ascii="宋体" w:hAnsi="宋体" w:eastAsia="宋体" w:cs="宋体"/>
                <w:b/>
                <w:bCs/>
                <w:color w:val="FF0000"/>
                <w:szCs w:val="21"/>
              </w:rPr>
            </w:pPr>
          </w:p>
        </w:tc>
      </w:tr>
      <w:tr w14:paraId="2DEE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716" w:type="dxa"/>
            <w:vMerge w:val="continue"/>
            <w:vAlign w:val="center"/>
          </w:tcPr>
          <w:p w14:paraId="6DEEC94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7CAB9D6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新淝闸</w:t>
            </w:r>
          </w:p>
        </w:tc>
        <w:tc>
          <w:tcPr>
            <w:tcW w:w="1179" w:type="dxa"/>
            <w:vAlign w:val="center"/>
          </w:tcPr>
          <w:p w14:paraId="5EC33E2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0333689C">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1）垂直位移：观测1次，观测点26个。</w:t>
            </w:r>
          </w:p>
          <w:p w14:paraId="6640DC5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2）水位尺及测压管管口高程校核。</w:t>
            </w:r>
          </w:p>
        </w:tc>
        <w:tc>
          <w:tcPr>
            <w:tcW w:w="968" w:type="dxa"/>
            <w:vAlign w:val="center"/>
          </w:tcPr>
          <w:p w14:paraId="61530F17">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4A76C962">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4A18A13F">
            <w:pPr>
              <w:snapToGrid w:val="0"/>
              <w:ind w:left="0" w:leftChars="0" w:right="0" w:rightChars="0" w:firstLine="0" w:firstLineChars="0"/>
              <w:jc w:val="right"/>
              <w:rPr>
                <w:rFonts w:hint="eastAsia" w:ascii="宋体" w:hAnsi="宋体" w:eastAsia="宋体" w:cs="宋体"/>
                <w:b/>
                <w:bCs/>
                <w:color w:val="FF0000"/>
                <w:szCs w:val="21"/>
              </w:rPr>
            </w:pPr>
          </w:p>
        </w:tc>
      </w:tr>
      <w:tr w14:paraId="5960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16" w:type="dxa"/>
            <w:vMerge w:val="continue"/>
            <w:vAlign w:val="center"/>
          </w:tcPr>
          <w:p w14:paraId="3E9EA32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66E5EEB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西毛沟涵</w:t>
            </w:r>
          </w:p>
        </w:tc>
        <w:tc>
          <w:tcPr>
            <w:tcW w:w="1179" w:type="dxa"/>
            <w:vAlign w:val="center"/>
          </w:tcPr>
          <w:p w14:paraId="1E03399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7CC4692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1）垂直位移：观测1次，观测点26个。</w:t>
            </w:r>
          </w:p>
          <w:p w14:paraId="1602280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2）水位尺高程校核</w:t>
            </w:r>
            <w:r>
              <w:rPr>
                <w:rFonts w:hint="eastAsia" w:ascii="宋体" w:hAnsi="宋体" w:eastAsia="宋体" w:cs="宋体"/>
                <w:color w:val="000000" w:themeColor="text1"/>
                <w:szCs w:val="21"/>
                <w14:textFill>
                  <w14:solidFill>
                    <w14:schemeClr w14:val="tx1"/>
                  </w14:solidFill>
                </w14:textFill>
              </w:rPr>
              <w:t>1次</w:t>
            </w:r>
          </w:p>
        </w:tc>
        <w:tc>
          <w:tcPr>
            <w:tcW w:w="968" w:type="dxa"/>
            <w:vAlign w:val="center"/>
          </w:tcPr>
          <w:p w14:paraId="6BC7475F">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570A00BF">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35CB7555">
            <w:pPr>
              <w:snapToGrid w:val="0"/>
              <w:ind w:left="0" w:leftChars="0" w:right="0" w:rightChars="0" w:firstLine="0" w:firstLineChars="0"/>
              <w:jc w:val="right"/>
              <w:rPr>
                <w:rFonts w:hint="eastAsia" w:ascii="宋体" w:hAnsi="宋体" w:eastAsia="宋体" w:cs="宋体"/>
                <w:b/>
                <w:bCs/>
                <w:color w:val="FF0000"/>
                <w:szCs w:val="21"/>
              </w:rPr>
            </w:pPr>
          </w:p>
        </w:tc>
      </w:tr>
      <w:tr w14:paraId="37E3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790F0B1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51299F3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吴家沟涵（涡左）</w:t>
            </w:r>
          </w:p>
        </w:tc>
        <w:tc>
          <w:tcPr>
            <w:tcW w:w="1179" w:type="dxa"/>
            <w:vAlign w:val="center"/>
          </w:tcPr>
          <w:p w14:paraId="44CCDDD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0268309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1）垂直位移：观测1次，观测点21个。</w:t>
            </w:r>
          </w:p>
          <w:p w14:paraId="721BF6E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2）水位尺高程校核</w:t>
            </w:r>
            <w:r>
              <w:rPr>
                <w:rFonts w:hint="eastAsia" w:ascii="宋体" w:hAnsi="宋体" w:eastAsia="宋体" w:cs="宋体"/>
                <w:color w:val="000000" w:themeColor="text1"/>
                <w:szCs w:val="21"/>
                <w14:textFill>
                  <w14:solidFill>
                    <w14:schemeClr w14:val="tx1"/>
                  </w14:solidFill>
                </w14:textFill>
              </w:rPr>
              <w:t>1次</w:t>
            </w:r>
          </w:p>
        </w:tc>
        <w:tc>
          <w:tcPr>
            <w:tcW w:w="968" w:type="dxa"/>
            <w:vAlign w:val="center"/>
          </w:tcPr>
          <w:p w14:paraId="35DAE52A">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29965B7E">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0840C572">
            <w:pPr>
              <w:snapToGrid w:val="0"/>
              <w:ind w:left="0" w:leftChars="0" w:right="0" w:rightChars="0" w:firstLine="0" w:firstLineChars="0"/>
              <w:jc w:val="right"/>
              <w:rPr>
                <w:rFonts w:hint="eastAsia" w:ascii="宋体" w:hAnsi="宋体" w:eastAsia="宋体" w:cs="宋体"/>
                <w:b/>
                <w:bCs/>
                <w:color w:val="FF0000"/>
                <w:szCs w:val="21"/>
              </w:rPr>
            </w:pPr>
          </w:p>
        </w:tc>
      </w:tr>
      <w:tr w14:paraId="269B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297200B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15913AA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吴家沟涵（涡右）</w:t>
            </w:r>
          </w:p>
        </w:tc>
        <w:tc>
          <w:tcPr>
            <w:tcW w:w="1179" w:type="dxa"/>
            <w:vAlign w:val="center"/>
          </w:tcPr>
          <w:p w14:paraId="7F84D76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2648CBC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水位尺高程校核1次</w:t>
            </w:r>
          </w:p>
        </w:tc>
        <w:tc>
          <w:tcPr>
            <w:tcW w:w="968" w:type="dxa"/>
            <w:vAlign w:val="center"/>
          </w:tcPr>
          <w:p w14:paraId="51BF96FF">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3E108376">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1A902301">
            <w:pPr>
              <w:snapToGrid w:val="0"/>
              <w:ind w:left="0" w:leftChars="0" w:right="0" w:rightChars="0" w:firstLine="0" w:firstLineChars="0"/>
              <w:jc w:val="right"/>
              <w:rPr>
                <w:rFonts w:hint="eastAsia" w:ascii="宋体" w:hAnsi="宋体" w:eastAsia="宋体" w:cs="宋体"/>
                <w:b/>
                <w:bCs/>
                <w:color w:val="FF0000"/>
                <w:szCs w:val="21"/>
              </w:rPr>
            </w:pPr>
          </w:p>
        </w:tc>
      </w:tr>
      <w:tr w14:paraId="549F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716" w:type="dxa"/>
            <w:vMerge w:val="continue"/>
            <w:vAlign w:val="center"/>
          </w:tcPr>
          <w:p w14:paraId="3D8B462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23100B0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唐家沟涵</w:t>
            </w:r>
          </w:p>
        </w:tc>
        <w:tc>
          <w:tcPr>
            <w:tcW w:w="1179" w:type="dxa"/>
            <w:vAlign w:val="center"/>
          </w:tcPr>
          <w:p w14:paraId="398508B4">
            <w:pPr>
              <w:snapToGrid w:val="0"/>
              <w:ind w:left="0" w:leftChars="0" w:right="0" w:rightChars="0" w:firstLine="0" w:firstLineChars="0"/>
              <w:jc w:val="left"/>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3FABBB7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水位尺高程校核1次</w:t>
            </w:r>
          </w:p>
        </w:tc>
        <w:tc>
          <w:tcPr>
            <w:tcW w:w="968" w:type="dxa"/>
            <w:vAlign w:val="center"/>
          </w:tcPr>
          <w:p w14:paraId="3A4337B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3FBD5ADF">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E53EC5C">
            <w:pPr>
              <w:snapToGrid w:val="0"/>
              <w:ind w:left="0" w:leftChars="0" w:right="0" w:rightChars="0" w:firstLine="0" w:firstLineChars="0"/>
              <w:jc w:val="right"/>
              <w:rPr>
                <w:rFonts w:hint="eastAsia" w:ascii="宋体" w:hAnsi="宋体" w:eastAsia="宋体" w:cs="宋体"/>
                <w:b/>
                <w:bCs/>
                <w:color w:val="FF0000"/>
                <w:szCs w:val="21"/>
              </w:rPr>
            </w:pPr>
          </w:p>
        </w:tc>
      </w:tr>
      <w:tr w14:paraId="373B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716" w:type="dxa"/>
            <w:vMerge w:val="continue"/>
            <w:vAlign w:val="center"/>
          </w:tcPr>
          <w:p w14:paraId="0324675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269D817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钮家沟涵</w:t>
            </w:r>
          </w:p>
        </w:tc>
        <w:tc>
          <w:tcPr>
            <w:tcW w:w="1179" w:type="dxa"/>
            <w:vAlign w:val="center"/>
          </w:tcPr>
          <w:p w14:paraId="037CC505">
            <w:pPr>
              <w:snapToGrid w:val="0"/>
              <w:ind w:left="0" w:leftChars="0" w:right="0" w:rightChars="0" w:firstLine="0" w:firstLineChars="0"/>
              <w:jc w:val="left"/>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小型水闸</w:t>
            </w:r>
          </w:p>
        </w:tc>
        <w:tc>
          <w:tcPr>
            <w:tcW w:w="3040" w:type="dxa"/>
            <w:vAlign w:val="center"/>
          </w:tcPr>
          <w:p w14:paraId="649F14E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水位尺高程校核1次</w:t>
            </w:r>
          </w:p>
        </w:tc>
        <w:tc>
          <w:tcPr>
            <w:tcW w:w="968" w:type="dxa"/>
            <w:vAlign w:val="center"/>
          </w:tcPr>
          <w:p w14:paraId="45F2A63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08DF1E7E">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72A17614">
            <w:pPr>
              <w:snapToGrid w:val="0"/>
              <w:ind w:left="0" w:leftChars="0" w:right="0" w:rightChars="0" w:firstLine="0" w:firstLineChars="0"/>
              <w:jc w:val="right"/>
              <w:rPr>
                <w:rFonts w:hint="eastAsia" w:ascii="宋体" w:hAnsi="宋体" w:eastAsia="宋体" w:cs="宋体"/>
                <w:b/>
                <w:bCs/>
                <w:color w:val="FF0000"/>
                <w:szCs w:val="21"/>
              </w:rPr>
            </w:pPr>
          </w:p>
        </w:tc>
      </w:tr>
      <w:tr w14:paraId="2B5A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0A6207B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6DCFE5B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怀远沙沟堤段</w:t>
            </w:r>
          </w:p>
        </w:tc>
        <w:tc>
          <w:tcPr>
            <w:tcW w:w="1179" w:type="dxa"/>
            <w:vMerge w:val="restart"/>
            <w:vAlign w:val="center"/>
          </w:tcPr>
          <w:p w14:paraId="5BAD0B6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重点堤段</w:t>
            </w:r>
          </w:p>
        </w:tc>
        <w:tc>
          <w:tcPr>
            <w:tcW w:w="3040" w:type="dxa"/>
            <w:vAlign w:val="center"/>
          </w:tcPr>
          <w:p w14:paraId="189A56F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7407FE13">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71AB1AC2">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4C2E680E">
            <w:pPr>
              <w:snapToGrid w:val="0"/>
              <w:ind w:left="0" w:leftChars="0" w:right="0" w:rightChars="0" w:firstLine="0" w:firstLineChars="0"/>
              <w:jc w:val="right"/>
              <w:rPr>
                <w:rFonts w:hint="eastAsia" w:ascii="宋体" w:hAnsi="宋体" w:eastAsia="宋体" w:cs="宋体"/>
                <w:b/>
                <w:bCs/>
                <w:color w:val="FF0000"/>
                <w:szCs w:val="21"/>
              </w:rPr>
            </w:pPr>
          </w:p>
        </w:tc>
      </w:tr>
      <w:tr w14:paraId="09F8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55120D2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308E7F6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怀远杜黄湾堤段</w:t>
            </w:r>
          </w:p>
        </w:tc>
        <w:tc>
          <w:tcPr>
            <w:tcW w:w="1179" w:type="dxa"/>
            <w:vMerge w:val="continue"/>
            <w:vAlign w:val="center"/>
          </w:tcPr>
          <w:p w14:paraId="65BB93F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6829933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1E00E52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23637936">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3A2DCC02">
            <w:pPr>
              <w:snapToGrid w:val="0"/>
              <w:ind w:left="0" w:leftChars="0" w:right="0" w:rightChars="0" w:firstLine="0" w:firstLineChars="0"/>
              <w:jc w:val="right"/>
              <w:rPr>
                <w:rFonts w:hint="eastAsia" w:ascii="宋体" w:hAnsi="宋体" w:eastAsia="宋体" w:cs="宋体"/>
                <w:b/>
                <w:bCs/>
                <w:color w:val="FF0000"/>
                <w:szCs w:val="21"/>
              </w:rPr>
            </w:pPr>
          </w:p>
        </w:tc>
      </w:tr>
      <w:tr w14:paraId="22A2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1235DC5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37528C4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怀远涡南堤段</w:t>
            </w:r>
          </w:p>
        </w:tc>
        <w:tc>
          <w:tcPr>
            <w:tcW w:w="1179" w:type="dxa"/>
            <w:vMerge w:val="continue"/>
            <w:vAlign w:val="center"/>
          </w:tcPr>
          <w:p w14:paraId="74DD8DF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729BF95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64B9A339">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40B79E1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F38D722">
            <w:pPr>
              <w:snapToGrid w:val="0"/>
              <w:ind w:left="0" w:leftChars="0" w:right="0" w:rightChars="0" w:firstLine="0" w:firstLineChars="0"/>
              <w:jc w:val="right"/>
              <w:rPr>
                <w:rFonts w:hint="eastAsia" w:ascii="宋体" w:hAnsi="宋体" w:eastAsia="宋体" w:cs="宋体"/>
                <w:b/>
                <w:bCs/>
                <w:color w:val="FF0000"/>
                <w:szCs w:val="21"/>
              </w:rPr>
            </w:pPr>
          </w:p>
        </w:tc>
      </w:tr>
      <w:tr w14:paraId="095C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3FCF4C3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0EAC3A8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怀远双沟堤段</w:t>
            </w:r>
          </w:p>
        </w:tc>
        <w:tc>
          <w:tcPr>
            <w:tcW w:w="1179" w:type="dxa"/>
            <w:vMerge w:val="continue"/>
            <w:vAlign w:val="center"/>
          </w:tcPr>
          <w:p w14:paraId="004EA870">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64A07E2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7C151B46">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50C44AFC">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157D7772">
            <w:pPr>
              <w:snapToGrid w:val="0"/>
              <w:ind w:left="0" w:leftChars="0" w:right="0" w:rightChars="0" w:firstLine="0" w:firstLineChars="0"/>
              <w:jc w:val="right"/>
              <w:rPr>
                <w:rFonts w:hint="eastAsia" w:ascii="宋体" w:hAnsi="宋体" w:eastAsia="宋体" w:cs="宋体"/>
                <w:b/>
                <w:bCs/>
                <w:color w:val="FF0000"/>
                <w:szCs w:val="21"/>
              </w:rPr>
            </w:pPr>
          </w:p>
        </w:tc>
      </w:tr>
      <w:tr w14:paraId="6586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2D1ED03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1225DB0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怀远团湖站堤段</w:t>
            </w:r>
          </w:p>
        </w:tc>
        <w:tc>
          <w:tcPr>
            <w:tcW w:w="1179" w:type="dxa"/>
            <w:vMerge w:val="continue"/>
            <w:vAlign w:val="center"/>
          </w:tcPr>
          <w:p w14:paraId="5150F66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2A09E393">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近岸河床冲淤变化观测1次、沉降观测1次</w:t>
            </w:r>
          </w:p>
        </w:tc>
        <w:tc>
          <w:tcPr>
            <w:tcW w:w="968" w:type="dxa"/>
            <w:vAlign w:val="center"/>
          </w:tcPr>
          <w:p w14:paraId="586C588A">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4F8D93AD">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0567431F">
            <w:pPr>
              <w:snapToGrid w:val="0"/>
              <w:ind w:left="0" w:leftChars="0" w:right="0" w:rightChars="0" w:firstLine="0" w:firstLineChars="0"/>
              <w:jc w:val="right"/>
              <w:rPr>
                <w:rFonts w:hint="eastAsia" w:ascii="宋体" w:hAnsi="宋体" w:eastAsia="宋体" w:cs="宋体"/>
                <w:b/>
                <w:bCs/>
                <w:color w:val="FF0000"/>
                <w:szCs w:val="21"/>
              </w:rPr>
            </w:pPr>
          </w:p>
        </w:tc>
      </w:tr>
      <w:tr w14:paraId="5DFC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798CA8C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24343A0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怀远河溜堤段</w:t>
            </w:r>
          </w:p>
        </w:tc>
        <w:tc>
          <w:tcPr>
            <w:tcW w:w="1179" w:type="dxa"/>
            <w:vMerge w:val="continue"/>
            <w:vAlign w:val="center"/>
          </w:tcPr>
          <w:p w14:paraId="02A30712">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4352FFED">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w:t>
            </w:r>
          </w:p>
        </w:tc>
        <w:tc>
          <w:tcPr>
            <w:tcW w:w="968" w:type="dxa"/>
            <w:vAlign w:val="center"/>
          </w:tcPr>
          <w:p w14:paraId="6230FE6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0C9C2443">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5D27E153">
            <w:pPr>
              <w:snapToGrid w:val="0"/>
              <w:ind w:left="0" w:leftChars="0" w:right="0" w:rightChars="0" w:firstLine="0" w:firstLineChars="0"/>
              <w:jc w:val="right"/>
              <w:rPr>
                <w:rFonts w:hint="eastAsia" w:ascii="宋体" w:hAnsi="宋体" w:eastAsia="宋体" w:cs="宋体"/>
                <w:b/>
                <w:bCs/>
                <w:color w:val="FF0000"/>
                <w:szCs w:val="21"/>
              </w:rPr>
            </w:pPr>
          </w:p>
        </w:tc>
      </w:tr>
      <w:tr w14:paraId="3799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2ADE365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29D776A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怀远南湖堤段</w:t>
            </w:r>
          </w:p>
        </w:tc>
        <w:tc>
          <w:tcPr>
            <w:tcW w:w="1179" w:type="dxa"/>
            <w:vMerge w:val="continue"/>
            <w:vAlign w:val="center"/>
          </w:tcPr>
          <w:p w14:paraId="49EFD6B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110CC92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近岸河床冲淤变化观测1次</w:t>
            </w:r>
          </w:p>
        </w:tc>
        <w:tc>
          <w:tcPr>
            <w:tcW w:w="968" w:type="dxa"/>
            <w:vAlign w:val="center"/>
          </w:tcPr>
          <w:p w14:paraId="328CB5A1">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5B20B5A2">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10E4E105">
            <w:pPr>
              <w:snapToGrid w:val="0"/>
              <w:ind w:left="0" w:leftChars="0" w:right="0" w:rightChars="0" w:firstLine="0" w:firstLineChars="0"/>
              <w:jc w:val="right"/>
              <w:rPr>
                <w:rFonts w:hint="eastAsia" w:ascii="宋体" w:hAnsi="宋体" w:eastAsia="宋体" w:cs="宋体"/>
                <w:b/>
                <w:bCs/>
                <w:color w:val="FF0000"/>
                <w:szCs w:val="21"/>
              </w:rPr>
            </w:pPr>
          </w:p>
        </w:tc>
      </w:tr>
      <w:tr w14:paraId="74CE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0BBEB4D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2E2C1A3C">
            <w:pPr>
              <w:snapToGrid w:val="0"/>
              <w:ind w:left="0" w:leftChars="0" w:right="0" w:rightChars="0" w:firstLine="0" w:firstLineChars="0"/>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淮北大堤怀远段</w:t>
            </w:r>
          </w:p>
        </w:tc>
        <w:tc>
          <w:tcPr>
            <w:tcW w:w="1179" w:type="dxa"/>
            <w:vMerge w:val="continue"/>
            <w:vAlign w:val="center"/>
          </w:tcPr>
          <w:p w14:paraId="6CF734E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3040" w:type="dxa"/>
            <w:vAlign w:val="center"/>
          </w:tcPr>
          <w:p w14:paraId="62B487B5">
            <w:pPr>
              <w:snapToGrid w:val="0"/>
              <w:ind w:left="0" w:leftChars="0" w:right="0" w:rightChars="0" w:firstLine="0" w:firstLineChars="0"/>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堤防</w:t>
            </w:r>
            <w:r>
              <w:rPr>
                <w:rFonts w:hint="eastAsia" w:ascii="宋体" w:hAnsi="宋体" w:eastAsia="宋体" w:cs="宋体"/>
                <w:bCs/>
                <w:color w:val="000000" w:themeColor="text1"/>
                <w:szCs w:val="21"/>
                <w14:textFill>
                  <w14:solidFill>
                    <w14:schemeClr w14:val="tx1"/>
                  </w14:solidFill>
                </w14:textFill>
              </w:rPr>
              <w:t>12处测压管高程校核</w:t>
            </w:r>
          </w:p>
        </w:tc>
        <w:tc>
          <w:tcPr>
            <w:tcW w:w="968" w:type="dxa"/>
            <w:vAlign w:val="center"/>
          </w:tcPr>
          <w:p w14:paraId="42C72137">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6C521B7C">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24F56274">
            <w:pPr>
              <w:snapToGrid w:val="0"/>
              <w:ind w:left="0" w:leftChars="0" w:right="0" w:rightChars="0" w:firstLine="0" w:firstLineChars="0"/>
              <w:jc w:val="right"/>
              <w:rPr>
                <w:rFonts w:hint="eastAsia" w:ascii="宋体" w:hAnsi="宋体" w:eastAsia="宋体" w:cs="宋体"/>
                <w:b/>
                <w:bCs/>
                <w:color w:val="FF0000"/>
                <w:szCs w:val="21"/>
              </w:rPr>
            </w:pPr>
          </w:p>
        </w:tc>
      </w:tr>
      <w:tr w14:paraId="6B53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716" w:type="dxa"/>
            <w:vMerge w:val="restart"/>
            <w:vAlign w:val="center"/>
          </w:tcPr>
          <w:p w14:paraId="3AAC759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五河局</w:t>
            </w:r>
          </w:p>
        </w:tc>
        <w:tc>
          <w:tcPr>
            <w:tcW w:w="1296" w:type="dxa"/>
            <w:vAlign w:val="center"/>
          </w:tcPr>
          <w:p w14:paraId="0529160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北淝闸</w:t>
            </w:r>
          </w:p>
        </w:tc>
        <w:tc>
          <w:tcPr>
            <w:tcW w:w="1179" w:type="dxa"/>
            <w:vAlign w:val="center"/>
          </w:tcPr>
          <w:p w14:paraId="143EC60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474029A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1）垂直位移：观测1次，监测点34个；</w:t>
            </w:r>
          </w:p>
          <w:p w14:paraId="038AB21B">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2）上下游河床冲刷和淤积：观测1次；</w:t>
            </w:r>
          </w:p>
          <w:p w14:paraId="7ADF5F6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3）水位尺及测压管管口高程校核；</w:t>
            </w:r>
          </w:p>
        </w:tc>
        <w:tc>
          <w:tcPr>
            <w:tcW w:w="968" w:type="dxa"/>
            <w:vAlign w:val="center"/>
          </w:tcPr>
          <w:p w14:paraId="665B7843">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restart"/>
            <w:vAlign w:val="center"/>
          </w:tcPr>
          <w:p w14:paraId="5E2182C5">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restart"/>
            <w:vAlign w:val="center"/>
          </w:tcPr>
          <w:p w14:paraId="46A2B701">
            <w:pPr>
              <w:snapToGrid w:val="0"/>
              <w:ind w:left="0" w:leftChars="0" w:right="0" w:rightChars="0" w:firstLine="0" w:firstLineChars="0"/>
              <w:jc w:val="right"/>
              <w:rPr>
                <w:rFonts w:hint="eastAsia" w:ascii="宋体" w:hAnsi="宋体" w:eastAsia="宋体" w:cs="宋体"/>
                <w:b/>
                <w:bCs/>
                <w:color w:val="FF0000"/>
                <w:szCs w:val="21"/>
              </w:rPr>
            </w:pPr>
            <w:r>
              <w:rPr>
                <w:rFonts w:hint="eastAsia" w:ascii="宋体" w:hAnsi="宋体" w:eastAsia="宋体" w:cs="宋体"/>
                <w:b/>
                <w:bCs/>
                <w:color w:val="FF0000"/>
                <w:szCs w:val="21"/>
              </w:rPr>
              <w:t>分项限价</w:t>
            </w:r>
            <w:r>
              <w:rPr>
                <w:rFonts w:hint="eastAsia" w:ascii="宋体" w:hAnsi="宋体" w:eastAsia="宋体" w:cs="宋体"/>
                <w:b/>
                <w:bCs/>
                <w:color w:val="FF0000"/>
                <w:szCs w:val="21"/>
              </w:rPr>
              <w:t>6.7</w:t>
            </w:r>
            <w:r>
              <w:rPr>
                <w:rFonts w:hint="eastAsia" w:ascii="宋体" w:hAnsi="宋体" w:eastAsia="宋体" w:cs="宋体"/>
                <w:b/>
                <w:bCs/>
                <w:color w:val="FF0000"/>
                <w:szCs w:val="21"/>
              </w:rPr>
              <w:t>万元</w:t>
            </w:r>
          </w:p>
        </w:tc>
      </w:tr>
      <w:tr w14:paraId="4F78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79FE2A57">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26AB3ABA">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五河分洪闸</w:t>
            </w:r>
          </w:p>
        </w:tc>
        <w:tc>
          <w:tcPr>
            <w:tcW w:w="1179" w:type="dxa"/>
            <w:vAlign w:val="center"/>
          </w:tcPr>
          <w:p w14:paraId="11F8B36F">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中型水闸</w:t>
            </w:r>
          </w:p>
        </w:tc>
        <w:tc>
          <w:tcPr>
            <w:tcW w:w="3040" w:type="dxa"/>
            <w:vAlign w:val="center"/>
          </w:tcPr>
          <w:p w14:paraId="0D08763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1）垂直位移：观测1次，监测点19个；</w:t>
            </w:r>
          </w:p>
          <w:p w14:paraId="18AB6A4E">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2）上下游河床冲刷和淤积：观测1次；</w:t>
            </w:r>
          </w:p>
          <w:p w14:paraId="0319FBC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3）水位尺及测压管管口高程校核；</w:t>
            </w:r>
          </w:p>
        </w:tc>
        <w:tc>
          <w:tcPr>
            <w:tcW w:w="968" w:type="dxa"/>
            <w:vAlign w:val="center"/>
          </w:tcPr>
          <w:p w14:paraId="16DC685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209BBF2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12011B14">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r>
      <w:tr w14:paraId="1474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Merge w:val="continue"/>
            <w:vAlign w:val="center"/>
          </w:tcPr>
          <w:p w14:paraId="5FF60696">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7C67950F">
            <w:pPr>
              <w:widowControl/>
              <w:snapToGrid w:val="0"/>
              <w:ind w:left="0" w:leftChars="0" w:right="0" w:rightChars="0" w:firstLine="0" w:firstLineChars="0"/>
              <w:jc w:val="left"/>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临北裂缝堤段</w:t>
            </w:r>
          </w:p>
          <w:p w14:paraId="2CCE6839">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（桩号</w:t>
            </w:r>
            <w:r>
              <w:rPr>
                <w:rFonts w:hint="eastAsia" w:ascii="宋体" w:hAnsi="宋体" w:eastAsia="宋体" w:cs="宋体"/>
                <w:color w:val="000000" w:themeColor="text1"/>
                <w:kern w:val="0"/>
                <w:szCs w:val="21"/>
                <w:lang w:bidi="ar"/>
                <w14:textFill>
                  <w14:solidFill>
                    <w14:schemeClr w14:val="tx1"/>
                  </w14:solidFill>
                </w14:textFill>
              </w:rPr>
              <w:t>38+700～40+200）</w:t>
            </w:r>
          </w:p>
        </w:tc>
        <w:tc>
          <w:tcPr>
            <w:tcW w:w="1179" w:type="dxa"/>
            <w:vAlign w:val="center"/>
          </w:tcPr>
          <w:p w14:paraId="05810B48">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重点堤段</w:t>
            </w:r>
          </w:p>
        </w:tc>
        <w:tc>
          <w:tcPr>
            <w:tcW w:w="3040" w:type="dxa"/>
            <w:vAlign w:val="center"/>
          </w:tcPr>
          <w:p w14:paraId="429A81F4">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沉降观测（38+700-40+200）汛前、汛后各1次</w:t>
            </w:r>
          </w:p>
        </w:tc>
        <w:tc>
          <w:tcPr>
            <w:tcW w:w="968" w:type="dxa"/>
            <w:vAlign w:val="center"/>
          </w:tcPr>
          <w:p w14:paraId="3C783B58">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Merge w:val="continue"/>
            <w:vAlign w:val="center"/>
          </w:tcPr>
          <w:p w14:paraId="6B89604E">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Merge w:val="continue"/>
            <w:vAlign w:val="center"/>
          </w:tcPr>
          <w:p w14:paraId="1040792A">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r>
      <w:tr w14:paraId="2F60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716" w:type="dxa"/>
            <w:vMerge w:val="continue"/>
            <w:vAlign w:val="center"/>
          </w:tcPr>
          <w:p w14:paraId="6663BD35">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p>
        </w:tc>
        <w:tc>
          <w:tcPr>
            <w:tcW w:w="1296" w:type="dxa"/>
            <w:vAlign w:val="center"/>
          </w:tcPr>
          <w:p w14:paraId="1B5E88ED">
            <w:pPr>
              <w:widowControl/>
              <w:snapToGrid w:val="0"/>
              <w:ind w:left="0" w:leftChars="0" w:right="0" w:rightChars="0" w:firstLine="0" w:firstLineChars="0"/>
              <w:jc w:val="left"/>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淮北大堤五河段</w:t>
            </w:r>
          </w:p>
        </w:tc>
        <w:tc>
          <w:tcPr>
            <w:tcW w:w="1179" w:type="dxa"/>
            <w:vAlign w:val="center"/>
          </w:tcPr>
          <w:p w14:paraId="14B7AA71">
            <w:pPr>
              <w:snapToGrid w:val="0"/>
              <w:ind w:left="0" w:leftChars="0" w:right="0" w:rightChars="0" w:firstLine="0" w:firstLineChars="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重点堤段</w:t>
            </w:r>
          </w:p>
        </w:tc>
        <w:tc>
          <w:tcPr>
            <w:tcW w:w="3040" w:type="dxa"/>
            <w:vAlign w:val="center"/>
          </w:tcPr>
          <w:p w14:paraId="65126952">
            <w:pPr>
              <w:snapToGrid w:val="0"/>
              <w:ind w:left="0" w:leftChars="0" w:right="0" w:rightChars="0" w:firstLine="0" w:firstLineChars="0"/>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堤防</w:t>
            </w:r>
            <w:r>
              <w:rPr>
                <w:rFonts w:hint="eastAsia" w:ascii="宋体" w:hAnsi="宋体" w:eastAsia="宋体" w:cs="宋体"/>
                <w:bCs/>
                <w:color w:val="000000" w:themeColor="text1"/>
                <w:szCs w:val="21"/>
                <w14:textFill>
                  <w14:solidFill>
                    <w14:schemeClr w14:val="tx1"/>
                  </w14:solidFill>
                </w14:textFill>
              </w:rPr>
              <w:t>8处测压管高程校核</w:t>
            </w:r>
          </w:p>
        </w:tc>
        <w:tc>
          <w:tcPr>
            <w:tcW w:w="968" w:type="dxa"/>
            <w:vAlign w:val="center"/>
          </w:tcPr>
          <w:p w14:paraId="0E5F5871">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968" w:type="dxa"/>
            <w:vAlign w:val="center"/>
          </w:tcPr>
          <w:p w14:paraId="7AD09EDE">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c>
          <w:tcPr>
            <w:tcW w:w="1108" w:type="dxa"/>
            <w:vAlign w:val="center"/>
          </w:tcPr>
          <w:p w14:paraId="306BB737">
            <w:pPr>
              <w:snapToGrid w:val="0"/>
              <w:ind w:left="0" w:leftChars="0" w:right="0" w:rightChars="0" w:firstLine="0" w:firstLineChars="0"/>
              <w:jc w:val="right"/>
              <w:rPr>
                <w:rFonts w:hint="eastAsia" w:ascii="宋体" w:hAnsi="宋体" w:eastAsia="宋体" w:cs="宋体"/>
                <w:color w:val="000000" w:themeColor="text1"/>
                <w:szCs w:val="21"/>
                <w14:textFill>
                  <w14:solidFill>
                    <w14:schemeClr w14:val="tx1"/>
                  </w14:solidFill>
                </w14:textFill>
              </w:rPr>
            </w:pPr>
          </w:p>
        </w:tc>
      </w:tr>
      <w:tr w14:paraId="6B19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179" w:type="dxa"/>
            <w:gridSpan w:val="3"/>
            <w:vAlign w:val="center"/>
          </w:tcPr>
          <w:p w14:paraId="0AE3B903">
            <w:pPr>
              <w:snapToGrid w:val="0"/>
              <w:ind w:left="0" w:leftChars="0" w:right="0" w:rightChars="0" w:firstLine="0" w:firstLineChars="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lang w:val="en-US" w:eastAsia="zh-CN"/>
                <w14:textFill>
                  <w14:solidFill>
                    <w14:schemeClr w14:val="tx1"/>
                  </w14:solidFill>
                </w14:textFill>
              </w:rPr>
              <w:t>合计（元）</w:t>
            </w:r>
          </w:p>
        </w:tc>
        <w:tc>
          <w:tcPr>
            <w:tcW w:w="3040" w:type="dxa"/>
            <w:vAlign w:val="center"/>
          </w:tcPr>
          <w:p w14:paraId="69291249">
            <w:pPr>
              <w:snapToGrid w:val="0"/>
              <w:ind w:left="0" w:leftChars="0" w:right="0" w:rightChars="0" w:firstLine="0" w:firstLineChars="0"/>
              <w:jc w:val="left"/>
              <w:rPr>
                <w:rFonts w:hint="eastAsia" w:ascii="宋体" w:hAnsi="宋体" w:eastAsia="宋体" w:cs="宋体"/>
                <w:b/>
                <w:bCs/>
                <w:color w:val="000000" w:themeColor="text1"/>
                <w:szCs w:val="21"/>
                <w14:textFill>
                  <w14:solidFill>
                    <w14:schemeClr w14:val="tx1"/>
                  </w14:solidFill>
                </w14:textFill>
              </w:rPr>
            </w:pPr>
          </w:p>
        </w:tc>
        <w:tc>
          <w:tcPr>
            <w:tcW w:w="968" w:type="dxa"/>
            <w:vAlign w:val="center"/>
          </w:tcPr>
          <w:p w14:paraId="09744F4D">
            <w:pPr>
              <w:snapToGrid w:val="0"/>
              <w:ind w:left="0" w:leftChars="0" w:right="0" w:rightChars="0" w:firstLine="0" w:firstLineChars="0"/>
              <w:jc w:val="right"/>
              <w:rPr>
                <w:rFonts w:hint="eastAsia" w:ascii="宋体" w:hAnsi="宋体" w:eastAsia="宋体" w:cs="宋体"/>
                <w:b/>
                <w:color w:val="000000" w:themeColor="text1"/>
                <w:szCs w:val="21"/>
                <w14:textFill>
                  <w14:solidFill>
                    <w14:schemeClr w14:val="tx1"/>
                  </w14:solidFill>
                </w14:textFill>
              </w:rPr>
            </w:pPr>
          </w:p>
        </w:tc>
        <w:tc>
          <w:tcPr>
            <w:tcW w:w="968" w:type="dxa"/>
            <w:vAlign w:val="center"/>
          </w:tcPr>
          <w:p w14:paraId="5A8E3F0B">
            <w:pPr>
              <w:snapToGrid w:val="0"/>
              <w:ind w:left="0" w:leftChars="0" w:right="0" w:rightChars="0" w:firstLine="0" w:firstLineChars="0"/>
              <w:jc w:val="right"/>
              <w:rPr>
                <w:rFonts w:hint="eastAsia" w:ascii="宋体" w:hAnsi="宋体" w:eastAsia="宋体" w:cs="宋体"/>
                <w:b/>
                <w:color w:val="000000" w:themeColor="text1"/>
                <w:szCs w:val="21"/>
                <w14:textFill>
                  <w14:solidFill>
                    <w14:schemeClr w14:val="tx1"/>
                  </w14:solidFill>
                </w14:textFill>
              </w:rPr>
            </w:pPr>
          </w:p>
        </w:tc>
        <w:tc>
          <w:tcPr>
            <w:tcW w:w="1108" w:type="dxa"/>
            <w:vAlign w:val="center"/>
          </w:tcPr>
          <w:p w14:paraId="247C7062">
            <w:pPr>
              <w:snapToGrid w:val="0"/>
              <w:ind w:left="0" w:leftChars="0" w:right="0" w:rightChars="0" w:firstLine="0" w:firstLineChars="0"/>
              <w:jc w:val="right"/>
              <w:rPr>
                <w:rFonts w:hint="eastAsia" w:ascii="宋体" w:hAnsi="宋体" w:eastAsia="宋体" w:cs="宋体"/>
                <w:b/>
                <w:color w:val="000000" w:themeColor="text1"/>
                <w:szCs w:val="21"/>
                <w14:textFill>
                  <w14:solidFill>
                    <w14:schemeClr w14:val="tx1"/>
                  </w14:solidFill>
                </w14:textFill>
              </w:rPr>
            </w:pPr>
          </w:p>
        </w:tc>
      </w:tr>
    </w:tbl>
    <w:p w14:paraId="3BEC5F3C">
      <w:pPr>
        <w:pStyle w:val="22"/>
        <w:ind w:left="0" w:leftChars="0" w:firstLine="0" w:firstLineChars="0"/>
        <w:rPr>
          <w:rFonts w:hint="eastAsia" w:ascii="宋体" w:hAnsi="宋体" w:eastAsia="宋体" w:cs="宋体"/>
        </w:rPr>
      </w:pPr>
    </w:p>
    <w:p w14:paraId="2FAB5D13">
      <w:pPr>
        <w:spacing w:line="360" w:lineRule="auto"/>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5C1E81BC">
      <w:pPr>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1963EF5A">
      <w:pPr>
        <w:adjustRightInd w:val="0"/>
        <w:snapToGrid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注：</w:t>
      </w:r>
    </w:p>
    <w:p w14:paraId="29E2124F">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rPr>
        <w:t>表中所列服务为对应本项目需求的全部服务内容。如有漏项或缺项，供应商承担全部责任。</w:t>
      </w:r>
    </w:p>
    <w:p w14:paraId="60E52688">
      <w:pPr>
        <w:rPr>
          <w:rFonts w:hint="eastAsia" w:ascii="宋体" w:hAnsi="宋体" w:eastAsia="宋体" w:cs="宋体"/>
          <w:b/>
          <w:bCs/>
          <w:sz w:val="24"/>
          <w:szCs w:val="28"/>
        </w:rPr>
      </w:pPr>
      <w:r>
        <w:rPr>
          <w:rFonts w:hint="eastAsia" w:ascii="宋体" w:hAnsi="宋体" w:eastAsia="宋体" w:cs="宋体"/>
          <w:b/>
          <w:bCs/>
          <w:sz w:val="24"/>
          <w:szCs w:val="28"/>
        </w:rPr>
        <w:br w:type="page"/>
      </w:r>
    </w:p>
    <w:p w14:paraId="23C829C2">
      <w:pPr>
        <w:widowControl/>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第2包临淮岗</w:t>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1888"/>
        <w:gridCol w:w="656"/>
        <w:gridCol w:w="657"/>
        <w:gridCol w:w="1025"/>
        <w:gridCol w:w="1025"/>
        <w:gridCol w:w="2615"/>
      </w:tblGrid>
      <w:tr w14:paraId="76AC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7"/>
            <w:tcBorders>
              <w:top w:val="nil"/>
              <w:left w:val="nil"/>
              <w:bottom w:val="single" w:color="000000" w:sz="4" w:space="0"/>
              <w:right w:val="single" w:color="000000" w:sz="4" w:space="0"/>
            </w:tcBorders>
            <w:shd w:val="clear" w:color="auto" w:fill="FFFFFF"/>
            <w:noWrap/>
            <w:vAlign w:val="center"/>
          </w:tcPr>
          <w:p w14:paraId="66170810">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2026年临淮岗主坝和水闸位移及河道断面测量项目</w:t>
            </w:r>
          </w:p>
        </w:tc>
      </w:tr>
      <w:tr w14:paraId="5197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902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DC78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0F0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0593B">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7B40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2438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208E0">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72D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87A4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1E178">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姜唐湖进洪闸</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FBDE6">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60B7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39506">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E29E6">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1E3C6">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大（1）型，垂直位移和水平位移观测各2次（汛前、汛后），垂直52个点，水平38个点，含2个水位尺高程校核</w:t>
            </w:r>
          </w:p>
        </w:tc>
      </w:tr>
      <w:tr w14:paraId="3D79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45277">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78F9">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浅孔闸</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B1CF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490D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409DB">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68D4F">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C565C">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大（1）型，垂直位移和水平位移观测各2次（汛前、汛后），垂直30个点，水平19个点，含2个水位尺高程校核</w:t>
            </w:r>
          </w:p>
        </w:tc>
      </w:tr>
      <w:tr w14:paraId="363C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FECE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6B24E">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深孔闸</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BD15">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C99D9">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FF581">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21E7F">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8C1E7">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1.大（1）型，垂直位移和水平位移观测各2次（汛前、汛后），垂直44个点，水平44个点，含2个水位尺高程校核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2.河道断面监测2次（汛前、汛后），共13条</w:t>
            </w:r>
          </w:p>
        </w:tc>
      </w:tr>
      <w:tr w14:paraId="2570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6EA25">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5AB7C">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临淮岗船闸</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2699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8CF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72377">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24BFD">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F7415">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1.500T级，垂直位移和水平位移观测各2次（汛前、汛后），垂直66个点，水平6个点，含2个水位尺高程校核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2.河道断面监测2次（汛前、汛后），共14条</w:t>
            </w:r>
          </w:p>
        </w:tc>
      </w:tr>
      <w:tr w14:paraId="4D3C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99DE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2D419">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城西湖退水闸</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A801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1965">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F6970">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64E8C">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3FE8E">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1.大（2）型，垂直位移和水平位移观测各2次（汛前、汛后），垂直24个点，水平15个点，含2个水位尺高程校核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2.河道断面监测2次（汛前、汛后），共12条</w:t>
            </w:r>
          </w:p>
        </w:tc>
      </w:tr>
      <w:tr w14:paraId="5A0C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D5D0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86F3C">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姜唐湖退水闸</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313A2">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E1E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23DF1">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A6C1F">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B54FF">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大（2）型，垂直位移和水平位移观测各2次（汛前、汛后），垂直15个点，水平17个点，含2个水位尺高程校核</w:t>
            </w:r>
          </w:p>
        </w:tc>
      </w:tr>
      <w:tr w14:paraId="4334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7522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C7880">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临淮岗主坝</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6B65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EE03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6E7E8">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FF331">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065A1">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全长8.54km，垂直位移和水平位移观测各2次（汛前、汛后），垂直82个点，水平82个点</w:t>
            </w:r>
          </w:p>
        </w:tc>
      </w:tr>
      <w:tr w14:paraId="7347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9935B">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A9DD">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陶坝闸</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622C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1A63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C4C70">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EA1FA">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CEBFB">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中型闸，垂直位移2次（汛前、汛后），垂直26个点，2个观测基点</w:t>
            </w:r>
          </w:p>
        </w:tc>
      </w:tr>
      <w:tr w14:paraId="6E78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6D67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51D0F">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张集闸</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A677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603B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27B0F">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E076C">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EA0BD">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中型闸，垂直位移和水平位移观测各2次（汛前、汛后），垂直38个点，水平5个点，2个观测基点</w:t>
            </w:r>
          </w:p>
        </w:tc>
      </w:tr>
      <w:tr w14:paraId="42A7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AE1B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C098E">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分析报告</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15E6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05BC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713A5">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2FCE9">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05868">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将我局2次自行观测数据一并处理，编进分析报告</w:t>
            </w:r>
          </w:p>
        </w:tc>
      </w:tr>
      <w:tr w14:paraId="5E94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0B51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b/>
                <w:bCs/>
                <w:i w:val="0"/>
                <w:iCs w:val="0"/>
                <w:color w:val="FF0000"/>
                <w:sz w:val="20"/>
                <w:szCs w:val="22"/>
                <w:u w:val="none"/>
              </w:rPr>
            </w:pPr>
            <w:r>
              <w:rPr>
                <w:rFonts w:hint="eastAsia" w:ascii="宋体" w:hAnsi="宋体" w:eastAsia="宋体" w:cs="宋体"/>
                <w:b/>
                <w:bCs/>
                <w:i w:val="0"/>
                <w:iCs w:val="0"/>
                <w:color w:val="FF0000"/>
                <w:kern w:val="0"/>
                <w:sz w:val="20"/>
                <w:szCs w:val="22"/>
                <w:u w:val="none"/>
                <w:lang w:val="en-US" w:eastAsia="zh-CN" w:bidi="ar"/>
              </w:rPr>
              <w:t>11</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6CB8C">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b/>
                <w:bCs/>
                <w:i w:val="0"/>
                <w:iCs w:val="0"/>
                <w:color w:val="FF0000"/>
                <w:sz w:val="20"/>
                <w:szCs w:val="22"/>
                <w:u w:val="none"/>
              </w:rPr>
            </w:pPr>
            <w:r>
              <w:rPr>
                <w:rFonts w:hint="eastAsia" w:ascii="宋体" w:hAnsi="宋体" w:eastAsia="宋体" w:cs="宋体"/>
                <w:b/>
                <w:bCs/>
                <w:i w:val="0"/>
                <w:iCs w:val="0"/>
                <w:color w:val="FF0000"/>
                <w:kern w:val="0"/>
                <w:sz w:val="20"/>
                <w:szCs w:val="22"/>
                <w:u w:val="none"/>
                <w:lang w:val="en-US" w:eastAsia="zh-CN" w:bidi="ar"/>
              </w:rPr>
              <w:t>水闸及主坝测压管高程复核</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14702">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b/>
                <w:bCs/>
                <w:i w:val="0"/>
                <w:iCs w:val="0"/>
                <w:color w:val="FF0000"/>
                <w:sz w:val="20"/>
                <w:szCs w:val="22"/>
                <w:u w:val="none"/>
              </w:rPr>
            </w:pPr>
            <w:r>
              <w:rPr>
                <w:rFonts w:hint="eastAsia" w:ascii="宋体" w:hAnsi="宋体" w:eastAsia="宋体" w:cs="宋体"/>
                <w:b/>
                <w:bCs/>
                <w:i w:val="0"/>
                <w:iCs w:val="0"/>
                <w:color w:val="FF0000"/>
                <w:kern w:val="0"/>
                <w:sz w:val="20"/>
                <w:szCs w:val="22"/>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867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b/>
                <w:bCs/>
                <w:i w:val="0"/>
                <w:iCs w:val="0"/>
                <w:color w:val="FF0000"/>
                <w:sz w:val="20"/>
                <w:szCs w:val="22"/>
                <w:u w:val="none"/>
              </w:rPr>
            </w:pPr>
            <w:r>
              <w:rPr>
                <w:rFonts w:hint="eastAsia" w:ascii="宋体" w:hAnsi="宋体" w:eastAsia="宋体" w:cs="宋体"/>
                <w:b/>
                <w:bCs/>
                <w:i w:val="0"/>
                <w:iCs w:val="0"/>
                <w:color w:val="FF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B22DD">
            <w:pPr>
              <w:snapToGrid w:val="0"/>
              <w:spacing w:line="240" w:lineRule="auto"/>
              <w:ind w:left="0" w:leftChars="0" w:right="0" w:rightChars="0" w:firstLine="0" w:firstLineChars="0"/>
              <w:jc w:val="right"/>
              <w:rPr>
                <w:rFonts w:hint="eastAsia" w:ascii="宋体" w:hAnsi="宋体" w:eastAsia="宋体" w:cs="宋体"/>
                <w:b/>
                <w:bCs/>
                <w:i w:val="0"/>
                <w:iCs w:val="0"/>
                <w:color w:val="FF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34E3B">
            <w:pPr>
              <w:snapToGrid w:val="0"/>
              <w:spacing w:line="240" w:lineRule="auto"/>
              <w:ind w:left="0" w:leftChars="0" w:right="0" w:rightChars="0" w:firstLine="0" w:firstLineChars="0"/>
              <w:jc w:val="right"/>
              <w:rPr>
                <w:rFonts w:hint="eastAsia" w:ascii="宋体" w:hAnsi="宋体" w:eastAsia="宋体" w:cs="宋体"/>
                <w:b/>
                <w:bCs/>
                <w:i w:val="0"/>
                <w:iCs w:val="0"/>
                <w:color w:val="FF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88E92">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水闸处236支测压管，姜唐湖退水闸6支，张集闸18支</w:t>
            </w:r>
          </w:p>
        </w:tc>
      </w:tr>
      <w:tr w14:paraId="26C9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AA45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34959">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观测墩拆除重做</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1828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座</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5B2E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2289D">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21332">
            <w:pPr>
              <w:snapToGrid w:val="0"/>
              <w:spacing w:line="240" w:lineRule="auto"/>
              <w:ind w:left="0" w:leftChars="0" w:right="0" w:rightChars="0" w:firstLine="0" w:firstLineChars="0"/>
              <w:jc w:val="right"/>
              <w:rPr>
                <w:rFonts w:hint="eastAsia" w:ascii="宋体" w:hAnsi="宋体" w:eastAsia="宋体" w:cs="宋体"/>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9392F">
            <w:pPr>
              <w:keepNext w:val="0"/>
              <w:keepLines w:val="0"/>
              <w:widowControl/>
              <w:suppressLineNumbers w:val="0"/>
              <w:snapToGrid w:val="0"/>
              <w:spacing w:line="240" w:lineRule="auto"/>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浅孔闸北，原工作基点拆除、重新选址修建新工作基点，符合《水闸安全监测技术规范》（SL 768）</w:t>
            </w:r>
          </w:p>
        </w:tc>
      </w:tr>
      <w:tr w14:paraId="4C97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C715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b/>
                <w:i w:val="0"/>
                <w:iCs w:val="0"/>
                <w:color w:val="000000"/>
                <w:sz w:val="20"/>
                <w:szCs w:val="22"/>
                <w:u w:val="none"/>
                <w:lang w:val="en-US"/>
              </w:rPr>
            </w:pPr>
            <w:r>
              <w:rPr>
                <w:rFonts w:hint="eastAsia" w:ascii="宋体" w:hAnsi="宋体" w:eastAsia="宋体" w:cs="宋体"/>
                <w:b/>
                <w:i w:val="0"/>
                <w:iCs w:val="0"/>
                <w:color w:val="000000"/>
                <w:kern w:val="0"/>
                <w:sz w:val="20"/>
                <w:szCs w:val="22"/>
                <w:u w:val="none"/>
                <w:lang w:val="en-US" w:eastAsia="zh-CN" w:bidi="ar"/>
              </w:rPr>
              <w:t>合计（元）</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64B28">
            <w:pPr>
              <w:snapToGrid w:val="0"/>
              <w:spacing w:line="240" w:lineRule="auto"/>
              <w:ind w:left="0" w:leftChars="0" w:right="0" w:rightChars="0" w:firstLine="0" w:firstLineChars="0"/>
              <w:jc w:val="center"/>
              <w:rPr>
                <w:rFonts w:hint="eastAsia" w:ascii="宋体" w:hAnsi="宋体" w:eastAsia="宋体" w:cs="宋体"/>
                <w:b/>
                <w:i w:val="0"/>
                <w:iCs w:val="0"/>
                <w:color w:val="000000"/>
                <w:sz w:val="20"/>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6325">
            <w:pPr>
              <w:snapToGrid w:val="0"/>
              <w:spacing w:line="240" w:lineRule="auto"/>
              <w:ind w:left="0" w:leftChars="0" w:right="0" w:rightChars="0" w:firstLine="0" w:firstLineChars="0"/>
              <w:jc w:val="center"/>
              <w:rPr>
                <w:rFonts w:hint="eastAsia" w:ascii="宋体" w:hAnsi="宋体" w:eastAsia="宋体" w:cs="宋体"/>
                <w:b/>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76467">
            <w:pPr>
              <w:snapToGrid w:val="0"/>
              <w:spacing w:line="240" w:lineRule="auto"/>
              <w:ind w:left="0" w:leftChars="0" w:right="0" w:rightChars="0" w:firstLine="0" w:firstLineChars="0"/>
              <w:jc w:val="right"/>
              <w:rPr>
                <w:rFonts w:hint="eastAsia" w:ascii="宋体" w:hAnsi="宋体" w:eastAsia="宋体" w:cs="宋体"/>
                <w:b/>
                <w:i w:val="0"/>
                <w:iCs w:val="0"/>
                <w:color w:val="000000"/>
                <w:sz w:val="20"/>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F6AF1">
            <w:pPr>
              <w:snapToGrid w:val="0"/>
              <w:spacing w:line="240" w:lineRule="auto"/>
              <w:ind w:left="0" w:leftChars="0" w:right="0" w:rightChars="0" w:firstLine="0" w:firstLineChars="0"/>
              <w:jc w:val="right"/>
              <w:rPr>
                <w:rFonts w:hint="eastAsia" w:ascii="宋体" w:hAnsi="宋体" w:eastAsia="宋体" w:cs="宋体"/>
                <w:b/>
                <w:i w:val="0"/>
                <w:iCs w:val="0"/>
                <w:color w:val="000000"/>
                <w:sz w:val="20"/>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BE3C1">
            <w:pPr>
              <w:snapToGrid w:val="0"/>
              <w:spacing w:line="240" w:lineRule="auto"/>
              <w:ind w:left="0" w:leftChars="0" w:right="0" w:rightChars="0" w:firstLine="0" w:firstLineChars="0"/>
              <w:jc w:val="left"/>
              <w:rPr>
                <w:rFonts w:hint="eastAsia" w:ascii="宋体" w:hAnsi="宋体" w:eastAsia="宋体" w:cs="宋体"/>
                <w:b/>
                <w:i w:val="0"/>
                <w:iCs w:val="0"/>
                <w:color w:val="000000"/>
                <w:sz w:val="20"/>
                <w:szCs w:val="20"/>
                <w:u w:val="none"/>
              </w:rPr>
            </w:pPr>
          </w:p>
        </w:tc>
      </w:tr>
      <w:tr w14:paraId="57B6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99C77">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备注：1.水闸沉降监测精度需满足二等水准测量规范要求。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2.平面系统采用2000国家大地坐标系，高程系统采用1985国家高程基准。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3.自行收集近几年来不少于3个测次的大型水闸垂直位移观测数据及上下游引河断面数据。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4.观测任务结束后提交监测资料整编及分析报告。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5.所有监测服务均包含基准点及工作基点复核工作。</w:t>
            </w:r>
          </w:p>
        </w:tc>
      </w:tr>
    </w:tbl>
    <w:p w14:paraId="5415F5DB">
      <w:pPr>
        <w:spacing w:line="360" w:lineRule="auto"/>
        <w:jc w:val="center"/>
        <w:rPr>
          <w:rFonts w:hint="eastAsia" w:ascii="宋体" w:hAnsi="宋体" w:eastAsia="宋体" w:cs="宋体"/>
          <w:sz w:val="24"/>
          <w:lang w:val="en-US" w:eastAsia="zh-CN"/>
        </w:rPr>
      </w:pPr>
      <w:bookmarkStart w:id="188" w:name="_Toc520983588"/>
      <w:bookmarkStart w:id="189" w:name="_Toc32436"/>
      <w:bookmarkStart w:id="190" w:name="_Toc28695"/>
      <w:r>
        <w:rPr>
          <w:rFonts w:hint="eastAsia" w:ascii="宋体" w:hAnsi="宋体" w:eastAsia="宋体" w:cs="宋体"/>
          <w:sz w:val="24"/>
          <w:lang w:val="en-US" w:eastAsia="zh-CN"/>
        </w:rPr>
        <w:t xml:space="preserve">              </w:t>
      </w:r>
    </w:p>
    <w:p w14:paraId="2F4C6D46">
      <w:pPr>
        <w:spacing w:line="360" w:lineRule="auto"/>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71C9E0A6">
      <w:pPr>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3A25021C">
      <w:pPr>
        <w:adjustRightInd w:val="0"/>
        <w:snapToGrid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注：</w:t>
      </w:r>
    </w:p>
    <w:p w14:paraId="5A71EE7C">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rPr>
        <w:t>表中所列服务为对应本项目需求的全部服务内容。如有漏项或缺项，供应商承担全部责任。</w:t>
      </w:r>
    </w:p>
    <w:p w14:paraId="65D5226B">
      <w:pPr>
        <w:rPr>
          <w:rFonts w:hint="eastAsia" w:ascii="宋体" w:hAnsi="宋体" w:eastAsia="宋体" w:cs="宋体"/>
          <w:b/>
          <w:bCs/>
          <w:sz w:val="24"/>
          <w:szCs w:val="28"/>
        </w:rPr>
      </w:pPr>
      <w:r>
        <w:rPr>
          <w:rFonts w:hint="eastAsia" w:ascii="宋体" w:hAnsi="宋体" w:eastAsia="宋体" w:cs="宋体"/>
          <w:b/>
          <w:bCs/>
          <w:sz w:val="24"/>
          <w:szCs w:val="28"/>
        </w:rPr>
        <w:br w:type="page"/>
      </w:r>
    </w:p>
    <w:p w14:paraId="6C48E71E">
      <w:pPr>
        <w:rPr>
          <w:rFonts w:hint="eastAsia" w:ascii="宋体" w:hAnsi="宋体" w:eastAsia="宋体" w:cs="宋体"/>
          <w:b/>
          <w:sz w:val="24"/>
          <w:lang w:val="en-US" w:eastAsia="zh-CN"/>
        </w:rPr>
      </w:pPr>
    </w:p>
    <w:p w14:paraId="52041455">
      <w:pPr>
        <w:spacing w:line="360" w:lineRule="auto"/>
        <w:jc w:val="center"/>
        <w:outlineLvl w:val="9"/>
        <w:rPr>
          <w:rFonts w:hint="eastAsia" w:ascii="宋体" w:hAnsi="宋体" w:eastAsia="宋体" w:cs="宋体"/>
          <w:b/>
          <w:sz w:val="24"/>
        </w:rPr>
      </w:pPr>
      <w:r>
        <w:rPr>
          <w:rFonts w:hint="eastAsia" w:ascii="宋体" w:hAnsi="宋体" w:eastAsia="宋体" w:cs="宋体"/>
          <w:b/>
          <w:sz w:val="24"/>
          <w:lang w:val="en-US" w:eastAsia="zh-CN"/>
        </w:rPr>
        <w:t>1-3</w:t>
      </w:r>
      <w:r>
        <w:rPr>
          <w:rFonts w:hint="eastAsia" w:ascii="宋体" w:hAnsi="宋体" w:eastAsia="宋体" w:cs="宋体"/>
          <w:b/>
          <w:sz w:val="24"/>
        </w:rPr>
        <w:t>最后承诺报价表</w:t>
      </w:r>
      <w:bookmarkEnd w:id="188"/>
      <w:bookmarkEnd w:id="189"/>
      <w:bookmarkEnd w:id="190"/>
    </w:p>
    <w:p w14:paraId="018CF46C">
      <w:pPr>
        <w:spacing w:before="156" w:beforeLines="50" w:after="156" w:afterLines="50" w:line="360" w:lineRule="auto"/>
        <w:ind w:firstLine="236" w:firstLineChars="98"/>
        <w:jc w:val="center"/>
        <w:rPr>
          <w:rFonts w:hint="eastAsia" w:ascii="宋体" w:hAnsi="宋体" w:eastAsia="宋体" w:cs="宋体"/>
          <w:b/>
          <w:sz w:val="24"/>
          <w:szCs w:val="28"/>
        </w:rPr>
      </w:pPr>
      <w:r>
        <w:rPr>
          <w:rFonts w:hint="eastAsia" w:ascii="宋体" w:hAnsi="宋体" w:eastAsia="宋体" w:cs="宋体"/>
          <w:b/>
          <w:sz w:val="24"/>
          <w:szCs w:val="28"/>
        </w:rPr>
        <w:t>（第</w:t>
      </w:r>
      <w:r>
        <w:rPr>
          <w:rFonts w:hint="eastAsia" w:ascii="宋体" w:hAnsi="宋体" w:eastAsia="宋体" w:cs="宋体"/>
          <w:b/>
          <w:sz w:val="24"/>
          <w:szCs w:val="28"/>
          <w:u w:val="single"/>
        </w:rPr>
        <w:t xml:space="preserve">   </w:t>
      </w:r>
      <w:r>
        <w:rPr>
          <w:rFonts w:hint="eastAsia" w:ascii="宋体" w:hAnsi="宋体" w:eastAsia="宋体" w:cs="宋体"/>
          <w:b/>
          <w:sz w:val="24"/>
          <w:szCs w:val="28"/>
        </w:rPr>
        <w:t>次报价书）</w:t>
      </w:r>
    </w:p>
    <w:p w14:paraId="17898A29">
      <w:pPr>
        <w:snapToGrid w:val="0"/>
        <w:spacing w:line="360" w:lineRule="auto"/>
        <w:jc w:val="left"/>
        <w:rPr>
          <w:rFonts w:hint="eastAsia" w:ascii="宋体" w:hAnsi="宋体" w:eastAsia="宋体" w:cs="宋体"/>
          <w:b/>
          <w:sz w:val="24"/>
          <w:szCs w:val="28"/>
        </w:rPr>
      </w:pPr>
      <w:r>
        <w:rPr>
          <w:rFonts w:hint="eastAsia" w:ascii="宋体" w:hAnsi="宋体" w:eastAsia="宋体" w:cs="宋体"/>
          <w:b/>
          <w:sz w:val="24"/>
          <w:szCs w:val="28"/>
        </w:rPr>
        <w:t>项目名称：</w:t>
      </w:r>
      <w:r>
        <w:rPr>
          <w:rFonts w:hint="eastAsia" w:ascii="宋体" w:hAnsi="宋体" w:eastAsia="宋体" w:cs="宋体"/>
          <w:b/>
          <w:sz w:val="24"/>
          <w:szCs w:val="28"/>
          <w:u w:val="single"/>
        </w:rPr>
        <w:t xml:space="preserve">          </w:t>
      </w:r>
    </w:p>
    <w:p w14:paraId="1285FFD8">
      <w:pPr>
        <w:snapToGrid w:val="0"/>
        <w:spacing w:after="156" w:afterLines="50" w:line="360" w:lineRule="auto"/>
        <w:jc w:val="left"/>
        <w:rPr>
          <w:rFonts w:hint="eastAsia" w:ascii="宋体" w:hAnsi="宋体" w:eastAsia="宋体" w:cs="宋体"/>
          <w:b/>
          <w:bCs/>
          <w:sz w:val="24"/>
          <w:szCs w:val="28"/>
        </w:rPr>
      </w:pPr>
      <w:r>
        <w:rPr>
          <w:rFonts w:hint="eastAsia" w:ascii="宋体" w:hAnsi="宋体" w:eastAsia="宋体" w:cs="宋体"/>
          <w:b/>
          <w:sz w:val="24"/>
          <w:szCs w:val="28"/>
        </w:rPr>
        <w:t>项目编号：</w:t>
      </w:r>
      <w:r>
        <w:rPr>
          <w:rFonts w:hint="eastAsia" w:ascii="宋体" w:hAnsi="宋体" w:eastAsia="宋体" w:cs="宋体"/>
          <w:b/>
          <w:sz w:val="24"/>
          <w:szCs w:val="28"/>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EAD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9B4C23F">
            <w:pPr>
              <w:spacing w:line="360" w:lineRule="auto"/>
              <w:jc w:val="center"/>
              <w:rPr>
                <w:rFonts w:hint="eastAsia" w:ascii="宋体" w:hAnsi="宋体" w:eastAsia="宋体" w:cs="宋体"/>
                <w:b/>
                <w:sz w:val="24"/>
              </w:rPr>
            </w:pPr>
            <w:r>
              <w:rPr>
                <w:rFonts w:hint="eastAsia" w:ascii="宋体" w:hAnsi="宋体" w:eastAsia="宋体" w:cs="宋体"/>
                <w:b/>
                <w:sz w:val="24"/>
              </w:rPr>
              <w:t>供应商名称</w:t>
            </w:r>
          </w:p>
        </w:tc>
        <w:tc>
          <w:tcPr>
            <w:tcW w:w="3557" w:type="pct"/>
            <w:tcBorders>
              <w:left w:val="single" w:color="auto" w:sz="4" w:space="0"/>
            </w:tcBorders>
          </w:tcPr>
          <w:p w14:paraId="668CB2A1">
            <w:pPr>
              <w:spacing w:line="360" w:lineRule="auto"/>
              <w:rPr>
                <w:rFonts w:hint="eastAsia" w:ascii="宋体" w:hAnsi="宋体" w:eastAsia="宋体" w:cs="宋体"/>
                <w:b/>
                <w:sz w:val="24"/>
              </w:rPr>
            </w:pPr>
          </w:p>
        </w:tc>
      </w:tr>
      <w:tr w14:paraId="5E46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8F00062">
            <w:pPr>
              <w:spacing w:line="360" w:lineRule="exact"/>
              <w:jc w:val="center"/>
              <w:rPr>
                <w:rFonts w:hint="eastAsia" w:ascii="宋体" w:hAnsi="宋体" w:eastAsia="宋体" w:cs="宋体"/>
                <w:b/>
                <w:sz w:val="24"/>
              </w:rPr>
            </w:pPr>
            <w:r>
              <w:rPr>
                <w:rFonts w:hint="eastAsia" w:ascii="宋体" w:hAnsi="宋体" w:eastAsia="宋体" w:cs="宋体"/>
                <w:b/>
                <w:bCs/>
                <w:sz w:val="24"/>
                <w:szCs w:val="28"/>
              </w:rPr>
              <w:t>磋商</w:t>
            </w:r>
            <w:r>
              <w:rPr>
                <w:rFonts w:hint="eastAsia" w:ascii="宋体" w:hAnsi="宋体" w:eastAsia="宋体" w:cs="宋体"/>
                <w:b/>
                <w:sz w:val="24"/>
              </w:rPr>
              <w:t>范围</w:t>
            </w:r>
          </w:p>
        </w:tc>
        <w:tc>
          <w:tcPr>
            <w:tcW w:w="3557" w:type="pct"/>
            <w:tcBorders>
              <w:left w:val="single" w:color="auto" w:sz="4" w:space="0"/>
            </w:tcBorders>
            <w:vAlign w:val="center"/>
          </w:tcPr>
          <w:p w14:paraId="1A4B8552">
            <w:pPr>
              <w:widowControl/>
              <w:spacing w:line="360" w:lineRule="exact"/>
              <w:rPr>
                <w:rFonts w:hint="eastAsia" w:ascii="宋体" w:hAnsi="宋体" w:eastAsia="宋体" w:cs="宋体"/>
                <w:b/>
                <w:sz w:val="24"/>
              </w:rPr>
            </w:pPr>
            <w:r>
              <w:rPr>
                <w:rFonts w:hint="eastAsia" w:ascii="宋体" w:hAnsi="宋体" w:eastAsia="宋体" w:cs="宋体"/>
                <w:sz w:val="24"/>
                <w:szCs w:val="28"/>
              </w:rPr>
              <w:t>全部</w:t>
            </w:r>
          </w:p>
        </w:tc>
      </w:tr>
      <w:tr w14:paraId="1F1E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443" w:type="pct"/>
            <w:tcBorders>
              <w:top w:val="single" w:color="auto" w:sz="4" w:space="0"/>
            </w:tcBorders>
            <w:vAlign w:val="center"/>
          </w:tcPr>
          <w:p w14:paraId="4ECA239C">
            <w:pPr>
              <w:spacing w:line="360" w:lineRule="auto"/>
              <w:jc w:val="center"/>
              <w:rPr>
                <w:rFonts w:hint="eastAsia" w:ascii="宋体" w:hAnsi="宋体" w:eastAsia="宋体" w:cs="宋体"/>
                <w:b/>
                <w:sz w:val="24"/>
              </w:rPr>
            </w:pPr>
            <w:r>
              <w:rPr>
                <w:rFonts w:hint="eastAsia" w:ascii="宋体" w:hAnsi="宋体" w:eastAsia="宋体" w:cs="宋体"/>
                <w:b/>
                <w:bCs/>
                <w:sz w:val="24"/>
                <w:szCs w:val="28"/>
              </w:rPr>
              <w:t>最后报价</w:t>
            </w:r>
          </w:p>
          <w:p w14:paraId="3BC4F7A8">
            <w:pPr>
              <w:spacing w:line="360" w:lineRule="auto"/>
              <w:jc w:val="center"/>
              <w:rPr>
                <w:rFonts w:hint="eastAsia" w:ascii="宋体" w:hAnsi="宋体" w:eastAsia="宋体" w:cs="宋体"/>
                <w:b/>
                <w:sz w:val="24"/>
              </w:rPr>
            </w:pPr>
            <w:r>
              <w:rPr>
                <w:rFonts w:hint="eastAsia" w:ascii="宋体" w:hAnsi="宋体" w:eastAsia="宋体" w:cs="宋体"/>
                <w:b/>
                <w:sz w:val="24"/>
              </w:rPr>
              <w:t>（详见备注说明）</w:t>
            </w:r>
          </w:p>
        </w:tc>
        <w:tc>
          <w:tcPr>
            <w:tcW w:w="3557" w:type="pct"/>
            <w:vAlign w:val="center"/>
          </w:tcPr>
          <w:p w14:paraId="0E5DB5A9">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3C0ECEC4">
            <w:pPr>
              <w:spacing w:line="360" w:lineRule="auto"/>
              <w:ind w:right="-670"/>
              <w:rPr>
                <w:rFonts w:hint="eastAsia" w:ascii="宋体" w:hAnsi="宋体" w:eastAsia="宋体" w:cs="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元）</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p>
        </w:tc>
      </w:tr>
      <w:tr w14:paraId="4FFD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443" w:type="pct"/>
            <w:vAlign w:val="center"/>
          </w:tcPr>
          <w:p w14:paraId="02AE2BE9">
            <w:pPr>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c>
          <w:tcPr>
            <w:tcW w:w="3557" w:type="pct"/>
          </w:tcPr>
          <w:p w14:paraId="6ED72D9C">
            <w:pPr>
              <w:spacing w:line="360" w:lineRule="auto"/>
              <w:rPr>
                <w:rFonts w:hint="eastAsia" w:ascii="宋体" w:hAnsi="宋体" w:eastAsia="宋体" w:cs="宋体"/>
                <w:b/>
                <w:sz w:val="24"/>
              </w:rPr>
            </w:pPr>
            <w:r>
              <w:rPr>
                <w:rFonts w:hint="eastAsia" w:ascii="宋体" w:hAnsi="宋体" w:eastAsia="宋体" w:cs="宋体"/>
                <w:b/>
                <w:i/>
                <w:sz w:val="24"/>
              </w:rPr>
              <w:t>（此处可补充磋商小组根据与供应商磋商情况变动的磋商文件的内容，包括采购需求中的技术、服务要求以及合同草案条款。）</w:t>
            </w:r>
          </w:p>
        </w:tc>
      </w:tr>
      <w:tr w14:paraId="3567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4F24E4D9">
            <w:pPr>
              <w:spacing w:line="360" w:lineRule="auto"/>
              <w:jc w:val="center"/>
              <w:rPr>
                <w:rFonts w:hint="eastAsia" w:ascii="宋体" w:hAnsi="宋体" w:eastAsia="宋体" w:cs="宋体"/>
                <w:b/>
                <w:sz w:val="24"/>
              </w:rPr>
            </w:pPr>
            <w:r>
              <w:rPr>
                <w:rFonts w:hint="eastAsia" w:ascii="宋体" w:hAnsi="宋体" w:eastAsia="宋体" w:cs="宋体"/>
                <w:b/>
                <w:bCs/>
                <w:sz w:val="24"/>
                <w:szCs w:val="28"/>
              </w:rPr>
              <w:t>磋商小组签字</w:t>
            </w:r>
          </w:p>
        </w:tc>
        <w:tc>
          <w:tcPr>
            <w:tcW w:w="3557" w:type="pct"/>
          </w:tcPr>
          <w:p w14:paraId="556C4387">
            <w:pPr>
              <w:spacing w:line="360" w:lineRule="auto"/>
              <w:rPr>
                <w:rFonts w:hint="eastAsia" w:ascii="宋体" w:hAnsi="宋体" w:eastAsia="宋体" w:cs="宋体"/>
                <w:b/>
                <w:sz w:val="24"/>
              </w:rPr>
            </w:pPr>
          </w:p>
        </w:tc>
      </w:tr>
    </w:tbl>
    <w:p w14:paraId="5F686351">
      <w:pPr>
        <w:spacing w:line="360" w:lineRule="auto"/>
        <w:ind w:firstLine="3600" w:firstLineChars="1500"/>
        <w:jc w:val="left"/>
        <w:rPr>
          <w:rFonts w:hint="eastAsia" w:ascii="宋体" w:hAnsi="宋体" w:eastAsia="宋体" w:cs="宋体"/>
          <w:sz w:val="24"/>
        </w:rPr>
      </w:pPr>
      <w:r>
        <w:rPr>
          <w:rFonts w:hint="eastAsia" w:ascii="宋体" w:hAnsi="宋体" w:eastAsia="宋体" w:cs="宋体"/>
          <w:sz w:val="24"/>
        </w:rPr>
        <w:t>供应商公章或授权代表签字：</w:t>
      </w:r>
      <w:r>
        <w:rPr>
          <w:rFonts w:hint="eastAsia" w:ascii="宋体" w:hAnsi="宋体" w:eastAsia="宋体" w:cs="宋体"/>
          <w:sz w:val="24"/>
          <w:u w:val="single"/>
        </w:rPr>
        <w:t xml:space="preserve">             </w:t>
      </w:r>
    </w:p>
    <w:p w14:paraId="42B71695">
      <w:pPr>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04EA2B26">
      <w:pPr>
        <w:spacing w:line="360" w:lineRule="auto"/>
        <w:jc w:val="left"/>
        <w:rPr>
          <w:rFonts w:hint="eastAsia" w:ascii="宋体" w:hAnsi="宋体" w:eastAsia="宋体" w:cs="宋体"/>
          <w:b/>
          <w:bCs/>
          <w:sz w:val="24"/>
        </w:rPr>
      </w:pPr>
      <w:r>
        <w:rPr>
          <w:rFonts w:hint="eastAsia" w:ascii="宋体" w:hAnsi="宋体" w:eastAsia="宋体" w:cs="宋体"/>
          <w:b/>
          <w:bCs/>
          <w:sz w:val="24"/>
        </w:rPr>
        <w:t>注：</w:t>
      </w:r>
    </w:p>
    <w:p w14:paraId="2685FC31">
      <w:pPr>
        <w:spacing w:line="360" w:lineRule="auto"/>
        <w:ind w:firstLine="482" w:firstLineChars="200"/>
        <w:jc w:val="left"/>
        <w:rPr>
          <w:rFonts w:hint="eastAsia" w:ascii="宋体" w:hAnsi="宋体" w:eastAsia="宋体" w:cs="宋体"/>
          <w:bCs/>
          <w:sz w:val="24"/>
        </w:rPr>
      </w:pPr>
      <w:r>
        <w:rPr>
          <w:rFonts w:hint="eastAsia" w:ascii="宋体" w:hAnsi="宋体" w:eastAsia="宋体" w:cs="宋体"/>
          <w:b/>
          <w:bCs/>
          <w:sz w:val="24"/>
        </w:rPr>
        <w:t>1.本页《报价表》由供应商在接到报价通知后依据磋商情况填写,并在规定时间内提交。</w:t>
      </w:r>
      <w:r>
        <w:rPr>
          <w:rFonts w:hint="eastAsia" w:ascii="宋体" w:hAnsi="宋体" w:eastAsia="宋体" w:cs="宋体"/>
          <w:sz w:val="24"/>
        </w:rPr>
        <w:t>考虑磋商报价的方便，供应商在填写最后承诺报价后，（第一次报价-最后承诺报价）除以第一次报价后得出的优惠率视同为需求表中全部分项设备、服务量或服务的优惠浮动值（特定分项优惠除外）。</w:t>
      </w:r>
      <w:r>
        <w:rPr>
          <w:rFonts w:hint="eastAsia" w:ascii="宋体" w:hAnsi="宋体" w:eastAsia="宋体" w:cs="宋体"/>
          <w:bCs/>
          <w:sz w:val="24"/>
        </w:rPr>
        <w:t>此优惠率调整原则适用于合同内价格的计算及项目增减、变更时价格的计算。</w:t>
      </w:r>
    </w:p>
    <w:p w14:paraId="7D289DCB">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2.如按照上述原则存在部分分项报价无法取整，合同价格按照最终承诺报价不变双方协商后修正部分分项报价</w:t>
      </w:r>
      <w:r>
        <w:rPr>
          <w:rFonts w:hint="eastAsia" w:ascii="宋体" w:hAnsi="宋体" w:eastAsia="宋体" w:cs="宋体"/>
          <w:b/>
          <w:bCs/>
          <w:sz w:val="24"/>
          <w:szCs w:val="24"/>
          <w:lang w:val="en-US" w:eastAsia="zh-CN"/>
        </w:rPr>
        <w:t>单项总价</w:t>
      </w:r>
      <w:r>
        <w:rPr>
          <w:rFonts w:hint="eastAsia" w:ascii="宋体" w:hAnsi="宋体" w:eastAsia="宋体" w:cs="宋体"/>
          <w:b/>
          <w:bCs/>
          <w:sz w:val="24"/>
          <w:szCs w:val="24"/>
        </w:rPr>
        <w:t>。</w:t>
      </w:r>
    </w:p>
    <w:p w14:paraId="1A3A6537">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3.表中大写金额与小写金额不一致的，以大写金额为准。</w:t>
      </w:r>
    </w:p>
    <w:p w14:paraId="209EC980">
      <w:pPr>
        <w:widowControl/>
        <w:jc w:val="left"/>
        <w:rPr>
          <w:rFonts w:hint="eastAsia" w:ascii="宋体" w:hAnsi="宋体" w:eastAsia="宋体" w:cs="宋体"/>
          <w:bCs/>
          <w:sz w:val="24"/>
        </w:rPr>
      </w:pPr>
      <w:r>
        <w:rPr>
          <w:rFonts w:hint="eastAsia" w:ascii="宋体" w:hAnsi="宋体" w:eastAsia="宋体" w:cs="宋体"/>
          <w:bCs/>
          <w:sz w:val="24"/>
        </w:rPr>
        <w:br w:type="page"/>
      </w:r>
    </w:p>
    <w:p w14:paraId="06A4FBA9">
      <w:pPr>
        <w:spacing w:line="360" w:lineRule="auto"/>
        <w:jc w:val="center"/>
        <w:outlineLvl w:val="1"/>
        <w:rPr>
          <w:rFonts w:hint="eastAsia" w:ascii="宋体" w:hAnsi="宋体" w:eastAsia="宋体" w:cs="宋体"/>
          <w:b/>
          <w:sz w:val="24"/>
        </w:rPr>
      </w:pPr>
      <w:bookmarkStart w:id="191" w:name="_Toc32385"/>
      <w:bookmarkStart w:id="192" w:name="_Toc520983591"/>
      <w:bookmarkStart w:id="193" w:name="_Toc11500"/>
      <w:r>
        <w:rPr>
          <w:rFonts w:hint="eastAsia" w:ascii="宋体" w:hAnsi="宋体" w:eastAsia="宋体" w:cs="宋体"/>
          <w:b/>
          <w:sz w:val="24"/>
          <w:lang w:val="en-US" w:eastAsia="zh-CN"/>
        </w:rPr>
        <w:t>二</w:t>
      </w:r>
      <w:r>
        <w:rPr>
          <w:rFonts w:hint="eastAsia" w:ascii="宋体" w:hAnsi="宋体" w:eastAsia="宋体" w:cs="宋体"/>
          <w:b/>
          <w:sz w:val="24"/>
        </w:rPr>
        <w:t>、磋商响应函</w:t>
      </w:r>
      <w:bookmarkEnd w:id="191"/>
      <w:bookmarkEnd w:id="192"/>
      <w:bookmarkEnd w:id="193"/>
    </w:p>
    <w:p w14:paraId="025732CD">
      <w:pPr>
        <w:pStyle w:val="12"/>
        <w:spacing w:line="360" w:lineRule="auto"/>
        <w:rPr>
          <w:rFonts w:hint="eastAsia" w:ascii="宋体" w:hAnsi="宋体" w:eastAsia="宋体" w:cs="宋体"/>
          <w:sz w:val="24"/>
        </w:rPr>
      </w:pPr>
      <w:r>
        <w:rPr>
          <w:rFonts w:hint="eastAsia" w:ascii="宋体" w:hAnsi="宋体" w:eastAsia="宋体" w:cs="宋体"/>
          <w:sz w:val="24"/>
        </w:rPr>
        <w:t>致：采购人</w:t>
      </w:r>
    </w:p>
    <w:p w14:paraId="6644A2FC">
      <w:pPr>
        <w:spacing w:line="360" w:lineRule="auto"/>
        <w:ind w:firstLine="480" w:firstLineChars="200"/>
        <w:rPr>
          <w:rFonts w:hint="eastAsia" w:ascii="宋体" w:hAnsi="宋体" w:eastAsia="宋体" w:cs="宋体"/>
          <w:dstrike/>
          <w:sz w:val="24"/>
          <w:highlight w:val="yellow"/>
        </w:rPr>
      </w:pPr>
      <w:r>
        <w:rPr>
          <w:rFonts w:hint="eastAsia" w:ascii="宋体" w:hAnsi="宋体" w:eastAsia="宋体" w:cs="宋体"/>
          <w:sz w:val="24"/>
        </w:rPr>
        <w:t>根据贵方的</w:t>
      </w:r>
      <w:bookmarkStart w:id="194" w:name="_Hlk44287543"/>
      <w:r>
        <w:rPr>
          <w:rFonts w:hint="eastAsia" w:ascii="宋体" w:hAnsi="宋体" w:eastAsia="宋体" w:cs="宋体"/>
          <w:sz w:val="24"/>
        </w:rPr>
        <w:t>竞争性磋商公告和磋商邀请</w:t>
      </w:r>
      <w:bookmarkEnd w:id="194"/>
      <w:r>
        <w:rPr>
          <w:rFonts w:hint="eastAsia" w:ascii="宋体" w:hAnsi="宋体" w:eastAsia="宋体" w:cs="宋体"/>
          <w:sz w:val="24"/>
        </w:rPr>
        <w:t>，我方兹宣布同意如下：</w:t>
      </w:r>
    </w:p>
    <w:p w14:paraId="722D8672">
      <w:pPr>
        <w:spacing w:line="360" w:lineRule="auto"/>
        <w:ind w:firstLine="435"/>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szCs w:val="24"/>
        </w:rPr>
        <w:t>我方根据磋商文件的规定，严格履行合同的责任和义务,并保证于买方要求的日期内完成，并通过买方验收。</w:t>
      </w:r>
    </w:p>
    <w:p w14:paraId="578BBFA5">
      <w:pPr>
        <w:spacing w:line="360" w:lineRule="auto"/>
        <w:ind w:firstLine="435"/>
        <w:rPr>
          <w:rFonts w:hint="eastAsia" w:ascii="宋体" w:hAnsi="宋体" w:eastAsia="宋体" w:cs="宋体"/>
          <w:sz w:val="24"/>
        </w:rPr>
      </w:pPr>
      <w:r>
        <w:rPr>
          <w:rFonts w:hint="eastAsia" w:ascii="宋体" w:hAnsi="宋体" w:eastAsia="宋体" w:cs="宋体"/>
          <w:sz w:val="24"/>
        </w:rPr>
        <w:t>2.我方已详细审核全部磋商文件，包括磋商文件附件及更正公告（如有），我方正式认可并遵守本次磋商文件，并对磋商文件各项条款、规定及要求均无异议。</w:t>
      </w:r>
    </w:p>
    <w:p w14:paraId="2743FD14">
      <w:pPr>
        <w:spacing w:line="360" w:lineRule="auto"/>
        <w:ind w:firstLine="435"/>
        <w:rPr>
          <w:rFonts w:hint="eastAsia" w:ascii="宋体" w:hAnsi="宋体" w:eastAsia="宋体" w:cs="宋体"/>
          <w:sz w:val="24"/>
        </w:rPr>
      </w:pPr>
      <w:r>
        <w:rPr>
          <w:rFonts w:hint="eastAsia" w:ascii="宋体" w:hAnsi="宋体" w:eastAsia="宋体" w:cs="宋体"/>
          <w:sz w:val="24"/>
        </w:rPr>
        <w:t>3.我方同意从磋商文件规定的磋商日期起遵循本磋商文件，并在磋商文件规定的磋商有效期之前均具有约束力。</w:t>
      </w:r>
    </w:p>
    <w:p w14:paraId="76509D76">
      <w:pPr>
        <w:spacing w:line="360" w:lineRule="auto"/>
        <w:ind w:firstLine="435"/>
        <w:rPr>
          <w:rFonts w:hint="eastAsia" w:ascii="宋体" w:hAnsi="宋体" w:eastAsia="宋体" w:cs="宋体"/>
          <w:sz w:val="24"/>
        </w:rPr>
      </w:pPr>
      <w:r>
        <w:rPr>
          <w:rFonts w:hint="eastAsia" w:ascii="宋体" w:hAnsi="宋体" w:eastAsia="宋体" w:cs="宋体"/>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01FC69AF">
      <w:pPr>
        <w:spacing w:line="360" w:lineRule="auto"/>
        <w:ind w:firstLine="435"/>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我方</w:t>
      </w:r>
      <w:r>
        <w:rPr>
          <w:rFonts w:hint="eastAsia" w:ascii="宋体" w:hAnsi="宋体" w:eastAsia="宋体" w:cs="宋体"/>
          <w:b/>
          <w:bCs/>
          <w:color w:val="auto"/>
          <w:sz w:val="24"/>
          <w:szCs w:val="24"/>
          <w:lang w:val="en-US" w:eastAsia="zh-CN"/>
        </w:rPr>
        <w:t>承诺</w:t>
      </w:r>
      <w:r>
        <w:rPr>
          <w:rFonts w:hint="eastAsia" w:ascii="宋体" w:hAnsi="宋体" w:eastAsia="宋体" w:cs="宋体"/>
          <w:b/>
          <w:bCs/>
          <w:color w:val="auto"/>
          <w:sz w:val="24"/>
          <w:szCs w:val="24"/>
        </w:rPr>
        <w:t>在本项目响应中提供的投标授权委托代理人，以及</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文件中确定的项目管理</w:t>
      </w:r>
      <w:r>
        <w:rPr>
          <w:rFonts w:hint="eastAsia" w:ascii="宋体" w:hAnsi="宋体" w:eastAsia="宋体" w:cs="宋体"/>
          <w:b/>
          <w:bCs/>
          <w:color w:val="auto"/>
          <w:sz w:val="24"/>
          <w:szCs w:val="24"/>
          <w:lang w:val="en-US" w:eastAsia="zh-CN"/>
        </w:rPr>
        <w:t>及服务</w:t>
      </w:r>
      <w:r>
        <w:rPr>
          <w:rFonts w:hint="eastAsia" w:ascii="宋体" w:hAnsi="宋体" w:eastAsia="宋体" w:cs="宋体"/>
          <w:b/>
          <w:bCs/>
          <w:color w:val="auto"/>
          <w:sz w:val="24"/>
          <w:szCs w:val="24"/>
        </w:rPr>
        <w:t>人员，均与我单位具有劳动合同关系、且已依法缴纳社会保险。</w:t>
      </w:r>
      <w:r>
        <w:rPr>
          <w:rFonts w:hint="eastAsia" w:ascii="宋体" w:hAnsi="宋体" w:eastAsia="宋体" w:cs="宋体"/>
          <w:b/>
          <w:bCs/>
          <w:color w:val="auto"/>
          <w:sz w:val="24"/>
          <w:szCs w:val="24"/>
          <w:lang w:val="en-US" w:eastAsia="zh-CN"/>
        </w:rPr>
        <w:t>成交后如发现有虚假承诺，</w:t>
      </w:r>
      <w:r>
        <w:rPr>
          <w:rFonts w:hint="eastAsia" w:ascii="宋体" w:hAnsi="宋体" w:eastAsia="宋体" w:cs="宋体"/>
          <w:b/>
          <w:bCs/>
          <w:sz w:val="24"/>
          <w:szCs w:val="24"/>
        </w:rPr>
        <w:t>采购人有权解除合同，并追究违约责任，同时将相关违约行为报送监管部门，记不良行为记录，实施信用惩戒</w:t>
      </w:r>
      <w:r>
        <w:rPr>
          <w:rFonts w:hint="eastAsia" w:ascii="宋体" w:hAnsi="宋体" w:eastAsia="宋体" w:cs="宋体"/>
          <w:b/>
          <w:bCs/>
          <w:sz w:val="24"/>
          <w:szCs w:val="24"/>
          <w:lang w:eastAsia="zh-CN"/>
        </w:rPr>
        <w:t>。</w:t>
      </w:r>
    </w:p>
    <w:p w14:paraId="65F2C2EB">
      <w:pPr>
        <w:pStyle w:val="11"/>
        <w:rPr>
          <w:rFonts w:hint="eastAsia" w:ascii="宋体" w:hAnsi="宋体" w:eastAsia="宋体" w:cs="宋体"/>
        </w:rPr>
      </w:pPr>
    </w:p>
    <w:p w14:paraId="0DB5B6B9">
      <w:pPr>
        <w:spacing w:line="360" w:lineRule="auto"/>
        <w:ind w:firstLine="480" w:firstLineChars="200"/>
        <w:rPr>
          <w:rFonts w:hint="eastAsia" w:ascii="宋体" w:hAnsi="宋体" w:eastAsia="宋体" w:cs="宋体"/>
          <w:sz w:val="24"/>
        </w:rPr>
      </w:pPr>
    </w:p>
    <w:p w14:paraId="0F2F9E9E">
      <w:pPr>
        <w:spacing w:line="360" w:lineRule="auto"/>
        <w:ind w:firstLine="4800" w:firstLineChars="2000"/>
        <w:rPr>
          <w:rFonts w:hint="eastAsia" w:ascii="宋体" w:hAnsi="宋体" w:eastAsia="宋体" w:cs="宋体"/>
          <w:sz w:val="24"/>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30E4CAD9">
      <w:pPr>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5446AA31">
      <w:pPr>
        <w:widowControl/>
        <w:jc w:val="left"/>
        <w:rPr>
          <w:rFonts w:hint="eastAsia" w:ascii="宋体" w:hAnsi="宋体" w:eastAsia="宋体" w:cs="宋体"/>
          <w:sz w:val="24"/>
        </w:rPr>
      </w:pPr>
      <w:r>
        <w:rPr>
          <w:rFonts w:hint="eastAsia" w:ascii="宋体" w:hAnsi="宋体" w:eastAsia="宋体" w:cs="宋体"/>
          <w:sz w:val="24"/>
        </w:rPr>
        <w:br w:type="page"/>
      </w:r>
    </w:p>
    <w:p w14:paraId="35FBFEF4">
      <w:pPr>
        <w:spacing w:line="360" w:lineRule="auto"/>
        <w:jc w:val="center"/>
        <w:outlineLvl w:val="1"/>
        <w:rPr>
          <w:rFonts w:hint="eastAsia" w:ascii="宋体" w:hAnsi="宋体" w:eastAsia="宋体" w:cs="宋体"/>
          <w:b/>
          <w:sz w:val="24"/>
        </w:rPr>
      </w:pPr>
      <w:bookmarkStart w:id="195" w:name="_Toc21328"/>
      <w:r>
        <w:rPr>
          <w:rFonts w:hint="eastAsia" w:ascii="宋体" w:hAnsi="宋体" w:eastAsia="宋体" w:cs="宋体"/>
          <w:b/>
          <w:sz w:val="24"/>
          <w:lang w:val="en-US" w:eastAsia="zh-CN"/>
        </w:rPr>
        <w:t>三</w:t>
      </w:r>
      <w:r>
        <w:rPr>
          <w:rFonts w:hint="eastAsia" w:ascii="宋体" w:hAnsi="宋体" w:eastAsia="宋体" w:cs="宋体"/>
          <w:b/>
          <w:sz w:val="24"/>
        </w:rPr>
        <w:t>、供应商资格声明书</w:t>
      </w:r>
      <w:bookmarkEnd w:id="195"/>
    </w:p>
    <w:p w14:paraId="1F70B8B9">
      <w:pPr>
        <w:pStyle w:val="12"/>
        <w:spacing w:line="360" w:lineRule="auto"/>
        <w:rPr>
          <w:rFonts w:hint="eastAsia" w:ascii="宋体" w:hAnsi="宋体" w:eastAsia="宋体" w:cs="宋体"/>
          <w:sz w:val="24"/>
          <w:szCs w:val="24"/>
        </w:rPr>
      </w:pPr>
      <w:r>
        <w:rPr>
          <w:rFonts w:hint="eastAsia" w:ascii="宋体" w:hAnsi="宋体" w:eastAsia="宋体" w:cs="宋体"/>
          <w:sz w:val="24"/>
        </w:rPr>
        <w:t>致：采购人</w:t>
      </w:r>
    </w:p>
    <w:p w14:paraId="426B6221">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在参与本次项目磋商中，我单位承诺：</w:t>
      </w:r>
    </w:p>
    <w:p w14:paraId="2CA06C6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（一）具有良好的商业信誉和健全的财务会计制度；</w:t>
      </w:r>
    </w:p>
    <w:p w14:paraId="216C3C4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（二）具有履行合同所必需的设备和专业技术能力；</w:t>
      </w:r>
    </w:p>
    <w:p w14:paraId="50526AB4">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（三）有依法缴纳税收和社会保障资金的良好记录；</w:t>
      </w:r>
    </w:p>
    <w:p w14:paraId="04D46A9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09C53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65E0EA09">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7B90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07F478C">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4501" w:type="dxa"/>
          </w:tcPr>
          <w:p w14:paraId="2DE86508">
            <w:pPr>
              <w:pStyle w:val="8"/>
              <w:jc w:val="center"/>
              <w:rPr>
                <w:rFonts w:hint="eastAsia" w:ascii="宋体" w:hAnsi="宋体" w:eastAsia="宋体" w:cs="宋体"/>
                <w:color w:val="000000"/>
                <w:kern w:val="0"/>
                <w:sz w:val="24"/>
                <w:lang w:val="en-US" w:bidi="ar"/>
              </w:rPr>
            </w:pPr>
            <w:r>
              <w:rPr>
                <w:rFonts w:hint="eastAsia" w:ascii="宋体" w:hAnsi="宋体" w:eastAsia="宋体" w:cs="宋体"/>
                <w:color w:val="000000"/>
                <w:kern w:val="0"/>
                <w:sz w:val="24"/>
                <w:lang w:val="en-US" w:bidi="ar"/>
              </w:rPr>
              <w:t>单位名称</w:t>
            </w:r>
          </w:p>
        </w:tc>
        <w:tc>
          <w:tcPr>
            <w:tcW w:w="2681" w:type="dxa"/>
          </w:tcPr>
          <w:p w14:paraId="4778ACF6">
            <w:pPr>
              <w:pStyle w:val="8"/>
              <w:jc w:val="center"/>
              <w:rPr>
                <w:rFonts w:hint="eastAsia" w:ascii="宋体" w:hAnsi="宋体" w:eastAsia="宋体" w:cs="宋体"/>
                <w:color w:val="000000"/>
                <w:kern w:val="0"/>
                <w:sz w:val="24"/>
                <w:lang w:val="en-US" w:bidi="ar"/>
              </w:rPr>
            </w:pPr>
            <w:r>
              <w:rPr>
                <w:rFonts w:hint="eastAsia" w:ascii="宋体" w:hAnsi="宋体" w:eastAsia="宋体" w:cs="宋体"/>
                <w:color w:val="000000"/>
                <w:kern w:val="0"/>
                <w:sz w:val="24"/>
                <w:lang w:val="en-US" w:bidi="ar"/>
              </w:rPr>
              <w:t>相互关系</w:t>
            </w:r>
          </w:p>
        </w:tc>
      </w:tr>
      <w:tr w14:paraId="089E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8551F70">
            <w:pPr>
              <w:pStyle w:val="8"/>
              <w:jc w:val="center"/>
              <w:rPr>
                <w:rFonts w:hint="eastAsia" w:ascii="宋体" w:hAnsi="宋体" w:eastAsia="宋体" w:cs="宋体"/>
                <w:color w:val="000000"/>
                <w:kern w:val="0"/>
                <w:sz w:val="24"/>
                <w:lang w:val="en-US" w:bidi="ar"/>
              </w:rPr>
            </w:pPr>
            <w:r>
              <w:rPr>
                <w:rFonts w:hint="eastAsia" w:ascii="宋体" w:hAnsi="宋体" w:eastAsia="宋体" w:cs="宋体"/>
                <w:color w:val="000000"/>
                <w:kern w:val="0"/>
                <w:sz w:val="24"/>
                <w:lang w:val="en-US" w:bidi="ar"/>
              </w:rPr>
              <w:t>1</w:t>
            </w:r>
          </w:p>
        </w:tc>
        <w:tc>
          <w:tcPr>
            <w:tcW w:w="4501" w:type="dxa"/>
          </w:tcPr>
          <w:p w14:paraId="24A40932">
            <w:pPr>
              <w:pStyle w:val="8"/>
              <w:jc w:val="center"/>
              <w:rPr>
                <w:rFonts w:hint="eastAsia" w:ascii="宋体" w:hAnsi="宋体" w:eastAsia="宋体" w:cs="宋体"/>
                <w:color w:val="000000"/>
                <w:kern w:val="0"/>
                <w:sz w:val="24"/>
                <w:lang w:val="en-US" w:bidi="ar"/>
              </w:rPr>
            </w:pPr>
          </w:p>
        </w:tc>
        <w:tc>
          <w:tcPr>
            <w:tcW w:w="2681" w:type="dxa"/>
          </w:tcPr>
          <w:p w14:paraId="44018028">
            <w:pPr>
              <w:pStyle w:val="8"/>
              <w:jc w:val="center"/>
              <w:rPr>
                <w:rFonts w:hint="eastAsia" w:ascii="宋体" w:hAnsi="宋体" w:eastAsia="宋体" w:cs="宋体"/>
                <w:color w:val="000000"/>
                <w:kern w:val="0"/>
                <w:sz w:val="24"/>
                <w:lang w:val="en-US" w:bidi="ar"/>
              </w:rPr>
            </w:pPr>
          </w:p>
        </w:tc>
      </w:tr>
      <w:tr w14:paraId="180A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3CDC4FC1">
            <w:pPr>
              <w:pStyle w:val="8"/>
              <w:jc w:val="center"/>
              <w:rPr>
                <w:rFonts w:hint="eastAsia" w:ascii="宋体" w:hAnsi="宋体" w:eastAsia="宋体" w:cs="宋体"/>
                <w:color w:val="000000"/>
                <w:kern w:val="0"/>
                <w:sz w:val="24"/>
                <w:lang w:val="en-US" w:bidi="ar"/>
              </w:rPr>
            </w:pPr>
            <w:r>
              <w:rPr>
                <w:rFonts w:hint="eastAsia" w:ascii="宋体" w:hAnsi="宋体" w:eastAsia="宋体" w:cs="宋体"/>
                <w:color w:val="000000"/>
                <w:kern w:val="0"/>
                <w:sz w:val="24"/>
                <w:lang w:val="en-US" w:bidi="ar"/>
              </w:rPr>
              <w:t>2</w:t>
            </w:r>
          </w:p>
        </w:tc>
        <w:tc>
          <w:tcPr>
            <w:tcW w:w="4501" w:type="dxa"/>
          </w:tcPr>
          <w:p w14:paraId="6AEC768D">
            <w:pPr>
              <w:pStyle w:val="8"/>
              <w:jc w:val="center"/>
              <w:rPr>
                <w:rFonts w:hint="eastAsia" w:ascii="宋体" w:hAnsi="宋体" w:eastAsia="宋体" w:cs="宋体"/>
                <w:color w:val="000000"/>
                <w:kern w:val="0"/>
                <w:sz w:val="24"/>
                <w:lang w:val="en-US" w:bidi="ar"/>
              </w:rPr>
            </w:pPr>
          </w:p>
        </w:tc>
        <w:tc>
          <w:tcPr>
            <w:tcW w:w="2681" w:type="dxa"/>
          </w:tcPr>
          <w:p w14:paraId="0C8CFE74">
            <w:pPr>
              <w:pStyle w:val="8"/>
              <w:jc w:val="center"/>
              <w:rPr>
                <w:rFonts w:hint="eastAsia" w:ascii="宋体" w:hAnsi="宋体" w:eastAsia="宋体" w:cs="宋体"/>
                <w:color w:val="000000"/>
                <w:kern w:val="0"/>
                <w:sz w:val="24"/>
                <w:lang w:val="en-US" w:bidi="ar"/>
              </w:rPr>
            </w:pPr>
          </w:p>
        </w:tc>
      </w:tr>
    </w:tbl>
    <w:p w14:paraId="62E1F19E">
      <w:pPr>
        <w:spacing w:line="360" w:lineRule="auto"/>
        <w:ind w:firstLine="435"/>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10FF21E1">
      <w:pPr>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26C3624C">
      <w:pPr>
        <w:tabs>
          <w:tab w:val="left" w:pos="630"/>
        </w:tabs>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309EC1DF">
      <w:pPr>
        <w:spacing w:line="440" w:lineRule="exact"/>
        <w:ind w:firstLine="4800" w:firstLineChars="2000"/>
        <w:rPr>
          <w:rFonts w:hint="eastAsia" w:ascii="宋体" w:hAnsi="宋体" w:eastAsia="宋体" w:cs="宋体"/>
          <w:sz w:val="24"/>
          <w:szCs w:val="24"/>
          <w:u w:val="single"/>
        </w:rPr>
      </w:pPr>
    </w:p>
    <w:p w14:paraId="55804DB2">
      <w:pPr>
        <w:widowControl/>
        <w:jc w:val="left"/>
        <w:rPr>
          <w:rFonts w:hint="eastAsia" w:ascii="宋体" w:hAnsi="宋体" w:eastAsia="宋体" w:cs="宋体"/>
          <w:sz w:val="24"/>
        </w:rPr>
      </w:pPr>
      <w:r>
        <w:rPr>
          <w:rFonts w:hint="eastAsia" w:ascii="宋体" w:hAnsi="宋体" w:eastAsia="宋体" w:cs="宋体"/>
          <w:sz w:val="24"/>
        </w:rPr>
        <w:br w:type="page"/>
      </w:r>
    </w:p>
    <w:p w14:paraId="36317CA8">
      <w:pPr>
        <w:spacing w:line="360" w:lineRule="auto"/>
        <w:jc w:val="center"/>
        <w:outlineLvl w:val="1"/>
        <w:rPr>
          <w:rFonts w:hint="eastAsia" w:ascii="宋体" w:hAnsi="宋体" w:eastAsia="宋体" w:cs="宋体"/>
          <w:b/>
          <w:sz w:val="24"/>
        </w:rPr>
      </w:pPr>
      <w:bookmarkStart w:id="196" w:name="_Toc26922"/>
      <w:bookmarkStart w:id="197" w:name="_Toc520983594"/>
      <w:bookmarkStart w:id="198" w:name="_Toc204594911"/>
      <w:bookmarkStart w:id="199" w:name="_Toc121626298"/>
      <w:bookmarkStart w:id="200" w:name="_Toc516969106"/>
      <w:bookmarkStart w:id="201" w:name="_Toc31518"/>
      <w:r>
        <w:rPr>
          <w:rFonts w:hint="eastAsia" w:ascii="宋体" w:hAnsi="宋体" w:eastAsia="宋体" w:cs="宋体"/>
          <w:b/>
          <w:sz w:val="24"/>
          <w:lang w:val="en-US" w:eastAsia="zh-CN"/>
        </w:rPr>
        <w:t>四</w:t>
      </w:r>
      <w:r>
        <w:rPr>
          <w:rFonts w:hint="eastAsia" w:ascii="宋体" w:hAnsi="宋体" w:eastAsia="宋体" w:cs="宋体"/>
          <w:b/>
          <w:sz w:val="24"/>
        </w:rPr>
        <w:t>、授权书</w:t>
      </w:r>
      <w:bookmarkEnd w:id="196"/>
      <w:bookmarkEnd w:id="197"/>
      <w:bookmarkEnd w:id="198"/>
      <w:bookmarkEnd w:id="199"/>
      <w:bookmarkEnd w:id="200"/>
      <w:bookmarkEnd w:id="201"/>
    </w:p>
    <w:p w14:paraId="23880E74">
      <w:pPr>
        <w:spacing w:line="360" w:lineRule="auto"/>
        <w:jc w:val="center"/>
        <w:rPr>
          <w:rFonts w:hint="eastAsia" w:ascii="宋体" w:hAnsi="宋体" w:eastAsia="宋体" w:cs="宋体"/>
          <w:b/>
          <w:sz w:val="24"/>
        </w:rPr>
      </w:pPr>
    </w:p>
    <w:p w14:paraId="359F2E51">
      <w:pPr>
        <w:pStyle w:val="11"/>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本授权书声明：</w:t>
      </w:r>
      <w:r>
        <w:rPr>
          <w:rFonts w:hint="eastAsia" w:ascii="宋体" w:hAnsi="宋体" w:eastAsia="宋体" w:cs="宋体"/>
          <w:sz w:val="24"/>
          <w:szCs w:val="28"/>
          <w:u w:val="single"/>
        </w:rPr>
        <w:t xml:space="preserve">           </w:t>
      </w:r>
      <w:r>
        <w:rPr>
          <w:rFonts w:hint="eastAsia" w:ascii="宋体" w:hAnsi="宋体" w:eastAsia="宋体" w:cs="宋体"/>
          <w:sz w:val="24"/>
          <w:szCs w:val="28"/>
        </w:rPr>
        <w:t>（供应商名称）授权</w:t>
      </w:r>
      <w:r>
        <w:rPr>
          <w:rFonts w:hint="eastAsia" w:ascii="宋体" w:hAnsi="宋体" w:eastAsia="宋体" w:cs="宋体"/>
          <w:sz w:val="24"/>
          <w:szCs w:val="28"/>
          <w:u w:val="single"/>
        </w:rPr>
        <w:t xml:space="preserve">       </w:t>
      </w:r>
      <w:r>
        <w:rPr>
          <w:rFonts w:hint="eastAsia" w:ascii="宋体" w:hAnsi="宋体" w:eastAsia="宋体" w:cs="宋体"/>
          <w:sz w:val="24"/>
          <w:szCs w:val="28"/>
        </w:rPr>
        <w:t>（供应商授权代表姓名）代表我方参加本项目</w:t>
      </w:r>
      <w:r>
        <w:rPr>
          <w:rFonts w:hint="eastAsia" w:ascii="宋体" w:hAnsi="宋体" w:eastAsia="宋体" w:cs="宋体"/>
          <w:bCs/>
          <w:sz w:val="24"/>
          <w:szCs w:val="28"/>
        </w:rPr>
        <w:t>采购活动</w:t>
      </w:r>
      <w:r>
        <w:rPr>
          <w:rFonts w:hint="eastAsia" w:ascii="宋体" w:hAnsi="宋体" w:eastAsia="宋体" w:cs="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6C0996A">
      <w:pPr>
        <w:pStyle w:val="11"/>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本授权书自出具之日起生效。</w:t>
      </w:r>
    </w:p>
    <w:p w14:paraId="15CA55FF">
      <w:pPr>
        <w:pStyle w:val="11"/>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szCs w:val="28"/>
        </w:rPr>
        <w:t>授权代表</w:t>
      </w:r>
      <w:r>
        <w:rPr>
          <w:rFonts w:hint="eastAsia" w:ascii="宋体" w:hAnsi="宋体" w:eastAsia="宋体" w:cs="宋体"/>
          <w:sz w:val="24"/>
        </w:rPr>
        <w:t>身份证明扫描件：</w:t>
      </w:r>
    </w:p>
    <w:p w14:paraId="0E51CCFD">
      <w:pPr>
        <w:pStyle w:val="11"/>
        <w:snapToGrid w:val="0"/>
        <w:spacing w:line="360" w:lineRule="auto"/>
        <w:ind w:firstLine="480" w:firstLineChars="200"/>
        <w:jc w:val="left"/>
        <w:rPr>
          <w:rFonts w:hint="eastAsia" w:ascii="宋体" w:hAnsi="宋体" w:eastAsia="宋体" w:cs="宋体"/>
          <w:sz w:val="24"/>
        </w:rPr>
      </w:pPr>
    </w:p>
    <w:p w14:paraId="7331C5F9">
      <w:pPr>
        <w:pStyle w:val="11"/>
        <w:snapToGrid w:val="0"/>
        <w:spacing w:line="360" w:lineRule="auto"/>
        <w:ind w:firstLine="480" w:firstLineChars="200"/>
        <w:jc w:val="left"/>
        <w:rPr>
          <w:rFonts w:hint="eastAsia" w:ascii="宋体" w:hAnsi="宋体" w:eastAsia="宋体" w:cs="宋体"/>
          <w:sz w:val="24"/>
        </w:rPr>
      </w:pPr>
    </w:p>
    <w:p w14:paraId="5784C6E9">
      <w:pPr>
        <w:pStyle w:val="11"/>
        <w:snapToGrid w:val="0"/>
        <w:spacing w:line="360" w:lineRule="auto"/>
        <w:ind w:firstLine="480" w:firstLineChars="200"/>
        <w:jc w:val="left"/>
        <w:rPr>
          <w:rFonts w:hint="eastAsia" w:ascii="宋体" w:hAnsi="宋体" w:eastAsia="宋体" w:cs="宋体"/>
          <w:sz w:val="24"/>
        </w:rPr>
      </w:pPr>
    </w:p>
    <w:p w14:paraId="1BCFB063">
      <w:pPr>
        <w:pStyle w:val="11"/>
        <w:snapToGrid w:val="0"/>
        <w:spacing w:line="360" w:lineRule="auto"/>
        <w:ind w:firstLine="480" w:firstLineChars="200"/>
        <w:jc w:val="left"/>
        <w:rPr>
          <w:rFonts w:hint="eastAsia" w:ascii="宋体" w:hAnsi="宋体" w:eastAsia="宋体" w:cs="宋体"/>
          <w:sz w:val="24"/>
        </w:rPr>
      </w:pPr>
    </w:p>
    <w:p w14:paraId="09AE9458">
      <w:pPr>
        <w:pStyle w:val="11"/>
        <w:snapToGrid w:val="0"/>
        <w:spacing w:line="360" w:lineRule="auto"/>
        <w:ind w:firstLine="480" w:firstLineChars="200"/>
        <w:jc w:val="left"/>
        <w:rPr>
          <w:rFonts w:hint="eastAsia" w:ascii="宋体" w:hAnsi="宋体" w:eastAsia="宋体" w:cs="宋体"/>
          <w:sz w:val="24"/>
          <w:szCs w:val="28"/>
          <w:u w:val="single"/>
        </w:rPr>
      </w:pPr>
      <w:r>
        <w:rPr>
          <w:rFonts w:hint="eastAsia" w:ascii="宋体" w:hAnsi="宋体" w:eastAsia="宋体" w:cs="宋体"/>
          <w:sz w:val="24"/>
          <w:szCs w:val="28"/>
        </w:rPr>
        <w:t>授权代表联系方式：</w:t>
      </w:r>
      <w:r>
        <w:rPr>
          <w:rFonts w:hint="eastAsia" w:ascii="宋体" w:hAnsi="宋体" w:eastAsia="宋体" w:cs="宋体"/>
          <w:sz w:val="24"/>
          <w:szCs w:val="28"/>
          <w:u w:val="single"/>
        </w:rPr>
        <w:t xml:space="preserve">          （请填写手机号码）</w:t>
      </w:r>
    </w:p>
    <w:p w14:paraId="097DA74C">
      <w:pPr>
        <w:pStyle w:val="11"/>
        <w:snapToGrid w:val="0"/>
        <w:spacing w:line="360" w:lineRule="auto"/>
        <w:ind w:firstLine="480" w:firstLineChars="200"/>
        <w:jc w:val="left"/>
        <w:rPr>
          <w:rFonts w:hint="eastAsia" w:ascii="宋体" w:hAnsi="宋体" w:eastAsia="宋体" w:cs="宋体"/>
          <w:sz w:val="24"/>
          <w:szCs w:val="28"/>
        </w:rPr>
      </w:pPr>
    </w:p>
    <w:p w14:paraId="3487D258">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特此声明。</w:t>
      </w:r>
    </w:p>
    <w:p w14:paraId="599D5B99">
      <w:pPr>
        <w:spacing w:line="360" w:lineRule="auto"/>
        <w:rPr>
          <w:rFonts w:hint="eastAsia" w:ascii="宋体" w:hAnsi="宋体" w:eastAsia="宋体" w:cs="宋体"/>
          <w:sz w:val="24"/>
          <w:szCs w:val="28"/>
        </w:rPr>
      </w:pPr>
    </w:p>
    <w:p w14:paraId="04CFF06D">
      <w:pPr>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38473208">
      <w:pPr>
        <w:tabs>
          <w:tab w:val="left" w:pos="630"/>
        </w:tabs>
        <w:spacing w:line="360" w:lineRule="auto"/>
        <w:ind w:firstLine="4800" w:firstLineChars="2000"/>
        <w:rPr>
          <w:rFonts w:hint="eastAsia" w:ascii="宋体" w:hAnsi="宋体" w:eastAsia="宋体" w:cs="宋体"/>
          <w:sz w:val="24"/>
          <w:szCs w:val="28"/>
        </w:rPr>
      </w:pPr>
      <w:r>
        <w:rPr>
          <w:rFonts w:hint="eastAsia" w:ascii="宋体" w:hAnsi="宋体" w:eastAsia="宋体" w:cs="宋体"/>
          <w:sz w:val="24"/>
        </w:rPr>
        <w:t>日          期：</w:t>
      </w:r>
      <w:r>
        <w:rPr>
          <w:rFonts w:hint="eastAsia" w:ascii="宋体" w:hAnsi="宋体" w:eastAsia="宋体" w:cs="宋体"/>
          <w:sz w:val="24"/>
          <w:u w:val="single"/>
        </w:rPr>
        <w:t xml:space="preserve">             </w:t>
      </w:r>
    </w:p>
    <w:p w14:paraId="1E572BBC">
      <w:pPr>
        <w:spacing w:line="360" w:lineRule="auto"/>
        <w:rPr>
          <w:rFonts w:hint="eastAsia" w:ascii="宋体" w:hAnsi="宋体" w:eastAsia="宋体" w:cs="宋体"/>
          <w:sz w:val="24"/>
          <w:szCs w:val="28"/>
        </w:rPr>
      </w:pPr>
    </w:p>
    <w:p w14:paraId="11358213">
      <w:pPr>
        <w:spacing w:line="360" w:lineRule="auto"/>
        <w:rPr>
          <w:rFonts w:hint="eastAsia" w:ascii="宋体" w:hAnsi="宋体" w:eastAsia="宋体" w:cs="宋体"/>
          <w:sz w:val="24"/>
          <w:szCs w:val="28"/>
        </w:rPr>
      </w:pPr>
    </w:p>
    <w:p w14:paraId="4CCBBDE9">
      <w:pPr>
        <w:pStyle w:val="11"/>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注：</w:t>
      </w:r>
    </w:p>
    <w:p w14:paraId="3F417786">
      <w:pPr>
        <w:pStyle w:val="11"/>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1.本项目只允许有唯一的供应商授权代表，提供身份证明扫描件；</w:t>
      </w:r>
    </w:p>
    <w:p w14:paraId="4D932E63">
      <w:pPr>
        <w:spacing w:line="360" w:lineRule="auto"/>
        <w:jc w:val="left"/>
        <w:rPr>
          <w:rFonts w:hint="eastAsia" w:ascii="宋体" w:hAnsi="宋体" w:eastAsia="宋体" w:cs="宋体"/>
          <w:sz w:val="24"/>
        </w:rPr>
      </w:pPr>
      <w:r>
        <w:rPr>
          <w:rFonts w:hint="eastAsia" w:ascii="宋体" w:hAnsi="宋体" w:eastAsia="宋体" w:cs="宋体"/>
          <w:sz w:val="24"/>
        </w:rPr>
        <w:t>2.法定代表人参加磋商的无需提供授权书，仅提供身份证明扫描件。</w:t>
      </w:r>
    </w:p>
    <w:p w14:paraId="22677C96">
      <w:pPr>
        <w:widowControl/>
        <w:jc w:val="left"/>
        <w:rPr>
          <w:rFonts w:hint="eastAsia" w:ascii="宋体" w:hAnsi="宋体" w:eastAsia="宋体" w:cs="宋体"/>
          <w:sz w:val="24"/>
        </w:rPr>
      </w:pPr>
      <w:r>
        <w:rPr>
          <w:rFonts w:hint="eastAsia" w:ascii="宋体" w:hAnsi="宋体" w:eastAsia="宋体" w:cs="宋体"/>
          <w:sz w:val="24"/>
        </w:rPr>
        <w:br w:type="page"/>
      </w:r>
    </w:p>
    <w:p w14:paraId="77233A31">
      <w:pPr>
        <w:spacing w:line="360" w:lineRule="auto"/>
        <w:jc w:val="center"/>
        <w:outlineLvl w:val="1"/>
        <w:rPr>
          <w:rFonts w:hint="eastAsia" w:ascii="宋体" w:hAnsi="宋体" w:eastAsia="宋体" w:cs="宋体"/>
          <w:b/>
          <w:sz w:val="24"/>
        </w:rPr>
      </w:pPr>
      <w:bookmarkStart w:id="202" w:name="_Toc28033"/>
      <w:bookmarkStart w:id="203" w:name="_Toc22233"/>
      <w:r>
        <w:rPr>
          <w:rFonts w:hint="eastAsia" w:ascii="宋体" w:hAnsi="宋体" w:eastAsia="宋体" w:cs="宋体"/>
          <w:b/>
          <w:sz w:val="24"/>
          <w:lang w:val="en-US" w:eastAsia="zh-CN"/>
        </w:rPr>
        <w:t>五</w:t>
      </w:r>
      <w:r>
        <w:rPr>
          <w:rFonts w:hint="eastAsia" w:ascii="宋体" w:hAnsi="宋体" w:eastAsia="宋体" w:cs="宋体"/>
          <w:b/>
          <w:sz w:val="24"/>
        </w:rPr>
        <w:t>、磋商响应表</w:t>
      </w:r>
      <w:bookmarkEnd w:id="202"/>
      <w:bookmarkEnd w:id="203"/>
    </w:p>
    <w:p w14:paraId="1D7C5061">
      <w:pPr>
        <w:spacing w:line="360" w:lineRule="auto"/>
        <w:ind w:firstLine="435"/>
        <w:rPr>
          <w:rFonts w:hint="eastAsia" w:ascii="宋体" w:hAnsi="宋体" w:eastAsia="宋体" w:cs="宋体"/>
          <w:b/>
          <w:sz w:val="24"/>
        </w:rPr>
      </w:pPr>
      <w:r>
        <w:rPr>
          <w:rFonts w:hint="eastAsia" w:ascii="宋体" w:hAnsi="宋体" w:eastAsia="宋体" w:cs="宋体"/>
          <w:b/>
          <w:sz w:val="24"/>
        </w:rPr>
        <w:t>6.1商务响应表</w:t>
      </w:r>
    </w:p>
    <w:tbl>
      <w:tblPr>
        <w:tblStyle w:val="23"/>
        <w:tblW w:w="5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370"/>
        <w:gridCol w:w="4957"/>
        <w:gridCol w:w="1600"/>
        <w:gridCol w:w="789"/>
      </w:tblGrid>
      <w:tr w14:paraId="5C4C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12" w:type="pct"/>
            <w:vAlign w:val="center"/>
          </w:tcPr>
          <w:p w14:paraId="45246657">
            <w:pPr>
              <w:pStyle w:val="11"/>
              <w:jc w:val="center"/>
              <w:rPr>
                <w:rFonts w:hint="eastAsia" w:ascii="宋体" w:hAnsi="宋体" w:eastAsia="宋体" w:cs="宋体"/>
                <w:b/>
                <w:sz w:val="24"/>
              </w:rPr>
            </w:pPr>
            <w:r>
              <w:rPr>
                <w:rFonts w:hint="eastAsia" w:ascii="宋体" w:hAnsi="宋体" w:eastAsia="宋体" w:cs="宋体"/>
                <w:b/>
                <w:sz w:val="24"/>
              </w:rPr>
              <w:t>序号</w:t>
            </w:r>
          </w:p>
        </w:tc>
        <w:tc>
          <w:tcPr>
            <w:tcW w:w="721" w:type="pct"/>
            <w:vAlign w:val="center"/>
          </w:tcPr>
          <w:p w14:paraId="2076EDED">
            <w:pPr>
              <w:pStyle w:val="11"/>
              <w:jc w:val="center"/>
              <w:rPr>
                <w:rFonts w:hint="eastAsia" w:ascii="宋体" w:hAnsi="宋体" w:eastAsia="宋体" w:cs="宋体"/>
                <w:b/>
                <w:sz w:val="24"/>
              </w:rPr>
            </w:pPr>
            <w:r>
              <w:rPr>
                <w:rFonts w:hint="eastAsia" w:ascii="宋体" w:hAnsi="宋体" w:eastAsia="宋体" w:cs="宋体"/>
                <w:b/>
                <w:bCs/>
                <w:sz w:val="24"/>
                <w:szCs w:val="24"/>
              </w:rPr>
              <w:t>商务条款</w:t>
            </w:r>
          </w:p>
        </w:tc>
        <w:tc>
          <w:tcPr>
            <w:tcW w:w="2608" w:type="pct"/>
            <w:vAlign w:val="center"/>
          </w:tcPr>
          <w:p w14:paraId="0D925A2B">
            <w:pPr>
              <w:pStyle w:val="11"/>
              <w:jc w:val="center"/>
              <w:rPr>
                <w:rFonts w:hint="eastAsia" w:ascii="宋体" w:hAnsi="宋体" w:eastAsia="宋体" w:cs="宋体"/>
                <w:b/>
                <w:sz w:val="24"/>
              </w:rPr>
            </w:pPr>
            <w:r>
              <w:rPr>
                <w:rFonts w:hint="eastAsia" w:ascii="宋体" w:hAnsi="宋体" w:eastAsia="宋体" w:cs="宋体"/>
                <w:b/>
                <w:sz w:val="24"/>
              </w:rPr>
              <w:t>磋商文件要求</w:t>
            </w:r>
          </w:p>
        </w:tc>
        <w:tc>
          <w:tcPr>
            <w:tcW w:w="842" w:type="pct"/>
            <w:vAlign w:val="center"/>
          </w:tcPr>
          <w:p w14:paraId="4299D885">
            <w:pPr>
              <w:pStyle w:val="11"/>
              <w:jc w:val="center"/>
              <w:rPr>
                <w:rFonts w:hint="eastAsia" w:ascii="宋体" w:hAnsi="宋体" w:eastAsia="宋体" w:cs="宋体"/>
                <w:b/>
                <w:sz w:val="24"/>
              </w:rPr>
            </w:pPr>
            <w:r>
              <w:rPr>
                <w:rFonts w:hint="eastAsia" w:ascii="宋体" w:hAnsi="宋体" w:eastAsia="宋体" w:cs="宋体"/>
                <w:b/>
                <w:sz w:val="24"/>
              </w:rPr>
              <w:t>供应商承诺</w:t>
            </w:r>
          </w:p>
        </w:tc>
        <w:tc>
          <w:tcPr>
            <w:tcW w:w="415" w:type="pct"/>
            <w:vAlign w:val="center"/>
          </w:tcPr>
          <w:p w14:paraId="2314494C">
            <w:pPr>
              <w:pStyle w:val="11"/>
              <w:jc w:val="center"/>
              <w:rPr>
                <w:rFonts w:hint="eastAsia" w:ascii="宋体" w:hAnsi="宋体" w:eastAsia="宋体" w:cs="宋体"/>
                <w:b/>
                <w:sz w:val="24"/>
              </w:rPr>
            </w:pPr>
            <w:r>
              <w:rPr>
                <w:rFonts w:hint="eastAsia" w:ascii="宋体" w:hAnsi="宋体" w:eastAsia="宋体" w:cs="宋体"/>
                <w:b/>
                <w:sz w:val="24"/>
              </w:rPr>
              <w:t>偏离说明</w:t>
            </w:r>
          </w:p>
        </w:tc>
      </w:tr>
      <w:tr w14:paraId="21D7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412" w:type="pct"/>
            <w:vAlign w:val="center"/>
          </w:tcPr>
          <w:p w14:paraId="077EEAF2">
            <w:pPr>
              <w:jc w:val="center"/>
              <w:rPr>
                <w:rFonts w:hint="eastAsia" w:ascii="宋体" w:hAnsi="宋体" w:eastAsia="宋体" w:cs="宋体"/>
                <w:sz w:val="24"/>
              </w:rPr>
            </w:pPr>
            <w:r>
              <w:rPr>
                <w:rFonts w:hint="eastAsia" w:ascii="宋体" w:hAnsi="宋体" w:eastAsia="宋体" w:cs="宋体"/>
                <w:sz w:val="24"/>
              </w:rPr>
              <w:t>1</w:t>
            </w:r>
          </w:p>
        </w:tc>
        <w:tc>
          <w:tcPr>
            <w:tcW w:w="721" w:type="pct"/>
            <w:vAlign w:val="center"/>
          </w:tcPr>
          <w:p w14:paraId="2B07F51F">
            <w:pPr>
              <w:jc w:val="center"/>
              <w:rPr>
                <w:rFonts w:hint="eastAsia" w:ascii="宋体" w:hAnsi="宋体" w:eastAsia="宋体" w:cs="宋体"/>
                <w:sz w:val="24"/>
              </w:rPr>
            </w:pPr>
            <w:r>
              <w:rPr>
                <w:rFonts w:hint="eastAsia" w:ascii="宋体" w:hAnsi="宋体" w:eastAsia="宋体" w:cs="宋体"/>
                <w:sz w:val="24"/>
              </w:rPr>
              <w:t>付款方式</w:t>
            </w:r>
          </w:p>
        </w:tc>
        <w:tc>
          <w:tcPr>
            <w:tcW w:w="2608" w:type="pct"/>
            <w:vAlign w:val="center"/>
          </w:tcPr>
          <w:p w14:paraId="69995EFE">
            <w:pPr>
              <w:widowControl/>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满足磋商文件要求</w:t>
            </w:r>
          </w:p>
        </w:tc>
        <w:tc>
          <w:tcPr>
            <w:tcW w:w="842" w:type="pct"/>
            <w:vAlign w:val="center"/>
          </w:tcPr>
          <w:p w14:paraId="3BDE3162">
            <w:pPr>
              <w:jc w:val="center"/>
              <w:rPr>
                <w:rFonts w:hint="eastAsia" w:ascii="宋体" w:hAnsi="宋体" w:eastAsia="宋体" w:cs="宋体"/>
                <w:sz w:val="24"/>
              </w:rPr>
            </w:pPr>
          </w:p>
        </w:tc>
        <w:tc>
          <w:tcPr>
            <w:tcW w:w="415" w:type="pct"/>
            <w:vAlign w:val="center"/>
          </w:tcPr>
          <w:p w14:paraId="561940C9">
            <w:pPr>
              <w:jc w:val="center"/>
              <w:rPr>
                <w:rFonts w:hint="eastAsia" w:ascii="宋体" w:hAnsi="宋体" w:eastAsia="宋体" w:cs="宋体"/>
                <w:sz w:val="24"/>
              </w:rPr>
            </w:pPr>
          </w:p>
        </w:tc>
      </w:tr>
      <w:tr w14:paraId="507E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12" w:type="pct"/>
            <w:vAlign w:val="center"/>
          </w:tcPr>
          <w:p w14:paraId="5A5C4E32">
            <w:pPr>
              <w:jc w:val="center"/>
              <w:rPr>
                <w:rFonts w:hint="eastAsia" w:ascii="宋体" w:hAnsi="宋体" w:eastAsia="宋体" w:cs="宋体"/>
                <w:sz w:val="24"/>
              </w:rPr>
            </w:pPr>
            <w:r>
              <w:rPr>
                <w:rFonts w:hint="eastAsia" w:ascii="宋体" w:hAnsi="宋体" w:eastAsia="宋体" w:cs="宋体"/>
                <w:sz w:val="24"/>
              </w:rPr>
              <w:t>2</w:t>
            </w:r>
          </w:p>
        </w:tc>
        <w:tc>
          <w:tcPr>
            <w:tcW w:w="721" w:type="pct"/>
            <w:vAlign w:val="center"/>
          </w:tcPr>
          <w:p w14:paraId="2230A936">
            <w:pPr>
              <w:jc w:val="center"/>
              <w:rPr>
                <w:rFonts w:hint="eastAsia" w:ascii="宋体" w:hAnsi="宋体" w:eastAsia="宋体" w:cs="宋体"/>
                <w:sz w:val="24"/>
              </w:rPr>
            </w:pPr>
            <w:r>
              <w:rPr>
                <w:rFonts w:hint="eastAsia" w:ascii="宋体" w:hAnsi="宋体" w:eastAsia="宋体" w:cs="宋体"/>
                <w:sz w:val="24"/>
              </w:rPr>
              <w:t>服务地点</w:t>
            </w:r>
          </w:p>
        </w:tc>
        <w:tc>
          <w:tcPr>
            <w:tcW w:w="2608" w:type="pct"/>
            <w:vAlign w:val="center"/>
          </w:tcPr>
          <w:p w14:paraId="3FD83650">
            <w:pPr>
              <w:pStyle w:val="41"/>
              <w:widowControl w:val="0"/>
              <w:spacing w:before="0" w:beforeAutospacing="0" w:after="0" w:afterAutospacing="0"/>
              <w:jc w:val="both"/>
              <w:rPr>
                <w:rFonts w:hint="eastAsia" w:ascii="宋体" w:hAnsi="宋体" w:eastAsia="宋体" w:cs="宋体"/>
                <w:b w:val="0"/>
                <w:bCs w:val="0"/>
                <w:sz w:val="24"/>
              </w:rPr>
            </w:pPr>
            <w:r>
              <w:rPr>
                <w:rFonts w:hint="eastAsia" w:ascii="宋体" w:hAnsi="宋体" w:eastAsia="宋体" w:cs="宋体"/>
                <w:b w:val="0"/>
                <w:bCs w:val="0"/>
                <w:sz w:val="24"/>
                <w:lang w:val="en-US" w:eastAsia="zh-CN"/>
              </w:rPr>
              <w:t>满足磋商文件要求</w:t>
            </w:r>
          </w:p>
        </w:tc>
        <w:tc>
          <w:tcPr>
            <w:tcW w:w="842" w:type="pct"/>
            <w:vAlign w:val="center"/>
          </w:tcPr>
          <w:p w14:paraId="64A86FA8">
            <w:pPr>
              <w:jc w:val="center"/>
              <w:rPr>
                <w:rFonts w:hint="eastAsia" w:ascii="宋体" w:hAnsi="宋体" w:eastAsia="宋体" w:cs="宋体"/>
                <w:sz w:val="24"/>
              </w:rPr>
            </w:pPr>
          </w:p>
        </w:tc>
        <w:tc>
          <w:tcPr>
            <w:tcW w:w="415" w:type="pct"/>
            <w:vAlign w:val="center"/>
          </w:tcPr>
          <w:p w14:paraId="2CD05CA5">
            <w:pPr>
              <w:jc w:val="center"/>
              <w:rPr>
                <w:rFonts w:hint="eastAsia" w:ascii="宋体" w:hAnsi="宋体" w:eastAsia="宋体" w:cs="宋体"/>
                <w:sz w:val="24"/>
              </w:rPr>
            </w:pPr>
          </w:p>
        </w:tc>
      </w:tr>
      <w:tr w14:paraId="5287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Align w:val="center"/>
          </w:tcPr>
          <w:p w14:paraId="30530DEB">
            <w:pPr>
              <w:jc w:val="center"/>
              <w:rPr>
                <w:rFonts w:hint="eastAsia" w:ascii="宋体" w:hAnsi="宋体" w:eastAsia="宋体" w:cs="宋体"/>
                <w:sz w:val="24"/>
              </w:rPr>
            </w:pPr>
            <w:r>
              <w:rPr>
                <w:rFonts w:hint="eastAsia" w:ascii="宋体" w:hAnsi="宋体" w:eastAsia="宋体" w:cs="宋体"/>
                <w:sz w:val="24"/>
              </w:rPr>
              <w:t>3</w:t>
            </w:r>
          </w:p>
        </w:tc>
        <w:tc>
          <w:tcPr>
            <w:tcW w:w="721" w:type="pct"/>
            <w:vAlign w:val="center"/>
          </w:tcPr>
          <w:p w14:paraId="7D49CC74">
            <w:pPr>
              <w:jc w:val="center"/>
              <w:rPr>
                <w:rFonts w:hint="eastAsia" w:ascii="宋体" w:hAnsi="宋体" w:eastAsia="宋体" w:cs="宋体"/>
                <w:sz w:val="24"/>
              </w:rPr>
            </w:pPr>
            <w:r>
              <w:rPr>
                <w:rFonts w:hint="eastAsia" w:ascii="宋体" w:hAnsi="宋体" w:eastAsia="宋体" w:cs="宋体"/>
                <w:sz w:val="24"/>
              </w:rPr>
              <w:t>服务期限</w:t>
            </w:r>
          </w:p>
        </w:tc>
        <w:tc>
          <w:tcPr>
            <w:tcW w:w="2608" w:type="pct"/>
            <w:vAlign w:val="center"/>
          </w:tcPr>
          <w:p w14:paraId="1335876A">
            <w:pPr>
              <w:jc w:val="left"/>
              <w:rPr>
                <w:rFonts w:hint="eastAsia" w:ascii="宋体" w:hAnsi="宋体" w:eastAsia="宋体" w:cs="宋体"/>
                <w:b w:val="0"/>
                <w:bCs w:val="0"/>
                <w:sz w:val="24"/>
              </w:rPr>
            </w:pPr>
            <w:r>
              <w:rPr>
                <w:rFonts w:hint="eastAsia" w:ascii="宋体" w:hAnsi="宋体" w:eastAsia="宋体" w:cs="宋体"/>
                <w:b w:val="0"/>
                <w:bCs w:val="0"/>
                <w:sz w:val="24"/>
                <w:lang w:val="en-US" w:eastAsia="zh-CN"/>
              </w:rPr>
              <w:t>满足磋商文件要求</w:t>
            </w:r>
          </w:p>
        </w:tc>
        <w:tc>
          <w:tcPr>
            <w:tcW w:w="842" w:type="pct"/>
            <w:vAlign w:val="center"/>
          </w:tcPr>
          <w:p w14:paraId="079897FF">
            <w:pPr>
              <w:pStyle w:val="49"/>
              <w:jc w:val="center"/>
              <w:rPr>
                <w:rFonts w:hint="eastAsia" w:ascii="宋体" w:hAnsi="宋体" w:eastAsia="宋体" w:cs="宋体"/>
              </w:rPr>
            </w:pPr>
          </w:p>
        </w:tc>
        <w:tc>
          <w:tcPr>
            <w:tcW w:w="415" w:type="pct"/>
            <w:vAlign w:val="center"/>
          </w:tcPr>
          <w:p w14:paraId="040BC4BE">
            <w:pPr>
              <w:jc w:val="center"/>
              <w:rPr>
                <w:rFonts w:hint="eastAsia" w:ascii="宋体" w:hAnsi="宋体" w:eastAsia="宋体" w:cs="宋体"/>
                <w:sz w:val="24"/>
              </w:rPr>
            </w:pPr>
          </w:p>
        </w:tc>
      </w:tr>
    </w:tbl>
    <w:p w14:paraId="2DDBA831">
      <w:pPr>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5ED02C27">
      <w:pPr>
        <w:tabs>
          <w:tab w:val="left" w:pos="630"/>
        </w:tabs>
        <w:spacing w:line="360" w:lineRule="auto"/>
        <w:ind w:firstLine="4800" w:firstLineChars="20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733AB187">
      <w:pPr>
        <w:pStyle w:val="12"/>
        <w:spacing w:line="360" w:lineRule="auto"/>
        <w:rPr>
          <w:rFonts w:hint="eastAsia" w:ascii="宋体" w:hAnsi="宋体" w:eastAsia="宋体" w:cs="宋体"/>
          <w:sz w:val="24"/>
        </w:rPr>
      </w:pPr>
      <w:r>
        <w:rPr>
          <w:rFonts w:hint="eastAsia" w:ascii="宋体" w:hAnsi="宋体" w:eastAsia="宋体" w:cs="宋体"/>
          <w:sz w:val="24"/>
        </w:rPr>
        <w:br w:type="page"/>
      </w:r>
    </w:p>
    <w:p w14:paraId="2DB96E52">
      <w:pPr>
        <w:widowControl/>
        <w:jc w:val="left"/>
        <w:rPr>
          <w:rFonts w:hint="eastAsia" w:ascii="宋体" w:hAnsi="宋体" w:eastAsia="宋体" w:cs="宋体"/>
          <w:sz w:val="24"/>
        </w:rPr>
      </w:pPr>
    </w:p>
    <w:p w14:paraId="3DCA1761">
      <w:pPr>
        <w:spacing w:line="360" w:lineRule="auto"/>
        <w:jc w:val="center"/>
        <w:outlineLvl w:val="1"/>
        <w:rPr>
          <w:rFonts w:hint="eastAsia" w:ascii="宋体" w:hAnsi="宋体" w:eastAsia="宋体" w:cs="宋体"/>
          <w:b/>
          <w:sz w:val="24"/>
        </w:rPr>
      </w:pPr>
      <w:bookmarkStart w:id="204" w:name="_Toc17888"/>
      <w:bookmarkStart w:id="205" w:name="_Toc6445"/>
      <w:r>
        <w:rPr>
          <w:rFonts w:hint="eastAsia" w:ascii="宋体" w:hAnsi="宋体" w:eastAsia="宋体" w:cs="宋体"/>
          <w:b/>
          <w:sz w:val="24"/>
          <w:lang w:val="en-US" w:eastAsia="zh-CN"/>
        </w:rPr>
        <w:t>六</w:t>
      </w:r>
      <w:r>
        <w:rPr>
          <w:rFonts w:hint="eastAsia" w:ascii="宋体" w:hAnsi="宋体" w:eastAsia="宋体" w:cs="宋体"/>
          <w:b/>
          <w:sz w:val="24"/>
        </w:rPr>
        <w:t>、中小企业声明函</w:t>
      </w:r>
      <w:bookmarkEnd w:id="204"/>
      <w:bookmarkEnd w:id="205"/>
    </w:p>
    <w:p w14:paraId="0CEFCB0B">
      <w:pPr>
        <w:pStyle w:val="8"/>
        <w:jc w:val="center"/>
        <w:rPr>
          <w:rFonts w:hint="eastAsia" w:ascii="宋体" w:hAnsi="宋体" w:eastAsia="宋体" w:cs="宋体"/>
          <w:b/>
          <w:bCs/>
          <w:i/>
          <w:sz w:val="24"/>
          <w:lang w:val="en-US"/>
        </w:rPr>
      </w:pPr>
      <w:r>
        <w:rPr>
          <w:rFonts w:hint="eastAsia" w:ascii="宋体" w:hAnsi="宋体" w:eastAsia="宋体" w:cs="宋体"/>
          <w:b/>
          <w:bCs/>
          <w:i/>
          <w:sz w:val="24"/>
          <w:lang w:val="en-US"/>
        </w:rPr>
        <w:t>（</w:t>
      </w:r>
      <w:r>
        <w:rPr>
          <w:rFonts w:hint="eastAsia" w:ascii="宋体" w:hAnsi="宋体" w:eastAsia="宋体" w:cs="宋体"/>
          <w:b/>
          <w:bCs/>
          <w:i/>
          <w:sz w:val="24"/>
        </w:rPr>
        <w:t>非中小企业</w:t>
      </w:r>
      <w:r>
        <w:rPr>
          <w:rFonts w:hint="eastAsia" w:ascii="宋体" w:hAnsi="宋体" w:eastAsia="宋体" w:cs="宋体"/>
          <w:b/>
          <w:bCs/>
          <w:i/>
          <w:sz w:val="24"/>
          <w:lang w:val="en-US"/>
        </w:rPr>
        <w:t>磋商，不需此件，请删去“中小企业声明函”）</w:t>
      </w:r>
    </w:p>
    <w:p w14:paraId="6A2C67FE">
      <w:pPr>
        <w:pStyle w:val="8"/>
        <w:jc w:val="center"/>
        <w:rPr>
          <w:rFonts w:hint="eastAsia" w:ascii="宋体" w:hAnsi="宋体" w:eastAsia="宋体" w:cs="宋体"/>
          <w:b/>
          <w:bCs/>
          <w:i/>
          <w:sz w:val="24"/>
          <w:lang w:val="en-US"/>
        </w:rPr>
      </w:pPr>
      <w:r>
        <w:rPr>
          <w:rFonts w:hint="eastAsia" w:ascii="宋体" w:hAnsi="宋体" w:eastAsia="宋体" w:cs="宋体"/>
          <w:b/>
          <w:bCs/>
          <w:i/>
          <w:sz w:val="24"/>
          <w:lang w:val="en-US"/>
        </w:rPr>
        <w:t>（供应商根据所投包别选择相应的包别填写）</w:t>
      </w:r>
    </w:p>
    <w:p w14:paraId="664D2090">
      <w:pPr>
        <w:spacing w:line="360" w:lineRule="auto"/>
        <w:ind w:firstLine="435"/>
        <w:rPr>
          <w:rFonts w:hint="eastAsia" w:ascii="宋体" w:hAnsi="宋体" w:eastAsia="宋体" w:cs="宋体"/>
          <w:sz w:val="24"/>
          <w:szCs w:val="24"/>
          <w:lang w:val="zh-CN"/>
        </w:rPr>
      </w:pPr>
      <w:r>
        <w:rPr>
          <w:rFonts w:hint="eastAsia" w:ascii="宋体" w:hAnsi="宋体" w:eastAsia="宋体" w:cs="宋体"/>
          <w:sz w:val="24"/>
          <w:szCs w:val="24"/>
          <w:lang w:val="zh-CN"/>
        </w:rPr>
        <w:t>本公司（联合体）郑重声明，根据《政府采购促进中小企业发展管理办法》（财库﹝2020﹞46号）的规定，本公司（联合体）参加</w:t>
      </w:r>
      <w:r>
        <w:rPr>
          <w:rFonts w:hint="eastAsia" w:ascii="宋体" w:hAnsi="宋体" w:eastAsia="宋体" w:cs="宋体"/>
          <w:b/>
          <w:bCs/>
          <w:sz w:val="24"/>
          <w:szCs w:val="24"/>
          <w:u w:val="single"/>
          <w:lang w:val="en-US" w:eastAsia="zh-CN"/>
        </w:rPr>
        <w:t>安徽省淮河河道管理局</w:t>
      </w:r>
      <w:r>
        <w:rPr>
          <w:rFonts w:hint="eastAsia" w:ascii="宋体" w:hAnsi="宋体" w:eastAsia="宋体" w:cs="宋体"/>
          <w:sz w:val="24"/>
          <w:szCs w:val="24"/>
          <w:lang w:val="zh-CN"/>
        </w:rPr>
        <w:t>的</w:t>
      </w:r>
      <w:r>
        <w:rPr>
          <w:rFonts w:hint="eastAsia" w:ascii="宋体" w:hAnsi="宋体" w:eastAsia="宋体" w:cs="宋体"/>
          <w:b/>
          <w:bCs/>
          <w:sz w:val="24"/>
          <w:szCs w:val="24"/>
          <w:u w:val="single"/>
          <w:lang w:val="zh-CN"/>
        </w:rPr>
        <w:t>2026年省淮河局、省临淮岗局水闸及堤防监测（</w:t>
      </w:r>
      <w:r>
        <w:rPr>
          <w:rFonts w:hint="eastAsia" w:ascii="宋体" w:hAnsi="宋体" w:eastAsia="宋体" w:cs="宋体"/>
          <w:b/>
          <w:bCs/>
          <w:sz w:val="24"/>
          <w:szCs w:val="24"/>
          <w:u w:val="single"/>
          <w:lang w:val="en-US" w:eastAsia="zh-CN"/>
        </w:rPr>
        <w:t>第   包）</w:t>
      </w:r>
      <w:r>
        <w:rPr>
          <w:rFonts w:hint="eastAsia" w:ascii="宋体" w:hAnsi="宋体" w:eastAsia="宋体" w:cs="宋体"/>
          <w:sz w:val="24"/>
          <w:szCs w:val="24"/>
          <w:lang w:val="zh-CN"/>
        </w:rPr>
        <w:t xml:space="preserve">采购活动，服务全部由符合政策要求的中小企业承接。相关企业（含联合体中的中小企业、签订分包意向协议的中小企业）的具体情况如下： </w:t>
      </w:r>
    </w:p>
    <w:p w14:paraId="37E71DAA">
      <w:pPr>
        <w:spacing w:line="360" w:lineRule="auto"/>
        <w:ind w:firstLine="435"/>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u w:val="single"/>
          <w:lang w:val="zh-CN"/>
        </w:rPr>
        <w:t xml:space="preserve"> </w:t>
      </w:r>
      <w:r>
        <w:rPr>
          <w:rFonts w:hint="eastAsia" w:ascii="宋体" w:hAnsi="宋体" w:eastAsia="宋体" w:cs="宋体"/>
          <w:b/>
          <w:bCs/>
          <w:sz w:val="24"/>
          <w:szCs w:val="24"/>
          <w:u w:val="single"/>
          <w:lang w:val="zh-CN"/>
        </w:rPr>
        <w:t>2026年省淮河局、省临淮岗局水闸及堤防监测（</w:t>
      </w:r>
      <w:r>
        <w:rPr>
          <w:rFonts w:hint="eastAsia" w:ascii="宋体" w:hAnsi="宋体" w:eastAsia="宋体" w:cs="宋体"/>
          <w:b/>
          <w:bCs/>
          <w:sz w:val="24"/>
          <w:szCs w:val="24"/>
          <w:u w:val="single"/>
          <w:lang w:val="en-US" w:eastAsia="zh-CN"/>
        </w:rPr>
        <w:t>第   包）</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，属于</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lang w:val="zh-TW"/>
        </w:rPr>
        <w:t>其他未列明</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lang w:val="zh-CN"/>
        </w:rPr>
        <w:t>行业；承接企业为</w:t>
      </w:r>
      <w:r>
        <w:rPr>
          <w:rFonts w:hint="eastAsia" w:ascii="宋体" w:hAnsi="宋体" w:eastAsia="宋体" w:cs="宋体"/>
          <w:sz w:val="24"/>
          <w:szCs w:val="24"/>
          <w:u w:val="single"/>
          <w:lang w:val="zh-CN"/>
        </w:rPr>
        <w:t>（企业名称）</w:t>
      </w:r>
      <w:r>
        <w:rPr>
          <w:rFonts w:hint="eastAsia" w:ascii="宋体" w:hAnsi="宋体" w:eastAsia="宋体" w:cs="宋体"/>
          <w:sz w:val="24"/>
          <w:szCs w:val="24"/>
          <w:lang w:val="zh-CN"/>
        </w:rPr>
        <w:t>，从业人员</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人，营业收入为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万元，资产总额为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万元，属于</w:t>
      </w:r>
      <w:r>
        <w:rPr>
          <w:rFonts w:hint="eastAsia" w:ascii="宋体" w:hAnsi="宋体" w:eastAsia="宋体" w:cs="宋体"/>
          <w:sz w:val="24"/>
          <w:szCs w:val="24"/>
          <w:u w:val="single"/>
          <w:lang w:val="zh-CN"/>
        </w:rPr>
        <w:t>（中型企业、小型企业、微型企业）</w:t>
      </w:r>
      <w:r>
        <w:rPr>
          <w:rFonts w:hint="eastAsia" w:ascii="宋体" w:hAnsi="宋体" w:eastAsia="宋体" w:cs="宋体"/>
          <w:sz w:val="24"/>
          <w:szCs w:val="24"/>
          <w:lang w:val="zh-CN"/>
        </w:rPr>
        <w:t>；</w:t>
      </w:r>
    </w:p>
    <w:p w14:paraId="4CBA13DD">
      <w:pPr>
        <w:spacing w:line="360" w:lineRule="auto"/>
        <w:ind w:firstLine="435"/>
        <w:rPr>
          <w:rFonts w:hint="eastAsia" w:ascii="宋体" w:hAnsi="宋体" w:eastAsia="宋体" w:cs="宋体"/>
          <w:sz w:val="24"/>
          <w:szCs w:val="24"/>
          <w:lang w:val="zh-CN"/>
        </w:rPr>
      </w:pPr>
      <w:r>
        <w:rPr>
          <w:rFonts w:hint="eastAsia" w:ascii="宋体" w:hAnsi="宋体" w:eastAsia="宋体" w:cs="宋体"/>
          <w:sz w:val="24"/>
          <w:szCs w:val="24"/>
          <w:lang w:val="zh-CN"/>
        </w:rPr>
        <w:t>……</w:t>
      </w:r>
    </w:p>
    <w:p w14:paraId="1998D456">
      <w:pPr>
        <w:spacing w:line="360" w:lineRule="auto"/>
        <w:ind w:firstLine="435"/>
        <w:rPr>
          <w:rFonts w:hint="eastAsia" w:ascii="宋体" w:hAnsi="宋体" w:eastAsia="宋体" w:cs="宋体"/>
          <w:sz w:val="24"/>
          <w:szCs w:val="24"/>
          <w:lang w:val="zh-CN"/>
        </w:rPr>
      </w:pPr>
      <w:r>
        <w:rPr>
          <w:rFonts w:hint="eastAsia" w:ascii="宋体" w:hAnsi="宋体" w:eastAsia="宋体" w:cs="宋体"/>
          <w:sz w:val="24"/>
          <w:szCs w:val="24"/>
          <w:lang w:val="zh-CN"/>
        </w:rPr>
        <w:t>以上企业，不属于大企业的分支机构，不存在控股股东为大企业的情形，也不存在与大企业的负责人为同一人的情形。</w:t>
      </w:r>
    </w:p>
    <w:p w14:paraId="1716B2EC">
      <w:pPr>
        <w:spacing w:line="360" w:lineRule="auto"/>
        <w:ind w:firstLine="435"/>
        <w:rPr>
          <w:rFonts w:hint="eastAsia" w:ascii="宋体" w:hAnsi="宋体" w:eastAsia="宋体" w:cs="宋体"/>
          <w:sz w:val="24"/>
          <w:szCs w:val="24"/>
          <w:lang w:val="zh-CN"/>
        </w:rPr>
      </w:pPr>
      <w:r>
        <w:rPr>
          <w:rFonts w:hint="eastAsia" w:ascii="宋体" w:hAnsi="宋体" w:eastAsia="宋体" w:cs="宋体"/>
          <w:sz w:val="24"/>
          <w:szCs w:val="24"/>
          <w:lang w:val="zh-CN"/>
        </w:rPr>
        <w:t xml:space="preserve">本企业对上述声明内容的真实性负责。如有虚假，将依法承担相应责任。 </w:t>
      </w:r>
    </w:p>
    <w:p w14:paraId="5CDACCBE">
      <w:pPr>
        <w:spacing w:line="360" w:lineRule="auto"/>
        <w:ind w:firstLine="435"/>
        <w:rPr>
          <w:rFonts w:hint="eastAsia" w:ascii="宋体" w:hAnsi="宋体" w:eastAsia="宋体" w:cs="宋体"/>
          <w:sz w:val="24"/>
          <w:szCs w:val="24"/>
        </w:rPr>
      </w:pPr>
    </w:p>
    <w:p w14:paraId="50ED7A07">
      <w:pPr>
        <w:spacing w:line="360" w:lineRule="auto"/>
        <w:ind w:firstLine="435"/>
        <w:rPr>
          <w:rFonts w:hint="eastAsia" w:ascii="宋体" w:hAnsi="宋体" w:eastAsia="宋体" w:cs="宋体"/>
          <w:sz w:val="24"/>
          <w:szCs w:val="24"/>
        </w:rPr>
      </w:pPr>
    </w:p>
    <w:p w14:paraId="416F32B0">
      <w:pPr>
        <w:spacing w:line="360" w:lineRule="auto"/>
        <w:ind w:firstLine="4228" w:firstLineChars="1762"/>
        <w:rPr>
          <w:rFonts w:hint="eastAsia" w:ascii="宋体" w:hAnsi="宋体" w:eastAsia="宋体" w:cs="宋体"/>
          <w:sz w:val="24"/>
          <w:szCs w:val="24"/>
          <w:u w:val="single"/>
        </w:rPr>
      </w:pPr>
      <w:r>
        <w:rPr>
          <w:rFonts w:hint="eastAsia" w:ascii="宋体" w:hAnsi="宋体" w:eastAsia="宋体" w:cs="宋体"/>
          <w:sz w:val="24"/>
          <w:szCs w:val="24"/>
        </w:rPr>
        <w:t>供应商电子签章：</w:t>
      </w:r>
      <w:r>
        <w:rPr>
          <w:rFonts w:hint="eastAsia" w:ascii="宋体" w:hAnsi="宋体" w:eastAsia="宋体" w:cs="宋体"/>
          <w:sz w:val="24"/>
          <w:szCs w:val="24"/>
          <w:u w:val="single"/>
        </w:rPr>
        <w:t xml:space="preserve">             </w:t>
      </w:r>
    </w:p>
    <w:p w14:paraId="61F8631A">
      <w:pPr>
        <w:tabs>
          <w:tab w:val="left" w:pos="4620"/>
        </w:tabs>
        <w:spacing w:line="360" w:lineRule="auto"/>
        <w:ind w:firstLine="4252" w:firstLineChars="1772"/>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10FEBC22">
      <w:pPr>
        <w:tabs>
          <w:tab w:val="left" w:pos="4620"/>
        </w:tabs>
        <w:spacing w:line="360" w:lineRule="auto"/>
        <w:jc w:val="left"/>
        <w:rPr>
          <w:rFonts w:hint="eastAsia" w:ascii="宋体" w:hAnsi="宋体" w:eastAsia="宋体" w:cs="宋体"/>
          <w:sz w:val="24"/>
          <w:szCs w:val="24"/>
        </w:rPr>
      </w:pPr>
    </w:p>
    <w:p w14:paraId="1784161B">
      <w:pPr>
        <w:tabs>
          <w:tab w:val="left" w:pos="4620"/>
        </w:tabs>
        <w:spacing w:line="360" w:lineRule="auto"/>
        <w:jc w:val="left"/>
        <w:rPr>
          <w:rFonts w:hint="eastAsia" w:ascii="宋体" w:hAnsi="宋体" w:eastAsia="宋体" w:cs="宋体"/>
          <w:sz w:val="24"/>
          <w:szCs w:val="24"/>
        </w:rPr>
      </w:pPr>
    </w:p>
    <w:p w14:paraId="4150D4AA">
      <w:pPr>
        <w:tabs>
          <w:tab w:val="left" w:pos="4620"/>
        </w:tabs>
        <w:spacing w:line="360" w:lineRule="auto"/>
        <w:jc w:val="left"/>
        <w:rPr>
          <w:rFonts w:hint="eastAsia" w:ascii="宋体" w:hAnsi="宋体" w:eastAsia="宋体" w:cs="宋体"/>
          <w:sz w:val="24"/>
          <w:szCs w:val="24"/>
        </w:rPr>
      </w:pPr>
    </w:p>
    <w:p w14:paraId="54FB42D7">
      <w:pPr>
        <w:tabs>
          <w:tab w:val="left" w:pos="4620"/>
        </w:tabs>
        <w:spacing w:line="360" w:lineRule="auto"/>
        <w:jc w:val="left"/>
        <w:rPr>
          <w:rFonts w:hint="eastAsia" w:ascii="宋体" w:hAnsi="宋体" w:eastAsia="宋体" w:cs="宋体"/>
          <w:sz w:val="24"/>
          <w:szCs w:val="24"/>
        </w:rPr>
      </w:pPr>
    </w:p>
    <w:p w14:paraId="46401E14">
      <w:pPr>
        <w:tabs>
          <w:tab w:val="left" w:pos="4620"/>
        </w:tabs>
        <w:spacing w:line="360" w:lineRule="auto"/>
        <w:jc w:val="left"/>
        <w:rPr>
          <w:rFonts w:hint="eastAsia" w:ascii="宋体" w:hAnsi="宋体" w:eastAsia="宋体" w:cs="宋体"/>
          <w:b/>
          <w:szCs w:val="24"/>
        </w:rPr>
      </w:pPr>
      <w:r>
        <w:rPr>
          <w:rFonts w:hint="eastAsia" w:ascii="宋体" w:hAnsi="宋体" w:eastAsia="宋体" w:cs="宋体"/>
          <w:b/>
          <w:szCs w:val="24"/>
        </w:rPr>
        <w:t>注：</w:t>
      </w:r>
    </w:p>
    <w:p w14:paraId="24CEB54B">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1.从业人员、营业收入、资产总额填报上一年数据，无上一年数据的新成立企业可不填报。</w:t>
      </w:r>
    </w:p>
    <w:p w14:paraId="290DB16D">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供应商自行登录工业和信息化部官网进行中小企业规模类型自测（查询网址https://www.miit.gov.cn/）。</w:t>
      </w:r>
    </w:p>
    <w:p w14:paraId="0D5C5866">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2AB80491">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7093FB66">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[供应商自行登录工业和信息化部官网进行中小企业规模类型自测（查询网址https://www.miit.gov.cn/）]</w:t>
      </w:r>
      <w:r>
        <w:rPr>
          <w:rFonts w:hint="eastAsia" w:ascii="宋体" w:hAnsi="宋体" w:eastAsia="宋体" w:cs="宋体"/>
          <w:b/>
          <w:bCs/>
          <w:szCs w:val="21"/>
          <w:lang w:val="zh-CN"/>
        </w:rPr>
        <w:t>。</w:t>
      </w:r>
    </w:p>
    <w:p w14:paraId="78207841">
      <w:pPr>
        <w:tabs>
          <w:tab w:val="left" w:pos="4620"/>
        </w:tabs>
        <w:spacing w:line="360" w:lineRule="auto"/>
        <w:rPr>
          <w:rFonts w:hint="eastAsia" w:ascii="宋体" w:hAnsi="宋体" w:eastAsia="宋体" w:cs="宋体"/>
          <w:sz w:val="24"/>
        </w:rPr>
      </w:pPr>
      <w:r>
        <w:rPr>
          <w:rFonts w:hint="eastAsia" w:ascii="宋体" w:hAnsi="宋体" w:eastAsia="宋体" w:cs="宋体"/>
          <w:sz w:val="24"/>
        </w:rPr>
        <w:br w:type="page"/>
      </w:r>
    </w:p>
    <w:p w14:paraId="10B24DBA">
      <w:pPr>
        <w:spacing w:line="360" w:lineRule="auto"/>
        <w:jc w:val="center"/>
        <w:outlineLvl w:val="9"/>
        <w:rPr>
          <w:rFonts w:hint="eastAsia" w:ascii="宋体" w:hAnsi="宋体" w:eastAsia="宋体" w:cs="宋体"/>
          <w:b/>
          <w:sz w:val="24"/>
        </w:rPr>
      </w:pPr>
      <w:bookmarkStart w:id="206" w:name="_Toc5908"/>
      <w:bookmarkStart w:id="207" w:name="_Toc17713"/>
      <w:r>
        <w:rPr>
          <w:rFonts w:hint="eastAsia" w:ascii="宋体" w:hAnsi="宋体" w:eastAsia="宋体" w:cs="宋体"/>
          <w:b/>
          <w:sz w:val="24"/>
        </w:rPr>
        <w:t>残疾人福利性单位声明函</w:t>
      </w:r>
      <w:bookmarkEnd w:id="206"/>
      <w:bookmarkEnd w:id="207"/>
    </w:p>
    <w:p w14:paraId="235C92A4">
      <w:pPr>
        <w:pStyle w:val="8"/>
        <w:jc w:val="center"/>
        <w:rPr>
          <w:rFonts w:hint="eastAsia" w:ascii="宋体" w:hAnsi="宋体" w:eastAsia="宋体" w:cs="宋体"/>
          <w:spacing w:val="6"/>
          <w:sz w:val="24"/>
        </w:rPr>
      </w:pPr>
      <w:r>
        <w:rPr>
          <w:rFonts w:hint="eastAsia" w:ascii="宋体" w:hAnsi="宋体" w:eastAsia="宋体" w:cs="宋体"/>
          <w:i/>
          <w:sz w:val="24"/>
          <w:lang w:val="en-US"/>
        </w:rPr>
        <w:t>（非残疾人福利性单位磋商，请删去“残疾人福利性单位声明函”）</w:t>
      </w:r>
    </w:p>
    <w:p w14:paraId="31726EA7">
      <w:pPr>
        <w:spacing w:line="360" w:lineRule="auto"/>
        <w:ind w:firstLine="435"/>
        <w:rPr>
          <w:rFonts w:hint="eastAsia" w:ascii="宋体" w:hAnsi="宋体" w:eastAsia="宋体" w:cs="宋体"/>
          <w:spacing w:val="6"/>
          <w:sz w:val="24"/>
          <w:szCs w:val="24"/>
        </w:rPr>
      </w:pPr>
      <w:r>
        <w:rPr>
          <w:rFonts w:hint="eastAsia" w:ascii="宋体" w:hAnsi="宋体" w:eastAsia="宋体" w:cs="宋体"/>
          <w:spacing w:val="6"/>
          <w:sz w:val="24"/>
          <w:szCs w:val="24"/>
        </w:rPr>
        <w:t>本单位</w:t>
      </w:r>
      <w:r>
        <w:rPr>
          <w:rFonts w:hint="eastAsia" w:ascii="宋体" w:hAnsi="宋体" w:eastAsia="宋体" w:cs="宋体"/>
          <w:sz w:val="24"/>
        </w:rPr>
        <w:t>郑重</w:t>
      </w:r>
      <w:r>
        <w:rPr>
          <w:rFonts w:hint="eastAsia" w:ascii="宋体" w:hAnsi="宋体" w:eastAsia="宋体" w:cs="宋体"/>
          <w:spacing w:val="6"/>
          <w:sz w:val="24"/>
          <w:szCs w:val="24"/>
        </w:rPr>
        <w:t>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w:t>
      </w:r>
      <w:r>
        <w:rPr>
          <w:rFonts w:hint="eastAsia" w:ascii="宋体" w:hAnsi="宋体" w:eastAsia="宋体" w:cs="宋体"/>
          <w:bCs/>
          <w:sz w:val="24"/>
          <w:szCs w:val="24"/>
        </w:rPr>
        <w:t>符合</w:t>
      </w:r>
      <w:r>
        <w:rPr>
          <w:rFonts w:hint="eastAsia" w:ascii="宋体" w:hAnsi="宋体" w:eastAsia="宋体" w:cs="宋体"/>
          <w:spacing w:val="6"/>
          <w:sz w:val="24"/>
          <w:szCs w:val="24"/>
        </w:rPr>
        <w:t>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单位的</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项目采购活动提供本单位制造的货物（由本单位承担服务/提供服务），或者提供其他残疾人福利性单位制造的货物（不包括使用非残疾人福利性单位注册商标的货物）。</w:t>
      </w:r>
    </w:p>
    <w:p w14:paraId="0E0BC4AD">
      <w:pPr>
        <w:spacing w:line="360" w:lineRule="auto"/>
        <w:ind w:firstLine="435"/>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7484E9AD">
      <w:pPr>
        <w:spacing w:line="360" w:lineRule="auto"/>
        <w:ind w:firstLine="4228" w:firstLineChars="1762"/>
        <w:rPr>
          <w:rFonts w:hint="eastAsia" w:ascii="宋体" w:hAnsi="宋体" w:eastAsia="宋体" w:cs="宋体"/>
          <w:sz w:val="24"/>
          <w:szCs w:val="24"/>
        </w:rPr>
      </w:pPr>
    </w:p>
    <w:p w14:paraId="2A0580F8">
      <w:pPr>
        <w:spacing w:line="360" w:lineRule="auto"/>
        <w:ind w:firstLine="4228" w:firstLineChars="1762"/>
        <w:rPr>
          <w:rFonts w:hint="eastAsia" w:ascii="宋体" w:hAnsi="宋体" w:eastAsia="宋体" w:cs="宋体"/>
          <w:sz w:val="24"/>
          <w:szCs w:val="24"/>
        </w:rPr>
      </w:pPr>
    </w:p>
    <w:p w14:paraId="30316BF5">
      <w:pPr>
        <w:spacing w:line="360" w:lineRule="auto"/>
        <w:ind w:firstLine="4228" w:firstLineChars="1762"/>
        <w:rPr>
          <w:rFonts w:hint="eastAsia" w:ascii="宋体" w:hAnsi="宋体" w:eastAsia="宋体" w:cs="宋体"/>
          <w:sz w:val="24"/>
          <w:szCs w:val="24"/>
          <w:u w:val="single"/>
        </w:rPr>
      </w:pPr>
      <w:r>
        <w:rPr>
          <w:rFonts w:hint="eastAsia" w:ascii="宋体" w:hAnsi="宋体" w:eastAsia="宋体" w:cs="宋体"/>
          <w:sz w:val="24"/>
          <w:szCs w:val="24"/>
        </w:rPr>
        <w:t>供应商电子签章：</w:t>
      </w:r>
      <w:r>
        <w:rPr>
          <w:rFonts w:hint="eastAsia" w:ascii="宋体" w:hAnsi="宋体" w:eastAsia="宋体" w:cs="宋体"/>
          <w:sz w:val="24"/>
          <w:szCs w:val="24"/>
          <w:u w:val="single"/>
        </w:rPr>
        <w:t xml:space="preserve">             </w:t>
      </w:r>
    </w:p>
    <w:p w14:paraId="730762E1">
      <w:pPr>
        <w:tabs>
          <w:tab w:val="left" w:pos="4620"/>
        </w:tabs>
        <w:spacing w:line="360" w:lineRule="auto"/>
        <w:ind w:firstLine="4252" w:firstLineChars="1772"/>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7D693983">
      <w:pPr>
        <w:widowControl/>
        <w:jc w:val="left"/>
        <w:rPr>
          <w:rFonts w:hint="eastAsia" w:ascii="宋体" w:hAnsi="宋体" w:eastAsia="宋体" w:cs="宋体"/>
          <w:sz w:val="24"/>
        </w:rPr>
      </w:pPr>
      <w:r>
        <w:rPr>
          <w:rFonts w:hint="eastAsia" w:ascii="宋体" w:hAnsi="宋体" w:eastAsia="宋体" w:cs="宋体"/>
          <w:sz w:val="24"/>
        </w:rPr>
        <w:br w:type="page"/>
      </w:r>
    </w:p>
    <w:p w14:paraId="00AB81F5">
      <w:pPr>
        <w:spacing w:line="360" w:lineRule="auto"/>
        <w:jc w:val="center"/>
        <w:outlineLvl w:val="1"/>
        <w:rPr>
          <w:rFonts w:hint="eastAsia" w:ascii="宋体" w:hAnsi="宋体" w:eastAsia="宋体" w:cs="宋体"/>
          <w:b/>
          <w:sz w:val="24"/>
          <w:lang w:val="en-US" w:eastAsia="zh-CN"/>
        </w:rPr>
      </w:pPr>
      <w:r>
        <w:rPr>
          <w:rFonts w:hint="eastAsia" w:ascii="宋体" w:hAnsi="宋体" w:eastAsia="宋体" w:cs="宋体"/>
          <w:b/>
          <w:sz w:val="24"/>
          <w:lang w:val="en-US" w:eastAsia="zh-CN"/>
        </w:rPr>
        <w:t>七、供应商项目组成员配备表</w:t>
      </w:r>
    </w:p>
    <w:p w14:paraId="6748B771">
      <w:pPr>
        <w:pStyle w:val="11"/>
        <w:rPr>
          <w:rFonts w:hint="eastAsia" w:ascii="宋体" w:hAnsi="宋体" w:eastAsia="宋体" w:cs="宋体"/>
          <w:i/>
          <w:iCs/>
          <w:lang w:val="en-US" w:eastAsia="zh-CN"/>
        </w:rPr>
      </w:pPr>
      <w:r>
        <w:rPr>
          <w:rFonts w:hint="eastAsia" w:ascii="宋体" w:hAnsi="宋体" w:eastAsia="宋体" w:cs="宋体"/>
          <w:i/>
          <w:iCs/>
          <w:lang w:eastAsia="zh-CN"/>
        </w:rPr>
        <w:t>（</w:t>
      </w:r>
      <w:r>
        <w:rPr>
          <w:rFonts w:hint="eastAsia" w:ascii="宋体" w:hAnsi="宋体" w:eastAsia="宋体" w:cs="宋体"/>
          <w:i/>
          <w:iCs/>
          <w:lang w:val="en-US" w:eastAsia="zh-CN"/>
        </w:rPr>
        <w:t>本格式仅供参考，供应商可自行拟定格式）</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56"/>
        <w:gridCol w:w="910"/>
        <w:gridCol w:w="729"/>
        <w:gridCol w:w="729"/>
        <w:gridCol w:w="1025"/>
        <w:gridCol w:w="1202"/>
        <w:gridCol w:w="1203"/>
        <w:gridCol w:w="1203"/>
      </w:tblGrid>
      <w:tr w14:paraId="4F440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single" w:color="auto" w:sz="12" w:space="0"/>
              <w:bottom w:val="double" w:color="auto" w:sz="6" w:space="0"/>
            </w:tcBorders>
            <w:vAlign w:val="center"/>
          </w:tcPr>
          <w:p w14:paraId="775F211D">
            <w:pPr>
              <w:keepNex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544" w:type="pct"/>
            <w:tcBorders>
              <w:top w:val="single" w:color="auto" w:sz="12" w:space="0"/>
              <w:bottom w:val="double" w:color="auto" w:sz="6" w:space="0"/>
            </w:tcBorders>
            <w:vAlign w:val="center"/>
          </w:tcPr>
          <w:p w14:paraId="3B84447D">
            <w:pPr>
              <w:keepNex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436" w:type="pct"/>
            <w:tcBorders>
              <w:top w:val="single" w:color="auto" w:sz="12" w:space="0"/>
              <w:bottom w:val="double" w:color="auto" w:sz="6" w:space="0"/>
            </w:tcBorders>
            <w:vAlign w:val="center"/>
          </w:tcPr>
          <w:p w14:paraId="6C8E2900">
            <w:pPr>
              <w:keepNex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436" w:type="pct"/>
            <w:tcBorders>
              <w:top w:val="single" w:color="auto" w:sz="12" w:space="0"/>
              <w:bottom w:val="double" w:color="auto" w:sz="6" w:space="0"/>
            </w:tcBorders>
            <w:vAlign w:val="center"/>
          </w:tcPr>
          <w:p w14:paraId="3C2327E2">
            <w:pPr>
              <w:keepNex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611" w:type="pct"/>
            <w:tcBorders>
              <w:top w:val="single" w:color="auto" w:sz="12" w:space="0"/>
              <w:bottom w:val="double" w:color="auto" w:sz="6" w:space="0"/>
            </w:tcBorders>
            <w:vAlign w:val="center"/>
          </w:tcPr>
          <w:p w14:paraId="44F6239F">
            <w:pPr>
              <w:keepNex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c>
          <w:tcPr>
            <w:tcW w:w="719" w:type="pct"/>
            <w:tcBorders>
              <w:top w:val="single" w:color="auto" w:sz="12" w:space="0"/>
              <w:bottom w:val="double" w:color="auto" w:sz="6" w:space="0"/>
            </w:tcBorders>
            <w:vAlign w:val="center"/>
          </w:tcPr>
          <w:p w14:paraId="21A0DA90">
            <w:pPr>
              <w:keepNex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tc>
        <w:tc>
          <w:tcPr>
            <w:tcW w:w="719" w:type="pct"/>
            <w:tcBorders>
              <w:top w:val="single" w:color="auto" w:sz="12" w:space="0"/>
              <w:bottom w:val="double" w:color="auto" w:sz="6" w:space="0"/>
            </w:tcBorders>
            <w:vAlign w:val="center"/>
          </w:tcPr>
          <w:p w14:paraId="2D897110">
            <w:pPr>
              <w:keepNext/>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职称证书编号</w:t>
            </w:r>
          </w:p>
        </w:tc>
        <w:tc>
          <w:tcPr>
            <w:tcW w:w="719" w:type="pct"/>
            <w:tcBorders>
              <w:top w:val="single" w:color="auto" w:sz="12" w:space="0"/>
              <w:bottom w:val="double" w:color="auto" w:sz="6" w:space="0"/>
            </w:tcBorders>
            <w:vAlign w:val="center"/>
          </w:tcPr>
          <w:p w14:paraId="3BD411F9">
            <w:pPr>
              <w:keepNext/>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注册证书编号（或其他）</w:t>
            </w:r>
          </w:p>
        </w:tc>
      </w:tr>
      <w:tr w14:paraId="003BD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tcBorders>
              <w:top w:val="double" w:color="auto" w:sz="6" w:space="0"/>
            </w:tcBorders>
            <w:vAlign w:val="center"/>
          </w:tcPr>
          <w:p w14:paraId="5C4454E6">
            <w:pPr>
              <w:keepNex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c>
          <w:tcPr>
            <w:tcW w:w="719" w:type="pct"/>
            <w:tcBorders>
              <w:top w:val="double" w:color="auto" w:sz="6" w:space="0"/>
            </w:tcBorders>
            <w:vAlign w:val="center"/>
          </w:tcPr>
          <w:p w14:paraId="261881F4">
            <w:pPr>
              <w:keepNext/>
              <w:spacing w:line="360" w:lineRule="auto"/>
              <w:jc w:val="center"/>
              <w:rPr>
                <w:rFonts w:hint="eastAsia" w:ascii="宋体" w:hAnsi="宋体" w:eastAsia="宋体" w:cs="宋体"/>
                <w:color w:val="auto"/>
                <w:sz w:val="24"/>
                <w:szCs w:val="24"/>
              </w:rPr>
            </w:pPr>
          </w:p>
        </w:tc>
        <w:tc>
          <w:tcPr>
            <w:tcW w:w="719" w:type="pct"/>
            <w:tcBorders>
              <w:top w:val="double" w:color="auto" w:sz="6" w:space="0"/>
            </w:tcBorders>
            <w:vAlign w:val="center"/>
          </w:tcPr>
          <w:p w14:paraId="63D31033">
            <w:pPr>
              <w:keepNext/>
              <w:spacing w:line="360" w:lineRule="auto"/>
              <w:jc w:val="center"/>
              <w:rPr>
                <w:rFonts w:hint="eastAsia" w:ascii="宋体" w:hAnsi="宋体" w:eastAsia="宋体" w:cs="宋体"/>
                <w:color w:val="auto"/>
                <w:sz w:val="24"/>
                <w:szCs w:val="24"/>
              </w:rPr>
            </w:pPr>
          </w:p>
        </w:tc>
        <w:tc>
          <w:tcPr>
            <w:tcW w:w="719" w:type="pct"/>
            <w:tcBorders>
              <w:top w:val="double" w:color="auto" w:sz="6" w:space="0"/>
            </w:tcBorders>
            <w:vAlign w:val="center"/>
          </w:tcPr>
          <w:p w14:paraId="26B48AB3">
            <w:pPr>
              <w:keepNext/>
              <w:spacing w:line="360" w:lineRule="auto"/>
              <w:jc w:val="center"/>
              <w:rPr>
                <w:rFonts w:hint="eastAsia" w:ascii="宋体" w:hAnsi="宋体" w:eastAsia="宋体" w:cs="宋体"/>
                <w:color w:val="auto"/>
                <w:sz w:val="24"/>
                <w:szCs w:val="24"/>
              </w:rPr>
            </w:pPr>
          </w:p>
        </w:tc>
      </w:tr>
      <w:tr w14:paraId="53040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nil"/>
              <w:bottom w:val="nil"/>
            </w:tcBorders>
            <w:vAlign w:val="center"/>
          </w:tcPr>
          <w:p w14:paraId="1959F728">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项目主管</w:t>
            </w:r>
            <w:r>
              <w:rPr>
                <w:rFonts w:hint="eastAsia" w:ascii="宋体" w:hAnsi="宋体" w:eastAsia="宋体" w:cs="宋体"/>
                <w:color w:val="auto"/>
                <w:sz w:val="24"/>
                <w:szCs w:val="24"/>
                <w:lang w:val="en-US" w:eastAsia="zh-CN"/>
              </w:rPr>
              <w:t>领导</w:t>
            </w:r>
          </w:p>
        </w:tc>
        <w:tc>
          <w:tcPr>
            <w:tcW w:w="544" w:type="pct"/>
            <w:tcBorders>
              <w:top w:val="nil"/>
            </w:tcBorders>
            <w:vAlign w:val="center"/>
          </w:tcPr>
          <w:p w14:paraId="63BBDD4A">
            <w:pPr>
              <w:keepNext/>
              <w:spacing w:line="360" w:lineRule="auto"/>
              <w:jc w:val="center"/>
              <w:rPr>
                <w:rFonts w:hint="eastAsia" w:ascii="宋体" w:hAnsi="宋体" w:eastAsia="宋体" w:cs="宋体"/>
                <w:color w:val="auto"/>
                <w:sz w:val="24"/>
                <w:szCs w:val="24"/>
              </w:rPr>
            </w:pPr>
          </w:p>
        </w:tc>
        <w:tc>
          <w:tcPr>
            <w:tcW w:w="436" w:type="pct"/>
            <w:tcBorders>
              <w:top w:val="nil"/>
            </w:tcBorders>
            <w:vAlign w:val="center"/>
          </w:tcPr>
          <w:p w14:paraId="2D58FBEC">
            <w:pPr>
              <w:keepNext/>
              <w:spacing w:line="360" w:lineRule="auto"/>
              <w:jc w:val="center"/>
              <w:rPr>
                <w:rFonts w:hint="eastAsia" w:ascii="宋体" w:hAnsi="宋体" w:eastAsia="宋体" w:cs="宋体"/>
                <w:color w:val="auto"/>
                <w:sz w:val="24"/>
                <w:szCs w:val="24"/>
              </w:rPr>
            </w:pPr>
          </w:p>
        </w:tc>
        <w:tc>
          <w:tcPr>
            <w:tcW w:w="436" w:type="pct"/>
            <w:tcBorders>
              <w:top w:val="nil"/>
            </w:tcBorders>
            <w:vAlign w:val="center"/>
          </w:tcPr>
          <w:p w14:paraId="0209D794">
            <w:pPr>
              <w:keepNext/>
              <w:spacing w:line="360" w:lineRule="auto"/>
              <w:jc w:val="center"/>
              <w:rPr>
                <w:rFonts w:hint="eastAsia" w:ascii="宋体" w:hAnsi="宋体" w:eastAsia="宋体" w:cs="宋体"/>
                <w:color w:val="auto"/>
                <w:sz w:val="24"/>
                <w:szCs w:val="24"/>
              </w:rPr>
            </w:pPr>
          </w:p>
        </w:tc>
        <w:tc>
          <w:tcPr>
            <w:tcW w:w="611" w:type="pct"/>
            <w:tcBorders>
              <w:top w:val="nil"/>
            </w:tcBorders>
            <w:vAlign w:val="center"/>
          </w:tcPr>
          <w:p w14:paraId="2F550C11">
            <w:pPr>
              <w:keepNext/>
              <w:spacing w:line="360" w:lineRule="auto"/>
              <w:jc w:val="center"/>
              <w:rPr>
                <w:rFonts w:hint="eastAsia" w:ascii="宋体" w:hAnsi="宋体" w:eastAsia="宋体" w:cs="宋体"/>
                <w:color w:val="auto"/>
                <w:sz w:val="24"/>
                <w:szCs w:val="24"/>
              </w:rPr>
            </w:pPr>
          </w:p>
        </w:tc>
        <w:tc>
          <w:tcPr>
            <w:tcW w:w="719" w:type="pct"/>
            <w:tcBorders>
              <w:top w:val="nil"/>
            </w:tcBorders>
            <w:vAlign w:val="center"/>
          </w:tcPr>
          <w:p w14:paraId="106AF22F">
            <w:pPr>
              <w:keepNext/>
              <w:spacing w:line="360" w:lineRule="auto"/>
              <w:jc w:val="center"/>
              <w:rPr>
                <w:rFonts w:hint="eastAsia" w:ascii="宋体" w:hAnsi="宋体" w:eastAsia="宋体" w:cs="宋体"/>
                <w:color w:val="auto"/>
                <w:sz w:val="24"/>
                <w:szCs w:val="24"/>
              </w:rPr>
            </w:pPr>
          </w:p>
        </w:tc>
        <w:tc>
          <w:tcPr>
            <w:tcW w:w="719" w:type="pct"/>
            <w:tcBorders>
              <w:top w:val="nil"/>
            </w:tcBorders>
            <w:vAlign w:val="center"/>
          </w:tcPr>
          <w:p w14:paraId="705FC06A">
            <w:pPr>
              <w:keepNext/>
              <w:spacing w:line="360" w:lineRule="auto"/>
              <w:jc w:val="center"/>
              <w:rPr>
                <w:rFonts w:hint="eastAsia" w:ascii="宋体" w:hAnsi="宋体" w:eastAsia="宋体" w:cs="宋体"/>
                <w:color w:val="auto"/>
                <w:sz w:val="24"/>
                <w:szCs w:val="24"/>
              </w:rPr>
            </w:pPr>
          </w:p>
        </w:tc>
        <w:tc>
          <w:tcPr>
            <w:tcW w:w="719" w:type="pct"/>
            <w:tcBorders>
              <w:top w:val="nil"/>
            </w:tcBorders>
            <w:vAlign w:val="center"/>
          </w:tcPr>
          <w:p w14:paraId="1BC4C6AB">
            <w:pPr>
              <w:keepNext/>
              <w:spacing w:line="360" w:lineRule="auto"/>
              <w:jc w:val="center"/>
              <w:rPr>
                <w:rFonts w:hint="eastAsia" w:ascii="宋体" w:hAnsi="宋体" w:eastAsia="宋体" w:cs="宋体"/>
                <w:color w:val="auto"/>
                <w:sz w:val="24"/>
                <w:szCs w:val="24"/>
              </w:rPr>
            </w:pPr>
          </w:p>
        </w:tc>
      </w:tr>
      <w:tr w14:paraId="6FE9C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1FE6AAB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544" w:type="pct"/>
            <w:vAlign w:val="center"/>
          </w:tcPr>
          <w:p w14:paraId="2B2A74AA">
            <w:pPr>
              <w:keepNext/>
              <w:spacing w:line="360" w:lineRule="auto"/>
              <w:jc w:val="center"/>
              <w:rPr>
                <w:rFonts w:hint="eastAsia" w:ascii="宋体" w:hAnsi="宋体" w:eastAsia="宋体" w:cs="宋体"/>
                <w:color w:val="auto"/>
                <w:sz w:val="24"/>
                <w:szCs w:val="24"/>
              </w:rPr>
            </w:pPr>
          </w:p>
        </w:tc>
        <w:tc>
          <w:tcPr>
            <w:tcW w:w="436" w:type="pct"/>
            <w:vAlign w:val="center"/>
          </w:tcPr>
          <w:p w14:paraId="63D084AA">
            <w:pPr>
              <w:keepNext/>
              <w:spacing w:line="360" w:lineRule="auto"/>
              <w:jc w:val="center"/>
              <w:rPr>
                <w:rFonts w:hint="eastAsia" w:ascii="宋体" w:hAnsi="宋体" w:eastAsia="宋体" w:cs="宋体"/>
                <w:color w:val="auto"/>
                <w:sz w:val="24"/>
                <w:szCs w:val="24"/>
              </w:rPr>
            </w:pPr>
          </w:p>
        </w:tc>
        <w:tc>
          <w:tcPr>
            <w:tcW w:w="436" w:type="pct"/>
            <w:vAlign w:val="center"/>
          </w:tcPr>
          <w:p w14:paraId="5348542C">
            <w:pPr>
              <w:keepNext/>
              <w:spacing w:line="360" w:lineRule="auto"/>
              <w:jc w:val="center"/>
              <w:rPr>
                <w:rFonts w:hint="eastAsia" w:ascii="宋体" w:hAnsi="宋体" w:eastAsia="宋体" w:cs="宋体"/>
                <w:color w:val="auto"/>
                <w:sz w:val="24"/>
                <w:szCs w:val="24"/>
              </w:rPr>
            </w:pPr>
          </w:p>
        </w:tc>
        <w:tc>
          <w:tcPr>
            <w:tcW w:w="611" w:type="pct"/>
            <w:vAlign w:val="center"/>
          </w:tcPr>
          <w:p w14:paraId="3EC20A43">
            <w:pPr>
              <w:keepNext/>
              <w:spacing w:line="360" w:lineRule="auto"/>
              <w:jc w:val="center"/>
              <w:rPr>
                <w:rFonts w:hint="eastAsia" w:ascii="宋体" w:hAnsi="宋体" w:eastAsia="宋体" w:cs="宋体"/>
                <w:color w:val="auto"/>
                <w:sz w:val="24"/>
                <w:szCs w:val="24"/>
              </w:rPr>
            </w:pPr>
          </w:p>
        </w:tc>
        <w:tc>
          <w:tcPr>
            <w:tcW w:w="719" w:type="pct"/>
            <w:vAlign w:val="center"/>
          </w:tcPr>
          <w:p w14:paraId="2A4AC825">
            <w:pPr>
              <w:keepNext/>
              <w:spacing w:line="360" w:lineRule="auto"/>
              <w:jc w:val="center"/>
              <w:rPr>
                <w:rFonts w:hint="eastAsia" w:ascii="宋体" w:hAnsi="宋体" w:eastAsia="宋体" w:cs="宋体"/>
                <w:color w:val="auto"/>
                <w:sz w:val="24"/>
                <w:szCs w:val="24"/>
              </w:rPr>
            </w:pPr>
          </w:p>
        </w:tc>
        <w:tc>
          <w:tcPr>
            <w:tcW w:w="719" w:type="pct"/>
            <w:vAlign w:val="center"/>
          </w:tcPr>
          <w:p w14:paraId="01FB8064">
            <w:pPr>
              <w:keepNext/>
              <w:spacing w:line="360" w:lineRule="auto"/>
              <w:jc w:val="center"/>
              <w:rPr>
                <w:rFonts w:hint="eastAsia" w:ascii="宋体" w:hAnsi="宋体" w:eastAsia="宋体" w:cs="宋体"/>
                <w:color w:val="auto"/>
                <w:sz w:val="24"/>
                <w:szCs w:val="24"/>
              </w:rPr>
            </w:pPr>
          </w:p>
        </w:tc>
        <w:tc>
          <w:tcPr>
            <w:tcW w:w="719" w:type="pct"/>
            <w:vAlign w:val="center"/>
          </w:tcPr>
          <w:p w14:paraId="514B38D3">
            <w:pPr>
              <w:keepNext/>
              <w:spacing w:line="360" w:lineRule="auto"/>
              <w:jc w:val="center"/>
              <w:rPr>
                <w:rFonts w:hint="eastAsia" w:ascii="宋体" w:hAnsi="宋体" w:eastAsia="宋体" w:cs="宋体"/>
                <w:color w:val="auto"/>
                <w:sz w:val="24"/>
                <w:szCs w:val="24"/>
              </w:rPr>
            </w:pPr>
          </w:p>
        </w:tc>
      </w:tr>
      <w:tr w14:paraId="60ECA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76666B1B">
            <w:pPr>
              <w:spacing w:line="360" w:lineRule="auto"/>
              <w:jc w:val="center"/>
              <w:rPr>
                <w:rFonts w:hint="eastAsia" w:ascii="宋体" w:hAnsi="宋体" w:eastAsia="宋体" w:cs="宋体"/>
                <w:color w:val="auto"/>
                <w:sz w:val="24"/>
                <w:szCs w:val="24"/>
              </w:rPr>
            </w:pPr>
          </w:p>
        </w:tc>
        <w:tc>
          <w:tcPr>
            <w:tcW w:w="544" w:type="pct"/>
            <w:vAlign w:val="center"/>
          </w:tcPr>
          <w:p w14:paraId="5C3C7C2B">
            <w:pPr>
              <w:keepNext/>
              <w:spacing w:line="360" w:lineRule="auto"/>
              <w:jc w:val="center"/>
              <w:rPr>
                <w:rFonts w:hint="eastAsia" w:ascii="宋体" w:hAnsi="宋体" w:eastAsia="宋体" w:cs="宋体"/>
                <w:color w:val="auto"/>
                <w:sz w:val="24"/>
                <w:szCs w:val="24"/>
              </w:rPr>
            </w:pPr>
          </w:p>
        </w:tc>
        <w:tc>
          <w:tcPr>
            <w:tcW w:w="436" w:type="pct"/>
            <w:vAlign w:val="center"/>
          </w:tcPr>
          <w:p w14:paraId="48206DFC">
            <w:pPr>
              <w:keepNext/>
              <w:spacing w:line="360" w:lineRule="auto"/>
              <w:jc w:val="center"/>
              <w:rPr>
                <w:rFonts w:hint="eastAsia" w:ascii="宋体" w:hAnsi="宋体" w:eastAsia="宋体" w:cs="宋体"/>
                <w:color w:val="auto"/>
                <w:sz w:val="24"/>
                <w:szCs w:val="24"/>
              </w:rPr>
            </w:pPr>
          </w:p>
        </w:tc>
        <w:tc>
          <w:tcPr>
            <w:tcW w:w="436" w:type="pct"/>
            <w:vAlign w:val="center"/>
          </w:tcPr>
          <w:p w14:paraId="1980E730">
            <w:pPr>
              <w:keepNext/>
              <w:spacing w:line="360" w:lineRule="auto"/>
              <w:jc w:val="center"/>
              <w:rPr>
                <w:rFonts w:hint="eastAsia" w:ascii="宋体" w:hAnsi="宋体" w:eastAsia="宋体" w:cs="宋体"/>
                <w:color w:val="auto"/>
                <w:sz w:val="24"/>
                <w:szCs w:val="24"/>
              </w:rPr>
            </w:pPr>
          </w:p>
        </w:tc>
        <w:tc>
          <w:tcPr>
            <w:tcW w:w="611" w:type="pct"/>
            <w:vAlign w:val="center"/>
          </w:tcPr>
          <w:p w14:paraId="05905BE1">
            <w:pPr>
              <w:keepNext/>
              <w:spacing w:line="360" w:lineRule="auto"/>
              <w:jc w:val="center"/>
              <w:rPr>
                <w:rFonts w:hint="eastAsia" w:ascii="宋体" w:hAnsi="宋体" w:eastAsia="宋体" w:cs="宋体"/>
                <w:color w:val="auto"/>
                <w:sz w:val="24"/>
                <w:szCs w:val="24"/>
              </w:rPr>
            </w:pPr>
          </w:p>
        </w:tc>
        <w:tc>
          <w:tcPr>
            <w:tcW w:w="719" w:type="pct"/>
            <w:vAlign w:val="center"/>
          </w:tcPr>
          <w:p w14:paraId="2C766076">
            <w:pPr>
              <w:keepNext/>
              <w:spacing w:line="360" w:lineRule="auto"/>
              <w:jc w:val="center"/>
              <w:rPr>
                <w:rFonts w:hint="eastAsia" w:ascii="宋体" w:hAnsi="宋体" w:eastAsia="宋体" w:cs="宋体"/>
                <w:color w:val="auto"/>
                <w:sz w:val="24"/>
                <w:szCs w:val="24"/>
              </w:rPr>
            </w:pPr>
          </w:p>
        </w:tc>
        <w:tc>
          <w:tcPr>
            <w:tcW w:w="719" w:type="pct"/>
            <w:vAlign w:val="center"/>
          </w:tcPr>
          <w:p w14:paraId="544AD90C">
            <w:pPr>
              <w:keepNext/>
              <w:spacing w:line="360" w:lineRule="auto"/>
              <w:jc w:val="center"/>
              <w:rPr>
                <w:rFonts w:hint="eastAsia" w:ascii="宋体" w:hAnsi="宋体" w:eastAsia="宋体" w:cs="宋体"/>
                <w:color w:val="auto"/>
                <w:sz w:val="24"/>
                <w:szCs w:val="24"/>
              </w:rPr>
            </w:pPr>
          </w:p>
        </w:tc>
        <w:tc>
          <w:tcPr>
            <w:tcW w:w="719" w:type="pct"/>
            <w:vAlign w:val="center"/>
          </w:tcPr>
          <w:p w14:paraId="5F254082">
            <w:pPr>
              <w:keepNext/>
              <w:spacing w:line="360" w:lineRule="auto"/>
              <w:jc w:val="center"/>
              <w:rPr>
                <w:rFonts w:hint="eastAsia" w:ascii="宋体" w:hAnsi="宋体" w:eastAsia="宋体" w:cs="宋体"/>
                <w:color w:val="auto"/>
                <w:sz w:val="24"/>
                <w:szCs w:val="24"/>
              </w:rPr>
            </w:pPr>
          </w:p>
        </w:tc>
      </w:tr>
      <w:tr w14:paraId="4E9EA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nil"/>
            </w:tcBorders>
            <w:vAlign w:val="center"/>
          </w:tcPr>
          <w:p w14:paraId="2CC47B79">
            <w:pPr>
              <w:spacing w:line="360" w:lineRule="auto"/>
              <w:jc w:val="center"/>
              <w:rPr>
                <w:rFonts w:hint="eastAsia" w:ascii="宋体" w:hAnsi="宋体" w:eastAsia="宋体" w:cs="宋体"/>
                <w:color w:val="auto"/>
                <w:sz w:val="24"/>
                <w:szCs w:val="24"/>
              </w:rPr>
            </w:pPr>
          </w:p>
        </w:tc>
        <w:tc>
          <w:tcPr>
            <w:tcW w:w="544" w:type="pct"/>
            <w:vAlign w:val="center"/>
          </w:tcPr>
          <w:p w14:paraId="7E27B226">
            <w:pPr>
              <w:keepNext/>
              <w:spacing w:line="360" w:lineRule="auto"/>
              <w:jc w:val="center"/>
              <w:rPr>
                <w:rFonts w:hint="eastAsia" w:ascii="宋体" w:hAnsi="宋体" w:eastAsia="宋体" w:cs="宋体"/>
                <w:color w:val="auto"/>
                <w:sz w:val="24"/>
                <w:szCs w:val="24"/>
              </w:rPr>
            </w:pPr>
          </w:p>
        </w:tc>
        <w:tc>
          <w:tcPr>
            <w:tcW w:w="436" w:type="pct"/>
            <w:vAlign w:val="center"/>
          </w:tcPr>
          <w:p w14:paraId="5AE23D9F">
            <w:pPr>
              <w:keepNext/>
              <w:spacing w:line="360" w:lineRule="auto"/>
              <w:jc w:val="center"/>
              <w:rPr>
                <w:rFonts w:hint="eastAsia" w:ascii="宋体" w:hAnsi="宋体" w:eastAsia="宋体" w:cs="宋体"/>
                <w:color w:val="auto"/>
                <w:sz w:val="24"/>
                <w:szCs w:val="24"/>
              </w:rPr>
            </w:pPr>
          </w:p>
        </w:tc>
        <w:tc>
          <w:tcPr>
            <w:tcW w:w="436" w:type="pct"/>
            <w:vAlign w:val="center"/>
          </w:tcPr>
          <w:p w14:paraId="22893554">
            <w:pPr>
              <w:keepNext/>
              <w:spacing w:line="360" w:lineRule="auto"/>
              <w:jc w:val="center"/>
              <w:rPr>
                <w:rFonts w:hint="eastAsia" w:ascii="宋体" w:hAnsi="宋体" w:eastAsia="宋体" w:cs="宋体"/>
                <w:color w:val="auto"/>
                <w:sz w:val="24"/>
                <w:szCs w:val="24"/>
              </w:rPr>
            </w:pPr>
          </w:p>
        </w:tc>
        <w:tc>
          <w:tcPr>
            <w:tcW w:w="611" w:type="pct"/>
            <w:vAlign w:val="center"/>
          </w:tcPr>
          <w:p w14:paraId="6CEFC914">
            <w:pPr>
              <w:keepNext/>
              <w:spacing w:line="360" w:lineRule="auto"/>
              <w:jc w:val="center"/>
              <w:rPr>
                <w:rFonts w:hint="eastAsia" w:ascii="宋体" w:hAnsi="宋体" w:eastAsia="宋体" w:cs="宋体"/>
                <w:color w:val="auto"/>
                <w:sz w:val="24"/>
                <w:szCs w:val="24"/>
              </w:rPr>
            </w:pPr>
          </w:p>
        </w:tc>
        <w:tc>
          <w:tcPr>
            <w:tcW w:w="719" w:type="pct"/>
            <w:vAlign w:val="center"/>
          </w:tcPr>
          <w:p w14:paraId="5872B840">
            <w:pPr>
              <w:keepNext/>
              <w:spacing w:line="360" w:lineRule="auto"/>
              <w:jc w:val="center"/>
              <w:rPr>
                <w:rFonts w:hint="eastAsia" w:ascii="宋体" w:hAnsi="宋体" w:eastAsia="宋体" w:cs="宋体"/>
                <w:color w:val="auto"/>
                <w:sz w:val="24"/>
                <w:szCs w:val="24"/>
              </w:rPr>
            </w:pPr>
          </w:p>
        </w:tc>
        <w:tc>
          <w:tcPr>
            <w:tcW w:w="719" w:type="pct"/>
            <w:vAlign w:val="center"/>
          </w:tcPr>
          <w:p w14:paraId="06E1E312">
            <w:pPr>
              <w:keepNext/>
              <w:spacing w:line="360" w:lineRule="auto"/>
              <w:jc w:val="center"/>
              <w:rPr>
                <w:rFonts w:hint="eastAsia" w:ascii="宋体" w:hAnsi="宋体" w:eastAsia="宋体" w:cs="宋体"/>
                <w:color w:val="auto"/>
                <w:sz w:val="24"/>
                <w:szCs w:val="24"/>
              </w:rPr>
            </w:pPr>
          </w:p>
        </w:tc>
        <w:tc>
          <w:tcPr>
            <w:tcW w:w="719" w:type="pct"/>
            <w:vAlign w:val="center"/>
          </w:tcPr>
          <w:p w14:paraId="1A522A9B">
            <w:pPr>
              <w:keepNext/>
              <w:spacing w:line="360" w:lineRule="auto"/>
              <w:jc w:val="center"/>
              <w:rPr>
                <w:rFonts w:hint="eastAsia" w:ascii="宋体" w:hAnsi="宋体" w:eastAsia="宋体" w:cs="宋体"/>
                <w:color w:val="auto"/>
                <w:sz w:val="24"/>
                <w:szCs w:val="24"/>
              </w:rPr>
            </w:pPr>
          </w:p>
        </w:tc>
      </w:tr>
      <w:tr w14:paraId="53DB8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vAlign w:val="center"/>
          </w:tcPr>
          <w:p w14:paraId="26EE0718">
            <w:pPr>
              <w:keepNext/>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c>
          <w:tcPr>
            <w:tcW w:w="719" w:type="pct"/>
            <w:vAlign w:val="center"/>
          </w:tcPr>
          <w:p w14:paraId="75D3E807">
            <w:pPr>
              <w:keepNext/>
              <w:spacing w:line="360" w:lineRule="auto"/>
              <w:jc w:val="center"/>
              <w:rPr>
                <w:rFonts w:hint="eastAsia" w:ascii="宋体" w:hAnsi="宋体" w:eastAsia="宋体" w:cs="宋体"/>
                <w:color w:val="auto"/>
                <w:sz w:val="24"/>
                <w:szCs w:val="24"/>
              </w:rPr>
            </w:pPr>
          </w:p>
        </w:tc>
        <w:tc>
          <w:tcPr>
            <w:tcW w:w="719" w:type="pct"/>
            <w:vAlign w:val="center"/>
          </w:tcPr>
          <w:p w14:paraId="6E8886A7">
            <w:pPr>
              <w:keepNext/>
              <w:spacing w:line="360" w:lineRule="auto"/>
              <w:jc w:val="center"/>
              <w:rPr>
                <w:rFonts w:hint="eastAsia" w:ascii="宋体" w:hAnsi="宋体" w:eastAsia="宋体" w:cs="宋体"/>
                <w:color w:val="auto"/>
                <w:sz w:val="24"/>
                <w:szCs w:val="24"/>
              </w:rPr>
            </w:pPr>
          </w:p>
        </w:tc>
        <w:tc>
          <w:tcPr>
            <w:tcW w:w="719" w:type="pct"/>
            <w:vAlign w:val="center"/>
          </w:tcPr>
          <w:p w14:paraId="43F984B6">
            <w:pPr>
              <w:keepNext/>
              <w:spacing w:line="360" w:lineRule="auto"/>
              <w:jc w:val="center"/>
              <w:rPr>
                <w:rFonts w:hint="eastAsia" w:ascii="宋体" w:hAnsi="宋体" w:eastAsia="宋体" w:cs="宋体"/>
                <w:color w:val="auto"/>
                <w:sz w:val="24"/>
                <w:szCs w:val="24"/>
              </w:rPr>
            </w:pPr>
          </w:p>
        </w:tc>
      </w:tr>
      <w:tr w14:paraId="0A1E9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770A0E18">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负责人</w:t>
            </w:r>
          </w:p>
        </w:tc>
        <w:tc>
          <w:tcPr>
            <w:tcW w:w="544" w:type="pct"/>
            <w:vAlign w:val="center"/>
          </w:tcPr>
          <w:p w14:paraId="1A355C22">
            <w:pPr>
              <w:keepNext/>
              <w:spacing w:line="360" w:lineRule="auto"/>
              <w:jc w:val="center"/>
              <w:rPr>
                <w:rFonts w:hint="eastAsia" w:ascii="宋体" w:hAnsi="宋体" w:eastAsia="宋体" w:cs="宋体"/>
                <w:color w:val="auto"/>
                <w:sz w:val="24"/>
                <w:szCs w:val="24"/>
              </w:rPr>
            </w:pPr>
          </w:p>
        </w:tc>
        <w:tc>
          <w:tcPr>
            <w:tcW w:w="436" w:type="pct"/>
            <w:vAlign w:val="center"/>
          </w:tcPr>
          <w:p w14:paraId="4690546B">
            <w:pPr>
              <w:keepNext/>
              <w:spacing w:line="360" w:lineRule="auto"/>
              <w:jc w:val="center"/>
              <w:rPr>
                <w:rFonts w:hint="eastAsia" w:ascii="宋体" w:hAnsi="宋体" w:eastAsia="宋体" w:cs="宋体"/>
                <w:color w:val="auto"/>
                <w:sz w:val="24"/>
                <w:szCs w:val="24"/>
              </w:rPr>
            </w:pPr>
          </w:p>
        </w:tc>
        <w:tc>
          <w:tcPr>
            <w:tcW w:w="436" w:type="pct"/>
            <w:vAlign w:val="center"/>
          </w:tcPr>
          <w:p w14:paraId="10043249">
            <w:pPr>
              <w:keepNext/>
              <w:spacing w:line="360" w:lineRule="auto"/>
              <w:jc w:val="center"/>
              <w:rPr>
                <w:rFonts w:hint="eastAsia" w:ascii="宋体" w:hAnsi="宋体" w:eastAsia="宋体" w:cs="宋体"/>
                <w:color w:val="auto"/>
                <w:sz w:val="24"/>
                <w:szCs w:val="24"/>
              </w:rPr>
            </w:pPr>
          </w:p>
        </w:tc>
        <w:tc>
          <w:tcPr>
            <w:tcW w:w="611" w:type="pct"/>
            <w:vAlign w:val="center"/>
          </w:tcPr>
          <w:p w14:paraId="0F7CEBC5">
            <w:pPr>
              <w:keepNext/>
              <w:spacing w:line="360" w:lineRule="auto"/>
              <w:jc w:val="center"/>
              <w:rPr>
                <w:rFonts w:hint="eastAsia" w:ascii="宋体" w:hAnsi="宋体" w:eastAsia="宋体" w:cs="宋体"/>
                <w:color w:val="auto"/>
                <w:sz w:val="24"/>
                <w:szCs w:val="24"/>
              </w:rPr>
            </w:pPr>
          </w:p>
        </w:tc>
        <w:tc>
          <w:tcPr>
            <w:tcW w:w="719" w:type="pct"/>
            <w:vAlign w:val="center"/>
          </w:tcPr>
          <w:p w14:paraId="76DB05A9">
            <w:pPr>
              <w:keepNext/>
              <w:spacing w:line="360" w:lineRule="auto"/>
              <w:jc w:val="center"/>
              <w:rPr>
                <w:rFonts w:hint="eastAsia" w:ascii="宋体" w:hAnsi="宋体" w:eastAsia="宋体" w:cs="宋体"/>
                <w:color w:val="auto"/>
                <w:sz w:val="24"/>
                <w:szCs w:val="24"/>
              </w:rPr>
            </w:pPr>
          </w:p>
        </w:tc>
        <w:tc>
          <w:tcPr>
            <w:tcW w:w="719" w:type="pct"/>
            <w:vAlign w:val="center"/>
          </w:tcPr>
          <w:p w14:paraId="78CCE843">
            <w:pPr>
              <w:keepNext/>
              <w:spacing w:line="360" w:lineRule="auto"/>
              <w:jc w:val="center"/>
              <w:rPr>
                <w:rFonts w:hint="eastAsia" w:ascii="宋体" w:hAnsi="宋体" w:eastAsia="宋体" w:cs="宋体"/>
                <w:color w:val="auto"/>
                <w:sz w:val="24"/>
                <w:szCs w:val="24"/>
              </w:rPr>
            </w:pPr>
          </w:p>
        </w:tc>
        <w:tc>
          <w:tcPr>
            <w:tcW w:w="719" w:type="pct"/>
            <w:vAlign w:val="center"/>
          </w:tcPr>
          <w:p w14:paraId="07655E2C">
            <w:pPr>
              <w:keepNext/>
              <w:spacing w:line="360" w:lineRule="auto"/>
              <w:jc w:val="center"/>
              <w:rPr>
                <w:rFonts w:hint="eastAsia" w:ascii="宋体" w:hAnsi="宋体" w:eastAsia="宋体" w:cs="宋体"/>
                <w:color w:val="auto"/>
                <w:sz w:val="24"/>
                <w:szCs w:val="24"/>
              </w:rPr>
            </w:pPr>
          </w:p>
        </w:tc>
      </w:tr>
      <w:tr w14:paraId="6C648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60B656F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项目技术负责人</w:t>
            </w:r>
          </w:p>
        </w:tc>
        <w:tc>
          <w:tcPr>
            <w:tcW w:w="544" w:type="pct"/>
            <w:vAlign w:val="center"/>
          </w:tcPr>
          <w:p w14:paraId="28545C5F">
            <w:pPr>
              <w:keepNext/>
              <w:spacing w:line="360" w:lineRule="auto"/>
              <w:jc w:val="center"/>
              <w:rPr>
                <w:rFonts w:hint="eastAsia" w:ascii="宋体" w:hAnsi="宋体" w:eastAsia="宋体" w:cs="宋体"/>
                <w:color w:val="auto"/>
                <w:sz w:val="24"/>
                <w:szCs w:val="24"/>
              </w:rPr>
            </w:pPr>
          </w:p>
        </w:tc>
        <w:tc>
          <w:tcPr>
            <w:tcW w:w="436" w:type="pct"/>
            <w:vAlign w:val="center"/>
          </w:tcPr>
          <w:p w14:paraId="70690BE5">
            <w:pPr>
              <w:keepNext/>
              <w:spacing w:line="360" w:lineRule="auto"/>
              <w:jc w:val="center"/>
              <w:rPr>
                <w:rFonts w:hint="eastAsia" w:ascii="宋体" w:hAnsi="宋体" w:eastAsia="宋体" w:cs="宋体"/>
                <w:color w:val="auto"/>
                <w:sz w:val="24"/>
                <w:szCs w:val="24"/>
              </w:rPr>
            </w:pPr>
          </w:p>
        </w:tc>
        <w:tc>
          <w:tcPr>
            <w:tcW w:w="436" w:type="pct"/>
            <w:vAlign w:val="center"/>
          </w:tcPr>
          <w:p w14:paraId="05BE59B8">
            <w:pPr>
              <w:keepNext/>
              <w:spacing w:line="360" w:lineRule="auto"/>
              <w:jc w:val="center"/>
              <w:rPr>
                <w:rFonts w:hint="eastAsia" w:ascii="宋体" w:hAnsi="宋体" w:eastAsia="宋体" w:cs="宋体"/>
                <w:color w:val="auto"/>
                <w:sz w:val="24"/>
                <w:szCs w:val="24"/>
              </w:rPr>
            </w:pPr>
          </w:p>
        </w:tc>
        <w:tc>
          <w:tcPr>
            <w:tcW w:w="611" w:type="pct"/>
            <w:vAlign w:val="center"/>
          </w:tcPr>
          <w:p w14:paraId="19A48ACE">
            <w:pPr>
              <w:keepNext/>
              <w:spacing w:line="360" w:lineRule="auto"/>
              <w:jc w:val="center"/>
              <w:rPr>
                <w:rFonts w:hint="eastAsia" w:ascii="宋体" w:hAnsi="宋体" w:eastAsia="宋体" w:cs="宋体"/>
                <w:color w:val="auto"/>
                <w:sz w:val="24"/>
                <w:szCs w:val="24"/>
              </w:rPr>
            </w:pPr>
          </w:p>
        </w:tc>
        <w:tc>
          <w:tcPr>
            <w:tcW w:w="719" w:type="pct"/>
            <w:vAlign w:val="center"/>
          </w:tcPr>
          <w:p w14:paraId="5E781FCB">
            <w:pPr>
              <w:keepNext/>
              <w:spacing w:line="360" w:lineRule="auto"/>
              <w:jc w:val="center"/>
              <w:rPr>
                <w:rFonts w:hint="eastAsia" w:ascii="宋体" w:hAnsi="宋体" w:eastAsia="宋体" w:cs="宋体"/>
                <w:color w:val="auto"/>
                <w:sz w:val="24"/>
                <w:szCs w:val="24"/>
              </w:rPr>
            </w:pPr>
          </w:p>
        </w:tc>
        <w:tc>
          <w:tcPr>
            <w:tcW w:w="719" w:type="pct"/>
            <w:vAlign w:val="center"/>
          </w:tcPr>
          <w:p w14:paraId="2CA9F67B">
            <w:pPr>
              <w:keepNext/>
              <w:spacing w:line="360" w:lineRule="auto"/>
              <w:jc w:val="center"/>
              <w:rPr>
                <w:rFonts w:hint="eastAsia" w:ascii="宋体" w:hAnsi="宋体" w:eastAsia="宋体" w:cs="宋体"/>
                <w:color w:val="auto"/>
                <w:sz w:val="24"/>
                <w:szCs w:val="24"/>
              </w:rPr>
            </w:pPr>
          </w:p>
        </w:tc>
        <w:tc>
          <w:tcPr>
            <w:tcW w:w="719" w:type="pct"/>
            <w:vAlign w:val="center"/>
          </w:tcPr>
          <w:p w14:paraId="564700B5">
            <w:pPr>
              <w:keepNext/>
              <w:spacing w:line="360" w:lineRule="auto"/>
              <w:jc w:val="center"/>
              <w:rPr>
                <w:rFonts w:hint="eastAsia" w:ascii="宋体" w:hAnsi="宋体" w:eastAsia="宋体" w:cs="宋体"/>
                <w:color w:val="auto"/>
                <w:sz w:val="24"/>
                <w:szCs w:val="24"/>
              </w:rPr>
            </w:pPr>
          </w:p>
        </w:tc>
      </w:tr>
      <w:tr w14:paraId="69F2A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291EB303">
            <w:pPr>
              <w:spacing w:line="360" w:lineRule="auto"/>
              <w:jc w:val="center"/>
              <w:rPr>
                <w:rFonts w:hint="eastAsia" w:ascii="宋体" w:hAnsi="宋体" w:eastAsia="宋体" w:cs="宋体"/>
                <w:color w:val="auto"/>
                <w:sz w:val="24"/>
                <w:szCs w:val="24"/>
              </w:rPr>
            </w:pPr>
          </w:p>
        </w:tc>
        <w:tc>
          <w:tcPr>
            <w:tcW w:w="544" w:type="pct"/>
            <w:vAlign w:val="center"/>
          </w:tcPr>
          <w:p w14:paraId="2181C9EA">
            <w:pPr>
              <w:keepNext/>
              <w:spacing w:line="360" w:lineRule="auto"/>
              <w:jc w:val="center"/>
              <w:rPr>
                <w:rFonts w:hint="eastAsia" w:ascii="宋体" w:hAnsi="宋体" w:eastAsia="宋体" w:cs="宋体"/>
                <w:color w:val="auto"/>
                <w:sz w:val="24"/>
                <w:szCs w:val="24"/>
              </w:rPr>
            </w:pPr>
          </w:p>
        </w:tc>
        <w:tc>
          <w:tcPr>
            <w:tcW w:w="436" w:type="pct"/>
            <w:vAlign w:val="center"/>
          </w:tcPr>
          <w:p w14:paraId="0A425D61">
            <w:pPr>
              <w:keepNext/>
              <w:spacing w:line="360" w:lineRule="auto"/>
              <w:jc w:val="center"/>
              <w:rPr>
                <w:rFonts w:hint="eastAsia" w:ascii="宋体" w:hAnsi="宋体" w:eastAsia="宋体" w:cs="宋体"/>
                <w:color w:val="auto"/>
                <w:sz w:val="24"/>
                <w:szCs w:val="24"/>
              </w:rPr>
            </w:pPr>
          </w:p>
        </w:tc>
        <w:tc>
          <w:tcPr>
            <w:tcW w:w="436" w:type="pct"/>
            <w:vAlign w:val="center"/>
          </w:tcPr>
          <w:p w14:paraId="4853D384">
            <w:pPr>
              <w:keepNext/>
              <w:spacing w:line="360" w:lineRule="auto"/>
              <w:jc w:val="center"/>
              <w:rPr>
                <w:rFonts w:hint="eastAsia" w:ascii="宋体" w:hAnsi="宋体" w:eastAsia="宋体" w:cs="宋体"/>
                <w:color w:val="auto"/>
                <w:sz w:val="24"/>
                <w:szCs w:val="24"/>
              </w:rPr>
            </w:pPr>
          </w:p>
        </w:tc>
        <w:tc>
          <w:tcPr>
            <w:tcW w:w="611" w:type="pct"/>
            <w:vAlign w:val="center"/>
          </w:tcPr>
          <w:p w14:paraId="790F89BD">
            <w:pPr>
              <w:keepNext/>
              <w:spacing w:line="360" w:lineRule="auto"/>
              <w:jc w:val="center"/>
              <w:rPr>
                <w:rFonts w:hint="eastAsia" w:ascii="宋体" w:hAnsi="宋体" w:eastAsia="宋体" w:cs="宋体"/>
                <w:color w:val="auto"/>
                <w:sz w:val="24"/>
                <w:szCs w:val="24"/>
              </w:rPr>
            </w:pPr>
          </w:p>
        </w:tc>
        <w:tc>
          <w:tcPr>
            <w:tcW w:w="719" w:type="pct"/>
            <w:vAlign w:val="center"/>
          </w:tcPr>
          <w:p w14:paraId="132AFEEA">
            <w:pPr>
              <w:keepNext/>
              <w:spacing w:line="360" w:lineRule="auto"/>
              <w:jc w:val="center"/>
              <w:rPr>
                <w:rFonts w:hint="eastAsia" w:ascii="宋体" w:hAnsi="宋体" w:eastAsia="宋体" w:cs="宋体"/>
                <w:color w:val="auto"/>
                <w:sz w:val="24"/>
                <w:szCs w:val="24"/>
              </w:rPr>
            </w:pPr>
          </w:p>
        </w:tc>
        <w:tc>
          <w:tcPr>
            <w:tcW w:w="719" w:type="pct"/>
            <w:vAlign w:val="center"/>
          </w:tcPr>
          <w:p w14:paraId="189B4776">
            <w:pPr>
              <w:keepNext/>
              <w:spacing w:line="360" w:lineRule="auto"/>
              <w:jc w:val="center"/>
              <w:rPr>
                <w:rFonts w:hint="eastAsia" w:ascii="宋体" w:hAnsi="宋体" w:eastAsia="宋体" w:cs="宋体"/>
                <w:color w:val="auto"/>
                <w:sz w:val="24"/>
                <w:szCs w:val="24"/>
              </w:rPr>
            </w:pPr>
          </w:p>
        </w:tc>
        <w:tc>
          <w:tcPr>
            <w:tcW w:w="719" w:type="pct"/>
            <w:vAlign w:val="center"/>
          </w:tcPr>
          <w:p w14:paraId="20F2ECA5">
            <w:pPr>
              <w:keepNext/>
              <w:spacing w:line="360" w:lineRule="auto"/>
              <w:jc w:val="center"/>
              <w:rPr>
                <w:rFonts w:hint="eastAsia" w:ascii="宋体" w:hAnsi="宋体" w:eastAsia="宋体" w:cs="宋体"/>
                <w:color w:val="auto"/>
                <w:sz w:val="24"/>
                <w:szCs w:val="24"/>
              </w:rPr>
            </w:pPr>
          </w:p>
        </w:tc>
      </w:tr>
      <w:tr w14:paraId="69620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134813A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544" w:type="pct"/>
            <w:vAlign w:val="center"/>
          </w:tcPr>
          <w:p w14:paraId="7AB35C8E">
            <w:pPr>
              <w:keepNext/>
              <w:spacing w:line="360" w:lineRule="auto"/>
              <w:jc w:val="center"/>
              <w:rPr>
                <w:rFonts w:hint="eastAsia" w:ascii="宋体" w:hAnsi="宋体" w:eastAsia="宋体" w:cs="宋体"/>
                <w:color w:val="auto"/>
                <w:sz w:val="24"/>
                <w:szCs w:val="24"/>
              </w:rPr>
            </w:pPr>
          </w:p>
        </w:tc>
        <w:tc>
          <w:tcPr>
            <w:tcW w:w="436" w:type="pct"/>
            <w:vAlign w:val="center"/>
          </w:tcPr>
          <w:p w14:paraId="025C109E">
            <w:pPr>
              <w:keepNext/>
              <w:spacing w:line="360" w:lineRule="auto"/>
              <w:jc w:val="center"/>
              <w:rPr>
                <w:rFonts w:hint="eastAsia" w:ascii="宋体" w:hAnsi="宋体" w:eastAsia="宋体" w:cs="宋体"/>
                <w:color w:val="auto"/>
                <w:sz w:val="24"/>
                <w:szCs w:val="24"/>
              </w:rPr>
            </w:pPr>
          </w:p>
        </w:tc>
        <w:tc>
          <w:tcPr>
            <w:tcW w:w="436" w:type="pct"/>
            <w:vAlign w:val="center"/>
          </w:tcPr>
          <w:p w14:paraId="6761F958">
            <w:pPr>
              <w:keepNext/>
              <w:spacing w:line="360" w:lineRule="auto"/>
              <w:jc w:val="center"/>
              <w:rPr>
                <w:rFonts w:hint="eastAsia" w:ascii="宋体" w:hAnsi="宋体" w:eastAsia="宋体" w:cs="宋体"/>
                <w:color w:val="auto"/>
                <w:sz w:val="24"/>
                <w:szCs w:val="24"/>
              </w:rPr>
            </w:pPr>
          </w:p>
        </w:tc>
        <w:tc>
          <w:tcPr>
            <w:tcW w:w="611" w:type="pct"/>
            <w:vAlign w:val="center"/>
          </w:tcPr>
          <w:p w14:paraId="0656E569">
            <w:pPr>
              <w:keepNext/>
              <w:spacing w:line="360" w:lineRule="auto"/>
              <w:jc w:val="center"/>
              <w:rPr>
                <w:rFonts w:hint="eastAsia" w:ascii="宋体" w:hAnsi="宋体" w:eastAsia="宋体" w:cs="宋体"/>
                <w:color w:val="auto"/>
                <w:sz w:val="24"/>
                <w:szCs w:val="24"/>
              </w:rPr>
            </w:pPr>
          </w:p>
        </w:tc>
        <w:tc>
          <w:tcPr>
            <w:tcW w:w="719" w:type="pct"/>
            <w:vAlign w:val="center"/>
          </w:tcPr>
          <w:p w14:paraId="67A71EA1">
            <w:pPr>
              <w:keepNext/>
              <w:spacing w:line="360" w:lineRule="auto"/>
              <w:jc w:val="center"/>
              <w:rPr>
                <w:rFonts w:hint="eastAsia" w:ascii="宋体" w:hAnsi="宋体" w:eastAsia="宋体" w:cs="宋体"/>
                <w:color w:val="auto"/>
                <w:sz w:val="24"/>
                <w:szCs w:val="24"/>
              </w:rPr>
            </w:pPr>
          </w:p>
        </w:tc>
        <w:tc>
          <w:tcPr>
            <w:tcW w:w="719" w:type="pct"/>
            <w:vAlign w:val="center"/>
          </w:tcPr>
          <w:p w14:paraId="0A067D6F">
            <w:pPr>
              <w:keepNext/>
              <w:spacing w:line="360" w:lineRule="auto"/>
              <w:jc w:val="center"/>
              <w:rPr>
                <w:rFonts w:hint="eastAsia" w:ascii="宋体" w:hAnsi="宋体" w:eastAsia="宋体" w:cs="宋体"/>
                <w:color w:val="auto"/>
                <w:sz w:val="24"/>
                <w:szCs w:val="24"/>
              </w:rPr>
            </w:pPr>
          </w:p>
        </w:tc>
        <w:tc>
          <w:tcPr>
            <w:tcW w:w="719" w:type="pct"/>
            <w:vAlign w:val="center"/>
          </w:tcPr>
          <w:p w14:paraId="31968A6F">
            <w:pPr>
              <w:keepNext/>
              <w:spacing w:line="360" w:lineRule="auto"/>
              <w:jc w:val="center"/>
              <w:rPr>
                <w:rFonts w:hint="eastAsia" w:ascii="宋体" w:hAnsi="宋体" w:eastAsia="宋体" w:cs="宋体"/>
                <w:color w:val="auto"/>
                <w:sz w:val="24"/>
                <w:szCs w:val="24"/>
              </w:rPr>
            </w:pPr>
          </w:p>
        </w:tc>
      </w:tr>
      <w:tr w14:paraId="01B63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54D299B8">
            <w:pPr>
              <w:keepNext/>
              <w:spacing w:line="360" w:lineRule="auto"/>
              <w:jc w:val="center"/>
              <w:rPr>
                <w:rFonts w:hint="eastAsia" w:ascii="宋体" w:hAnsi="宋体" w:eastAsia="宋体" w:cs="宋体"/>
                <w:color w:val="auto"/>
                <w:sz w:val="24"/>
                <w:szCs w:val="24"/>
              </w:rPr>
            </w:pPr>
          </w:p>
        </w:tc>
        <w:tc>
          <w:tcPr>
            <w:tcW w:w="544" w:type="pct"/>
            <w:tcBorders>
              <w:bottom w:val="nil"/>
            </w:tcBorders>
            <w:vAlign w:val="center"/>
          </w:tcPr>
          <w:p w14:paraId="228349C7">
            <w:pPr>
              <w:keepNext/>
              <w:spacing w:line="360" w:lineRule="auto"/>
              <w:jc w:val="center"/>
              <w:rPr>
                <w:rFonts w:hint="eastAsia" w:ascii="宋体" w:hAnsi="宋体" w:eastAsia="宋体" w:cs="宋体"/>
                <w:color w:val="auto"/>
                <w:sz w:val="24"/>
                <w:szCs w:val="24"/>
              </w:rPr>
            </w:pPr>
          </w:p>
        </w:tc>
        <w:tc>
          <w:tcPr>
            <w:tcW w:w="436" w:type="pct"/>
            <w:tcBorders>
              <w:bottom w:val="nil"/>
            </w:tcBorders>
            <w:vAlign w:val="center"/>
          </w:tcPr>
          <w:p w14:paraId="6A537BDE">
            <w:pPr>
              <w:keepNext/>
              <w:spacing w:line="360" w:lineRule="auto"/>
              <w:jc w:val="center"/>
              <w:rPr>
                <w:rFonts w:hint="eastAsia" w:ascii="宋体" w:hAnsi="宋体" w:eastAsia="宋体" w:cs="宋体"/>
                <w:color w:val="auto"/>
                <w:sz w:val="24"/>
                <w:szCs w:val="24"/>
              </w:rPr>
            </w:pPr>
          </w:p>
        </w:tc>
        <w:tc>
          <w:tcPr>
            <w:tcW w:w="436" w:type="pct"/>
            <w:tcBorders>
              <w:bottom w:val="nil"/>
            </w:tcBorders>
            <w:vAlign w:val="center"/>
          </w:tcPr>
          <w:p w14:paraId="414B45D4">
            <w:pPr>
              <w:keepNext/>
              <w:spacing w:line="360" w:lineRule="auto"/>
              <w:jc w:val="center"/>
              <w:rPr>
                <w:rFonts w:hint="eastAsia" w:ascii="宋体" w:hAnsi="宋体" w:eastAsia="宋体" w:cs="宋体"/>
                <w:color w:val="auto"/>
                <w:sz w:val="24"/>
                <w:szCs w:val="24"/>
              </w:rPr>
            </w:pPr>
          </w:p>
        </w:tc>
        <w:tc>
          <w:tcPr>
            <w:tcW w:w="611" w:type="pct"/>
            <w:tcBorders>
              <w:bottom w:val="nil"/>
            </w:tcBorders>
            <w:vAlign w:val="center"/>
          </w:tcPr>
          <w:p w14:paraId="2AFA36C8">
            <w:pPr>
              <w:keepNext/>
              <w:spacing w:line="360" w:lineRule="auto"/>
              <w:jc w:val="center"/>
              <w:rPr>
                <w:rFonts w:hint="eastAsia" w:ascii="宋体" w:hAnsi="宋体" w:eastAsia="宋体" w:cs="宋体"/>
                <w:color w:val="auto"/>
                <w:sz w:val="24"/>
                <w:szCs w:val="24"/>
              </w:rPr>
            </w:pPr>
          </w:p>
        </w:tc>
        <w:tc>
          <w:tcPr>
            <w:tcW w:w="719" w:type="pct"/>
            <w:tcBorders>
              <w:bottom w:val="nil"/>
            </w:tcBorders>
            <w:vAlign w:val="center"/>
          </w:tcPr>
          <w:p w14:paraId="77BB84BD">
            <w:pPr>
              <w:keepNext/>
              <w:spacing w:line="360" w:lineRule="auto"/>
              <w:jc w:val="center"/>
              <w:rPr>
                <w:rFonts w:hint="eastAsia" w:ascii="宋体" w:hAnsi="宋体" w:eastAsia="宋体" w:cs="宋体"/>
                <w:color w:val="auto"/>
                <w:sz w:val="24"/>
                <w:szCs w:val="24"/>
              </w:rPr>
            </w:pPr>
          </w:p>
        </w:tc>
        <w:tc>
          <w:tcPr>
            <w:tcW w:w="719" w:type="pct"/>
            <w:tcBorders>
              <w:bottom w:val="nil"/>
            </w:tcBorders>
            <w:vAlign w:val="center"/>
          </w:tcPr>
          <w:p w14:paraId="26643748">
            <w:pPr>
              <w:keepNext/>
              <w:spacing w:line="360" w:lineRule="auto"/>
              <w:jc w:val="center"/>
              <w:rPr>
                <w:rFonts w:hint="eastAsia" w:ascii="宋体" w:hAnsi="宋体" w:eastAsia="宋体" w:cs="宋体"/>
                <w:color w:val="auto"/>
                <w:sz w:val="24"/>
                <w:szCs w:val="24"/>
              </w:rPr>
            </w:pPr>
          </w:p>
        </w:tc>
        <w:tc>
          <w:tcPr>
            <w:tcW w:w="719" w:type="pct"/>
            <w:tcBorders>
              <w:bottom w:val="nil"/>
            </w:tcBorders>
            <w:vAlign w:val="center"/>
          </w:tcPr>
          <w:p w14:paraId="05842FA4">
            <w:pPr>
              <w:keepNext/>
              <w:spacing w:line="360" w:lineRule="auto"/>
              <w:jc w:val="center"/>
              <w:rPr>
                <w:rFonts w:hint="eastAsia" w:ascii="宋体" w:hAnsi="宋体" w:eastAsia="宋体" w:cs="宋体"/>
                <w:color w:val="auto"/>
                <w:sz w:val="24"/>
                <w:szCs w:val="24"/>
              </w:rPr>
            </w:pPr>
          </w:p>
        </w:tc>
      </w:tr>
      <w:tr w14:paraId="4DBF1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290DE11">
            <w:pPr>
              <w:keepNext/>
              <w:spacing w:line="360" w:lineRule="auto"/>
              <w:jc w:val="center"/>
              <w:rPr>
                <w:rFonts w:hint="eastAsia" w:ascii="宋体" w:hAnsi="宋体" w:eastAsia="宋体" w:cs="宋体"/>
                <w:color w:val="auto"/>
                <w:sz w:val="24"/>
                <w:szCs w:val="24"/>
              </w:rPr>
            </w:pPr>
          </w:p>
        </w:tc>
        <w:tc>
          <w:tcPr>
            <w:tcW w:w="544" w:type="pct"/>
            <w:vAlign w:val="center"/>
          </w:tcPr>
          <w:p w14:paraId="62801DD6">
            <w:pPr>
              <w:keepNext/>
              <w:spacing w:line="360" w:lineRule="auto"/>
              <w:jc w:val="center"/>
              <w:rPr>
                <w:rFonts w:hint="eastAsia" w:ascii="宋体" w:hAnsi="宋体" w:eastAsia="宋体" w:cs="宋体"/>
                <w:color w:val="auto"/>
                <w:sz w:val="24"/>
                <w:szCs w:val="24"/>
              </w:rPr>
            </w:pPr>
          </w:p>
        </w:tc>
        <w:tc>
          <w:tcPr>
            <w:tcW w:w="436" w:type="pct"/>
            <w:vAlign w:val="center"/>
          </w:tcPr>
          <w:p w14:paraId="3B567F71">
            <w:pPr>
              <w:keepNext/>
              <w:spacing w:line="360" w:lineRule="auto"/>
              <w:jc w:val="center"/>
              <w:rPr>
                <w:rFonts w:hint="eastAsia" w:ascii="宋体" w:hAnsi="宋体" w:eastAsia="宋体" w:cs="宋体"/>
                <w:color w:val="auto"/>
                <w:sz w:val="24"/>
                <w:szCs w:val="24"/>
              </w:rPr>
            </w:pPr>
          </w:p>
        </w:tc>
        <w:tc>
          <w:tcPr>
            <w:tcW w:w="436" w:type="pct"/>
            <w:vAlign w:val="center"/>
          </w:tcPr>
          <w:p w14:paraId="7082330D">
            <w:pPr>
              <w:keepNext/>
              <w:spacing w:line="360" w:lineRule="auto"/>
              <w:jc w:val="center"/>
              <w:rPr>
                <w:rFonts w:hint="eastAsia" w:ascii="宋体" w:hAnsi="宋体" w:eastAsia="宋体" w:cs="宋体"/>
                <w:color w:val="auto"/>
                <w:sz w:val="24"/>
                <w:szCs w:val="24"/>
              </w:rPr>
            </w:pPr>
          </w:p>
        </w:tc>
        <w:tc>
          <w:tcPr>
            <w:tcW w:w="611" w:type="pct"/>
            <w:vAlign w:val="center"/>
          </w:tcPr>
          <w:p w14:paraId="389A3F40">
            <w:pPr>
              <w:keepNext/>
              <w:spacing w:line="360" w:lineRule="auto"/>
              <w:jc w:val="center"/>
              <w:rPr>
                <w:rFonts w:hint="eastAsia" w:ascii="宋体" w:hAnsi="宋体" w:eastAsia="宋体" w:cs="宋体"/>
                <w:color w:val="auto"/>
                <w:sz w:val="24"/>
                <w:szCs w:val="24"/>
              </w:rPr>
            </w:pPr>
          </w:p>
        </w:tc>
        <w:tc>
          <w:tcPr>
            <w:tcW w:w="719" w:type="pct"/>
            <w:vAlign w:val="center"/>
          </w:tcPr>
          <w:p w14:paraId="43FACB71">
            <w:pPr>
              <w:keepNext/>
              <w:spacing w:line="360" w:lineRule="auto"/>
              <w:jc w:val="center"/>
              <w:rPr>
                <w:rFonts w:hint="eastAsia" w:ascii="宋体" w:hAnsi="宋体" w:eastAsia="宋体" w:cs="宋体"/>
                <w:color w:val="auto"/>
                <w:sz w:val="24"/>
                <w:szCs w:val="24"/>
              </w:rPr>
            </w:pPr>
          </w:p>
        </w:tc>
        <w:tc>
          <w:tcPr>
            <w:tcW w:w="719" w:type="pct"/>
            <w:vAlign w:val="center"/>
          </w:tcPr>
          <w:p w14:paraId="3B3741E1">
            <w:pPr>
              <w:keepNext/>
              <w:spacing w:line="360" w:lineRule="auto"/>
              <w:jc w:val="center"/>
              <w:rPr>
                <w:rFonts w:hint="eastAsia" w:ascii="宋体" w:hAnsi="宋体" w:eastAsia="宋体" w:cs="宋体"/>
                <w:color w:val="auto"/>
                <w:sz w:val="24"/>
                <w:szCs w:val="24"/>
              </w:rPr>
            </w:pPr>
          </w:p>
        </w:tc>
        <w:tc>
          <w:tcPr>
            <w:tcW w:w="719" w:type="pct"/>
            <w:vAlign w:val="center"/>
          </w:tcPr>
          <w:p w14:paraId="2EA2A863">
            <w:pPr>
              <w:keepNext/>
              <w:spacing w:line="360" w:lineRule="auto"/>
              <w:jc w:val="center"/>
              <w:rPr>
                <w:rFonts w:hint="eastAsia" w:ascii="宋体" w:hAnsi="宋体" w:eastAsia="宋体" w:cs="宋体"/>
                <w:color w:val="auto"/>
                <w:sz w:val="24"/>
                <w:szCs w:val="24"/>
              </w:rPr>
            </w:pPr>
          </w:p>
        </w:tc>
      </w:tr>
      <w:tr w14:paraId="7B345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075BB65">
            <w:pPr>
              <w:keepNext/>
              <w:spacing w:line="360" w:lineRule="auto"/>
              <w:jc w:val="center"/>
              <w:rPr>
                <w:rFonts w:hint="eastAsia" w:ascii="宋体" w:hAnsi="宋体" w:eastAsia="宋体" w:cs="宋体"/>
                <w:color w:val="auto"/>
                <w:sz w:val="24"/>
                <w:szCs w:val="24"/>
              </w:rPr>
            </w:pPr>
          </w:p>
        </w:tc>
        <w:tc>
          <w:tcPr>
            <w:tcW w:w="544" w:type="pct"/>
            <w:vAlign w:val="center"/>
          </w:tcPr>
          <w:p w14:paraId="7733A54F">
            <w:pPr>
              <w:keepNext/>
              <w:spacing w:line="360" w:lineRule="auto"/>
              <w:jc w:val="center"/>
              <w:rPr>
                <w:rFonts w:hint="eastAsia" w:ascii="宋体" w:hAnsi="宋体" w:eastAsia="宋体" w:cs="宋体"/>
                <w:color w:val="auto"/>
                <w:sz w:val="24"/>
                <w:szCs w:val="24"/>
              </w:rPr>
            </w:pPr>
          </w:p>
        </w:tc>
        <w:tc>
          <w:tcPr>
            <w:tcW w:w="436" w:type="pct"/>
            <w:vAlign w:val="center"/>
          </w:tcPr>
          <w:p w14:paraId="4C541B96">
            <w:pPr>
              <w:keepNext/>
              <w:spacing w:line="360" w:lineRule="auto"/>
              <w:jc w:val="center"/>
              <w:rPr>
                <w:rFonts w:hint="eastAsia" w:ascii="宋体" w:hAnsi="宋体" w:eastAsia="宋体" w:cs="宋体"/>
                <w:color w:val="auto"/>
                <w:sz w:val="24"/>
                <w:szCs w:val="24"/>
              </w:rPr>
            </w:pPr>
          </w:p>
        </w:tc>
        <w:tc>
          <w:tcPr>
            <w:tcW w:w="436" w:type="pct"/>
            <w:vAlign w:val="center"/>
          </w:tcPr>
          <w:p w14:paraId="38F4C8CD">
            <w:pPr>
              <w:keepNext/>
              <w:spacing w:line="360" w:lineRule="auto"/>
              <w:jc w:val="center"/>
              <w:rPr>
                <w:rFonts w:hint="eastAsia" w:ascii="宋体" w:hAnsi="宋体" w:eastAsia="宋体" w:cs="宋体"/>
                <w:color w:val="auto"/>
                <w:sz w:val="24"/>
                <w:szCs w:val="24"/>
              </w:rPr>
            </w:pPr>
          </w:p>
        </w:tc>
        <w:tc>
          <w:tcPr>
            <w:tcW w:w="611" w:type="pct"/>
            <w:vAlign w:val="center"/>
          </w:tcPr>
          <w:p w14:paraId="5A9435B5">
            <w:pPr>
              <w:keepNext/>
              <w:spacing w:line="360" w:lineRule="auto"/>
              <w:jc w:val="center"/>
              <w:rPr>
                <w:rFonts w:hint="eastAsia" w:ascii="宋体" w:hAnsi="宋体" w:eastAsia="宋体" w:cs="宋体"/>
                <w:color w:val="auto"/>
                <w:sz w:val="24"/>
                <w:szCs w:val="24"/>
              </w:rPr>
            </w:pPr>
          </w:p>
        </w:tc>
        <w:tc>
          <w:tcPr>
            <w:tcW w:w="719" w:type="pct"/>
            <w:vAlign w:val="center"/>
          </w:tcPr>
          <w:p w14:paraId="23D97DDD">
            <w:pPr>
              <w:keepNext/>
              <w:spacing w:line="360" w:lineRule="auto"/>
              <w:jc w:val="center"/>
              <w:rPr>
                <w:rFonts w:hint="eastAsia" w:ascii="宋体" w:hAnsi="宋体" w:eastAsia="宋体" w:cs="宋体"/>
                <w:color w:val="auto"/>
                <w:sz w:val="24"/>
                <w:szCs w:val="24"/>
              </w:rPr>
            </w:pPr>
          </w:p>
        </w:tc>
        <w:tc>
          <w:tcPr>
            <w:tcW w:w="719" w:type="pct"/>
            <w:vAlign w:val="center"/>
          </w:tcPr>
          <w:p w14:paraId="0D878135">
            <w:pPr>
              <w:keepNext/>
              <w:spacing w:line="360" w:lineRule="auto"/>
              <w:jc w:val="center"/>
              <w:rPr>
                <w:rFonts w:hint="eastAsia" w:ascii="宋体" w:hAnsi="宋体" w:eastAsia="宋体" w:cs="宋体"/>
                <w:color w:val="auto"/>
                <w:sz w:val="24"/>
                <w:szCs w:val="24"/>
              </w:rPr>
            </w:pPr>
          </w:p>
        </w:tc>
        <w:tc>
          <w:tcPr>
            <w:tcW w:w="719" w:type="pct"/>
            <w:vAlign w:val="center"/>
          </w:tcPr>
          <w:p w14:paraId="457D4CB3">
            <w:pPr>
              <w:keepNext/>
              <w:spacing w:line="360" w:lineRule="auto"/>
              <w:jc w:val="center"/>
              <w:rPr>
                <w:rFonts w:hint="eastAsia" w:ascii="宋体" w:hAnsi="宋体" w:eastAsia="宋体" w:cs="宋体"/>
                <w:color w:val="auto"/>
                <w:sz w:val="24"/>
                <w:szCs w:val="24"/>
              </w:rPr>
            </w:pPr>
          </w:p>
        </w:tc>
      </w:tr>
      <w:tr w14:paraId="222C0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09C2FB1C">
            <w:pPr>
              <w:keepNext/>
              <w:spacing w:line="360" w:lineRule="auto"/>
              <w:jc w:val="center"/>
              <w:rPr>
                <w:rFonts w:hint="eastAsia" w:ascii="宋体" w:hAnsi="宋体" w:eastAsia="宋体" w:cs="宋体"/>
                <w:color w:val="auto"/>
                <w:sz w:val="24"/>
                <w:szCs w:val="24"/>
              </w:rPr>
            </w:pPr>
          </w:p>
        </w:tc>
        <w:tc>
          <w:tcPr>
            <w:tcW w:w="544" w:type="pct"/>
            <w:vAlign w:val="center"/>
          </w:tcPr>
          <w:p w14:paraId="5B9678CB">
            <w:pPr>
              <w:keepNext/>
              <w:spacing w:line="360" w:lineRule="auto"/>
              <w:jc w:val="center"/>
              <w:rPr>
                <w:rFonts w:hint="eastAsia" w:ascii="宋体" w:hAnsi="宋体" w:eastAsia="宋体" w:cs="宋体"/>
                <w:color w:val="auto"/>
                <w:sz w:val="24"/>
                <w:szCs w:val="24"/>
              </w:rPr>
            </w:pPr>
          </w:p>
        </w:tc>
        <w:tc>
          <w:tcPr>
            <w:tcW w:w="436" w:type="pct"/>
            <w:vAlign w:val="center"/>
          </w:tcPr>
          <w:p w14:paraId="5122B6CF">
            <w:pPr>
              <w:keepNext/>
              <w:spacing w:line="360" w:lineRule="auto"/>
              <w:jc w:val="center"/>
              <w:rPr>
                <w:rFonts w:hint="eastAsia" w:ascii="宋体" w:hAnsi="宋体" w:eastAsia="宋体" w:cs="宋体"/>
                <w:color w:val="auto"/>
                <w:sz w:val="24"/>
                <w:szCs w:val="24"/>
              </w:rPr>
            </w:pPr>
          </w:p>
        </w:tc>
        <w:tc>
          <w:tcPr>
            <w:tcW w:w="436" w:type="pct"/>
            <w:vAlign w:val="center"/>
          </w:tcPr>
          <w:p w14:paraId="4E2490EA">
            <w:pPr>
              <w:keepNext/>
              <w:spacing w:line="360" w:lineRule="auto"/>
              <w:jc w:val="center"/>
              <w:rPr>
                <w:rFonts w:hint="eastAsia" w:ascii="宋体" w:hAnsi="宋体" w:eastAsia="宋体" w:cs="宋体"/>
                <w:color w:val="auto"/>
                <w:sz w:val="24"/>
                <w:szCs w:val="24"/>
              </w:rPr>
            </w:pPr>
          </w:p>
        </w:tc>
        <w:tc>
          <w:tcPr>
            <w:tcW w:w="611" w:type="pct"/>
            <w:vAlign w:val="center"/>
          </w:tcPr>
          <w:p w14:paraId="00CB4D32">
            <w:pPr>
              <w:keepNext/>
              <w:spacing w:line="360" w:lineRule="auto"/>
              <w:jc w:val="center"/>
              <w:rPr>
                <w:rFonts w:hint="eastAsia" w:ascii="宋体" w:hAnsi="宋体" w:eastAsia="宋体" w:cs="宋体"/>
                <w:color w:val="auto"/>
                <w:sz w:val="24"/>
                <w:szCs w:val="24"/>
              </w:rPr>
            </w:pPr>
          </w:p>
        </w:tc>
        <w:tc>
          <w:tcPr>
            <w:tcW w:w="719" w:type="pct"/>
            <w:vAlign w:val="center"/>
          </w:tcPr>
          <w:p w14:paraId="37CBA753">
            <w:pPr>
              <w:keepNext/>
              <w:spacing w:line="360" w:lineRule="auto"/>
              <w:jc w:val="center"/>
              <w:rPr>
                <w:rFonts w:hint="eastAsia" w:ascii="宋体" w:hAnsi="宋体" w:eastAsia="宋体" w:cs="宋体"/>
                <w:color w:val="auto"/>
                <w:sz w:val="24"/>
                <w:szCs w:val="24"/>
              </w:rPr>
            </w:pPr>
          </w:p>
        </w:tc>
        <w:tc>
          <w:tcPr>
            <w:tcW w:w="719" w:type="pct"/>
            <w:vAlign w:val="center"/>
          </w:tcPr>
          <w:p w14:paraId="5E5786D9">
            <w:pPr>
              <w:keepNext/>
              <w:spacing w:line="360" w:lineRule="auto"/>
              <w:jc w:val="center"/>
              <w:rPr>
                <w:rFonts w:hint="eastAsia" w:ascii="宋体" w:hAnsi="宋体" w:eastAsia="宋体" w:cs="宋体"/>
                <w:color w:val="auto"/>
                <w:sz w:val="24"/>
                <w:szCs w:val="24"/>
              </w:rPr>
            </w:pPr>
          </w:p>
        </w:tc>
        <w:tc>
          <w:tcPr>
            <w:tcW w:w="719" w:type="pct"/>
            <w:vAlign w:val="center"/>
          </w:tcPr>
          <w:p w14:paraId="6FB1E110">
            <w:pPr>
              <w:keepNext/>
              <w:spacing w:line="360" w:lineRule="auto"/>
              <w:jc w:val="center"/>
              <w:rPr>
                <w:rFonts w:hint="eastAsia" w:ascii="宋体" w:hAnsi="宋体" w:eastAsia="宋体" w:cs="宋体"/>
                <w:color w:val="auto"/>
                <w:sz w:val="24"/>
                <w:szCs w:val="24"/>
              </w:rPr>
            </w:pPr>
          </w:p>
        </w:tc>
      </w:tr>
      <w:tr w14:paraId="4C771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single" w:color="auto" w:sz="12" w:space="0"/>
            </w:tcBorders>
            <w:vAlign w:val="center"/>
          </w:tcPr>
          <w:p w14:paraId="1055499F">
            <w:pPr>
              <w:keepNext/>
              <w:spacing w:line="360" w:lineRule="auto"/>
              <w:jc w:val="center"/>
              <w:rPr>
                <w:rFonts w:hint="eastAsia" w:ascii="宋体" w:hAnsi="宋体" w:eastAsia="宋体" w:cs="宋体"/>
                <w:color w:val="auto"/>
                <w:sz w:val="24"/>
                <w:szCs w:val="24"/>
              </w:rPr>
            </w:pPr>
          </w:p>
        </w:tc>
        <w:tc>
          <w:tcPr>
            <w:tcW w:w="544" w:type="pct"/>
            <w:tcBorders>
              <w:bottom w:val="single" w:color="auto" w:sz="12" w:space="0"/>
            </w:tcBorders>
            <w:vAlign w:val="center"/>
          </w:tcPr>
          <w:p w14:paraId="1D180365">
            <w:pPr>
              <w:keepNext/>
              <w:spacing w:line="360" w:lineRule="auto"/>
              <w:jc w:val="center"/>
              <w:rPr>
                <w:rFonts w:hint="eastAsia" w:ascii="宋体" w:hAnsi="宋体" w:eastAsia="宋体" w:cs="宋体"/>
                <w:color w:val="auto"/>
                <w:sz w:val="24"/>
                <w:szCs w:val="24"/>
              </w:rPr>
            </w:pPr>
          </w:p>
        </w:tc>
        <w:tc>
          <w:tcPr>
            <w:tcW w:w="436" w:type="pct"/>
            <w:tcBorders>
              <w:bottom w:val="single" w:color="auto" w:sz="12" w:space="0"/>
            </w:tcBorders>
            <w:vAlign w:val="center"/>
          </w:tcPr>
          <w:p w14:paraId="6C823EDC">
            <w:pPr>
              <w:keepNext/>
              <w:spacing w:line="360" w:lineRule="auto"/>
              <w:jc w:val="center"/>
              <w:rPr>
                <w:rFonts w:hint="eastAsia" w:ascii="宋体" w:hAnsi="宋体" w:eastAsia="宋体" w:cs="宋体"/>
                <w:color w:val="auto"/>
                <w:sz w:val="24"/>
                <w:szCs w:val="24"/>
              </w:rPr>
            </w:pPr>
          </w:p>
        </w:tc>
        <w:tc>
          <w:tcPr>
            <w:tcW w:w="436" w:type="pct"/>
            <w:tcBorders>
              <w:bottom w:val="single" w:color="auto" w:sz="12" w:space="0"/>
            </w:tcBorders>
            <w:vAlign w:val="center"/>
          </w:tcPr>
          <w:p w14:paraId="717D7426">
            <w:pPr>
              <w:keepNext/>
              <w:spacing w:line="360" w:lineRule="auto"/>
              <w:jc w:val="center"/>
              <w:rPr>
                <w:rFonts w:hint="eastAsia" w:ascii="宋体" w:hAnsi="宋体" w:eastAsia="宋体" w:cs="宋体"/>
                <w:color w:val="auto"/>
                <w:sz w:val="24"/>
                <w:szCs w:val="24"/>
              </w:rPr>
            </w:pPr>
          </w:p>
        </w:tc>
        <w:tc>
          <w:tcPr>
            <w:tcW w:w="611" w:type="pct"/>
            <w:tcBorders>
              <w:bottom w:val="single" w:color="auto" w:sz="12" w:space="0"/>
            </w:tcBorders>
            <w:vAlign w:val="center"/>
          </w:tcPr>
          <w:p w14:paraId="28F98DB8">
            <w:pPr>
              <w:keepNext/>
              <w:spacing w:line="360" w:lineRule="auto"/>
              <w:jc w:val="center"/>
              <w:rPr>
                <w:rFonts w:hint="eastAsia" w:ascii="宋体" w:hAnsi="宋体" w:eastAsia="宋体" w:cs="宋体"/>
                <w:color w:val="auto"/>
                <w:sz w:val="24"/>
                <w:szCs w:val="24"/>
              </w:rPr>
            </w:pPr>
          </w:p>
        </w:tc>
        <w:tc>
          <w:tcPr>
            <w:tcW w:w="719" w:type="pct"/>
            <w:tcBorders>
              <w:bottom w:val="single" w:color="auto" w:sz="12" w:space="0"/>
            </w:tcBorders>
            <w:vAlign w:val="center"/>
          </w:tcPr>
          <w:p w14:paraId="3B7C19D7">
            <w:pPr>
              <w:keepNext/>
              <w:spacing w:line="360" w:lineRule="auto"/>
              <w:jc w:val="center"/>
              <w:rPr>
                <w:rFonts w:hint="eastAsia" w:ascii="宋体" w:hAnsi="宋体" w:eastAsia="宋体" w:cs="宋体"/>
                <w:color w:val="auto"/>
                <w:sz w:val="24"/>
                <w:szCs w:val="24"/>
              </w:rPr>
            </w:pPr>
          </w:p>
        </w:tc>
        <w:tc>
          <w:tcPr>
            <w:tcW w:w="719" w:type="pct"/>
            <w:tcBorders>
              <w:bottom w:val="single" w:color="auto" w:sz="12" w:space="0"/>
            </w:tcBorders>
            <w:vAlign w:val="center"/>
          </w:tcPr>
          <w:p w14:paraId="1A951E41">
            <w:pPr>
              <w:keepNext/>
              <w:spacing w:line="360" w:lineRule="auto"/>
              <w:jc w:val="center"/>
              <w:rPr>
                <w:rFonts w:hint="eastAsia" w:ascii="宋体" w:hAnsi="宋体" w:eastAsia="宋体" w:cs="宋体"/>
                <w:color w:val="auto"/>
                <w:sz w:val="24"/>
                <w:szCs w:val="24"/>
              </w:rPr>
            </w:pPr>
          </w:p>
        </w:tc>
        <w:tc>
          <w:tcPr>
            <w:tcW w:w="719" w:type="pct"/>
            <w:tcBorders>
              <w:bottom w:val="single" w:color="auto" w:sz="12" w:space="0"/>
            </w:tcBorders>
            <w:vAlign w:val="center"/>
          </w:tcPr>
          <w:p w14:paraId="2248B596">
            <w:pPr>
              <w:keepNext/>
              <w:spacing w:line="360" w:lineRule="auto"/>
              <w:jc w:val="center"/>
              <w:rPr>
                <w:rFonts w:hint="eastAsia" w:ascii="宋体" w:hAnsi="宋体" w:eastAsia="宋体" w:cs="宋体"/>
                <w:color w:val="auto"/>
                <w:sz w:val="24"/>
                <w:szCs w:val="24"/>
              </w:rPr>
            </w:pPr>
          </w:p>
        </w:tc>
      </w:tr>
    </w:tbl>
    <w:p w14:paraId="505F5283">
      <w:pPr>
        <w:spacing w:line="360" w:lineRule="auto"/>
        <w:jc w:val="center"/>
        <w:outlineLvl w:val="9"/>
        <w:rPr>
          <w:rFonts w:hint="eastAsia" w:ascii="宋体" w:hAnsi="宋体" w:eastAsia="宋体" w:cs="宋体"/>
          <w:b/>
          <w:sz w:val="24"/>
          <w:lang w:val="en-US" w:eastAsia="zh-CN"/>
        </w:rPr>
      </w:pPr>
    </w:p>
    <w:p w14:paraId="3451E33F">
      <w:pPr>
        <w:rPr>
          <w:rFonts w:hint="eastAsia" w:ascii="宋体" w:hAnsi="宋体" w:eastAsia="宋体" w:cs="宋体"/>
          <w:b/>
          <w:sz w:val="24"/>
          <w:lang w:eastAsia="zh-CN"/>
        </w:rPr>
      </w:pPr>
      <w:r>
        <w:rPr>
          <w:rFonts w:hint="eastAsia" w:ascii="宋体" w:hAnsi="宋体" w:eastAsia="宋体" w:cs="宋体"/>
          <w:b/>
          <w:sz w:val="24"/>
        </w:rPr>
        <w:br w:type="page"/>
      </w:r>
      <w:r>
        <w:rPr>
          <w:rFonts w:hint="eastAsia" w:ascii="宋体" w:hAnsi="宋体" w:eastAsia="宋体" w:cs="宋体"/>
          <w:b/>
          <w:bCs w:val="0"/>
          <w:sz w:val="24"/>
          <w:lang w:val="en-US" w:eastAsia="zh-CN"/>
        </w:rPr>
        <w:t>上述人员</w:t>
      </w:r>
      <w:r>
        <w:rPr>
          <w:rFonts w:hint="eastAsia" w:ascii="宋体" w:hAnsi="宋体" w:eastAsia="宋体" w:cs="宋体"/>
          <w:b/>
          <w:bCs w:val="0"/>
          <w:sz w:val="24"/>
        </w:rPr>
        <w:t>相关证明</w:t>
      </w:r>
      <w:r>
        <w:rPr>
          <w:rFonts w:hint="eastAsia" w:ascii="宋体" w:hAnsi="宋体" w:eastAsia="宋体" w:cs="宋体"/>
          <w:b/>
          <w:bCs w:val="0"/>
          <w:sz w:val="24"/>
          <w:lang w:val="en-US" w:eastAsia="zh-CN"/>
        </w:rPr>
        <w:t>材料：</w:t>
      </w:r>
    </w:p>
    <w:p w14:paraId="273C9687">
      <w:pPr>
        <w:pStyle w:val="11"/>
        <w:rPr>
          <w:rFonts w:hint="eastAsia" w:ascii="宋体" w:hAnsi="宋体" w:eastAsia="宋体" w:cs="宋体"/>
        </w:rPr>
      </w:pPr>
    </w:p>
    <w:p w14:paraId="76C4E0CD">
      <w:pPr>
        <w:rPr>
          <w:rFonts w:hint="eastAsia" w:ascii="宋体" w:hAnsi="宋体" w:eastAsia="宋体" w:cs="宋体"/>
          <w:b/>
          <w:sz w:val="24"/>
        </w:rPr>
      </w:pPr>
      <w:r>
        <w:rPr>
          <w:rFonts w:hint="eastAsia" w:ascii="宋体" w:hAnsi="宋体" w:eastAsia="宋体" w:cs="宋体"/>
          <w:b/>
          <w:sz w:val="24"/>
        </w:rPr>
        <w:br w:type="page"/>
      </w:r>
    </w:p>
    <w:p w14:paraId="48D04675">
      <w:pPr>
        <w:spacing w:line="360" w:lineRule="auto"/>
        <w:jc w:val="center"/>
        <w:outlineLvl w:val="1"/>
        <w:rPr>
          <w:rFonts w:hint="eastAsia" w:ascii="宋体" w:hAnsi="宋体" w:eastAsia="宋体" w:cs="宋体"/>
          <w:b/>
          <w:sz w:val="24"/>
        </w:rPr>
      </w:pPr>
      <w:r>
        <w:rPr>
          <w:rFonts w:hint="eastAsia" w:ascii="宋体" w:hAnsi="宋体" w:eastAsia="宋体" w:cs="宋体"/>
          <w:b/>
          <w:sz w:val="24"/>
          <w:lang w:val="en-US" w:eastAsia="zh-CN"/>
        </w:rPr>
        <w:t>八</w:t>
      </w:r>
      <w:r>
        <w:rPr>
          <w:rFonts w:hint="eastAsia" w:ascii="宋体" w:hAnsi="宋体" w:eastAsia="宋体" w:cs="宋体"/>
          <w:b/>
          <w:sz w:val="24"/>
        </w:rPr>
        <w:t>、诚信履约承诺函</w:t>
      </w:r>
    </w:p>
    <w:p w14:paraId="792BD7AF">
      <w:pPr>
        <w:spacing w:line="360" w:lineRule="auto"/>
        <w:rPr>
          <w:rFonts w:hint="eastAsia" w:ascii="宋体" w:hAnsi="宋体" w:eastAsia="宋体" w:cs="宋体"/>
          <w:b/>
          <w:bCs/>
          <w:sz w:val="24"/>
        </w:rPr>
      </w:pPr>
    </w:p>
    <w:p w14:paraId="21FE44F8">
      <w:pPr>
        <w:spacing w:line="360" w:lineRule="auto"/>
        <w:rPr>
          <w:rFonts w:hint="eastAsia" w:ascii="宋体" w:hAnsi="宋体" w:eastAsia="宋体" w:cs="宋体"/>
          <w:b/>
          <w:bCs/>
          <w:sz w:val="24"/>
          <w:u w:val="single"/>
        </w:rPr>
      </w:pPr>
      <w:r>
        <w:rPr>
          <w:rFonts w:hint="eastAsia" w:ascii="宋体" w:hAnsi="宋体" w:eastAsia="宋体" w:cs="宋体"/>
          <w:b/>
          <w:bCs/>
          <w:sz w:val="24"/>
        </w:rPr>
        <w:t>致：采购人</w:t>
      </w:r>
    </w:p>
    <w:p w14:paraId="32A8A34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w:t>
      </w:r>
      <w:r>
        <w:rPr>
          <w:rFonts w:hint="eastAsia" w:ascii="宋体" w:hAnsi="宋体" w:eastAsia="宋体" w:cs="宋体"/>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A8BC13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（1）中标或者成交后无正当理由拒不与采购人签订政府采购合同；</w:t>
      </w:r>
    </w:p>
    <w:p w14:paraId="2E7F40B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（2）未按照采购文件确定的事项签订政府采购合同；</w:t>
      </w:r>
    </w:p>
    <w:p w14:paraId="62E2134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（3）将政府采购合同转包；</w:t>
      </w:r>
    </w:p>
    <w:p w14:paraId="160B6FF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（4）提供假冒伪劣产品；</w:t>
      </w:r>
    </w:p>
    <w:p w14:paraId="241BFB6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（5）擅自变更、中止或者终止政府采购合同。</w:t>
      </w:r>
    </w:p>
    <w:p w14:paraId="45BCDD6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49C8D3">
      <w:pPr>
        <w:numPr>
          <w:ilvl w:val="0"/>
          <w:numId w:val="0"/>
        </w:numPr>
        <w:spacing w:line="360" w:lineRule="auto"/>
        <w:ind w:firstLine="480" w:firstLineChars="200"/>
        <w:rPr>
          <w:rFonts w:hint="eastAsia" w:ascii="宋体" w:hAnsi="宋体" w:eastAsia="宋体" w:cs="宋体"/>
          <w:bCs/>
          <w:color w:val="auto"/>
          <w:kern w:val="2"/>
          <w:sz w:val="24"/>
          <w:lang w:val="en-US" w:eastAsia="zh-CN" w:bidi="ar-SA"/>
        </w:rPr>
      </w:pPr>
      <w:r>
        <w:rPr>
          <w:rFonts w:hint="eastAsia" w:ascii="宋体" w:hAnsi="宋体" w:eastAsia="宋体" w:cs="宋体"/>
          <w:bCs/>
          <w:color w:val="auto"/>
          <w:kern w:val="2"/>
          <w:sz w:val="24"/>
          <w:lang w:val="en-US" w:eastAsia="zh-CN" w:bidi="ar-SA"/>
        </w:rPr>
        <w:t>2.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kern w:val="2"/>
          <w:sz w:val="24"/>
          <w:lang w:val="en-US" w:eastAsia="zh-CN" w:bidi="ar-SA"/>
        </w:rPr>
        <w:t>3.</w:t>
      </w:r>
      <w:r>
        <w:rPr>
          <w:rFonts w:hint="eastAsia" w:ascii="宋体" w:hAnsi="宋体" w:eastAsia="宋体" w:cs="宋体"/>
          <w:b/>
          <w:bCs w:val="0"/>
          <w:color w:val="auto"/>
          <w:sz w:val="24"/>
          <w:lang w:val="en-US" w:eastAsia="zh-CN"/>
        </w:rPr>
        <w:t>成交通知书发送之日起10日历天内，</w:t>
      </w:r>
      <w:r>
        <w:rPr>
          <w:rFonts w:hint="eastAsia" w:ascii="宋体" w:hAnsi="宋体" w:eastAsia="宋体" w:cs="宋体"/>
          <w:bCs/>
          <w:color w:val="auto"/>
          <w:sz w:val="24"/>
          <w:lang w:val="en-US" w:eastAsia="zh-CN"/>
        </w:rPr>
        <w:t>按照响应文件提供自备机械设备、项目组成员，并为所有服务的项目中无社会保险的从业人员购买</w:t>
      </w:r>
      <w:r>
        <w:rPr>
          <w:rFonts w:hint="eastAsia" w:ascii="宋体" w:hAnsi="宋体" w:eastAsia="宋体" w:cs="宋体"/>
          <w:b/>
          <w:bCs/>
          <w:color w:val="auto"/>
          <w:sz w:val="24"/>
          <w:szCs w:val="24"/>
          <w:u w:val="single"/>
        </w:rPr>
        <w:t>雇主责任险或</w:t>
      </w:r>
      <w:r>
        <w:rPr>
          <w:rFonts w:hint="eastAsia" w:ascii="宋体" w:hAnsi="宋体" w:eastAsia="宋体" w:cs="宋体"/>
          <w:b/>
          <w:bCs/>
          <w:color w:val="auto"/>
          <w:sz w:val="24"/>
          <w:szCs w:val="24"/>
          <w:u w:val="single"/>
          <w:lang w:eastAsia="zh-CN"/>
        </w:rPr>
        <w:t>团体意外险</w:t>
      </w:r>
      <w:r>
        <w:rPr>
          <w:rFonts w:hint="eastAsia" w:ascii="宋体" w:hAnsi="宋体" w:eastAsia="宋体" w:cs="宋体"/>
          <w:b/>
          <w:bCs/>
          <w:color w:val="auto"/>
          <w:sz w:val="24"/>
          <w:szCs w:val="24"/>
          <w:u w:val="single"/>
          <w:lang w:val="en-US" w:eastAsia="zh-CN"/>
        </w:rPr>
        <w:t>或安全生产责任险</w:t>
      </w:r>
      <w:r>
        <w:rPr>
          <w:rFonts w:hint="eastAsia" w:ascii="宋体" w:hAnsi="宋体" w:eastAsia="宋体" w:cs="宋体"/>
          <w:bCs/>
          <w:color w:val="auto"/>
          <w:sz w:val="24"/>
          <w:lang w:val="en-US" w:eastAsia="zh-CN"/>
        </w:rPr>
        <w:t>，如有现场进场作业工作，作业前前由甲方验证，若不能按时提供，无条件同意采购人取消</w:t>
      </w:r>
      <w:r>
        <w:rPr>
          <w:rFonts w:hint="eastAsia" w:ascii="宋体" w:hAnsi="宋体" w:eastAsia="宋体" w:cs="宋体"/>
          <w:bCs/>
          <w:color w:val="auto"/>
          <w:kern w:val="2"/>
          <w:sz w:val="24"/>
          <w:lang w:val="en-US" w:eastAsia="zh-CN" w:bidi="ar-SA"/>
        </w:rPr>
        <w:t>我单位</w:t>
      </w:r>
      <w:r>
        <w:rPr>
          <w:rFonts w:hint="eastAsia" w:ascii="宋体" w:hAnsi="宋体" w:eastAsia="宋体" w:cs="宋体"/>
          <w:bCs/>
          <w:color w:val="auto"/>
          <w:sz w:val="24"/>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kern w:val="2"/>
          <w:sz w:val="24"/>
          <w:lang w:val="en-US" w:eastAsia="zh-CN" w:bidi="ar-SA"/>
        </w:rPr>
        <w:t>4.</w:t>
      </w:r>
      <w:r>
        <w:rPr>
          <w:rFonts w:hint="eastAsia" w:ascii="宋体" w:hAnsi="宋体" w:eastAsia="宋体" w:cs="宋体"/>
          <w:bCs/>
          <w:color w:val="auto"/>
          <w:sz w:val="24"/>
          <w:lang w:val="en-US" w:eastAsia="zh-CN"/>
        </w:rPr>
        <w:t>项目履约过程中，质量、进度及安全严格按照采购文件要求执行，并自愿服从合同甲方监管，若出现不服从现场监管，无条件同意采购人取消</w:t>
      </w:r>
      <w:r>
        <w:rPr>
          <w:rFonts w:hint="eastAsia" w:ascii="宋体" w:hAnsi="宋体" w:eastAsia="宋体" w:cs="宋体"/>
          <w:bCs/>
          <w:color w:val="auto"/>
          <w:kern w:val="2"/>
          <w:sz w:val="24"/>
          <w:lang w:val="en-US" w:eastAsia="zh-CN" w:bidi="ar-SA"/>
        </w:rPr>
        <w:t>我单位</w:t>
      </w:r>
      <w:r>
        <w:rPr>
          <w:rFonts w:hint="eastAsia" w:ascii="宋体" w:hAnsi="宋体" w:eastAsia="宋体" w:cs="宋体"/>
          <w:bCs/>
          <w:color w:val="auto"/>
          <w:sz w:val="24"/>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5.如有现场服务作业，</w:t>
      </w:r>
      <w:r>
        <w:rPr>
          <w:rFonts w:hint="eastAsia" w:ascii="宋体" w:hAnsi="宋体" w:eastAsia="宋体" w:cs="宋体"/>
          <w:bCs/>
          <w:color w:val="auto"/>
          <w:sz w:val="24"/>
          <w:lang w:eastAsia="zh-CN"/>
        </w:rPr>
        <w:t>作业过程中如出现作业人员未有效佩戴现场安全防护必需的安全帽、安全绳、救生衣以及其他必需的作业防护等安全防护用品，发生不安全行为的，每出现一次，从</w:t>
      </w:r>
      <w:r>
        <w:rPr>
          <w:rFonts w:hint="eastAsia" w:ascii="宋体" w:hAnsi="宋体" w:eastAsia="宋体" w:cs="宋体"/>
          <w:bCs/>
          <w:color w:val="auto"/>
          <w:sz w:val="24"/>
          <w:lang w:val="en-US" w:eastAsia="zh-CN"/>
        </w:rPr>
        <w:t>项目</w:t>
      </w:r>
      <w:r>
        <w:rPr>
          <w:rFonts w:hint="eastAsia" w:ascii="宋体" w:hAnsi="宋体" w:eastAsia="宋体" w:cs="宋体"/>
          <w:bCs/>
          <w:color w:val="auto"/>
          <w:sz w:val="24"/>
          <w:lang w:eastAsia="zh-CN"/>
        </w:rPr>
        <w:t>结算价中自愿核减1000元，减完为止。</w:t>
      </w:r>
    </w:p>
    <w:p w14:paraId="214BD3DB">
      <w:pPr>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合同履约期间，</w:t>
      </w:r>
      <w:r>
        <w:rPr>
          <w:rFonts w:hint="eastAsia" w:ascii="宋体" w:hAnsi="宋体" w:eastAsia="宋体" w:cs="宋体"/>
          <w:bCs/>
          <w:color w:val="auto"/>
          <w:sz w:val="24"/>
          <w:lang w:val="en-US" w:eastAsia="zh-CN"/>
        </w:rPr>
        <w:t>所有项目</w:t>
      </w:r>
      <w:r>
        <w:rPr>
          <w:rFonts w:hint="eastAsia" w:ascii="宋体" w:hAnsi="宋体" w:eastAsia="宋体" w:cs="宋体"/>
          <w:bCs/>
          <w:color w:val="auto"/>
          <w:sz w:val="24"/>
        </w:rPr>
        <w:t>人员突发疾病、意外等造成的人员伤亡及财产损失均由</w:t>
      </w:r>
      <w:r>
        <w:rPr>
          <w:rFonts w:hint="eastAsia" w:ascii="宋体" w:hAnsi="宋体" w:eastAsia="宋体" w:cs="宋体"/>
          <w:bCs/>
          <w:color w:val="auto"/>
          <w:sz w:val="24"/>
          <w:lang w:val="en-US" w:eastAsia="zh-CN"/>
        </w:rPr>
        <w:t>我单位</w:t>
      </w:r>
      <w:r>
        <w:rPr>
          <w:rFonts w:hint="eastAsia" w:ascii="宋体" w:hAnsi="宋体" w:eastAsia="宋体" w:cs="宋体"/>
          <w:bCs/>
          <w:color w:val="auto"/>
          <w:sz w:val="24"/>
        </w:rPr>
        <w:t>负责</w:t>
      </w:r>
      <w:r>
        <w:rPr>
          <w:rFonts w:hint="eastAsia" w:ascii="宋体" w:hAnsi="宋体" w:eastAsia="宋体" w:cs="宋体"/>
          <w:bCs/>
          <w:color w:val="auto"/>
          <w:sz w:val="24"/>
          <w:lang w:val="en-US" w:eastAsia="zh-CN"/>
        </w:rPr>
        <w:t>承担，并全额赔偿因此给采购人或第三方造成的损失。</w:t>
      </w:r>
    </w:p>
    <w:p w14:paraId="4AE3DFB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7.</w:t>
      </w:r>
      <w:r>
        <w:rPr>
          <w:rFonts w:hint="eastAsia" w:ascii="宋体" w:hAnsi="宋体" w:eastAsia="宋体" w:cs="宋体"/>
          <w:bCs/>
          <w:color w:val="auto"/>
          <w:sz w:val="24"/>
        </w:rPr>
        <w:t>在项目发生投诉、信访举报案件、履约存在争议时，拒绝协助配合调查的，无条件同意采购人取消</w:t>
      </w:r>
      <w:r>
        <w:rPr>
          <w:rFonts w:hint="eastAsia" w:ascii="宋体" w:hAnsi="宋体" w:eastAsia="宋体" w:cs="宋体"/>
          <w:bCs/>
          <w:color w:val="auto"/>
          <w:kern w:val="2"/>
          <w:sz w:val="24"/>
          <w:lang w:val="en-US" w:eastAsia="zh-CN" w:bidi="ar-SA"/>
        </w:rPr>
        <w:t>我单位</w:t>
      </w:r>
      <w:r>
        <w:rPr>
          <w:rFonts w:hint="eastAsia" w:ascii="宋体" w:hAnsi="宋体" w:eastAsia="宋体" w:cs="宋体"/>
          <w:bCs/>
          <w:color w:val="auto"/>
          <w:sz w:val="24"/>
        </w:rPr>
        <w:t>成交资格或</w:t>
      </w:r>
      <w:r>
        <w:rPr>
          <w:rFonts w:hint="eastAsia" w:ascii="宋体" w:hAnsi="宋体" w:eastAsia="宋体" w:cs="宋体"/>
          <w:bCs/>
          <w:color w:val="auto"/>
          <w:sz w:val="24"/>
          <w:lang w:eastAsia="zh-CN"/>
        </w:rPr>
        <w:t>合同甲方解除合同</w:t>
      </w:r>
      <w:r>
        <w:rPr>
          <w:rFonts w:hint="eastAsia" w:ascii="宋体" w:hAnsi="宋体" w:eastAsia="宋体" w:cs="宋体"/>
          <w:bCs/>
          <w:color w:val="auto"/>
          <w:sz w:val="24"/>
        </w:rPr>
        <w:t>，并愿意承担因此造成的一切损失和处罚，包括但不限于信用惩戒、限制响应资格等。</w:t>
      </w:r>
    </w:p>
    <w:p w14:paraId="43E79D42">
      <w:pPr>
        <w:spacing w:line="360" w:lineRule="auto"/>
        <w:ind w:firstLine="480" w:firstLineChars="200"/>
        <w:rPr>
          <w:rFonts w:hint="eastAsia" w:ascii="宋体" w:hAnsi="宋体" w:eastAsia="宋体" w:cs="宋体"/>
          <w:bCs/>
          <w:sz w:val="24"/>
        </w:rPr>
      </w:pPr>
    </w:p>
    <w:p w14:paraId="6423963C">
      <w:pPr>
        <w:spacing w:line="360" w:lineRule="auto"/>
        <w:rPr>
          <w:rFonts w:hint="eastAsia" w:ascii="宋体" w:hAnsi="宋体" w:eastAsia="宋体" w:cs="宋体"/>
          <w:bCs/>
          <w:sz w:val="24"/>
        </w:rPr>
      </w:pPr>
    </w:p>
    <w:p w14:paraId="44475988">
      <w:pPr>
        <w:spacing w:line="360" w:lineRule="auto"/>
        <w:rPr>
          <w:rFonts w:hint="eastAsia" w:ascii="宋体" w:hAnsi="宋体" w:eastAsia="宋体" w:cs="宋体"/>
          <w:bCs/>
          <w:sz w:val="24"/>
        </w:rPr>
      </w:pPr>
    </w:p>
    <w:p w14:paraId="0042992A">
      <w:pPr>
        <w:spacing w:line="360" w:lineRule="auto"/>
        <w:ind w:firstLine="4320" w:firstLineChars="1800"/>
        <w:rPr>
          <w:rFonts w:hint="eastAsia" w:ascii="宋体" w:hAnsi="宋体" w:eastAsia="宋体" w:cs="宋体"/>
          <w:bCs/>
          <w:sz w:val="24"/>
          <w:u w:val="single"/>
        </w:rPr>
      </w:pPr>
      <w:r>
        <w:rPr>
          <w:rFonts w:hint="eastAsia" w:ascii="宋体" w:hAnsi="宋体" w:eastAsia="宋体" w:cs="宋体"/>
          <w:bCs/>
          <w:sz w:val="24"/>
        </w:rPr>
        <w:t>供应商电子签章：</w:t>
      </w:r>
      <w:r>
        <w:rPr>
          <w:rFonts w:hint="eastAsia" w:ascii="宋体" w:hAnsi="宋体" w:eastAsia="宋体" w:cs="宋体"/>
          <w:bCs/>
          <w:sz w:val="24"/>
          <w:u w:val="single"/>
        </w:rPr>
        <w:t xml:space="preserve">             </w:t>
      </w:r>
    </w:p>
    <w:p w14:paraId="15FAA32C">
      <w:pPr>
        <w:spacing w:line="360" w:lineRule="auto"/>
        <w:ind w:firstLine="4320" w:firstLineChars="1800"/>
        <w:rPr>
          <w:rFonts w:hint="eastAsia"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bCs/>
          <w:sz w:val="24"/>
          <w:u w:val="single"/>
        </w:rPr>
        <w:t xml:space="preserve">             </w:t>
      </w:r>
    </w:p>
    <w:p w14:paraId="4B528A54">
      <w:pPr>
        <w:widowControl/>
        <w:jc w:val="left"/>
        <w:rPr>
          <w:rFonts w:hint="eastAsia" w:ascii="宋体" w:hAnsi="宋体" w:eastAsia="宋体" w:cs="宋体"/>
          <w:b/>
          <w:sz w:val="24"/>
        </w:rPr>
      </w:pPr>
      <w:r>
        <w:rPr>
          <w:rFonts w:hint="eastAsia" w:ascii="宋体" w:hAnsi="宋体" w:eastAsia="宋体" w:cs="宋体"/>
          <w:b/>
          <w:sz w:val="24"/>
        </w:rPr>
        <w:br w:type="page"/>
      </w:r>
    </w:p>
    <w:p w14:paraId="38919B54">
      <w:pPr>
        <w:spacing w:line="360" w:lineRule="auto"/>
        <w:jc w:val="center"/>
        <w:outlineLvl w:val="1"/>
        <w:rPr>
          <w:rFonts w:hint="eastAsia" w:ascii="宋体" w:hAnsi="宋体" w:eastAsia="宋体" w:cs="宋体"/>
          <w:b/>
          <w:sz w:val="24"/>
        </w:rPr>
      </w:pPr>
      <w:bookmarkStart w:id="208" w:name="_Toc7807"/>
      <w:bookmarkStart w:id="209" w:name="_Toc3826"/>
      <w:r>
        <w:rPr>
          <w:rFonts w:hint="eastAsia" w:ascii="宋体" w:hAnsi="宋体" w:eastAsia="宋体" w:cs="宋体"/>
          <w:b/>
          <w:sz w:val="24"/>
          <w:lang w:val="en-US" w:eastAsia="zh-CN"/>
        </w:rPr>
        <w:t>九</w:t>
      </w:r>
      <w:r>
        <w:rPr>
          <w:rFonts w:hint="eastAsia" w:ascii="宋体" w:hAnsi="宋体" w:eastAsia="宋体" w:cs="宋体"/>
          <w:b/>
          <w:sz w:val="24"/>
        </w:rPr>
        <w:t>、其他相关证明材料</w:t>
      </w:r>
      <w:bookmarkEnd w:id="208"/>
      <w:bookmarkEnd w:id="209"/>
    </w:p>
    <w:p w14:paraId="4500B743">
      <w:pPr>
        <w:tabs>
          <w:tab w:val="left" w:pos="4620"/>
        </w:tabs>
        <w:spacing w:line="360" w:lineRule="auto"/>
        <w:ind w:firstLine="480" w:firstLineChars="200"/>
        <w:rPr>
          <w:rFonts w:hint="eastAsia" w:ascii="宋体" w:hAnsi="宋体" w:eastAsia="宋体" w:cs="宋体"/>
          <w:sz w:val="24"/>
        </w:rPr>
      </w:pPr>
      <w:r>
        <w:rPr>
          <w:rFonts w:hint="eastAsia" w:ascii="宋体" w:hAnsi="宋体" w:eastAsia="宋体" w:cs="宋体"/>
          <w:sz w:val="24"/>
        </w:rPr>
        <w:t>提供符合磋商邀请、采购需求及评审方法和标准规定的相关证明文件。</w:t>
      </w:r>
    </w:p>
    <w:p w14:paraId="478365B3">
      <w:pPr>
        <w:spacing w:line="360" w:lineRule="auto"/>
        <w:ind w:firstLine="435"/>
        <w:rPr>
          <w:rFonts w:hint="eastAsia" w:ascii="宋体" w:hAnsi="宋体" w:eastAsia="宋体" w:cs="宋体"/>
          <w:sz w:val="24"/>
        </w:rPr>
      </w:pPr>
    </w:p>
    <w:p w14:paraId="16E14E22">
      <w:pPr>
        <w:spacing w:line="360" w:lineRule="auto"/>
        <w:ind w:firstLine="480" w:firstLineChars="200"/>
        <w:rPr>
          <w:rFonts w:hint="eastAsia" w:ascii="宋体" w:hAnsi="宋体" w:eastAsia="宋体" w:cs="宋体"/>
          <w:sz w:val="24"/>
        </w:rPr>
      </w:pPr>
    </w:p>
    <w:p w14:paraId="5C7F3A7A">
      <w:pPr>
        <w:spacing w:line="360" w:lineRule="auto"/>
        <w:ind w:firstLine="435"/>
        <w:rPr>
          <w:rFonts w:hint="eastAsia" w:ascii="宋体" w:hAnsi="宋体" w:eastAsia="宋体" w:cs="宋体"/>
          <w:b/>
          <w:sz w:val="24"/>
        </w:rPr>
      </w:pPr>
      <w:r>
        <w:rPr>
          <w:rFonts w:hint="eastAsia" w:ascii="宋体" w:hAnsi="宋体" w:eastAsia="宋体" w:cs="宋体"/>
          <w:b/>
          <w:sz w:val="24"/>
        </w:rPr>
        <w:t>特别提示：</w:t>
      </w:r>
    </w:p>
    <w:p w14:paraId="17F34924">
      <w:pPr>
        <w:spacing w:line="360" w:lineRule="auto"/>
        <w:ind w:firstLine="435"/>
        <w:rPr>
          <w:rFonts w:hint="eastAsia" w:ascii="宋体" w:hAnsi="宋体" w:eastAsia="宋体" w:cs="宋体"/>
          <w:b/>
          <w:sz w:val="24"/>
        </w:rPr>
      </w:pPr>
      <w:r>
        <w:rPr>
          <w:rFonts w:hint="eastAsia" w:ascii="宋体" w:hAnsi="宋体" w:eastAsia="宋体" w:cs="宋体"/>
          <w:sz w:val="24"/>
        </w:rPr>
        <w:t>供应商在响应文件制作时可在此栏内上传磋商文件要求上传的证明资料，如营业执照、证书等，应将上述证明材料制作成扫描件上传。</w:t>
      </w:r>
    </w:p>
    <w:p w14:paraId="6B49B65A">
      <w:pPr>
        <w:spacing w:line="360" w:lineRule="auto"/>
        <w:jc w:val="center"/>
        <w:rPr>
          <w:rFonts w:hint="eastAsia" w:ascii="宋体" w:hAnsi="宋体" w:eastAsia="宋体" w:cs="宋体"/>
          <w:b/>
          <w:sz w:val="24"/>
        </w:rPr>
      </w:pPr>
    </w:p>
    <w:p w14:paraId="05E59774">
      <w:pPr>
        <w:widowControl/>
        <w:jc w:val="left"/>
        <w:rPr>
          <w:rFonts w:hint="eastAsia" w:ascii="宋体" w:hAnsi="宋体" w:eastAsia="宋体" w:cs="宋体"/>
          <w:bCs/>
          <w:sz w:val="24"/>
        </w:rPr>
      </w:pPr>
      <w:r>
        <w:rPr>
          <w:rFonts w:hint="eastAsia" w:ascii="宋体" w:hAnsi="宋体" w:eastAsia="宋体" w:cs="宋体"/>
          <w:sz w:val="24"/>
        </w:rPr>
        <w:br w:type="page"/>
      </w:r>
    </w:p>
    <w:p w14:paraId="53F00140">
      <w:pPr>
        <w:spacing w:line="360" w:lineRule="auto"/>
        <w:jc w:val="center"/>
        <w:outlineLvl w:val="0"/>
        <w:rPr>
          <w:rFonts w:hint="eastAsia" w:ascii="宋体" w:hAnsi="宋体" w:eastAsia="宋体" w:cs="宋体"/>
          <w:b/>
          <w:bCs/>
          <w:sz w:val="28"/>
        </w:rPr>
      </w:pPr>
      <w:bookmarkStart w:id="210" w:name="_Toc63440924"/>
      <w:bookmarkStart w:id="211" w:name="_Toc19418"/>
      <w:r>
        <w:rPr>
          <w:rFonts w:hint="eastAsia" w:ascii="宋体" w:hAnsi="宋体" w:eastAsia="宋体" w:cs="宋体"/>
          <w:b/>
          <w:bCs/>
          <w:sz w:val="28"/>
        </w:rPr>
        <w:t>第七章  政府采购</w:t>
      </w:r>
      <w:bookmarkEnd w:id="210"/>
      <w:r>
        <w:rPr>
          <w:rFonts w:hint="eastAsia" w:ascii="宋体" w:hAnsi="宋体" w:eastAsia="宋体" w:cs="宋体"/>
          <w:b/>
          <w:sz w:val="28"/>
        </w:rPr>
        <w:t>供应</w:t>
      </w:r>
      <w:r>
        <w:rPr>
          <w:rFonts w:hint="eastAsia" w:ascii="宋体" w:hAnsi="宋体" w:eastAsia="宋体" w:cs="宋体"/>
          <w:b/>
          <w:bCs/>
          <w:sz w:val="28"/>
        </w:rPr>
        <w:t>商询问函和质疑函范本</w:t>
      </w:r>
      <w:bookmarkEnd w:id="211"/>
    </w:p>
    <w:p w14:paraId="396CD25C">
      <w:pPr>
        <w:spacing w:line="360" w:lineRule="auto"/>
        <w:jc w:val="center"/>
        <w:rPr>
          <w:rFonts w:hint="eastAsia" w:ascii="宋体" w:hAnsi="宋体" w:eastAsia="宋体" w:cs="宋体"/>
          <w:b/>
          <w:bCs/>
          <w:sz w:val="32"/>
          <w:szCs w:val="44"/>
        </w:rPr>
      </w:pPr>
      <w:bookmarkStart w:id="212" w:name="_Toc2142"/>
      <w:bookmarkStart w:id="213" w:name="_Toc8735"/>
      <w:r>
        <w:rPr>
          <w:rFonts w:hint="eastAsia" w:ascii="宋体" w:hAnsi="宋体" w:eastAsia="宋体" w:cs="宋体"/>
          <w:b/>
          <w:bCs/>
          <w:sz w:val="32"/>
          <w:szCs w:val="44"/>
        </w:rPr>
        <w:t>询问函范本</w:t>
      </w:r>
      <w:bookmarkEnd w:id="212"/>
      <w:bookmarkEnd w:id="213"/>
    </w:p>
    <w:p w14:paraId="1ECEF2A8">
      <w:pPr>
        <w:adjustRightInd w:val="0"/>
        <w:snapToGrid w:val="0"/>
        <w:spacing w:line="360" w:lineRule="auto"/>
        <w:ind w:firstLine="480" w:firstLineChars="200"/>
        <w:jc w:val="center"/>
        <w:rPr>
          <w:rFonts w:hint="eastAsia" w:ascii="宋体" w:hAnsi="宋体" w:eastAsia="宋体" w:cs="宋体"/>
          <w:b/>
          <w:bCs/>
          <w:sz w:val="32"/>
          <w:szCs w:val="44"/>
        </w:rPr>
      </w:pPr>
      <w:r>
        <w:rPr>
          <w:rFonts w:hint="eastAsia" w:ascii="宋体" w:hAnsi="宋体" w:eastAsia="宋体" w:cs="宋体"/>
          <w:i/>
          <w:iCs/>
          <w:sz w:val="24"/>
          <w:szCs w:val="24"/>
        </w:rPr>
        <w:t>（如为对采购文件或采购程序的询问或疑问，请按询问函范本或电子交易系统中网上询问格式附件进行提交）</w:t>
      </w:r>
    </w:p>
    <w:p w14:paraId="043FEBB4">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致：采购人</w:t>
      </w:r>
    </w:p>
    <w:p w14:paraId="2342159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我单位拟参与</w:t>
      </w:r>
      <w:r>
        <w:rPr>
          <w:rFonts w:hint="eastAsia" w:ascii="宋体" w:hAnsi="宋体" w:eastAsia="宋体" w:cs="宋体"/>
          <w:sz w:val="24"/>
          <w:szCs w:val="24"/>
          <w:u w:val="single"/>
        </w:rPr>
        <w:t xml:space="preserve">             </w:t>
      </w:r>
      <w:r>
        <w:rPr>
          <w:rFonts w:hint="eastAsia" w:ascii="宋体" w:hAnsi="宋体" w:eastAsia="宋体" w:cs="宋体"/>
          <w:i/>
          <w:iCs/>
          <w:sz w:val="24"/>
          <w:szCs w:val="24"/>
        </w:rPr>
        <w:t>（项目名称、编号)</w:t>
      </w:r>
      <w:r>
        <w:rPr>
          <w:rFonts w:hint="eastAsia" w:ascii="宋体" w:hAnsi="宋体" w:eastAsia="宋体" w:cs="宋体"/>
          <w:sz w:val="24"/>
          <w:szCs w:val="24"/>
        </w:rPr>
        <w:t>的采购活动，现有以下内容(或条款)存在疑问(或无法理解)，特提出询问。</w:t>
      </w:r>
    </w:p>
    <w:p w14:paraId="3943C482">
      <w:pPr>
        <w:adjustRightInd w:val="0"/>
        <w:snapToGrid w:val="0"/>
        <w:spacing w:line="360" w:lineRule="auto"/>
        <w:ind w:firstLine="480" w:firstLineChars="200"/>
        <w:rPr>
          <w:rFonts w:hint="eastAsia" w:ascii="宋体" w:hAnsi="宋体" w:eastAsia="宋体" w:cs="宋体"/>
          <w:sz w:val="24"/>
          <w:szCs w:val="24"/>
        </w:rPr>
      </w:pPr>
      <w:bookmarkStart w:id="214" w:name="_Toc9092"/>
      <w:bookmarkStart w:id="215" w:name="_Toc26386"/>
      <w:r>
        <w:rPr>
          <w:rFonts w:hint="eastAsia" w:ascii="宋体" w:hAnsi="宋体" w:eastAsia="宋体" w:cs="宋体"/>
          <w:sz w:val="24"/>
          <w:szCs w:val="24"/>
        </w:rPr>
        <w:t>一、(事项一)</w:t>
      </w:r>
      <w:bookmarkEnd w:id="214"/>
      <w:bookmarkEnd w:id="215"/>
    </w:p>
    <w:p w14:paraId="77D689F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1、(内容或条款)</w:t>
      </w:r>
    </w:p>
    <w:p w14:paraId="7C77A14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2、(说明疑问或无法理解原因)</w:t>
      </w:r>
    </w:p>
    <w:p w14:paraId="1473AF1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3、(建议)</w:t>
      </w:r>
    </w:p>
    <w:p w14:paraId="350FB32F">
      <w:pPr>
        <w:adjustRightInd w:val="0"/>
        <w:snapToGrid w:val="0"/>
        <w:spacing w:line="360" w:lineRule="auto"/>
        <w:ind w:firstLine="480" w:firstLineChars="200"/>
        <w:rPr>
          <w:rFonts w:hint="eastAsia" w:ascii="宋体" w:hAnsi="宋体" w:eastAsia="宋体" w:cs="宋体"/>
          <w:sz w:val="24"/>
          <w:szCs w:val="24"/>
        </w:rPr>
      </w:pPr>
      <w:bookmarkStart w:id="216" w:name="_Toc17582"/>
      <w:bookmarkStart w:id="217" w:name="_Toc9273"/>
      <w:r>
        <w:rPr>
          <w:rFonts w:hint="eastAsia" w:ascii="宋体" w:hAnsi="宋体" w:eastAsia="宋体" w:cs="宋体"/>
          <w:sz w:val="24"/>
          <w:szCs w:val="24"/>
        </w:rPr>
        <w:t>二、(事项二)</w:t>
      </w:r>
      <w:bookmarkEnd w:id="216"/>
      <w:bookmarkEnd w:id="217"/>
    </w:p>
    <w:p w14:paraId="3659D8A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FD982E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随附相关证明材料如下： </w:t>
      </w:r>
    </w:p>
    <w:p w14:paraId="46803BB3">
      <w:pPr>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联 系 人：</w:t>
      </w:r>
      <w:r>
        <w:rPr>
          <w:rFonts w:hint="eastAsia" w:ascii="宋体" w:hAnsi="宋体" w:eastAsia="宋体" w:cs="宋体"/>
          <w:sz w:val="24"/>
          <w:u w:val="single"/>
        </w:rPr>
        <w:t xml:space="preserve">              </w:t>
      </w:r>
    </w:p>
    <w:p w14:paraId="407F230F">
      <w:pPr>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6870D8E7">
      <w:pPr>
        <w:tabs>
          <w:tab w:val="left" w:pos="630"/>
        </w:tabs>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4C3E09AF">
      <w:pPr>
        <w:rPr>
          <w:rFonts w:hint="eastAsia" w:ascii="宋体" w:hAnsi="宋体" w:eastAsia="宋体" w:cs="宋体"/>
          <w:b/>
          <w:sz w:val="52"/>
        </w:rPr>
      </w:pPr>
      <w:r>
        <w:rPr>
          <w:rFonts w:hint="eastAsia" w:ascii="宋体" w:hAnsi="宋体" w:eastAsia="宋体" w:cs="宋体"/>
          <w:b/>
          <w:bCs/>
          <w:sz w:val="32"/>
          <w:szCs w:val="44"/>
        </w:rPr>
        <w:br w:type="page"/>
      </w:r>
    </w:p>
    <w:p w14:paraId="03064A68">
      <w:pPr>
        <w:jc w:val="center"/>
        <w:rPr>
          <w:rFonts w:hint="eastAsia" w:ascii="宋体" w:hAnsi="宋体" w:eastAsia="宋体" w:cs="宋体"/>
          <w:b/>
          <w:bCs/>
          <w:sz w:val="32"/>
          <w:szCs w:val="44"/>
        </w:rPr>
      </w:pPr>
      <w:bookmarkStart w:id="218" w:name="_Toc6990"/>
      <w:bookmarkStart w:id="219" w:name="_Toc26673"/>
      <w:r>
        <w:rPr>
          <w:rFonts w:hint="eastAsia" w:ascii="宋体" w:hAnsi="宋体" w:eastAsia="宋体" w:cs="宋体"/>
          <w:b/>
          <w:bCs/>
          <w:sz w:val="32"/>
          <w:szCs w:val="44"/>
        </w:rPr>
        <w:t>质疑函范本</w:t>
      </w:r>
      <w:bookmarkEnd w:id="218"/>
      <w:bookmarkEnd w:id="219"/>
    </w:p>
    <w:p w14:paraId="2361245E">
      <w:pPr>
        <w:adjustRightInd w:val="0"/>
        <w:snapToGrid w:val="0"/>
        <w:spacing w:before="312" w:beforeLines="100" w:line="360" w:lineRule="auto"/>
        <w:rPr>
          <w:rFonts w:hint="eastAsia" w:ascii="宋体" w:hAnsi="宋体" w:eastAsia="宋体" w:cs="宋体"/>
          <w:b/>
          <w:bCs/>
          <w:sz w:val="24"/>
          <w:szCs w:val="24"/>
        </w:rPr>
      </w:pPr>
      <w:bookmarkStart w:id="220" w:name="_Toc29510"/>
      <w:bookmarkStart w:id="221" w:name="_Toc2994"/>
      <w:r>
        <w:rPr>
          <w:rFonts w:hint="eastAsia" w:ascii="宋体" w:hAnsi="宋体" w:eastAsia="宋体" w:cs="宋体"/>
          <w:b/>
          <w:bCs/>
          <w:sz w:val="24"/>
          <w:szCs w:val="24"/>
        </w:rPr>
        <w:t>一、质疑供应商基本信息</w:t>
      </w:r>
      <w:bookmarkEnd w:id="220"/>
      <w:bookmarkEnd w:id="221"/>
    </w:p>
    <w:p w14:paraId="60BCE08C">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14:paraId="48FF46C2">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044A498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30F3C411">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14:paraId="12B59BF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5C2D19C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49422F2C">
      <w:pPr>
        <w:adjustRightInd w:val="0"/>
        <w:snapToGrid w:val="0"/>
        <w:spacing w:line="360" w:lineRule="auto"/>
        <w:rPr>
          <w:rFonts w:hint="eastAsia" w:ascii="宋体" w:hAnsi="宋体" w:eastAsia="宋体" w:cs="宋体"/>
          <w:b/>
          <w:bCs/>
          <w:sz w:val="24"/>
          <w:szCs w:val="24"/>
        </w:rPr>
      </w:pPr>
      <w:bookmarkStart w:id="222" w:name="_Toc31042"/>
      <w:bookmarkStart w:id="223" w:name="_Toc28130"/>
      <w:r>
        <w:rPr>
          <w:rFonts w:hint="eastAsia" w:ascii="宋体" w:hAnsi="宋体" w:eastAsia="宋体" w:cs="宋体"/>
          <w:b/>
          <w:bCs/>
          <w:sz w:val="24"/>
          <w:szCs w:val="24"/>
        </w:rPr>
        <w:t>二、质疑项目基本情况</w:t>
      </w:r>
      <w:bookmarkEnd w:id="222"/>
      <w:bookmarkEnd w:id="223"/>
    </w:p>
    <w:p w14:paraId="0B1882F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14:paraId="4664878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14:paraId="19B14647">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14:paraId="40E1D6A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14:paraId="32F49BBC">
      <w:pPr>
        <w:adjustRightInd w:val="0"/>
        <w:snapToGrid w:val="0"/>
        <w:spacing w:line="360" w:lineRule="auto"/>
        <w:rPr>
          <w:rFonts w:hint="eastAsia" w:ascii="宋体" w:hAnsi="宋体" w:eastAsia="宋体" w:cs="宋体"/>
          <w:b/>
          <w:bCs/>
          <w:sz w:val="24"/>
          <w:szCs w:val="24"/>
        </w:rPr>
      </w:pPr>
      <w:bookmarkStart w:id="224" w:name="_Toc6486"/>
      <w:bookmarkStart w:id="225" w:name="_Toc20587"/>
      <w:r>
        <w:rPr>
          <w:rFonts w:hint="eastAsia" w:ascii="宋体" w:hAnsi="宋体" w:eastAsia="宋体" w:cs="宋体"/>
          <w:b/>
          <w:bCs/>
          <w:sz w:val="24"/>
          <w:szCs w:val="24"/>
        </w:rPr>
        <w:t>三、质疑事项具体内容</w:t>
      </w:r>
      <w:bookmarkEnd w:id="224"/>
      <w:bookmarkEnd w:id="225"/>
    </w:p>
    <w:p w14:paraId="6D0757AE">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14:paraId="4DBBACFD">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33E84CA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14:paraId="71D0E42D">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75CE7FD1">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14:paraId="0E0A5D4E">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14:paraId="3EAA2DD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21AE376D">
      <w:pPr>
        <w:adjustRightInd w:val="0"/>
        <w:snapToGrid w:val="0"/>
        <w:spacing w:line="360" w:lineRule="auto"/>
        <w:rPr>
          <w:rFonts w:hint="eastAsia" w:ascii="宋体" w:hAnsi="宋体" w:eastAsia="宋体" w:cs="宋体"/>
          <w:b/>
          <w:bCs/>
          <w:sz w:val="24"/>
          <w:szCs w:val="24"/>
        </w:rPr>
      </w:pPr>
      <w:bookmarkStart w:id="226" w:name="_Toc20470"/>
      <w:bookmarkStart w:id="227" w:name="_Toc32755"/>
      <w:r>
        <w:rPr>
          <w:rFonts w:hint="eastAsia" w:ascii="宋体" w:hAnsi="宋体" w:eastAsia="宋体" w:cs="宋体"/>
          <w:b/>
          <w:bCs/>
          <w:sz w:val="24"/>
          <w:szCs w:val="24"/>
        </w:rPr>
        <w:t>四、与质疑事项相关的质疑请求</w:t>
      </w:r>
      <w:bookmarkEnd w:id="226"/>
      <w:bookmarkEnd w:id="227"/>
    </w:p>
    <w:p w14:paraId="339116A8">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14:paraId="601EFE8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20165BA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14:paraId="14C7DA43">
      <w:pPr>
        <w:widowControl/>
        <w:jc w:val="left"/>
        <w:rPr>
          <w:rFonts w:hint="eastAsia" w:ascii="宋体" w:hAnsi="宋体" w:eastAsia="宋体" w:cs="宋体"/>
          <w:sz w:val="32"/>
          <w:szCs w:val="32"/>
        </w:rPr>
      </w:pPr>
      <w:r>
        <w:rPr>
          <w:rFonts w:hint="eastAsia" w:ascii="宋体" w:hAnsi="宋体" w:eastAsia="宋体" w:cs="宋体"/>
          <w:sz w:val="32"/>
          <w:szCs w:val="32"/>
        </w:rPr>
        <w:br w:type="page"/>
      </w:r>
    </w:p>
    <w:p w14:paraId="520CEAB8">
      <w:pPr>
        <w:rPr>
          <w:rFonts w:hint="eastAsia" w:ascii="宋体" w:hAnsi="宋体" w:eastAsia="宋体" w:cs="宋体"/>
          <w:b/>
          <w:sz w:val="28"/>
          <w:szCs w:val="32"/>
        </w:rPr>
      </w:pPr>
      <w:bookmarkStart w:id="228" w:name="_Toc8368"/>
      <w:bookmarkStart w:id="229" w:name="_Toc21667"/>
      <w:r>
        <w:rPr>
          <w:rFonts w:hint="eastAsia" w:ascii="宋体" w:hAnsi="宋体" w:eastAsia="宋体" w:cs="宋体"/>
          <w:b/>
          <w:sz w:val="28"/>
          <w:szCs w:val="32"/>
        </w:rPr>
        <w:t>质疑函制作说明：</w:t>
      </w:r>
      <w:bookmarkEnd w:id="228"/>
      <w:bookmarkEnd w:id="229"/>
    </w:p>
    <w:p w14:paraId="54957F64">
      <w:pPr>
        <w:spacing w:line="360" w:lineRule="auto"/>
        <w:ind w:firstLine="435"/>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06450469">
      <w:pPr>
        <w:spacing w:line="360" w:lineRule="auto"/>
        <w:ind w:firstLine="435"/>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0C6E4E5">
      <w:pPr>
        <w:spacing w:line="360" w:lineRule="auto"/>
        <w:ind w:firstLine="435"/>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0947FA3D">
      <w:pPr>
        <w:spacing w:line="360" w:lineRule="auto"/>
        <w:ind w:firstLine="435"/>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2957AFDB">
      <w:pPr>
        <w:spacing w:line="360" w:lineRule="auto"/>
        <w:ind w:firstLine="435"/>
        <w:rPr>
          <w:rFonts w:hint="eastAsia" w:ascii="宋体" w:hAnsi="宋体" w:eastAsia="宋体" w:cs="宋体"/>
          <w:sz w:val="24"/>
        </w:rPr>
      </w:pPr>
      <w:r>
        <w:rPr>
          <w:rFonts w:hint="eastAsia" w:ascii="宋体" w:hAnsi="宋体" w:eastAsia="宋体" w:cs="宋体"/>
          <w:sz w:val="24"/>
        </w:rPr>
        <w:t>5.质疑函的质疑请求应与质疑事项相关。</w:t>
      </w:r>
    </w:p>
    <w:p w14:paraId="24023928">
      <w:pPr>
        <w:spacing w:line="360" w:lineRule="auto"/>
        <w:ind w:firstLine="435"/>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C654">
    <w:pPr>
      <w:pStyle w:val="14"/>
      <w:jc w:val="center"/>
      <w:rPr>
        <w:rFonts w:hint="default" w:eastAsia="@仿宋_GB2312"/>
        <w:lang w:val="en-US" w:eastAsia="zh-CN"/>
      </w:rPr>
    </w:pP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931F">
    <w:pPr>
      <w:pStyle w:val="14"/>
      <w:jc w:val="center"/>
      <w:rPr>
        <w:rFonts w:hint="default" w:eastAsia="@仿宋_GB2312"/>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CAEA7">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ACAEA7">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173F">
    <w:pPr>
      <w:pStyle w:val="14"/>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6F629">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86F629">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23A2">
    <w:pPr>
      <w:pStyle w:val="14"/>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EB52C">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BEB52C">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C6512">
    <w:pPr>
      <w:pStyle w:val="16"/>
      <w:jc w:val="left"/>
      <w:rPr>
        <w:rFonts w:hint="eastAsia" w:ascii="宋体" w:hAnsi="宋体" w:eastAsia="宋体" w:cs="宋体"/>
        <w:lang w:eastAsia="zh-CN"/>
      </w:rPr>
    </w:pPr>
    <w:r>
      <w:rPr>
        <w:rFonts w:hint="eastAsia" w:ascii="宋体" w:hAnsi="宋体" w:eastAsia="宋体" w:cs="宋体"/>
        <w:lang w:val="en-US" w:eastAsia="zh-CN"/>
      </w:rPr>
      <w:t>安徽省淮河河道管理局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2E53">
    <w:pPr>
      <w:pStyle w:val="16"/>
      <w:jc w:val="left"/>
      <w:rPr>
        <w:rFonts w:hint="default" w:ascii="宋体" w:hAnsi="宋体" w:eastAsia="宋体" w:cs="宋体"/>
        <w:lang w:val="en-US" w:eastAsia="zh-CN"/>
      </w:rPr>
    </w:pPr>
    <w:r>
      <w:rPr>
        <w:rFonts w:hint="eastAsia" w:ascii="宋体" w:hAnsi="宋体" w:eastAsia="宋体" w:cs="宋体"/>
        <w:lang w:val="en-US" w:eastAsia="zh-CN"/>
      </w:rPr>
      <w:t>安徽省淮河河道管理局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35F02"/>
    <w:multiLevelType w:val="singleLevel"/>
    <w:tmpl w:val="93635F02"/>
    <w:lvl w:ilvl="0" w:tentative="0">
      <w:start w:val="3"/>
      <w:numFmt w:val="decimal"/>
      <w:lvlText w:val="%1."/>
      <w:lvlJc w:val="left"/>
      <w:pPr>
        <w:tabs>
          <w:tab w:val="left" w:pos="312"/>
        </w:tabs>
      </w:pPr>
    </w:lvl>
  </w:abstractNum>
  <w:abstractNum w:abstractNumId="1">
    <w:nsid w:val="A5C35486"/>
    <w:multiLevelType w:val="singleLevel"/>
    <w:tmpl w:val="A5C35486"/>
    <w:lvl w:ilvl="0" w:tentative="0">
      <w:start w:val="7"/>
      <w:numFmt w:val="chineseCounting"/>
      <w:suff w:val="nothing"/>
      <w:lvlText w:val="%1、"/>
      <w:lvlJc w:val="left"/>
      <w:rPr>
        <w:rFonts w:hint="eastAsia"/>
      </w:rPr>
    </w:lvl>
  </w:abstractNum>
  <w:abstractNum w:abstractNumId="2">
    <w:nsid w:val="C24A6640"/>
    <w:multiLevelType w:val="singleLevel"/>
    <w:tmpl w:val="C24A6640"/>
    <w:lvl w:ilvl="0" w:tentative="0">
      <w:start w:val="6"/>
      <w:numFmt w:val="decimal"/>
      <w:suff w:val="nothing"/>
      <w:lvlText w:val="（%1）"/>
      <w:lvlJc w:val="left"/>
    </w:lvl>
  </w:abstractNum>
  <w:abstractNum w:abstractNumId="3">
    <w:nsid w:val="D79A46E3"/>
    <w:multiLevelType w:val="singleLevel"/>
    <w:tmpl w:val="D79A46E3"/>
    <w:lvl w:ilvl="0" w:tentative="0">
      <w:start w:val="7"/>
      <w:numFmt w:val="decimal"/>
      <w:lvlText w:val="%1."/>
      <w:lvlJc w:val="left"/>
      <w:pPr>
        <w:tabs>
          <w:tab w:val="left" w:pos="312"/>
        </w:tabs>
      </w:pPr>
    </w:lvl>
  </w:abstractNum>
  <w:abstractNum w:abstractNumId="4">
    <w:nsid w:val="15E096DC"/>
    <w:multiLevelType w:val="singleLevel"/>
    <w:tmpl w:val="15E096DC"/>
    <w:lvl w:ilvl="0" w:tentative="0">
      <w:start w:val="1"/>
      <w:numFmt w:val="decimal"/>
      <w:suff w:val="nothing"/>
      <w:lvlText w:val="（%1）"/>
      <w:lvlJc w:val="left"/>
    </w:lvl>
  </w:abstractNum>
  <w:abstractNum w:abstractNumId="5">
    <w:nsid w:val="4482DDAA"/>
    <w:multiLevelType w:val="singleLevel"/>
    <w:tmpl w:val="4482DDAA"/>
    <w:lvl w:ilvl="0" w:tentative="0">
      <w:start w:val="1"/>
      <w:numFmt w:val="decimal"/>
      <w:suff w:val="nothing"/>
      <w:lvlText w:val="（%1）"/>
      <w:lvlJc w:val="left"/>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A1"/>
    <w:rsid w:val="0000043F"/>
    <w:rsid w:val="000037F9"/>
    <w:rsid w:val="000049DA"/>
    <w:rsid w:val="000052A2"/>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0015"/>
    <w:rsid w:val="000C1DB1"/>
    <w:rsid w:val="000D19EC"/>
    <w:rsid w:val="000D3F37"/>
    <w:rsid w:val="000D7A14"/>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5BDC"/>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C5076"/>
    <w:rsid w:val="001D22EA"/>
    <w:rsid w:val="001D2398"/>
    <w:rsid w:val="001D53B4"/>
    <w:rsid w:val="001E1835"/>
    <w:rsid w:val="001E5A4A"/>
    <w:rsid w:val="001E7866"/>
    <w:rsid w:val="001F28D2"/>
    <w:rsid w:val="001F2F45"/>
    <w:rsid w:val="001F3023"/>
    <w:rsid w:val="001F35F6"/>
    <w:rsid w:val="001F4AAF"/>
    <w:rsid w:val="001F74CA"/>
    <w:rsid w:val="001F7590"/>
    <w:rsid w:val="002003B6"/>
    <w:rsid w:val="0020244A"/>
    <w:rsid w:val="002049B4"/>
    <w:rsid w:val="0020520B"/>
    <w:rsid w:val="002076AD"/>
    <w:rsid w:val="00213C55"/>
    <w:rsid w:val="0021610D"/>
    <w:rsid w:val="002233DC"/>
    <w:rsid w:val="00223CF4"/>
    <w:rsid w:val="00224B69"/>
    <w:rsid w:val="00224C4A"/>
    <w:rsid w:val="00225656"/>
    <w:rsid w:val="00231187"/>
    <w:rsid w:val="0023407E"/>
    <w:rsid w:val="00240B40"/>
    <w:rsid w:val="00244142"/>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C0900"/>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52C9"/>
    <w:rsid w:val="0048634A"/>
    <w:rsid w:val="004874AE"/>
    <w:rsid w:val="0049056F"/>
    <w:rsid w:val="00492217"/>
    <w:rsid w:val="00494D24"/>
    <w:rsid w:val="004951D1"/>
    <w:rsid w:val="004960BB"/>
    <w:rsid w:val="004A1BA3"/>
    <w:rsid w:val="004A27D0"/>
    <w:rsid w:val="004A4D67"/>
    <w:rsid w:val="004B50A8"/>
    <w:rsid w:val="004B7E79"/>
    <w:rsid w:val="004C13CB"/>
    <w:rsid w:val="004C1AAB"/>
    <w:rsid w:val="004C5B90"/>
    <w:rsid w:val="004D3D4B"/>
    <w:rsid w:val="004D5498"/>
    <w:rsid w:val="004D66A5"/>
    <w:rsid w:val="004D6B00"/>
    <w:rsid w:val="004E1D50"/>
    <w:rsid w:val="004E3266"/>
    <w:rsid w:val="004E38BA"/>
    <w:rsid w:val="004E50CA"/>
    <w:rsid w:val="004F27A0"/>
    <w:rsid w:val="004F53A9"/>
    <w:rsid w:val="0050027D"/>
    <w:rsid w:val="00501382"/>
    <w:rsid w:val="005048FB"/>
    <w:rsid w:val="00507375"/>
    <w:rsid w:val="00510563"/>
    <w:rsid w:val="00510798"/>
    <w:rsid w:val="005119B5"/>
    <w:rsid w:val="005125F1"/>
    <w:rsid w:val="005213A8"/>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4B4"/>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1414"/>
    <w:rsid w:val="00623DE2"/>
    <w:rsid w:val="00627601"/>
    <w:rsid w:val="006300D0"/>
    <w:rsid w:val="00632012"/>
    <w:rsid w:val="00634694"/>
    <w:rsid w:val="00636517"/>
    <w:rsid w:val="00636EE7"/>
    <w:rsid w:val="00637690"/>
    <w:rsid w:val="00640E1E"/>
    <w:rsid w:val="00641C64"/>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973BB"/>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561A"/>
    <w:rsid w:val="006D6A81"/>
    <w:rsid w:val="006E06D9"/>
    <w:rsid w:val="006E1D40"/>
    <w:rsid w:val="006E2E1F"/>
    <w:rsid w:val="006E5059"/>
    <w:rsid w:val="006E7A99"/>
    <w:rsid w:val="006F5F03"/>
    <w:rsid w:val="006F5FFF"/>
    <w:rsid w:val="00703B69"/>
    <w:rsid w:val="00710443"/>
    <w:rsid w:val="00710804"/>
    <w:rsid w:val="00711FC6"/>
    <w:rsid w:val="00712952"/>
    <w:rsid w:val="007130B1"/>
    <w:rsid w:val="00713487"/>
    <w:rsid w:val="00715071"/>
    <w:rsid w:val="00717A28"/>
    <w:rsid w:val="007231E9"/>
    <w:rsid w:val="00724F0E"/>
    <w:rsid w:val="007270A6"/>
    <w:rsid w:val="0072771C"/>
    <w:rsid w:val="00727C59"/>
    <w:rsid w:val="00733730"/>
    <w:rsid w:val="00734E5D"/>
    <w:rsid w:val="00736013"/>
    <w:rsid w:val="00737BF8"/>
    <w:rsid w:val="0074339B"/>
    <w:rsid w:val="0074478E"/>
    <w:rsid w:val="00746172"/>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7F27D0"/>
    <w:rsid w:val="00801028"/>
    <w:rsid w:val="00803793"/>
    <w:rsid w:val="00804000"/>
    <w:rsid w:val="008101A2"/>
    <w:rsid w:val="00817A01"/>
    <w:rsid w:val="00820937"/>
    <w:rsid w:val="00825E35"/>
    <w:rsid w:val="00826B7B"/>
    <w:rsid w:val="0082759F"/>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96744"/>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66AE"/>
    <w:rsid w:val="00917405"/>
    <w:rsid w:val="00920C1F"/>
    <w:rsid w:val="00920F7C"/>
    <w:rsid w:val="009215C9"/>
    <w:rsid w:val="00922718"/>
    <w:rsid w:val="00924743"/>
    <w:rsid w:val="00932A87"/>
    <w:rsid w:val="00934CAE"/>
    <w:rsid w:val="0093560E"/>
    <w:rsid w:val="0094257D"/>
    <w:rsid w:val="009443B6"/>
    <w:rsid w:val="00946673"/>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22240"/>
    <w:rsid w:val="00A23BD5"/>
    <w:rsid w:val="00A30A1B"/>
    <w:rsid w:val="00A311AD"/>
    <w:rsid w:val="00A314C2"/>
    <w:rsid w:val="00A420F2"/>
    <w:rsid w:val="00A501BF"/>
    <w:rsid w:val="00A5134E"/>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87760"/>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E56D3"/>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97333"/>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216A"/>
    <w:rsid w:val="00C37A63"/>
    <w:rsid w:val="00C42248"/>
    <w:rsid w:val="00C46A36"/>
    <w:rsid w:val="00C47037"/>
    <w:rsid w:val="00C50235"/>
    <w:rsid w:val="00C509E3"/>
    <w:rsid w:val="00C53625"/>
    <w:rsid w:val="00C548BA"/>
    <w:rsid w:val="00C5679D"/>
    <w:rsid w:val="00C57784"/>
    <w:rsid w:val="00C602C1"/>
    <w:rsid w:val="00C614E5"/>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967DC"/>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0997"/>
    <w:rsid w:val="00CF247A"/>
    <w:rsid w:val="00CF44AD"/>
    <w:rsid w:val="00CF4D7C"/>
    <w:rsid w:val="00CF4FC0"/>
    <w:rsid w:val="00CF7486"/>
    <w:rsid w:val="00D00637"/>
    <w:rsid w:val="00D1072F"/>
    <w:rsid w:val="00D108A5"/>
    <w:rsid w:val="00D14585"/>
    <w:rsid w:val="00D153C8"/>
    <w:rsid w:val="00D17F98"/>
    <w:rsid w:val="00D20D7B"/>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5642"/>
    <w:rsid w:val="00D86EE1"/>
    <w:rsid w:val="00D95E90"/>
    <w:rsid w:val="00D96126"/>
    <w:rsid w:val="00DA2FD5"/>
    <w:rsid w:val="00DB4B1C"/>
    <w:rsid w:val="00DB5085"/>
    <w:rsid w:val="00DB619F"/>
    <w:rsid w:val="00DB7211"/>
    <w:rsid w:val="00DC1062"/>
    <w:rsid w:val="00DC132C"/>
    <w:rsid w:val="00DC181A"/>
    <w:rsid w:val="00DC5727"/>
    <w:rsid w:val="00DD20C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594"/>
    <w:rsid w:val="00E30ACD"/>
    <w:rsid w:val="00E32735"/>
    <w:rsid w:val="00E34236"/>
    <w:rsid w:val="00E44B88"/>
    <w:rsid w:val="00E60DDB"/>
    <w:rsid w:val="00E65AD9"/>
    <w:rsid w:val="00E66E36"/>
    <w:rsid w:val="00E67F21"/>
    <w:rsid w:val="00E702ED"/>
    <w:rsid w:val="00E709A4"/>
    <w:rsid w:val="00E7257D"/>
    <w:rsid w:val="00E75917"/>
    <w:rsid w:val="00E772DB"/>
    <w:rsid w:val="00E77884"/>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3F75"/>
    <w:rsid w:val="00EE5730"/>
    <w:rsid w:val="00EE6E9A"/>
    <w:rsid w:val="00EF2AC4"/>
    <w:rsid w:val="00EF397E"/>
    <w:rsid w:val="00F0340C"/>
    <w:rsid w:val="00F06F68"/>
    <w:rsid w:val="00F11241"/>
    <w:rsid w:val="00F15E9D"/>
    <w:rsid w:val="00F173F1"/>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329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7DC"/>
    <w:rsid w:val="00FF2B09"/>
    <w:rsid w:val="00FF44E0"/>
    <w:rsid w:val="00FF6C72"/>
    <w:rsid w:val="01722E9F"/>
    <w:rsid w:val="01915CC2"/>
    <w:rsid w:val="01A119D2"/>
    <w:rsid w:val="01BC772F"/>
    <w:rsid w:val="01F2457C"/>
    <w:rsid w:val="01F3710E"/>
    <w:rsid w:val="02EB0203"/>
    <w:rsid w:val="0328539C"/>
    <w:rsid w:val="03E868D9"/>
    <w:rsid w:val="05900FD6"/>
    <w:rsid w:val="06660084"/>
    <w:rsid w:val="06AE129F"/>
    <w:rsid w:val="072D20A4"/>
    <w:rsid w:val="073B420D"/>
    <w:rsid w:val="076A72FD"/>
    <w:rsid w:val="07961BBB"/>
    <w:rsid w:val="093E1B42"/>
    <w:rsid w:val="09616397"/>
    <w:rsid w:val="09A909AA"/>
    <w:rsid w:val="0A3D35AB"/>
    <w:rsid w:val="0A542106"/>
    <w:rsid w:val="0A6C4667"/>
    <w:rsid w:val="0B5C7530"/>
    <w:rsid w:val="0BBE711B"/>
    <w:rsid w:val="0BD47173"/>
    <w:rsid w:val="0BD50551"/>
    <w:rsid w:val="0BF26C44"/>
    <w:rsid w:val="0C1B47F2"/>
    <w:rsid w:val="0C4264AA"/>
    <w:rsid w:val="0C6157E5"/>
    <w:rsid w:val="0D4940E8"/>
    <w:rsid w:val="0DB63633"/>
    <w:rsid w:val="10607C4F"/>
    <w:rsid w:val="106E6418"/>
    <w:rsid w:val="10A235DA"/>
    <w:rsid w:val="1127475F"/>
    <w:rsid w:val="11323C4E"/>
    <w:rsid w:val="12D32EA6"/>
    <w:rsid w:val="12D71D5F"/>
    <w:rsid w:val="13AA5959"/>
    <w:rsid w:val="151B7FB7"/>
    <w:rsid w:val="167B6427"/>
    <w:rsid w:val="16B212CB"/>
    <w:rsid w:val="16B27D38"/>
    <w:rsid w:val="17C23271"/>
    <w:rsid w:val="18023FB5"/>
    <w:rsid w:val="18486691"/>
    <w:rsid w:val="188154CD"/>
    <w:rsid w:val="18BA7D5A"/>
    <w:rsid w:val="19226011"/>
    <w:rsid w:val="1930691F"/>
    <w:rsid w:val="19D51DED"/>
    <w:rsid w:val="1A6528FE"/>
    <w:rsid w:val="1A835004"/>
    <w:rsid w:val="1BA61F6F"/>
    <w:rsid w:val="1C1F477D"/>
    <w:rsid w:val="1C63029E"/>
    <w:rsid w:val="1C715A71"/>
    <w:rsid w:val="1CC921E7"/>
    <w:rsid w:val="1D1C4205"/>
    <w:rsid w:val="1D444EB6"/>
    <w:rsid w:val="1DA840EB"/>
    <w:rsid w:val="1F741295"/>
    <w:rsid w:val="206D26A6"/>
    <w:rsid w:val="20C16461"/>
    <w:rsid w:val="20FF5536"/>
    <w:rsid w:val="226F2197"/>
    <w:rsid w:val="23146520"/>
    <w:rsid w:val="23585502"/>
    <w:rsid w:val="23596C26"/>
    <w:rsid w:val="23B4085A"/>
    <w:rsid w:val="23C54F91"/>
    <w:rsid w:val="23D456BF"/>
    <w:rsid w:val="24577437"/>
    <w:rsid w:val="24CC3981"/>
    <w:rsid w:val="251F7B70"/>
    <w:rsid w:val="25861774"/>
    <w:rsid w:val="25C042C4"/>
    <w:rsid w:val="260B4EC4"/>
    <w:rsid w:val="262D78EB"/>
    <w:rsid w:val="266556D2"/>
    <w:rsid w:val="26C13FF5"/>
    <w:rsid w:val="27CA1ED3"/>
    <w:rsid w:val="27CA60F4"/>
    <w:rsid w:val="27E85AF1"/>
    <w:rsid w:val="28C929C1"/>
    <w:rsid w:val="28CD5AA5"/>
    <w:rsid w:val="295220BC"/>
    <w:rsid w:val="29DA6B0B"/>
    <w:rsid w:val="2A093B18"/>
    <w:rsid w:val="2A8D7B4E"/>
    <w:rsid w:val="2ABD245A"/>
    <w:rsid w:val="2B412386"/>
    <w:rsid w:val="2BA56CDA"/>
    <w:rsid w:val="2BB34FD2"/>
    <w:rsid w:val="2BD62409"/>
    <w:rsid w:val="2C1C1853"/>
    <w:rsid w:val="2C5B6EC7"/>
    <w:rsid w:val="2CEA687B"/>
    <w:rsid w:val="2CEC36FF"/>
    <w:rsid w:val="2D1633EB"/>
    <w:rsid w:val="2DE16C1F"/>
    <w:rsid w:val="2E1B2EA1"/>
    <w:rsid w:val="2E63511A"/>
    <w:rsid w:val="2EB35320"/>
    <w:rsid w:val="2EF9471C"/>
    <w:rsid w:val="2F111D48"/>
    <w:rsid w:val="2F317872"/>
    <w:rsid w:val="2F3A40A7"/>
    <w:rsid w:val="2F3F0C54"/>
    <w:rsid w:val="2F4615DA"/>
    <w:rsid w:val="2FEB270A"/>
    <w:rsid w:val="30D46628"/>
    <w:rsid w:val="30ED2B9B"/>
    <w:rsid w:val="31197749"/>
    <w:rsid w:val="31EB0750"/>
    <w:rsid w:val="32691053"/>
    <w:rsid w:val="328B4E7C"/>
    <w:rsid w:val="32A538A5"/>
    <w:rsid w:val="330E360D"/>
    <w:rsid w:val="33865643"/>
    <w:rsid w:val="33B37D2E"/>
    <w:rsid w:val="33C31C3B"/>
    <w:rsid w:val="34D33CB2"/>
    <w:rsid w:val="352620DC"/>
    <w:rsid w:val="35577297"/>
    <w:rsid w:val="35AB177E"/>
    <w:rsid w:val="35E5310F"/>
    <w:rsid w:val="362B590E"/>
    <w:rsid w:val="3661430F"/>
    <w:rsid w:val="369D587E"/>
    <w:rsid w:val="36CF1D5D"/>
    <w:rsid w:val="37024FD3"/>
    <w:rsid w:val="370F3BF6"/>
    <w:rsid w:val="380A28CA"/>
    <w:rsid w:val="38DB3D3B"/>
    <w:rsid w:val="39293004"/>
    <w:rsid w:val="3982604D"/>
    <w:rsid w:val="39882115"/>
    <w:rsid w:val="39E10D60"/>
    <w:rsid w:val="3A5C70FE"/>
    <w:rsid w:val="3B6B5614"/>
    <w:rsid w:val="3B7641EF"/>
    <w:rsid w:val="3BD16FC8"/>
    <w:rsid w:val="3BFC5E74"/>
    <w:rsid w:val="3C0059BB"/>
    <w:rsid w:val="3C4F2D35"/>
    <w:rsid w:val="3C585C08"/>
    <w:rsid w:val="3C5F3E33"/>
    <w:rsid w:val="3D9728E5"/>
    <w:rsid w:val="3DAB63D2"/>
    <w:rsid w:val="3EA65D55"/>
    <w:rsid w:val="3EED4A7C"/>
    <w:rsid w:val="3F456F2C"/>
    <w:rsid w:val="3F5E4365"/>
    <w:rsid w:val="3F8C3FE1"/>
    <w:rsid w:val="409E2788"/>
    <w:rsid w:val="40D01062"/>
    <w:rsid w:val="415470E2"/>
    <w:rsid w:val="41AF5742"/>
    <w:rsid w:val="41BB759E"/>
    <w:rsid w:val="42B740A7"/>
    <w:rsid w:val="430D5439"/>
    <w:rsid w:val="4353477A"/>
    <w:rsid w:val="43A60F45"/>
    <w:rsid w:val="43C05511"/>
    <w:rsid w:val="43FC7BDF"/>
    <w:rsid w:val="44532855"/>
    <w:rsid w:val="44641089"/>
    <w:rsid w:val="446B6021"/>
    <w:rsid w:val="452D3B70"/>
    <w:rsid w:val="453E1435"/>
    <w:rsid w:val="45D64208"/>
    <w:rsid w:val="45FC7108"/>
    <w:rsid w:val="46282E28"/>
    <w:rsid w:val="47342061"/>
    <w:rsid w:val="473A7BED"/>
    <w:rsid w:val="47863A67"/>
    <w:rsid w:val="478F71C4"/>
    <w:rsid w:val="4821786A"/>
    <w:rsid w:val="4825146D"/>
    <w:rsid w:val="48264C12"/>
    <w:rsid w:val="493503C3"/>
    <w:rsid w:val="4A6169D0"/>
    <w:rsid w:val="4A706FB0"/>
    <w:rsid w:val="4B014864"/>
    <w:rsid w:val="4B5210DA"/>
    <w:rsid w:val="4B954E7C"/>
    <w:rsid w:val="4BA7122B"/>
    <w:rsid w:val="4D76346F"/>
    <w:rsid w:val="4D805EFF"/>
    <w:rsid w:val="4DEE4D77"/>
    <w:rsid w:val="4E6B046C"/>
    <w:rsid w:val="4E707289"/>
    <w:rsid w:val="4E9E4717"/>
    <w:rsid w:val="4EDE2D8A"/>
    <w:rsid w:val="4EEA3D40"/>
    <w:rsid w:val="4F00728A"/>
    <w:rsid w:val="4F3D590F"/>
    <w:rsid w:val="4F3F6AB1"/>
    <w:rsid w:val="4F5D071B"/>
    <w:rsid w:val="4F9B688F"/>
    <w:rsid w:val="4FD86DCF"/>
    <w:rsid w:val="5105628E"/>
    <w:rsid w:val="51244093"/>
    <w:rsid w:val="52844FED"/>
    <w:rsid w:val="52E958C6"/>
    <w:rsid w:val="54087D99"/>
    <w:rsid w:val="54104D89"/>
    <w:rsid w:val="54A72003"/>
    <w:rsid w:val="54D21738"/>
    <w:rsid w:val="550541C2"/>
    <w:rsid w:val="555F72E5"/>
    <w:rsid w:val="56023921"/>
    <w:rsid w:val="56114DE8"/>
    <w:rsid w:val="564C0FA5"/>
    <w:rsid w:val="5809250B"/>
    <w:rsid w:val="5818245E"/>
    <w:rsid w:val="584026D9"/>
    <w:rsid w:val="5A3617D9"/>
    <w:rsid w:val="5A7F6B6C"/>
    <w:rsid w:val="5AFB613D"/>
    <w:rsid w:val="5B884B20"/>
    <w:rsid w:val="5BC0556E"/>
    <w:rsid w:val="5BC81C40"/>
    <w:rsid w:val="5D182D61"/>
    <w:rsid w:val="5DA327CA"/>
    <w:rsid w:val="5DE31F95"/>
    <w:rsid w:val="5E5D2E35"/>
    <w:rsid w:val="5EA4010B"/>
    <w:rsid w:val="5FD74633"/>
    <w:rsid w:val="601B0C77"/>
    <w:rsid w:val="609B3C2C"/>
    <w:rsid w:val="60E412C0"/>
    <w:rsid w:val="614E6EF1"/>
    <w:rsid w:val="61871227"/>
    <w:rsid w:val="61C15914"/>
    <w:rsid w:val="61E323AE"/>
    <w:rsid w:val="623331AC"/>
    <w:rsid w:val="624668D5"/>
    <w:rsid w:val="625772C4"/>
    <w:rsid w:val="630F7770"/>
    <w:rsid w:val="63307CBF"/>
    <w:rsid w:val="636F3034"/>
    <w:rsid w:val="63DC6A36"/>
    <w:rsid w:val="6492780D"/>
    <w:rsid w:val="64C55A61"/>
    <w:rsid w:val="650516A8"/>
    <w:rsid w:val="65222B6E"/>
    <w:rsid w:val="65330581"/>
    <w:rsid w:val="65830E72"/>
    <w:rsid w:val="668665AF"/>
    <w:rsid w:val="66D954AE"/>
    <w:rsid w:val="66E81280"/>
    <w:rsid w:val="68814582"/>
    <w:rsid w:val="69110DD3"/>
    <w:rsid w:val="691D526F"/>
    <w:rsid w:val="69665AFA"/>
    <w:rsid w:val="69676D3F"/>
    <w:rsid w:val="697D7C9D"/>
    <w:rsid w:val="69AA1A66"/>
    <w:rsid w:val="6A2E3597"/>
    <w:rsid w:val="6A5F4EA2"/>
    <w:rsid w:val="6ABE6E95"/>
    <w:rsid w:val="6BD61E6D"/>
    <w:rsid w:val="6C8C7789"/>
    <w:rsid w:val="6C8D150C"/>
    <w:rsid w:val="6CE35249"/>
    <w:rsid w:val="6D267C77"/>
    <w:rsid w:val="6E39711A"/>
    <w:rsid w:val="6E997D6C"/>
    <w:rsid w:val="6ED4144E"/>
    <w:rsid w:val="6EDA34A9"/>
    <w:rsid w:val="6EF616F6"/>
    <w:rsid w:val="6F4551EB"/>
    <w:rsid w:val="6F5D575B"/>
    <w:rsid w:val="6F6A57DA"/>
    <w:rsid w:val="71467526"/>
    <w:rsid w:val="72694E43"/>
    <w:rsid w:val="7295497F"/>
    <w:rsid w:val="72D60AF4"/>
    <w:rsid w:val="74FC2405"/>
    <w:rsid w:val="754058DD"/>
    <w:rsid w:val="771A04F8"/>
    <w:rsid w:val="77AF7585"/>
    <w:rsid w:val="77F71C38"/>
    <w:rsid w:val="78250F0A"/>
    <w:rsid w:val="784A4B73"/>
    <w:rsid w:val="78665092"/>
    <w:rsid w:val="786924FD"/>
    <w:rsid w:val="789315CA"/>
    <w:rsid w:val="78C9311B"/>
    <w:rsid w:val="78F42BEF"/>
    <w:rsid w:val="799B26EC"/>
    <w:rsid w:val="7A5B3FA8"/>
    <w:rsid w:val="7A6321F1"/>
    <w:rsid w:val="7AEE41F0"/>
    <w:rsid w:val="7B7D2454"/>
    <w:rsid w:val="7BA174E1"/>
    <w:rsid w:val="7BC04FC3"/>
    <w:rsid w:val="7C9000FA"/>
    <w:rsid w:val="7CA72746"/>
    <w:rsid w:val="7D473F98"/>
    <w:rsid w:val="7D6768E5"/>
    <w:rsid w:val="7D972EFD"/>
    <w:rsid w:val="7DAB14FB"/>
    <w:rsid w:val="7DC33C3F"/>
    <w:rsid w:val="7EA81A90"/>
    <w:rsid w:val="7F2B14FE"/>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link w:val="57"/>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link w:val="59"/>
    <w:semiHidden/>
    <w:unhideWhenUsed/>
    <w:qFormat/>
    <w:uiPriority w:val="9"/>
    <w:pPr>
      <w:keepNext/>
      <w:keepLines/>
      <w:spacing w:before="260" w:after="260" w:line="416" w:lineRule="auto"/>
      <w:outlineLvl w:val="2"/>
    </w:pPr>
    <w:rPr>
      <w:b/>
      <w:bCs/>
      <w:sz w:val="32"/>
      <w:szCs w:val="32"/>
    </w:rPr>
  </w:style>
  <w:style w:type="paragraph" w:styleId="5">
    <w:name w:val="heading 4"/>
    <w:basedOn w:val="1"/>
    <w:link w:val="64"/>
    <w:qFormat/>
    <w:uiPriority w:val="0"/>
    <w:pPr>
      <w:keepNext/>
      <w:keepLines/>
      <w:spacing w:before="280" w:after="290" w:line="376" w:lineRule="auto"/>
      <w:outlineLvl w:val="3"/>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6"/>
    <w:qFormat/>
    <w:uiPriority w:val="0"/>
    <w:pPr>
      <w:jc w:val="left"/>
    </w:pPr>
    <w:rPr>
      <w:rFonts w:ascii="Arial" w:hAnsi="Arial" w:eastAsia="黑体" w:cs="Arial"/>
    </w:rPr>
  </w:style>
  <w:style w:type="paragraph" w:styleId="8">
    <w:name w:val="Body Text"/>
    <w:basedOn w:val="1"/>
    <w:link w:val="65"/>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99"/>
    <w:pPr>
      <w:spacing w:after="120"/>
      <w:ind w:left="420" w:leftChars="200"/>
    </w:pPr>
    <w:rPr>
      <w:rFonts w:ascii="Times New Roman" w:hAnsi="Times New Roman"/>
      <w:b/>
      <w:bCs/>
      <w:color w:val="FF0000"/>
      <w:sz w:val="48"/>
      <w:szCs w:val="24"/>
    </w:rPr>
  </w:style>
  <w:style w:type="paragraph" w:styleId="10">
    <w:name w:val="toc 3"/>
    <w:basedOn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5"/>
    <w:qFormat/>
    <w:uiPriority w:val="99"/>
    <w:rPr>
      <w:rFonts w:ascii="宋体" w:hAnsi="Courier New" w:eastAsiaTheme="minorEastAsia" w:cstheme="minorBidi"/>
      <w:szCs w:val="22"/>
    </w:rPr>
  </w:style>
  <w:style w:type="paragraph" w:styleId="12">
    <w:name w:val="Date"/>
    <w:basedOn w:val="1"/>
    <w:link w:val="52"/>
    <w:qFormat/>
    <w:uiPriority w:val="0"/>
    <w:rPr>
      <w:rFonts w:ascii="Arial" w:hAnsi="Arial" w:eastAsia="宋体" w:cs="Arial"/>
      <w:b/>
      <w:sz w:val="28"/>
    </w:rPr>
  </w:style>
  <w:style w:type="paragraph" w:styleId="13">
    <w:name w:val="Balloon Text"/>
    <w:basedOn w:val="1"/>
    <w:link w:val="39"/>
    <w:semiHidden/>
    <w:unhideWhenUsed/>
    <w:qFormat/>
    <w:uiPriority w:val="99"/>
    <w:rPr>
      <w:sz w:val="18"/>
      <w:szCs w:val="18"/>
    </w:rPr>
  </w:style>
  <w:style w:type="paragraph" w:styleId="14">
    <w:name w:val="footer"/>
    <w:basedOn w:val="1"/>
    <w:link w:val="44"/>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qFormat/>
    <w:uiPriority w:val="0"/>
    <w:pPr>
      <w:jc w:val="center"/>
    </w:pPr>
    <w:rPr>
      <w:rFonts w:ascii="Arial" w:hAnsi="Arial" w:eastAsia="Arial" w:cs="Arial"/>
      <w:b/>
      <w:bCs/>
      <w:sz w:val="28"/>
    </w:rPr>
  </w:style>
  <w:style w:type="paragraph" w:styleId="21">
    <w:name w:val="Body Text First Indent"/>
    <w:basedOn w:val="8"/>
    <w:unhideWhenUsed/>
    <w:qFormat/>
    <w:uiPriority w:val="99"/>
    <w:pPr>
      <w:ind w:firstLine="420" w:firstLineChars="100"/>
    </w:pPr>
  </w:style>
  <w:style w:type="paragraph" w:styleId="22">
    <w:name w:val="Body Text First Indent 2"/>
    <w:basedOn w:val="9"/>
    <w:qFormat/>
    <w:uiPriority w:val="0"/>
    <w:pPr>
      <w:ind w:left="0" w:leftChars="0" w:firstLine="210"/>
    </w:pPr>
    <w:rPr>
      <w:rFonts w:ascii="宋体"/>
      <w:b w:val="0"/>
      <w:bCs w:val="0"/>
      <w:color w:val="auto"/>
      <w:sz w:val="24"/>
    </w:rPr>
  </w:style>
  <w:style w:type="table" w:styleId="24">
    <w:name w:val="Table Grid"/>
    <w:basedOn w:val="2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FollowedHyperlink"/>
    <w:basedOn w:val="25"/>
    <w:semiHidden/>
    <w:unhideWhenUsed/>
    <w:qFormat/>
    <w:uiPriority w:val="99"/>
    <w:rPr>
      <w:color w:val="800080"/>
      <w:u w:val="none"/>
    </w:rPr>
  </w:style>
  <w:style w:type="character" w:styleId="28">
    <w:name w:val="Emphasis"/>
    <w:basedOn w:val="25"/>
    <w:qFormat/>
    <w:uiPriority w:val="20"/>
    <w:rPr>
      <w:b/>
      <w:bCs/>
    </w:rPr>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ascii="monospace" w:hAnsi="monospace" w:eastAsia="monospace" w:cs="monospace"/>
      <w:sz w:val="20"/>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monospace" w:hAnsi="monospace" w:eastAsia="monospace" w:cs="monospace"/>
      <w:sz w:val="20"/>
    </w:rPr>
  </w:style>
  <w:style w:type="character" w:styleId="37">
    <w:name w:val="HTML Sample"/>
    <w:basedOn w:val="25"/>
    <w:semiHidden/>
    <w:unhideWhenUsed/>
    <w:qFormat/>
    <w:uiPriority w:val="99"/>
    <w:rPr>
      <w:rFonts w:hint="default" w:ascii="monospace" w:hAnsi="monospace" w:eastAsia="monospace" w:cs="monospace"/>
    </w:rPr>
  </w:style>
  <w:style w:type="paragraph" w:customStyle="1" w:styleId="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9">
    <w:name w:val="批注框文本 字符"/>
    <w:basedOn w:val="25"/>
    <w:link w:val="13"/>
    <w:semiHidden/>
    <w:qFormat/>
    <w:uiPriority w:val="99"/>
    <w:rPr>
      <w:rFonts w:ascii="@仿宋_GB2312" w:hAnsi="@仿宋_GB2312" w:eastAsia="@仿宋_GB2312" w:cs="@仿宋_GB2312"/>
      <w:sz w:val="18"/>
      <w:szCs w:val="18"/>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6"/>
    <w:qFormat/>
    <w:uiPriority w:val="0"/>
    <w:pPr>
      <w:pBdr>
        <w:bottom w:val="thinThickSmallGap" w:color="auto" w:sz="18" w:space="1"/>
      </w:pBdr>
      <w:adjustRightInd w:val="0"/>
      <w:snapToGrid/>
      <w:spacing w:line="240" w:lineRule="atLeast"/>
    </w:pPr>
    <w:rPr>
      <w:kern w:val="0"/>
      <w:sz w:val="24"/>
      <w:szCs w:val="20"/>
    </w:rPr>
  </w:style>
  <w:style w:type="character" w:customStyle="1" w:styleId="43">
    <w:name w:val="页眉 字符"/>
    <w:basedOn w:val="25"/>
    <w:link w:val="16"/>
    <w:qFormat/>
    <w:uiPriority w:val="0"/>
    <w:rPr>
      <w:rFonts w:ascii="@仿宋_GB2312" w:hAnsi="@仿宋_GB2312" w:eastAsia="@仿宋_GB2312" w:cs="@仿宋_GB2312"/>
      <w:sz w:val="18"/>
      <w:szCs w:val="18"/>
    </w:rPr>
  </w:style>
  <w:style w:type="character" w:customStyle="1" w:styleId="44">
    <w:name w:val="页脚 字符"/>
    <w:basedOn w:val="25"/>
    <w:link w:val="14"/>
    <w:qFormat/>
    <w:uiPriority w:val="99"/>
    <w:rPr>
      <w:rFonts w:ascii="@仿宋_GB2312" w:hAnsi="@仿宋_GB2312" w:eastAsia="@仿宋_GB2312" w:cs="@仿宋_GB2312"/>
      <w:sz w:val="18"/>
      <w:szCs w:val="18"/>
    </w:rPr>
  </w:style>
  <w:style w:type="character" w:customStyle="1" w:styleId="45">
    <w:name w:val="纯文本 字符"/>
    <w:link w:val="11"/>
    <w:qFormat/>
    <w:uiPriority w:val="0"/>
    <w:rPr>
      <w:rFonts w:ascii="宋体" w:hAnsi="Courier New"/>
    </w:rPr>
  </w:style>
  <w:style w:type="character" w:customStyle="1" w:styleId="46">
    <w:name w:val="纯文本 字符1"/>
    <w:basedOn w:val="25"/>
    <w:semiHidden/>
    <w:qFormat/>
    <w:uiPriority w:val="99"/>
    <w:rPr>
      <w:rFonts w:hAnsi="Courier New" w:cs="Courier New" w:asciiTheme="minorEastAsia"/>
      <w:szCs w:val="20"/>
    </w:rPr>
  </w:style>
  <w:style w:type="character" w:customStyle="1" w:styleId="47">
    <w:name w:val="未处理的提及1"/>
    <w:basedOn w:val="25"/>
    <w:semiHidden/>
    <w:unhideWhenUsed/>
    <w:qFormat/>
    <w:uiPriority w:val="99"/>
    <w:rPr>
      <w:color w:val="605E5C"/>
      <w:shd w:val="clear" w:color="auto" w:fill="E1DFDD"/>
    </w:rPr>
  </w:style>
  <w:style w:type="paragraph" w:styleId="48">
    <w:name w:val="List Paragraph"/>
    <w:basedOn w:val="1"/>
    <w:qFormat/>
    <w:uiPriority w:val="34"/>
    <w:pPr>
      <w:ind w:firstLine="420" w:firstLineChars="200"/>
    </w:pPr>
  </w:style>
  <w:style w:type="paragraph" w:customStyle="1" w:styleId="49">
    <w:name w:val="Char Char Char Char Char Char Char1 Char"/>
    <w:basedOn w:val="1"/>
    <w:qFormat/>
    <w:uiPriority w:val="0"/>
    <w:rPr>
      <w:rFonts w:ascii="Arial" w:hAnsi="Arial" w:eastAsia="宋体" w:cs="Arial"/>
      <w:sz w:val="24"/>
    </w:rPr>
  </w:style>
  <w:style w:type="table" w:customStyle="1" w:styleId="50">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5"/>
    <w:semiHidden/>
    <w:qFormat/>
    <w:uiPriority w:val="99"/>
    <w:rPr>
      <w:rFonts w:ascii="@仿宋_GB2312" w:hAnsi="@仿宋_GB2312" w:eastAsia="@仿宋_GB2312" w:cs="@仿宋_GB2312"/>
      <w:szCs w:val="20"/>
    </w:rPr>
  </w:style>
  <w:style w:type="character" w:customStyle="1" w:styleId="52">
    <w:name w:val="日期 字符1"/>
    <w:link w:val="12"/>
    <w:qFormat/>
    <w:uiPriority w:val="0"/>
    <w:rPr>
      <w:rFonts w:ascii="Arial" w:hAnsi="Arial" w:eastAsia="宋体" w:cs="Arial"/>
      <w:b/>
      <w:sz w:val="28"/>
      <w:szCs w:val="20"/>
    </w:rPr>
  </w:style>
  <w:style w:type="character" w:customStyle="1" w:styleId="53">
    <w:name w:val="纯文本 Char1"/>
    <w:link w:val="54"/>
    <w:qFormat/>
    <w:uiPriority w:val="0"/>
    <w:rPr>
      <w:rFonts w:ascii="Arial" w:hAnsi="Arial" w:eastAsia="Arial"/>
      <w:kern w:val="2"/>
      <w:sz w:val="21"/>
      <w:lang w:val="en-US" w:eastAsia="zh-CN" w:bidi="ar-SA"/>
    </w:rPr>
  </w:style>
  <w:style w:type="paragraph" w:customStyle="1" w:styleId="54">
    <w:name w:val="纯文本1"/>
    <w:basedOn w:val="1"/>
    <w:link w:val="53"/>
    <w:qFormat/>
    <w:uiPriority w:val="0"/>
    <w:rPr>
      <w:rFonts w:ascii="Arial" w:hAnsi="Arial" w:eastAsia="Arial" w:cstheme="minorBidi"/>
    </w:rPr>
  </w:style>
  <w:style w:type="character" w:customStyle="1" w:styleId="55">
    <w:name w:val="批注文字 Char"/>
    <w:basedOn w:val="25"/>
    <w:semiHidden/>
    <w:qFormat/>
    <w:uiPriority w:val="99"/>
    <w:rPr>
      <w:rFonts w:ascii="@仿宋_GB2312" w:hAnsi="@仿宋_GB2312" w:eastAsia="@仿宋_GB2312" w:cs="@仿宋_GB2312"/>
      <w:szCs w:val="20"/>
    </w:rPr>
  </w:style>
  <w:style w:type="character" w:customStyle="1" w:styleId="56">
    <w:name w:val="批注文字 字符"/>
    <w:link w:val="7"/>
    <w:qFormat/>
    <w:uiPriority w:val="0"/>
    <w:rPr>
      <w:rFonts w:ascii="Arial" w:hAnsi="Arial" w:eastAsia="黑体" w:cs="Arial"/>
      <w:szCs w:val="20"/>
    </w:rPr>
  </w:style>
  <w:style w:type="character" w:customStyle="1" w:styleId="57">
    <w:name w:val="标题 1 字符"/>
    <w:basedOn w:val="25"/>
    <w:link w:val="2"/>
    <w:qFormat/>
    <w:uiPriority w:val="9"/>
    <w:rPr>
      <w:rFonts w:ascii="@仿宋_GB2312" w:hAnsi="@仿宋_GB2312" w:eastAsia="@仿宋_GB2312" w:cs="@仿宋_GB2312"/>
      <w:b/>
      <w:bCs/>
      <w:kern w:val="44"/>
      <w:sz w:val="44"/>
      <w:szCs w:val="44"/>
    </w:rPr>
  </w:style>
  <w:style w:type="paragraph" w:customStyle="1" w:styleId="58">
    <w:name w:val="TOC 标题1"/>
    <w:basedOn w:val="2"/>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字符"/>
    <w:basedOn w:val="25"/>
    <w:link w:val="4"/>
    <w:semiHidden/>
    <w:qFormat/>
    <w:uiPriority w:val="9"/>
    <w:rPr>
      <w:rFonts w:ascii="@仿宋_GB2312" w:hAnsi="@仿宋_GB2312" w:eastAsia="@仿宋_GB2312" w:cs="@仿宋_GB2312"/>
      <w:b/>
      <w:bCs/>
      <w:sz w:val="32"/>
      <w:szCs w:val="32"/>
    </w:rPr>
  </w:style>
  <w:style w:type="character" w:customStyle="1" w:styleId="60">
    <w:name w:val="fontstyle01"/>
    <w:basedOn w:val="25"/>
    <w:qFormat/>
    <w:uiPriority w:val="0"/>
    <w:rPr>
      <w:rFonts w:hint="eastAsia" w:ascii="宋体" w:hAnsi="宋体" w:eastAsia="宋体"/>
      <w:color w:val="000000"/>
      <w:sz w:val="22"/>
      <w:szCs w:val="22"/>
    </w:rPr>
  </w:style>
  <w:style w:type="character" w:customStyle="1" w:styleId="61">
    <w:name w:val="fontstyle21"/>
    <w:basedOn w:val="25"/>
    <w:qFormat/>
    <w:uiPriority w:val="0"/>
    <w:rPr>
      <w:rFonts w:hint="default" w:ascii="TimesNewRomanPSMT" w:hAnsi="TimesNewRomanPSMT"/>
      <w:color w:val="000000"/>
      <w:sz w:val="22"/>
      <w:szCs w:val="22"/>
    </w:rPr>
  </w:style>
  <w:style w:type="character" w:customStyle="1" w:styleId="6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5"/>
    <w:semiHidden/>
    <w:qFormat/>
    <w:uiPriority w:val="9"/>
    <w:rPr>
      <w:rFonts w:asciiTheme="majorHAnsi" w:hAnsiTheme="majorHAnsi" w:eastAsiaTheme="majorEastAsia" w:cstheme="majorBidi"/>
      <w:b/>
      <w:bCs/>
      <w:sz w:val="28"/>
      <w:szCs w:val="28"/>
    </w:rPr>
  </w:style>
  <w:style w:type="character" w:customStyle="1" w:styleId="64">
    <w:name w:val="标题 4 字符1"/>
    <w:link w:val="5"/>
    <w:qFormat/>
    <w:uiPriority w:val="0"/>
    <w:rPr>
      <w:rFonts w:ascii="@仿宋_GB2312" w:hAnsi="@仿宋_GB2312" w:eastAsia="@仿宋_GB2312" w:cs="@仿宋_GB2312"/>
      <w:b/>
      <w:bCs/>
      <w:sz w:val="28"/>
      <w:szCs w:val="28"/>
    </w:rPr>
  </w:style>
  <w:style w:type="character" w:customStyle="1" w:styleId="65">
    <w:name w:val="正文文本 字符"/>
    <w:basedOn w:val="25"/>
    <w:link w:val="8"/>
    <w:qFormat/>
    <w:uiPriority w:val="0"/>
    <w:rPr>
      <w:rFonts w:ascii="@微软简标宋" w:hAnsi="@微软简标宋" w:eastAsia="@微软简标宋" w:cs="@微软简标宋"/>
      <w:szCs w:val="24"/>
      <w:lang w:val="zh-CN" w:eastAsia="zh-CN"/>
    </w:rPr>
  </w:style>
  <w:style w:type="table" w:customStyle="1" w:styleId="66">
    <w:name w:val="网格型1"/>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Arial" w:hAnsi="Arial" w:eastAsia="Arial" w:cs="Arial"/>
      <w:szCs w:val="21"/>
      <w:lang w:eastAsia="en-US"/>
    </w:rPr>
  </w:style>
  <w:style w:type="paragraph" w:customStyle="1" w:styleId="69">
    <w:name w:val="样式 样式 正文文本缩进正文文字缩进 + 首行缩进:  2 字符2 + 首行缩进:  2 字符"/>
    <w:basedOn w:val="1"/>
    <w:unhideWhenUsed/>
    <w:qFormat/>
    <w:uiPriority w:val="0"/>
    <w:pPr>
      <w:ind w:left="100" w:leftChars="100" w:right="100" w:rightChars="100" w:firstLine="200" w:firstLineChars="100"/>
    </w:pPr>
    <w:rPr>
      <w:rFonts w:hAnsi="Arial"/>
      <w:szCs w:val="22"/>
    </w:rPr>
  </w:style>
  <w:style w:type="paragraph" w:customStyle="1" w:styleId="70">
    <w:name w:val="Body text|1"/>
    <w:basedOn w:val="1"/>
    <w:qFormat/>
    <w:uiPriority w:val="0"/>
    <w:pPr>
      <w:spacing w:line="398" w:lineRule="auto"/>
      <w:ind w:firstLine="400"/>
    </w:pPr>
    <w:rPr>
      <w:rFonts w:ascii="宋体" w:hAnsi="宋体" w:cs="宋体"/>
      <w:sz w:val="30"/>
      <w:szCs w:val="30"/>
      <w:lang w:val="zh-TW" w:eastAsia="zh-TW" w:bidi="zh-TW"/>
    </w:rPr>
  </w:style>
  <w:style w:type="paragraph" w:customStyle="1" w:styleId="71">
    <w:name w:val="正文文本首行缩进1"/>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72">
    <w:name w:val="正文文本首行缩进 21"/>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73">
    <w:name w:val="正文文本缩进_0"/>
    <w:qFormat/>
    <w:uiPriority w:val="99"/>
    <w:pPr>
      <w:widowControl w:val="0"/>
      <w:ind w:firstLine="210"/>
      <w:jc w:val="both"/>
    </w:pPr>
    <w:rPr>
      <w:rFonts w:eastAsia="宋体" w:asciiTheme="minorHAnsi" w:hAnsiTheme="minorHAnsi" w:cstheme="minorBidi"/>
      <w:kern w:val="2"/>
      <w:sz w:val="21"/>
      <w:szCs w:val="24"/>
      <w:lang w:val="en-US" w:eastAsia="zh-CN" w:bidi="ar-SA"/>
    </w:rPr>
  </w:style>
  <w:style w:type="paragraph" w:customStyle="1" w:styleId="74">
    <w:name w:val="Body text|3"/>
    <w:basedOn w:val="1"/>
    <w:qFormat/>
    <w:uiPriority w:val="0"/>
    <w:pPr>
      <w:spacing w:after="630"/>
      <w:ind w:firstLine="200"/>
      <w:jc w:val="center"/>
    </w:pPr>
    <w:rPr>
      <w:rFonts w:ascii="MingLiU" w:hAnsi="MingLiU" w:eastAsia="MingLiU" w:cs="MingLiU"/>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82</Pages>
  <Words>717</Words>
  <Characters>814</Characters>
  <Lines>290</Lines>
  <Paragraphs>81</Paragraphs>
  <TotalTime>9</TotalTime>
  <ScaleCrop>false</ScaleCrop>
  <LinksUpToDate>false</LinksUpToDate>
  <CharactersWithSpaces>841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2025-02-11T03:02:00Z</dcterms:created>
  <dc:creator>Anakin</dc:creator>
  <cp:lastModifiedBy>薛</cp:lastModifiedBy>
  <dcterms:modified xsi:type="dcterms:W3CDTF">2026-01-26T07:22:49Z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99C6D87922754F29A3AEB904AEA5F644_13</vt:lpwstr>
  </property>
  <property fmtid="{D5CDD505-2E9C-101B-9397-08002B2CF9AE}" pid="4" name="KSOTemplateDocerSaveRecord">
    <vt:lpwstr>eyJoZGlkIjoiMzVlMjZkNGNhODI0MmM3NmVlZmJhYTVhZmQ5MGVlYTgiLCJ1c2VySWQiOiIxMjMyMDYzNDI1In0=</vt:lpwstr>
  </property>
</Properties>
</file>