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A90AE">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000000" w:themeColor="text1"/>
          <w:sz w:val="52"/>
          <w:szCs w:val="52"/>
          <w:highlight w:val="none"/>
          <w14:textFill>
            <w14:solidFill>
              <w14:schemeClr w14:val="tx1"/>
            </w14:solidFill>
          </w14:textFill>
        </w:rPr>
      </w:pPr>
    </w:p>
    <w:p w14:paraId="35E80040">
      <w:pPr>
        <w:pStyle w:val="8"/>
        <w:rPr>
          <w:rFonts w:hint="eastAsia" w:ascii="宋体" w:hAnsi="宋体" w:eastAsia="宋体" w:cs="宋体"/>
          <w:color w:val="000000" w:themeColor="text1"/>
          <w:highlight w:val="none"/>
          <w14:textFill>
            <w14:solidFill>
              <w14:schemeClr w14:val="tx1"/>
            </w14:solidFill>
          </w14:textFill>
        </w:rPr>
      </w:pPr>
    </w:p>
    <w:p w14:paraId="25F762F5">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000000" w:themeColor="text1"/>
          <w:sz w:val="52"/>
          <w:szCs w:val="52"/>
          <w:highlight w:val="none"/>
          <w14:textFill>
            <w14:solidFill>
              <w14:schemeClr w14:val="tx1"/>
            </w14:solidFill>
          </w14:textFill>
        </w:rPr>
      </w:pPr>
    </w:p>
    <w:p w14:paraId="4944C5B7">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000000" w:themeColor="text1"/>
          <w:sz w:val="52"/>
          <w:szCs w:val="52"/>
          <w:highlight w:val="none"/>
          <w14:textFill>
            <w14:solidFill>
              <w14:schemeClr w14:val="tx1"/>
            </w14:solidFill>
          </w14:textFill>
        </w:rPr>
      </w:pPr>
    </w:p>
    <w:p w14:paraId="6BF32655">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000000" w:themeColor="text1"/>
          <w:sz w:val="52"/>
          <w:szCs w:val="52"/>
          <w:highlight w:val="none"/>
          <w:lang w:eastAsia="zh-CN"/>
          <w14:textFill>
            <w14:solidFill>
              <w14:schemeClr w14:val="tx1"/>
            </w14:solidFill>
          </w14:textFill>
        </w:rPr>
      </w:pPr>
      <w:bookmarkStart w:id="0" w:name="_Hlk9544796"/>
      <w:r>
        <w:rPr>
          <w:rFonts w:hint="eastAsia" w:ascii="宋体" w:hAnsi="宋体" w:eastAsia="宋体" w:cs="宋体"/>
          <w:b/>
          <w:bCs/>
          <w:color w:val="000000" w:themeColor="text1"/>
          <w:sz w:val="52"/>
          <w:szCs w:val="52"/>
          <w:highlight w:val="none"/>
          <w:lang w:val="en-US" w:eastAsia="zh-CN"/>
          <w14:textFill>
            <w14:solidFill>
              <w14:schemeClr w14:val="tx1"/>
            </w14:solidFill>
          </w14:textFill>
        </w:rPr>
        <w:t>安徽省</w:t>
      </w:r>
      <w:r>
        <w:rPr>
          <w:rFonts w:hint="eastAsia" w:ascii="宋体" w:hAnsi="宋体" w:eastAsia="宋体" w:cs="宋体"/>
          <w:b/>
          <w:bCs/>
          <w:color w:val="000000" w:themeColor="text1"/>
          <w:sz w:val="52"/>
          <w:szCs w:val="52"/>
          <w:highlight w:val="none"/>
          <w14:textFill>
            <w14:solidFill>
              <w14:schemeClr w14:val="tx1"/>
            </w14:solidFill>
          </w14:textFill>
        </w:rPr>
        <w:t>政府采购</w:t>
      </w:r>
      <w:r>
        <w:rPr>
          <w:rFonts w:hint="eastAsia" w:ascii="宋体" w:hAnsi="宋体" w:eastAsia="宋体" w:cs="宋体"/>
          <w:b/>
          <w:bCs/>
          <w:color w:val="000000" w:themeColor="text1"/>
          <w:sz w:val="52"/>
          <w:szCs w:val="52"/>
          <w:highlight w:val="none"/>
          <w:lang w:eastAsia="zh-CN"/>
          <w14:textFill>
            <w14:solidFill>
              <w14:schemeClr w14:val="tx1"/>
            </w14:solidFill>
          </w14:textFill>
        </w:rPr>
        <w:t>项目</w:t>
      </w:r>
    </w:p>
    <w:p w14:paraId="70AA4369">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bCs/>
          <w:color w:val="000000" w:themeColor="text1"/>
          <w:sz w:val="52"/>
          <w:szCs w:val="52"/>
          <w:highlight w:val="none"/>
          <w14:textFill>
            <w14:solidFill>
              <w14:schemeClr w14:val="tx1"/>
            </w14:solidFill>
          </w14:textFill>
        </w:rPr>
        <w:t>竞争性磋商文件示范文本（服务类）</w:t>
      </w:r>
    </w:p>
    <w:bookmarkEnd w:id="0"/>
    <w:p w14:paraId="559B5DCA">
      <w:pPr>
        <w:tabs>
          <w:tab w:val="left" w:pos="315"/>
          <w:tab w:val="left" w:pos="8820"/>
        </w:tabs>
        <w:spacing w:before="240" w:beforeLines="100" w:after="120" w:afterLines="50" w:line="500" w:lineRule="exact"/>
        <w:ind w:right="267" w:rightChars="127"/>
        <w:jc w:val="center"/>
        <w:rPr>
          <w:rFonts w:hint="eastAsia" w:ascii="宋体" w:hAnsi="宋体" w:eastAsia="宋体" w:cs="宋体"/>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52"/>
          <w:szCs w:val="52"/>
          <w:highlight w:val="none"/>
          <w:lang w:eastAsia="zh-CN"/>
          <w14:textFill>
            <w14:solidFill>
              <w14:schemeClr w14:val="tx1"/>
            </w14:solidFill>
          </w14:textFill>
        </w:rPr>
        <w:t>（</w:t>
      </w:r>
      <w:r>
        <w:rPr>
          <w:rFonts w:hint="eastAsia" w:ascii="宋体" w:hAnsi="宋体" w:eastAsia="宋体" w:cs="宋体"/>
          <w:b/>
          <w:bCs/>
          <w:color w:val="000000" w:themeColor="text1"/>
          <w:sz w:val="52"/>
          <w:szCs w:val="52"/>
          <w:highlight w:val="none"/>
          <w:lang w:val="en-US" w:eastAsia="zh-CN"/>
          <w14:textFill>
            <w14:solidFill>
              <w14:schemeClr w14:val="tx1"/>
            </w14:solidFill>
          </w14:textFill>
        </w:rPr>
        <w:t>2024版</w:t>
      </w:r>
      <w:r>
        <w:rPr>
          <w:rFonts w:hint="eastAsia" w:ascii="宋体" w:hAnsi="宋体" w:eastAsia="宋体" w:cs="宋体"/>
          <w:b/>
          <w:bCs/>
          <w:color w:val="000000" w:themeColor="text1"/>
          <w:sz w:val="52"/>
          <w:szCs w:val="52"/>
          <w:highlight w:val="none"/>
          <w:lang w:eastAsia="zh-CN"/>
          <w14:textFill>
            <w14:solidFill>
              <w14:schemeClr w14:val="tx1"/>
            </w14:solidFill>
          </w14:textFill>
        </w:rPr>
        <w:t>）</w:t>
      </w:r>
    </w:p>
    <w:p w14:paraId="01FDEC84">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000000" w:themeColor="text1"/>
          <w:sz w:val="44"/>
          <w:szCs w:val="44"/>
          <w:highlight w:val="none"/>
          <w14:textFill>
            <w14:solidFill>
              <w14:schemeClr w14:val="tx1"/>
            </w14:solidFill>
          </w14:textFill>
        </w:rPr>
      </w:pPr>
    </w:p>
    <w:p w14:paraId="019C7389">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000000" w:themeColor="text1"/>
          <w:sz w:val="44"/>
          <w:szCs w:val="44"/>
          <w:highlight w:val="none"/>
          <w14:textFill>
            <w14:solidFill>
              <w14:schemeClr w14:val="tx1"/>
            </w14:solidFill>
          </w14:textFill>
        </w:rPr>
      </w:pPr>
    </w:p>
    <w:p w14:paraId="572298F9">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000000" w:themeColor="text1"/>
          <w:sz w:val="44"/>
          <w:szCs w:val="44"/>
          <w:highlight w:val="none"/>
          <w14:textFill>
            <w14:solidFill>
              <w14:schemeClr w14:val="tx1"/>
            </w14:solidFill>
          </w14:textFill>
        </w:rPr>
      </w:pPr>
    </w:p>
    <w:p w14:paraId="1A037252">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000000" w:themeColor="text1"/>
          <w:sz w:val="44"/>
          <w:szCs w:val="44"/>
          <w:highlight w:val="none"/>
          <w14:textFill>
            <w14:solidFill>
              <w14:schemeClr w14:val="tx1"/>
            </w14:solidFill>
          </w14:textFill>
        </w:rPr>
      </w:pPr>
    </w:p>
    <w:p w14:paraId="1AA022DD">
      <w:pPr>
        <w:tabs>
          <w:tab w:val="left" w:pos="2410"/>
        </w:tabs>
        <w:autoSpaceDE w:val="0"/>
        <w:autoSpaceDN w:val="0"/>
        <w:adjustRightInd w:val="0"/>
        <w:snapToGrid w:val="0"/>
        <w:spacing w:line="360" w:lineRule="auto"/>
        <w:rPr>
          <w:rFonts w:hint="eastAsia" w:ascii="宋体" w:hAnsi="宋体" w:eastAsia="宋体" w:cs="宋体"/>
          <w:b/>
          <w:color w:val="000000" w:themeColor="text1"/>
          <w:spacing w:val="20"/>
          <w:kern w:val="0"/>
          <w:sz w:val="32"/>
          <w:szCs w:val="32"/>
          <w:highlight w:val="none"/>
          <w:lang w:eastAsia="zh-CN"/>
          <w14:textFill>
            <w14:solidFill>
              <w14:schemeClr w14:val="tx1"/>
            </w14:solidFill>
          </w14:textFill>
        </w:rPr>
      </w:pPr>
      <w:r>
        <w:rPr>
          <w:rFonts w:hint="eastAsia" w:ascii="宋体" w:hAnsi="宋体" w:eastAsia="宋体" w:cs="宋体"/>
          <w:b/>
          <w:color w:val="000000" w:themeColor="text1"/>
          <w:spacing w:val="20"/>
          <w:kern w:val="0"/>
          <w:sz w:val="32"/>
          <w:szCs w:val="32"/>
          <w:highlight w:val="none"/>
          <w14:textFill>
            <w14:solidFill>
              <w14:schemeClr w14:val="tx1"/>
            </w14:solidFill>
          </w14:textFill>
        </w:rPr>
        <w:t>项目名称：</w:t>
      </w:r>
      <w:r>
        <w:rPr>
          <w:rFonts w:hint="eastAsia" w:ascii="宋体" w:hAnsi="宋体" w:eastAsia="宋体" w:cs="宋体"/>
          <w:b/>
          <w:color w:val="000000" w:themeColor="text1"/>
          <w:spacing w:val="20"/>
          <w:kern w:val="0"/>
          <w:sz w:val="32"/>
          <w:szCs w:val="32"/>
          <w:highlight w:val="none"/>
          <w:u w:val="single"/>
          <w:lang w:eastAsia="zh-CN"/>
          <w14:textFill>
            <w14:solidFill>
              <w14:schemeClr w14:val="tx1"/>
            </w14:solidFill>
          </w14:textFill>
        </w:rPr>
        <w:t>2026年省淮河局、省怀洪新河局、省临淮岗局部分水闸安全鉴定及堤防安全评价等（第1包省淮河局）</w:t>
      </w:r>
    </w:p>
    <w:p w14:paraId="77BFDE82">
      <w:pPr>
        <w:tabs>
          <w:tab w:val="left" w:pos="2410"/>
        </w:tabs>
        <w:autoSpaceDE w:val="0"/>
        <w:autoSpaceDN w:val="0"/>
        <w:adjustRightInd w:val="0"/>
        <w:snapToGrid w:val="0"/>
        <w:spacing w:line="360" w:lineRule="auto"/>
        <w:rPr>
          <w:rFonts w:hint="eastAsia" w:ascii="宋体" w:hAnsi="宋体" w:eastAsia="宋体" w:cs="宋体"/>
          <w:b/>
          <w:color w:val="000000" w:themeColor="text1"/>
          <w:spacing w:val="20"/>
          <w:kern w:val="0"/>
          <w:sz w:val="32"/>
          <w:szCs w:val="32"/>
          <w:highlight w:val="none"/>
          <w:lang w:eastAsia="zh-CN"/>
          <w14:textFill>
            <w14:solidFill>
              <w14:schemeClr w14:val="tx1"/>
            </w14:solidFill>
          </w14:textFill>
        </w:rPr>
      </w:pPr>
      <w:r>
        <w:rPr>
          <w:rFonts w:hint="eastAsia" w:ascii="宋体" w:hAnsi="宋体" w:eastAsia="宋体" w:cs="宋体"/>
          <w:b/>
          <w:color w:val="000000" w:themeColor="text1"/>
          <w:spacing w:val="20"/>
          <w:kern w:val="0"/>
          <w:sz w:val="32"/>
          <w:szCs w:val="32"/>
          <w:highlight w:val="none"/>
          <w14:textFill>
            <w14:solidFill>
              <w14:schemeClr w14:val="tx1"/>
            </w14:solidFill>
          </w14:textFill>
        </w:rPr>
        <w:t>项目编号：</w:t>
      </w:r>
      <w:r>
        <w:rPr>
          <w:rFonts w:hint="eastAsia" w:ascii="宋体" w:hAnsi="宋体" w:eastAsia="宋体" w:cs="宋体"/>
          <w:b/>
          <w:color w:val="000000" w:themeColor="text1"/>
          <w:spacing w:val="20"/>
          <w:kern w:val="0"/>
          <w:sz w:val="32"/>
          <w:szCs w:val="32"/>
          <w:highlight w:val="none"/>
          <w:u w:val="single"/>
          <w14:textFill>
            <w14:solidFill>
              <w14:schemeClr w14:val="tx1"/>
            </w14:solidFill>
          </w14:textFill>
        </w:rPr>
        <w:t>FSSD34000120260269号-001</w:t>
      </w:r>
    </w:p>
    <w:p w14:paraId="01EE9DB4">
      <w:pPr>
        <w:tabs>
          <w:tab w:val="left" w:pos="2410"/>
        </w:tabs>
        <w:autoSpaceDE w:val="0"/>
        <w:autoSpaceDN w:val="0"/>
        <w:adjustRightInd w:val="0"/>
        <w:snapToGrid w:val="0"/>
        <w:spacing w:line="360" w:lineRule="auto"/>
        <w:rPr>
          <w:rFonts w:hint="eastAsia" w:ascii="宋体" w:hAnsi="宋体" w:eastAsia="宋体" w:cs="宋体"/>
          <w:b/>
          <w:color w:val="000000" w:themeColor="text1"/>
          <w:spacing w:val="20"/>
          <w:kern w:val="0"/>
          <w:sz w:val="32"/>
          <w:szCs w:val="32"/>
          <w:highlight w:val="none"/>
          <w14:textFill>
            <w14:solidFill>
              <w14:schemeClr w14:val="tx1"/>
            </w14:solidFill>
          </w14:textFill>
        </w:rPr>
      </w:pPr>
      <w:r>
        <w:rPr>
          <w:rFonts w:hint="eastAsia" w:ascii="宋体" w:hAnsi="宋体" w:eastAsia="宋体" w:cs="宋体"/>
          <w:b/>
          <w:color w:val="000000" w:themeColor="text1"/>
          <w:spacing w:val="20"/>
          <w:kern w:val="0"/>
          <w:sz w:val="32"/>
          <w:szCs w:val="32"/>
          <w:highlight w:val="none"/>
          <w14:textFill>
            <w14:solidFill>
              <w14:schemeClr w14:val="tx1"/>
            </w14:solidFill>
          </w14:textFill>
        </w:rPr>
        <w:t>采 购 人：</w:t>
      </w:r>
      <w:r>
        <w:rPr>
          <w:rFonts w:hint="eastAsia" w:ascii="宋体" w:hAnsi="宋体" w:eastAsia="宋体" w:cs="宋体"/>
          <w:b/>
          <w:color w:val="000000" w:themeColor="text1"/>
          <w:spacing w:val="20"/>
          <w:kern w:val="0"/>
          <w:sz w:val="32"/>
          <w:szCs w:val="32"/>
          <w:highlight w:val="none"/>
          <w:u w:val="single"/>
          <w14:textFill>
            <w14:solidFill>
              <w14:schemeClr w14:val="tx1"/>
            </w14:solidFill>
          </w14:textFill>
        </w:rPr>
        <w:t>安徽省淮河河道管理局</w:t>
      </w:r>
    </w:p>
    <w:p w14:paraId="187B7AEF">
      <w:pPr>
        <w:tabs>
          <w:tab w:val="left" w:pos="2410"/>
        </w:tabs>
        <w:autoSpaceDE w:val="0"/>
        <w:autoSpaceDN w:val="0"/>
        <w:adjustRightInd w:val="0"/>
        <w:snapToGrid w:val="0"/>
        <w:spacing w:line="360" w:lineRule="auto"/>
        <w:rPr>
          <w:rFonts w:hint="default" w:ascii="宋体" w:hAnsi="宋体" w:eastAsia="宋体" w:cs="宋体"/>
          <w:b/>
          <w:bCs/>
          <w:color w:val="000000" w:themeColor="text1"/>
          <w:sz w:val="44"/>
          <w:szCs w:val="44"/>
          <w:highlight w:val="none"/>
          <w:lang w:val="en-US"/>
          <w14:textFill>
            <w14:solidFill>
              <w14:schemeClr w14:val="tx1"/>
            </w14:solidFill>
          </w14:textFill>
        </w:rPr>
      </w:pPr>
      <w:r>
        <w:rPr>
          <w:rFonts w:hint="eastAsia" w:ascii="宋体" w:hAnsi="宋体" w:eastAsia="宋体" w:cs="宋体"/>
          <w:b/>
          <w:color w:val="000000" w:themeColor="text1"/>
          <w:spacing w:val="20"/>
          <w:kern w:val="0"/>
          <w:sz w:val="32"/>
          <w:szCs w:val="32"/>
          <w:highlight w:val="none"/>
          <w14:textFill>
            <w14:solidFill>
              <w14:schemeClr w14:val="tx1"/>
            </w14:solidFill>
          </w14:textFill>
        </w:rPr>
        <w:t>采购代理机构：</w:t>
      </w:r>
      <w:r>
        <w:rPr>
          <w:rFonts w:hint="eastAsia" w:ascii="宋体" w:hAnsi="宋体" w:eastAsia="宋体" w:cs="宋体"/>
          <w:b/>
          <w:color w:val="000000" w:themeColor="text1"/>
          <w:spacing w:val="20"/>
          <w:kern w:val="0"/>
          <w:sz w:val="32"/>
          <w:szCs w:val="32"/>
          <w:highlight w:val="none"/>
          <w:u w:val="single"/>
          <w:lang w:val="en-US" w:eastAsia="zh-CN"/>
          <w14:textFill>
            <w14:solidFill>
              <w14:schemeClr w14:val="tx1"/>
            </w14:solidFill>
          </w14:textFill>
        </w:rPr>
        <w:t>安徽安兆工程技术咨询服务有限公司</w:t>
      </w:r>
    </w:p>
    <w:p w14:paraId="13D318FC">
      <w:pPr>
        <w:tabs>
          <w:tab w:val="left" w:pos="2410"/>
        </w:tabs>
        <w:autoSpaceDE w:val="0"/>
        <w:autoSpaceDN w:val="0"/>
        <w:adjustRightInd w:val="0"/>
        <w:snapToGrid w:val="0"/>
        <w:spacing w:line="360" w:lineRule="auto"/>
        <w:jc w:val="center"/>
        <w:rPr>
          <w:rFonts w:hint="eastAsia" w:ascii="宋体" w:hAnsi="宋体" w:eastAsia="宋体" w:cs="宋体"/>
          <w:b/>
          <w:color w:val="000000" w:themeColor="text1"/>
          <w:sz w:val="36"/>
          <w:highlight w:val="none"/>
          <w14:textFill>
            <w14:solidFill>
              <w14:schemeClr w14:val="tx1"/>
            </w14:solidFill>
          </w14:textFill>
        </w:rPr>
      </w:pPr>
      <w:r>
        <w:rPr>
          <w:rFonts w:hint="eastAsia" w:ascii="宋体" w:hAnsi="宋体" w:eastAsia="宋体" w:cs="宋体"/>
          <w:b/>
          <w:color w:val="000000" w:themeColor="text1"/>
          <w:spacing w:val="20"/>
          <w:kern w:val="0"/>
          <w:sz w:val="32"/>
          <w:szCs w:val="32"/>
          <w:highlight w:val="none"/>
          <w:u w:val="single"/>
          <w:lang w:val="en-US" w:eastAsia="zh-CN"/>
          <w14:textFill>
            <w14:solidFill>
              <w14:schemeClr w14:val="tx1"/>
            </w14:solidFill>
          </w14:textFill>
        </w:rPr>
        <w:t>2026年1月</w:t>
      </w:r>
    </w:p>
    <w:p w14:paraId="6A8B1D78">
      <w:pPr>
        <w:tabs>
          <w:tab w:val="left" w:pos="2410"/>
        </w:tabs>
        <w:autoSpaceDE w:val="0"/>
        <w:autoSpaceDN w:val="0"/>
        <w:adjustRightInd w:val="0"/>
        <w:snapToGrid w:val="0"/>
        <w:spacing w:line="360" w:lineRule="auto"/>
        <w:rPr>
          <w:rFonts w:hint="eastAsia" w:ascii="宋体" w:hAnsi="宋体" w:eastAsia="宋体" w:cs="宋体"/>
          <w:b/>
          <w:color w:val="000000" w:themeColor="text1"/>
          <w:sz w:val="28"/>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br w:type="page"/>
      </w:r>
    </w:p>
    <w:p w14:paraId="432322F8">
      <w:pPr>
        <w:tabs>
          <w:tab w:val="left" w:pos="2410"/>
        </w:tabs>
        <w:autoSpaceDE w:val="0"/>
        <w:autoSpaceDN w:val="0"/>
        <w:adjustRightInd w:val="0"/>
        <w:snapToGrid w:val="0"/>
        <w:spacing w:line="360" w:lineRule="auto"/>
        <w:jc w:val="center"/>
        <w:rPr>
          <w:rFonts w:hint="eastAsia" w:ascii="宋体" w:hAnsi="宋体" w:eastAsia="宋体" w:cs="宋体"/>
          <w:b/>
          <w:color w:val="000000" w:themeColor="text1"/>
          <w:sz w:val="28"/>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目  录</w:t>
      </w:r>
    </w:p>
    <w:p w14:paraId="2997F7CF">
      <w:pPr>
        <w:tabs>
          <w:tab w:val="left" w:pos="2410"/>
        </w:tabs>
        <w:autoSpaceDE w:val="0"/>
        <w:autoSpaceDN w:val="0"/>
        <w:adjustRightInd w:val="0"/>
        <w:snapToGrid w:val="0"/>
        <w:spacing w:line="360" w:lineRule="auto"/>
        <w:jc w:val="center"/>
        <w:rPr>
          <w:rFonts w:hint="eastAsia" w:ascii="宋体" w:hAnsi="宋体" w:eastAsia="宋体" w:cs="宋体"/>
          <w:b/>
          <w:color w:val="000000" w:themeColor="text1"/>
          <w:sz w:val="28"/>
          <w:highlight w:val="none"/>
          <w14:textFill>
            <w14:solidFill>
              <w14:schemeClr w14:val="tx1"/>
            </w14:solidFill>
          </w14:textFill>
        </w:rPr>
      </w:pPr>
    </w:p>
    <w:p w14:paraId="7AC340B2">
      <w:pPr>
        <w:pStyle w:val="17"/>
        <w:tabs>
          <w:tab w:val="right" w:leader="dot" w:pos="8279"/>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fldChar w:fldCharType="begin"/>
      </w:r>
      <w:r>
        <w:rPr>
          <w:rFonts w:hint="eastAsia" w:ascii="宋体" w:hAnsi="宋体" w:eastAsia="宋体" w:cs="宋体"/>
          <w:b/>
          <w:bCs/>
          <w:color w:val="000000" w:themeColor="text1"/>
          <w:sz w:val="24"/>
          <w:szCs w:val="24"/>
          <w:highlight w:val="none"/>
          <w14:textFill>
            <w14:solidFill>
              <w14:schemeClr w14:val="tx1"/>
            </w14:solidFill>
          </w14:textFill>
        </w:rPr>
        <w:instrText xml:space="preserve"> TOC \o "1-2" \h \z \u </w:instrText>
      </w:r>
      <w:r>
        <w:rPr>
          <w:rFonts w:hint="eastAsia" w:ascii="宋体" w:hAnsi="宋体" w:eastAsia="宋体" w:cs="宋体"/>
          <w:b/>
          <w:bCs/>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"_Toc19988"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第一章  磋商邀请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_Toc19988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6978B58">
      <w:pPr>
        <w:pStyle w:val="17"/>
        <w:tabs>
          <w:tab w:val="right" w:leader="dot" w:pos="8279"/>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"_Toc7162"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第二章  供应商须知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_Toc7162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3436988">
      <w:pPr>
        <w:pStyle w:val="17"/>
        <w:tabs>
          <w:tab w:val="right" w:leader="dot" w:pos="8279"/>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"_Toc19440"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第三章  采购需求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_Toc19440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2FF6B9D">
      <w:pPr>
        <w:pStyle w:val="17"/>
        <w:tabs>
          <w:tab w:val="right" w:leader="dot" w:pos="8279"/>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"_Toc8668"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第四章  评审方法和标准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_Toc8668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5F024C7">
      <w:pPr>
        <w:pStyle w:val="17"/>
        <w:tabs>
          <w:tab w:val="right" w:leader="dot" w:pos="8279"/>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"_Toc17167"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第五章  政府采购合同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_Toc17167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A765AD9">
      <w:pPr>
        <w:pStyle w:val="17"/>
        <w:tabs>
          <w:tab w:val="right" w:leader="dot" w:pos="8279"/>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"_Toc25148"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第六章  响应文件格式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_Toc25148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2AB45AD">
      <w:pPr>
        <w:pStyle w:val="17"/>
        <w:tabs>
          <w:tab w:val="right" w:leader="dot" w:pos="8279"/>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"_Toc19418"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highlight w:val="none"/>
          <w14:textFill>
            <w14:solidFill>
              <w14:schemeClr w14:val="tx1"/>
            </w14:solidFill>
          </w14:textFill>
        </w:rPr>
        <w:t>第七章  政府采购</w:t>
      </w:r>
      <w:r>
        <w:rPr>
          <w:rFonts w:hint="eastAsia" w:ascii="宋体" w:hAnsi="宋体" w:eastAsia="宋体" w:cs="宋体"/>
          <w:color w:val="000000" w:themeColor="text1"/>
          <w:highlight w:val="none"/>
          <w14:textFill>
            <w14:solidFill>
              <w14:schemeClr w14:val="tx1"/>
            </w14:solidFill>
          </w14:textFill>
        </w:rPr>
        <w:t>供应</w:t>
      </w:r>
      <w:r>
        <w:rPr>
          <w:rFonts w:hint="eastAsia" w:ascii="宋体" w:hAnsi="宋体" w:eastAsia="宋体" w:cs="宋体"/>
          <w:bCs/>
          <w:color w:val="000000" w:themeColor="text1"/>
          <w:highlight w:val="none"/>
          <w14:textFill>
            <w14:solidFill>
              <w14:schemeClr w14:val="tx1"/>
            </w14:solidFill>
          </w14:textFill>
        </w:rPr>
        <w:t>商询问函和质疑函范本</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_Toc19418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38F4F8C">
      <w:pPr>
        <w:pStyle w:val="18"/>
        <w:tabs>
          <w:tab w:val="right" w:leader="dot" w:pos="8296"/>
        </w:tabs>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Cs/>
          <w:color w:val="000000" w:themeColor="text1"/>
          <w:szCs w:val="24"/>
          <w:highlight w:val="none"/>
          <w14:textFill>
            <w14:solidFill>
              <w14:schemeClr w14:val="tx1"/>
            </w14:solidFill>
          </w14:textFill>
        </w:rPr>
        <w:fldChar w:fldCharType="end"/>
      </w:r>
    </w:p>
    <w:p w14:paraId="6BD80E6E">
      <w:pPr>
        <w:spacing w:line="360" w:lineRule="auto"/>
        <w:jc w:val="center"/>
        <w:outlineLvl w:val="1"/>
        <w:rPr>
          <w:rFonts w:hint="eastAsia" w:ascii="宋体" w:hAnsi="宋体" w:eastAsia="宋体" w:cs="宋体"/>
          <w:b/>
          <w:color w:val="000000" w:themeColor="text1"/>
          <w:sz w:val="28"/>
          <w:highlight w:val="none"/>
          <w14:textFill>
            <w14:solidFill>
              <w14:schemeClr w14:val="tx1"/>
            </w14:solidFill>
          </w14:textFill>
        </w:rPr>
        <w:sectPr>
          <w:headerReference r:id="rId3" w:type="default"/>
          <w:footerReference r:id="rId4" w:type="default"/>
          <w:pgSz w:w="11907" w:h="16840"/>
          <w:pgMar w:top="1474" w:right="1814" w:bottom="1474" w:left="1814" w:header="851" w:footer="992" w:gutter="0"/>
          <w:cols w:space="720" w:num="1"/>
          <w:docGrid w:linePitch="462" w:charSpace="0"/>
        </w:sectPr>
      </w:pPr>
    </w:p>
    <w:p w14:paraId="05509049">
      <w:pPr>
        <w:spacing w:line="360" w:lineRule="auto"/>
        <w:jc w:val="center"/>
        <w:outlineLvl w:val="0"/>
        <w:rPr>
          <w:rFonts w:hint="eastAsia" w:ascii="宋体" w:hAnsi="宋体" w:eastAsia="宋体" w:cs="宋体"/>
          <w:b/>
          <w:color w:val="000000" w:themeColor="text1"/>
          <w:sz w:val="28"/>
          <w:highlight w:val="none"/>
          <w14:textFill>
            <w14:solidFill>
              <w14:schemeClr w14:val="tx1"/>
            </w14:solidFill>
          </w14:textFill>
        </w:rPr>
      </w:pPr>
      <w:bookmarkStart w:id="1" w:name="_Toc19988"/>
      <w:bookmarkStart w:id="2" w:name="_Toc501"/>
      <w:r>
        <w:rPr>
          <w:rFonts w:hint="eastAsia" w:ascii="宋体" w:hAnsi="宋体" w:eastAsia="宋体" w:cs="宋体"/>
          <w:b/>
          <w:color w:val="000000" w:themeColor="text1"/>
          <w:sz w:val="28"/>
          <w:highlight w:val="none"/>
          <w14:textFill>
            <w14:solidFill>
              <w14:schemeClr w14:val="tx1"/>
            </w14:solidFill>
          </w14:textFill>
        </w:rPr>
        <w:t>第一章  磋商邀请</w:t>
      </w:r>
      <w:bookmarkEnd w:id="1"/>
      <w:bookmarkEnd w:id="2"/>
    </w:p>
    <w:p w14:paraId="761083D8">
      <w:pPr>
        <w:pStyle w:val="3"/>
        <w:adjustRightInd w:val="0"/>
        <w:snapToGrid w:val="0"/>
        <w:spacing w:before="0" w:after="0" w:line="560" w:lineRule="exact"/>
        <w:ind w:firstLine="482" w:firstLineChars="200"/>
        <w:jc w:val="left"/>
        <w:rPr>
          <w:rFonts w:hint="eastAsia" w:ascii="宋体" w:hAnsi="宋体" w:eastAsia="宋体" w:cs="宋体"/>
          <w:bCs w:val="0"/>
          <w:color w:val="000000" w:themeColor="text1"/>
          <w:sz w:val="24"/>
          <w:szCs w:val="24"/>
          <w:highlight w:val="none"/>
          <w14:textFill>
            <w14:solidFill>
              <w14:schemeClr w14:val="tx1"/>
            </w14:solidFill>
          </w14:textFill>
        </w:rPr>
      </w:pPr>
      <w:bookmarkStart w:id="3" w:name="_Toc14730"/>
      <w:bookmarkStart w:id="4" w:name="_Toc35393629"/>
      <w:bookmarkStart w:id="5" w:name="_Toc35393798"/>
      <w:bookmarkStart w:id="6" w:name="_Toc28359089"/>
      <w:bookmarkStart w:id="7" w:name="_Toc28359012"/>
      <w:r>
        <w:rPr>
          <w:rFonts w:hint="eastAsia" w:ascii="宋体" w:hAnsi="宋体" w:eastAsia="宋体" w:cs="宋体"/>
          <w:bCs w:val="0"/>
          <w:color w:val="000000" w:themeColor="text1"/>
          <w:sz w:val="24"/>
          <w:szCs w:val="24"/>
          <w:highlight w:val="none"/>
          <w14:textFill>
            <w14:solidFill>
              <w14:schemeClr w14:val="tx1"/>
            </w14:solidFill>
          </w14:textFill>
        </w:rPr>
        <w:t>一、项目基本情况</w:t>
      </w:r>
      <w:bookmarkEnd w:id="3"/>
      <w:bookmarkEnd w:id="4"/>
      <w:bookmarkEnd w:id="5"/>
      <w:bookmarkEnd w:id="6"/>
      <w:bookmarkEnd w:id="7"/>
    </w:p>
    <w:p w14:paraId="7F18060A">
      <w:pPr>
        <w:adjustRightInd w:val="0"/>
        <w:snapToGrid w:val="0"/>
        <w:spacing w:line="560" w:lineRule="exact"/>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1.项目编号：FSSD34000120260269号-001</w:t>
      </w:r>
    </w:p>
    <w:p w14:paraId="5A9F13FE">
      <w:pPr>
        <w:adjustRightInd w:val="0"/>
        <w:snapToGrid w:val="0"/>
        <w:spacing w:line="560" w:lineRule="exact"/>
        <w:ind w:firstLine="480" w:firstLineChars="200"/>
        <w:jc w:val="left"/>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2.项目名称：</w:t>
      </w:r>
      <w:r>
        <w:rPr>
          <w:rFonts w:hint="eastAsia" w:ascii="宋体" w:hAnsi="宋体" w:eastAsia="宋体" w:cs="宋体"/>
          <w:color w:val="000000" w:themeColor="text1"/>
          <w:sz w:val="24"/>
          <w:szCs w:val="24"/>
          <w:highlight w:val="none"/>
          <w:lang w:eastAsia="zh-CN"/>
          <w14:textFill>
            <w14:solidFill>
              <w14:schemeClr w14:val="tx1"/>
            </w14:solidFill>
          </w14:textFill>
        </w:rPr>
        <w:t>2026年省淮河局、省怀洪新河局、省临淮岗局部分水闸安全鉴定及堤防安全评价等（第1包省淮河局）</w:t>
      </w:r>
    </w:p>
    <w:p w14:paraId="5EE4AC0B">
      <w:pPr>
        <w:adjustRightInd w:val="0"/>
        <w:snapToGrid w:val="0"/>
        <w:spacing w:line="560" w:lineRule="exact"/>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.预算金额：</w:t>
      </w:r>
      <w:r>
        <w:rPr>
          <w:rFonts w:hint="eastAsia" w:ascii="宋体" w:hAnsi="宋体" w:eastAsia="宋体" w:cs="宋体"/>
          <w:color w:val="000000" w:themeColor="text1"/>
          <w:sz w:val="24"/>
          <w:szCs w:val="24"/>
          <w:highlight w:val="none"/>
          <w:lang w:val="en-US" w:eastAsia="zh-CN"/>
          <w14:textFill>
            <w14:solidFill>
              <w14:schemeClr w14:val="tx1"/>
            </w14:solidFill>
          </w14:textFill>
        </w:rPr>
        <w:t>313万元（</w:t>
      </w:r>
      <w:r>
        <w:rPr>
          <w:rFonts w:hint="eastAsia" w:ascii="宋体" w:hAnsi="宋体" w:eastAsia="宋体" w:cs="宋体"/>
          <w:color w:val="000000" w:themeColor="text1"/>
          <w:sz w:val="24"/>
          <w:szCs w:val="24"/>
          <w:highlight w:val="none"/>
          <w:lang w:eastAsia="zh-CN"/>
          <w14:textFill>
            <w14:solidFill>
              <w14:schemeClr w14:val="tx1"/>
            </w14:solidFill>
          </w14:textFill>
        </w:rPr>
        <w:t>其中第1包省淮河局88万元，第2包省怀洪新河局35万元，第3包省临淮岗局190万元</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22A1F274">
      <w:pPr>
        <w:adjustRightInd w:val="0"/>
        <w:snapToGrid w:val="0"/>
        <w:spacing w:line="560" w:lineRule="exact"/>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4.最高限价：</w:t>
      </w:r>
      <w:r>
        <w:rPr>
          <w:rFonts w:hint="eastAsia" w:ascii="宋体" w:hAnsi="宋体" w:eastAsia="宋体" w:cs="宋体"/>
          <w:color w:val="000000" w:themeColor="text1"/>
          <w:sz w:val="24"/>
          <w:szCs w:val="24"/>
          <w:highlight w:val="none"/>
          <w:lang w:val="en-US" w:eastAsia="zh-CN"/>
          <w14:textFill>
            <w14:solidFill>
              <w14:schemeClr w14:val="tx1"/>
            </w14:solidFill>
          </w14:textFill>
        </w:rPr>
        <w:t>313万元（</w:t>
      </w:r>
      <w:r>
        <w:rPr>
          <w:rFonts w:hint="eastAsia" w:ascii="宋体" w:hAnsi="宋体" w:eastAsia="宋体" w:cs="宋体"/>
          <w:color w:val="000000" w:themeColor="text1"/>
          <w:sz w:val="24"/>
          <w:szCs w:val="24"/>
          <w:highlight w:val="none"/>
          <w:lang w:eastAsia="zh-CN"/>
          <w14:textFill>
            <w14:solidFill>
              <w14:schemeClr w14:val="tx1"/>
            </w14:solidFill>
          </w14:textFill>
        </w:rPr>
        <w:t>其中第1包省淮河局88万元，第2包省怀洪新河局35万元，第3包省临淮岗局190万元</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00463A95">
      <w:pPr>
        <w:adjustRightInd w:val="0"/>
        <w:snapToGrid w:val="0"/>
        <w:spacing w:line="560" w:lineRule="exact"/>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5.采购需求：</w:t>
      </w:r>
      <w:r>
        <w:rPr>
          <w:rFonts w:hint="eastAsia" w:ascii="宋体" w:hAnsi="宋体" w:eastAsia="宋体" w:cs="宋体"/>
          <w:b/>
          <w:bCs/>
          <w:color w:val="000000" w:themeColor="text1"/>
          <w:sz w:val="24"/>
          <w:szCs w:val="24"/>
          <w:highlight w:val="none"/>
          <w:lang w:eastAsia="zh-CN"/>
          <w14:textFill>
            <w14:solidFill>
              <w14:schemeClr w14:val="tx1"/>
            </w14:solidFill>
          </w14:textFill>
        </w:rPr>
        <w:t>2026年省淮河局、省怀洪新河局、省临淮岗局部分水闸安全鉴定及堤防安全评价等</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项目共3个包别，为统采分签项目。由安徽省淮河河道管理局作为采购人统一组织采购，成交人成交后分别与各单位签订合同。</w:t>
      </w:r>
    </w:p>
    <w:p w14:paraId="697BBB24">
      <w:pPr>
        <w:adjustRightInd w:val="0"/>
        <w:snapToGrid w:val="0"/>
        <w:spacing w:line="560" w:lineRule="exact"/>
        <w:ind w:firstLine="482"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本项目为</w:t>
      </w:r>
      <w:bookmarkStart w:id="8" w:name="_Hlk190178055"/>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第1包省淮河局：为全面掌握淮北大堤部分穿堤涵闸及临近堤防安全运行状态，拟对新河涵、乌江涵、小集涵、吴沟涵、郎庙涵、张沟涵、丁花沟涵、蔡桥涵8座穿堤涵闸及临近堤防进行安全鉴定</w:t>
      </w:r>
      <w:r>
        <w:rPr>
          <w:rFonts w:hint="eastAsia" w:ascii="宋体" w:hAnsi="宋体" w:eastAsia="宋体" w:cs="宋体"/>
          <w:color w:val="000000" w:themeColor="text1"/>
          <w:sz w:val="24"/>
          <w:szCs w:val="24"/>
          <w:highlight w:val="none"/>
          <w:lang w:val="en-US" w:eastAsia="zh-CN"/>
          <w14:textFill>
            <w14:solidFill>
              <w14:schemeClr w14:val="tx1"/>
            </w14:solidFill>
          </w14:textFill>
        </w:rPr>
        <w:t>，编制完成现状调查分析报告、现场安全检测报告、工程复核计算分析报告和水闸安全评价报告，并通过水闸安全评价成果审查工作。具体详见磋商文件。</w:t>
      </w:r>
    </w:p>
    <w:bookmarkEnd w:id="8"/>
    <w:p w14:paraId="74AAF957">
      <w:pPr>
        <w:adjustRightInd w:val="0"/>
        <w:snapToGrid w:val="0"/>
        <w:spacing w:line="560" w:lineRule="exact"/>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6.合同履行期限：</w:t>
      </w:r>
      <w:r>
        <w:rPr>
          <w:rFonts w:hint="eastAsia" w:ascii="宋体" w:hAnsi="宋体" w:eastAsia="宋体" w:cs="宋体"/>
          <w:b/>
          <w:bCs/>
          <w:color w:val="000000" w:themeColor="text1"/>
          <w:sz w:val="24"/>
          <w:szCs w:val="24"/>
          <w:highlight w:val="none"/>
          <w14:textFill>
            <w14:solidFill>
              <w14:schemeClr w14:val="tx1"/>
            </w14:solidFill>
          </w14:textFill>
        </w:rPr>
        <w:t>合同签订之日起至鉴定审定部门审定并印发水闸安全鉴定报告书为止。</w:t>
      </w:r>
    </w:p>
    <w:p w14:paraId="465CD852">
      <w:pPr>
        <w:adjustRightInd w:val="0"/>
        <w:snapToGrid w:val="0"/>
        <w:spacing w:line="560" w:lineRule="exact"/>
        <w:ind w:firstLine="480" w:firstLineChars="200"/>
        <w:jc w:val="lef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本项目接受联合体磋商。</w:t>
      </w:r>
    </w:p>
    <w:p w14:paraId="64519D0B">
      <w:pPr>
        <w:pStyle w:val="3"/>
        <w:adjustRightInd w:val="0"/>
        <w:snapToGrid w:val="0"/>
        <w:spacing w:before="0" w:after="0" w:line="560" w:lineRule="exact"/>
        <w:ind w:firstLine="482" w:firstLineChars="200"/>
        <w:jc w:val="left"/>
        <w:rPr>
          <w:rFonts w:hint="eastAsia" w:ascii="宋体" w:hAnsi="宋体" w:eastAsia="宋体" w:cs="宋体"/>
          <w:bCs w:val="0"/>
          <w:color w:val="000000" w:themeColor="text1"/>
          <w:sz w:val="24"/>
          <w:szCs w:val="24"/>
          <w:highlight w:val="none"/>
          <w14:textFill>
            <w14:solidFill>
              <w14:schemeClr w14:val="tx1"/>
            </w14:solidFill>
          </w14:textFill>
        </w:rPr>
      </w:pPr>
      <w:bookmarkStart w:id="9" w:name="_Toc35393799"/>
      <w:bookmarkStart w:id="10" w:name="_Toc28359013"/>
      <w:bookmarkStart w:id="11" w:name="_Toc35393630"/>
      <w:bookmarkStart w:id="12" w:name="_Toc32615"/>
      <w:bookmarkStart w:id="13" w:name="_Toc28359090"/>
      <w:r>
        <w:rPr>
          <w:rFonts w:hint="eastAsia" w:ascii="宋体" w:hAnsi="宋体" w:eastAsia="宋体" w:cs="宋体"/>
          <w:bCs w:val="0"/>
          <w:color w:val="000000" w:themeColor="text1"/>
          <w:sz w:val="24"/>
          <w:szCs w:val="24"/>
          <w:highlight w:val="none"/>
          <w14:textFill>
            <w14:solidFill>
              <w14:schemeClr w14:val="tx1"/>
            </w14:solidFill>
          </w14:textFill>
        </w:rPr>
        <w:t>二、申请人的资格要求：</w:t>
      </w:r>
      <w:bookmarkEnd w:id="9"/>
      <w:bookmarkEnd w:id="10"/>
      <w:bookmarkEnd w:id="11"/>
      <w:bookmarkEnd w:id="12"/>
      <w:bookmarkEnd w:id="13"/>
    </w:p>
    <w:p w14:paraId="0336ABE3">
      <w:pPr>
        <w:adjustRightInd w:val="0"/>
        <w:snapToGrid w:val="0"/>
        <w:spacing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1.满足《中华人民共和国政府采购法》第二十二条规定；</w:t>
      </w:r>
    </w:p>
    <w:p w14:paraId="55CE0635">
      <w:pPr>
        <w:adjustRightInd w:val="0"/>
        <w:snapToGrid w:val="0"/>
        <w:spacing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bookmarkStart w:id="14" w:name="_Toc28359014"/>
      <w:bookmarkStart w:id="15" w:name="_Toc28359091"/>
      <w:r>
        <w:rPr>
          <w:rFonts w:hint="eastAsia" w:ascii="宋体" w:hAnsi="宋体" w:eastAsia="宋体" w:cs="宋体"/>
          <w:color w:val="000000" w:themeColor="text1"/>
          <w:sz w:val="24"/>
          <w:szCs w:val="24"/>
          <w:highlight w:val="none"/>
          <w14:textFill>
            <w14:solidFill>
              <w14:schemeClr w14:val="tx1"/>
            </w14:solidFill>
          </w14:textFill>
        </w:rPr>
        <w:t>2.落实政府采购政策需满足的资格要求：</w:t>
      </w:r>
    </w:p>
    <w:p w14:paraId="32A84ED0">
      <w:pPr>
        <w:adjustRightInd w:val="0"/>
        <w:snapToGrid w:val="0"/>
        <w:spacing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2.1中小企业政策</w:t>
      </w:r>
    </w:p>
    <w:p w14:paraId="02CFB2F2">
      <w:pPr>
        <w:adjustRightInd w:val="0"/>
        <w:snapToGrid w:val="0"/>
        <w:spacing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w:t>
      </w: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hint="eastAsia" w:ascii="宋体" w:hAnsi="宋体" w:eastAsia="宋体" w:cs="宋体"/>
          <w:b/>
          <w:bCs/>
          <w:color w:val="000000" w:themeColor="text1"/>
          <w:sz w:val="24"/>
          <w:szCs w:val="24"/>
          <w:highlight w:val="none"/>
          <w14:textFill>
            <w14:solidFill>
              <w14:schemeClr w14:val="tx1"/>
            </w14:solidFill>
          </w14:textFill>
        </w:rPr>
        <w:t>本项目不专门面向中小企业预留采购份额。</w:t>
      </w:r>
    </w:p>
    <w:p w14:paraId="71ACACF3">
      <w:pPr>
        <w:adjustRightInd w:val="0"/>
        <w:snapToGrid w:val="0"/>
        <w:spacing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2.1.2□本项目专门面向/采购。</w:t>
      </w:r>
    </w:p>
    <w:p w14:paraId="4FFE0EB1">
      <w:pPr>
        <w:adjustRightInd w:val="0"/>
        <w:snapToGrid w:val="0"/>
        <w:spacing w:line="56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2.1.3□本项目预留部分采购项目预算专门面向中小企业采购。对于预留份额，提供的货物由符合政策要求的中小企业制造。预留份额通过以下措施进行：/。</w:t>
      </w:r>
    </w:p>
    <w:p w14:paraId="2A1783A5">
      <w:pPr>
        <w:adjustRightInd w:val="0"/>
        <w:snapToGrid w:val="0"/>
        <w:spacing w:line="56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2.2其它落实政府采购政策的资格要求（如有）：/。</w:t>
      </w:r>
    </w:p>
    <w:p w14:paraId="4C45C1AA">
      <w:pPr>
        <w:adjustRightInd w:val="0"/>
        <w:snapToGrid w:val="0"/>
        <w:spacing w:line="56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3.本项目的特定资格要求：</w:t>
      </w:r>
      <w:r>
        <w:rPr>
          <w:rFonts w:hint="eastAsia" w:ascii="宋体" w:hAnsi="宋体" w:eastAsia="宋体" w:cs="宋体"/>
          <w:b/>
          <w:bCs/>
          <w:color w:val="000000" w:themeColor="text1"/>
          <w:sz w:val="24"/>
          <w:highlight w:val="none"/>
          <w14:textFill>
            <w14:solidFill>
              <w14:schemeClr w14:val="tx1"/>
            </w14:solidFill>
          </w14:textFill>
        </w:rPr>
        <w:t>①具备工程设计综合甲级或水利行业设计甲级资质或经水利部公布的可承担大中型水闸的安全评价工作</w:t>
      </w:r>
      <w:r>
        <w:rPr>
          <w:rFonts w:hint="eastAsia" w:ascii="宋体" w:hAnsi="宋体" w:eastAsia="宋体" w:cs="宋体"/>
          <w:b/>
          <w:bCs/>
          <w:color w:val="000000" w:themeColor="text1"/>
          <w:sz w:val="24"/>
          <w:highlight w:val="none"/>
          <w:lang w:val="en-US"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水利科研院（所）；②具有水利工程质量检测岩土工程、混凝土工程、金属结构、机械电气和量测5个类别</w:t>
      </w:r>
      <w:r>
        <w:rPr>
          <w:rFonts w:hint="eastAsia" w:ascii="宋体" w:hAnsi="宋体" w:eastAsia="宋体" w:cs="宋体"/>
          <w:b/>
          <w:bCs/>
          <w:color w:val="000000" w:themeColor="text1"/>
          <w:sz w:val="24"/>
          <w:highlight w:val="none"/>
          <w:lang w:val="en-US" w:eastAsia="zh-CN"/>
          <w14:textFill>
            <w14:solidFill>
              <w14:schemeClr w14:val="tx1"/>
            </w14:solidFill>
          </w14:textFill>
        </w:rPr>
        <w:t>甲</w:t>
      </w:r>
      <w:r>
        <w:rPr>
          <w:rFonts w:hint="eastAsia" w:ascii="宋体" w:hAnsi="宋体" w:eastAsia="宋体" w:cs="宋体"/>
          <w:b/>
          <w:bCs/>
          <w:color w:val="000000" w:themeColor="text1"/>
          <w:sz w:val="24"/>
          <w:highlight w:val="none"/>
          <w14:textFill>
            <w14:solidFill>
              <w14:schemeClr w14:val="tx1"/>
            </w14:solidFill>
          </w14:textFill>
        </w:rPr>
        <w:t>级资质。③具有有效的检验检测机构资质认定证书（CMA）。</w:t>
      </w:r>
    </w:p>
    <w:p w14:paraId="5C551CDD">
      <w:pPr>
        <w:adjustRightInd w:val="0"/>
        <w:snapToGrid w:val="0"/>
        <w:spacing w:line="560" w:lineRule="exact"/>
        <w:ind w:firstLine="482" w:firstLineChars="200"/>
        <w:jc w:val="left"/>
        <w:rPr>
          <w:rFonts w:hint="eastAsia" w:ascii="宋体" w:hAnsi="宋体" w:eastAsia="宋体" w:cs="宋体"/>
          <w:b/>
          <w:bCs/>
          <w:color w:val="000000" w:themeColor="text1"/>
          <w:sz w:val="24"/>
          <w:highlight w:val="none"/>
          <w14:textFill>
            <w14:solidFill>
              <w14:schemeClr w14:val="tx1"/>
            </w14:solidFill>
          </w14:textFill>
        </w:rPr>
      </w:pPr>
      <w:bookmarkStart w:id="16" w:name="_Toc35393800"/>
      <w:bookmarkStart w:id="17" w:name="_Toc24072"/>
      <w:bookmarkStart w:id="18" w:name="_Toc35393631"/>
      <w:r>
        <w:rPr>
          <w:rFonts w:hint="eastAsia" w:ascii="宋体" w:hAnsi="宋体" w:eastAsia="宋体" w:cs="宋体"/>
          <w:b/>
          <w:bCs/>
          <w:color w:val="000000" w:themeColor="text1"/>
          <w:sz w:val="24"/>
          <w:highlight w:val="none"/>
          <w14:textFill>
            <w14:solidFill>
              <w14:schemeClr w14:val="tx1"/>
            </w14:solidFill>
          </w14:textFill>
        </w:rPr>
        <w:t>三、获取采购文件</w:t>
      </w:r>
      <w:bookmarkEnd w:id="14"/>
      <w:bookmarkEnd w:id="15"/>
      <w:bookmarkEnd w:id="16"/>
      <w:bookmarkEnd w:id="17"/>
      <w:bookmarkEnd w:id="18"/>
    </w:p>
    <w:p w14:paraId="1995271B">
      <w:pPr>
        <w:adjustRightInd w:val="0"/>
        <w:snapToGrid w:val="0"/>
        <w:spacing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bookmarkStart w:id="19" w:name="_Toc35393632"/>
      <w:bookmarkStart w:id="20" w:name="_Toc35393801"/>
      <w:bookmarkStart w:id="21" w:name="_Toc28359015"/>
      <w:bookmarkStart w:id="22" w:name="_Toc28359092"/>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2026年01月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26</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日</w:t>
      </w:r>
      <w:r>
        <w:rPr>
          <w:rFonts w:hint="eastAsia" w:ascii="宋体" w:hAnsi="宋体" w:eastAsia="宋体" w:cs="宋体"/>
          <w:color w:val="000000" w:themeColor="text1"/>
          <w:sz w:val="24"/>
          <w:szCs w:val="24"/>
          <w:highlight w:val="none"/>
          <w:u w:val="single"/>
          <w14:textFill>
            <w14:solidFill>
              <w14:schemeClr w14:val="tx1"/>
            </w14:solidFill>
          </w14:textFill>
        </w:rPr>
        <w:t>至</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2026年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02</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06</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w:t>
      </w:r>
      <w:bookmarkStart w:id="23" w:name="_Toc5805"/>
      <w:r>
        <w:rPr>
          <w:rFonts w:hint="eastAsia" w:ascii="宋体" w:hAnsi="宋体" w:eastAsia="宋体" w:cs="宋体"/>
          <w:color w:val="000000" w:themeColor="text1"/>
          <w:sz w:val="24"/>
          <w:szCs w:val="24"/>
          <w:highlight w:val="none"/>
          <w14:textFill>
            <w14:solidFill>
              <w14:schemeClr w14:val="tx1"/>
            </w14:solidFill>
          </w14:textFill>
        </w:rPr>
        <w:t>每天上午00:00至12:00，下午12:00至23:59（北京时间，法定节假日除外）</w:t>
      </w:r>
    </w:p>
    <w:p w14:paraId="672B962E">
      <w:pPr>
        <w:adjustRightInd w:val="0"/>
        <w:snapToGrid w:val="0"/>
        <w:spacing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地点：“徽采云”电子交易系统 </w:t>
      </w:r>
    </w:p>
    <w:p w14:paraId="1D169697">
      <w:pPr>
        <w:adjustRightInd w:val="0"/>
        <w:snapToGrid w:val="0"/>
        <w:spacing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方式：供应商登录“徽采云”电子交易系统在线获取采购文件</w:t>
      </w:r>
    </w:p>
    <w:p w14:paraId="626103D9">
      <w:pPr>
        <w:adjustRightInd w:val="0"/>
        <w:snapToGrid w:val="0"/>
        <w:spacing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售价：0元</w:t>
      </w:r>
    </w:p>
    <w:p w14:paraId="2E96D4F1">
      <w:pPr>
        <w:adjustRightInd w:val="0"/>
        <w:snapToGrid w:val="0"/>
        <w:spacing w:line="560" w:lineRule="exact"/>
        <w:ind w:firstLine="482"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 四、响应文件提交</w:t>
      </w:r>
      <w:bookmarkEnd w:id="19"/>
      <w:bookmarkEnd w:id="20"/>
      <w:bookmarkEnd w:id="21"/>
      <w:bookmarkEnd w:id="22"/>
      <w:bookmarkEnd w:id="23"/>
    </w:p>
    <w:p w14:paraId="7DBD560A">
      <w:pPr>
        <w:adjustRightInd w:val="0"/>
        <w:snapToGrid w:val="0"/>
        <w:spacing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bookmarkStart w:id="24" w:name="_Toc35393802"/>
      <w:bookmarkStart w:id="25" w:name="_Toc28359093"/>
      <w:bookmarkStart w:id="26" w:name="_Toc28359016"/>
      <w:bookmarkStart w:id="27" w:name="_Toc35393633"/>
      <w:bookmarkStart w:id="28" w:name="_Toc32658"/>
      <w:r>
        <w:rPr>
          <w:rFonts w:hint="eastAsia" w:ascii="宋体" w:hAnsi="宋体" w:eastAsia="宋体" w:cs="宋体"/>
          <w:color w:val="000000" w:themeColor="text1"/>
          <w:sz w:val="24"/>
          <w:szCs w:val="24"/>
          <w:highlight w:val="none"/>
          <w14:textFill>
            <w14:solidFill>
              <w14:schemeClr w14:val="tx1"/>
            </w14:solidFill>
          </w14:textFill>
        </w:rPr>
        <w:t>截止时间：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2026年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02</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06</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13</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点</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0分</w:t>
      </w:r>
      <w:r>
        <w:rPr>
          <w:rFonts w:hint="eastAsia" w:ascii="宋体" w:hAnsi="宋体" w:eastAsia="宋体" w:cs="宋体"/>
          <w:color w:val="000000" w:themeColor="text1"/>
          <w:sz w:val="24"/>
          <w:szCs w:val="24"/>
          <w:highlight w:val="none"/>
          <w:u w:val="single"/>
          <w14:textFill>
            <w14:solidFill>
              <w14:schemeClr w14:val="tx1"/>
            </w14:solidFill>
          </w14:textFill>
        </w:rPr>
        <w:t>（北京时间）</w:t>
      </w:r>
    </w:p>
    <w:p w14:paraId="0B4C8CE7">
      <w:pPr>
        <w:adjustRightInd w:val="0"/>
        <w:snapToGrid w:val="0"/>
        <w:spacing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地点：“徽采云”电子交易系统</w:t>
      </w:r>
    </w:p>
    <w:p w14:paraId="62C3241C">
      <w:pPr>
        <w:pStyle w:val="3"/>
        <w:adjustRightInd w:val="0"/>
        <w:snapToGrid w:val="0"/>
        <w:spacing w:before="0" w:after="0" w:line="560" w:lineRule="exact"/>
        <w:ind w:firstLine="482" w:firstLineChars="200"/>
        <w:jc w:val="left"/>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bCs w:val="0"/>
          <w:color w:val="000000" w:themeColor="text1"/>
          <w:sz w:val="24"/>
          <w:szCs w:val="24"/>
          <w:highlight w:val="none"/>
          <w14:textFill>
            <w14:solidFill>
              <w14:schemeClr w14:val="tx1"/>
            </w14:solidFill>
          </w14:textFill>
        </w:rPr>
        <w:t>五、开启</w:t>
      </w:r>
      <w:bookmarkEnd w:id="24"/>
      <w:bookmarkEnd w:id="25"/>
      <w:bookmarkEnd w:id="26"/>
      <w:bookmarkEnd w:id="27"/>
      <w:bookmarkEnd w:id="28"/>
    </w:p>
    <w:p w14:paraId="7B23B6AC">
      <w:pPr>
        <w:adjustRightInd w:val="0"/>
        <w:snapToGrid w:val="0"/>
        <w:spacing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2026年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02</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06</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13</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点</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0分</w:t>
      </w:r>
      <w:r>
        <w:rPr>
          <w:rFonts w:hint="eastAsia" w:ascii="宋体" w:hAnsi="宋体" w:eastAsia="宋体" w:cs="宋体"/>
          <w:color w:val="000000" w:themeColor="text1"/>
          <w:sz w:val="24"/>
          <w:szCs w:val="24"/>
          <w:highlight w:val="none"/>
          <w:u w:val="single"/>
          <w14:textFill>
            <w14:solidFill>
              <w14:schemeClr w14:val="tx1"/>
            </w14:solidFill>
          </w14:textFill>
        </w:rPr>
        <w:t>（北京时间）</w:t>
      </w:r>
    </w:p>
    <w:p w14:paraId="6AC7A03E">
      <w:pPr>
        <w:adjustRightInd w:val="0"/>
        <w:snapToGrid w:val="0"/>
        <w:spacing w:line="560" w:lineRule="exact"/>
        <w:ind w:firstLine="480" w:firstLineChars="200"/>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地点：“徽采云”电子交易系统</w:t>
      </w:r>
    </w:p>
    <w:p w14:paraId="4565E191">
      <w:pPr>
        <w:pStyle w:val="3"/>
        <w:adjustRightInd w:val="0"/>
        <w:snapToGrid w:val="0"/>
        <w:spacing w:before="0" w:after="0" w:line="560" w:lineRule="exact"/>
        <w:ind w:firstLine="482" w:firstLineChars="200"/>
        <w:jc w:val="left"/>
        <w:rPr>
          <w:rFonts w:hint="eastAsia" w:ascii="宋体" w:hAnsi="宋体" w:eastAsia="宋体" w:cs="宋体"/>
          <w:bCs w:val="0"/>
          <w:color w:val="000000" w:themeColor="text1"/>
          <w:sz w:val="24"/>
          <w:szCs w:val="24"/>
          <w:highlight w:val="none"/>
          <w14:textFill>
            <w14:solidFill>
              <w14:schemeClr w14:val="tx1"/>
            </w14:solidFill>
          </w14:textFill>
        </w:rPr>
      </w:pPr>
      <w:bookmarkStart w:id="29" w:name="_Toc35393803"/>
      <w:bookmarkStart w:id="30" w:name="_Toc35393634"/>
      <w:bookmarkStart w:id="31" w:name="_Toc28359017"/>
      <w:bookmarkStart w:id="32" w:name="_Toc6935"/>
      <w:bookmarkStart w:id="33" w:name="_Toc28359094"/>
      <w:r>
        <w:rPr>
          <w:rFonts w:hint="eastAsia" w:ascii="宋体" w:hAnsi="宋体" w:eastAsia="宋体" w:cs="宋体"/>
          <w:bCs w:val="0"/>
          <w:color w:val="000000" w:themeColor="text1"/>
          <w:sz w:val="24"/>
          <w:szCs w:val="24"/>
          <w:highlight w:val="none"/>
          <w14:textFill>
            <w14:solidFill>
              <w14:schemeClr w14:val="tx1"/>
            </w14:solidFill>
          </w14:textFill>
        </w:rPr>
        <w:t>六、公告期限</w:t>
      </w:r>
      <w:bookmarkEnd w:id="29"/>
      <w:bookmarkEnd w:id="30"/>
      <w:bookmarkEnd w:id="31"/>
      <w:bookmarkEnd w:id="32"/>
      <w:bookmarkEnd w:id="33"/>
    </w:p>
    <w:p w14:paraId="3423F891">
      <w:pPr>
        <w:adjustRightInd w:val="0"/>
        <w:snapToGrid w:val="0"/>
        <w:spacing w:line="5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自本公告发布之日起3个工作日。</w:t>
      </w:r>
      <w:bookmarkStart w:id="34" w:name="_Toc35393804"/>
      <w:bookmarkStart w:id="35" w:name="_Toc23004"/>
      <w:bookmarkStart w:id="36" w:name="_Toc35393635"/>
    </w:p>
    <w:p w14:paraId="392384EB">
      <w:pPr>
        <w:numPr>
          <w:ilvl w:val="0"/>
          <w:numId w:val="1"/>
        </w:numPr>
        <w:adjustRightInd w:val="0"/>
        <w:snapToGrid w:val="0"/>
        <w:spacing w:line="560" w:lineRule="exact"/>
        <w:ind w:firstLine="482" w:firstLineChars="200"/>
        <w:jc w:val="left"/>
        <w:outlineLvl w:val="1"/>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其他补充事宜</w:t>
      </w:r>
      <w:bookmarkEnd w:id="34"/>
      <w:bookmarkEnd w:id="35"/>
      <w:bookmarkEnd w:id="36"/>
      <w:bookmarkStart w:id="37" w:name="_Toc28359095"/>
      <w:bookmarkStart w:id="38" w:name="_Toc35393636"/>
      <w:bookmarkStart w:id="39" w:name="_Toc35393805"/>
      <w:bookmarkStart w:id="40" w:name="_Toc28099"/>
      <w:bookmarkStart w:id="41" w:name="_Toc28359018"/>
    </w:p>
    <w:p w14:paraId="6A0D15EE">
      <w:pPr>
        <w:adjustRightInd w:val="0"/>
        <w:snapToGrid w:val="0"/>
        <w:spacing w:line="560" w:lineRule="exact"/>
        <w:ind w:firstLine="480" w:firstLineChars="20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4B9248CA">
      <w:pPr>
        <w:adjustRightInd w:val="0"/>
        <w:snapToGrid w:val="0"/>
        <w:spacing w:line="560" w:lineRule="exact"/>
        <w:ind w:firstLine="480" w:firstLineChars="20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2.本项目落实节能环保、中小微型企业扶持等相关政府采购政策。</w:t>
      </w:r>
    </w:p>
    <w:p w14:paraId="40C466A1">
      <w:pPr>
        <w:adjustRightInd w:val="0"/>
        <w:snapToGrid w:val="0"/>
        <w:spacing w:line="560" w:lineRule="exact"/>
        <w:ind w:firstLine="480" w:firstLineChars="20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3.本次采购公告同时在安徽省政府采购网、安徽省淮河河道管理局网站上发布。</w:t>
      </w:r>
    </w:p>
    <w:p w14:paraId="22BDE938">
      <w:pPr>
        <w:adjustRightInd w:val="0"/>
        <w:snapToGrid w:val="0"/>
        <w:spacing w:line="560" w:lineRule="exact"/>
        <w:ind w:firstLine="480" w:firstLineChars="20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潜在供应商应合理安排采购文件获取时间，特别是网络速度慢的地区防止在系统关闭前网络拥堵无法操作。如果因计算机及网络故障造成无法完成采购文件获取，责任自负。采购文件获取过程中有任何疑问，请在工作时间（09：00-17:30，节假日休息）拨打技术支持热线（非项目咨询）：95763。项目咨询请拨打代理机构项目联系人电话：0552-3092287。</w:t>
      </w:r>
    </w:p>
    <w:p w14:paraId="66073CF6">
      <w:pPr>
        <w:adjustRightInd w:val="0"/>
        <w:snapToGrid w:val="0"/>
        <w:spacing w:line="560" w:lineRule="exact"/>
        <w:ind w:firstLine="482" w:firstLineChars="200"/>
        <w:jc w:val="left"/>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b/>
          <w:bCs/>
          <w:color w:val="FF0000"/>
          <w:kern w:val="0"/>
          <w:sz w:val="24"/>
          <w:szCs w:val="24"/>
          <w:highlight w:val="none"/>
          <w:lang w:val="en-US" w:eastAsia="zh-CN"/>
        </w:rPr>
        <w:t>5.本项目需对所涉及涵闸的全部闸门及启闭机金属结构、机电设备等进行检测、复核计算及评价等；如采用有损检测应在检测完成后由供应商恢复。</w:t>
      </w:r>
    </w:p>
    <w:p w14:paraId="7E92DB93">
      <w:pPr>
        <w:adjustRightInd w:val="0"/>
        <w:snapToGrid w:val="0"/>
        <w:spacing w:line="560" w:lineRule="exact"/>
        <w:ind w:firstLine="482" w:firstLineChars="200"/>
        <w:jc w:val="left"/>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b/>
          <w:bCs/>
          <w:color w:val="FF0000"/>
          <w:kern w:val="0"/>
          <w:sz w:val="24"/>
          <w:szCs w:val="24"/>
          <w:highlight w:val="none"/>
          <w:lang w:val="en-US" w:eastAsia="zh-CN"/>
        </w:rPr>
        <w:t>6.为保障洞身等结构有效检测，本项目响应报价中包含但不限于涵闸上下游围堰填筑及拆除清理、检修门安装拆除工作等。</w:t>
      </w:r>
    </w:p>
    <w:p w14:paraId="7F52E243">
      <w:pPr>
        <w:adjustRightInd w:val="0"/>
        <w:snapToGrid w:val="0"/>
        <w:spacing w:line="560" w:lineRule="exact"/>
        <w:ind w:firstLine="482" w:firstLineChars="200"/>
        <w:jc w:val="left"/>
        <w:outlineLvl w:val="9"/>
        <w:rPr>
          <w:rFonts w:hint="eastAsia" w:ascii="宋体" w:hAnsi="宋体" w:eastAsia="宋体" w:cs="宋体"/>
          <w:b/>
          <w:color w:val="FF0000"/>
          <w:sz w:val="24"/>
          <w:szCs w:val="24"/>
          <w:highlight w:val="none"/>
        </w:rPr>
      </w:pPr>
      <w:r>
        <w:rPr>
          <w:rFonts w:hint="eastAsia" w:ascii="宋体" w:hAnsi="宋体" w:eastAsia="宋体" w:cs="宋体"/>
          <w:b/>
          <w:color w:val="FF0000"/>
          <w:sz w:val="24"/>
          <w:szCs w:val="24"/>
          <w:highlight w:val="none"/>
          <w:lang w:val="en-US" w:eastAsia="zh-CN"/>
        </w:rPr>
        <w:t>7</w:t>
      </w:r>
      <w:r>
        <w:rPr>
          <w:rFonts w:hint="eastAsia" w:ascii="宋体" w:hAnsi="宋体" w:eastAsia="宋体" w:cs="宋体"/>
          <w:b/>
          <w:color w:val="FF0000"/>
          <w:sz w:val="24"/>
          <w:szCs w:val="24"/>
          <w:highlight w:val="none"/>
        </w:rPr>
        <w:t>.本次采购接受联合体磋商，如为联合体磋商：</w:t>
      </w:r>
    </w:p>
    <w:p w14:paraId="36787BCC">
      <w:pPr>
        <w:adjustRightInd w:val="0"/>
        <w:snapToGrid w:val="0"/>
        <w:spacing w:line="560" w:lineRule="exact"/>
        <w:ind w:firstLine="482" w:firstLineChars="200"/>
        <w:jc w:val="left"/>
        <w:outlineLvl w:val="9"/>
        <w:rPr>
          <w:rFonts w:hint="eastAsia" w:ascii="宋体" w:hAnsi="宋体" w:eastAsia="宋体" w:cs="宋体"/>
          <w:b/>
          <w:color w:val="FF0000"/>
          <w:sz w:val="24"/>
          <w:szCs w:val="24"/>
          <w:highlight w:val="none"/>
        </w:rPr>
      </w:pPr>
      <w:r>
        <w:rPr>
          <w:rFonts w:hint="eastAsia" w:ascii="宋体" w:hAnsi="宋体" w:eastAsia="宋体" w:cs="宋体"/>
          <w:b/>
          <w:color w:val="FF0000"/>
          <w:sz w:val="24"/>
          <w:szCs w:val="24"/>
          <w:highlight w:val="none"/>
          <w:lang w:eastAsia="zh-CN"/>
        </w:rPr>
        <w:t>（</w:t>
      </w:r>
      <w:r>
        <w:rPr>
          <w:rFonts w:hint="eastAsia" w:ascii="宋体" w:hAnsi="宋体" w:eastAsia="宋体" w:cs="宋体"/>
          <w:b/>
          <w:color w:val="FF0000"/>
          <w:sz w:val="24"/>
          <w:szCs w:val="24"/>
          <w:highlight w:val="none"/>
          <w:lang w:val="en-US" w:eastAsia="zh-CN"/>
        </w:rPr>
        <w:t>1）</w:t>
      </w:r>
      <w:r>
        <w:rPr>
          <w:rFonts w:hint="eastAsia" w:ascii="宋体" w:hAnsi="宋体" w:eastAsia="宋体" w:cs="宋体"/>
          <w:b/>
          <w:color w:val="FF0000"/>
          <w:sz w:val="24"/>
          <w:szCs w:val="24"/>
          <w:highlight w:val="none"/>
        </w:rPr>
        <w:t>联合体各方应共同签署联合体协议，明确</w:t>
      </w:r>
      <w:r>
        <w:rPr>
          <w:rFonts w:hint="eastAsia" w:ascii="宋体" w:hAnsi="宋体" w:eastAsia="宋体" w:cs="宋体"/>
          <w:b/>
          <w:color w:val="FF0000"/>
          <w:sz w:val="24"/>
          <w:szCs w:val="24"/>
          <w:highlight w:val="none"/>
          <w:lang w:val="en-US" w:eastAsia="zh-CN"/>
        </w:rPr>
        <w:t>牵头人及</w:t>
      </w:r>
      <w:r>
        <w:rPr>
          <w:rFonts w:hint="eastAsia" w:ascii="宋体" w:hAnsi="宋体" w:eastAsia="宋体" w:cs="宋体"/>
          <w:b/>
          <w:color w:val="FF0000"/>
          <w:sz w:val="24"/>
          <w:szCs w:val="24"/>
          <w:highlight w:val="none"/>
        </w:rPr>
        <w:t>各方承担的工作和责任</w:t>
      </w:r>
      <w:r>
        <w:rPr>
          <w:rFonts w:hint="eastAsia" w:ascii="宋体" w:hAnsi="宋体" w:eastAsia="宋体" w:cs="宋体"/>
          <w:b/>
          <w:color w:val="FF0000"/>
          <w:sz w:val="24"/>
          <w:szCs w:val="24"/>
          <w:highlight w:val="none"/>
          <w:lang w:eastAsia="zh-CN"/>
        </w:rPr>
        <w:t>，</w:t>
      </w:r>
      <w:r>
        <w:rPr>
          <w:rFonts w:hint="eastAsia" w:ascii="宋体" w:hAnsi="宋体" w:eastAsia="宋体" w:cs="宋体"/>
          <w:b/>
          <w:color w:val="FF0000"/>
          <w:sz w:val="24"/>
          <w:szCs w:val="24"/>
          <w:highlight w:val="none"/>
          <w:lang w:val="en-US" w:eastAsia="zh-CN"/>
        </w:rPr>
        <w:t>并承诺就本项目对采购人承担连带责任</w:t>
      </w:r>
      <w:r>
        <w:rPr>
          <w:rFonts w:hint="eastAsia" w:ascii="宋体" w:hAnsi="宋体" w:eastAsia="宋体" w:cs="宋体"/>
          <w:b/>
          <w:color w:val="FF0000"/>
          <w:sz w:val="24"/>
          <w:szCs w:val="24"/>
          <w:highlight w:val="none"/>
        </w:rPr>
        <w:t>；</w:t>
      </w:r>
    </w:p>
    <w:p w14:paraId="2CEA5ADA">
      <w:pPr>
        <w:adjustRightInd w:val="0"/>
        <w:snapToGrid w:val="0"/>
        <w:spacing w:line="560" w:lineRule="exact"/>
        <w:ind w:firstLine="482" w:firstLineChars="200"/>
        <w:jc w:val="left"/>
        <w:outlineLvl w:val="9"/>
        <w:rPr>
          <w:rFonts w:hint="eastAsia" w:ascii="宋体" w:hAnsi="宋体" w:eastAsia="宋体" w:cs="宋体"/>
          <w:b/>
          <w:color w:val="FF0000"/>
          <w:sz w:val="24"/>
          <w:szCs w:val="24"/>
          <w:highlight w:val="none"/>
          <w:lang w:val="en-US" w:eastAsia="zh-CN"/>
        </w:rPr>
      </w:pPr>
      <w:r>
        <w:rPr>
          <w:rFonts w:hint="eastAsia" w:ascii="宋体" w:hAnsi="宋体" w:eastAsia="宋体" w:cs="宋体"/>
          <w:b/>
          <w:color w:val="FF0000"/>
          <w:sz w:val="24"/>
          <w:szCs w:val="24"/>
          <w:highlight w:val="none"/>
          <w:lang w:val="en-US" w:eastAsia="zh-CN"/>
        </w:rPr>
        <w:t>（2）联合体成员数量不超过2家，均应满足《中华人民共和国政府采购法》第二十二条规定，其中联合体牵头人应具有</w:t>
      </w:r>
      <w:r>
        <w:rPr>
          <w:rFonts w:hint="eastAsia" w:ascii="宋体" w:hAnsi="宋体" w:eastAsia="宋体" w:cs="宋体"/>
          <w:b/>
          <w:bCs/>
          <w:color w:val="FF0000"/>
          <w:sz w:val="24"/>
          <w:highlight w:val="none"/>
        </w:rPr>
        <w:t>工程设计综合甲级或水利行业设计甲级资质或</w:t>
      </w:r>
      <w:r>
        <w:rPr>
          <w:rFonts w:hint="eastAsia" w:ascii="宋体" w:hAnsi="宋体" w:eastAsia="宋体" w:cs="宋体"/>
          <w:b/>
          <w:bCs/>
          <w:color w:val="FF0000"/>
          <w:sz w:val="24"/>
          <w:highlight w:val="none"/>
          <w:lang w:val="en-US" w:eastAsia="zh-CN"/>
        </w:rPr>
        <w:t>为</w:t>
      </w:r>
      <w:r>
        <w:rPr>
          <w:rFonts w:hint="eastAsia" w:ascii="宋体" w:hAnsi="宋体" w:eastAsia="宋体" w:cs="宋体"/>
          <w:b/>
          <w:bCs/>
          <w:color w:val="FF0000"/>
          <w:sz w:val="24"/>
          <w:highlight w:val="none"/>
        </w:rPr>
        <w:t>经水利部公布的可承担大中型水闸的安全评价工作</w:t>
      </w:r>
      <w:r>
        <w:rPr>
          <w:rFonts w:hint="eastAsia" w:ascii="宋体" w:hAnsi="宋体" w:eastAsia="宋体" w:cs="宋体"/>
          <w:b/>
          <w:bCs/>
          <w:color w:val="FF0000"/>
          <w:sz w:val="24"/>
          <w:highlight w:val="none"/>
          <w:lang w:val="en-US" w:eastAsia="zh-CN"/>
        </w:rPr>
        <w:t>的</w:t>
      </w:r>
      <w:r>
        <w:rPr>
          <w:rFonts w:hint="eastAsia" w:ascii="宋体" w:hAnsi="宋体" w:eastAsia="宋体" w:cs="宋体"/>
          <w:b/>
          <w:bCs/>
          <w:color w:val="FF0000"/>
          <w:sz w:val="24"/>
          <w:highlight w:val="none"/>
        </w:rPr>
        <w:t>水利科研院（所）；</w:t>
      </w:r>
      <w:r>
        <w:rPr>
          <w:rFonts w:hint="eastAsia" w:ascii="宋体" w:hAnsi="宋体" w:eastAsia="宋体" w:cs="宋体"/>
          <w:b/>
          <w:color w:val="FF0000"/>
          <w:sz w:val="24"/>
          <w:szCs w:val="24"/>
          <w:highlight w:val="none"/>
          <w:lang w:val="en-US" w:eastAsia="zh-CN"/>
        </w:rPr>
        <w:t>联合体另一方应具有水利工程质量检测岩土工程、混凝土工程、金属结构、机械电气和量测5个类别甲级资质且具有有效的检验检测机构资质认定证书（CMA）；</w:t>
      </w:r>
    </w:p>
    <w:p w14:paraId="0D28AF25">
      <w:pPr>
        <w:adjustRightInd w:val="0"/>
        <w:snapToGrid w:val="0"/>
        <w:spacing w:line="560" w:lineRule="exact"/>
        <w:ind w:firstLine="482" w:firstLineChars="200"/>
        <w:jc w:val="left"/>
        <w:outlineLvl w:val="9"/>
        <w:rPr>
          <w:rFonts w:hint="eastAsia" w:ascii="宋体" w:hAnsi="宋体" w:eastAsia="宋体" w:cs="宋体"/>
          <w:b/>
          <w:color w:val="FF0000"/>
          <w:sz w:val="24"/>
          <w:szCs w:val="24"/>
          <w:highlight w:val="none"/>
          <w:lang w:val="en-US" w:eastAsia="zh-CN"/>
        </w:rPr>
      </w:pPr>
      <w:r>
        <w:rPr>
          <w:rFonts w:hint="eastAsia" w:ascii="宋体" w:hAnsi="宋体" w:eastAsia="宋体" w:cs="宋体"/>
          <w:b/>
          <w:color w:val="FF0000"/>
          <w:sz w:val="24"/>
          <w:szCs w:val="24"/>
          <w:highlight w:val="none"/>
          <w:lang w:val="en-US" w:eastAsia="zh-CN"/>
        </w:rPr>
        <w:t>（3）项目负责人应为联合体牵头人单位人员。</w:t>
      </w:r>
    </w:p>
    <w:p w14:paraId="7E357FF2">
      <w:pPr>
        <w:adjustRightInd w:val="0"/>
        <w:snapToGrid w:val="0"/>
        <w:spacing w:line="560" w:lineRule="exact"/>
        <w:ind w:firstLine="480" w:firstLineChars="200"/>
        <w:jc w:val="lef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本项目符合财政部、工业和信息化部制定的《政府采购促进中小企业发展管理办法》第六条第三款之规定，为非专门面向中小企业采购项目。具体原因如下：按照本办法规定预留采购份额无法确保充分供应、充分竞争，或者存在可能影响政府采购目标实现的情形。</w:t>
      </w:r>
    </w:p>
    <w:p w14:paraId="449FEBD2">
      <w:pPr>
        <w:adjustRightInd w:val="0"/>
        <w:snapToGrid w:val="0"/>
        <w:spacing w:line="560" w:lineRule="exact"/>
        <w:ind w:firstLine="482" w:firstLineChars="200"/>
        <w:jc w:val="left"/>
        <w:outlineLvl w:val="1"/>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八、凡对本次采购提出询问，请按以下方式联系。</w:t>
      </w:r>
      <w:bookmarkEnd w:id="37"/>
      <w:bookmarkEnd w:id="38"/>
      <w:bookmarkEnd w:id="39"/>
      <w:bookmarkEnd w:id="40"/>
      <w:bookmarkEnd w:id="41"/>
    </w:p>
    <w:p w14:paraId="727D6279">
      <w:pPr>
        <w:adjustRightInd w:val="0"/>
        <w:snapToGrid w:val="0"/>
        <w:spacing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bookmarkStart w:id="42" w:name="_Toc29915"/>
      <w:bookmarkStart w:id="43" w:name="_Toc28359096"/>
      <w:bookmarkStart w:id="44" w:name="_Toc35393637"/>
      <w:bookmarkStart w:id="45" w:name="_Toc28359019"/>
      <w:bookmarkStart w:id="46" w:name="_Toc35393806"/>
      <w:r>
        <w:rPr>
          <w:rFonts w:hint="eastAsia" w:ascii="宋体" w:hAnsi="宋体" w:eastAsia="宋体" w:cs="宋体"/>
          <w:color w:val="000000" w:themeColor="text1"/>
          <w:sz w:val="24"/>
          <w:szCs w:val="24"/>
          <w:highlight w:val="none"/>
          <w14:textFill>
            <w14:solidFill>
              <w14:schemeClr w14:val="tx1"/>
            </w14:solidFill>
          </w14:textFill>
        </w:rPr>
        <w:t>1.采购人信息</w:t>
      </w:r>
      <w:bookmarkEnd w:id="42"/>
      <w:bookmarkEnd w:id="43"/>
      <w:bookmarkEnd w:id="44"/>
      <w:bookmarkEnd w:id="45"/>
      <w:bookmarkEnd w:id="46"/>
    </w:p>
    <w:p w14:paraId="577BD3FA">
      <w:pPr>
        <w:adjustRightInd w:val="0"/>
        <w:snapToGrid w:val="0"/>
        <w:spacing w:line="560" w:lineRule="exact"/>
        <w:ind w:firstLine="480" w:firstLineChars="200"/>
        <w:jc w:val="left"/>
        <w:rPr>
          <w:rFonts w:hint="eastAsia" w:ascii="宋体" w:hAnsi="宋体" w:eastAsia="宋体" w:cs="宋体"/>
          <w:color w:val="000000" w:themeColor="text1"/>
          <w:sz w:val="24"/>
          <w:szCs w:val="18"/>
          <w:highlight w:val="none"/>
          <w14:textFill>
            <w14:solidFill>
              <w14:schemeClr w14:val="tx1"/>
            </w14:solidFill>
          </w14:textFill>
        </w:rPr>
      </w:pPr>
      <w:bookmarkStart w:id="47" w:name="_Toc35393638"/>
      <w:bookmarkStart w:id="48" w:name="_Toc35393807"/>
      <w:bookmarkStart w:id="49" w:name="_Toc28359020"/>
      <w:bookmarkStart w:id="50" w:name="_Toc28359097"/>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s="宋体"/>
          <w:color w:val="000000" w:themeColor="text1"/>
          <w:sz w:val="24"/>
          <w:szCs w:val="18"/>
          <w:highlight w:val="none"/>
          <w14:textFill>
            <w14:solidFill>
              <w14:schemeClr w14:val="tx1"/>
            </w14:solidFill>
          </w14:textFill>
        </w:rPr>
        <w:t>：安徽省淮河河道管理局</w:t>
      </w:r>
    </w:p>
    <w:p w14:paraId="2ECDA84D">
      <w:pPr>
        <w:adjustRightInd w:val="0"/>
        <w:snapToGrid w:val="0"/>
        <w:spacing w:line="560" w:lineRule="exact"/>
        <w:ind w:firstLine="480" w:firstLineChars="200"/>
        <w:jc w:val="left"/>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地  址：安徽省蚌埠市解放一路116号</w:t>
      </w:r>
    </w:p>
    <w:p w14:paraId="60657F9D">
      <w:pPr>
        <w:adjustRightInd w:val="0"/>
        <w:snapToGrid w:val="0"/>
        <w:spacing w:line="560" w:lineRule="exact"/>
        <w:ind w:firstLine="480" w:firstLineChars="200"/>
        <w:jc w:val="left"/>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联系人：</w:t>
      </w:r>
      <w:r>
        <w:rPr>
          <w:rFonts w:hint="eastAsia" w:ascii="宋体" w:hAnsi="宋体" w:eastAsia="宋体" w:cs="宋体"/>
          <w:color w:val="000000" w:themeColor="text1"/>
          <w:sz w:val="24"/>
          <w:szCs w:val="18"/>
          <w:highlight w:val="none"/>
          <w:lang w:val="en-US" w:eastAsia="zh-CN"/>
          <w14:textFill>
            <w14:solidFill>
              <w14:schemeClr w14:val="tx1"/>
            </w14:solidFill>
          </w14:textFill>
        </w:rPr>
        <w:t>王</w:t>
      </w:r>
      <w:r>
        <w:rPr>
          <w:rFonts w:hint="eastAsia" w:ascii="宋体" w:hAnsi="宋体" w:eastAsia="宋体" w:cs="宋体"/>
          <w:color w:val="000000" w:themeColor="text1"/>
          <w:sz w:val="24"/>
          <w:szCs w:val="18"/>
          <w:highlight w:val="none"/>
          <w14:textFill>
            <w14:solidFill>
              <w14:schemeClr w14:val="tx1"/>
            </w14:solidFill>
          </w14:textFill>
        </w:rPr>
        <w:t>工</w:t>
      </w:r>
    </w:p>
    <w:p w14:paraId="51AC7F05">
      <w:pPr>
        <w:adjustRightInd w:val="0"/>
        <w:snapToGrid w:val="0"/>
        <w:spacing w:line="560" w:lineRule="exact"/>
        <w:ind w:firstLine="480" w:firstLineChars="200"/>
        <w:jc w:val="left"/>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联系方式：0552-3918027</w:t>
      </w:r>
    </w:p>
    <w:p w14:paraId="529F19D6">
      <w:pPr>
        <w:adjustRightInd w:val="0"/>
        <w:snapToGrid w:val="0"/>
        <w:spacing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bookmarkStart w:id="51" w:name="_Toc15577"/>
      <w:r>
        <w:rPr>
          <w:rFonts w:hint="eastAsia" w:ascii="宋体" w:hAnsi="宋体" w:eastAsia="宋体" w:cs="宋体"/>
          <w:color w:val="000000" w:themeColor="text1"/>
          <w:sz w:val="24"/>
          <w:szCs w:val="24"/>
          <w:highlight w:val="none"/>
          <w14:textFill>
            <w14:solidFill>
              <w14:schemeClr w14:val="tx1"/>
            </w14:solidFill>
          </w14:textFill>
        </w:rPr>
        <w:t>2.采购代理机构信息</w:t>
      </w:r>
      <w:bookmarkEnd w:id="47"/>
      <w:bookmarkEnd w:id="48"/>
      <w:bookmarkEnd w:id="49"/>
      <w:bookmarkEnd w:id="50"/>
      <w:bookmarkEnd w:id="51"/>
    </w:p>
    <w:p w14:paraId="4636BA23">
      <w:pPr>
        <w:adjustRightInd w:val="0"/>
        <w:snapToGrid w:val="0"/>
        <w:spacing w:line="560" w:lineRule="exact"/>
        <w:ind w:firstLine="480" w:firstLineChars="200"/>
        <w:jc w:val="left"/>
        <w:rPr>
          <w:rFonts w:hint="eastAsia" w:ascii="宋体" w:hAnsi="宋体" w:eastAsia="宋体" w:cs="宋体"/>
          <w:bCs/>
          <w:color w:val="000000" w:themeColor="text1"/>
          <w:sz w:val="24"/>
          <w:szCs w:val="18"/>
          <w:highlight w:val="none"/>
          <w:lang w:val="en-US" w:eastAsia="zh-CN"/>
          <w14:textFill>
            <w14:solidFill>
              <w14:schemeClr w14:val="tx1"/>
            </w14:solidFill>
          </w14:textFill>
        </w:rPr>
      </w:pPr>
      <w:r>
        <w:rPr>
          <w:rFonts w:hint="eastAsia" w:ascii="宋体" w:hAnsi="宋体" w:eastAsia="宋体" w:cs="宋体"/>
          <w:bCs/>
          <w:color w:val="000000" w:themeColor="text1"/>
          <w:sz w:val="24"/>
          <w:szCs w:val="18"/>
          <w:highlight w:val="none"/>
          <w14:textFill>
            <w14:solidFill>
              <w14:schemeClr w14:val="tx1"/>
            </w14:solidFill>
          </w14:textFill>
        </w:rPr>
        <w:t>名  称：</w:t>
      </w:r>
      <w:r>
        <w:rPr>
          <w:rFonts w:hint="eastAsia" w:ascii="宋体" w:hAnsi="宋体" w:eastAsia="宋体" w:cs="宋体"/>
          <w:bCs/>
          <w:color w:val="000000" w:themeColor="text1"/>
          <w:sz w:val="24"/>
          <w:szCs w:val="18"/>
          <w:highlight w:val="none"/>
          <w:lang w:val="en-US" w:eastAsia="zh-CN"/>
          <w14:textFill>
            <w14:solidFill>
              <w14:schemeClr w14:val="tx1"/>
            </w14:solidFill>
          </w14:textFill>
        </w:rPr>
        <w:t>安徽安兆工程技术咨询服务有限公司</w:t>
      </w:r>
    </w:p>
    <w:p w14:paraId="02D4C85F">
      <w:pPr>
        <w:adjustRightInd w:val="0"/>
        <w:snapToGrid w:val="0"/>
        <w:spacing w:line="560" w:lineRule="exact"/>
        <w:ind w:firstLine="480" w:firstLineChars="200"/>
        <w:jc w:val="left"/>
        <w:rPr>
          <w:rFonts w:hint="eastAsia" w:ascii="宋体" w:hAnsi="宋体" w:eastAsia="宋体" w:cs="宋体"/>
          <w:bCs/>
          <w:color w:val="000000" w:themeColor="text1"/>
          <w:sz w:val="24"/>
          <w:szCs w:val="18"/>
          <w:highlight w:val="none"/>
          <w:lang w:val="en-US" w:eastAsia="zh-CN"/>
          <w14:textFill>
            <w14:solidFill>
              <w14:schemeClr w14:val="tx1"/>
            </w14:solidFill>
          </w14:textFill>
        </w:rPr>
      </w:pPr>
      <w:r>
        <w:rPr>
          <w:rFonts w:hint="eastAsia" w:ascii="宋体" w:hAnsi="宋体" w:eastAsia="宋体" w:cs="宋体"/>
          <w:bCs/>
          <w:color w:val="000000" w:themeColor="text1"/>
          <w:sz w:val="24"/>
          <w:szCs w:val="18"/>
          <w:highlight w:val="none"/>
          <w14:textFill>
            <w14:solidFill>
              <w14:schemeClr w14:val="tx1"/>
            </w14:solidFill>
          </w14:textFill>
        </w:rPr>
        <w:t>地  址：</w:t>
      </w:r>
      <w:r>
        <w:rPr>
          <w:rFonts w:hint="eastAsia" w:ascii="宋体" w:hAnsi="宋体" w:eastAsia="宋体" w:cs="宋体"/>
          <w:bCs/>
          <w:color w:val="000000" w:themeColor="text1"/>
          <w:sz w:val="24"/>
          <w:szCs w:val="18"/>
          <w:highlight w:val="none"/>
          <w:lang w:val="en-US" w:eastAsia="zh-CN"/>
          <w14:textFill>
            <w14:solidFill>
              <w14:schemeClr w14:val="tx1"/>
            </w14:solidFill>
          </w14:textFill>
        </w:rPr>
        <w:t>蚌埠市凤阳西路41号</w:t>
      </w:r>
    </w:p>
    <w:p w14:paraId="6862313E">
      <w:pPr>
        <w:adjustRightInd w:val="0"/>
        <w:snapToGrid w:val="0"/>
        <w:spacing w:line="560" w:lineRule="exact"/>
        <w:ind w:firstLine="480" w:firstLineChars="200"/>
        <w:jc w:val="left"/>
        <w:rPr>
          <w:rFonts w:hint="eastAsia" w:ascii="宋体" w:hAnsi="宋体" w:eastAsia="宋体" w:cs="宋体"/>
          <w:bCs/>
          <w:color w:val="000000" w:themeColor="text1"/>
          <w:sz w:val="24"/>
          <w:szCs w:val="18"/>
          <w:highlight w:val="none"/>
          <w:lang w:val="en-US" w:eastAsia="zh-CN"/>
          <w14:textFill>
            <w14:solidFill>
              <w14:schemeClr w14:val="tx1"/>
            </w14:solidFill>
          </w14:textFill>
        </w:rPr>
      </w:pPr>
      <w:r>
        <w:rPr>
          <w:rFonts w:hint="eastAsia" w:ascii="宋体" w:hAnsi="宋体" w:eastAsia="宋体" w:cs="宋体"/>
          <w:bCs/>
          <w:color w:val="000000" w:themeColor="text1"/>
          <w:sz w:val="24"/>
          <w:szCs w:val="18"/>
          <w:highlight w:val="none"/>
          <w14:textFill>
            <w14:solidFill>
              <w14:schemeClr w14:val="tx1"/>
            </w14:solidFill>
          </w14:textFill>
        </w:rPr>
        <w:t>联系人：</w:t>
      </w:r>
      <w:r>
        <w:rPr>
          <w:rFonts w:hint="eastAsia" w:ascii="宋体" w:hAnsi="宋体" w:eastAsia="宋体" w:cs="宋体"/>
          <w:bCs/>
          <w:color w:val="000000" w:themeColor="text1"/>
          <w:sz w:val="24"/>
          <w:szCs w:val="18"/>
          <w:highlight w:val="none"/>
          <w:lang w:val="en-US" w:eastAsia="zh-CN"/>
          <w14:textFill>
            <w14:solidFill>
              <w14:schemeClr w14:val="tx1"/>
            </w14:solidFill>
          </w14:textFill>
        </w:rPr>
        <w:t>薛工</w:t>
      </w:r>
    </w:p>
    <w:p w14:paraId="4C67861C">
      <w:pPr>
        <w:adjustRightInd w:val="0"/>
        <w:snapToGrid w:val="0"/>
        <w:spacing w:line="560" w:lineRule="exact"/>
        <w:ind w:firstLine="480" w:firstLineChars="200"/>
        <w:jc w:val="left"/>
        <w:rPr>
          <w:rFonts w:hint="eastAsia" w:ascii="宋体" w:hAnsi="宋体" w:eastAsia="宋体" w:cs="宋体"/>
          <w:bCs/>
          <w:color w:val="000000" w:themeColor="text1"/>
          <w:sz w:val="24"/>
          <w:szCs w:val="18"/>
          <w:highlight w:val="none"/>
          <w:lang w:val="en-US" w:eastAsia="zh-CN"/>
          <w14:textFill>
            <w14:solidFill>
              <w14:schemeClr w14:val="tx1"/>
            </w14:solidFill>
          </w14:textFill>
        </w:rPr>
      </w:pPr>
      <w:r>
        <w:rPr>
          <w:rFonts w:hint="eastAsia" w:ascii="宋体" w:hAnsi="宋体" w:eastAsia="宋体" w:cs="宋体"/>
          <w:bCs/>
          <w:color w:val="000000" w:themeColor="text1"/>
          <w:sz w:val="24"/>
          <w:szCs w:val="18"/>
          <w:highlight w:val="none"/>
          <w14:textFill>
            <w14:solidFill>
              <w14:schemeClr w14:val="tx1"/>
            </w14:solidFill>
          </w14:textFill>
        </w:rPr>
        <w:t>联系方式：</w:t>
      </w:r>
      <w:r>
        <w:rPr>
          <w:rFonts w:hint="eastAsia" w:ascii="宋体" w:hAnsi="宋体" w:eastAsia="宋体" w:cs="宋体"/>
          <w:bCs/>
          <w:color w:val="000000" w:themeColor="text1"/>
          <w:sz w:val="24"/>
          <w:szCs w:val="18"/>
          <w:highlight w:val="none"/>
          <w:lang w:val="en-US" w:eastAsia="zh-CN"/>
          <w14:textFill>
            <w14:solidFill>
              <w14:schemeClr w14:val="tx1"/>
            </w14:solidFill>
          </w14:textFill>
        </w:rPr>
        <w:t>0552-3092287</w:t>
      </w:r>
    </w:p>
    <w:p w14:paraId="5260CF1E">
      <w:pPr>
        <w:adjustRightInd w:val="0"/>
        <w:snapToGrid w:val="0"/>
        <w:spacing w:line="560" w:lineRule="exact"/>
        <w:ind w:firstLine="480" w:firstLineChars="200"/>
        <w:jc w:val="left"/>
        <w:rPr>
          <w:rFonts w:hint="eastAsia" w:ascii="宋体" w:hAnsi="宋体" w:eastAsia="宋体" w:cs="宋体"/>
          <w:b/>
          <w:color w:val="000000" w:themeColor="text1"/>
          <w:sz w:val="24"/>
          <w:szCs w:val="18"/>
          <w:highlight w:val="none"/>
          <w14:textFill>
            <w14:solidFill>
              <w14:schemeClr w14:val="tx1"/>
            </w14:solidFill>
          </w14:textFill>
        </w:rPr>
      </w:pPr>
      <w:r>
        <w:rPr>
          <w:rFonts w:hint="eastAsia" w:ascii="宋体" w:hAnsi="宋体" w:eastAsia="宋体" w:cs="宋体"/>
          <w:bCs/>
          <w:color w:val="000000" w:themeColor="text1"/>
          <w:sz w:val="24"/>
          <w:szCs w:val="18"/>
          <w:highlight w:val="none"/>
          <w14:textFill>
            <w14:solidFill>
              <w14:schemeClr w14:val="tx1"/>
            </w14:solidFill>
          </w14:textFill>
        </w:rPr>
        <w:t>3</w:t>
      </w:r>
      <w:r>
        <w:rPr>
          <w:rFonts w:hint="eastAsia" w:ascii="宋体" w:hAnsi="宋体" w:eastAsia="宋体" w:cs="宋体"/>
          <w:b/>
          <w:color w:val="000000" w:themeColor="text1"/>
          <w:sz w:val="24"/>
          <w:szCs w:val="18"/>
          <w:highlight w:val="none"/>
          <w14:textFill>
            <w14:solidFill>
              <w14:schemeClr w14:val="tx1"/>
            </w14:solidFill>
          </w14:textFill>
        </w:rPr>
        <w:t>.</w:t>
      </w:r>
      <w:r>
        <w:rPr>
          <w:rFonts w:hint="eastAsia" w:ascii="宋体" w:hAnsi="宋体" w:eastAsia="宋体" w:cs="宋体"/>
          <w:color w:val="000000" w:themeColor="text1"/>
          <w:sz w:val="24"/>
          <w:szCs w:val="18"/>
          <w:highlight w:val="none"/>
          <w14:textFill>
            <w14:solidFill>
              <w14:schemeClr w14:val="tx1"/>
            </w14:solidFill>
          </w14:textFill>
        </w:rPr>
        <w:t>政府采购监督管理部门信息</w:t>
      </w:r>
    </w:p>
    <w:p w14:paraId="41F80BDC">
      <w:pPr>
        <w:adjustRightInd w:val="0"/>
        <w:snapToGrid w:val="0"/>
        <w:spacing w:line="560" w:lineRule="exact"/>
        <w:ind w:firstLine="480" w:firstLineChars="200"/>
        <w:jc w:val="left"/>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名  称：安徽省财政厅</w:t>
      </w:r>
    </w:p>
    <w:p w14:paraId="2FA4CEC9">
      <w:pPr>
        <w:adjustRightInd w:val="0"/>
        <w:snapToGrid w:val="0"/>
        <w:spacing w:line="560" w:lineRule="exact"/>
        <w:ind w:firstLine="480" w:firstLineChars="200"/>
        <w:jc w:val="left"/>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地  址：合肥市阜南西路238号</w:t>
      </w:r>
    </w:p>
    <w:p w14:paraId="31CC48CB">
      <w:pPr>
        <w:adjustRightInd w:val="0"/>
        <w:snapToGrid w:val="0"/>
        <w:spacing w:line="560" w:lineRule="exact"/>
        <w:ind w:firstLine="480" w:firstLineChars="200"/>
        <w:jc w:val="left"/>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联系方式：0551-68150413</w:t>
      </w:r>
    </w:p>
    <w:p w14:paraId="62B9FC71">
      <w:pPr>
        <w:spacing w:line="360" w:lineRule="auto"/>
        <w:ind w:firstLine="435"/>
        <w:rPr>
          <w:rFonts w:hint="eastAsia" w:ascii="宋体" w:hAnsi="宋体" w:eastAsia="宋体" w:cs="宋体"/>
          <w:color w:val="000000" w:themeColor="text1"/>
          <w:sz w:val="24"/>
          <w:szCs w:val="18"/>
          <w:highlight w:val="none"/>
          <w14:textFill>
            <w14:solidFill>
              <w14:schemeClr w14:val="tx1"/>
            </w14:solidFill>
          </w14:textFill>
        </w:rPr>
      </w:pPr>
    </w:p>
    <w:p w14:paraId="71CD6C70">
      <w:pPr>
        <w:spacing w:line="360" w:lineRule="auto"/>
        <w:jc w:val="center"/>
        <w:outlineLvl w:val="0"/>
        <w:rPr>
          <w:rFonts w:hint="eastAsia" w:ascii="宋体" w:hAnsi="宋体" w:eastAsia="宋体" w:cs="宋体"/>
          <w:b/>
          <w:color w:val="000000" w:themeColor="text1"/>
          <w:sz w:val="28"/>
          <w:highlight w:val="none"/>
          <w14:textFill>
            <w14:solidFill>
              <w14:schemeClr w14:val="tx1"/>
            </w14:solidFill>
          </w14:textFill>
        </w:rPr>
      </w:pPr>
      <w:bookmarkStart w:id="52" w:name="_Toc7162"/>
      <w:r>
        <w:rPr>
          <w:rFonts w:hint="eastAsia" w:ascii="宋体" w:hAnsi="宋体" w:eastAsia="宋体" w:cs="宋体"/>
          <w:b/>
          <w:color w:val="000000" w:themeColor="text1"/>
          <w:sz w:val="28"/>
          <w:highlight w:val="none"/>
          <w14:textFill>
            <w14:solidFill>
              <w14:schemeClr w14:val="tx1"/>
            </w14:solidFill>
          </w14:textFill>
        </w:rPr>
        <w:t>第二章  供应商须知</w:t>
      </w:r>
      <w:bookmarkEnd w:id="52"/>
    </w:p>
    <w:p w14:paraId="3C64233C">
      <w:pPr>
        <w:spacing w:line="360" w:lineRule="auto"/>
        <w:jc w:val="center"/>
        <w:outlineLvl w:val="1"/>
        <w:rPr>
          <w:rFonts w:hint="eastAsia" w:ascii="宋体" w:hAnsi="宋体" w:eastAsia="宋体" w:cs="宋体"/>
          <w:b/>
          <w:color w:val="000000" w:themeColor="text1"/>
          <w:sz w:val="24"/>
          <w:highlight w:val="none"/>
          <w14:textFill>
            <w14:solidFill>
              <w14:schemeClr w14:val="tx1"/>
            </w14:solidFill>
          </w14:textFill>
        </w:rPr>
      </w:pPr>
      <w:bookmarkStart w:id="53" w:name="_Toc11709"/>
      <w:bookmarkStart w:id="54" w:name="_Toc11383"/>
      <w:r>
        <w:rPr>
          <w:rFonts w:hint="eastAsia" w:ascii="宋体" w:hAnsi="宋体" w:eastAsia="宋体" w:cs="宋体"/>
          <w:b/>
          <w:color w:val="000000" w:themeColor="text1"/>
          <w:sz w:val="24"/>
          <w:highlight w:val="none"/>
          <w14:textFill>
            <w14:solidFill>
              <w14:schemeClr w14:val="tx1"/>
            </w14:solidFill>
          </w14:textFill>
        </w:rPr>
        <w:t>一、供应商须知前附表</w:t>
      </w:r>
      <w:bookmarkEnd w:id="53"/>
      <w:bookmarkEnd w:id="54"/>
    </w:p>
    <w:p w14:paraId="78FF4F9B">
      <w:pPr>
        <w:spacing w:line="360" w:lineRule="auto"/>
        <w:ind w:firstLine="435"/>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b/>
          <w:bCs/>
          <w:color w:val="000000" w:themeColor="text1"/>
          <w:sz w:val="24"/>
          <w:szCs w:val="18"/>
          <w:highlight w:val="none"/>
          <w14:textFill>
            <w14:solidFill>
              <w14:schemeClr w14:val="tx1"/>
            </w14:solidFill>
          </w14:textFill>
        </w:rPr>
        <w:t>注：</w:t>
      </w:r>
      <w:r>
        <w:rPr>
          <w:rFonts w:hint="eastAsia" w:ascii="宋体" w:hAnsi="宋体" w:eastAsia="宋体" w:cs="宋体"/>
          <w:color w:val="000000" w:themeColor="text1"/>
          <w:sz w:val="24"/>
          <w:szCs w:val="18"/>
          <w:highlight w:val="none"/>
          <w14:textFill>
            <w14:solidFill>
              <w14:schemeClr w14:val="tx1"/>
            </w14:solidFill>
          </w14:textFill>
        </w:rPr>
        <w:t>本表是本项目的具体要求，是对供应商须知的具体补充和修改，如有不一致，以本表为准。</w:t>
      </w:r>
    </w:p>
    <w:tbl>
      <w:tblPr>
        <w:tblStyle w:val="23"/>
        <w:tblW w:w="51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992"/>
        <w:gridCol w:w="5792"/>
      </w:tblGrid>
      <w:tr w14:paraId="215F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5E8BEED8">
            <w:pPr>
              <w:pStyle w:val="41"/>
              <w:widowControl w:val="0"/>
              <w:spacing w:before="0" w:beforeAutospacing="0" w:after="0" w:afterAutospacing="0" w:line="360" w:lineRule="auto"/>
              <w:rPr>
                <w:rFonts w:hint="eastAsia" w:ascii="宋体" w:hAnsi="宋体" w:eastAsia="宋体" w:cs="宋体"/>
                <w:bCs w:val="0"/>
                <w:color w:val="000000" w:themeColor="text1"/>
                <w:kern w:val="2"/>
                <w:sz w:val="24"/>
                <w:szCs w:val="20"/>
                <w:highlight w:val="none"/>
                <w14:textFill>
                  <w14:solidFill>
                    <w14:schemeClr w14:val="tx1"/>
                  </w14:solidFill>
                </w14:textFill>
              </w:rPr>
            </w:pPr>
            <w:r>
              <w:rPr>
                <w:rFonts w:hint="eastAsia" w:ascii="宋体" w:hAnsi="宋体" w:eastAsia="宋体" w:cs="宋体"/>
                <w:bCs w:val="0"/>
                <w:color w:val="000000" w:themeColor="text1"/>
                <w:kern w:val="2"/>
                <w:sz w:val="24"/>
                <w:szCs w:val="20"/>
                <w:highlight w:val="none"/>
                <w14:textFill>
                  <w14:solidFill>
                    <w14:schemeClr w14:val="tx1"/>
                  </w14:solidFill>
                </w14:textFill>
              </w:rPr>
              <w:t>条款号</w:t>
            </w:r>
          </w:p>
        </w:tc>
        <w:tc>
          <w:tcPr>
            <w:tcW w:w="2240" w:type="dxa"/>
            <w:vAlign w:val="center"/>
          </w:tcPr>
          <w:p w14:paraId="05E570C2">
            <w:pPr>
              <w:pStyle w:val="41"/>
              <w:widowControl w:val="0"/>
              <w:spacing w:before="0" w:beforeAutospacing="0" w:after="0" w:afterAutospacing="0" w:line="360" w:lineRule="auto"/>
              <w:rPr>
                <w:rFonts w:hint="eastAsia" w:ascii="宋体" w:hAnsi="宋体" w:eastAsia="宋体" w:cs="宋体"/>
                <w:bCs w:val="0"/>
                <w:color w:val="000000" w:themeColor="text1"/>
                <w:kern w:val="2"/>
                <w:sz w:val="24"/>
                <w:szCs w:val="20"/>
                <w:highlight w:val="none"/>
                <w14:textFill>
                  <w14:solidFill>
                    <w14:schemeClr w14:val="tx1"/>
                  </w14:solidFill>
                </w14:textFill>
              </w:rPr>
            </w:pPr>
            <w:r>
              <w:rPr>
                <w:rFonts w:hint="eastAsia" w:ascii="宋体" w:hAnsi="宋体" w:eastAsia="宋体" w:cs="宋体"/>
                <w:bCs w:val="0"/>
                <w:color w:val="000000" w:themeColor="text1"/>
                <w:kern w:val="2"/>
                <w:sz w:val="24"/>
                <w:szCs w:val="20"/>
                <w:highlight w:val="none"/>
                <w14:textFill>
                  <w14:solidFill>
                    <w14:schemeClr w14:val="tx1"/>
                  </w14:solidFill>
                </w14:textFill>
              </w:rPr>
              <w:t>条款名称</w:t>
            </w:r>
          </w:p>
        </w:tc>
        <w:tc>
          <w:tcPr>
            <w:tcW w:w="6421" w:type="dxa"/>
            <w:vAlign w:val="center"/>
          </w:tcPr>
          <w:p w14:paraId="4082E835">
            <w:pPr>
              <w:pStyle w:val="41"/>
              <w:widowControl w:val="0"/>
              <w:spacing w:before="0" w:beforeAutospacing="0" w:after="0" w:afterAutospacing="0" w:line="360" w:lineRule="auto"/>
              <w:rPr>
                <w:rFonts w:hint="eastAsia" w:ascii="宋体" w:hAnsi="宋体" w:eastAsia="宋体" w:cs="宋体"/>
                <w:bCs w:val="0"/>
                <w:color w:val="000000" w:themeColor="text1"/>
                <w:kern w:val="2"/>
                <w:sz w:val="24"/>
                <w:szCs w:val="20"/>
                <w:highlight w:val="none"/>
                <w14:textFill>
                  <w14:solidFill>
                    <w14:schemeClr w14:val="tx1"/>
                  </w14:solidFill>
                </w14:textFill>
              </w:rPr>
            </w:pPr>
            <w:r>
              <w:rPr>
                <w:rFonts w:hint="eastAsia" w:ascii="宋体" w:hAnsi="宋体" w:eastAsia="宋体" w:cs="宋体"/>
                <w:bCs w:val="0"/>
                <w:color w:val="000000" w:themeColor="text1"/>
                <w:kern w:val="2"/>
                <w:sz w:val="24"/>
                <w:szCs w:val="20"/>
                <w:highlight w:val="none"/>
                <w14:textFill>
                  <w14:solidFill>
                    <w14:schemeClr w14:val="tx1"/>
                  </w14:solidFill>
                </w14:textFill>
              </w:rPr>
              <w:t>内容、说明与要求</w:t>
            </w:r>
          </w:p>
        </w:tc>
      </w:tr>
      <w:tr w14:paraId="55CD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5F057B90">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5.2</w:t>
            </w:r>
          </w:p>
        </w:tc>
        <w:tc>
          <w:tcPr>
            <w:tcW w:w="2240" w:type="dxa"/>
            <w:vAlign w:val="center"/>
          </w:tcPr>
          <w:p w14:paraId="4B11590F">
            <w:pPr>
              <w:pStyle w:val="41"/>
              <w:widowControl w:val="0"/>
              <w:spacing w:before="0" w:beforeAutospacing="0" w:after="0" w:afterAutospacing="0" w:line="360" w:lineRule="auto"/>
              <w:jc w:val="left"/>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kern w:val="2"/>
                <w:sz w:val="24"/>
                <w:szCs w:val="22"/>
                <w:highlight w:val="none"/>
                <w14:textFill>
                  <w14:solidFill>
                    <w14:schemeClr w14:val="tx1"/>
                  </w14:solidFill>
                </w14:textFill>
              </w:rPr>
              <w:t>现场考察或标前答疑会</w:t>
            </w:r>
          </w:p>
        </w:tc>
        <w:tc>
          <w:tcPr>
            <w:tcW w:w="6421" w:type="dxa"/>
            <w:vAlign w:val="center"/>
          </w:tcPr>
          <w:p w14:paraId="731AC819">
            <w:pPr>
              <w:spacing w:line="36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不组织或不召开</w:t>
            </w:r>
          </w:p>
          <w:p w14:paraId="39629E4B">
            <w:pPr>
              <w:spacing w:line="36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统一组织</w:t>
            </w:r>
          </w:p>
          <w:p w14:paraId="69215557">
            <w:pPr>
              <w:spacing w:line="360" w:lineRule="auto"/>
              <w:rPr>
                <w:rFonts w:hint="eastAsia" w:ascii="宋体" w:hAnsi="宋体" w:eastAsia="宋体" w:cs="宋体"/>
                <w:bCs/>
                <w:color w:val="000000" w:themeColor="text1"/>
                <w:sz w:val="24"/>
                <w:highlight w:val="none"/>
                <w:u w:val="single"/>
                <w:lang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时间：</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w:t>
            </w:r>
          </w:p>
          <w:p w14:paraId="61F5134B">
            <w:pPr>
              <w:spacing w:line="360" w:lineRule="auto"/>
              <w:rPr>
                <w:rFonts w:hint="eastAsia" w:ascii="宋体" w:hAnsi="宋体" w:eastAsia="宋体" w:cs="宋体"/>
                <w:bCs/>
                <w:color w:val="000000" w:themeColor="text1"/>
                <w:sz w:val="24"/>
                <w:highlight w:val="none"/>
                <w:u w:val="singl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地点：</w:t>
            </w:r>
            <w:r>
              <w:rPr>
                <w:rFonts w:hint="eastAsia" w:ascii="宋体" w:hAnsi="宋体" w:eastAsia="宋体" w:cs="宋体"/>
                <w:bCs/>
                <w:color w:val="000000" w:themeColor="text1"/>
                <w:sz w:val="24"/>
                <w:highlight w:val="none"/>
                <w:u w:val="single"/>
                <w14:textFill>
                  <w14:solidFill>
                    <w14:schemeClr w14:val="tx1"/>
                  </w14:solidFill>
                </w14:textFill>
              </w:rPr>
              <w:t>/</w:t>
            </w:r>
          </w:p>
          <w:p w14:paraId="0D9A51FC">
            <w:pPr>
              <w:spacing w:line="360" w:lineRule="auto"/>
              <w:rPr>
                <w:rFonts w:hint="eastAsia" w:ascii="宋体" w:hAnsi="宋体" w:eastAsia="宋体" w:cs="宋体"/>
                <w:bCs/>
                <w:color w:val="000000" w:themeColor="text1"/>
                <w:sz w:val="24"/>
                <w:highlight w:val="none"/>
                <w:u w:val="singl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联系人及联系电话：</w:t>
            </w:r>
            <w:r>
              <w:rPr>
                <w:rFonts w:hint="eastAsia" w:ascii="宋体" w:hAnsi="宋体" w:eastAsia="宋体" w:cs="宋体"/>
                <w:bCs/>
                <w:color w:val="000000" w:themeColor="text1"/>
                <w:sz w:val="24"/>
                <w:highlight w:val="none"/>
                <w:u w:val="single"/>
                <w14:textFill>
                  <w14:solidFill>
                    <w14:schemeClr w14:val="tx1"/>
                  </w14:solidFill>
                </w14:textFill>
              </w:rPr>
              <w:t>/</w:t>
            </w:r>
          </w:p>
          <w:p w14:paraId="54005069">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Cs w:val="0"/>
                <w:color w:val="000000" w:themeColor="text1"/>
                <w:sz w:val="24"/>
                <w:highlight w:val="none"/>
                <w14:textFill>
                  <w14:solidFill>
                    <w14:schemeClr w14:val="tx1"/>
                  </w14:solidFill>
                </w14:textFill>
              </w:rPr>
              <w:t>注：如供应商未参加采购人统一组织的现场考察或采购人统一召开的标前答疑会，视同放弃现场考察或标前答疑会，由此引起的一切责任由供应商自行承担。</w:t>
            </w:r>
          </w:p>
        </w:tc>
      </w:tr>
      <w:tr w14:paraId="6968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238CD395">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6.1</w:t>
            </w:r>
          </w:p>
        </w:tc>
        <w:tc>
          <w:tcPr>
            <w:tcW w:w="2240" w:type="dxa"/>
            <w:vAlign w:val="center"/>
          </w:tcPr>
          <w:p w14:paraId="06CA8302">
            <w:pPr>
              <w:pStyle w:val="41"/>
              <w:widowControl w:val="0"/>
              <w:spacing w:before="0" w:beforeAutospacing="0" w:after="0" w:afterAutospacing="0" w:line="360" w:lineRule="auto"/>
              <w:jc w:val="left"/>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网上询问截止时间</w:t>
            </w:r>
          </w:p>
        </w:tc>
        <w:tc>
          <w:tcPr>
            <w:tcW w:w="6421" w:type="dxa"/>
            <w:vAlign w:val="center"/>
          </w:tcPr>
          <w:p w14:paraId="7C835C1D">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u w:val="single"/>
                <w14:textFill>
                  <w14:solidFill>
                    <w14:schemeClr w14:val="tx1"/>
                  </w14:solidFill>
                </w14:textFill>
              </w:rPr>
              <w:t>202</w:t>
            </w:r>
            <w:r>
              <w:rPr>
                <w:rFonts w:hint="eastAsia" w:ascii="宋体" w:hAnsi="宋体" w:eastAsia="宋体" w:cs="宋体"/>
                <w:b w:val="0"/>
                <w:color w:val="000000" w:themeColor="text1"/>
                <w:sz w:val="24"/>
                <w:highlight w:val="none"/>
                <w:u w:val="single"/>
                <w:lang w:val="en-US" w:eastAsia="zh-CN"/>
                <w14:textFill>
                  <w14:solidFill>
                    <w14:schemeClr w14:val="tx1"/>
                  </w14:solidFill>
                </w14:textFill>
              </w:rPr>
              <w:t>6</w:t>
            </w:r>
            <w:r>
              <w:rPr>
                <w:rFonts w:hint="eastAsia" w:ascii="宋体" w:hAnsi="宋体" w:eastAsia="宋体" w:cs="宋体"/>
                <w:b w:val="0"/>
                <w:color w:val="000000" w:themeColor="text1"/>
                <w:sz w:val="24"/>
                <w:highlight w:val="none"/>
                <w:u w:val="single"/>
                <w14:textFill>
                  <w14:solidFill>
                    <w14:schemeClr w14:val="tx1"/>
                  </w14:solidFill>
                </w14:textFill>
              </w:rPr>
              <w:t>年</w:t>
            </w:r>
            <w:r>
              <w:rPr>
                <w:rFonts w:hint="eastAsia" w:ascii="宋体" w:hAnsi="宋体" w:eastAsia="宋体" w:cs="宋体"/>
                <w:b w:val="0"/>
                <w:color w:val="000000" w:themeColor="text1"/>
                <w:sz w:val="24"/>
                <w:highlight w:val="none"/>
                <w:u w:val="single"/>
                <w:lang w:val="en-US" w:eastAsia="zh-CN"/>
                <w14:textFill>
                  <w14:solidFill>
                    <w14:schemeClr w14:val="tx1"/>
                  </w14:solidFill>
                </w14:textFill>
              </w:rPr>
              <w:t>1</w:t>
            </w:r>
            <w:r>
              <w:rPr>
                <w:rFonts w:hint="eastAsia" w:ascii="宋体" w:hAnsi="宋体" w:eastAsia="宋体" w:cs="宋体"/>
                <w:b w:val="0"/>
                <w:color w:val="000000" w:themeColor="text1"/>
                <w:sz w:val="24"/>
                <w:highlight w:val="none"/>
                <w:u w:val="single"/>
                <w14:textFill>
                  <w14:solidFill>
                    <w14:schemeClr w14:val="tx1"/>
                  </w14:solidFill>
                </w14:textFill>
              </w:rPr>
              <w:t>月</w:t>
            </w:r>
            <w:r>
              <w:rPr>
                <w:rFonts w:hint="eastAsia" w:ascii="宋体" w:hAnsi="宋体" w:eastAsia="宋体" w:cs="宋体"/>
                <w:b w:val="0"/>
                <w:color w:val="000000" w:themeColor="text1"/>
                <w:sz w:val="24"/>
                <w:highlight w:val="none"/>
                <w:u w:val="single"/>
                <w:lang w:val="en-US" w:eastAsia="zh-CN"/>
                <w14:textFill>
                  <w14:solidFill>
                    <w14:schemeClr w14:val="tx1"/>
                  </w14:solidFill>
                </w14:textFill>
              </w:rPr>
              <w:t>28</w:t>
            </w:r>
            <w:r>
              <w:rPr>
                <w:rFonts w:hint="eastAsia" w:ascii="宋体" w:hAnsi="宋体" w:eastAsia="宋体" w:cs="宋体"/>
                <w:b w:val="0"/>
                <w:color w:val="000000" w:themeColor="text1"/>
                <w:sz w:val="24"/>
                <w:highlight w:val="none"/>
                <w:u w:val="single"/>
                <w14:textFill>
                  <w14:solidFill>
                    <w14:schemeClr w14:val="tx1"/>
                  </w14:solidFill>
                </w14:textFill>
              </w:rPr>
              <w:t>日17时00分</w:t>
            </w:r>
          </w:p>
        </w:tc>
      </w:tr>
      <w:tr w14:paraId="713A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106" w:type="dxa"/>
            <w:vAlign w:val="center"/>
          </w:tcPr>
          <w:p w14:paraId="79787B88">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7.1</w:t>
            </w:r>
          </w:p>
        </w:tc>
        <w:tc>
          <w:tcPr>
            <w:tcW w:w="2240" w:type="dxa"/>
            <w:vAlign w:val="center"/>
          </w:tcPr>
          <w:p w14:paraId="28055933">
            <w:pPr>
              <w:pStyle w:val="41"/>
              <w:widowControl w:val="0"/>
              <w:spacing w:before="0" w:beforeAutospacing="0" w:after="0" w:afterAutospacing="0" w:line="360" w:lineRule="auto"/>
              <w:jc w:val="left"/>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包别划分</w:t>
            </w:r>
          </w:p>
        </w:tc>
        <w:tc>
          <w:tcPr>
            <w:tcW w:w="6421" w:type="dxa"/>
            <w:vAlign w:val="center"/>
          </w:tcPr>
          <w:p w14:paraId="359532A1">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color w:val="000000" w:themeColor="text1"/>
                <w:sz w:val="24"/>
                <w:highlight w:val="none"/>
                <w14:textFill>
                  <w14:solidFill>
                    <w14:schemeClr w14:val="tx1"/>
                  </w14:solidFill>
                </w14:textFill>
              </w:rPr>
              <w:t xml:space="preserve">不分包     </w:t>
            </w:r>
            <w:r>
              <w:rPr>
                <w:rFonts w:hint="eastAsia" w:ascii="宋体" w:hAnsi="宋体" w:eastAsia="宋体" w:cs="宋体"/>
                <w:b w:val="0"/>
                <w:color w:val="000000" w:themeColor="text1"/>
                <w:sz w:val="24"/>
                <w:highlight w:val="none"/>
                <w:lang w:eastAsia="zh-CN"/>
                <w14:textFill>
                  <w14:solidFill>
                    <w14:schemeClr w14:val="tx1"/>
                  </w14:solidFill>
                </w14:textFill>
              </w:rPr>
              <w:t>☑</w:t>
            </w:r>
            <w:r>
              <w:rPr>
                <w:rFonts w:hint="eastAsia" w:ascii="宋体" w:hAnsi="宋体" w:eastAsia="宋体" w:cs="宋体"/>
                <w:b w:val="0"/>
                <w:color w:val="000000" w:themeColor="text1"/>
                <w:sz w:val="24"/>
                <w:highlight w:val="none"/>
                <w14:textFill>
                  <w14:solidFill>
                    <w14:schemeClr w14:val="tx1"/>
                  </w14:solidFill>
                </w14:textFill>
              </w:rPr>
              <w:t>分为</w:t>
            </w:r>
            <w:r>
              <w:rPr>
                <w:rFonts w:hint="eastAsia" w:ascii="宋体" w:hAnsi="宋体" w:eastAsia="宋体" w:cs="宋体"/>
                <w:b w:val="0"/>
                <w:color w:val="000000" w:themeColor="text1"/>
                <w:sz w:val="24"/>
                <w:highlight w:val="none"/>
                <w:lang w:val="en-US" w:eastAsia="zh-CN"/>
                <w14:textFill>
                  <w14:solidFill>
                    <w14:schemeClr w14:val="tx1"/>
                  </w14:solidFill>
                </w14:textFill>
              </w:rPr>
              <w:t>3</w:t>
            </w:r>
            <w:r>
              <w:rPr>
                <w:rFonts w:hint="eastAsia" w:ascii="宋体" w:hAnsi="宋体" w:eastAsia="宋体" w:cs="宋体"/>
                <w:b w:val="0"/>
                <w:color w:val="000000" w:themeColor="text1"/>
                <w:sz w:val="24"/>
                <w:highlight w:val="none"/>
                <w14:textFill>
                  <w14:solidFill>
                    <w14:schemeClr w14:val="tx1"/>
                  </w14:solidFill>
                </w14:textFill>
              </w:rPr>
              <w:t>个包</w:t>
            </w:r>
            <w:r>
              <w:rPr>
                <w:rFonts w:hint="eastAsia" w:ascii="宋体" w:hAnsi="宋体" w:eastAsia="宋体" w:cs="宋体"/>
                <w:b w:val="0"/>
                <w:color w:val="000000" w:themeColor="text1"/>
                <w:sz w:val="24"/>
                <w:highlight w:val="none"/>
                <w:lang w:eastAsia="zh-CN"/>
                <w14:textFill>
                  <w14:solidFill>
                    <w14:schemeClr w14:val="tx1"/>
                  </w14:solidFill>
                </w14:textFill>
              </w:rPr>
              <w:t>，</w:t>
            </w:r>
            <w:r>
              <w:rPr>
                <w:rFonts w:hint="eastAsia" w:ascii="宋体" w:hAnsi="宋体" w:eastAsia="宋体" w:cs="宋体"/>
                <w:b w:val="0"/>
                <w:color w:val="000000" w:themeColor="text1"/>
                <w:sz w:val="24"/>
                <w:highlight w:val="none"/>
                <w:lang w:val="en-US" w:eastAsia="zh-CN"/>
                <w14:textFill>
                  <w14:solidFill>
                    <w14:schemeClr w14:val="tx1"/>
                  </w14:solidFill>
                </w14:textFill>
              </w:rPr>
              <w:t>本项目为第1包省淮河局。</w:t>
            </w:r>
            <w:r>
              <w:rPr>
                <w:rFonts w:hint="eastAsia" w:ascii="宋体" w:hAnsi="宋体" w:eastAsia="宋体" w:cs="宋体"/>
                <w:b w:val="0"/>
                <w:bCs w:val="0"/>
                <w:color w:val="000000" w:themeColor="text1"/>
                <w:sz w:val="24"/>
                <w:szCs w:val="24"/>
                <w:highlight w:val="none"/>
                <w14:textFill>
                  <w14:solidFill>
                    <w14:schemeClr w14:val="tx1"/>
                  </w14:solidFill>
                </w14:textFill>
              </w:rPr>
              <w:t>供应商参加多个包磋商的成交包数规定：</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无要求。</w:t>
            </w:r>
          </w:p>
        </w:tc>
      </w:tr>
      <w:tr w14:paraId="2DE4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106" w:type="dxa"/>
            <w:vAlign w:val="center"/>
          </w:tcPr>
          <w:p w14:paraId="5F622709">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
                <w:bCs w:val="0"/>
                <w:color w:val="000000" w:themeColor="text1"/>
                <w:kern w:val="2"/>
                <w:highlight w:val="none"/>
                <w14:textFill>
                  <w14:solidFill>
                    <w14:schemeClr w14:val="tx1"/>
                  </w14:solidFill>
                </w14:textFill>
              </w:rPr>
            </w:pPr>
            <w:r>
              <w:rPr>
                <w:rFonts w:hint="eastAsia" w:ascii="宋体" w:hAnsi="宋体" w:eastAsia="宋体" w:cs="宋体"/>
                <w:b/>
                <w:bCs w:val="0"/>
                <w:color w:val="000000" w:themeColor="text1"/>
                <w:kern w:val="2"/>
                <w:highlight w:val="none"/>
                <w14:textFill>
                  <w14:solidFill>
                    <w14:schemeClr w14:val="tx1"/>
                  </w14:solidFill>
                </w14:textFill>
              </w:rPr>
              <w:t>9.2</w:t>
            </w:r>
          </w:p>
        </w:tc>
        <w:tc>
          <w:tcPr>
            <w:tcW w:w="2240" w:type="dxa"/>
            <w:vAlign w:val="center"/>
          </w:tcPr>
          <w:p w14:paraId="7A933585">
            <w:pPr>
              <w:pStyle w:val="41"/>
              <w:widowControl w:val="0"/>
              <w:spacing w:before="0" w:beforeAutospacing="0" w:after="0" w:afterAutospacing="0" w:line="360" w:lineRule="auto"/>
              <w:jc w:val="left"/>
              <w:rPr>
                <w:rFonts w:hint="eastAsia" w:ascii="宋体" w:hAnsi="宋体" w:eastAsia="宋体" w:cs="宋体"/>
                <w:b/>
                <w:bCs w:val="0"/>
                <w:color w:val="FF0000"/>
                <w:sz w:val="24"/>
                <w:highlight w:val="none"/>
              </w:rPr>
            </w:pPr>
            <w:r>
              <w:rPr>
                <w:rFonts w:hint="eastAsia" w:ascii="宋体" w:hAnsi="宋体" w:eastAsia="宋体" w:cs="宋体"/>
                <w:b/>
                <w:bCs w:val="0"/>
                <w:color w:val="FF0000"/>
                <w:sz w:val="24"/>
                <w:highlight w:val="none"/>
              </w:rPr>
              <w:t>最高限价</w:t>
            </w:r>
          </w:p>
        </w:tc>
        <w:tc>
          <w:tcPr>
            <w:tcW w:w="6421" w:type="dxa"/>
            <w:vAlign w:val="center"/>
          </w:tcPr>
          <w:p w14:paraId="477683E1">
            <w:pPr>
              <w:pStyle w:val="41"/>
              <w:widowControl w:val="0"/>
              <w:spacing w:before="0" w:beforeAutospacing="0" w:after="0" w:afterAutospacing="0" w:line="360" w:lineRule="auto"/>
              <w:jc w:val="both"/>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本项目为第1包省淮河局：</w:t>
            </w:r>
            <w:r>
              <w:rPr>
                <w:rFonts w:hint="eastAsia" w:ascii="宋体" w:hAnsi="宋体" w:eastAsia="宋体" w:cs="宋体"/>
                <w:b/>
                <w:bCs w:val="0"/>
                <w:color w:val="FF0000"/>
                <w:sz w:val="24"/>
                <w:szCs w:val="24"/>
                <w:highlight w:val="none"/>
              </w:rPr>
              <w:t>最高限价为</w:t>
            </w:r>
            <w:r>
              <w:rPr>
                <w:rFonts w:hint="eastAsia" w:ascii="宋体" w:hAnsi="宋体" w:eastAsia="宋体" w:cs="宋体"/>
                <w:color w:val="FF0000"/>
                <w:sz w:val="24"/>
                <w:szCs w:val="24"/>
                <w:highlight w:val="none"/>
                <w:lang w:val="en-US" w:eastAsia="zh-CN"/>
              </w:rPr>
              <w:t>88万元。</w:t>
            </w:r>
          </w:p>
          <w:p w14:paraId="48C9E553">
            <w:pPr>
              <w:pStyle w:val="41"/>
              <w:widowControl w:val="0"/>
              <w:spacing w:before="0" w:beforeAutospacing="0" w:after="0" w:afterAutospacing="0" w:line="360" w:lineRule="auto"/>
              <w:jc w:val="both"/>
              <w:rPr>
                <w:rFonts w:hint="eastAsia" w:ascii="宋体" w:hAnsi="宋体" w:eastAsia="宋体" w:cs="宋体"/>
                <w:b w:val="0"/>
                <w:color w:val="FF0000"/>
                <w:sz w:val="24"/>
                <w:szCs w:val="24"/>
                <w:highlight w:val="none"/>
              </w:rPr>
            </w:pPr>
            <w:r>
              <w:rPr>
                <w:rFonts w:hint="eastAsia" w:ascii="宋体" w:hAnsi="宋体" w:eastAsia="宋体" w:cs="宋体"/>
                <w:bCs w:val="0"/>
                <w:color w:val="FF0000"/>
                <w:sz w:val="24"/>
                <w:szCs w:val="24"/>
                <w:highlight w:val="none"/>
              </w:rPr>
              <w:t>供应商的报价不得超过采购人公布的最高限价，否则其响应文件按照无效处理。</w:t>
            </w:r>
          </w:p>
        </w:tc>
      </w:tr>
      <w:tr w14:paraId="7073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06" w:type="dxa"/>
            <w:vAlign w:val="center"/>
          </w:tcPr>
          <w:p w14:paraId="233D7F3A">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10.1</w:t>
            </w:r>
          </w:p>
        </w:tc>
        <w:tc>
          <w:tcPr>
            <w:tcW w:w="2240" w:type="dxa"/>
            <w:vAlign w:val="center"/>
          </w:tcPr>
          <w:p w14:paraId="2A24855C">
            <w:pPr>
              <w:pStyle w:val="41"/>
              <w:widowControl w:val="0"/>
              <w:spacing w:before="0" w:beforeAutospacing="0" w:after="0" w:afterAutospacing="0" w:line="360" w:lineRule="auto"/>
              <w:jc w:val="left"/>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磋商保证金</w:t>
            </w:r>
          </w:p>
        </w:tc>
        <w:tc>
          <w:tcPr>
            <w:tcW w:w="6421" w:type="dxa"/>
            <w:vAlign w:val="center"/>
          </w:tcPr>
          <w:p w14:paraId="53695376">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不收取</w:t>
            </w:r>
          </w:p>
        </w:tc>
      </w:tr>
      <w:tr w14:paraId="2411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6DA0892D">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11.1</w:t>
            </w:r>
          </w:p>
        </w:tc>
        <w:tc>
          <w:tcPr>
            <w:tcW w:w="2240" w:type="dxa"/>
            <w:vAlign w:val="center"/>
          </w:tcPr>
          <w:p w14:paraId="3409416F">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磋商有效期</w:t>
            </w:r>
          </w:p>
        </w:tc>
        <w:tc>
          <w:tcPr>
            <w:tcW w:w="6421" w:type="dxa"/>
            <w:vAlign w:val="center"/>
          </w:tcPr>
          <w:p w14:paraId="16F8C7F5">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u w:val="single"/>
                <w14:textFill>
                  <w14:solidFill>
                    <w14:schemeClr w14:val="tx1"/>
                  </w14:solidFill>
                </w14:textFill>
              </w:rPr>
              <w:t>90</w:t>
            </w:r>
            <w:r>
              <w:rPr>
                <w:rFonts w:hint="eastAsia" w:ascii="宋体" w:hAnsi="宋体" w:eastAsia="宋体" w:cs="宋体"/>
                <w:b w:val="0"/>
                <w:color w:val="000000" w:themeColor="text1"/>
                <w:sz w:val="24"/>
                <w:highlight w:val="none"/>
                <w14:textFill>
                  <w14:solidFill>
                    <w14:schemeClr w14:val="tx1"/>
                  </w14:solidFill>
                </w14:textFill>
              </w:rPr>
              <w:t>日历日</w:t>
            </w:r>
          </w:p>
        </w:tc>
      </w:tr>
      <w:tr w14:paraId="6AF8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50CED209">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12.3</w:t>
            </w:r>
          </w:p>
        </w:tc>
        <w:tc>
          <w:tcPr>
            <w:tcW w:w="2240" w:type="dxa"/>
            <w:vAlign w:val="center"/>
          </w:tcPr>
          <w:p w14:paraId="64941FD0">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响应文件解密时间</w:t>
            </w:r>
          </w:p>
        </w:tc>
        <w:tc>
          <w:tcPr>
            <w:tcW w:w="6421" w:type="dxa"/>
            <w:vAlign w:val="center"/>
          </w:tcPr>
          <w:p w14:paraId="68F17D00">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u w:val="singl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响应文件提交截止时间后</w:t>
            </w:r>
            <w:r>
              <w:rPr>
                <w:rFonts w:hint="eastAsia" w:ascii="宋体" w:hAnsi="宋体" w:eastAsia="宋体" w:cs="宋体"/>
                <w:b w:val="0"/>
                <w:color w:val="000000" w:themeColor="text1"/>
                <w:sz w:val="24"/>
                <w:highlight w:val="none"/>
                <w:u w:val="single"/>
                <w14:textFill>
                  <w14:solidFill>
                    <w14:schemeClr w14:val="tx1"/>
                  </w14:solidFill>
                </w14:textFill>
              </w:rPr>
              <w:t>60</w:t>
            </w:r>
            <w:r>
              <w:rPr>
                <w:rFonts w:hint="eastAsia" w:ascii="宋体" w:hAnsi="宋体" w:eastAsia="宋体" w:cs="宋体"/>
                <w:b w:val="0"/>
                <w:color w:val="000000" w:themeColor="text1"/>
                <w:sz w:val="24"/>
                <w:highlight w:val="none"/>
                <w14:textFill>
                  <w14:solidFill>
                    <w14:schemeClr w14:val="tx1"/>
                  </w14:solidFill>
                </w14:textFill>
              </w:rPr>
              <w:t>分钟内</w:t>
            </w:r>
          </w:p>
        </w:tc>
      </w:tr>
      <w:tr w14:paraId="7C22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0263F957">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14.2</w:t>
            </w:r>
          </w:p>
        </w:tc>
        <w:tc>
          <w:tcPr>
            <w:tcW w:w="2240" w:type="dxa"/>
            <w:vAlign w:val="center"/>
          </w:tcPr>
          <w:p w14:paraId="7081C0CB">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评审方法</w:t>
            </w:r>
          </w:p>
        </w:tc>
        <w:tc>
          <w:tcPr>
            <w:tcW w:w="6421" w:type="dxa"/>
            <w:vAlign w:val="center"/>
          </w:tcPr>
          <w:p w14:paraId="7ABF9BA0">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综合评分法</w:t>
            </w:r>
          </w:p>
        </w:tc>
      </w:tr>
      <w:tr w14:paraId="3A6E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78C827EA">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17.4</w:t>
            </w:r>
          </w:p>
        </w:tc>
        <w:tc>
          <w:tcPr>
            <w:tcW w:w="2240" w:type="dxa"/>
            <w:vAlign w:val="center"/>
          </w:tcPr>
          <w:p w14:paraId="387AA539">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最后报价扣除</w:t>
            </w:r>
          </w:p>
        </w:tc>
        <w:tc>
          <w:tcPr>
            <w:tcW w:w="6421" w:type="dxa"/>
            <w:vAlign w:val="center"/>
          </w:tcPr>
          <w:p w14:paraId="5DA5339A">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（1）小型和微型企业价格扣除：</w:t>
            </w:r>
            <w:r>
              <w:rPr>
                <w:rFonts w:hint="eastAsia" w:ascii="宋体" w:hAnsi="宋体" w:eastAsia="宋体" w:cs="宋体"/>
                <w:color w:val="000000" w:themeColor="text1"/>
                <w:sz w:val="24"/>
                <w:highlight w:val="none"/>
                <w:u w:val="single"/>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b w:val="0"/>
                <w:color w:val="000000" w:themeColor="text1"/>
                <w:sz w:val="24"/>
                <w:highlight w:val="none"/>
                <w14:textFill>
                  <w14:solidFill>
                    <w14:schemeClr w14:val="tx1"/>
                  </w14:solidFill>
                </w14:textFill>
              </w:rPr>
              <w:t>。</w:t>
            </w:r>
          </w:p>
          <w:p w14:paraId="23411DC4">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（2）监狱企业价格扣除：同小型和微型企业。</w:t>
            </w:r>
          </w:p>
          <w:p w14:paraId="43E4E67F">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（3）残疾人福利性单位价格扣除：同小型和微型企业。</w:t>
            </w:r>
          </w:p>
          <w:p w14:paraId="4CD50821">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（4）符合条件的联合体价格扣除：</w:t>
            </w:r>
            <w:r>
              <w:rPr>
                <w:rFonts w:hint="eastAsia" w:ascii="宋体" w:hAnsi="宋体" w:eastAsia="宋体" w:cs="宋体"/>
                <w:b w:val="0"/>
                <w:color w:val="000000" w:themeColor="text1"/>
                <w:sz w:val="24"/>
                <w:highlight w:val="none"/>
                <w:u w:val="single"/>
                <w14:textFill>
                  <w14:solidFill>
                    <w14:schemeClr w14:val="tx1"/>
                  </w14:solidFill>
                </w14:textFill>
              </w:rPr>
              <w:t>/</w:t>
            </w:r>
            <w:r>
              <w:rPr>
                <w:rFonts w:hint="eastAsia" w:ascii="宋体" w:hAnsi="宋体" w:eastAsia="宋体" w:cs="宋体"/>
                <w:b w:val="0"/>
                <w:color w:val="000000" w:themeColor="text1"/>
                <w:sz w:val="24"/>
                <w:highlight w:val="none"/>
                <w14:textFill>
                  <w14:solidFill>
                    <w14:schemeClr w14:val="tx1"/>
                  </w14:solidFill>
                </w14:textFill>
              </w:rPr>
              <w:t>。</w:t>
            </w:r>
          </w:p>
          <w:p w14:paraId="615D62F6">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（5）符合条件的向小微企业分包的大中型企业价格扣除：</w:t>
            </w:r>
            <w:r>
              <w:rPr>
                <w:rFonts w:hint="eastAsia" w:ascii="宋体" w:hAnsi="宋体" w:eastAsia="宋体" w:cs="宋体"/>
                <w:b w:val="0"/>
                <w:color w:val="000000" w:themeColor="text1"/>
                <w:sz w:val="24"/>
                <w:highlight w:val="none"/>
                <w:u w:val="single"/>
                <w14:textFill>
                  <w14:solidFill>
                    <w14:schemeClr w14:val="tx1"/>
                  </w14:solidFill>
                </w14:textFill>
              </w:rPr>
              <w:t>/</w:t>
            </w:r>
            <w:r>
              <w:rPr>
                <w:rFonts w:hint="eastAsia" w:ascii="宋体" w:hAnsi="宋体" w:eastAsia="宋体" w:cs="宋体"/>
                <w:b w:val="0"/>
                <w:color w:val="000000" w:themeColor="text1"/>
                <w:sz w:val="24"/>
                <w:highlight w:val="none"/>
                <w14:textFill>
                  <w14:solidFill>
                    <w14:schemeClr w14:val="tx1"/>
                  </w14:solidFill>
                </w14:textFill>
              </w:rPr>
              <w:t>。</w:t>
            </w:r>
          </w:p>
        </w:tc>
      </w:tr>
      <w:tr w14:paraId="26AA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Merge w:val="restart"/>
            <w:vAlign w:val="center"/>
          </w:tcPr>
          <w:p w14:paraId="44BB1856">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19.1</w:t>
            </w:r>
          </w:p>
        </w:tc>
        <w:tc>
          <w:tcPr>
            <w:tcW w:w="2240" w:type="dxa"/>
            <w:vMerge w:val="restart"/>
            <w:vAlign w:val="center"/>
          </w:tcPr>
          <w:p w14:paraId="4662E378">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确定成交候选供应商和成交供应商</w:t>
            </w:r>
          </w:p>
        </w:tc>
        <w:tc>
          <w:tcPr>
            <w:tcW w:w="6421" w:type="dxa"/>
            <w:vAlign w:val="center"/>
          </w:tcPr>
          <w:p w14:paraId="439E5C3E">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lang w:val="en-US" w:eastAsia="zh-CN"/>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磋商小组推荐成交候选供应商的数量：3家</w:t>
            </w:r>
            <w:r>
              <w:rPr>
                <w:rFonts w:hint="eastAsia" w:ascii="宋体" w:hAnsi="宋体" w:eastAsia="宋体" w:cs="宋体"/>
                <w:b w:val="0"/>
                <w:color w:val="000000" w:themeColor="text1"/>
                <w:sz w:val="24"/>
                <w:highlight w:val="none"/>
                <w:lang w:val="en-US" w:eastAsia="zh-CN"/>
                <w14:textFill>
                  <w14:solidFill>
                    <w14:schemeClr w14:val="tx1"/>
                  </w14:solidFill>
                </w14:textFill>
              </w:rPr>
              <w:t>及以上</w:t>
            </w:r>
          </w:p>
          <w:p w14:paraId="02BE8EEA">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u w:val="singl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注：法律、法规另有规定的，从其规定</w:t>
            </w:r>
          </w:p>
        </w:tc>
      </w:tr>
      <w:tr w14:paraId="5CBC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Merge w:val="continue"/>
            <w:vAlign w:val="center"/>
          </w:tcPr>
          <w:p w14:paraId="41B26152">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highlight w:val="none"/>
                <w14:textFill>
                  <w14:solidFill>
                    <w14:schemeClr w14:val="tx1"/>
                  </w14:solidFill>
                </w14:textFill>
              </w:rPr>
            </w:pPr>
          </w:p>
        </w:tc>
        <w:tc>
          <w:tcPr>
            <w:tcW w:w="2240" w:type="dxa"/>
            <w:vMerge w:val="continue"/>
            <w:vAlign w:val="center"/>
          </w:tcPr>
          <w:p w14:paraId="5CA7C8BF">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p>
        </w:tc>
        <w:tc>
          <w:tcPr>
            <w:tcW w:w="6421" w:type="dxa"/>
            <w:vAlign w:val="center"/>
          </w:tcPr>
          <w:p w14:paraId="43B0F710">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确定成交供应商：</w:t>
            </w:r>
          </w:p>
          <w:p w14:paraId="61ECCC4F">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sym w:font="Wingdings" w:char="00A8"/>
            </w:r>
            <w:r>
              <w:rPr>
                <w:rFonts w:hint="eastAsia" w:ascii="宋体" w:hAnsi="宋体" w:eastAsia="宋体" w:cs="宋体"/>
                <w:b w:val="0"/>
                <w:color w:val="000000" w:themeColor="text1"/>
                <w:sz w:val="24"/>
                <w:highlight w:val="none"/>
                <w14:textFill>
                  <w14:solidFill>
                    <w14:schemeClr w14:val="tx1"/>
                  </w14:solidFill>
                </w14:textFill>
              </w:rPr>
              <w:t>采购人委托磋商小组确定     ☑采购人确定</w:t>
            </w:r>
          </w:p>
        </w:tc>
      </w:tr>
      <w:tr w14:paraId="2FB6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5D52CF07">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22.2</w:t>
            </w:r>
          </w:p>
        </w:tc>
        <w:tc>
          <w:tcPr>
            <w:tcW w:w="2240" w:type="dxa"/>
            <w:vAlign w:val="center"/>
          </w:tcPr>
          <w:p w14:paraId="1DF5752D">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随成交结果公告同时公告的内容</w:t>
            </w:r>
          </w:p>
        </w:tc>
        <w:tc>
          <w:tcPr>
            <w:tcW w:w="6421" w:type="dxa"/>
            <w:vAlign w:val="center"/>
          </w:tcPr>
          <w:p w14:paraId="0EF1A06D">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（1）中小企业声明函；</w:t>
            </w:r>
            <w:r>
              <w:rPr>
                <w:rFonts w:hint="eastAsia" w:ascii="宋体" w:hAnsi="宋体" w:eastAsia="宋体" w:cs="宋体"/>
                <w:b w:val="0"/>
                <w:i/>
                <w:iCs/>
                <w:color w:val="000000" w:themeColor="text1"/>
                <w:sz w:val="24"/>
                <w:highlight w:val="none"/>
                <w14:textFill>
                  <w14:solidFill>
                    <w14:schemeClr w14:val="tx1"/>
                  </w14:solidFill>
                </w14:textFill>
              </w:rPr>
              <w:t>（如有）</w:t>
            </w:r>
          </w:p>
          <w:p w14:paraId="39D8CA8C">
            <w:pPr>
              <w:pStyle w:val="41"/>
              <w:widowControl w:val="0"/>
              <w:spacing w:before="0" w:beforeAutospacing="0" w:after="0" w:afterAutospacing="0" w:line="360" w:lineRule="auto"/>
              <w:jc w:val="both"/>
              <w:rPr>
                <w:rFonts w:hint="eastAsia" w:ascii="宋体" w:hAnsi="宋体" w:eastAsia="宋体" w:cs="宋体"/>
                <w:b w:val="0"/>
                <w:i/>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（2）残疾人福利性单位声明函；</w:t>
            </w:r>
            <w:r>
              <w:rPr>
                <w:rFonts w:hint="eastAsia" w:ascii="宋体" w:hAnsi="宋体" w:eastAsia="宋体" w:cs="宋体"/>
                <w:b w:val="0"/>
                <w:i/>
                <w:iCs/>
                <w:color w:val="000000" w:themeColor="text1"/>
                <w:sz w:val="24"/>
                <w:highlight w:val="none"/>
                <w14:textFill>
                  <w14:solidFill>
                    <w14:schemeClr w14:val="tx1"/>
                  </w14:solidFill>
                </w14:textFill>
              </w:rPr>
              <w:t>（如有）</w:t>
            </w:r>
          </w:p>
          <w:p w14:paraId="7BC58E3E">
            <w:pPr>
              <w:pStyle w:val="41"/>
              <w:widowControl w:val="0"/>
              <w:spacing w:before="0" w:beforeAutospacing="0" w:after="0" w:afterAutospacing="0" w:line="360" w:lineRule="auto"/>
              <w:jc w:val="both"/>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（3）中标（成交）供应商的评审总得分；</w:t>
            </w:r>
          </w:p>
        </w:tc>
      </w:tr>
      <w:tr w14:paraId="18C6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38B6F903">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23.1</w:t>
            </w:r>
          </w:p>
        </w:tc>
        <w:tc>
          <w:tcPr>
            <w:tcW w:w="2240" w:type="dxa"/>
            <w:vAlign w:val="center"/>
          </w:tcPr>
          <w:p w14:paraId="112A13D1">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成交通知书发出的形式</w:t>
            </w:r>
          </w:p>
        </w:tc>
        <w:tc>
          <w:tcPr>
            <w:tcW w:w="6421" w:type="dxa"/>
            <w:vAlign w:val="center"/>
          </w:tcPr>
          <w:p w14:paraId="2BE9C987">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 xml:space="preserve">□书面     </w:t>
            </w:r>
            <w:r>
              <w:rPr>
                <w:rFonts w:hint="eastAsia" w:ascii="宋体" w:hAnsi="宋体" w:eastAsia="宋体" w:cs="宋体"/>
                <w:b w:val="0"/>
                <w:bCs w:val="0"/>
                <w:color w:val="000000" w:themeColor="text1"/>
                <w:sz w:val="24"/>
                <w:szCs w:val="24"/>
                <w:highlight w:val="none"/>
                <w14:textFill>
                  <w14:solidFill>
                    <w14:schemeClr w14:val="tx1"/>
                  </w14:solidFill>
                </w14:textFill>
              </w:rPr>
              <w:sym w:font="Wingdings" w:char="00FE"/>
            </w:r>
            <w:r>
              <w:rPr>
                <w:rFonts w:hint="eastAsia" w:ascii="宋体" w:hAnsi="宋体" w:eastAsia="宋体" w:cs="宋体"/>
                <w:b w:val="0"/>
                <w:color w:val="000000" w:themeColor="text1"/>
                <w:sz w:val="24"/>
                <w:highlight w:val="none"/>
                <w14:textFill>
                  <w14:solidFill>
                    <w14:schemeClr w14:val="tx1"/>
                  </w14:solidFill>
                </w14:textFill>
              </w:rPr>
              <w:t>数据电文</w:t>
            </w:r>
          </w:p>
        </w:tc>
      </w:tr>
      <w:tr w14:paraId="4D81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27C680E0">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24.1</w:t>
            </w:r>
          </w:p>
        </w:tc>
        <w:tc>
          <w:tcPr>
            <w:tcW w:w="2240" w:type="dxa"/>
            <w:vAlign w:val="center"/>
          </w:tcPr>
          <w:p w14:paraId="64408387">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告知磋商结果的形式</w:t>
            </w:r>
          </w:p>
        </w:tc>
        <w:tc>
          <w:tcPr>
            <w:tcW w:w="6421" w:type="dxa"/>
            <w:vAlign w:val="center"/>
          </w:tcPr>
          <w:p w14:paraId="5580ED94">
            <w:pPr>
              <w:pStyle w:val="41"/>
              <w:widowControl w:val="0"/>
              <w:spacing w:before="0" w:beforeAutospacing="0" w:after="0" w:afterAutospacing="0" w:line="360" w:lineRule="auto"/>
              <w:jc w:val="both"/>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sym w:font="Wingdings" w:char="00FE"/>
            </w:r>
            <w:r>
              <w:rPr>
                <w:rFonts w:hint="eastAsia" w:ascii="宋体" w:hAnsi="宋体" w:eastAsia="宋体" w:cs="宋体"/>
                <w:b w:val="0"/>
                <w:bCs w:val="0"/>
                <w:color w:val="000000" w:themeColor="text1"/>
                <w:sz w:val="24"/>
                <w:szCs w:val="24"/>
                <w:highlight w:val="none"/>
                <w14:textFill>
                  <w14:solidFill>
                    <w14:schemeClr w14:val="tx1"/>
                  </w14:solidFill>
                </w14:textFill>
              </w:rPr>
              <w:t>供应商自行登录电子交易系统查看</w:t>
            </w:r>
          </w:p>
          <w:p w14:paraId="03E5D3CD">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□磋商现场告知</w:t>
            </w:r>
          </w:p>
        </w:tc>
      </w:tr>
      <w:tr w14:paraId="2A52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2E5FBD3C">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25.1</w:t>
            </w:r>
          </w:p>
        </w:tc>
        <w:tc>
          <w:tcPr>
            <w:tcW w:w="2240" w:type="dxa"/>
            <w:vAlign w:val="center"/>
          </w:tcPr>
          <w:p w14:paraId="0882209C">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履约保证金</w:t>
            </w:r>
          </w:p>
        </w:tc>
        <w:tc>
          <w:tcPr>
            <w:tcW w:w="6421" w:type="dxa"/>
          </w:tcPr>
          <w:p w14:paraId="5F6AD1E4">
            <w:pPr>
              <w:spacing w:line="360" w:lineRule="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（1）金额：</w:t>
            </w:r>
          </w:p>
          <w:p w14:paraId="59F7326B">
            <w:pPr>
              <w:spacing w:line="360" w:lineRule="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各包</w:t>
            </w:r>
            <w:r>
              <w:rPr>
                <w:rFonts w:hint="eastAsia" w:ascii="宋体" w:hAnsi="宋体" w:eastAsia="宋体" w:cs="宋体"/>
                <w:bCs/>
                <w:color w:val="000000" w:themeColor="text1"/>
                <w:kern w:val="0"/>
                <w:sz w:val="24"/>
                <w:szCs w:val="24"/>
                <w:highlight w:val="none"/>
                <w14:textFill>
                  <w14:solidFill>
                    <w14:schemeClr w14:val="tx1"/>
                  </w14:solidFill>
                </w14:textFill>
              </w:rPr>
              <w:t>合同价的</w:t>
            </w:r>
            <w:r>
              <w:rPr>
                <w:rFonts w:hint="eastAsia" w:ascii="宋体" w:hAnsi="宋体" w:eastAsia="宋体" w:cs="宋体"/>
                <w:b/>
                <w:bCs w:val="0"/>
                <w:color w:val="000000" w:themeColor="text1"/>
                <w:kern w:val="0"/>
                <w:sz w:val="24"/>
                <w:szCs w:val="24"/>
                <w:highlight w:val="none"/>
                <w:u w:val="single"/>
                <w14:textFill>
                  <w14:solidFill>
                    <w14:schemeClr w14:val="tx1"/>
                  </w14:solidFill>
                </w14:textFill>
              </w:rPr>
              <w:t>2.5%</w:t>
            </w:r>
          </w:p>
          <w:p w14:paraId="6005D729">
            <w:pPr>
              <w:spacing w:line="360" w:lineRule="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（2）支付方式：</w:t>
            </w:r>
          </w:p>
          <w:p w14:paraId="05248E86">
            <w:pPr>
              <w:spacing w:line="360" w:lineRule="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sym w:font="Wingdings" w:char="00FE"/>
            </w:r>
            <w:r>
              <w:rPr>
                <w:rFonts w:hint="eastAsia" w:ascii="宋体" w:hAnsi="宋体" w:eastAsia="宋体" w:cs="宋体"/>
                <w:bCs/>
                <w:color w:val="000000" w:themeColor="text1"/>
                <w:kern w:val="0"/>
                <w:sz w:val="24"/>
                <w:szCs w:val="24"/>
                <w:highlight w:val="none"/>
                <w14:textFill>
                  <w14:solidFill>
                    <w14:schemeClr w14:val="tx1"/>
                  </w14:solidFill>
                </w14:textFill>
              </w:rPr>
              <w:t xml:space="preserve">转账/电汇 </w:t>
            </w:r>
            <w:r>
              <w:rPr>
                <w:rFonts w:hint="eastAsia" w:ascii="宋体" w:hAnsi="宋体" w:eastAsia="宋体" w:cs="宋体"/>
                <w:bCs/>
                <w:color w:val="000000" w:themeColor="text1"/>
                <w:kern w:val="0"/>
                <w:sz w:val="24"/>
                <w:szCs w:val="24"/>
                <w:highlight w:val="none"/>
                <w14:textFill>
                  <w14:solidFill>
                    <w14:schemeClr w14:val="tx1"/>
                  </w14:solidFill>
                </w14:textFill>
              </w:rPr>
              <w:sym w:font="Wingdings" w:char="00FE"/>
            </w:r>
            <w:r>
              <w:rPr>
                <w:rFonts w:hint="eastAsia" w:ascii="宋体" w:hAnsi="宋体" w:eastAsia="宋体" w:cs="宋体"/>
                <w:bCs/>
                <w:color w:val="000000" w:themeColor="text1"/>
                <w:kern w:val="0"/>
                <w:sz w:val="24"/>
                <w:szCs w:val="24"/>
                <w:highlight w:val="none"/>
                <w14:textFill>
                  <w14:solidFill>
                    <w14:schemeClr w14:val="tx1"/>
                  </w14:solidFill>
                </w14:textFill>
              </w:rPr>
              <w:t xml:space="preserve">支票 </w:t>
            </w:r>
            <w:r>
              <w:rPr>
                <w:rFonts w:hint="eastAsia" w:ascii="宋体" w:hAnsi="宋体" w:eastAsia="宋体" w:cs="宋体"/>
                <w:bCs/>
                <w:color w:val="000000" w:themeColor="text1"/>
                <w:kern w:val="0"/>
                <w:sz w:val="24"/>
                <w:szCs w:val="24"/>
                <w:highlight w:val="none"/>
                <w14:textFill>
                  <w14:solidFill>
                    <w14:schemeClr w14:val="tx1"/>
                  </w14:solidFill>
                </w14:textFill>
              </w:rPr>
              <w:sym w:font="Wingdings" w:char="00FE"/>
            </w:r>
            <w:r>
              <w:rPr>
                <w:rFonts w:hint="eastAsia" w:ascii="宋体" w:hAnsi="宋体" w:eastAsia="宋体" w:cs="宋体"/>
                <w:bCs/>
                <w:color w:val="000000" w:themeColor="text1"/>
                <w:kern w:val="0"/>
                <w:sz w:val="24"/>
                <w:szCs w:val="24"/>
                <w:highlight w:val="none"/>
                <w14:textFill>
                  <w14:solidFill>
                    <w14:schemeClr w14:val="tx1"/>
                  </w14:solidFill>
                </w14:textFill>
              </w:rPr>
              <w:t xml:space="preserve">汇票 </w:t>
            </w:r>
            <w:r>
              <w:rPr>
                <w:rFonts w:hint="eastAsia" w:ascii="宋体" w:hAnsi="宋体" w:eastAsia="宋体" w:cs="宋体"/>
                <w:bCs/>
                <w:color w:val="000000" w:themeColor="text1"/>
                <w:kern w:val="0"/>
                <w:sz w:val="24"/>
                <w:szCs w:val="24"/>
                <w:highlight w:val="none"/>
                <w14:textFill>
                  <w14:solidFill>
                    <w14:schemeClr w14:val="tx1"/>
                  </w14:solidFill>
                </w14:textFill>
              </w:rPr>
              <w:sym w:font="Wingdings" w:char="00FE"/>
            </w:r>
            <w:r>
              <w:rPr>
                <w:rFonts w:hint="eastAsia" w:ascii="宋体" w:hAnsi="宋体" w:eastAsia="宋体" w:cs="宋体"/>
                <w:bCs/>
                <w:color w:val="000000" w:themeColor="text1"/>
                <w:kern w:val="0"/>
                <w:sz w:val="24"/>
                <w:szCs w:val="24"/>
                <w:highlight w:val="none"/>
                <w14:textFill>
                  <w14:solidFill>
                    <w14:schemeClr w14:val="tx1"/>
                  </w14:solidFill>
                </w14:textFill>
              </w:rPr>
              <w:t xml:space="preserve">本票 </w:t>
            </w:r>
            <w:r>
              <w:rPr>
                <w:rFonts w:hint="eastAsia" w:ascii="宋体" w:hAnsi="宋体" w:eastAsia="宋体" w:cs="宋体"/>
                <w:bCs/>
                <w:color w:val="000000" w:themeColor="text1"/>
                <w:kern w:val="0"/>
                <w:sz w:val="24"/>
                <w:szCs w:val="24"/>
                <w:highlight w:val="none"/>
                <w14:textFill>
                  <w14:solidFill>
                    <w14:schemeClr w14:val="tx1"/>
                  </w14:solidFill>
                </w14:textFill>
              </w:rPr>
              <w:sym w:font="Wingdings" w:char="00FE"/>
            </w:r>
            <w:r>
              <w:rPr>
                <w:rFonts w:hint="eastAsia" w:ascii="宋体" w:hAnsi="宋体" w:eastAsia="宋体" w:cs="宋体"/>
                <w:bCs/>
                <w:color w:val="000000" w:themeColor="text1"/>
                <w:kern w:val="0"/>
                <w:sz w:val="24"/>
                <w:szCs w:val="24"/>
                <w:highlight w:val="none"/>
                <w14:textFill>
                  <w14:solidFill>
                    <w14:schemeClr w14:val="tx1"/>
                  </w14:solidFill>
                </w14:textFill>
              </w:rPr>
              <w:t xml:space="preserve">保险 </w:t>
            </w:r>
            <w:r>
              <w:rPr>
                <w:rFonts w:hint="eastAsia" w:ascii="宋体" w:hAnsi="宋体" w:eastAsia="宋体" w:cs="宋体"/>
                <w:bCs/>
                <w:color w:val="000000" w:themeColor="text1"/>
                <w:kern w:val="0"/>
                <w:sz w:val="24"/>
                <w:szCs w:val="24"/>
                <w:highlight w:val="none"/>
                <w14:textFill>
                  <w14:solidFill>
                    <w14:schemeClr w14:val="tx1"/>
                  </w14:solidFill>
                </w14:textFill>
              </w:rPr>
              <w:sym w:font="Wingdings" w:char="00FE"/>
            </w:r>
            <w:r>
              <w:rPr>
                <w:rFonts w:hint="eastAsia" w:ascii="宋体" w:hAnsi="宋体" w:eastAsia="宋体" w:cs="宋体"/>
                <w:bCs/>
                <w:color w:val="000000" w:themeColor="text1"/>
                <w:kern w:val="0"/>
                <w:sz w:val="24"/>
                <w:szCs w:val="24"/>
                <w:highlight w:val="none"/>
                <w14:textFill>
                  <w14:solidFill>
                    <w14:schemeClr w14:val="tx1"/>
                  </w14:solidFill>
                </w14:textFill>
              </w:rPr>
              <w:t>保函</w:t>
            </w:r>
          </w:p>
          <w:p w14:paraId="26545A83">
            <w:pPr>
              <w:spacing w:line="360" w:lineRule="auto"/>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（3）收取单位：</w:t>
            </w:r>
            <w:r>
              <w:rPr>
                <w:rFonts w:hint="eastAsia" w:ascii="宋体" w:hAnsi="宋体" w:eastAsia="宋体" w:cs="宋体"/>
                <w:b/>
                <w:color w:val="000000" w:themeColor="text1"/>
                <w:kern w:val="0"/>
                <w:sz w:val="24"/>
                <w:szCs w:val="24"/>
                <w:highlight w:val="none"/>
                <w:u w:val="single"/>
                <w14:textFill>
                  <w14:solidFill>
                    <w14:schemeClr w14:val="tx1"/>
                  </w14:solidFill>
                </w14:textFill>
              </w:rPr>
              <w:t>本项目为统采分签项目，供应商成交后，履约保证金由各合同甲方分别收取</w:t>
            </w:r>
          </w:p>
          <w:p w14:paraId="4FD0BD59">
            <w:pPr>
              <w:spacing w:line="360" w:lineRule="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（4）收取账号：</w:t>
            </w:r>
            <w:r>
              <w:rPr>
                <w:rFonts w:hint="eastAsia" w:ascii="宋体" w:hAnsi="宋体" w:eastAsia="宋体" w:cs="宋体"/>
                <w:bCs/>
                <w:color w:val="000000" w:themeColor="text1"/>
                <w:kern w:val="0"/>
                <w:sz w:val="24"/>
                <w:szCs w:val="24"/>
                <w:highlight w:val="none"/>
                <w:u w:val="single"/>
                <w14:textFill>
                  <w14:solidFill>
                    <w14:schemeClr w14:val="tx1"/>
                  </w14:solidFill>
                </w14:textFill>
              </w:rPr>
              <w:t>成交后提供</w:t>
            </w:r>
          </w:p>
          <w:p w14:paraId="6737C245">
            <w:pPr>
              <w:spacing w:line="360" w:lineRule="auto"/>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退还时间：</w:t>
            </w:r>
            <w:bookmarkStart w:id="55" w:name="_Hlk190701813"/>
            <w:r>
              <w:rPr>
                <w:rFonts w:hint="eastAsia" w:ascii="宋体" w:hAnsi="宋体" w:eastAsia="宋体" w:cs="宋体"/>
                <w:color w:val="000000" w:themeColor="text1"/>
                <w:sz w:val="24"/>
                <w:szCs w:val="24"/>
                <w:highlight w:val="none"/>
                <w:u w:val="single"/>
                <w14:textFill>
                  <w14:solidFill>
                    <w14:schemeClr w14:val="tx1"/>
                  </w14:solidFill>
                </w14:textFill>
              </w:rPr>
              <w:t>履约保证金在合同生效之日起至项目验收合格前一直有效，通过验收后经乙方申请，合同甲方审核确认后按规定及时内将履约保证金款项退还给乙方或者解除履约担保。</w:t>
            </w:r>
            <w:bookmarkEnd w:id="55"/>
          </w:p>
          <w:p w14:paraId="285F5A2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如果乙方不履行合同，履约保证金不予退还；如果乙方未能按合同约定全面履行义务，合同甲方有权从履约保证金中取得补偿或赔偿，同时不影响合同甲方要求乙方承担合同约定的超过履约保证金的违约责任的权利。</w:t>
            </w:r>
          </w:p>
          <w:p w14:paraId="1630F850">
            <w:pPr>
              <w:spacing w:line="360" w:lineRule="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注意事项：</w:t>
            </w:r>
          </w:p>
          <w:p w14:paraId="620B34D1">
            <w:pPr>
              <w:spacing w:line="360" w:lineRule="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（1）以上各类机构出具的以担保函、保证保险承担责任的方式均须满足无条件见索即付条件。</w:t>
            </w:r>
          </w:p>
          <w:p w14:paraId="72A01FC5">
            <w:pPr>
              <w:pStyle w:val="41"/>
              <w:widowControl w:val="0"/>
              <w:spacing w:before="0" w:beforeAutospacing="0" w:after="0" w:afterAutospacing="0" w:line="360" w:lineRule="auto"/>
              <w:jc w:val="both"/>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val="0"/>
                <w:color w:val="000000" w:themeColor="text1"/>
                <w:sz w:val="24"/>
                <w:szCs w:val="24"/>
                <w:highlight w:val="none"/>
                <w14:textFill>
                  <w14:solidFill>
                    <w14:schemeClr w14:val="tx1"/>
                  </w14:solidFill>
                </w14:textFill>
              </w:rPr>
              <w:t>（2）以担保函、保证保险形式缴纳履约保证金的，受益人和收取单位须为合同甲方。</w:t>
            </w:r>
          </w:p>
        </w:tc>
      </w:tr>
      <w:tr w14:paraId="410E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76CBC932">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26.1</w:t>
            </w:r>
          </w:p>
        </w:tc>
        <w:tc>
          <w:tcPr>
            <w:tcW w:w="2240" w:type="dxa"/>
            <w:vAlign w:val="center"/>
          </w:tcPr>
          <w:p w14:paraId="4F866024">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代理费用</w:t>
            </w:r>
          </w:p>
        </w:tc>
        <w:tc>
          <w:tcPr>
            <w:tcW w:w="6421" w:type="dxa"/>
            <w:vAlign w:val="center"/>
          </w:tcPr>
          <w:p w14:paraId="2F714E00">
            <w:pPr>
              <w:spacing w:before="39" w:line="360" w:lineRule="auto"/>
              <w:ind w:firstLine="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（1）</w:t>
            </w:r>
            <w:r>
              <w:rPr>
                <w:rFonts w:ascii="宋体" w:hAnsi="宋体" w:eastAsia="宋体"/>
                <w:bCs/>
                <w:color w:val="000000" w:themeColor="text1"/>
                <w:kern w:val="0"/>
                <w:sz w:val="24"/>
                <w:szCs w:val="28"/>
                <w:highlight w:val="none"/>
                <w14:textFill>
                  <w14:solidFill>
                    <w14:schemeClr w14:val="tx1"/>
                  </w14:solidFill>
                </w14:textFill>
              </w:rPr>
              <w:t>收费对象</w:t>
            </w:r>
            <w:r>
              <w:rPr>
                <w:rFonts w:ascii="宋体" w:hAnsi="宋体" w:eastAsia="宋体" w:cs="宋体"/>
                <w:color w:val="000000" w:themeColor="text1"/>
                <w:spacing w:val="-12"/>
                <w:sz w:val="24"/>
                <w:szCs w:val="24"/>
                <w:highlight w:val="none"/>
                <w14:textFill>
                  <w14:solidFill>
                    <w14:schemeClr w14:val="tx1"/>
                  </w14:solidFill>
                </w14:textFill>
              </w:rPr>
              <w:t>：</w:t>
            </w:r>
            <w:r>
              <w:rPr>
                <w:rFonts w:hint="eastAsia" w:ascii="宋体" w:hAnsi="宋体" w:eastAsia="宋体" w:cs="宋体"/>
                <w:color w:val="000000" w:themeColor="text1"/>
                <w:spacing w:val="14"/>
                <w:sz w:val="24"/>
                <w:szCs w:val="24"/>
                <w:highlight w:val="none"/>
                <w14:textFill>
                  <w14:solidFill>
                    <w14:schemeClr w14:val="tx1"/>
                  </w14:solidFill>
                </w14:textFill>
              </w:rPr>
              <w:t>成交供应商</w:t>
            </w:r>
          </w:p>
          <w:p w14:paraId="0B6B03B7">
            <w:pPr>
              <w:spacing w:before="24" w:line="360" w:lineRule="auto"/>
              <w:ind w:firstLine="0"/>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（2）</w:t>
            </w:r>
            <w:r>
              <w:rPr>
                <w:rFonts w:ascii="宋体" w:hAnsi="宋体" w:eastAsia="宋体"/>
                <w:bCs/>
                <w:color w:val="000000" w:themeColor="text1"/>
                <w:kern w:val="0"/>
                <w:sz w:val="24"/>
                <w:szCs w:val="28"/>
                <w:highlight w:val="none"/>
                <w14:textFill>
                  <w14:solidFill>
                    <w14:schemeClr w14:val="tx1"/>
                  </w14:solidFill>
                </w14:textFill>
              </w:rPr>
              <w:t>收取方式</w:t>
            </w:r>
            <w:r>
              <w:rPr>
                <w:rFonts w:ascii="宋体" w:hAnsi="宋体" w:eastAsia="宋体" w:cs="宋体"/>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Cs/>
                <w:color w:val="000000" w:themeColor="text1"/>
                <w:kern w:val="0"/>
                <w:sz w:val="24"/>
                <w:szCs w:val="24"/>
                <w:highlight w:val="none"/>
                <w14:textFill>
                  <w14:solidFill>
                    <w14:schemeClr w14:val="tx1"/>
                  </w14:solidFill>
                </w14:textFill>
              </w:rPr>
              <w:t>转账/电汇</w:t>
            </w:r>
          </w:p>
          <w:p w14:paraId="0D823D01">
            <w:pPr>
              <w:pStyle w:val="41"/>
              <w:widowControl w:val="0"/>
              <w:spacing w:before="0" w:beforeAutospacing="0" w:after="0" w:afterAutospacing="0" w:line="360" w:lineRule="auto"/>
              <w:ind w:firstLine="0"/>
              <w:jc w:val="both"/>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t>（3）收费标准：项目代理费分包支付，</w:t>
            </w:r>
            <w:r>
              <w:rPr>
                <w:rFonts w:hint="eastAsia" w:asciiTheme="minorEastAsia" w:hAnsiTheme="minorEastAsia" w:eastAsiaTheme="minorEastAsia" w:cstheme="minorEastAsia"/>
                <w:b w:val="0"/>
                <w:color w:val="000000" w:themeColor="text1"/>
                <w:sz w:val="24"/>
                <w:szCs w:val="24"/>
                <w:highlight w:val="none"/>
                <w:lang w:val="en-US" w:eastAsia="zh-CN"/>
                <w14:textFill>
                  <w14:solidFill>
                    <w14:schemeClr w14:val="tx1"/>
                  </w14:solidFill>
                </w14:textFill>
              </w:rPr>
              <w:t>第1包为壹万叁仟贰佰元整。</w:t>
            </w:r>
            <w:r>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t>由各包成交供应商支付。包含在各包成交供应商投标报价的单价与合价中，不单独列项。</w:t>
            </w:r>
          </w:p>
          <w:p w14:paraId="702C0F7F">
            <w:pPr>
              <w:numPr>
                <w:ilvl w:val="0"/>
                <w:numId w:val="0"/>
              </w:numPr>
              <w:spacing w:line="360" w:lineRule="auto"/>
              <w:rPr>
                <w:rFonts w:hint="eastAsia" w:asciiTheme="minorEastAsia" w:hAnsiTheme="minorEastAsia" w:eastAsiaTheme="minorEastAsia" w:cstheme="minorEastAsia"/>
                <w:bCs/>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highlight w:val="none"/>
                <w:lang w:val="en-US" w:eastAsia="zh-CN"/>
                <w14:textFill>
                  <w14:solidFill>
                    <w14:schemeClr w14:val="tx1"/>
                  </w14:solidFill>
                </w14:textFill>
              </w:rPr>
              <w:t>（4）支付时间：成交供应商在领取成交通知书前一次性支付。</w:t>
            </w:r>
          </w:p>
          <w:p w14:paraId="3C821E4D">
            <w:pPr>
              <w:numPr>
                <w:ilvl w:val="0"/>
                <w:numId w:val="0"/>
              </w:numPr>
              <w:spacing w:line="360" w:lineRule="auto"/>
              <w:rPr>
                <w:rFonts w:hint="eastAsia" w:asciiTheme="minorEastAsia" w:hAnsiTheme="minorEastAsia" w:eastAsiaTheme="minorEastAsia" w:cstheme="minorEastAsia"/>
                <w:bCs/>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highlight w:val="none"/>
                <w:lang w:val="en-US" w:eastAsia="zh-CN"/>
                <w14:textFill>
                  <w14:solidFill>
                    <w14:schemeClr w14:val="tx1"/>
                  </w14:solidFill>
                </w14:textFill>
              </w:rPr>
              <w:t>（5）收取单位：安徽安兆工程技术咨询服务有限公司纳税人识别号：913403007647962135</w:t>
            </w:r>
          </w:p>
          <w:p w14:paraId="5BA78299">
            <w:pPr>
              <w:numPr>
                <w:ilvl w:val="0"/>
                <w:numId w:val="2"/>
              </w:numPr>
              <w:spacing w:line="360" w:lineRule="auto"/>
              <w:rPr>
                <w:rFonts w:hint="eastAsia" w:asciiTheme="minorEastAsia" w:hAnsiTheme="minorEastAsia" w:eastAsiaTheme="minorEastAsia" w:cstheme="minorEastAsia"/>
                <w:bCs/>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highlight w:val="none"/>
                <w:lang w:val="en-US" w:eastAsia="zh-CN"/>
                <w14:textFill>
                  <w14:solidFill>
                    <w14:schemeClr w14:val="tx1"/>
                  </w14:solidFill>
                </w14:textFill>
              </w:rPr>
              <w:t>缴费账号：合肥徽商银行成都路支行520819931701000002</w:t>
            </w:r>
          </w:p>
          <w:p w14:paraId="0EE55981">
            <w:pPr>
              <w:numPr>
                <w:ilvl w:val="0"/>
                <w:numId w:val="0"/>
              </w:numPr>
              <w:spacing w:line="360" w:lineRule="auto"/>
              <w:rPr>
                <w:rFonts w:hint="eastAsia" w:asciiTheme="minorEastAsia" w:hAnsiTheme="minorEastAsia" w:eastAsiaTheme="minorEastAsia" w:cstheme="minorEastAsia"/>
                <w:bCs/>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highlight w:val="none"/>
                <w:lang w:val="en-US" w:eastAsia="zh-CN"/>
                <w14:textFill>
                  <w14:solidFill>
                    <w14:schemeClr w14:val="tx1"/>
                  </w14:solidFill>
                </w14:textFill>
              </w:rPr>
              <w:t>注：①代理费请公对公转帐，个人缴纳不予受理；</w:t>
            </w:r>
          </w:p>
          <w:p w14:paraId="7025A32B">
            <w:pPr>
              <w:pStyle w:val="41"/>
              <w:widowControl w:val="0"/>
              <w:spacing w:before="0" w:beforeAutospacing="0" w:after="0" w:afterAutospacing="0" w:line="360" w:lineRule="auto"/>
              <w:ind w:firstLine="0"/>
              <w:jc w:val="both"/>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②代理费转账截图发送至邮箱（</w:t>
            </w:r>
            <w:r>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t>ahaz888@163.com</w:t>
            </w:r>
            <w:r>
              <w:rPr>
                <w:rFonts w:hint="eastAsia" w:asciiTheme="minorEastAsia" w:hAnsiTheme="minorEastAsia" w:eastAsiaTheme="minorEastAsia" w:cstheme="minorEastAsia"/>
                <w:b w:val="0"/>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br w:type="textWrapping"/>
            </w:r>
            <w:r>
              <w:rPr>
                <w:rFonts w:hint="eastAsia" w:asciiTheme="minorEastAsia" w:hAnsiTheme="minorEastAsia" w:eastAsiaTheme="minorEastAsia" w:cstheme="minorEastAsia"/>
                <w:b w:val="0"/>
                <w:color w:val="000000" w:themeColor="text1"/>
                <w:sz w:val="24"/>
                <w:szCs w:val="24"/>
                <w:highlight w:val="none"/>
                <w:lang w:val="en-US" w:eastAsia="zh-CN"/>
                <w14:textFill>
                  <w14:solidFill>
                    <w14:schemeClr w14:val="tx1"/>
                  </w14:solidFill>
                </w14:textFill>
              </w:rPr>
              <w:t>后</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领取成交通知书电子版，截图请备注项目及包别名称。</w:t>
            </w:r>
          </w:p>
          <w:p w14:paraId="3D3F0F96">
            <w:pPr>
              <w:pStyle w:val="41"/>
              <w:widowControl w:val="0"/>
              <w:spacing w:before="0" w:beforeAutospacing="0" w:after="0" w:afterAutospacing="0" w:line="360" w:lineRule="auto"/>
              <w:ind w:firstLine="0"/>
              <w:jc w:val="both"/>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③成交通知书领取及代理费缴纳拨打0552-3092287</w:t>
            </w:r>
          </w:p>
          <w:p w14:paraId="6B97274E">
            <w:pPr>
              <w:numPr>
                <w:ilvl w:val="0"/>
                <w:numId w:val="0"/>
              </w:numPr>
              <w:spacing w:line="360" w:lineRule="auto"/>
              <w:rPr>
                <w:rFonts w:hint="eastAsia" w:ascii="宋体" w:hAnsi="宋体" w:eastAsia="宋体" w:cs="宋体"/>
                <w:b w:val="0"/>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发票开具请拨打0551-65707977，0551-65707344。</w:t>
            </w:r>
          </w:p>
        </w:tc>
      </w:tr>
      <w:tr w14:paraId="2168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465DAE68">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27.1</w:t>
            </w:r>
          </w:p>
        </w:tc>
        <w:tc>
          <w:tcPr>
            <w:tcW w:w="2240" w:type="dxa"/>
            <w:vAlign w:val="center"/>
          </w:tcPr>
          <w:p w14:paraId="2AEDD8E2">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签订合同和合同公告时间</w:t>
            </w:r>
          </w:p>
        </w:tc>
        <w:tc>
          <w:tcPr>
            <w:tcW w:w="6421" w:type="dxa"/>
            <w:vAlign w:val="center"/>
          </w:tcPr>
          <w:p w14:paraId="0617546E">
            <w:pPr>
              <w:pStyle w:val="41"/>
              <w:widowControl w:val="0"/>
              <w:numPr>
                <w:ilvl w:val="0"/>
                <w:numId w:val="3"/>
              </w:numPr>
              <w:spacing w:before="0" w:beforeAutospacing="0" w:after="0" w:afterAutospacing="0" w:line="360" w:lineRule="auto"/>
              <w:jc w:val="both"/>
              <w:rPr>
                <w:rFonts w:hint="eastAsia" w:ascii="宋体" w:hAnsi="宋体" w:eastAsia="宋体" w:cs="宋体"/>
                <w:bCs w:val="0"/>
                <w:color w:val="000000" w:themeColor="text1"/>
                <w:sz w:val="24"/>
                <w:highlight w:val="none"/>
                <w:lang w:val="en-US" w:eastAsia="zh-CN"/>
                <w14:textFill>
                  <w14:solidFill>
                    <w14:schemeClr w14:val="tx1"/>
                  </w14:solidFill>
                </w14:textFill>
              </w:rPr>
            </w:pPr>
            <w:r>
              <w:rPr>
                <w:rFonts w:hint="eastAsia" w:ascii="宋体" w:hAnsi="宋体" w:eastAsia="宋体" w:cs="宋体"/>
                <w:bCs w:val="0"/>
                <w:color w:val="000000" w:themeColor="text1"/>
                <w:sz w:val="24"/>
                <w:highlight w:val="none"/>
                <w14:textFill>
                  <w14:solidFill>
                    <w14:schemeClr w14:val="tx1"/>
                  </w14:solidFill>
                </w14:textFill>
              </w:rPr>
              <w:t>本项目为统采分签项目，由安徽省淮河河道管理局作为采购人统一组织采购，成交后成交人分别与安徽省淮河河道管理局、</w:t>
            </w:r>
            <w:r>
              <w:rPr>
                <w:rFonts w:hint="eastAsia" w:ascii="宋体" w:hAnsi="宋体" w:eastAsia="宋体" w:cs="宋体"/>
                <w:bCs w:val="0"/>
                <w:color w:val="000000" w:themeColor="text1"/>
                <w:sz w:val="24"/>
                <w:highlight w:val="none"/>
                <w:lang w:val="en-US" w:eastAsia="zh-CN"/>
                <w14:textFill>
                  <w14:solidFill>
                    <w14:schemeClr w14:val="tx1"/>
                  </w14:solidFill>
                </w14:textFill>
              </w:rPr>
              <w:t>安徽省怀洪新河河道管理局</w:t>
            </w:r>
          </w:p>
          <w:p w14:paraId="16EA635F">
            <w:pPr>
              <w:pStyle w:val="41"/>
              <w:widowControl w:val="0"/>
              <w:numPr>
                <w:ilvl w:val="0"/>
                <w:numId w:val="0"/>
              </w:numPr>
              <w:spacing w:before="0" w:beforeAutospacing="0" w:after="0" w:afterAutospacing="0" w:line="360" w:lineRule="auto"/>
              <w:jc w:val="both"/>
              <w:rPr>
                <w:rFonts w:hint="eastAsia" w:ascii="宋体" w:hAnsi="宋体" w:eastAsia="宋体" w:cs="宋体"/>
                <w:bCs w:val="0"/>
                <w:color w:val="000000" w:themeColor="text1"/>
                <w:sz w:val="24"/>
                <w:highlight w:val="none"/>
                <w14:textFill>
                  <w14:solidFill>
                    <w14:schemeClr w14:val="tx1"/>
                  </w14:solidFill>
                </w14:textFill>
              </w:rPr>
            </w:pPr>
            <w:r>
              <w:rPr>
                <w:rFonts w:hint="eastAsia" w:ascii="宋体" w:hAnsi="宋体" w:eastAsia="宋体" w:cs="宋体"/>
                <w:bCs w:val="0"/>
                <w:color w:val="000000" w:themeColor="text1"/>
                <w:sz w:val="24"/>
                <w:highlight w:val="none"/>
                <w:lang w:eastAsia="zh-CN"/>
                <w14:textFill>
                  <w14:solidFill>
                    <w14:schemeClr w14:val="tx1"/>
                  </w14:solidFill>
                </w14:textFill>
              </w:rPr>
              <w:t>、</w:t>
            </w:r>
            <w:r>
              <w:rPr>
                <w:rFonts w:hint="eastAsia" w:ascii="宋体" w:hAnsi="宋体" w:eastAsia="宋体" w:cs="宋体"/>
                <w:bCs w:val="0"/>
                <w:color w:val="000000" w:themeColor="text1"/>
                <w:sz w:val="24"/>
                <w:highlight w:val="none"/>
                <w:lang w:val="en-US" w:eastAsia="zh-CN"/>
                <w14:textFill>
                  <w14:solidFill>
                    <w14:schemeClr w14:val="tx1"/>
                  </w14:solidFill>
                </w14:textFill>
              </w:rPr>
              <w:t>安</w:t>
            </w:r>
            <w:r>
              <w:rPr>
                <w:rFonts w:hint="eastAsia" w:ascii="宋体" w:hAnsi="宋体" w:eastAsia="宋体" w:cs="宋体"/>
                <w:bCs w:val="0"/>
                <w:color w:val="000000" w:themeColor="text1"/>
                <w:sz w:val="24"/>
                <w:highlight w:val="none"/>
                <w:lang w:eastAsia="zh-CN"/>
                <w14:textFill>
                  <w14:solidFill>
                    <w14:schemeClr w14:val="tx1"/>
                  </w14:solidFill>
                </w14:textFill>
              </w:rPr>
              <w:t>徽省临淮岗洪水控制工程管理局</w:t>
            </w:r>
            <w:r>
              <w:rPr>
                <w:rFonts w:hint="eastAsia" w:ascii="宋体" w:hAnsi="宋体" w:eastAsia="宋体" w:cs="宋体"/>
                <w:bCs w:val="0"/>
                <w:color w:val="000000" w:themeColor="text1"/>
                <w:sz w:val="24"/>
                <w:highlight w:val="none"/>
                <w14:textFill>
                  <w14:solidFill>
                    <w14:schemeClr w14:val="tx1"/>
                  </w14:solidFill>
                </w14:textFill>
              </w:rPr>
              <w:t>签订合同。</w:t>
            </w:r>
          </w:p>
          <w:p w14:paraId="533818A0">
            <w:pPr>
              <w:pStyle w:val="41"/>
              <w:widowControl w:val="0"/>
              <w:spacing w:before="0" w:beforeAutospacing="0" w:after="0" w:afterAutospacing="0" w:line="360" w:lineRule="auto"/>
              <w:jc w:val="both"/>
              <w:rPr>
                <w:rFonts w:hint="eastAsia" w:ascii="宋体" w:hAnsi="宋体" w:eastAsia="宋体" w:cs="宋体"/>
                <w:bCs w:val="0"/>
                <w:color w:val="000000" w:themeColor="text1"/>
                <w:sz w:val="24"/>
                <w:highlight w:val="none"/>
                <w14:textFill>
                  <w14:solidFill>
                    <w14:schemeClr w14:val="tx1"/>
                  </w14:solidFill>
                </w14:textFill>
              </w:rPr>
            </w:pPr>
            <w:r>
              <w:rPr>
                <w:rFonts w:hint="eastAsia" w:ascii="宋体" w:hAnsi="宋体" w:eastAsia="宋体" w:cs="宋体"/>
                <w:bCs w:val="0"/>
                <w:color w:val="000000" w:themeColor="text1"/>
                <w:sz w:val="24"/>
                <w:szCs w:val="24"/>
                <w:highlight w:val="none"/>
                <w14:textFill>
                  <w14:solidFill>
                    <w14:schemeClr w14:val="tx1"/>
                  </w14:solidFill>
                </w14:textFill>
              </w:rPr>
              <w:t>（2）</w:t>
            </w:r>
            <w:r>
              <w:rPr>
                <w:rFonts w:hint="eastAsia" w:ascii="宋体" w:hAnsi="宋体" w:eastAsia="宋体" w:cs="宋体"/>
                <w:bCs w:val="0"/>
                <w:color w:val="000000" w:themeColor="text1"/>
                <w:sz w:val="24"/>
                <w:highlight w:val="none"/>
                <w14:textFill>
                  <w14:solidFill>
                    <w14:schemeClr w14:val="tx1"/>
                  </w14:solidFill>
                </w14:textFill>
              </w:rPr>
              <w:t>各合同甲方与成交供应商应当自发出成交通知书之日起7个工作日内签订合同，采购合同签订之日起2个工作日内完成政府采购合同公开。</w:t>
            </w:r>
          </w:p>
          <w:p w14:paraId="02C9C5A8">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Cs w:val="0"/>
                <w:color w:val="000000" w:themeColor="text1"/>
                <w:sz w:val="24"/>
                <w:szCs w:val="24"/>
                <w:highlight w:val="none"/>
                <w14:textFill>
                  <w14:solidFill>
                    <w14:schemeClr w14:val="tx1"/>
                  </w14:solidFill>
                </w14:textFill>
              </w:rPr>
              <w:t>（3）各合同甲方与</w:t>
            </w:r>
            <w:r>
              <w:rPr>
                <w:rFonts w:hint="eastAsia" w:ascii="宋体" w:hAnsi="宋体" w:eastAsia="宋体" w:cs="宋体"/>
                <w:bCs w:val="0"/>
                <w:color w:val="000000" w:themeColor="text1"/>
                <w:sz w:val="24"/>
                <w:highlight w:val="none"/>
                <w14:textFill>
                  <w14:solidFill>
                    <w14:schemeClr w14:val="tx1"/>
                  </w14:solidFill>
                </w14:textFill>
              </w:rPr>
              <w:t>成交供应商</w:t>
            </w:r>
            <w:r>
              <w:rPr>
                <w:rFonts w:hint="eastAsia" w:ascii="宋体" w:hAnsi="宋体" w:eastAsia="宋体" w:cs="宋体"/>
                <w:color w:val="000000" w:themeColor="text1"/>
                <w:sz w:val="24"/>
                <w:szCs w:val="24"/>
                <w:highlight w:val="none"/>
                <w14:textFill>
                  <w14:solidFill>
                    <w14:schemeClr w14:val="tx1"/>
                  </w14:solidFill>
                </w14:textFill>
              </w:rPr>
              <w:t>不得擅自变更合同，依照政府采购法确需变更政府采购合同内容的，各合同甲方应当自合同变更之日起2个工作日内在安徽省政府采购网发布政府采购合同变更公告，但涉及国家秘密、商业秘密的信息和其他依法不得公开的信息除外。</w:t>
            </w:r>
          </w:p>
        </w:tc>
      </w:tr>
      <w:tr w14:paraId="2B87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4B02F421">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29.3</w:t>
            </w:r>
          </w:p>
        </w:tc>
        <w:tc>
          <w:tcPr>
            <w:tcW w:w="2240" w:type="dxa"/>
            <w:vAlign w:val="center"/>
          </w:tcPr>
          <w:p w14:paraId="41756A5C">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质疑函递交方式、接收部门、联系电话和通讯地址</w:t>
            </w:r>
          </w:p>
        </w:tc>
        <w:tc>
          <w:tcPr>
            <w:tcW w:w="6421" w:type="dxa"/>
            <w:vAlign w:val="center"/>
          </w:tcPr>
          <w:p w14:paraId="6EB8D957">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递交方式：“徽采云”电子交易系统</w:t>
            </w:r>
          </w:p>
          <w:p w14:paraId="487866FD">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接收部门：安徽省淮河河道管理局</w:t>
            </w:r>
          </w:p>
          <w:p w14:paraId="41031871">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联系电话：0552-3918027</w:t>
            </w:r>
          </w:p>
          <w:p w14:paraId="657D3AE0">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通讯地址：安徽省蚌埠市解放一路116号</w:t>
            </w:r>
          </w:p>
        </w:tc>
      </w:tr>
      <w:tr w14:paraId="5AAF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26E32E4C">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30</w:t>
            </w:r>
          </w:p>
        </w:tc>
        <w:tc>
          <w:tcPr>
            <w:tcW w:w="2240" w:type="dxa"/>
            <w:vAlign w:val="center"/>
          </w:tcPr>
          <w:p w14:paraId="0F038B7B">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其他内容</w:t>
            </w:r>
          </w:p>
        </w:tc>
        <w:tc>
          <w:tcPr>
            <w:tcW w:w="6421" w:type="dxa"/>
            <w:vAlign w:val="center"/>
          </w:tcPr>
          <w:p w14:paraId="2803F1FB">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1.解释权</w:t>
            </w:r>
          </w:p>
          <w:p w14:paraId="5E2C7C42">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（1）构成本磋商文件的各个组成文件应互为解释，互为说明；</w:t>
            </w:r>
          </w:p>
          <w:p w14:paraId="151E3FC2">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（2）同一组成文件中就同一事项的规定或约定不一致的，以编排顺序在后者为准；</w:t>
            </w:r>
          </w:p>
          <w:p w14:paraId="14037C20">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（3）如有不明确或不一致，构成合同文件组成内容的，以合同文件约定内容为准，且以专用合同条款约定的合同文件优先顺序解释；</w:t>
            </w:r>
          </w:p>
          <w:p w14:paraId="357236A4">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（4）除磋商文件中有特别规定外，仅适用于磋商及响应文件提交阶段的规定，按竞争性磋商公告、磋商邀请、供应商须知、评审方法和标准、响应文件格式的先后顺序解释；</w:t>
            </w:r>
          </w:p>
          <w:p w14:paraId="359861C3">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（5）按本款前述规定仍不能形成结论的，由采购人负责解释。</w:t>
            </w:r>
          </w:p>
          <w:p w14:paraId="0BB01CA8">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2.“政采贷”融资指引：有融资需求的</w:t>
            </w: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bCs/>
                <w:color w:val="000000" w:themeColor="text1"/>
                <w:sz w:val="24"/>
                <w:szCs w:val="24"/>
                <w:highlight w:val="none"/>
                <w14:textFill>
                  <w14:solidFill>
                    <w14:schemeClr w14:val="tx1"/>
                  </w14:solidFill>
                </w14:textFill>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bCs/>
                <w:color w:val="000000" w:themeColor="text1"/>
                <w:sz w:val="24"/>
                <w:szCs w:val="24"/>
                <w:highlight w:val="none"/>
                <w14:textFill>
                  <w14:solidFill>
                    <w14:schemeClr w14:val="tx1"/>
                  </w14:solidFill>
                </w14:textFill>
              </w:rPr>
              <w:t>签署政府采购中标（成交）合同后，登录“徽采云”金融服务模块，选择意向产品进行申请，并填写相关信息，“徽采云”金融服务模块将</w:t>
            </w:r>
            <w:r>
              <w:rPr>
                <w:rFonts w:hint="eastAsia" w:ascii="宋体" w:hAnsi="宋体" w:eastAsia="宋体" w:cs="宋体"/>
                <w:color w:val="000000" w:themeColor="text1"/>
                <w:sz w:val="24"/>
                <w:szCs w:val="24"/>
                <w:highlight w:val="none"/>
                <w14:textFill>
                  <w14:solidFill>
                    <w14:schemeClr w14:val="tx1"/>
                  </w14:solidFill>
                </w14:textFill>
              </w:rPr>
              <w:t>成交供应商</w:t>
            </w:r>
            <w:r>
              <w:rPr>
                <w:rFonts w:hint="eastAsia" w:ascii="宋体" w:hAnsi="宋体" w:eastAsia="宋体" w:cs="宋体"/>
                <w:bCs/>
                <w:color w:val="000000" w:themeColor="text1"/>
                <w:sz w:val="24"/>
                <w:szCs w:val="24"/>
                <w:highlight w:val="none"/>
                <w14:textFill>
                  <w14:solidFill>
                    <w14:schemeClr w14:val="tx1"/>
                  </w14:solidFill>
                </w14:textFill>
              </w:rPr>
              <w:t>融资申请信息推送第三方平台、意向金融机构。</w:t>
            </w:r>
          </w:p>
          <w:p w14:paraId="692EBC3C">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3.电子保函指引：成交供应商可访问安徽省政府采购网“融资/保函”栏目，申请办理电子保函（包括：履约保函、预付款保函）。</w:t>
            </w:r>
          </w:p>
        </w:tc>
      </w:tr>
      <w:tr w14:paraId="09B2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49D4006E">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highlight w:val="none"/>
                <w:lang w:val="en-US" w:eastAsia="zh-CN"/>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30</w:t>
            </w:r>
            <w:r>
              <w:rPr>
                <w:rFonts w:hint="eastAsia" w:ascii="宋体" w:hAnsi="宋体" w:eastAsia="宋体" w:cs="宋体"/>
                <w:bCs/>
                <w:color w:val="000000" w:themeColor="text1"/>
                <w:kern w:val="2"/>
                <w:highlight w:val="none"/>
                <w:lang w:val="en-US" w:eastAsia="zh-CN"/>
                <w14:textFill>
                  <w14:solidFill>
                    <w14:schemeClr w14:val="tx1"/>
                  </w14:solidFill>
                </w14:textFill>
              </w:rPr>
              <w:t>.1</w:t>
            </w:r>
          </w:p>
        </w:tc>
        <w:tc>
          <w:tcPr>
            <w:tcW w:w="2240" w:type="dxa"/>
            <w:vAlign w:val="center"/>
          </w:tcPr>
          <w:p w14:paraId="5CAE3F8C">
            <w:pPr>
              <w:pStyle w:val="41"/>
              <w:widowControl w:val="0"/>
              <w:spacing w:before="0" w:beforeAutospacing="0" w:after="0" w:afterAutospacing="0" w:line="360" w:lineRule="auto"/>
              <w:jc w:val="both"/>
              <w:rPr>
                <w:rFonts w:hint="eastAsia" w:ascii="宋体" w:hAnsi="宋体" w:eastAsia="宋体" w:cs="宋体"/>
                <w:b w:val="0"/>
                <w:color w:val="000000" w:themeColor="text1"/>
                <w:sz w:val="24"/>
                <w:highlight w:val="none"/>
                <w:lang w:val="en-US" w:eastAsia="zh-CN"/>
                <w14:textFill>
                  <w14:solidFill>
                    <w14:schemeClr w14:val="tx1"/>
                  </w14:solidFill>
                </w14:textFill>
              </w:rPr>
            </w:pPr>
            <w:r>
              <w:rPr>
                <w:rFonts w:hint="eastAsia" w:ascii="宋体" w:hAnsi="宋体" w:eastAsia="宋体" w:cs="宋体"/>
                <w:b w:val="0"/>
                <w:color w:val="000000" w:themeColor="text1"/>
                <w:sz w:val="24"/>
                <w:highlight w:val="none"/>
                <w:lang w:val="en-US" w:eastAsia="zh-CN"/>
                <w14:textFill>
                  <w14:solidFill>
                    <w14:schemeClr w14:val="tx1"/>
                  </w14:solidFill>
                </w14:textFill>
              </w:rPr>
              <w:t>重要提示</w:t>
            </w:r>
          </w:p>
        </w:tc>
        <w:tc>
          <w:tcPr>
            <w:tcW w:w="6421" w:type="dxa"/>
            <w:vAlign w:val="center"/>
          </w:tcPr>
          <w:p w14:paraId="7F9B90F7">
            <w:pPr>
              <w:pStyle w:val="41"/>
              <w:widowControl w:val="0"/>
              <w:numPr>
                <w:ilvl w:val="0"/>
                <w:numId w:val="4"/>
              </w:numPr>
              <w:spacing w:before="0" w:beforeAutospacing="0" w:after="0" w:afterAutospacing="0" w:line="36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成交供应商应在规定期限内提交履约担保并与采购人签订合同，若成交供应商未能在规定期限内提交履约担保或签订合同，采购人有权取消成交供应商成交资格，并将相关违约行为报送监管部门，实施信用惩戒；</w:t>
            </w:r>
          </w:p>
          <w:p w14:paraId="2B4A3A9D">
            <w:pPr>
              <w:pStyle w:val="41"/>
              <w:widowControl w:val="0"/>
              <w:numPr>
                <w:ilvl w:val="0"/>
                <w:numId w:val="4"/>
              </w:numPr>
              <w:spacing w:before="0" w:beforeAutospacing="0" w:after="0" w:afterAutospacing="0" w:line="360" w:lineRule="auto"/>
              <w:ind w:left="0" w:leftChars="0" w:firstLine="0"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合同签订后，成交供应商存在规定时间内不组织人员</w:t>
            </w:r>
            <w:r>
              <w:rPr>
                <w:rFonts w:hint="eastAsia" w:ascii="宋体" w:hAnsi="宋体" w:eastAsia="宋体" w:cs="宋体"/>
                <w:color w:val="000000" w:themeColor="text1"/>
                <w:sz w:val="24"/>
                <w:szCs w:val="24"/>
                <w:highlight w:val="none"/>
                <w:lang w:val="en-US" w:eastAsia="zh-CN"/>
                <w14:textFill>
                  <w14:solidFill>
                    <w14:schemeClr w14:val="tx1"/>
                  </w14:solidFill>
                </w14:textFill>
              </w:rPr>
              <w:t>进行服务</w:t>
            </w:r>
            <w:r>
              <w:rPr>
                <w:rFonts w:hint="eastAsia" w:ascii="宋体" w:hAnsi="宋体" w:eastAsia="宋体" w:cs="宋体"/>
                <w:color w:val="000000" w:themeColor="text1"/>
                <w:sz w:val="24"/>
                <w:szCs w:val="24"/>
                <w:highlight w:val="none"/>
                <w14:textFill>
                  <w14:solidFill>
                    <w14:schemeClr w14:val="tx1"/>
                  </w14:solidFill>
                </w14:textFill>
              </w:rPr>
              <w:t>，不履行合同义务等情况，采购人有权解除合同，并追究违约责任，同时将相关违约行为报送监管部门，记不良行为记录，实施信用惩戒；</w:t>
            </w:r>
          </w:p>
          <w:p w14:paraId="351B682C">
            <w:pPr>
              <w:pStyle w:val="41"/>
              <w:widowControl w:val="0"/>
              <w:numPr>
                <w:ilvl w:val="0"/>
                <w:numId w:val="4"/>
              </w:numPr>
              <w:spacing w:before="0" w:beforeAutospacing="0" w:after="0" w:afterAutospacing="0" w:line="360" w:lineRule="auto"/>
              <w:ind w:left="0" w:leftChars="0" w:firstLine="0"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成交供应商成交后被监管部门查实存在违法行为，不满足成交条件的，由采购人取消其成交资格，并做好项目后续工作；</w:t>
            </w:r>
          </w:p>
          <w:p w14:paraId="171491F9">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（4）成交供应商在成交项目发生投诉、信访举报案件、履约存在争议时，拒绝协助配合执法部门调查案件的，采购人可以取消其成交资格或解除合同，并追究其违约责任。</w:t>
            </w:r>
          </w:p>
        </w:tc>
      </w:tr>
    </w:tbl>
    <w:p w14:paraId="2AE31249">
      <w:pPr>
        <w:spacing w:line="360" w:lineRule="auto"/>
        <w:jc w:val="center"/>
        <w:outlineLvl w:val="1"/>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br w:type="page"/>
      </w:r>
      <w:bookmarkStart w:id="56" w:name="_Toc14293"/>
      <w:bookmarkStart w:id="57" w:name="_Toc27470"/>
      <w:r>
        <w:rPr>
          <w:rFonts w:hint="eastAsia" w:ascii="宋体" w:hAnsi="宋体" w:eastAsia="宋体" w:cs="宋体"/>
          <w:b/>
          <w:color w:val="000000" w:themeColor="text1"/>
          <w:sz w:val="24"/>
          <w:highlight w:val="none"/>
          <w14:textFill>
            <w14:solidFill>
              <w14:schemeClr w14:val="tx1"/>
            </w14:solidFill>
          </w14:textFill>
        </w:rPr>
        <w:t>二、供应商须知正文</w:t>
      </w:r>
      <w:bookmarkEnd w:id="56"/>
      <w:bookmarkEnd w:id="57"/>
    </w:p>
    <w:p w14:paraId="40362714">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1.采购人、采购代理机构及供应商</w:t>
      </w:r>
    </w:p>
    <w:p w14:paraId="246483CB">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1.1采购人：是指依法开展政府采购活动的国家机关、事业单位、团体组织。</w:t>
      </w:r>
    </w:p>
    <w:p w14:paraId="129A4ACD">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1.2采购代理机构：是指集中采购机构或从事采购代理业务的社会中介机构。</w:t>
      </w:r>
    </w:p>
    <w:p w14:paraId="7F976192">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1.3政府采购监督管理部门：各级人民政府指定的有关部门依法履行与政府采购活动有关的监督管理职责。</w:t>
      </w:r>
    </w:p>
    <w:p w14:paraId="7C12B5BB">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供应商：是指向采购人提供货物、工程或者服务的法人、其他组织或者自然人。分支机构不得参加政府采购活动，但银行、保险、石油石化、电力、电信等特殊行业除外。本项目的供应商及其所投货物须满足以下条件：</w:t>
      </w:r>
    </w:p>
    <w:p w14:paraId="38FF0DCD">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1.4.1具备《中华人民共和国政府采购法》第二十二条关于供应商条件的规定，遵守本项目采购人本级和上级财政部门政府采购的有关规定。</w:t>
      </w:r>
    </w:p>
    <w:p w14:paraId="12A974F5">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1.4.2以采购代理机构认可的方式获得了本项目的磋商文件。</w:t>
      </w:r>
    </w:p>
    <w:p w14:paraId="23AFE09C">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1.4.3若采购需求中写明允许采购进口产品，供应商应保证所投产品可履行合法报通关手续进入中国关境内。</w:t>
      </w:r>
    </w:p>
    <w:p w14:paraId="10D02AE5">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若采购需求中未写明允许采购进口产品，如供应商所投产品为进口产品，其响应文件将被认定为</w:t>
      </w:r>
      <w:r>
        <w:rPr>
          <w:rFonts w:hint="eastAsia" w:ascii="宋体" w:hAnsi="宋体" w:eastAsia="宋体" w:cs="宋体"/>
          <w:b/>
          <w:color w:val="000000" w:themeColor="text1"/>
          <w:sz w:val="24"/>
          <w:highlight w:val="none"/>
          <w14:textFill>
            <w14:solidFill>
              <w14:schemeClr w14:val="tx1"/>
            </w14:solidFill>
          </w14:textFill>
        </w:rPr>
        <w:t>响应无效</w:t>
      </w:r>
      <w:r>
        <w:rPr>
          <w:rFonts w:hint="eastAsia" w:ascii="宋体" w:hAnsi="宋体" w:eastAsia="宋体" w:cs="宋体"/>
          <w:color w:val="000000" w:themeColor="text1"/>
          <w:sz w:val="24"/>
          <w:highlight w:val="none"/>
          <w14:textFill>
            <w14:solidFill>
              <w14:schemeClr w14:val="tx1"/>
            </w14:solidFill>
          </w14:textFill>
        </w:rPr>
        <w:t>。</w:t>
      </w:r>
    </w:p>
    <w:p w14:paraId="3217C4F3">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bookmarkStart w:id="58" w:name="_Hlk60607583"/>
      <w:r>
        <w:rPr>
          <w:rFonts w:hint="eastAsia" w:ascii="宋体" w:hAnsi="宋体" w:eastAsia="宋体" w:cs="宋体"/>
          <w:bCs/>
          <w:color w:val="000000" w:themeColor="text1"/>
          <w:kern w:val="0"/>
          <w:sz w:val="24"/>
          <w:szCs w:val="28"/>
          <w:highlight w:val="none"/>
          <w14:textFill>
            <w14:solidFill>
              <w14:schemeClr w14:val="tx1"/>
            </w14:solidFill>
          </w14:textFill>
        </w:rPr>
        <w:t>1.5若竞争性磋商公告中允许联合体参加磋商，对联合体规定如下：</w:t>
      </w:r>
    </w:p>
    <w:bookmarkEnd w:id="58"/>
    <w:p w14:paraId="5866F463">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1.5.1两个以上供应商可以组成一个磋商联合体，以一个供应商的身份磋商。联合体参加磋商的，磋商文件获取手续由联合体中任一成员单位办理均可。</w:t>
      </w:r>
    </w:p>
    <w:p w14:paraId="08680849">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1.5.2联合体各方均应符合《中华人民共和国政府采购法》第二十二条规定的条件。</w:t>
      </w:r>
    </w:p>
    <w:p w14:paraId="76669727">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1.5.3采购人根据采购项目对供应商的特殊要求，联合体中至少应当有一方符合相关规定。</w:t>
      </w:r>
    </w:p>
    <w:p w14:paraId="01B7DDA6">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1.5.4联合体各方应签订联合协议，明确约定联合体各方承担的工作和相应的责任，并将联合协议作为响应文件的一部分提交。</w:t>
      </w:r>
    </w:p>
    <w:p w14:paraId="0EACC0B4">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1.5.5大中型企业、其他自然人、法人或者非法人组织与小型、微型企业组成联合体共同参加磋商，联合协议中应写明小型、微型企业的协议合同金额占到联合协议合同总金额的比例。</w:t>
      </w:r>
    </w:p>
    <w:p w14:paraId="539AAAB6">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1.5.6联合体中有同类资质的供应商按照联合体分工承担相同工作的，应当按照资质等级较低的供应商确定资质等级。</w:t>
      </w:r>
    </w:p>
    <w:p w14:paraId="47DCE546">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1.5.7以联合体形式参加政府采购活动的，联合体各方不得再单独参加或者与其他供应商另外组成联合体参加本项目磋商，否则相关响应文件将被认定为</w:t>
      </w:r>
      <w:r>
        <w:rPr>
          <w:rFonts w:hint="eastAsia" w:ascii="宋体" w:hAnsi="宋体" w:eastAsia="宋体" w:cs="宋体"/>
          <w:b/>
          <w:color w:val="000000" w:themeColor="text1"/>
          <w:sz w:val="24"/>
          <w:highlight w:val="none"/>
          <w14:textFill>
            <w14:solidFill>
              <w14:schemeClr w14:val="tx1"/>
            </w14:solidFill>
          </w14:textFill>
        </w:rPr>
        <w:t>响应无效</w:t>
      </w:r>
      <w:r>
        <w:rPr>
          <w:rFonts w:hint="eastAsia" w:ascii="宋体" w:hAnsi="宋体" w:eastAsia="宋体" w:cs="宋体"/>
          <w:color w:val="000000" w:themeColor="text1"/>
          <w:sz w:val="24"/>
          <w:highlight w:val="none"/>
          <w14:textFill>
            <w14:solidFill>
              <w14:schemeClr w14:val="tx1"/>
            </w14:solidFill>
          </w14:textFill>
        </w:rPr>
        <w:t>。</w:t>
      </w:r>
    </w:p>
    <w:p w14:paraId="2A6412C2">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1.5.8对联合体参加磋商的其他资格要求见申请人的资格要求。</w:t>
      </w:r>
    </w:p>
    <w:p w14:paraId="3ED85F71">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2.资金落实情况</w:t>
      </w:r>
    </w:p>
    <w:p w14:paraId="2BE19CCB">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2.1本项目的采购人已获得足以支付本次磋商后所签订的合同项下的资金。</w:t>
      </w:r>
    </w:p>
    <w:p w14:paraId="0B65A05F">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3.磋商费用</w:t>
      </w:r>
    </w:p>
    <w:p w14:paraId="6D6145E0">
      <w:pPr>
        <w:spacing w:line="360" w:lineRule="auto"/>
        <w:ind w:firstLine="480" w:firstLineChars="200"/>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不论磋商的结果如何，供应商应承担其所有与准备和参加磋商有关的费用</w:t>
      </w:r>
    </w:p>
    <w:p w14:paraId="5A674499">
      <w:pPr>
        <w:spacing w:line="360" w:lineRule="auto"/>
        <w:ind w:firstLine="482" w:firstLineChars="200"/>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4.适用法律</w:t>
      </w:r>
    </w:p>
    <w:p w14:paraId="2C3643D6">
      <w:pPr>
        <w:spacing w:line="360" w:lineRule="auto"/>
        <w:ind w:firstLine="480" w:firstLineChars="200"/>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21EC246B">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5.磋商文件构成</w:t>
      </w:r>
    </w:p>
    <w:p w14:paraId="36866563">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5.1磋商文件包括下列内容：</w:t>
      </w:r>
    </w:p>
    <w:p w14:paraId="6690F975">
      <w:pPr>
        <w:spacing w:line="360" w:lineRule="auto"/>
        <w:ind w:firstLine="840" w:firstLineChars="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第一章  磋商邀请</w:t>
      </w:r>
    </w:p>
    <w:p w14:paraId="1EBAAE19">
      <w:pPr>
        <w:spacing w:line="360" w:lineRule="auto"/>
        <w:ind w:firstLine="840" w:firstLineChars="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第二章  供应商须知</w:t>
      </w:r>
    </w:p>
    <w:p w14:paraId="45E1F7E2">
      <w:pPr>
        <w:spacing w:line="360" w:lineRule="auto"/>
        <w:ind w:firstLine="840" w:firstLineChars="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第三章  采购需求</w:t>
      </w:r>
    </w:p>
    <w:p w14:paraId="4443485C">
      <w:pPr>
        <w:spacing w:line="360" w:lineRule="auto"/>
        <w:ind w:firstLine="840" w:firstLineChars="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第四章  评审方法和标准</w:t>
      </w:r>
    </w:p>
    <w:p w14:paraId="411341E6">
      <w:pPr>
        <w:spacing w:line="360" w:lineRule="auto"/>
        <w:ind w:firstLine="840" w:firstLineChars="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第五章  政府采购合同</w:t>
      </w:r>
    </w:p>
    <w:p w14:paraId="60C04964">
      <w:pPr>
        <w:spacing w:line="360" w:lineRule="auto"/>
        <w:ind w:firstLine="840" w:firstLineChars="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第六章  响应文件格式</w:t>
      </w:r>
    </w:p>
    <w:p w14:paraId="5C6F951B">
      <w:pPr>
        <w:spacing w:line="360" w:lineRule="auto"/>
        <w:ind w:firstLine="840" w:firstLineChars="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第七章  政府采购供应商询问函和质疑函范本</w:t>
      </w:r>
    </w:p>
    <w:p w14:paraId="73C67CA2">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5.2现场考察及相关事项见</w:t>
      </w:r>
      <w:r>
        <w:rPr>
          <w:rFonts w:hint="eastAsia" w:ascii="宋体" w:hAnsi="宋体" w:eastAsia="宋体" w:cs="宋体"/>
          <w:color w:val="000000" w:themeColor="text1"/>
          <w:sz w:val="24"/>
          <w:highlight w:val="none"/>
          <w:u w:val="single"/>
          <w14:textFill>
            <w14:solidFill>
              <w14:schemeClr w14:val="tx1"/>
            </w14:solidFill>
          </w14:textFill>
        </w:rPr>
        <w:t>供应商须知前附表</w:t>
      </w:r>
      <w:r>
        <w:rPr>
          <w:rFonts w:hint="eastAsia" w:ascii="宋体" w:hAnsi="宋体" w:eastAsia="宋体" w:cs="宋体"/>
          <w:color w:val="000000" w:themeColor="text1"/>
          <w:sz w:val="24"/>
          <w:highlight w:val="none"/>
          <w14:textFill>
            <w14:solidFill>
              <w14:schemeClr w14:val="tx1"/>
            </w14:solidFill>
          </w14:textFill>
        </w:rPr>
        <w:t>。</w:t>
      </w:r>
    </w:p>
    <w:p w14:paraId="0BA00613">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5.3供应商应认真阅读磋商文件所有的事项、格式、条款和技术规范等。</w:t>
      </w:r>
    </w:p>
    <w:p w14:paraId="52C7C8A1">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6.磋商文件的澄清与修改</w:t>
      </w:r>
    </w:p>
    <w:p w14:paraId="24E69F12">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6.1供应商如对磋商文件内容有疑问，必须在</w:t>
      </w:r>
      <w:r>
        <w:rPr>
          <w:rFonts w:hint="eastAsia" w:ascii="宋体" w:hAnsi="宋体" w:eastAsia="宋体" w:cs="宋体"/>
          <w:color w:val="000000" w:themeColor="text1"/>
          <w:sz w:val="24"/>
          <w:highlight w:val="none"/>
          <w:u w:val="single"/>
          <w14:textFill>
            <w14:solidFill>
              <w14:schemeClr w14:val="tx1"/>
            </w14:solidFill>
          </w14:textFill>
        </w:rPr>
        <w:t>供应商须知前附表</w:t>
      </w:r>
      <w:r>
        <w:rPr>
          <w:rFonts w:hint="eastAsia" w:ascii="宋体" w:hAnsi="宋体" w:eastAsia="宋体" w:cs="宋体"/>
          <w:color w:val="000000" w:themeColor="text1"/>
          <w:sz w:val="24"/>
          <w:highlight w:val="none"/>
          <w14:textFill>
            <w14:solidFill>
              <w14:schemeClr w14:val="tx1"/>
            </w14:solidFill>
          </w14:textFill>
        </w:rPr>
        <w:t>规定的网上询问截止时间前以网上提问形式（电子交易系统）提交给采购代理机构。</w:t>
      </w:r>
    </w:p>
    <w:p w14:paraId="7C07192B">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6.2采购人可主动地或在答复供应商提出的询问时对磋商文件进行澄清与修改。采购代理机构将在</w:t>
      </w:r>
      <w:bookmarkStart w:id="59" w:name="_Hlk16458572"/>
      <w:r>
        <w:rPr>
          <w:rFonts w:hint="eastAsia" w:ascii="宋体" w:hAnsi="宋体" w:eastAsia="宋体" w:cs="宋体"/>
          <w:color w:val="000000" w:themeColor="text1"/>
          <w:sz w:val="24"/>
          <w:szCs w:val="18"/>
          <w:highlight w:val="none"/>
          <w14:textFill>
            <w14:solidFill>
              <w14:schemeClr w14:val="tx1"/>
            </w14:solidFill>
          </w14:textFill>
        </w:rPr>
        <w:t>安徽省政府采购网及</w:t>
      </w:r>
      <w:bookmarkEnd w:id="59"/>
      <w:r>
        <w:rPr>
          <w:rFonts w:hint="eastAsia" w:ascii="宋体" w:hAnsi="宋体" w:eastAsia="宋体" w:cs="宋体"/>
          <w:color w:val="000000" w:themeColor="text1"/>
          <w:sz w:val="24"/>
          <w:highlight w:val="none"/>
          <w14:textFill>
            <w14:solidFill>
              <w14:schemeClr w14:val="tx1"/>
            </w14:solidFill>
          </w14:textFill>
        </w:rPr>
        <w:t>以发布更正公告的方式澄清或者修改磋商文件，更正公告的内容作为磋商文件的组成部分，对供应商起约束作用。供应商应主动上网查询。采购代理机构不承担供应商未及时关注相关信息引发的相关责任。</w:t>
      </w:r>
    </w:p>
    <w:p w14:paraId="027D5B83">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2EF2C5D">
      <w:pPr>
        <w:spacing w:line="360" w:lineRule="auto"/>
        <w:ind w:firstLine="435"/>
        <w:rPr>
          <w:rFonts w:hint="eastAsia" w:ascii="宋体" w:hAnsi="宋体" w:eastAsia="宋体" w:cs="宋体"/>
          <w:i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6.4对于没有提出询问又参与了本项目磋商的供应商将被视为完全认同本磋商文件（含更正公告的内容）。</w:t>
      </w:r>
    </w:p>
    <w:p w14:paraId="2536E9FE">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7.磋商范围及响应文件中标准和计量单位的使用</w:t>
      </w:r>
    </w:p>
    <w:p w14:paraId="7DB600A5">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7.1项目有分包的，供应商可参与其中某一个或多个分包的磋商，成交包数详见</w:t>
      </w:r>
      <w:r>
        <w:rPr>
          <w:rFonts w:hint="eastAsia" w:ascii="宋体" w:hAnsi="宋体" w:eastAsia="宋体" w:cs="宋体"/>
          <w:color w:val="000000" w:themeColor="text1"/>
          <w:sz w:val="24"/>
          <w:highlight w:val="none"/>
          <w:u w:val="single"/>
          <w14:textFill>
            <w14:solidFill>
              <w14:schemeClr w14:val="tx1"/>
            </w14:solidFill>
          </w14:textFill>
        </w:rPr>
        <w:t>供应商须知前附表</w:t>
      </w:r>
      <w:r>
        <w:rPr>
          <w:rFonts w:hint="eastAsia" w:ascii="宋体" w:hAnsi="宋体" w:eastAsia="宋体" w:cs="宋体"/>
          <w:color w:val="000000" w:themeColor="text1"/>
          <w:sz w:val="24"/>
          <w:highlight w:val="none"/>
          <w14:textFill>
            <w14:solidFill>
              <w14:schemeClr w14:val="tx1"/>
            </w14:solidFill>
          </w14:textFill>
        </w:rPr>
        <w:t>中规定。</w:t>
      </w:r>
    </w:p>
    <w:p w14:paraId="326F6A1B">
      <w:pPr>
        <w:spacing w:line="360" w:lineRule="auto"/>
        <w:ind w:firstLine="43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7.2 供应商应当对所投分包磋商文件中“采购需求”所列的所有内容进行响应，如仅响应所投包别中的部分内容，其所投包别的响应将被认定为</w:t>
      </w:r>
      <w:r>
        <w:rPr>
          <w:rFonts w:hint="eastAsia" w:ascii="宋体" w:hAnsi="宋体" w:eastAsia="宋体" w:cs="宋体"/>
          <w:b/>
          <w:color w:val="000000" w:themeColor="text1"/>
          <w:sz w:val="24"/>
          <w:highlight w:val="none"/>
          <w14:textFill>
            <w14:solidFill>
              <w14:schemeClr w14:val="tx1"/>
            </w14:solidFill>
          </w14:textFill>
        </w:rPr>
        <w:t>响应无效</w:t>
      </w:r>
      <w:r>
        <w:rPr>
          <w:rFonts w:hint="eastAsia" w:ascii="宋体" w:hAnsi="宋体" w:eastAsia="宋体" w:cs="宋体"/>
          <w:color w:val="000000" w:themeColor="text1"/>
          <w:sz w:val="24"/>
          <w:highlight w:val="none"/>
          <w14:textFill>
            <w14:solidFill>
              <w14:schemeClr w14:val="tx1"/>
            </w14:solidFill>
          </w14:textFill>
        </w:rPr>
        <w:t>。</w:t>
      </w:r>
    </w:p>
    <w:p w14:paraId="06C11CF7">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7.3无论磋商文件中是否要求，供应商所投货物及伴随的服务和工程均应符合国家强制性标准。</w:t>
      </w:r>
    </w:p>
    <w:p w14:paraId="1CBE6A60">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7.4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3599B100">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7.5除磋商文件中有特殊要求外，响应文件中所使用的计量单位，应采用中华人民共和国法定计量单位。</w:t>
      </w:r>
    </w:p>
    <w:p w14:paraId="1D630E99">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8.响应文件构成</w:t>
      </w:r>
    </w:p>
    <w:p w14:paraId="3DF7B973">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8.1供应商应完整地按磋商文件提供的响应文件格式及要求编写响应文件，具体内容详见本项目响应文件格式的相关内容。</w:t>
      </w:r>
    </w:p>
    <w:p w14:paraId="6C3BF051">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8.2供应商应提交磋商文件要求的证明文件，证明其响应内容符合磋商文件规定，该证明文件是响应文件的一部分。证明文件形式可以是文字资料、图纸和数据等。</w:t>
      </w:r>
    </w:p>
    <w:p w14:paraId="32F1AF11">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8.3为保证公平公正，除非另有规定或说明，供应商对同一项目磋商时，不得同时提供备选磋商方案。</w:t>
      </w:r>
    </w:p>
    <w:p w14:paraId="55BA0594">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9.报价</w:t>
      </w:r>
    </w:p>
    <w:p w14:paraId="33576515">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9.1供应商的报价应当包括满足本次磋商全部采购需求所应提供的货物，以及伴随的服务和工程。除磋商文件另有规定外，所有内容均应以人民币报价，供应商的磋商报价应遵守《中华人民共和国价格法》。</w:t>
      </w:r>
    </w:p>
    <w:p w14:paraId="5FAA5CC1">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9.2除非磋商文件另有规定或经采购人同意支付的，最后报价均不得高于磋商文件（公告）列明的项目预算，否则其响应文件将被认定为</w:t>
      </w:r>
      <w:r>
        <w:rPr>
          <w:rFonts w:hint="eastAsia" w:ascii="宋体" w:hAnsi="宋体" w:eastAsia="宋体" w:cs="宋体"/>
          <w:b/>
          <w:color w:val="000000" w:themeColor="text1"/>
          <w:sz w:val="24"/>
          <w:highlight w:val="none"/>
          <w14:textFill>
            <w14:solidFill>
              <w14:schemeClr w14:val="tx1"/>
            </w14:solidFill>
          </w14:textFill>
        </w:rPr>
        <w:t>响应无效</w:t>
      </w:r>
      <w:r>
        <w:rPr>
          <w:rFonts w:hint="eastAsia" w:ascii="宋体" w:hAnsi="宋体" w:eastAsia="宋体" w:cs="宋体"/>
          <w:color w:val="000000" w:themeColor="text1"/>
          <w:sz w:val="24"/>
          <w:highlight w:val="none"/>
          <w14:textFill>
            <w14:solidFill>
              <w14:schemeClr w14:val="tx1"/>
            </w14:solidFill>
          </w14:textFill>
        </w:rPr>
        <w:t>。</w:t>
      </w:r>
    </w:p>
    <w:p w14:paraId="2FA1EA41">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9.3报价在合同履行过程中是固定不变的，不得以任何理由予以变更。任何包含价格调整要求的磋商，其响应文件将被认定为</w:t>
      </w:r>
      <w:r>
        <w:rPr>
          <w:rFonts w:hint="eastAsia" w:ascii="宋体" w:hAnsi="宋体" w:eastAsia="宋体" w:cs="宋体"/>
          <w:b/>
          <w:color w:val="000000" w:themeColor="text1"/>
          <w:sz w:val="24"/>
          <w:highlight w:val="none"/>
          <w14:textFill>
            <w14:solidFill>
              <w14:schemeClr w14:val="tx1"/>
            </w14:solidFill>
          </w14:textFill>
        </w:rPr>
        <w:t>响应无效</w:t>
      </w:r>
      <w:r>
        <w:rPr>
          <w:rFonts w:hint="eastAsia" w:ascii="宋体" w:hAnsi="宋体" w:eastAsia="宋体" w:cs="宋体"/>
          <w:color w:val="000000" w:themeColor="text1"/>
          <w:sz w:val="24"/>
          <w:highlight w:val="none"/>
          <w14:textFill>
            <w14:solidFill>
              <w14:schemeClr w14:val="tx1"/>
            </w14:solidFill>
          </w14:textFill>
        </w:rPr>
        <w:t>。</w:t>
      </w:r>
    </w:p>
    <w:p w14:paraId="5586565B">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9.4采购人不接受具有附加条件的报价。</w:t>
      </w:r>
    </w:p>
    <w:p w14:paraId="46E57EB9">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10.磋商保证金</w:t>
      </w:r>
    </w:p>
    <w:p w14:paraId="20C66EFF">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10.1本项目不收取磋商保证金。</w:t>
      </w:r>
    </w:p>
    <w:p w14:paraId="0E7A8934">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11.磋商有效期</w:t>
      </w:r>
    </w:p>
    <w:p w14:paraId="74144C84">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11.1磋商有效期为从响应文件提交截止之日算起的日历天数，磋商有效期详见</w:t>
      </w:r>
      <w:r>
        <w:rPr>
          <w:rFonts w:hint="eastAsia" w:ascii="宋体" w:hAnsi="宋体" w:eastAsia="宋体" w:cs="宋体"/>
          <w:color w:val="000000" w:themeColor="text1"/>
          <w:sz w:val="24"/>
          <w:highlight w:val="none"/>
          <w:u w:val="single"/>
          <w14:textFill>
            <w14:solidFill>
              <w14:schemeClr w14:val="tx1"/>
            </w14:solidFill>
          </w14:textFill>
        </w:rPr>
        <w:t>供应商须知前附表</w:t>
      </w:r>
      <w:r>
        <w:rPr>
          <w:rFonts w:hint="eastAsia" w:ascii="宋体" w:hAnsi="宋体" w:eastAsia="宋体" w:cs="宋体"/>
          <w:color w:val="000000" w:themeColor="text1"/>
          <w:sz w:val="24"/>
          <w:highlight w:val="none"/>
          <w14:textFill>
            <w14:solidFill>
              <w14:schemeClr w14:val="tx1"/>
            </w14:solidFill>
          </w14:textFill>
        </w:rPr>
        <w:t>。</w:t>
      </w:r>
    </w:p>
    <w:p w14:paraId="5E70248B">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11.2在磋商有效期内，供应商的磋商保持有效，供应商不得要求撤销或修改其响应文件。磋商有效期不满足要求的响应，其响应文件将被认定为</w:t>
      </w:r>
      <w:r>
        <w:rPr>
          <w:rFonts w:hint="eastAsia" w:ascii="宋体" w:hAnsi="宋体" w:eastAsia="宋体" w:cs="宋体"/>
          <w:b/>
          <w:color w:val="000000" w:themeColor="text1"/>
          <w:sz w:val="24"/>
          <w:highlight w:val="none"/>
          <w14:textFill>
            <w14:solidFill>
              <w14:schemeClr w14:val="tx1"/>
            </w14:solidFill>
          </w14:textFill>
        </w:rPr>
        <w:t>响应无效</w:t>
      </w:r>
      <w:r>
        <w:rPr>
          <w:rFonts w:hint="eastAsia" w:ascii="宋体" w:hAnsi="宋体" w:eastAsia="宋体" w:cs="宋体"/>
          <w:color w:val="000000" w:themeColor="text1"/>
          <w:sz w:val="24"/>
          <w:highlight w:val="none"/>
          <w14:textFill>
            <w14:solidFill>
              <w14:schemeClr w14:val="tx1"/>
            </w14:solidFill>
          </w14:textFill>
        </w:rPr>
        <w:t>。</w:t>
      </w:r>
    </w:p>
    <w:p w14:paraId="6CA845BC">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32D54634">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12.响应文件的提交、修改与撤回</w:t>
      </w:r>
    </w:p>
    <w:p w14:paraId="443283FD">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12.1供应商应当在第一章竞争性磋商公告规定的响应文件提交截止时间前，将加密的响应文件在电子交易系统上传。</w:t>
      </w:r>
    </w:p>
    <w:p w14:paraId="115426F0">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08EA8ABC">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12.3供应商应在</w:t>
      </w:r>
      <w:r>
        <w:rPr>
          <w:rFonts w:hint="eastAsia" w:ascii="宋体" w:hAnsi="宋体" w:eastAsia="宋体" w:cs="宋体"/>
          <w:color w:val="000000" w:themeColor="text1"/>
          <w:sz w:val="24"/>
          <w:highlight w:val="none"/>
          <w:u w:val="single"/>
          <w14:textFill>
            <w14:solidFill>
              <w14:schemeClr w14:val="tx1"/>
            </w14:solidFill>
          </w14:textFill>
        </w:rPr>
        <w:t>供应商须知前附表</w:t>
      </w:r>
      <w:r>
        <w:rPr>
          <w:rFonts w:hint="eastAsia" w:ascii="宋体" w:hAnsi="宋体" w:eastAsia="宋体" w:cs="宋体"/>
          <w:color w:val="000000" w:themeColor="text1"/>
          <w:sz w:val="24"/>
          <w:highlight w:val="none"/>
          <w14:textFill>
            <w14:solidFill>
              <w14:schemeClr w14:val="tx1"/>
            </w14:solidFill>
          </w14:textFill>
        </w:rPr>
        <w:t>规定的解密时间前对其响应文件进行解密。未在规定时间内进行解密的，</w:t>
      </w:r>
      <w:r>
        <w:rPr>
          <w:rFonts w:hint="eastAsia" w:ascii="宋体" w:hAnsi="宋体" w:eastAsia="宋体" w:cs="宋体"/>
          <w:b/>
          <w:bCs/>
          <w:color w:val="000000" w:themeColor="text1"/>
          <w:sz w:val="24"/>
          <w:highlight w:val="none"/>
          <w14:textFill>
            <w14:solidFill>
              <w14:schemeClr w14:val="tx1"/>
            </w14:solidFill>
          </w14:textFill>
        </w:rPr>
        <w:t>响应无效。</w:t>
      </w:r>
    </w:p>
    <w:p w14:paraId="12002141">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12.4在响应文件提交截止时间之后，供应商不得对其响应文件做任何修改。但属于磋商小组在评审中发现的计算错误并进行核实的修改、按照磋商文件的变动情况和磋商小组的要求重新提交响应文件的，不在此列。</w:t>
      </w:r>
    </w:p>
    <w:p w14:paraId="35A1A248">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13.磋商小组</w:t>
      </w:r>
    </w:p>
    <w:p w14:paraId="617B16BF">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13.1本项目将依法组建磋商小组，磋商小组成员由3人以上（含）单数组成，磋商小组及其成员应当依照政府采购的有关规定履行相关职责和义务。</w:t>
      </w:r>
    </w:p>
    <w:p w14:paraId="05053309">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13.2磋商小组依法对响应文件进行评审，并根据磋商文件规定的程序、评定成交的标准等事项与实质性响应磋商文件要求的供应商进行磋商。</w:t>
      </w:r>
    </w:p>
    <w:p w14:paraId="5BA28D43">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13.3磋商小组应当从质量和服务均能满足磋商文件实质性响应要求的供应商中，按照评审方法和标准推荐成交候选供应商，并编写评审报告。</w:t>
      </w:r>
    </w:p>
    <w:p w14:paraId="209BACAC">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14.响应文件的评审与磋商</w:t>
      </w:r>
    </w:p>
    <w:p w14:paraId="3F5A62D5">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14.1采购人和采购代理机构将在竞争性磋商公告规定的时间和地点组织磋商。</w:t>
      </w:r>
    </w:p>
    <w:p w14:paraId="00D019CC">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14.2竞争性磋商活动采用综合评分法评审。</w:t>
      </w:r>
    </w:p>
    <w:p w14:paraId="3C633C67">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综合评分法，是指响应文件满足磋商文件全部实质性要求且按评审因素的量化指标评审得分最高的供应商为成交候选供应商的评审方法。</w:t>
      </w:r>
    </w:p>
    <w:p w14:paraId="7FA0870C">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14.3磋商小组将按照磋商文件规定的评审方法和标准对供应商独立进行评审。评审程序如下：</w:t>
      </w:r>
    </w:p>
    <w:p w14:paraId="4081BF76">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14.3.1</w:t>
      </w:r>
      <w:r>
        <w:rPr>
          <w:rFonts w:hint="eastAsia" w:ascii="宋体" w:hAnsi="宋体" w:eastAsia="宋体" w:cs="宋体"/>
          <w:b/>
          <w:color w:val="000000" w:themeColor="text1"/>
          <w:sz w:val="24"/>
          <w:highlight w:val="none"/>
          <w14:textFill>
            <w14:solidFill>
              <w14:schemeClr w14:val="tx1"/>
            </w14:solidFill>
          </w14:textFill>
        </w:rPr>
        <w:t>初审</w:t>
      </w:r>
      <w:r>
        <w:rPr>
          <w:rFonts w:hint="eastAsia" w:ascii="宋体" w:hAnsi="宋体" w:eastAsia="宋体" w:cs="宋体"/>
          <w:color w:val="000000" w:themeColor="text1"/>
          <w:sz w:val="24"/>
          <w:highlight w:val="none"/>
          <w14:textFill>
            <w14:solidFill>
              <w14:schemeClr w14:val="tx1"/>
            </w14:solidFill>
          </w14:textFill>
        </w:rPr>
        <w:t>。磋商小组对供应商必须满足和实质性响应的内容进行评审，供应商未实质性响应磋商文件要求导致响应无效的，磋商小组将以书面询标的方式告知有关供应商。</w:t>
      </w:r>
    </w:p>
    <w:p w14:paraId="645D672E">
      <w:pPr>
        <w:spacing w:line="360" w:lineRule="auto"/>
        <w:ind w:firstLine="4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000000" w:themeColor="text1"/>
          <w:sz w:val="24"/>
          <w:szCs w:val="24"/>
          <w:highlight w:val="none"/>
          <w14:textFill>
            <w14:solidFill>
              <w14:schemeClr w14:val="tx1"/>
            </w14:solidFill>
          </w14:textFill>
        </w:rPr>
        <w:t>响应无效</w:t>
      </w:r>
      <w:r>
        <w:rPr>
          <w:rFonts w:hint="eastAsia" w:ascii="宋体" w:hAnsi="宋体" w:eastAsia="宋体" w:cs="宋体"/>
          <w:color w:val="000000" w:themeColor="text1"/>
          <w:sz w:val="24"/>
          <w:szCs w:val="24"/>
          <w:highlight w:val="none"/>
          <w14:textFill>
            <w14:solidFill>
              <w14:schemeClr w14:val="tx1"/>
            </w14:solidFill>
          </w14:textFill>
        </w:rPr>
        <w:t>。</w:t>
      </w:r>
    </w:p>
    <w:p w14:paraId="2D607551">
      <w:pPr>
        <w:spacing w:line="360" w:lineRule="auto"/>
        <w:ind w:firstLine="4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以联合体形式参加磋商的，联合体成员存在以上不良信用记录的，联合体磋商将被认定为</w:t>
      </w:r>
      <w:r>
        <w:rPr>
          <w:rFonts w:hint="eastAsia" w:ascii="宋体" w:hAnsi="宋体" w:eastAsia="宋体" w:cs="宋体"/>
          <w:b/>
          <w:color w:val="000000" w:themeColor="text1"/>
          <w:sz w:val="24"/>
          <w:szCs w:val="24"/>
          <w:highlight w:val="none"/>
          <w14:textFill>
            <w14:solidFill>
              <w14:schemeClr w14:val="tx1"/>
            </w14:solidFill>
          </w14:textFill>
        </w:rPr>
        <w:t>响应无效</w:t>
      </w:r>
      <w:r>
        <w:rPr>
          <w:rFonts w:hint="eastAsia" w:ascii="宋体" w:hAnsi="宋体" w:eastAsia="宋体" w:cs="宋体"/>
          <w:color w:val="000000" w:themeColor="text1"/>
          <w:sz w:val="24"/>
          <w:szCs w:val="24"/>
          <w:highlight w:val="none"/>
          <w14:textFill>
            <w14:solidFill>
              <w14:schemeClr w14:val="tx1"/>
            </w14:solidFill>
          </w14:textFill>
        </w:rPr>
        <w:t>。</w:t>
      </w:r>
    </w:p>
    <w:p w14:paraId="71D620CF">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462AC675">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14.3.2</w:t>
      </w:r>
      <w:r>
        <w:rPr>
          <w:rFonts w:hint="eastAsia" w:ascii="宋体" w:hAnsi="宋体" w:eastAsia="宋体" w:cs="宋体"/>
          <w:b/>
          <w:color w:val="000000" w:themeColor="text1"/>
          <w:sz w:val="24"/>
          <w:highlight w:val="none"/>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。初审合格后，磋商小组将按网上加密电子响应文件提交顺序集中与单一供应商分别进行磋商，并给予所有参加磋商的供应商平等的磋商机会。</w:t>
      </w:r>
    </w:p>
    <w:p w14:paraId="26D8D4F9">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14.3.3</w:t>
      </w:r>
      <w:r>
        <w:rPr>
          <w:rFonts w:hint="eastAsia" w:ascii="宋体" w:hAnsi="宋体" w:eastAsia="宋体" w:cs="宋体"/>
          <w:b/>
          <w:color w:val="000000" w:themeColor="text1"/>
          <w:sz w:val="24"/>
          <w:highlight w:val="none"/>
          <w14:textFill>
            <w14:solidFill>
              <w14:schemeClr w14:val="tx1"/>
            </w14:solidFill>
          </w14:textFill>
        </w:rPr>
        <w:t>报价</w:t>
      </w:r>
      <w:r>
        <w:rPr>
          <w:rFonts w:hint="eastAsia" w:ascii="宋体" w:hAnsi="宋体" w:eastAsia="宋体" w:cs="宋体"/>
          <w:color w:val="000000" w:themeColor="text1"/>
          <w:sz w:val="24"/>
          <w:highlight w:val="none"/>
          <w14:textFill>
            <w14:solidFill>
              <w14:schemeClr w14:val="tx1"/>
            </w14:solidFill>
          </w14:textFill>
        </w:rPr>
        <w:t>。磋商结束后，磋商小组应当要求所有实质性响应的供应商在规定时间内提交最后报价。</w:t>
      </w:r>
    </w:p>
    <w:p w14:paraId="38A245DE">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14.3.4</w:t>
      </w:r>
      <w:r>
        <w:rPr>
          <w:rFonts w:hint="eastAsia" w:ascii="宋体" w:hAnsi="宋体" w:eastAsia="宋体" w:cs="宋体"/>
          <w:b/>
          <w:color w:val="000000" w:themeColor="text1"/>
          <w:sz w:val="24"/>
          <w:highlight w:val="none"/>
          <w14:textFill>
            <w14:solidFill>
              <w14:schemeClr w14:val="tx1"/>
            </w14:solidFill>
          </w14:textFill>
        </w:rPr>
        <w:t>综合评分</w:t>
      </w:r>
      <w:r>
        <w:rPr>
          <w:rFonts w:hint="eastAsia" w:ascii="宋体" w:hAnsi="宋体" w:eastAsia="宋体" w:cs="宋体"/>
          <w:color w:val="000000" w:themeColor="text1"/>
          <w:sz w:val="24"/>
          <w:highlight w:val="none"/>
          <w14:textFill>
            <w14:solidFill>
              <w14:schemeClr w14:val="tx1"/>
            </w14:solidFill>
          </w14:textFill>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0D6F0979">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14.4相关说明。</w:t>
      </w:r>
    </w:p>
    <w:p w14:paraId="63CB8EB4">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14.4.1为保证磋商活动顺利进行，供应商可派相关技术人员进行网上答疑； </w:t>
      </w:r>
    </w:p>
    <w:p w14:paraId="24ED3A1A">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14.4.2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w:t>
      </w:r>
    </w:p>
    <w:p w14:paraId="4C4538D4">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宋体" w:hAnsi="宋体" w:eastAsia="宋体" w:cs="宋体"/>
          <w:b/>
          <w:color w:val="000000" w:themeColor="text1"/>
          <w:sz w:val="24"/>
          <w:highlight w:val="none"/>
          <w14:textFill>
            <w14:solidFill>
              <w14:schemeClr w14:val="tx1"/>
            </w14:solidFill>
          </w14:textFill>
        </w:rPr>
        <w:t>响应无效</w:t>
      </w:r>
      <w:r>
        <w:rPr>
          <w:rFonts w:hint="eastAsia" w:ascii="宋体" w:hAnsi="宋体" w:eastAsia="宋体" w:cs="宋体"/>
          <w:color w:val="000000" w:themeColor="text1"/>
          <w:sz w:val="24"/>
          <w:highlight w:val="none"/>
          <w14:textFill>
            <w14:solidFill>
              <w14:schemeClr w14:val="tx1"/>
            </w14:solidFill>
          </w14:textFill>
        </w:rPr>
        <w:t>。</w:t>
      </w:r>
    </w:p>
    <w:p w14:paraId="375FF006">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14.4.4无论何种原因，即使供应商磋商时携带了证书材料的原件，但响应文件中未提供与之内容完全一致的扫描件的，磋商小组可以视同其未提供。</w:t>
      </w:r>
    </w:p>
    <w:p w14:paraId="580C3592">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14.4.5磋商小组决定响应文件的响应性及符合性只根据响应文件本身的内容，而不寻求其他外部证据。</w:t>
      </w:r>
    </w:p>
    <w:p w14:paraId="2CD69BC7">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14.5供应商授权代表对磋商过程有疑义，以及认为采购人、采购代理机构相关工作人员有需要回避的情形的，应当场提出询问或者回避申请，并说明理由。 </w:t>
      </w:r>
    </w:p>
    <w:p w14:paraId="1F1314AC">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15.终止竞争性磋商</w:t>
      </w:r>
    </w:p>
    <w:p w14:paraId="515C74B7">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15.1出现下列情况之一时，采购人和采购代理机构有权宣布终止竞争性磋商采购，并将理由通知所有供应商：</w:t>
      </w:r>
    </w:p>
    <w:p w14:paraId="281B075F">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（1）有效供应商数量不足，导致本次磋商缺乏竞争的；</w:t>
      </w:r>
    </w:p>
    <w:p w14:paraId="63C20CC1">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（2）出现影响采购公正的违法、违规行为的；</w:t>
      </w:r>
    </w:p>
    <w:p w14:paraId="1C57C296">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（3）因重大变故，采购任务取消的；</w:t>
      </w:r>
    </w:p>
    <w:p w14:paraId="78451C77">
      <w:pPr>
        <w:spacing w:line="360" w:lineRule="auto"/>
        <w:ind w:firstLine="43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（4）政府采购法律法规规定的其他情形。</w:t>
      </w:r>
    </w:p>
    <w:p w14:paraId="1B62060A">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16.响应文件的澄清、说明或更正</w:t>
      </w:r>
    </w:p>
    <w:p w14:paraId="590D85D1">
      <w:pPr>
        <w:spacing w:line="360" w:lineRule="auto"/>
        <w:ind w:firstLine="470" w:firstLineChars="19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16.1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1752DE0B">
      <w:pPr>
        <w:spacing w:line="360" w:lineRule="auto"/>
        <w:ind w:firstLine="470" w:firstLineChars="19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16.2磋商小组要求供应商澄清、说明或者更正响应文件应当以书面形式（询标）作出。供应商的澄清、说明或者更正应当由法定代表人或其授权代表签字或者加盖公章（电子签章）。</w:t>
      </w:r>
    </w:p>
    <w:p w14:paraId="61B25F5D">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如有询标，授权代表（或法定代表人）可通过远程登录的方式接受网上询标，也可凭本人有效身份证明参加询标。因授权代表联系不上</w:t>
      </w:r>
      <w:r>
        <w:rPr>
          <w:rFonts w:hint="eastAsia" w:ascii="宋体" w:hAnsi="宋体" w:eastAsia="宋体" w:cs="宋体"/>
          <w:b/>
          <w:bCs/>
          <w:color w:val="000000" w:themeColor="text1"/>
          <w:sz w:val="24"/>
          <w:highlight w:val="none"/>
          <w14:textFill>
            <w14:solidFill>
              <w14:schemeClr w14:val="tx1"/>
            </w14:solidFill>
          </w14:textFill>
        </w:rPr>
        <w:t>、没有及时登录系统等情形</w:t>
      </w:r>
      <w:r>
        <w:rPr>
          <w:rFonts w:hint="eastAsia" w:ascii="宋体" w:hAnsi="宋体" w:eastAsia="宋体" w:cs="宋体"/>
          <w:b/>
          <w:color w:val="000000" w:themeColor="text1"/>
          <w:sz w:val="24"/>
          <w:highlight w:val="none"/>
          <w14:textFill>
            <w14:solidFill>
              <w14:schemeClr w14:val="tx1"/>
            </w14:solidFill>
          </w14:textFill>
        </w:rPr>
        <w:t>而无法接受磋商小组询标的，供应商自行承担相关风险。</w:t>
      </w:r>
    </w:p>
    <w:p w14:paraId="7B6EC559">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17.最后报价</w:t>
      </w:r>
    </w:p>
    <w:p w14:paraId="688F0968">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17.1磋商并不限定只进行二轮报价，如果磋商小组认为有必要，可以要求供应商进行多轮报价。</w:t>
      </w:r>
    </w:p>
    <w:p w14:paraId="2CE77E63">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17.2在磋商内容不做实质性变更或重大调整的前提下，供应商下轮报价不得高于上一轮报价。</w:t>
      </w:r>
    </w:p>
    <w:p w14:paraId="3FDB26BB">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17.3最后报价是供应商响应文件的有效组成部分，最后报价也是签订合同的依据。</w:t>
      </w:r>
    </w:p>
    <w:p w14:paraId="2CDB689A">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bookmarkStart w:id="60" w:name="_Hlk60607655"/>
      <w:bookmarkStart w:id="61" w:name="_Hlk60607673"/>
      <w:r>
        <w:rPr>
          <w:rFonts w:hint="eastAsia" w:ascii="宋体" w:hAnsi="宋体" w:eastAsia="宋体" w:cs="宋体"/>
          <w:color w:val="000000" w:themeColor="text1"/>
          <w:sz w:val="24"/>
          <w:highlight w:val="none"/>
          <w14:textFill>
            <w14:solidFill>
              <w14:schemeClr w14:val="tx1"/>
            </w14:solidFill>
          </w14:textFill>
        </w:rPr>
        <w:t>17.4根据《政府采购促进中小企业发展管理办法》（财库〔2020〕46号）、《三部门联合发布关于促进残疾人就业政府采购政策的通知》（财库〔2017〕141号）和《财政部 司法部关于政府采购支持监狱企业发展有关问题的通知》（财库〔2014〕68号）的规定，对满足价格扣除条件且在响应文件中提交了《中小企业声明函》、《残疾人福利性单位声明函》或省级以上监狱管理局、戒毒管理局（含新疆生产建设兵团）出具的属于监狱企业的证明文件的供应商，其最后报价按照</w:t>
      </w:r>
      <w:r>
        <w:rPr>
          <w:rFonts w:hint="eastAsia" w:ascii="宋体" w:hAnsi="宋体" w:eastAsia="宋体" w:cs="宋体"/>
          <w:color w:val="000000" w:themeColor="text1"/>
          <w:sz w:val="24"/>
          <w:highlight w:val="none"/>
          <w:u w:val="single"/>
          <w14:textFill>
            <w14:solidFill>
              <w14:schemeClr w14:val="tx1"/>
            </w14:solidFill>
          </w14:textFill>
        </w:rPr>
        <w:t>供应商须知前附表</w:t>
      </w:r>
      <w:r>
        <w:rPr>
          <w:rFonts w:hint="eastAsia" w:ascii="宋体" w:hAnsi="宋体" w:eastAsia="宋体" w:cs="宋体"/>
          <w:color w:val="000000" w:themeColor="text1"/>
          <w:sz w:val="24"/>
          <w:highlight w:val="none"/>
          <w14:textFill>
            <w14:solidFill>
              <w14:schemeClr w14:val="tx1"/>
            </w14:solidFill>
          </w14:textFill>
        </w:rPr>
        <w:t>中规定的标准扣除后的价格参与评审。对于同时属于小微企业、监狱企业或残疾人福利性单位的，不重复进行最后报价扣除。</w:t>
      </w:r>
    </w:p>
    <w:p w14:paraId="43101746">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接受大中型企业与小微企业组成联合体或者允许大中型企业向一家或者多家小微企业分包的，对于联合协议或者分包意向协议约定小微企业的合同份额占到合同总金额30%以上的，可给予联合体或者大中型企业的最后报价按照</w:t>
      </w:r>
      <w:r>
        <w:rPr>
          <w:rFonts w:hint="eastAsia" w:ascii="宋体" w:hAnsi="宋体" w:eastAsia="宋体" w:cs="宋体"/>
          <w:color w:val="000000" w:themeColor="text1"/>
          <w:sz w:val="24"/>
          <w:highlight w:val="none"/>
          <w:u w:val="single"/>
          <w14:textFill>
            <w14:solidFill>
              <w14:schemeClr w14:val="tx1"/>
            </w14:solidFill>
          </w14:textFill>
        </w:rPr>
        <w:t>供应商须知前附表</w:t>
      </w:r>
      <w:r>
        <w:rPr>
          <w:rFonts w:hint="eastAsia" w:ascii="宋体" w:hAnsi="宋体" w:eastAsia="宋体" w:cs="宋体"/>
          <w:color w:val="000000" w:themeColor="text1"/>
          <w:sz w:val="24"/>
          <w:highlight w:val="none"/>
          <w14:textFill>
            <w14:solidFill>
              <w14:schemeClr w14:val="tx1"/>
            </w14:solidFill>
          </w14:textFill>
        </w:rPr>
        <w:t>中规定的标准扣除后的价格参与评审。组成联合体或者接受分包的小微企业与联合体内其他企业、分包企业之间存在直接控股、管理关系的，不享受价格扣除优惠政策。</w:t>
      </w:r>
    </w:p>
    <w:p w14:paraId="747C1875">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bookmarkEnd w:id="60"/>
    </w:p>
    <w:bookmarkEnd w:id="61"/>
    <w:p w14:paraId="3A32110D">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18.成交候选供应商的推荐原则及标准</w:t>
      </w:r>
    </w:p>
    <w:p w14:paraId="6F5A3D9D">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18.1磋商小组依据本项目磋商文件所约定的评审方法和标准，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39EAE38C">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19.确定成交候选供应商和成交供应商</w:t>
      </w:r>
    </w:p>
    <w:p w14:paraId="24244840">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19.1磋商小组根据综合评分的结果和</w:t>
      </w:r>
      <w:r>
        <w:rPr>
          <w:rFonts w:hint="eastAsia" w:ascii="宋体" w:hAnsi="宋体" w:eastAsia="宋体" w:cs="宋体"/>
          <w:color w:val="000000" w:themeColor="text1"/>
          <w:sz w:val="24"/>
          <w:highlight w:val="none"/>
          <w:u w:val="single"/>
          <w14:textFill>
            <w14:solidFill>
              <w14:schemeClr w14:val="tx1"/>
            </w14:solidFill>
          </w14:textFill>
        </w:rPr>
        <w:t>供应商须知前附表</w:t>
      </w:r>
      <w:r>
        <w:rPr>
          <w:rFonts w:hint="eastAsia" w:ascii="宋体" w:hAnsi="宋体" w:eastAsia="宋体" w:cs="宋体"/>
          <w:color w:val="000000" w:themeColor="text1"/>
          <w:sz w:val="24"/>
          <w:highlight w:val="none"/>
          <w14:textFill>
            <w14:solidFill>
              <w14:schemeClr w14:val="tx1"/>
            </w14:solidFill>
          </w14:textFill>
        </w:rPr>
        <w:t>中规定确定成交候选供应商，并标明排列顺序。按</w:t>
      </w:r>
      <w:r>
        <w:rPr>
          <w:rFonts w:hint="eastAsia" w:ascii="宋体" w:hAnsi="宋体" w:eastAsia="宋体" w:cs="宋体"/>
          <w:color w:val="000000" w:themeColor="text1"/>
          <w:sz w:val="24"/>
          <w:highlight w:val="none"/>
          <w:u w:val="single"/>
          <w14:textFill>
            <w14:solidFill>
              <w14:schemeClr w14:val="tx1"/>
            </w14:solidFill>
          </w14:textFill>
        </w:rPr>
        <w:t>供应商须知前附表</w:t>
      </w:r>
      <w:r>
        <w:rPr>
          <w:rFonts w:hint="eastAsia" w:ascii="宋体" w:hAnsi="宋体" w:eastAsia="宋体" w:cs="宋体"/>
          <w:color w:val="000000" w:themeColor="text1"/>
          <w:sz w:val="24"/>
          <w:highlight w:val="none"/>
          <w14:textFill>
            <w14:solidFill>
              <w14:schemeClr w14:val="tx1"/>
            </w14:solidFill>
          </w14:textFill>
        </w:rPr>
        <w:t>中规定，由磋商小组或采购人确定成交供应商。</w:t>
      </w:r>
    </w:p>
    <w:p w14:paraId="3EBE8F07">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20.编写评审报告</w:t>
      </w:r>
    </w:p>
    <w:p w14:paraId="36F245FC">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24EB06BC">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21.保密要求</w:t>
      </w:r>
    </w:p>
    <w:p w14:paraId="222E1890">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21.1评审将在严格保密的情况下进行。</w:t>
      </w:r>
    </w:p>
    <w:p w14:paraId="1F16541C">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21.2有关人员应当遵守评审工作纪律，不得泄露评审文件、评审情况和评审中获悉的国家秘密、商业秘密。</w:t>
      </w:r>
    </w:p>
    <w:p w14:paraId="588FBC81">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22.成交结果公告</w:t>
      </w:r>
    </w:p>
    <w:p w14:paraId="04EBFDA3">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22.1为体现“公开、公平、公正”的原则，磋商结束后，</w:t>
      </w:r>
      <w:r>
        <w:rPr>
          <w:rFonts w:hint="eastAsia" w:ascii="宋体" w:hAnsi="宋体" w:eastAsia="宋体" w:cs="宋体"/>
          <w:color w:val="000000" w:themeColor="text1"/>
          <w:sz w:val="24"/>
          <w:szCs w:val="18"/>
          <w:highlight w:val="none"/>
          <w14:textFill>
            <w14:solidFill>
              <w14:schemeClr w14:val="tx1"/>
            </w14:solidFill>
          </w14:textFill>
        </w:rPr>
        <w:t>采购代理机构将在安徽省政府采购网（www.ccgp-anhui.gov.cn）</w:t>
      </w:r>
      <w:r>
        <w:rPr>
          <w:rFonts w:hint="eastAsia" w:ascii="宋体" w:hAnsi="宋体" w:eastAsia="宋体" w:cs="宋体"/>
          <w:color w:val="000000" w:themeColor="text1"/>
          <w:sz w:val="24"/>
          <w:highlight w:val="none"/>
          <w14:textFill>
            <w14:solidFill>
              <w14:schemeClr w14:val="tx1"/>
            </w14:solidFill>
          </w14:textFill>
        </w:rPr>
        <w:t>上发布成交结果公告。</w:t>
      </w:r>
    </w:p>
    <w:p w14:paraId="46AA3B78">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宋体" w:hAnsi="宋体" w:eastAsia="宋体" w:cs="宋体"/>
          <w:color w:val="000000" w:themeColor="text1"/>
          <w:sz w:val="24"/>
          <w:highlight w:val="none"/>
          <w:u w:val="single"/>
          <w14:textFill>
            <w14:solidFill>
              <w14:schemeClr w14:val="tx1"/>
            </w14:solidFill>
          </w14:textFill>
        </w:rPr>
        <w:t>供应商须知前附表</w:t>
      </w:r>
      <w:r>
        <w:rPr>
          <w:rFonts w:hint="eastAsia" w:ascii="宋体" w:hAnsi="宋体" w:eastAsia="宋体" w:cs="宋体"/>
          <w:color w:val="000000" w:themeColor="text1"/>
          <w:sz w:val="24"/>
          <w:highlight w:val="none"/>
          <w14:textFill>
            <w14:solidFill>
              <w14:schemeClr w14:val="tx1"/>
            </w14:solidFill>
          </w14:textFill>
        </w:rPr>
        <w:t>中约定进行公告的内容。</w:t>
      </w:r>
    </w:p>
    <w:p w14:paraId="54C3D1B0">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23.成交通知书</w:t>
      </w:r>
    </w:p>
    <w:p w14:paraId="5B9CA3C8">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23.1采购代理机构发布成交结果公告的同时以</w:t>
      </w:r>
      <w:r>
        <w:rPr>
          <w:rFonts w:hint="eastAsia" w:ascii="宋体" w:hAnsi="宋体" w:eastAsia="宋体" w:cs="宋体"/>
          <w:color w:val="000000" w:themeColor="text1"/>
          <w:sz w:val="24"/>
          <w:highlight w:val="none"/>
          <w:u w:val="single"/>
          <w14:textFill>
            <w14:solidFill>
              <w14:schemeClr w14:val="tx1"/>
            </w14:solidFill>
          </w14:textFill>
        </w:rPr>
        <w:t>供应商须知前附表</w:t>
      </w:r>
      <w:r>
        <w:rPr>
          <w:rFonts w:hint="eastAsia" w:ascii="宋体" w:hAnsi="宋体" w:eastAsia="宋体" w:cs="宋体"/>
          <w:color w:val="000000" w:themeColor="text1"/>
          <w:sz w:val="24"/>
          <w:highlight w:val="none"/>
          <w14:textFill>
            <w14:solidFill>
              <w14:schemeClr w14:val="tx1"/>
            </w14:solidFill>
          </w14:textFill>
        </w:rPr>
        <w:t>规定的形式向成交供应商发出成交通知书。</w:t>
      </w:r>
    </w:p>
    <w:p w14:paraId="13C27859">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23.2成交通知书对采购人和成交供应商具有同等法律效力。成交通知书发出以后，采购人改变成交结果或者成交供应商放弃成交资格，应当承担相应的法律责任。</w:t>
      </w:r>
    </w:p>
    <w:p w14:paraId="590308CF">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23.3成交通知书是合同的组成部分。</w:t>
      </w:r>
    </w:p>
    <w:p w14:paraId="7918B35E">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24.告知磋商结果</w:t>
      </w:r>
    </w:p>
    <w:p w14:paraId="308B91C6">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24.1在公告成交结果的同时，采购代理机构同时以</w:t>
      </w:r>
      <w:r>
        <w:rPr>
          <w:rFonts w:hint="eastAsia" w:ascii="宋体" w:hAnsi="宋体" w:eastAsia="宋体" w:cs="宋体"/>
          <w:color w:val="000000" w:themeColor="text1"/>
          <w:sz w:val="24"/>
          <w:highlight w:val="none"/>
          <w:u w:val="single"/>
          <w14:textFill>
            <w14:solidFill>
              <w14:schemeClr w14:val="tx1"/>
            </w14:solidFill>
          </w14:textFill>
        </w:rPr>
        <w:t>供应商须知前附表</w:t>
      </w:r>
      <w:r>
        <w:rPr>
          <w:rFonts w:hint="eastAsia" w:ascii="宋体" w:hAnsi="宋体" w:eastAsia="宋体" w:cs="宋体"/>
          <w:color w:val="000000" w:themeColor="text1"/>
          <w:sz w:val="24"/>
          <w:highlight w:val="none"/>
          <w14:textFill>
            <w14:solidFill>
              <w14:schemeClr w14:val="tx1"/>
            </w14:solidFill>
          </w14:textFill>
        </w:rPr>
        <w:t>规定的形式告知未成交供应商本人的评审得分和排序。</w:t>
      </w:r>
    </w:p>
    <w:p w14:paraId="33E794B8">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24.2采购代理机构对未成交的供应商不做未成交原因的解释。</w:t>
      </w:r>
    </w:p>
    <w:p w14:paraId="2DCB0824">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25.履约保证金</w:t>
      </w:r>
    </w:p>
    <w:p w14:paraId="2DA4CF5A">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25.1成交供应商应按照</w:t>
      </w:r>
      <w:r>
        <w:rPr>
          <w:rFonts w:hint="eastAsia" w:ascii="宋体" w:hAnsi="宋体" w:eastAsia="宋体" w:cs="宋体"/>
          <w:color w:val="000000" w:themeColor="text1"/>
          <w:sz w:val="24"/>
          <w:highlight w:val="none"/>
          <w:u w:val="single"/>
          <w14:textFill>
            <w14:solidFill>
              <w14:schemeClr w14:val="tx1"/>
            </w14:solidFill>
          </w14:textFill>
        </w:rPr>
        <w:t>供应商须知前附表</w:t>
      </w:r>
      <w:r>
        <w:rPr>
          <w:rFonts w:hint="eastAsia" w:ascii="宋体" w:hAnsi="宋体" w:eastAsia="宋体" w:cs="宋体"/>
          <w:color w:val="000000" w:themeColor="text1"/>
          <w:sz w:val="24"/>
          <w:highlight w:val="none"/>
          <w14:textFill>
            <w14:solidFill>
              <w14:schemeClr w14:val="tx1"/>
            </w14:solidFill>
          </w14:textFill>
        </w:rPr>
        <w:t>规定缴纳履约保证金。</w:t>
      </w:r>
    </w:p>
    <w:p w14:paraId="0AD0CBAA">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25.2如果成交供应商没有按照上述履约保证金的规定执行，将视为放弃成交资格。在此情况下，采购人可确定下一成交候选供应商为成交供应商，也可以重新开展采购活动。</w:t>
      </w:r>
    </w:p>
    <w:p w14:paraId="37151757">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26.代理费用</w:t>
      </w:r>
    </w:p>
    <w:p w14:paraId="2EF46DD5">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26.1本项目代理费用的收取按</w:t>
      </w:r>
      <w:r>
        <w:rPr>
          <w:rFonts w:hint="eastAsia" w:ascii="宋体" w:hAnsi="宋体" w:eastAsia="宋体" w:cs="宋体"/>
          <w:color w:val="000000" w:themeColor="text1"/>
          <w:sz w:val="24"/>
          <w:highlight w:val="none"/>
          <w:u w:val="single"/>
          <w14:textFill>
            <w14:solidFill>
              <w14:schemeClr w14:val="tx1"/>
            </w14:solidFill>
          </w14:textFill>
        </w:rPr>
        <w:t>供应商须知前附表</w:t>
      </w:r>
      <w:r>
        <w:rPr>
          <w:rFonts w:hint="eastAsia" w:ascii="宋体" w:hAnsi="宋体" w:eastAsia="宋体" w:cs="宋体"/>
          <w:color w:val="000000" w:themeColor="text1"/>
          <w:sz w:val="24"/>
          <w:highlight w:val="none"/>
          <w14:textFill>
            <w14:solidFill>
              <w14:schemeClr w14:val="tx1"/>
            </w14:solidFill>
          </w14:textFill>
        </w:rPr>
        <w:t>的规定执行。</w:t>
      </w:r>
    </w:p>
    <w:p w14:paraId="70602F0D">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27.签订合同</w:t>
      </w:r>
    </w:p>
    <w:p w14:paraId="1869E342">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27.1</w:t>
      </w:r>
      <w:r>
        <w:rPr>
          <w:rFonts w:hint="eastAsia" w:ascii="宋体" w:hAnsi="宋体" w:eastAsia="宋体" w:cs="宋体"/>
          <w:color w:val="000000" w:themeColor="text1"/>
          <w:sz w:val="24"/>
          <w:szCs w:val="24"/>
          <w:highlight w:val="none"/>
          <w14:textFill>
            <w14:solidFill>
              <w14:schemeClr w14:val="tx1"/>
            </w14:solidFill>
          </w14:textFill>
        </w:rPr>
        <w:t>采购人与成交供应商应当按照</w:t>
      </w:r>
      <w:r>
        <w:rPr>
          <w:rFonts w:hint="eastAsia" w:ascii="宋体" w:hAnsi="宋体" w:eastAsia="宋体" w:cs="宋体"/>
          <w:color w:val="000000" w:themeColor="text1"/>
          <w:sz w:val="24"/>
          <w:szCs w:val="24"/>
          <w:highlight w:val="none"/>
          <w:u w:val="single"/>
          <w14:textFill>
            <w14:solidFill>
              <w14:schemeClr w14:val="tx1"/>
            </w14:solidFill>
          </w14:textFill>
        </w:rPr>
        <w:t>供应商须知前附表</w:t>
      </w:r>
      <w:r>
        <w:rPr>
          <w:rFonts w:hint="eastAsia" w:ascii="宋体" w:hAnsi="宋体" w:eastAsia="宋体" w:cs="宋体"/>
          <w:color w:val="000000" w:themeColor="text1"/>
          <w:sz w:val="24"/>
          <w:szCs w:val="24"/>
          <w:highlight w:val="none"/>
          <w14:textFill>
            <w14:solidFill>
              <w14:schemeClr w14:val="tx1"/>
            </w14:solidFill>
          </w14:textFill>
        </w:rPr>
        <w:t>规定的时间内完成政府采购合同签订及合同公告。</w:t>
      </w:r>
    </w:p>
    <w:p w14:paraId="60B763ED">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27.2磋商文件、成交供应商的响应文件及其澄清文件等，均为签订合同的依据。</w:t>
      </w:r>
    </w:p>
    <w:p w14:paraId="6D1BEF9D">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27.3成交供应商拒绝与采购人签订合同的，采购人可以按照评审报告推荐的成交候选供应商名单排序，确定下一成交候选供应商为成交供应商，也可以重新开展采购活动。成交供应商拒绝签订政府采购合同的不得参加对该项目重新开展的采购活动。</w:t>
      </w:r>
    </w:p>
    <w:p w14:paraId="15FBE9A5">
      <w:pPr>
        <w:spacing w:line="360" w:lineRule="auto"/>
        <w:ind w:firstLine="470" w:firstLineChars="196"/>
        <w:rPr>
          <w:rFonts w:hint="eastAsia" w:ascii="宋体" w:hAnsi="宋体" w:eastAsia="宋体" w:cs="宋体"/>
          <w:color w:val="000000" w:themeColor="text1"/>
          <w:sz w:val="24"/>
          <w:highlight w:val="none"/>
          <w14:textFill>
            <w14:solidFill>
              <w14:schemeClr w14:val="tx1"/>
            </w14:solidFill>
          </w14:textFill>
        </w:rPr>
      </w:pPr>
      <w:bookmarkStart w:id="62" w:name="_Hlk60264926"/>
      <w:r>
        <w:rPr>
          <w:rFonts w:hint="eastAsia" w:ascii="宋体" w:hAnsi="宋体" w:eastAsia="宋体" w:cs="宋体"/>
          <w:color w:val="000000" w:themeColor="text1"/>
          <w:sz w:val="24"/>
          <w:highlight w:val="none"/>
          <w14:textFill>
            <w14:solidFill>
              <w14:schemeClr w14:val="tx1"/>
            </w14:solidFill>
          </w14:textFill>
        </w:rPr>
        <w:t>27.4依据《政府采购促进中小企业发展管理办法》（财库〔2020〕46号）规定享受扶持政策获得政府采购合同的，小微企业不得将合同分包给大中型企业，中型企业不得将合同分包给大型企业。</w:t>
      </w:r>
      <w:bookmarkEnd w:id="62"/>
    </w:p>
    <w:p w14:paraId="1D3D2422">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28.廉洁自律规定</w:t>
      </w:r>
    </w:p>
    <w:p w14:paraId="2FC695F5">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28.1采购代理机构工作人员不得以不正当手段获取政府采购代理业务，不得与采购人、供应商恶意串通。</w:t>
      </w:r>
    </w:p>
    <w:p w14:paraId="3A8259C1">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28.2采购代理机构工作人员不得接受采购人或者供应商组织的宴请、旅游、娱乐，不得收受礼品、现金、有价证券等，不得向采购人或者供应商报销应当由个人承担的费用。</w:t>
      </w:r>
    </w:p>
    <w:p w14:paraId="18F0D7F1">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29.质疑的提出与接收</w:t>
      </w:r>
    </w:p>
    <w:p w14:paraId="40BFB5FD">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29.1供应商认为磋商文件、采购过程和成交结果使自己的权益受到损害的，可以在知道或者应知其权益受到损害之日起七个工作日内，以书面形式向采购人或其委托的采购代理机构提出质疑。</w:t>
      </w:r>
    </w:p>
    <w:p w14:paraId="3ABCC269">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29.2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7FEAAEA8">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29.3采购代理机构质疑函接收部门、联系电话和通讯地址，见</w:t>
      </w:r>
      <w:r>
        <w:rPr>
          <w:rFonts w:hint="eastAsia" w:ascii="宋体" w:hAnsi="宋体" w:eastAsia="宋体" w:cs="宋体"/>
          <w:color w:val="000000" w:themeColor="text1"/>
          <w:sz w:val="24"/>
          <w:highlight w:val="none"/>
          <w:u w:val="single"/>
          <w14:textFill>
            <w14:solidFill>
              <w14:schemeClr w14:val="tx1"/>
            </w14:solidFill>
          </w14:textFill>
        </w:rPr>
        <w:t>供应商须知前附表</w:t>
      </w:r>
      <w:r>
        <w:rPr>
          <w:rFonts w:hint="eastAsia" w:ascii="宋体" w:hAnsi="宋体" w:eastAsia="宋体" w:cs="宋体"/>
          <w:color w:val="000000" w:themeColor="text1"/>
          <w:sz w:val="24"/>
          <w:highlight w:val="none"/>
          <w14:textFill>
            <w14:solidFill>
              <w14:schemeClr w14:val="tx1"/>
            </w14:solidFill>
          </w14:textFill>
        </w:rPr>
        <w:t>。</w:t>
      </w:r>
    </w:p>
    <w:p w14:paraId="51ECB483">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注：上述条款中所要求的书面形式包含通过电子交易系统递交方式。</w:t>
      </w:r>
    </w:p>
    <w:p w14:paraId="6A3D8120">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30.需要补充的其他内容</w:t>
      </w:r>
    </w:p>
    <w:p w14:paraId="5BC24884">
      <w:pPr>
        <w:spacing w:line="360" w:lineRule="auto"/>
        <w:ind w:firstLine="437"/>
        <w:rPr>
          <w:rFonts w:hint="eastAsia" w:ascii="宋体" w:hAnsi="宋体" w:eastAsia="宋体" w:cs="宋体"/>
          <w:b/>
          <w:color w:val="000000" w:themeColor="text1"/>
          <w:sz w:val="28"/>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需要补充的其他内容，见</w:t>
      </w:r>
      <w:r>
        <w:rPr>
          <w:rFonts w:hint="eastAsia" w:ascii="宋体" w:hAnsi="宋体" w:eastAsia="宋体" w:cs="宋体"/>
          <w:color w:val="000000" w:themeColor="text1"/>
          <w:sz w:val="24"/>
          <w:highlight w:val="none"/>
          <w:u w:val="single"/>
          <w14:textFill>
            <w14:solidFill>
              <w14:schemeClr w14:val="tx1"/>
            </w14:solidFill>
          </w14:textFill>
        </w:rPr>
        <w:t>供应商须知前附表</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br w:type="page"/>
      </w:r>
    </w:p>
    <w:p w14:paraId="18BCA75D">
      <w:pPr>
        <w:spacing w:line="360" w:lineRule="auto"/>
        <w:jc w:val="center"/>
        <w:outlineLvl w:val="0"/>
        <w:rPr>
          <w:rFonts w:hint="eastAsia" w:ascii="宋体" w:hAnsi="宋体" w:eastAsia="宋体" w:cs="宋体"/>
          <w:b/>
          <w:color w:val="000000" w:themeColor="text1"/>
          <w:sz w:val="28"/>
          <w:highlight w:val="none"/>
          <w14:textFill>
            <w14:solidFill>
              <w14:schemeClr w14:val="tx1"/>
            </w14:solidFill>
          </w14:textFill>
        </w:rPr>
      </w:pPr>
      <w:bookmarkStart w:id="63" w:name="_Toc19440"/>
      <w:r>
        <w:rPr>
          <w:rFonts w:hint="eastAsia" w:ascii="宋体" w:hAnsi="宋体" w:eastAsia="宋体" w:cs="宋体"/>
          <w:b/>
          <w:color w:val="000000" w:themeColor="text1"/>
          <w:sz w:val="28"/>
          <w:highlight w:val="none"/>
          <w14:textFill>
            <w14:solidFill>
              <w14:schemeClr w14:val="tx1"/>
            </w14:solidFill>
          </w14:textFill>
        </w:rPr>
        <w:t>第三章  采购需求</w:t>
      </w:r>
      <w:bookmarkEnd w:id="63"/>
    </w:p>
    <w:p w14:paraId="4A09B04F">
      <w:pPr>
        <w:spacing w:line="360" w:lineRule="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前注：</w:t>
      </w:r>
    </w:p>
    <w:p w14:paraId="71A0C889">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本采购需求中提出的服务方案仅为参考，如无明确限制，供应商可以进行优化，提供满足采购人实际需要的更优（或者性能实质上不低于的）服务方案，且此方案须经磋商小组评审认可。</w:t>
      </w:r>
    </w:p>
    <w:p w14:paraId="2A41375A">
      <w:pPr>
        <w:spacing w:line="360" w:lineRule="auto"/>
        <w:ind w:firstLine="437"/>
        <w:outlineLvl w:val="1"/>
        <w:rPr>
          <w:rFonts w:hint="eastAsia" w:ascii="宋体" w:hAnsi="宋体" w:eastAsia="宋体" w:cs="宋体"/>
          <w:b/>
          <w:color w:val="000000" w:themeColor="text1"/>
          <w:sz w:val="24"/>
          <w:szCs w:val="18"/>
          <w:highlight w:val="none"/>
          <w14:textFill>
            <w14:solidFill>
              <w14:schemeClr w14:val="tx1"/>
            </w14:solidFill>
          </w14:textFill>
        </w:rPr>
      </w:pPr>
      <w:bookmarkStart w:id="64" w:name="_Toc7699"/>
      <w:bookmarkStart w:id="65" w:name="_Toc26349"/>
      <w:r>
        <w:rPr>
          <w:rFonts w:hint="eastAsia" w:ascii="宋体" w:hAnsi="宋体" w:eastAsia="宋体" w:cs="宋体"/>
          <w:b/>
          <w:color w:val="000000" w:themeColor="text1"/>
          <w:sz w:val="24"/>
          <w:szCs w:val="18"/>
          <w:highlight w:val="none"/>
          <w14:textFill>
            <w14:solidFill>
              <w14:schemeClr w14:val="tx1"/>
            </w14:solidFill>
          </w14:textFill>
        </w:rPr>
        <w:t>一、采购需求前附表</w:t>
      </w:r>
      <w:bookmarkEnd w:id="64"/>
      <w:bookmarkEnd w:id="65"/>
    </w:p>
    <w:tbl>
      <w:tblPr>
        <w:tblStyle w:val="23"/>
        <w:tblW w:w="51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528"/>
        <w:gridCol w:w="6391"/>
      </w:tblGrid>
      <w:tr w14:paraId="0076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74" w:type="pct"/>
            <w:vAlign w:val="center"/>
          </w:tcPr>
          <w:p w14:paraId="7E5EFE82">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
                <w:color w:val="000000" w:themeColor="text1"/>
                <w:kern w:val="2"/>
                <w:highlight w:val="none"/>
                <w14:textFill>
                  <w14:solidFill>
                    <w14:schemeClr w14:val="tx1"/>
                  </w14:solidFill>
                </w14:textFill>
              </w:rPr>
            </w:pPr>
            <w:bookmarkStart w:id="66" w:name="_Hlk16461016"/>
            <w:r>
              <w:rPr>
                <w:rFonts w:hint="eastAsia" w:ascii="宋体" w:hAnsi="宋体" w:eastAsia="宋体" w:cs="宋体"/>
                <w:b/>
                <w:color w:val="000000" w:themeColor="text1"/>
                <w:kern w:val="2"/>
                <w:highlight w:val="none"/>
                <w14:textFill>
                  <w14:solidFill>
                    <w14:schemeClr w14:val="tx1"/>
                  </w14:solidFill>
                </w14:textFill>
              </w:rPr>
              <w:t>序号</w:t>
            </w:r>
          </w:p>
        </w:tc>
        <w:tc>
          <w:tcPr>
            <w:tcW w:w="873" w:type="pct"/>
            <w:vAlign w:val="center"/>
          </w:tcPr>
          <w:p w14:paraId="45EB98D4">
            <w:pPr>
              <w:pStyle w:val="41"/>
              <w:widowControl w:val="0"/>
              <w:spacing w:before="0" w:beforeAutospacing="0" w:after="0" w:afterAutospacing="0" w:line="240" w:lineRule="auto"/>
              <w:rPr>
                <w:rFonts w:hint="eastAsia" w:ascii="宋体" w:hAnsi="宋体" w:eastAsia="宋体" w:cs="宋体"/>
                <w:bCs w:val="0"/>
                <w:color w:val="000000" w:themeColor="text1"/>
                <w:sz w:val="24"/>
                <w:highlight w:val="none"/>
                <w14:textFill>
                  <w14:solidFill>
                    <w14:schemeClr w14:val="tx1"/>
                  </w14:solidFill>
                </w14:textFill>
              </w:rPr>
            </w:pPr>
            <w:r>
              <w:rPr>
                <w:rFonts w:hint="eastAsia" w:ascii="宋体" w:hAnsi="宋体" w:eastAsia="宋体" w:cs="宋体"/>
                <w:bCs w:val="0"/>
                <w:color w:val="000000" w:themeColor="text1"/>
                <w:sz w:val="24"/>
                <w:highlight w:val="none"/>
                <w14:textFill>
                  <w14:solidFill>
                    <w14:schemeClr w14:val="tx1"/>
                  </w14:solidFill>
                </w14:textFill>
              </w:rPr>
              <w:t>条款名称</w:t>
            </w:r>
          </w:p>
        </w:tc>
        <w:tc>
          <w:tcPr>
            <w:tcW w:w="3651" w:type="pct"/>
            <w:vAlign w:val="center"/>
          </w:tcPr>
          <w:p w14:paraId="2EF713BD">
            <w:pPr>
              <w:pStyle w:val="41"/>
              <w:widowControl w:val="0"/>
              <w:spacing w:before="0" w:beforeAutospacing="0" w:after="0" w:afterAutospacing="0" w:line="240" w:lineRule="auto"/>
              <w:rPr>
                <w:rFonts w:hint="eastAsia" w:ascii="宋体" w:hAnsi="宋体" w:eastAsia="宋体" w:cs="宋体"/>
                <w:bCs w:val="0"/>
                <w:color w:val="000000" w:themeColor="text1"/>
                <w:sz w:val="24"/>
                <w:highlight w:val="none"/>
                <w14:textFill>
                  <w14:solidFill>
                    <w14:schemeClr w14:val="tx1"/>
                  </w14:solidFill>
                </w14:textFill>
              </w:rPr>
            </w:pPr>
            <w:r>
              <w:rPr>
                <w:rFonts w:hint="eastAsia" w:ascii="宋体" w:hAnsi="宋体" w:eastAsia="宋体" w:cs="宋体"/>
                <w:bCs w:val="0"/>
                <w:color w:val="000000" w:themeColor="text1"/>
                <w:sz w:val="24"/>
                <w:highlight w:val="none"/>
                <w14:textFill>
                  <w14:solidFill>
                    <w14:schemeClr w14:val="tx1"/>
                  </w14:solidFill>
                </w14:textFill>
              </w:rPr>
              <w:t>内容、说明与要求</w:t>
            </w:r>
          </w:p>
        </w:tc>
      </w:tr>
      <w:tr w14:paraId="3240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8" w:hRule="atLeast"/>
          <w:jc w:val="center"/>
        </w:trPr>
        <w:tc>
          <w:tcPr>
            <w:tcW w:w="474" w:type="pct"/>
            <w:vAlign w:val="center"/>
          </w:tcPr>
          <w:p w14:paraId="7C128850">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1</w:t>
            </w:r>
          </w:p>
        </w:tc>
        <w:tc>
          <w:tcPr>
            <w:tcW w:w="873" w:type="pct"/>
            <w:vAlign w:val="center"/>
          </w:tcPr>
          <w:p w14:paraId="5B35904B">
            <w:pPr>
              <w:pStyle w:val="41"/>
              <w:widowControl w:val="0"/>
              <w:spacing w:before="0" w:beforeAutospacing="0" w:after="0" w:afterAutospacing="0" w:line="240" w:lineRule="auto"/>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付款方式</w:t>
            </w:r>
          </w:p>
        </w:tc>
        <w:tc>
          <w:tcPr>
            <w:tcW w:w="3651" w:type="pct"/>
            <w:vAlign w:val="center"/>
          </w:tcPr>
          <w:p w14:paraId="709DC821">
            <w:pPr>
              <w:widowControl/>
              <w:spacing w:line="36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①</w:t>
            </w:r>
            <w:r>
              <w:rPr>
                <w:rFonts w:hint="eastAsia" w:ascii="宋体" w:hAnsi="宋体" w:eastAsia="宋体" w:cs="宋体"/>
                <w:bCs/>
                <w:color w:val="000000" w:themeColor="text1"/>
                <w:kern w:val="0"/>
                <w:sz w:val="24"/>
                <w:szCs w:val="24"/>
                <w:highlight w:val="none"/>
                <w14:textFill>
                  <w14:solidFill>
                    <w14:schemeClr w14:val="tx1"/>
                  </w14:solidFill>
                </w14:textFill>
              </w:rPr>
              <w:t>合同签订后，经乙方申请并提交银行、保险公司、担保公司等金融机构出具的金额为合同总价40%的预付款保函作为担保，经甲方审核确认后，</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按规定及时</w:t>
            </w:r>
            <w:r>
              <w:rPr>
                <w:rFonts w:hint="eastAsia" w:ascii="宋体" w:hAnsi="宋体" w:eastAsia="宋体" w:cs="宋体"/>
                <w:bCs/>
                <w:color w:val="000000" w:themeColor="text1"/>
                <w:kern w:val="0"/>
                <w:sz w:val="24"/>
                <w:szCs w:val="24"/>
                <w:highlight w:val="none"/>
                <w14:textFill>
                  <w14:solidFill>
                    <w14:schemeClr w14:val="tx1"/>
                  </w14:solidFill>
                </w14:textFill>
              </w:rPr>
              <w:t>向乙方支付合同总价的40%作为预付款；合同款按进度支付，提交甲方认可的全部成果后支付至合同价的90%</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sz w:val="24"/>
                <w:szCs w:val="24"/>
                <w:lang w:val="en-US" w:eastAsia="zh-CN"/>
              </w:rPr>
              <w:t>并一次性扣回所有预付款，年度验收合格并经结算审核后，支付至结算价的100%</w:t>
            </w:r>
            <w:r>
              <w:rPr>
                <w:rFonts w:hint="eastAsia" w:ascii="宋体" w:hAnsi="宋体" w:eastAsia="宋体" w:cs="宋体"/>
                <w:b/>
                <w:sz w:val="24"/>
                <w:szCs w:val="24"/>
              </w:rPr>
              <w:t>。</w:t>
            </w:r>
          </w:p>
          <w:p w14:paraId="6DFD5637">
            <w:pPr>
              <w:widowControl/>
              <w:spacing w:line="36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②</w:t>
            </w:r>
            <w:r>
              <w:rPr>
                <w:rFonts w:hint="eastAsia" w:ascii="宋体" w:hAnsi="宋体" w:eastAsia="宋体" w:cs="宋体"/>
                <w:bCs/>
                <w:color w:val="000000" w:themeColor="text1"/>
                <w:kern w:val="0"/>
                <w:sz w:val="24"/>
                <w:szCs w:val="24"/>
                <w:highlight w:val="none"/>
                <w14:textFill>
                  <w14:solidFill>
                    <w14:schemeClr w14:val="tx1"/>
                  </w14:solidFill>
                </w14:textFill>
              </w:rPr>
              <w:t>在签订合同时，乙方书面明确表示无需预付款，即乙方无需提供预付款担保，按皖财购〔2022〕556号规定，合同甲方可不再支付预付款。</w:t>
            </w:r>
          </w:p>
          <w:p w14:paraId="38D67EF1">
            <w:pPr>
              <w:widowControl/>
              <w:spacing w:line="360" w:lineRule="auto"/>
              <w:jc w:val="left"/>
              <w:rPr>
                <w:rFonts w:hint="eastAsia" w:ascii="宋体" w:hAnsi="宋体" w:eastAsia="宋体" w:cs="宋体"/>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合同款按进度支付，提交甲方认可的全部成果后支付至合同价的90%；年度验收合格并经结算审核后，支付至结算价的100%</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w:t>
            </w:r>
          </w:p>
          <w:p w14:paraId="0F934E0D">
            <w:pPr>
              <w:widowControl/>
              <w:spacing w:line="360" w:lineRule="auto"/>
              <w:ind w:firstLine="482" w:firstLineChars="200"/>
              <w:jc w:val="left"/>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b/>
                <w:bCs w:val="0"/>
                <w:color w:val="000000" w:themeColor="text1"/>
                <w:kern w:val="0"/>
                <w:sz w:val="24"/>
                <w:szCs w:val="24"/>
                <w:highlight w:val="none"/>
                <w14:textFill>
                  <w14:solidFill>
                    <w14:schemeClr w14:val="tx1"/>
                  </w14:solidFill>
                </w14:textFill>
              </w:rPr>
              <w:t>备注：预付款支付前，乙方须提交银行、保险公司、担保公司等金融机构出具的预付款保函（见索即付保函）。</w:t>
            </w:r>
          </w:p>
        </w:tc>
      </w:tr>
      <w:tr w14:paraId="3E5C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74" w:type="pct"/>
            <w:vAlign w:val="center"/>
          </w:tcPr>
          <w:p w14:paraId="548C9E52">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2</w:t>
            </w:r>
          </w:p>
        </w:tc>
        <w:tc>
          <w:tcPr>
            <w:tcW w:w="873" w:type="pct"/>
            <w:vAlign w:val="center"/>
          </w:tcPr>
          <w:p w14:paraId="35830C3F">
            <w:pPr>
              <w:pStyle w:val="41"/>
              <w:widowControl w:val="0"/>
              <w:spacing w:before="0" w:beforeAutospacing="0" w:after="0" w:afterAutospacing="0" w:line="240" w:lineRule="auto"/>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服务地点</w:t>
            </w:r>
          </w:p>
        </w:tc>
        <w:tc>
          <w:tcPr>
            <w:tcW w:w="3651" w:type="pct"/>
            <w:vAlign w:val="center"/>
          </w:tcPr>
          <w:p w14:paraId="63D6FC69">
            <w:pPr>
              <w:pStyle w:val="41"/>
              <w:widowControl w:val="0"/>
              <w:spacing w:before="0" w:beforeAutospacing="0" w:after="0" w:afterAutospacing="0" w:line="24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安徽省境内（采购人指定地点）</w:t>
            </w:r>
          </w:p>
        </w:tc>
      </w:tr>
      <w:tr w14:paraId="622D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474" w:type="pct"/>
            <w:vAlign w:val="center"/>
          </w:tcPr>
          <w:p w14:paraId="4AFD2E10">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3</w:t>
            </w:r>
          </w:p>
        </w:tc>
        <w:tc>
          <w:tcPr>
            <w:tcW w:w="873" w:type="pct"/>
            <w:vAlign w:val="center"/>
          </w:tcPr>
          <w:p w14:paraId="603547A1">
            <w:pPr>
              <w:pStyle w:val="41"/>
              <w:widowControl w:val="0"/>
              <w:spacing w:before="0" w:beforeAutospacing="0" w:after="0" w:afterAutospacing="0" w:line="240" w:lineRule="auto"/>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服务期限</w:t>
            </w:r>
          </w:p>
        </w:tc>
        <w:tc>
          <w:tcPr>
            <w:tcW w:w="3651" w:type="pct"/>
            <w:vAlign w:val="center"/>
          </w:tcPr>
          <w:p w14:paraId="00D87E6B">
            <w:pPr>
              <w:spacing w:line="24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合同签订之日起至鉴定审定部门审定并印发水闸安全鉴定报告书为止。</w:t>
            </w:r>
          </w:p>
        </w:tc>
      </w:tr>
      <w:tr w14:paraId="279D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474" w:type="pct"/>
            <w:vAlign w:val="center"/>
          </w:tcPr>
          <w:p w14:paraId="3596C58B">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000000" w:themeColor="text1"/>
                <w:kern w:val="2"/>
                <w:highlight w:val="none"/>
                <w14:textFill>
                  <w14:solidFill>
                    <w14:schemeClr w14:val="tx1"/>
                  </w14:solidFill>
                </w14:textFill>
              </w:rPr>
            </w:pPr>
            <w:r>
              <w:rPr>
                <w:rFonts w:hint="eastAsia" w:ascii="宋体" w:hAnsi="宋体" w:eastAsia="宋体" w:cs="宋体"/>
                <w:bCs/>
                <w:color w:val="000000" w:themeColor="text1"/>
                <w:kern w:val="2"/>
                <w:highlight w:val="none"/>
                <w14:textFill>
                  <w14:solidFill>
                    <w14:schemeClr w14:val="tx1"/>
                  </w14:solidFill>
                </w14:textFill>
              </w:rPr>
              <w:t>4</w:t>
            </w:r>
          </w:p>
        </w:tc>
        <w:tc>
          <w:tcPr>
            <w:tcW w:w="873" w:type="pct"/>
            <w:vAlign w:val="center"/>
          </w:tcPr>
          <w:p w14:paraId="2DCC2CFD">
            <w:pPr>
              <w:pStyle w:val="41"/>
              <w:widowControl w:val="0"/>
              <w:spacing w:before="0" w:beforeAutospacing="0" w:after="0" w:afterAutospacing="0" w:line="240" w:lineRule="auto"/>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本项目采购标的名称及所属行业</w:t>
            </w:r>
          </w:p>
        </w:tc>
        <w:tc>
          <w:tcPr>
            <w:tcW w:w="3651" w:type="pct"/>
            <w:vAlign w:val="center"/>
          </w:tcPr>
          <w:p w14:paraId="1B2A658A">
            <w:pPr>
              <w:spacing w:line="240" w:lineRule="auto"/>
              <w:jc w:val="left"/>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标的名称：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2026年省淮河局、省怀洪新河局、省临淮岗局部分水闸安全鉴定及堤防安全评价等（第1包省淮河局）</w:t>
            </w:r>
          </w:p>
          <w:p w14:paraId="13B6A520">
            <w:pPr>
              <w:spacing w:line="240" w:lineRule="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所</w:t>
            </w:r>
            <w:r>
              <w:rPr>
                <w:rFonts w:hint="eastAsia" w:ascii="宋体" w:hAnsi="宋体" w:eastAsia="宋体" w:cs="宋体"/>
                <w:color w:val="000000" w:themeColor="text1"/>
                <w:sz w:val="24"/>
                <w:szCs w:val="24"/>
                <w:highlight w:val="none"/>
                <w14:textFill>
                  <w14:solidFill>
                    <w14:schemeClr w14:val="tx1"/>
                  </w14:solidFill>
                </w14:textFill>
              </w:rPr>
              <w:t>属行业：</w:t>
            </w:r>
            <w:r>
              <w:rPr>
                <w:rFonts w:hint="eastAsia" w:ascii="宋体" w:hAnsi="宋体" w:eastAsia="宋体" w:cs="宋体"/>
                <w:color w:val="000000" w:themeColor="text1"/>
                <w:sz w:val="24"/>
                <w:szCs w:val="24"/>
                <w:highlight w:val="none"/>
                <w:u w:val="single"/>
                <w:lang w:val="zh-TW"/>
                <w14:textFill>
                  <w14:solidFill>
                    <w14:schemeClr w14:val="tx1"/>
                  </w14:solidFill>
                </w14:textFill>
              </w:rPr>
              <w:t>其他未列明行业</w:t>
            </w:r>
          </w:p>
        </w:tc>
      </w:tr>
      <w:tr w14:paraId="03CE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74" w:type="pct"/>
            <w:vAlign w:val="center"/>
          </w:tcPr>
          <w:p w14:paraId="60271DD3">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000000" w:themeColor="text1"/>
                <w:kern w:val="2"/>
                <w:highlight w:val="none"/>
                <w14:textFill>
                  <w14:solidFill>
                    <w14:schemeClr w14:val="tx1"/>
                  </w14:solidFill>
                </w14:textFill>
              </w:rPr>
            </w:pPr>
            <w:bookmarkStart w:id="67" w:name="_Toc23116"/>
            <w:bookmarkStart w:id="68" w:name="_Toc25144"/>
            <w:r>
              <w:rPr>
                <w:rFonts w:hint="eastAsia" w:ascii="宋体" w:hAnsi="宋体" w:eastAsia="宋体" w:cs="宋体"/>
                <w:bCs/>
                <w:color w:val="000000" w:themeColor="text1"/>
                <w:kern w:val="2"/>
                <w:highlight w:val="none"/>
                <w14:textFill>
                  <w14:solidFill>
                    <w14:schemeClr w14:val="tx1"/>
                  </w14:solidFill>
                </w14:textFill>
              </w:rPr>
              <w:t>5</w:t>
            </w:r>
          </w:p>
        </w:tc>
        <w:tc>
          <w:tcPr>
            <w:tcW w:w="873" w:type="pct"/>
            <w:vAlign w:val="center"/>
          </w:tcPr>
          <w:p w14:paraId="6DEEAF34">
            <w:pPr>
              <w:pStyle w:val="41"/>
              <w:widowControl w:val="0"/>
              <w:spacing w:before="0" w:beforeAutospacing="0" w:after="0" w:afterAutospacing="0" w:line="240" w:lineRule="auto"/>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前期资料收集</w:t>
            </w:r>
          </w:p>
        </w:tc>
        <w:tc>
          <w:tcPr>
            <w:tcW w:w="3651" w:type="pct"/>
            <w:vAlign w:val="center"/>
          </w:tcPr>
          <w:p w14:paraId="14698EE2">
            <w:pPr>
              <w:spacing w:line="24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与本项目相关的前期和基础资料，全部由成交供应商负责收集，潜在供应商在报价时要充分考虑此部分费用。</w:t>
            </w:r>
          </w:p>
        </w:tc>
      </w:tr>
      <w:tr w14:paraId="65C2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74" w:type="pct"/>
            <w:vAlign w:val="center"/>
          </w:tcPr>
          <w:p w14:paraId="3B26945D">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
                <w:bCs w:val="0"/>
                <w:color w:val="FF0000"/>
                <w:kern w:val="2"/>
                <w:highlight w:val="none"/>
                <w:lang w:val="en-US" w:eastAsia="zh-CN"/>
              </w:rPr>
            </w:pPr>
            <w:r>
              <w:rPr>
                <w:rFonts w:hint="eastAsia" w:ascii="宋体" w:hAnsi="宋体" w:eastAsia="宋体" w:cs="宋体"/>
                <w:b/>
                <w:bCs w:val="0"/>
                <w:color w:val="FF0000"/>
                <w:kern w:val="2"/>
                <w:highlight w:val="none"/>
                <w:lang w:val="en-US" w:eastAsia="zh-CN"/>
              </w:rPr>
              <w:t>6</w:t>
            </w:r>
          </w:p>
        </w:tc>
        <w:tc>
          <w:tcPr>
            <w:tcW w:w="873" w:type="pct"/>
            <w:vAlign w:val="center"/>
          </w:tcPr>
          <w:p w14:paraId="2898A3FE">
            <w:pPr>
              <w:pStyle w:val="41"/>
              <w:widowControl w:val="0"/>
              <w:spacing w:before="0" w:beforeAutospacing="0" w:after="0" w:afterAutospacing="0" w:line="240" w:lineRule="auto"/>
              <w:rPr>
                <w:rFonts w:hint="eastAsia" w:ascii="宋体" w:hAnsi="宋体" w:eastAsia="宋体" w:cs="宋体"/>
                <w:b/>
                <w:bCs w:val="0"/>
                <w:color w:val="FF0000"/>
                <w:sz w:val="24"/>
                <w:highlight w:val="none"/>
                <w:lang w:val="en-US" w:eastAsia="zh-CN"/>
              </w:rPr>
            </w:pPr>
            <w:r>
              <w:rPr>
                <w:rFonts w:hint="eastAsia" w:ascii="宋体" w:hAnsi="宋体" w:eastAsia="宋体" w:cs="宋体"/>
                <w:b/>
                <w:bCs w:val="0"/>
                <w:color w:val="FF0000"/>
                <w:sz w:val="24"/>
                <w:highlight w:val="none"/>
                <w:lang w:val="en-US" w:eastAsia="zh-CN"/>
              </w:rPr>
              <w:t>特别提醒</w:t>
            </w:r>
          </w:p>
        </w:tc>
        <w:tc>
          <w:tcPr>
            <w:tcW w:w="3651" w:type="pct"/>
            <w:vAlign w:val="center"/>
          </w:tcPr>
          <w:p w14:paraId="2BFBE013">
            <w:pPr>
              <w:spacing w:line="240" w:lineRule="auto"/>
              <w:rPr>
                <w:rFonts w:hint="eastAsia" w:ascii="宋体" w:hAnsi="宋体" w:eastAsia="宋体" w:cs="宋体"/>
                <w:b/>
                <w:bCs w:val="0"/>
                <w:color w:val="FF0000"/>
                <w:sz w:val="24"/>
                <w:highlight w:val="none"/>
                <w:lang w:val="en-US" w:eastAsia="zh-CN"/>
              </w:rPr>
            </w:pPr>
            <w:r>
              <w:rPr>
                <w:rFonts w:hint="eastAsia" w:ascii="宋体" w:hAnsi="宋体" w:eastAsia="宋体" w:cs="宋体"/>
                <w:b/>
                <w:bCs w:val="0"/>
                <w:color w:val="FF0000"/>
                <w:sz w:val="24"/>
                <w:highlight w:val="none"/>
                <w:lang w:val="en-US" w:eastAsia="zh-CN"/>
              </w:rPr>
              <w:t>为保障洞身等结构有效检测，本项目报价包含但不限于涵闸上下游</w:t>
            </w:r>
            <w:r>
              <w:rPr>
                <w:rFonts w:hint="eastAsia" w:ascii="宋体" w:hAnsi="宋体" w:eastAsia="宋体" w:cs="宋体"/>
                <w:b/>
                <w:bCs w:val="0"/>
                <w:color w:val="FF0000"/>
                <w:sz w:val="24"/>
                <w:highlight w:val="none"/>
              </w:rPr>
              <w:t>围堰</w:t>
            </w:r>
            <w:r>
              <w:rPr>
                <w:rFonts w:hint="eastAsia" w:ascii="宋体" w:hAnsi="宋体" w:eastAsia="宋体" w:cs="宋体"/>
                <w:b/>
                <w:bCs w:val="0"/>
                <w:color w:val="FF0000"/>
                <w:sz w:val="24"/>
                <w:highlight w:val="none"/>
                <w:lang w:val="en-US" w:eastAsia="zh-CN"/>
              </w:rPr>
              <w:t>填筑及拆除清理、检修门安装</w:t>
            </w:r>
            <w:r>
              <w:rPr>
                <w:rFonts w:hint="eastAsia" w:ascii="宋体" w:hAnsi="宋体" w:eastAsia="宋体" w:cs="宋体"/>
                <w:b/>
                <w:bCs w:val="0"/>
                <w:color w:val="FF0000"/>
                <w:sz w:val="24"/>
                <w:highlight w:val="none"/>
              </w:rPr>
              <w:t>拆除</w:t>
            </w:r>
            <w:r>
              <w:rPr>
                <w:rFonts w:hint="eastAsia" w:ascii="宋体" w:hAnsi="宋体" w:eastAsia="宋体" w:cs="宋体"/>
                <w:b/>
                <w:bCs w:val="0"/>
                <w:color w:val="FF0000"/>
                <w:sz w:val="24"/>
                <w:highlight w:val="none"/>
                <w:lang w:val="en-US" w:eastAsia="zh-CN"/>
              </w:rPr>
              <w:t>工作。</w:t>
            </w:r>
          </w:p>
        </w:tc>
      </w:tr>
    </w:tbl>
    <w:p w14:paraId="4005BA33">
      <w:pPr>
        <w:rPr>
          <w:rFonts w:hint="eastAsia" w:ascii="宋体" w:hAnsi="宋体" w:eastAsia="宋体" w:cs="宋体"/>
          <w:b/>
          <w:color w:val="000000" w:themeColor="text1"/>
          <w:sz w:val="24"/>
          <w:szCs w:val="18"/>
          <w:highlight w:val="none"/>
          <w14:textFill>
            <w14:solidFill>
              <w14:schemeClr w14:val="tx1"/>
            </w14:solidFill>
          </w14:textFill>
        </w:rPr>
      </w:pPr>
    </w:p>
    <w:bookmarkEnd w:id="67"/>
    <w:bookmarkEnd w:id="68"/>
    <w:p w14:paraId="1F110BF6">
      <w:pPr>
        <w:spacing w:line="56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szCs w:val="24"/>
          <w:highlight w:val="none"/>
          <w14:textFill>
            <w14:solidFill>
              <w14:schemeClr w14:val="tx1"/>
            </w14:solidFill>
          </w14:textFill>
        </w:rPr>
        <w:t>8座涵闸基本情况</w:t>
      </w:r>
    </w:p>
    <w:p w14:paraId="37B6DA5D">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69" w:name="_Toc12910"/>
      <w:bookmarkStart w:id="70" w:name="_Toc18052"/>
      <w:r>
        <w:rPr>
          <w:rFonts w:hint="eastAsia" w:ascii="宋体" w:hAnsi="宋体" w:eastAsia="宋体" w:cs="宋体"/>
          <w:color w:val="000000" w:themeColor="text1"/>
          <w:sz w:val="24"/>
          <w:szCs w:val="24"/>
          <w:highlight w:val="none"/>
          <w14:textFill>
            <w14:solidFill>
              <w14:schemeClr w14:val="tx1"/>
            </w14:solidFill>
          </w14:textFill>
        </w:rPr>
        <w:t>1.新河涵位于颍上闸上游约40km，对应颍左堤桩号78+326，涵闸建成于1951年5月，2006年进行了除险加固，4孔*2.5m，底板高程21.1m，设计流量31.6m</w:t>
      </w:r>
      <w:r>
        <w:rPr>
          <w:rFonts w:hint="eastAsia" w:ascii="宋体" w:hAnsi="宋体" w:eastAsia="宋体" w:cs="宋体"/>
          <w:color w:val="000000" w:themeColor="text1"/>
          <w:sz w:val="24"/>
          <w:szCs w:val="24"/>
          <w:highlight w:val="none"/>
          <w:vertAlign w:val="superscript"/>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/s；</w:t>
      </w:r>
    </w:p>
    <w:p w14:paraId="356DDA20">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2.乌江涵位于颍上闸上游约22km，对应颍左堤桩号60+471，涵闸建成于1951年7月，2007年进行了拆除重建，3孔*3.0m，底板高程20.95m，设计流量69.5m</w:t>
      </w:r>
      <w:r>
        <w:rPr>
          <w:rFonts w:hint="eastAsia" w:ascii="宋体" w:hAnsi="宋体" w:eastAsia="宋体" w:cs="宋体"/>
          <w:color w:val="000000" w:themeColor="text1"/>
          <w:sz w:val="24"/>
          <w:szCs w:val="24"/>
          <w:highlight w:val="none"/>
          <w:vertAlign w:val="superscript"/>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/s；</w:t>
      </w:r>
    </w:p>
    <w:p w14:paraId="32B4BB03">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3.小集涵位于颍上闸上游约12.5km，对应颍左堤桩号51+076，涵闸建成于1969年12月，2005年进行了拆除重建，2孔*3.5m，底板高程19.0m，设计流量37.0m</w:t>
      </w:r>
      <w:r>
        <w:rPr>
          <w:rFonts w:hint="eastAsia" w:ascii="宋体" w:hAnsi="宋体" w:eastAsia="宋体" w:cs="宋体"/>
          <w:color w:val="000000" w:themeColor="text1"/>
          <w:sz w:val="24"/>
          <w:szCs w:val="24"/>
          <w:highlight w:val="none"/>
          <w:vertAlign w:val="superscript"/>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/s；</w:t>
      </w:r>
    </w:p>
    <w:p w14:paraId="28797ED4">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4.吴沟涵位于蒙城闸上游约20km，对应涡左堤桩号105+249，涵闸建成于1966年12月，2006年进行了拆除重建，2孔*3.0m，底板高程22.5m，设计流量27.5m</w:t>
      </w:r>
      <w:r>
        <w:rPr>
          <w:rFonts w:hint="eastAsia" w:ascii="宋体" w:hAnsi="宋体" w:eastAsia="宋体" w:cs="宋体"/>
          <w:color w:val="000000" w:themeColor="text1"/>
          <w:sz w:val="24"/>
          <w:szCs w:val="24"/>
          <w:highlight w:val="none"/>
          <w:vertAlign w:val="superscript"/>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/s；</w:t>
      </w:r>
    </w:p>
    <w:p w14:paraId="68EA1D20">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5.张沟涵位于蒙城闸上游约18.5km，对应涡涡左堤桩号102+867，涵闸建成于1966年12月，2006年进行了拆除重建，1孔*3.5m，底板高程22.5m，设计流量29.2m</w:t>
      </w:r>
      <w:r>
        <w:rPr>
          <w:rFonts w:hint="eastAsia" w:ascii="宋体" w:hAnsi="宋体" w:eastAsia="宋体" w:cs="宋体"/>
          <w:color w:val="000000" w:themeColor="text1"/>
          <w:sz w:val="24"/>
          <w:szCs w:val="24"/>
          <w:highlight w:val="none"/>
          <w:vertAlign w:val="superscript"/>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/s；</w:t>
      </w:r>
    </w:p>
    <w:p w14:paraId="294C5A31">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6.丁花沟涵位于蒙城闸上游约15.4km，对应涡左堤桩号99+776，涵闸建成于1966年12月，2006年进行了拆除重建，2孔*3.5m，底板高程22.5m，设计流量41.2m</w:t>
      </w:r>
      <w:r>
        <w:rPr>
          <w:rFonts w:hint="eastAsia" w:ascii="宋体" w:hAnsi="宋体" w:eastAsia="宋体" w:cs="宋体"/>
          <w:color w:val="000000" w:themeColor="text1"/>
          <w:sz w:val="24"/>
          <w:szCs w:val="24"/>
          <w:highlight w:val="none"/>
          <w:vertAlign w:val="superscript"/>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/s；</w:t>
      </w:r>
    </w:p>
    <w:p w14:paraId="5B522F4B">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7.蔡桥涵位于蒙城闸上游约12.5km，对应涡左堤桩号96+945，涵闸建成于1967年7月，2006年进行了拆除重建，1孔*3.5m，底板高程21.5m，设计流量15.8m</w:t>
      </w:r>
      <w:r>
        <w:rPr>
          <w:rFonts w:hint="eastAsia" w:ascii="宋体" w:hAnsi="宋体" w:eastAsia="宋体" w:cs="宋体"/>
          <w:color w:val="000000" w:themeColor="text1"/>
          <w:sz w:val="24"/>
          <w:szCs w:val="24"/>
          <w:highlight w:val="none"/>
          <w:vertAlign w:val="superscript"/>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/s；</w:t>
      </w:r>
    </w:p>
    <w:p w14:paraId="7D28F8C6">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8.郎庙涵位于蒙城闸上游约22.3km，对应涡右堤桩号106+667，涵闸建成于1974年5月，2008年进行了拆除重建，1孔*1.2m，底板高程24.0m，设计流量1.7m</w:t>
      </w:r>
      <w:r>
        <w:rPr>
          <w:rFonts w:hint="eastAsia" w:ascii="宋体" w:hAnsi="宋体" w:eastAsia="宋体" w:cs="宋体"/>
          <w:color w:val="000000" w:themeColor="text1"/>
          <w:sz w:val="24"/>
          <w:szCs w:val="24"/>
          <w:highlight w:val="none"/>
          <w:vertAlign w:val="superscript"/>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/s；</w:t>
      </w:r>
    </w:p>
    <w:p w14:paraId="6EFD4AC2">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以上涵闸常年挡水运行，多年来未曾开展安全检测及评价，为全面摸清以上水闸运行工况，保障运行安全，建议对上述水闸开展安全鉴定工作。</w:t>
      </w:r>
    </w:p>
    <w:p w14:paraId="55FC66CB">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三、服务需求</w:t>
      </w:r>
    </w:p>
    <w:p w14:paraId="78F9333D">
      <w:pPr>
        <w:spacing w:line="56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（一）工作内容</w:t>
      </w:r>
    </w:p>
    <w:p w14:paraId="08F71F85">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根据《水闸安全鉴定管理办法》（水利部水建管〔2008〕214号）、《水闸安全评价导则》（SL214-2015）、《水闸设计规范》（SL 265-2016）等规定，逐步完成以下工作：</w:t>
      </w:r>
    </w:p>
    <w:p w14:paraId="19C59B9F">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1.资料收集</w:t>
      </w:r>
    </w:p>
    <w:p w14:paraId="42E56E20">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开展现状调查，编写工程现状调查分析报告，在现状调查的基础上，提出现场安全检测和工程复核计算项目。</w:t>
      </w:r>
    </w:p>
    <w:p w14:paraId="1653A56A">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2.安全检测</w:t>
      </w:r>
    </w:p>
    <w:p w14:paraId="086BE6D1">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按有关规程开展现场安全检测，</w:t>
      </w:r>
      <w:r>
        <w:rPr>
          <w:rFonts w:hint="eastAsia" w:ascii="宋体" w:hAnsi="宋体" w:eastAsia="宋体" w:cs="宋体"/>
          <w:b/>
          <w:bCs/>
          <w:color w:val="000000" w:themeColor="text1"/>
          <w:sz w:val="24"/>
          <w:szCs w:val="24"/>
          <w:highlight w:val="none"/>
          <w14:textFill>
            <w14:solidFill>
              <w14:schemeClr w14:val="tx1"/>
            </w14:solidFill>
          </w14:textFill>
        </w:rPr>
        <w:t>涉及多孔水闸检测需根据要求对全部闸孔进行检测，涉及水下检测内容的由供应商设置围堰等临时挡水设施开展检测，现场检测宜采用无损检测方法，如采用有损检测应在检测完成后由供应商恢复，</w:t>
      </w:r>
      <w:r>
        <w:rPr>
          <w:rFonts w:hint="eastAsia" w:ascii="宋体" w:hAnsi="宋体" w:eastAsia="宋体" w:cs="宋体"/>
          <w:color w:val="000000" w:themeColor="text1"/>
          <w:sz w:val="24"/>
          <w:szCs w:val="24"/>
          <w:highlight w:val="none"/>
          <w14:textFill>
            <w14:solidFill>
              <w14:schemeClr w14:val="tx1"/>
            </w14:solidFill>
          </w14:textFill>
        </w:rPr>
        <w:t>全面评价检测部位和结构的安全状态，编写现场安全检测报告。</w:t>
      </w:r>
    </w:p>
    <w:p w14:paraId="050C5246">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3.复核计算</w:t>
      </w:r>
    </w:p>
    <w:p w14:paraId="70741D31">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按有关规范进行安全复核计算，编写工程复核计算分析报告。</w:t>
      </w:r>
    </w:p>
    <w:p w14:paraId="20947D73">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4.安全评价</w:t>
      </w:r>
    </w:p>
    <w:p w14:paraId="203DCDC1">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对水闸安全状况进行评价，提出工程存在主要问题、水闸安全类别鉴定结果和处理措施建议等，编写水闸安全评价报告。</w:t>
      </w:r>
    </w:p>
    <w:p w14:paraId="210665F9">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5.完成成果审查</w:t>
      </w:r>
    </w:p>
    <w:p w14:paraId="16EE8AC2">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申请召开水闸安全鉴定专家评审会，按照水闸安全鉴定专家组的审查意见，补充相关工作，修改完善水闸安全鉴定报告，完成安全鉴定相关工作等。</w:t>
      </w:r>
    </w:p>
    <w:p w14:paraId="28C6A3D7">
      <w:pPr>
        <w:spacing w:line="56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（三）其他要求</w:t>
      </w:r>
    </w:p>
    <w:p w14:paraId="036DFC72">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编制涵闸闸门和启闭设备安全检测与评价报告，单独成册。</w:t>
      </w:r>
    </w:p>
    <w:p w14:paraId="6DEFEB08">
      <w:pPr>
        <w:spacing w:line="56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（四）安全鉴定水闸清单</w:t>
      </w:r>
    </w:p>
    <w:tbl>
      <w:tblPr>
        <w:tblStyle w:val="23"/>
        <w:tblW w:w="450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501"/>
        <w:gridCol w:w="1628"/>
        <w:gridCol w:w="1809"/>
        <w:gridCol w:w="1718"/>
      </w:tblGrid>
      <w:tr w14:paraId="312548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633" w:type="pct"/>
            <w:tcBorders>
              <w:top w:val="single" w:color="auto" w:sz="4" w:space="0"/>
              <w:left w:val="single" w:color="auto" w:sz="4" w:space="0"/>
              <w:bottom w:val="single" w:color="auto" w:sz="4" w:space="0"/>
              <w:right w:val="single" w:color="auto" w:sz="4" w:space="0"/>
            </w:tcBorders>
            <w:vAlign w:val="center"/>
          </w:tcPr>
          <w:p w14:paraId="57D55004">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安全鉴定水闸名称</w:t>
            </w:r>
          </w:p>
        </w:tc>
        <w:tc>
          <w:tcPr>
            <w:tcW w:w="1063" w:type="pct"/>
            <w:tcBorders>
              <w:top w:val="single" w:color="auto" w:sz="4" w:space="0"/>
              <w:left w:val="single" w:color="auto" w:sz="4" w:space="0"/>
              <w:bottom w:val="single" w:color="auto" w:sz="4" w:space="0"/>
              <w:right w:val="single" w:color="auto" w:sz="4" w:space="0"/>
            </w:tcBorders>
            <w:vAlign w:val="center"/>
          </w:tcPr>
          <w:p w14:paraId="4D19043B">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闸孔数（孔）</w:t>
            </w:r>
          </w:p>
        </w:tc>
        <w:tc>
          <w:tcPr>
            <w:tcW w:w="1181" w:type="pct"/>
            <w:tcBorders>
              <w:top w:val="single" w:color="auto" w:sz="4" w:space="0"/>
              <w:left w:val="single" w:color="auto" w:sz="4" w:space="0"/>
              <w:bottom w:val="single" w:color="auto" w:sz="4" w:space="0"/>
              <w:right w:val="single" w:color="auto" w:sz="4" w:space="0"/>
            </w:tcBorders>
            <w:vAlign w:val="center"/>
          </w:tcPr>
          <w:p w14:paraId="10D68EB2">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单孔净宽（m）</w:t>
            </w:r>
          </w:p>
        </w:tc>
        <w:tc>
          <w:tcPr>
            <w:tcW w:w="1122" w:type="pct"/>
            <w:tcBorders>
              <w:top w:val="single" w:color="auto" w:sz="4" w:space="0"/>
              <w:left w:val="single" w:color="auto" w:sz="4" w:space="0"/>
              <w:bottom w:val="single" w:color="auto" w:sz="4" w:space="0"/>
              <w:right w:val="single" w:color="auto" w:sz="4" w:space="0"/>
            </w:tcBorders>
            <w:vAlign w:val="center"/>
          </w:tcPr>
          <w:p w14:paraId="20A41F36">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备注</w:t>
            </w:r>
          </w:p>
        </w:tc>
      </w:tr>
      <w:tr w14:paraId="5EA676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1633" w:type="pct"/>
            <w:tcBorders>
              <w:top w:val="single" w:color="auto" w:sz="4" w:space="0"/>
              <w:left w:val="single" w:color="auto" w:sz="4" w:space="0"/>
              <w:bottom w:val="single" w:color="auto" w:sz="4" w:space="0"/>
              <w:right w:val="single" w:color="auto" w:sz="4" w:space="0"/>
            </w:tcBorders>
            <w:vAlign w:val="center"/>
          </w:tcPr>
          <w:p w14:paraId="6E93F57F">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新河涵</w:t>
            </w:r>
          </w:p>
        </w:tc>
        <w:tc>
          <w:tcPr>
            <w:tcW w:w="1063" w:type="pct"/>
            <w:tcBorders>
              <w:top w:val="single" w:color="auto" w:sz="4" w:space="0"/>
              <w:left w:val="single" w:color="auto" w:sz="4" w:space="0"/>
              <w:right w:val="single" w:color="auto" w:sz="4" w:space="0"/>
            </w:tcBorders>
            <w:vAlign w:val="center"/>
          </w:tcPr>
          <w:p w14:paraId="103E77A3">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w:t>
            </w:r>
          </w:p>
        </w:tc>
        <w:tc>
          <w:tcPr>
            <w:tcW w:w="1181" w:type="pct"/>
            <w:tcBorders>
              <w:top w:val="single" w:color="auto" w:sz="4" w:space="0"/>
              <w:left w:val="single" w:color="auto" w:sz="4" w:space="0"/>
              <w:right w:val="single" w:color="auto" w:sz="4" w:space="0"/>
            </w:tcBorders>
            <w:vAlign w:val="center"/>
          </w:tcPr>
          <w:p w14:paraId="3856C5D2">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2.5</w:t>
            </w:r>
          </w:p>
        </w:tc>
        <w:tc>
          <w:tcPr>
            <w:tcW w:w="1122" w:type="pct"/>
            <w:vMerge w:val="restart"/>
            <w:tcBorders>
              <w:top w:val="single" w:color="auto" w:sz="4" w:space="0"/>
              <w:left w:val="single" w:color="auto" w:sz="4" w:space="0"/>
              <w:right w:val="single" w:color="auto" w:sz="4" w:space="0"/>
            </w:tcBorders>
            <w:vAlign w:val="center"/>
          </w:tcPr>
          <w:p w14:paraId="0B2110DA">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p>
        </w:tc>
      </w:tr>
      <w:tr w14:paraId="29F72C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1633" w:type="pct"/>
            <w:tcBorders>
              <w:top w:val="single" w:color="auto" w:sz="4" w:space="0"/>
              <w:left w:val="single" w:color="auto" w:sz="4" w:space="0"/>
              <w:bottom w:val="single" w:color="auto" w:sz="4" w:space="0"/>
              <w:right w:val="single" w:color="auto" w:sz="4" w:space="0"/>
            </w:tcBorders>
            <w:vAlign w:val="center"/>
          </w:tcPr>
          <w:p w14:paraId="36A8D1A9">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乌江涵</w:t>
            </w:r>
          </w:p>
        </w:tc>
        <w:tc>
          <w:tcPr>
            <w:tcW w:w="1063" w:type="pct"/>
            <w:tcBorders>
              <w:left w:val="single" w:color="auto" w:sz="4" w:space="0"/>
              <w:right w:val="single" w:color="auto" w:sz="4" w:space="0"/>
            </w:tcBorders>
            <w:vAlign w:val="center"/>
          </w:tcPr>
          <w:p w14:paraId="2F1A9D65">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w:t>
            </w:r>
          </w:p>
        </w:tc>
        <w:tc>
          <w:tcPr>
            <w:tcW w:w="1181" w:type="pct"/>
            <w:tcBorders>
              <w:left w:val="single" w:color="auto" w:sz="4" w:space="0"/>
              <w:right w:val="single" w:color="auto" w:sz="4" w:space="0"/>
            </w:tcBorders>
            <w:vAlign w:val="center"/>
          </w:tcPr>
          <w:p w14:paraId="3C6B6824">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3.0</w:t>
            </w:r>
          </w:p>
        </w:tc>
        <w:tc>
          <w:tcPr>
            <w:tcW w:w="1122" w:type="pct"/>
            <w:vMerge w:val="continue"/>
            <w:tcBorders>
              <w:left w:val="single" w:color="auto" w:sz="4" w:space="0"/>
              <w:right w:val="single" w:color="auto" w:sz="4" w:space="0"/>
            </w:tcBorders>
            <w:vAlign w:val="center"/>
          </w:tcPr>
          <w:p w14:paraId="693F0F28">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p>
        </w:tc>
      </w:tr>
      <w:tr w14:paraId="1A192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1633" w:type="pct"/>
            <w:tcBorders>
              <w:top w:val="single" w:color="auto" w:sz="4" w:space="0"/>
              <w:left w:val="single" w:color="auto" w:sz="4" w:space="0"/>
              <w:bottom w:val="single" w:color="auto" w:sz="4" w:space="0"/>
              <w:right w:val="single" w:color="auto" w:sz="4" w:space="0"/>
            </w:tcBorders>
            <w:vAlign w:val="center"/>
          </w:tcPr>
          <w:p w14:paraId="467BFB19">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小集涵</w:t>
            </w:r>
          </w:p>
        </w:tc>
        <w:tc>
          <w:tcPr>
            <w:tcW w:w="1063" w:type="pct"/>
            <w:tcBorders>
              <w:left w:val="single" w:color="auto" w:sz="4" w:space="0"/>
              <w:right w:val="single" w:color="auto" w:sz="4" w:space="0"/>
            </w:tcBorders>
            <w:vAlign w:val="center"/>
          </w:tcPr>
          <w:p w14:paraId="278CCC6A">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w:t>
            </w:r>
          </w:p>
        </w:tc>
        <w:tc>
          <w:tcPr>
            <w:tcW w:w="1181" w:type="pct"/>
            <w:tcBorders>
              <w:left w:val="single" w:color="auto" w:sz="4" w:space="0"/>
              <w:right w:val="single" w:color="auto" w:sz="4" w:space="0"/>
            </w:tcBorders>
            <w:vAlign w:val="center"/>
          </w:tcPr>
          <w:p w14:paraId="37426E98">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3.5</w:t>
            </w:r>
          </w:p>
        </w:tc>
        <w:tc>
          <w:tcPr>
            <w:tcW w:w="1122" w:type="pct"/>
            <w:vMerge w:val="continue"/>
            <w:tcBorders>
              <w:left w:val="single" w:color="auto" w:sz="4" w:space="0"/>
              <w:right w:val="single" w:color="auto" w:sz="4" w:space="0"/>
            </w:tcBorders>
            <w:vAlign w:val="center"/>
          </w:tcPr>
          <w:p w14:paraId="34B33682">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p>
        </w:tc>
      </w:tr>
      <w:tr w14:paraId="311B3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6" w:hRule="atLeast"/>
          <w:jc w:val="center"/>
        </w:trPr>
        <w:tc>
          <w:tcPr>
            <w:tcW w:w="1633" w:type="pct"/>
            <w:tcBorders>
              <w:top w:val="single" w:color="auto" w:sz="4" w:space="0"/>
              <w:left w:val="single" w:color="auto" w:sz="4" w:space="0"/>
              <w:bottom w:val="single" w:color="auto" w:sz="4" w:space="0"/>
              <w:right w:val="single" w:color="auto" w:sz="4" w:space="0"/>
            </w:tcBorders>
            <w:vAlign w:val="center"/>
          </w:tcPr>
          <w:p w14:paraId="505B9ED5">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蔡桥涵</w:t>
            </w:r>
          </w:p>
        </w:tc>
        <w:tc>
          <w:tcPr>
            <w:tcW w:w="1063" w:type="pct"/>
            <w:tcBorders>
              <w:left w:val="single" w:color="auto" w:sz="4" w:space="0"/>
              <w:right w:val="single" w:color="auto" w:sz="4" w:space="0"/>
            </w:tcBorders>
            <w:vAlign w:val="center"/>
          </w:tcPr>
          <w:p w14:paraId="47535681">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p>
        </w:tc>
        <w:tc>
          <w:tcPr>
            <w:tcW w:w="1181" w:type="pct"/>
            <w:tcBorders>
              <w:left w:val="single" w:color="auto" w:sz="4" w:space="0"/>
              <w:right w:val="single" w:color="auto" w:sz="4" w:space="0"/>
            </w:tcBorders>
            <w:vAlign w:val="center"/>
          </w:tcPr>
          <w:p w14:paraId="7F2AE444">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3.5</w:t>
            </w:r>
          </w:p>
        </w:tc>
        <w:tc>
          <w:tcPr>
            <w:tcW w:w="1122" w:type="pct"/>
            <w:vMerge w:val="continue"/>
            <w:tcBorders>
              <w:left w:val="single" w:color="auto" w:sz="4" w:space="0"/>
              <w:right w:val="single" w:color="auto" w:sz="4" w:space="0"/>
            </w:tcBorders>
            <w:vAlign w:val="center"/>
          </w:tcPr>
          <w:p w14:paraId="1E7B78F5">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p>
        </w:tc>
      </w:tr>
      <w:tr w14:paraId="5ED26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 w:hRule="atLeast"/>
          <w:jc w:val="center"/>
        </w:trPr>
        <w:tc>
          <w:tcPr>
            <w:tcW w:w="1633" w:type="pct"/>
            <w:tcBorders>
              <w:top w:val="single" w:color="auto" w:sz="4" w:space="0"/>
              <w:left w:val="single" w:color="auto" w:sz="4" w:space="0"/>
              <w:bottom w:val="single" w:color="auto" w:sz="4" w:space="0"/>
              <w:right w:val="single" w:color="auto" w:sz="4" w:space="0"/>
            </w:tcBorders>
            <w:vAlign w:val="center"/>
          </w:tcPr>
          <w:p w14:paraId="4D75B5F4">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张沟涵</w:t>
            </w:r>
          </w:p>
        </w:tc>
        <w:tc>
          <w:tcPr>
            <w:tcW w:w="1063" w:type="pct"/>
            <w:tcBorders>
              <w:left w:val="single" w:color="auto" w:sz="4" w:space="0"/>
              <w:right w:val="single" w:color="auto" w:sz="4" w:space="0"/>
            </w:tcBorders>
            <w:vAlign w:val="center"/>
          </w:tcPr>
          <w:p w14:paraId="54AB43C1">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p>
        </w:tc>
        <w:tc>
          <w:tcPr>
            <w:tcW w:w="1181" w:type="pct"/>
            <w:tcBorders>
              <w:left w:val="single" w:color="auto" w:sz="4" w:space="0"/>
              <w:right w:val="single" w:color="auto" w:sz="4" w:space="0"/>
            </w:tcBorders>
            <w:vAlign w:val="center"/>
          </w:tcPr>
          <w:p w14:paraId="318ECF56">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3.5</w:t>
            </w:r>
          </w:p>
        </w:tc>
        <w:tc>
          <w:tcPr>
            <w:tcW w:w="1122" w:type="pct"/>
            <w:vMerge w:val="continue"/>
            <w:tcBorders>
              <w:left w:val="single" w:color="auto" w:sz="4" w:space="0"/>
              <w:right w:val="single" w:color="auto" w:sz="4" w:space="0"/>
            </w:tcBorders>
            <w:vAlign w:val="center"/>
          </w:tcPr>
          <w:p w14:paraId="67C9B66A">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p>
        </w:tc>
      </w:tr>
      <w:tr w14:paraId="66E10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6" w:hRule="atLeast"/>
          <w:jc w:val="center"/>
        </w:trPr>
        <w:tc>
          <w:tcPr>
            <w:tcW w:w="1633" w:type="pct"/>
            <w:tcBorders>
              <w:top w:val="single" w:color="auto" w:sz="4" w:space="0"/>
              <w:left w:val="single" w:color="auto" w:sz="4" w:space="0"/>
              <w:bottom w:val="single" w:color="auto" w:sz="4" w:space="0"/>
              <w:right w:val="single" w:color="auto" w:sz="4" w:space="0"/>
            </w:tcBorders>
            <w:vAlign w:val="center"/>
          </w:tcPr>
          <w:p w14:paraId="73ADB6A8">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吴沟涵</w:t>
            </w:r>
          </w:p>
        </w:tc>
        <w:tc>
          <w:tcPr>
            <w:tcW w:w="1063" w:type="pct"/>
            <w:tcBorders>
              <w:left w:val="single" w:color="auto" w:sz="4" w:space="0"/>
              <w:right w:val="single" w:color="auto" w:sz="4" w:space="0"/>
            </w:tcBorders>
            <w:vAlign w:val="center"/>
          </w:tcPr>
          <w:p w14:paraId="1390C98D">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w:t>
            </w:r>
          </w:p>
        </w:tc>
        <w:tc>
          <w:tcPr>
            <w:tcW w:w="1181" w:type="pct"/>
            <w:tcBorders>
              <w:left w:val="single" w:color="auto" w:sz="4" w:space="0"/>
              <w:right w:val="single" w:color="auto" w:sz="4" w:space="0"/>
            </w:tcBorders>
            <w:vAlign w:val="center"/>
          </w:tcPr>
          <w:p w14:paraId="334AE4D1">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3.0</w:t>
            </w:r>
          </w:p>
        </w:tc>
        <w:tc>
          <w:tcPr>
            <w:tcW w:w="1122" w:type="pct"/>
            <w:vMerge w:val="continue"/>
            <w:tcBorders>
              <w:left w:val="single" w:color="auto" w:sz="4" w:space="0"/>
              <w:right w:val="single" w:color="auto" w:sz="4" w:space="0"/>
            </w:tcBorders>
            <w:vAlign w:val="center"/>
          </w:tcPr>
          <w:p w14:paraId="05580CF6">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p>
        </w:tc>
      </w:tr>
      <w:tr w14:paraId="3985A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4" w:hRule="atLeast"/>
          <w:jc w:val="center"/>
        </w:trPr>
        <w:tc>
          <w:tcPr>
            <w:tcW w:w="1633" w:type="pct"/>
            <w:tcBorders>
              <w:top w:val="single" w:color="auto" w:sz="4" w:space="0"/>
              <w:left w:val="single" w:color="auto" w:sz="4" w:space="0"/>
              <w:bottom w:val="single" w:color="auto" w:sz="4" w:space="0"/>
              <w:right w:val="single" w:color="auto" w:sz="4" w:space="0"/>
            </w:tcBorders>
            <w:vAlign w:val="center"/>
          </w:tcPr>
          <w:p w14:paraId="79F89ED9">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丁花沟涵</w:t>
            </w:r>
          </w:p>
        </w:tc>
        <w:tc>
          <w:tcPr>
            <w:tcW w:w="1063" w:type="pct"/>
            <w:tcBorders>
              <w:left w:val="single" w:color="auto" w:sz="4" w:space="0"/>
              <w:bottom w:val="single" w:color="auto" w:sz="4" w:space="0"/>
              <w:right w:val="single" w:color="auto" w:sz="4" w:space="0"/>
            </w:tcBorders>
            <w:vAlign w:val="center"/>
          </w:tcPr>
          <w:p w14:paraId="3757F801">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w:t>
            </w:r>
          </w:p>
        </w:tc>
        <w:tc>
          <w:tcPr>
            <w:tcW w:w="1181" w:type="pct"/>
            <w:tcBorders>
              <w:left w:val="single" w:color="auto" w:sz="4" w:space="0"/>
              <w:bottom w:val="single" w:color="auto" w:sz="4" w:space="0"/>
              <w:right w:val="single" w:color="auto" w:sz="4" w:space="0"/>
            </w:tcBorders>
            <w:vAlign w:val="center"/>
          </w:tcPr>
          <w:p w14:paraId="35A5ACB2">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3.5</w:t>
            </w:r>
          </w:p>
        </w:tc>
        <w:tc>
          <w:tcPr>
            <w:tcW w:w="1122" w:type="pct"/>
            <w:vMerge w:val="continue"/>
            <w:tcBorders>
              <w:left w:val="single" w:color="auto" w:sz="4" w:space="0"/>
              <w:right w:val="single" w:color="auto" w:sz="4" w:space="0"/>
            </w:tcBorders>
            <w:vAlign w:val="center"/>
          </w:tcPr>
          <w:p w14:paraId="4CC46A1A">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p>
        </w:tc>
      </w:tr>
      <w:tr w14:paraId="433C0B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4" w:hRule="atLeast"/>
          <w:jc w:val="center"/>
        </w:trPr>
        <w:tc>
          <w:tcPr>
            <w:tcW w:w="1633" w:type="pct"/>
            <w:tcBorders>
              <w:top w:val="single" w:color="auto" w:sz="4" w:space="0"/>
              <w:left w:val="single" w:color="auto" w:sz="4" w:space="0"/>
              <w:bottom w:val="single" w:color="auto" w:sz="4" w:space="0"/>
              <w:right w:val="single" w:color="auto" w:sz="4" w:space="0"/>
            </w:tcBorders>
            <w:vAlign w:val="center"/>
          </w:tcPr>
          <w:p w14:paraId="2B3B8240">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郎庙涵</w:t>
            </w:r>
          </w:p>
        </w:tc>
        <w:tc>
          <w:tcPr>
            <w:tcW w:w="1063" w:type="pct"/>
            <w:tcBorders>
              <w:top w:val="single" w:color="auto" w:sz="4" w:space="0"/>
              <w:left w:val="single" w:color="auto" w:sz="4" w:space="0"/>
              <w:bottom w:val="single" w:color="auto" w:sz="4" w:space="0"/>
              <w:right w:val="single" w:color="auto" w:sz="4" w:space="0"/>
            </w:tcBorders>
            <w:vAlign w:val="center"/>
          </w:tcPr>
          <w:p w14:paraId="5D3BEE1F">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p>
        </w:tc>
        <w:tc>
          <w:tcPr>
            <w:tcW w:w="1181" w:type="pct"/>
            <w:tcBorders>
              <w:top w:val="single" w:color="auto" w:sz="4" w:space="0"/>
              <w:left w:val="single" w:color="auto" w:sz="4" w:space="0"/>
              <w:bottom w:val="single" w:color="auto" w:sz="4" w:space="0"/>
              <w:right w:val="single" w:color="auto" w:sz="4" w:space="0"/>
            </w:tcBorders>
            <w:vAlign w:val="center"/>
          </w:tcPr>
          <w:p w14:paraId="21F45897">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1.2</w:t>
            </w:r>
          </w:p>
        </w:tc>
        <w:tc>
          <w:tcPr>
            <w:tcW w:w="1122" w:type="pct"/>
            <w:vMerge w:val="continue"/>
            <w:tcBorders>
              <w:left w:val="single" w:color="auto" w:sz="4" w:space="0"/>
              <w:bottom w:val="single" w:color="auto" w:sz="4" w:space="0"/>
              <w:right w:val="single" w:color="auto" w:sz="4" w:space="0"/>
            </w:tcBorders>
            <w:vAlign w:val="center"/>
          </w:tcPr>
          <w:p w14:paraId="65DB8D3E">
            <w:pPr>
              <w:spacing w:line="5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p>
        </w:tc>
      </w:tr>
    </w:tbl>
    <w:p w14:paraId="3CA6F72A">
      <w:pPr>
        <w:adjustRightInd w:val="0"/>
        <w:snapToGrid w:val="0"/>
        <w:spacing w:line="560" w:lineRule="exact"/>
        <w:ind w:firstLine="482" w:firstLineChars="200"/>
        <w:jc w:val="left"/>
        <w:outlineLvl w:val="1"/>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四、报价要求</w:t>
      </w:r>
      <w:bookmarkEnd w:id="69"/>
      <w:bookmarkEnd w:id="70"/>
    </w:p>
    <w:p w14:paraId="1D98AFBA">
      <w:pPr>
        <w:spacing w:line="560" w:lineRule="exact"/>
        <w:ind w:firstLine="480" w:firstLineChars="200"/>
        <w:rPr>
          <w:rFonts w:hint="eastAsia" w:ascii="宋体" w:hAnsi="宋体" w:eastAsia="宋体" w:cs="宋体"/>
          <w:b/>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采用单项总价承包方式，报价包含履行合同内容而发生的包括但不限于差旅费、人员补助费、</w:t>
      </w:r>
      <w:r>
        <w:rPr>
          <w:rFonts w:hint="eastAsia" w:ascii="宋体" w:hAnsi="宋体" w:eastAsia="宋体" w:cs="宋体"/>
          <w:b/>
          <w:bCs/>
          <w:color w:val="000000" w:themeColor="text1"/>
          <w:sz w:val="24"/>
          <w:szCs w:val="24"/>
          <w:highlight w:val="none"/>
          <w14:textFill>
            <w14:solidFill>
              <w14:schemeClr w14:val="tx1"/>
            </w14:solidFill>
          </w14:textFill>
        </w:rPr>
        <w:t>涵闸上下游围堰填筑及拆除清理、检修门安装拆除等临时工程费</w:t>
      </w:r>
      <w:r>
        <w:rPr>
          <w:rFonts w:hint="eastAsia" w:ascii="宋体" w:hAnsi="宋体" w:eastAsia="宋体" w:cs="宋体"/>
          <w:color w:val="000000" w:themeColor="text1"/>
          <w:sz w:val="24"/>
          <w:szCs w:val="24"/>
          <w:highlight w:val="none"/>
          <w14:textFill>
            <w14:solidFill>
              <w14:schemeClr w14:val="tx1"/>
            </w14:solidFill>
          </w14:textFill>
        </w:rPr>
        <w:t>和成果评审（论证）会议等涉及项目相关的所有费用，以及合同明示或暗示的所有责任、义务和一般风险。</w:t>
      </w:r>
    </w:p>
    <w:p w14:paraId="5AE9CED5">
      <w:pPr>
        <w:adjustRightInd w:val="0"/>
        <w:snapToGrid w:val="0"/>
        <w:spacing w:line="560" w:lineRule="exact"/>
        <w:ind w:firstLine="437"/>
        <w:rPr>
          <w:rFonts w:hint="eastAsia" w:ascii="宋体" w:hAnsi="宋体" w:eastAsia="宋体" w:cs="宋体"/>
          <w:bCs/>
          <w:color w:val="000000" w:themeColor="text1"/>
          <w:sz w:val="24"/>
          <w:szCs w:val="18"/>
          <w:highlight w:val="none"/>
          <w14:textFill>
            <w14:solidFill>
              <w14:schemeClr w14:val="tx1"/>
            </w14:solidFill>
          </w14:textFill>
        </w:rPr>
      </w:pPr>
      <w:r>
        <w:rPr>
          <w:rFonts w:hint="eastAsia" w:ascii="宋体" w:hAnsi="宋体" w:eastAsia="宋体" w:cs="宋体"/>
          <w:bCs/>
          <w:color w:val="000000" w:themeColor="text1"/>
          <w:sz w:val="24"/>
          <w:szCs w:val="18"/>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18"/>
          <w:highlight w:val="none"/>
          <w14:textFill>
            <w14:solidFill>
              <w14:schemeClr w14:val="tx1"/>
            </w14:solidFill>
          </w14:textFill>
        </w:rPr>
        <w:t>报价表中所有的报价栏均由供应商填报。报价货币为人民币。若供应商对某些项目未填报的，则认为已包括在其它项目的报价内。</w:t>
      </w:r>
    </w:p>
    <w:p w14:paraId="7579DB40">
      <w:pPr>
        <w:adjustRightInd w:val="0"/>
        <w:snapToGrid w:val="0"/>
        <w:spacing w:line="560" w:lineRule="exact"/>
        <w:ind w:firstLine="437"/>
        <w:rPr>
          <w:rFonts w:hint="eastAsia" w:ascii="宋体" w:hAnsi="宋体" w:eastAsia="宋体" w:cs="宋体"/>
          <w:bCs/>
          <w:color w:val="000000" w:themeColor="text1"/>
          <w:sz w:val="24"/>
          <w:szCs w:val="18"/>
          <w:highlight w:val="none"/>
          <w14:textFill>
            <w14:solidFill>
              <w14:schemeClr w14:val="tx1"/>
            </w14:solidFill>
          </w14:textFill>
        </w:rPr>
      </w:pPr>
      <w:r>
        <w:rPr>
          <w:rFonts w:hint="eastAsia" w:ascii="宋体" w:hAnsi="宋体" w:eastAsia="宋体" w:cs="宋体"/>
          <w:bCs/>
          <w:color w:val="000000" w:themeColor="text1"/>
          <w:sz w:val="24"/>
          <w:szCs w:val="18"/>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18"/>
          <w:highlight w:val="none"/>
          <w14:textFill>
            <w14:solidFill>
              <w14:schemeClr w14:val="tx1"/>
            </w14:solidFill>
          </w14:textFill>
        </w:rPr>
        <w:t>报价表中各项目的工作内容和要求的规定详见采购需求有关部分。</w:t>
      </w:r>
    </w:p>
    <w:p w14:paraId="009A8CC2">
      <w:pPr>
        <w:adjustRightInd w:val="0"/>
        <w:snapToGrid w:val="0"/>
        <w:spacing w:line="560" w:lineRule="exact"/>
        <w:ind w:firstLine="437"/>
        <w:rPr>
          <w:rFonts w:hint="eastAsia" w:ascii="宋体" w:hAnsi="宋体" w:eastAsia="宋体" w:cs="宋体"/>
          <w:b/>
          <w:bCs w:val="0"/>
          <w:color w:val="000000" w:themeColor="text1"/>
          <w:sz w:val="24"/>
          <w:szCs w:val="18"/>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18"/>
          <w:highlight w:val="none"/>
          <w:lang w:val="en-US" w:eastAsia="zh-CN"/>
          <w14:textFill>
            <w14:solidFill>
              <w14:schemeClr w14:val="tx1"/>
            </w14:solidFill>
          </w14:textFill>
        </w:rPr>
        <w:t>4.本项目需对所涉及涵闸的全部闸门及启闭机金属结构、机电设备等进行检测、复核计算及评价等。</w:t>
      </w:r>
    </w:p>
    <w:bookmarkEnd w:id="66"/>
    <w:p w14:paraId="558EB7DF">
      <w:pPr>
        <w:rPr>
          <w:rFonts w:hint="eastAsia" w:ascii="宋体" w:hAnsi="宋体" w:eastAsia="宋体" w:cs="宋体"/>
          <w:color w:val="000000" w:themeColor="text1"/>
          <w:szCs w:val="21"/>
          <w:highlight w:val="none"/>
          <w14:textFill>
            <w14:solidFill>
              <w14:schemeClr w14:val="tx1"/>
            </w14:solidFill>
          </w14:textFill>
        </w:rPr>
      </w:pPr>
    </w:p>
    <w:p w14:paraId="48BAD0A5">
      <w:pPr>
        <w:spacing w:line="360" w:lineRule="auto"/>
        <w:jc w:val="center"/>
        <w:outlineLvl w:val="0"/>
        <w:rPr>
          <w:rFonts w:hint="eastAsia" w:ascii="宋体" w:hAnsi="宋体" w:eastAsia="宋体" w:cs="宋体"/>
          <w:b/>
          <w:color w:val="000000" w:themeColor="text1"/>
          <w:sz w:val="28"/>
          <w:highlight w:val="none"/>
          <w14:textFill>
            <w14:solidFill>
              <w14:schemeClr w14:val="tx1"/>
            </w14:solidFill>
          </w14:textFill>
        </w:rPr>
      </w:pPr>
      <w:bookmarkStart w:id="71" w:name="_Toc8668"/>
      <w:r>
        <w:rPr>
          <w:rFonts w:hint="eastAsia" w:ascii="宋体" w:hAnsi="宋体" w:eastAsia="宋体" w:cs="宋体"/>
          <w:b/>
          <w:color w:val="000000" w:themeColor="text1"/>
          <w:sz w:val="28"/>
          <w:highlight w:val="none"/>
          <w14:textFill>
            <w14:solidFill>
              <w14:schemeClr w14:val="tx1"/>
            </w14:solidFill>
          </w14:textFill>
        </w:rPr>
        <w:t>第四章  评审方法和标准</w:t>
      </w:r>
      <w:bookmarkEnd w:id="71"/>
    </w:p>
    <w:p w14:paraId="05AC01A1">
      <w:pPr>
        <w:spacing w:line="360" w:lineRule="auto"/>
        <w:ind w:firstLine="437"/>
        <w:outlineLvl w:val="1"/>
        <w:rPr>
          <w:rFonts w:hint="eastAsia" w:ascii="宋体" w:hAnsi="宋体" w:eastAsia="宋体" w:cs="宋体"/>
          <w:b/>
          <w:color w:val="000000" w:themeColor="text1"/>
          <w:sz w:val="24"/>
          <w:highlight w:val="none"/>
          <w14:textFill>
            <w14:solidFill>
              <w14:schemeClr w14:val="tx1"/>
            </w14:solidFill>
          </w14:textFill>
        </w:rPr>
      </w:pPr>
      <w:bookmarkStart w:id="72" w:name="_Toc12199"/>
      <w:bookmarkStart w:id="73" w:name="_Toc21211"/>
      <w:r>
        <w:rPr>
          <w:rFonts w:hint="eastAsia" w:ascii="宋体" w:hAnsi="宋体" w:eastAsia="宋体" w:cs="宋体"/>
          <w:b/>
          <w:color w:val="000000" w:themeColor="text1"/>
          <w:sz w:val="24"/>
          <w:highlight w:val="none"/>
          <w14:textFill>
            <w14:solidFill>
              <w14:schemeClr w14:val="tx1"/>
            </w14:solidFill>
          </w14:textFill>
        </w:rPr>
        <w:t>一、总则</w:t>
      </w:r>
      <w:bookmarkEnd w:id="72"/>
      <w:bookmarkEnd w:id="73"/>
    </w:p>
    <w:p w14:paraId="7318A416">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本项目将按照磋商文件第二章 供应商须知的相关要求及本章的规定评审。</w:t>
      </w:r>
    </w:p>
    <w:p w14:paraId="13968768">
      <w:pPr>
        <w:spacing w:line="360" w:lineRule="auto"/>
        <w:ind w:firstLine="437"/>
        <w:outlineLvl w:val="1"/>
        <w:rPr>
          <w:rFonts w:hint="eastAsia" w:ascii="宋体" w:hAnsi="宋体" w:eastAsia="宋体" w:cs="宋体"/>
          <w:b/>
          <w:color w:val="000000" w:themeColor="text1"/>
          <w:sz w:val="24"/>
          <w:highlight w:val="none"/>
          <w14:textFill>
            <w14:solidFill>
              <w14:schemeClr w14:val="tx1"/>
            </w14:solidFill>
          </w14:textFill>
        </w:rPr>
      </w:pPr>
      <w:bookmarkStart w:id="74" w:name="_Toc13039"/>
      <w:bookmarkStart w:id="75" w:name="_Toc16885"/>
      <w:r>
        <w:rPr>
          <w:rFonts w:hint="eastAsia" w:ascii="宋体" w:hAnsi="宋体" w:eastAsia="宋体" w:cs="宋体"/>
          <w:b/>
          <w:color w:val="000000" w:themeColor="text1"/>
          <w:sz w:val="24"/>
          <w:highlight w:val="none"/>
          <w14:textFill>
            <w14:solidFill>
              <w14:schemeClr w14:val="tx1"/>
            </w14:solidFill>
          </w14:textFill>
        </w:rPr>
        <w:t>二、评审方法</w:t>
      </w:r>
      <w:bookmarkEnd w:id="74"/>
      <w:bookmarkEnd w:id="75"/>
    </w:p>
    <w:p w14:paraId="4C0875E7">
      <w:pPr>
        <w:spacing w:line="360" w:lineRule="auto"/>
        <w:ind w:firstLine="435"/>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2.1初审</w:t>
      </w:r>
    </w:p>
    <w:p w14:paraId="4BC8A98B">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磋商小组对供应商的响应文件进行初审，以确定其是否满足磋商文件的实质性要求。初审表如下：</w:t>
      </w:r>
    </w:p>
    <w:tbl>
      <w:tblPr>
        <w:tblStyle w:val="23"/>
        <w:tblW w:w="55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363"/>
        <w:gridCol w:w="4579"/>
        <w:gridCol w:w="2819"/>
      </w:tblGrid>
      <w:tr w14:paraId="29E1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ADECA6D">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初审表</w:t>
            </w:r>
          </w:p>
        </w:tc>
      </w:tr>
      <w:tr w14:paraId="6E51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41" w:type="pct"/>
            <w:tcBorders>
              <w:bottom w:val="single" w:color="auto" w:sz="4" w:space="0"/>
            </w:tcBorders>
            <w:vAlign w:val="center"/>
          </w:tcPr>
          <w:p w14:paraId="5453ECA2">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序号</w:t>
            </w:r>
          </w:p>
        </w:tc>
        <w:tc>
          <w:tcPr>
            <w:tcW w:w="725" w:type="pct"/>
            <w:tcBorders>
              <w:bottom w:val="single" w:color="auto" w:sz="4" w:space="0"/>
            </w:tcBorders>
            <w:vAlign w:val="center"/>
          </w:tcPr>
          <w:p w14:paraId="0665B707">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审查指标</w:t>
            </w:r>
          </w:p>
        </w:tc>
        <w:tc>
          <w:tcPr>
            <w:tcW w:w="2435" w:type="pct"/>
            <w:tcBorders>
              <w:bottom w:val="single" w:color="auto" w:sz="4" w:space="0"/>
            </w:tcBorders>
            <w:vAlign w:val="center"/>
          </w:tcPr>
          <w:p w14:paraId="6F9E58F1">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审查标准</w:t>
            </w:r>
          </w:p>
        </w:tc>
        <w:tc>
          <w:tcPr>
            <w:tcW w:w="1498" w:type="pct"/>
            <w:tcBorders>
              <w:bottom w:val="single" w:color="auto" w:sz="4" w:space="0"/>
            </w:tcBorders>
            <w:vAlign w:val="center"/>
          </w:tcPr>
          <w:p w14:paraId="42EA6A4D">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格式要求</w:t>
            </w:r>
          </w:p>
        </w:tc>
      </w:tr>
      <w:tr w14:paraId="1513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41" w:type="pct"/>
            <w:tcBorders>
              <w:bottom w:val="single" w:color="auto" w:sz="4" w:space="0"/>
            </w:tcBorders>
            <w:vAlign w:val="center"/>
          </w:tcPr>
          <w:p w14:paraId="76C68885">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725" w:type="pct"/>
            <w:tcBorders>
              <w:bottom w:val="single" w:color="auto" w:sz="4" w:space="0"/>
            </w:tcBorders>
            <w:vAlign w:val="center"/>
          </w:tcPr>
          <w:p w14:paraId="0B996409">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营业执照等证明文件</w:t>
            </w:r>
          </w:p>
        </w:tc>
        <w:tc>
          <w:tcPr>
            <w:tcW w:w="2435" w:type="pct"/>
            <w:tcBorders>
              <w:bottom w:val="single" w:color="auto" w:sz="4" w:space="0"/>
            </w:tcBorders>
            <w:vAlign w:val="center"/>
          </w:tcPr>
          <w:p w14:paraId="0957DD8E">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（1）供应商为企业（包括合伙企业）的，应提供有效的营业执照；</w:t>
            </w:r>
          </w:p>
          <w:p w14:paraId="393F4939">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（2）供应商为事业单位的，应提供有效的事业单位法人证书；</w:t>
            </w:r>
          </w:p>
          <w:p w14:paraId="363C9B50">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（3）供应商是非企业机构的，应提供有效的执业许可证或登记证书等证明文件；</w:t>
            </w:r>
          </w:p>
        </w:tc>
        <w:tc>
          <w:tcPr>
            <w:tcW w:w="1498" w:type="pct"/>
            <w:vAlign w:val="center"/>
          </w:tcPr>
          <w:p w14:paraId="1CCEB33E">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提供材料扫描件或电子证照，应完整的体现出材料或电子证照全部内容</w:t>
            </w:r>
            <w:r>
              <w:rPr>
                <w:rFonts w:hint="eastAsia" w:ascii="宋体" w:hAnsi="宋体" w:eastAsia="宋体" w:cs="宋体"/>
                <w:b/>
                <w:bCs/>
                <w:color w:val="000000" w:themeColor="text1"/>
                <w:sz w:val="24"/>
                <w:szCs w:val="24"/>
                <w:highlight w:val="none"/>
                <w14:textFill>
                  <w14:solidFill>
                    <w14:schemeClr w14:val="tx1"/>
                  </w14:solidFill>
                </w14:textFill>
              </w:rPr>
              <w:t>。</w:t>
            </w:r>
            <w:bookmarkStart w:id="76" w:name="OLE_LINK23"/>
            <w:r>
              <w:rPr>
                <w:rFonts w:hint="eastAsia" w:ascii="宋体" w:hAnsi="宋体" w:eastAsia="宋体" w:cs="宋体"/>
                <w:b/>
                <w:bCs/>
                <w:color w:val="000000" w:themeColor="text1"/>
                <w:sz w:val="24"/>
                <w:szCs w:val="24"/>
                <w:highlight w:val="none"/>
                <w14:textFill>
                  <w14:solidFill>
                    <w14:schemeClr w14:val="tx1"/>
                  </w14:solidFill>
                </w14:textFill>
              </w:rPr>
              <w:t>联合体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b/>
                <w:bCs/>
                <w:color w:val="000000" w:themeColor="text1"/>
                <w:sz w:val="24"/>
                <w:szCs w:val="24"/>
                <w:highlight w:val="none"/>
                <w14:textFill>
                  <w14:solidFill>
                    <w14:schemeClr w14:val="tx1"/>
                  </w14:solidFill>
                </w14:textFill>
              </w:rPr>
              <w:t>的联合体各方均须提供。</w:t>
            </w:r>
            <w:bookmarkEnd w:id="76"/>
          </w:p>
        </w:tc>
      </w:tr>
      <w:tr w14:paraId="7B8B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41" w:type="pct"/>
            <w:tcBorders>
              <w:bottom w:val="single" w:color="auto" w:sz="4" w:space="0"/>
            </w:tcBorders>
            <w:vAlign w:val="center"/>
          </w:tcPr>
          <w:p w14:paraId="30BBA1D8">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725" w:type="pct"/>
            <w:tcBorders>
              <w:bottom w:val="single" w:color="auto" w:sz="4" w:space="0"/>
            </w:tcBorders>
            <w:vAlign w:val="center"/>
          </w:tcPr>
          <w:p w14:paraId="1397C633">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供应商资格声明书</w:t>
            </w:r>
          </w:p>
        </w:tc>
        <w:tc>
          <w:tcPr>
            <w:tcW w:w="2435" w:type="pct"/>
            <w:tcBorders>
              <w:bottom w:val="single" w:color="auto" w:sz="4" w:space="0"/>
            </w:tcBorders>
            <w:vAlign w:val="center"/>
          </w:tcPr>
          <w:p w14:paraId="3EAA7FC0">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提供符合磋商文件要求的《供应商资格声明书》。</w:t>
            </w:r>
          </w:p>
        </w:tc>
        <w:tc>
          <w:tcPr>
            <w:tcW w:w="1498" w:type="pct"/>
            <w:vAlign w:val="center"/>
          </w:tcPr>
          <w:p w14:paraId="50C3298C">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详见第六章响应文件格式。</w:t>
            </w:r>
            <w:r>
              <w:rPr>
                <w:rFonts w:hint="eastAsia" w:ascii="宋体" w:hAnsi="宋体" w:eastAsia="宋体" w:cs="宋体"/>
                <w:b/>
                <w:bCs/>
                <w:color w:val="000000" w:themeColor="text1"/>
                <w:sz w:val="24"/>
                <w:szCs w:val="24"/>
                <w:highlight w:val="none"/>
                <w14:textFill>
                  <w14:solidFill>
                    <w14:schemeClr w14:val="tx1"/>
                  </w14:solidFill>
                </w14:textFill>
              </w:rPr>
              <w:t>联合体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b/>
                <w:bCs/>
                <w:color w:val="000000" w:themeColor="text1"/>
                <w:sz w:val="24"/>
                <w:szCs w:val="24"/>
                <w:highlight w:val="none"/>
                <w14:textFill>
                  <w14:solidFill>
                    <w14:schemeClr w14:val="tx1"/>
                  </w14:solidFill>
                </w14:textFill>
              </w:rPr>
              <w:t>的联合体各方均须提供。</w:t>
            </w:r>
          </w:p>
        </w:tc>
      </w:tr>
      <w:tr w14:paraId="6018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tcBorders>
              <w:bottom w:val="single" w:color="auto" w:sz="4" w:space="0"/>
            </w:tcBorders>
            <w:vAlign w:val="center"/>
          </w:tcPr>
          <w:p w14:paraId="1352AC7B">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725" w:type="pct"/>
            <w:tcBorders>
              <w:bottom w:val="single" w:color="auto" w:sz="4" w:space="0"/>
            </w:tcBorders>
            <w:vAlign w:val="center"/>
          </w:tcPr>
          <w:p w14:paraId="7BD4B24D">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供应商信用记录</w:t>
            </w:r>
          </w:p>
        </w:tc>
        <w:tc>
          <w:tcPr>
            <w:tcW w:w="2435" w:type="pct"/>
            <w:tcBorders>
              <w:bottom w:val="single" w:color="auto" w:sz="4" w:space="0"/>
            </w:tcBorders>
            <w:vAlign w:val="center"/>
          </w:tcPr>
          <w:p w14:paraId="3DA6B107">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（如为联合体，包括联合体各方）</w:t>
            </w:r>
            <w:r>
              <w:rPr>
                <w:rFonts w:hint="eastAsia" w:ascii="宋体" w:hAnsi="宋体" w:eastAsia="宋体" w:cs="宋体"/>
                <w:color w:val="000000" w:themeColor="text1"/>
                <w:sz w:val="24"/>
                <w:szCs w:val="24"/>
                <w:highlight w:val="none"/>
                <w:lang w:val="zh-CN"/>
                <w14:textFill>
                  <w14:solidFill>
                    <w14:schemeClr w14:val="tx1"/>
                  </w14:solidFill>
                </w14:textFill>
              </w:rPr>
              <w:t>不得存在</w:t>
            </w: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lang w:val="zh-CN"/>
                <w14:textFill>
                  <w14:solidFill>
                    <w14:schemeClr w14:val="tx1"/>
                  </w14:solidFill>
                </w14:textFill>
              </w:rPr>
              <w:t>须知正文第1</w:t>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3条中的不良信用记录情形</w:t>
            </w:r>
          </w:p>
        </w:tc>
        <w:tc>
          <w:tcPr>
            <w:tcW w:w="1498" w:type="pct"/>
            <w:tcBorders>
              <w:bottom w:val="single" w:color="auto" w:sz="4" w:space="0"/>
            </w:tcBorders>
            <w:vAlign w:val="center"/>
          </w:tcPr>
          <w:p w14:paraId="26ED1814">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无须供应商提供，由采购人或采购代理机构查询。</w:t>
            </w:r>
          </w:p>
        </w:tc>
      </w:tr>
      <w:tr w14:paraId="44C5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Align w:val="center"/>
          </w:tcPr>
          <w:p w14:paraId="67D02282">
            <w:pPr>
              <w:spacing w:after="50" w:line="240" w:lineRule="auto"/>
              <w:ind w:right="-1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1363" w:type="dxa"/>
            <w:vAlign w:val="center"/>
          </w:tcPr>
          <w:p w14:paraId="1B4BFC65">
            <w:pPr>
              <w:spacing w:after="50" w:line="240" w:lineRule="auto"/>
              <w:ind w:right="-10" w:right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本项目对于联合体的要求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tc>
        <w:tc>
          <w:tcPr>
            <w:tcW w:w="4579" w:type="dxa"/>
            <w:vAlign w:val="center"/>
          </w:tcPr>
          <w:p w14:paraId="76CF82A6">
            <w:pPr>
              <w:spacing w:after="50" w:line="240" w:lineRule="auto"/>
              <w:ind w:right="-10" w:right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联合体磋商的详见供应商</w:t>
            </w:r>
            <w:r>
              <w:rPr>
                <w:rFonts w:hint="eastAsia" w:ascii="宋体" w:hAnsi="宋体" w:eastAsia="宋体" w:cs="宋体"/>
                <w:color w:val="000000" w:themeColor="text1"/>
                <w:sz w:val="24"/>
                <w:szCs w:val="24"/>
                <w:highlight w:val="none"/>
                <w:lang w:val="zh-CN" w:eastAsia="zh-CN"/>
                <w14:textFill>
                  <w14:solidFill>
                    <w14:schemeClr w14:val="tx1"/>
                  </w14:solidFill>
                </w14:textFill>
              </w:rPr>
              <w:t>须知正文第</w:t>
            </w:r>
            <w:r>
              <w:rPr>
                <w:rFonts w:hint="eastAsia" w:ascii="宋体" w:hAnsi="宋体" w:eastAsia="宋体" w:cs="宋体"/>
                <w:color w:val="000000" w:themeColor="text1"/>
                <w:sz w:val="24"/>
                <w:szCs w:val="24"/>
                <w:highlight w:val="none"/>
                <w:lang w:val="en-US" w:eastAsia="zh-CN"/>
                <w14:textFill>
                  <w14:solidFill>
                    <w14:schemeClr w14:val="tx1"/>
                  </w14:solidFill>
                </w14:textFill>
              </w:rPr>
              <w:t>1.5，且提供《联合协议》。</w:t>
            </w:r>
          </w:p>
        </w:tc>
        <w:tc>
          <w:tcPr>
            <w:tcW w:w="2819" w:type="dxa"/>
            <w:vAlign w:val="center"/>
          </w:tcPr>
          <w:p w14:paraId="18B6B45F">
            <w:pPr>
              <w:spacing w:after="50" w:line="240" w:lineRule="auto"/>
              <w:ind w:right="-10" w:right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《联合协议》</w:t>
            </w:r>
            <w:r>
              <w:rPr>
                <w:rFonts w:hint="eastAsia" w:ascii="宋体" w:hAnsi="宋体" w:eastAsia="宋体" w:cs="宋体"/>
                <w:color w:val="000000" w:themeColor="text1"/>
                <w:sz w:val="24"/>
                <w:szCs w:val="24"/>
                <w:highlight w:val="none"/>
                <w14:textFill>
                  <w14:solidFill>
                    <w14:schemeClr w14:val="tx1"/>
                  </w14:solidFill>
                </w14:textFill>
              </w:rPr>
              <w:t>详见第六章</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文件格式</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r w14:paraId="5CBB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vAlign w:val="center"/>
          </w:tcPr>
          <w:p w14:paraId="3ED6EEA8">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725" w:type="pct"/>
            <w:vAlign w:val="center"/>
          </w:tcPr>
          <w:p w14:paraId="0FE465D4">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供应商其他特定资格要求</w:t>
            </w:r>
          </w:p>
        </w:tc>
        <w:tc>
          <w:tcPr>
            <w:tcW w:w="4579" w:type="dxa"/>
            <w:vAlign w:val="center"/>
          </w:tcPr>
          <w:p w14:paraId="058B0E9E">
            <w:pPr>
              <w:spacing w:after="50" w:line="240" w:lineRule="auto"/>
              <w:ind w:right="-10" w:right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资质证书</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提供满足供应商资格中本项目的特定资格要求的资质证书扫描件。</w:t>
            </w:r>
          </w:p>
        </w:tc>
        <w:tc>
          <w:tcPr>
            <w:tcW w:w="2819" w:type="dxa"/>
            <w:vAlign w:val="center"/>
          </w:tcPr>
          <w:p w14:paraId="7AAF43F5">
            <w:pPr>
              <w:spacing w:after="50" w:line="240" w:lineRule="auto"/>
              <w:ind w:right="-10" w:right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提供</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材料</w:t>
            </w:r>
            <w:r>
              <w:rPr>
                <w:rFonts w:hint="eastAsia" w:ascii="宋体" w:hAnsi="宋体" w:eastAsia="宋体" w:cs="宋体"/>
                <w:b w:val="0"/>
                <w:bCs w:val="0"/>
                <w:color w:val="000000" w:themeColor="text1"/>
                <w:sz w:val="24"/>
                <w:szCs w:val="24"/>
                <w:highlight w:val="none"/>
                <w14:textFill>
                  <w14:solidFill>
                    <w14:schemeClr w14:val="tx1"/>
                  </w14:solidFill>
                </w14:textFill>
              </w:rPr>
              <w:t>扫描件</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或电子证照</w:t>
            </w:r>
            <w:r>
              <w:rPr>
                <w:rFonts w:hint="eastAsia" w:ascii="宋体" w:hAnsi="宋体" w:eastAsia="宋体" w:cs="宋体"/>
                <w:b w:val="0"/>
                <w:bCs w:val="0"/>
                <w:color w:val="000000" w:themeColor="text1"/>
                <w:sz w:val="24"/>
                <w:szCs w:val="24"/>
                <w:highlight w:val="none"/>
                <w14:textFill>
                  <w14:solidFill>
                    <w14:schemeClr w14:val="tx1"/>
                  </w14:solidFill>
                </w14:textFill>
              </w:rPr>
              <w:t>，应完整的体现出</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材料或电子证照</w:t>
            </w:r>
            <w:r>
              <w:rPr>
                <w:rFonts w:hint="eastAsia" w:ascii="宋体" w:hAnsi="宋体" w:eastAsia="宋体" w:cs="宋体"/>
                <w:b w:val="0"/>
                <w:bCs w:val="0"/>
                <w:color w:val="000000" w:themeColor="text1"/>
                <w:sz w:val="24"/>
                <w:szCs w:val="24"/>
                <w:highlight w:val="none"/>
                <w14:textFill>
                  <w14:solidFill>
                    <w14:schemeClr w14:val="tx1"/>
                  </w14:solidFill>
                </w14:textFill>
              </w:rPr>
              <w:t>全部内容。</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联合体磋商的联合体各方根据第一章磋商邀请中的要求提供。</w:t>
            </w:r>
          </w:p>
        </w:tc>
      </w:tr>
      <w:tr w14:paraId="2015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vAlign w:val="center"/>
          </w:tcPr>
          <w:p w14:paraId="0D4B15C8">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725" w:type="pct"/>
            <w:vAlign w:val="center"/>
          </w:tcPr>
          <w:p w14:paraId="44B881A8">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磋商响应函</w:t>
            </w:r>
          </w:p>
        </w:tc>
        <w:tc>
          <w:tcPr>
            <w:tcW w:w="2435" w:type="pct"/>
            <w:vAlign w:val="center"/>
          </w:tcPr>
          <w:p w14:paraId="61658900">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格式、填写要求符合磋商文件规定并加盖供应商电子签章</w:t>
            </w:r>
          </w:p>
        </w:tc>
        <w:tc>
          <w:tcPr>
            <w:tcW w:w="1498" w:type="pct"/>
            <w:vAlign w:val="center"/>
          </w:tcPr>
          <w:p w14:paraId="3A93702C">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详见第六章响应文件格式。</w:t>
            </w:r>
          </w:p>
        </w:tc>
      </w:tr>
      <w:tr w14:paraId="0B67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vAlign w:val="center"/>
          </w:tcPr>
          <w:p w14:paraId="389E055E">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725" w:type="pct"/>
            <w:vAlign w:val="center"/>
          </w:tcPr>
          <w:p w14:paraId="523DCD66">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授权书</w:t>
            </w:r>
          </w:p>
        </w:tc>
        <w:tc>
          <w:tcPr>
            <w:tcW w:w="2435" w:type="pct"/>
            <w:vAlign w:val="center"/>
          </w:tcPr>
          <w:p w14:paraId="13F3B687">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格式、填写要求符合磋商文件规定并加盖供应商电子签章</w:t>
            </w:r>
          </w:p>
        </w:tc>
        <w:tc>
          <w:tcPr>
            <w:tcW w:w="1498" w:type="pct"/>
            <w:vAlign w:val="center"/>
          </w:tcPr>
          <w:p w14:paraId="210CCB43">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法定代表人参加磋商的无需此件，提供身份证明即可。详见第六章响应文件格式。</w:t>
            </w:r>
          </w:p>
        </w:tc>
      </w:tr>
      <w:tr w14:paraId="3D9D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vAlign w:val="center"/>
          </w:tcPr>
          <w:p w14:paraId="5FFE18EB">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725" w:type="pct"/>
            <w:vAlign w:val="center"/>
          </w:tcPr>
          <w:p w14:paraId="1CA1CB0C">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磋商报价</w:t>
            </w:r>
          </w:p>
        </w:tc>
        <w:tc>
          <w:tcPr>
            <w:tcW w:w="2435" w:type="pct"/>
            <w:vAlign w:val="center"/>
          </w:tcPr>
          <w:p w14:paraId="3276B08F">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符合磋商文件供应商须知正文第9条要求</w:t>
            </w:r>
          </w:p>
        </w:tc>
        <w:tc>
          <w:tcPr>
            <w:tcW w:w="1498" w:type="pct"/>
            <w:vAlign w:val="center"/>
          </w:tcPr>
          <w:p w14:paraId="6C8F9662">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详见第六章响应文件格式。</w:t>
            </w:r>
          </w:p>
        </w:tc>
      </w:tr>
      <w:tr w14:paraId="2148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341" w:type="pct"/>
            <w:vAlign w:val="center"/>
          </w:tcPr>
          <w:p w14:paraId="194DB06B">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p>
        </w:tc>
        <w:tc>
          <w:tcPr>
            <w:tcW w:w="725" w:type="pct"/>
            <w:vAlign w:val="center"/>
          </w:tcPr>
          <w:p w14:paraId="614493E8">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商务响应情况</w:t>
            </w:r>
          </w:p>
        </w:tc>
        <w:tc>
          <w:tcPr>
            <w:tcW w:w="2435" w:type="pct"/>
            <w:vAlign w:val="center"/>
          </w:tcPr>
          <w:p w14:paraId="34CF1086">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符合磋商文件采购需求中对付款方式、服务地点、服务期限等实质性要求</w:t>
            </w:r>
          </w:p>
        </w:tc>
        <w:tc>
          <w:tcPr>
            <w:tcW w:w="1498" w:type="pct"/>
            <w:vAlign w:val="center"/>
          </w:tcPr>
          <w:p w14:paraId="70BD58E2">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详见第六章响应文件格式。</w:t>
            </w:r>
          </w:p>
        </w:tc>
      </w:tr>
      <w:tr w14:paraId="533D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vAlign w:val="center"/>
          </w:tcPr>
          <w:p w14:paraId="382ADBBE">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p>
        </w:tc>
        <w:tc>
          <w:tcPr>
            <w:tcW w:w="725" w:type="pct"/>
            <w:vAlign w:val="center"/>
          </w:tcPr>
          <w:p w14:paraId="04EFBC3F">
            <w:pPr>
              <w:jc w:val="left"/>
              <w:rPr>
                <w:rFonts w:hint="eastAsia" w:ascii="宋体" w:hAnsi="宋体" w:eastAsia="宋体" w:cs="宋体"/>
                <w:color w:val="000000" w:themeColor="text1"/>
                <w:sz w:val="24"/>
                <w:szCs w:val="24"/>
                <w:highlight w:val="none"/>
                <w14:textFill>
                  <w14:solidFill>
                    <w14:schemeClr w14:val="tx1"/>
                  </w14:solidFill>
                </w14:textFill>
              </w:rPr>
            </w:pPr>
            <w:bookmarkStart w:id="277" w:name="_GoBack"/>
            <w:r>
              <w:rPr>
                <w:rFonts w:hint="eastAsia" w:ascii="宋体" w:hAnsi="宋体" w:eastAsia="宋体" w:cs="宋体"/>
                <w:color w:val="000000" w:themeColor="text1"/>
                <w:sz w:val="24"/>
                <w:szCs w:val="24"/>
                <w:highlight w:val="none"/>
                <w14:textFill>
                  <w14:solidFill>
                    <w14:schemeClr w14:val="tx1"/>
                  </w14:solidFill>
                </w14:textFill>
              </w:rPr>
              <w:t>技术响应情况</w:t>
            </w:r>
            <w:bookmarkEnd w:id="277"/>
          </w:p>
        </w:tc>
        <w:tc>
          <w:tcPr>
            <w:tcW w:w="2435" w:type="pct"/>
            <w:vAlign w:val="center"/>
          </w:tcPr>
          <w:p w14:paraId="522F7CB5">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符合磋商文件采购需求中货物技术参数等实质性要求</w:t>
            </w:r>
          </w:p>
        </w:tc>
        <w:tc>
          <w:tcPr>
            <w:tcW w:w="1498" w:type="pct"/>
            <w:vAlign w:val="center"/>
          </w:tcPr>
          <w:p w14:paraId="765BBA67">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详见第六章响应文件格式。</w:t>
            </w:r>
          </w:p>
        </w:tc>
      </w:tr>
      <w:tr w14:paraId="691F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vAlign w:val="center"/>
          </w:tcPr>
          <w:p w14:paraId="6367A37C">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p>
        </w:tc>
        <w:tc>
          <w:tcPr>
            <w:tcW w:w="725" w:type="pct"/>
            <w:vAlign w:val="center"/>
          </w:tcPr>
          <w:p w14:paraId="2409293C">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其他要求</w:t>
            </w:r>
          </w:p>
        </w:tc>
        <w:tc>
          <w:tcPr>
            <w:tcW w:w="2435" w:type="pct"/>
            <w:vAlign w:val="center"/>
          </w:tcPr>
          <w:p w14:paraId="261F7D96">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符合法律、行政法规规定的其他条件或磋商文件列明的其他实质性要求</w:t>
            </w:r>
          </w:p>
        </w:tc>
        <w:tc>
          <w:tcPr>
            <w:tcW w:w="1498" w:type="pct"/>
            <w:vAlign w:val="center"/>
          </w:tcPr>
          <w:p w14:paraId="75AB46E2">
            <w:pPr>
              <w:jc w:val="left"/>
              <w:rPr>
                <w:rFonts w:hint="eastAsia" w:ascii="宋体" w:hAnsi="宋体" w:eastAsia="宋体" w:cs="宋体"/>
                <w:color w:val="000000" w:themeColor="text1"/>
                <w:sz w:val="24"/>
                <w:szCs w:val="24"/>
                <w:highlight w:val="none"/>
                <w14:textFill>
                  <w14:solidFill>
                    <w14:schemeClr w14:val="tx1"/>
                  </w14:solidFill>
                </w14:textFill>
              </w:rPr>
            </w:pPr>
          </w:p>
        </w:tc>
      </w:tr>
    </w:tbl>
    <w:p w14:paraId="25CE8CA7">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初审指标通过标准：</w:t>
      </w:r>
      <w:r>
        <w:rPr>
          <w:rFonts w:hint="eastAsia" w:ascii="宋体" w:hAnsi="宋体" w:eastAsia="宋体" w:cs="宋体"/>
          <w:color w:val="000000" w:themeColor="text1"/>
          <w:sz w:val="24"/>
          <w:highlight w:val="none"/>
          <w14:textFill>
            <w14:solidFill>
              <w14:schemeClr w14:val="tx1"/>
            </w14:solidFill>
          </w14:textFill>
        </w:rPr>
        <w:t>供应商必须通过初审表中的全部评审指标。</w:t>
      </w:r>
    </w:p>
    <w:p w14:paraId="42B8971A">
      <w:pPr>
        <w:spacing w:line="360" w:lineRule="auto"/>
        <w:ind w:firstLine="435"/>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2.2综合评分</w:t>
      </w:r>
    </w:p>
    <w:p w14:paraId="4D0BB436">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2.2.1磋商小组按照下表对进入综合评分的所有供应商的响应文件进行综合评分。</w:t>
      </w:r>
    </w:p>
    <w:p w14:paraId="17B71EFC">
      <w:pPr>
        <w:spacing w:line="360" w:lineRule="auto"/>
        <w:ind w:firstLine="43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2.2.2本项目综合评分满分为100分，其中：技术资信分值占总分值的权重为</w:t>
      </w:r>
      <w:r>
        <w:rPr>
          <w:rFonts w:hint="eastAsia" w:ascii="宋体" w:hAnsi="宋体" w:eastAsia="宋体" w:cs="宋体"/>
          <w:color w:val="000000" w:themeColor="text1"/>
          <w:sz w:val="24"/>
          <w:highlight w:val="none"/>
          <w:u w:val="single"/>
          <w14:textFill>
            <w14:solidFill>
              <w14:schemeClr w14:val="tx1"/>
            </w14:solidFill>
          </w14:textFill>
        </w:rPr>
        <w:t>90</w:t>
      </w:r>
      <w:r>
        <w:rPr>
          <w:rFonts w:hint="eastAsia" w:ascii="宋体" w:hAnsi="宋体" w:eastAsia="宋体" w:cs="宋体"/>
          <w:color w:val="000000" w:themeColor="text1"/>
          <w:sz w:val="24"/>
          <w:highlight w:val="none"/>
          <w14:textFill>
            <w14:solidFill>
              <w14:schemeClr w14:val="tx1"/>
            </w14:solidFill>
          </w14:textFill>
        </w:rPr>
        <w:t>%，价格分值占总分值的权重为</w:t>
      </w:r>
      <w:r>
        <w:rPr>
          <w:rFonts w:hint="eastAsia" w:ascii="宋体" w:hAnsi="宋体" w:eastAsia="宋体" w:cs="宋体"/>
          <w:color w:val="000000" w:themeColor="text1"/>
          <w:sz w:val="24"/>
          <w:highlight w:val="none"/>
          <w:u w:val="single"/>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%。具体评分细则如下：</w:t>
      </w:r>
    </w:p>
    <w:tbl>
      <w:tblPr>
        <w:tblStyle w:val="23"/>
        <w:tblW w:w="55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1545"/>
        <w:gridCol w:w="5545"/>
        <w:gridCol w:w="1334"/>
      </w:tblGrid>
      <w:tr w14:paraId="3262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28" w:type="pct"/>
            <w:tcBorders>
              <w:top w:val="single" w:color="auto" w:sz="4" w:space="0"/>
              <w:left w:val="single" w:color="auto" w:sz="4" w:space="0"/>
              <w:bottom w:val="single" w:color="auto" w:sz="4" w:space="0"/>
              <w:right w:val="single" w:color="auto" w:sz="4" w:space="0"/>
            </w:tcBorders>
            <w:vAlign w:val="center"/>
          </w:tcPr>
          <w:p w14:paraId="1BC8DEBF">
            <w:pPr>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类别</w:t>
            </w:r>
          </w:p>
        </w:tc>
        <w:tc>
          <w:tcPr>
            <w:tcW w:w="820" w:type="pct"/>
            <w:tcBorders>
              <w:top w:val="single" w:color="auto" w:sz="4" w:space="0"/>
              <w:left w:val="single" w:color="auto" w:sz="4" w:space="0"/>
              <w:bottom w:val="single" w:color="auto" w:sz="4" w:space="0"/>
              <w:right w:val="single" w:color="auto" w:sz="4" w:space="0"/>
            </w:tcBorders>
            <w:vAlign w:val="center"/>
          </w:tcPr>
          <w:p w14:paraId="1AFCD82D">
            <w:pPr>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评分内容</w:t>
            </w:r>
          </w:p>
        </w:tc>
        <w:tc>
          <w:tcPr>
            <w:tcW w:w="2943" w:type="pct"/>
            <w:tcBorders>
              <w:top w:val="single" w:color="auto" w:sz="4" w:space="0"/>
              <w:left w:val="single" w:color="auto" w:sz="4" w:space="0"/>
              <w:bottom w:val="single" w:color="auto" w:sz="4" w:space="0"/>
              <w:right w:val="single" w:color="auto" w:sz="4" w:space="0"/>
            </w:tcBorders>
            <w:vAlign w:val="center"/>
          </w:tcPr>
          <w:p w14:paraId="6B91B029">
            <w:pPr>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评分标准</w:t>
            </w:r>
          </w:p>
        </w:tc>
        <w:tc>
          <w:tcPr>
            <w:tcW w:w="708" w:type="pct"/>
            <w:tcBorders>
              <w:top w:val="single" w:color="auto" w:sz="4" w:space="0"/>
              <w:left w:val="single" w:color="auto" w:sz="4" w:space="0"/>
              <w:bottom w:val="single" w:color="auto" w:sz="4" w:space="0"/>
              <w:right w:val="single" w:color="auto" w:sz="4" w:space="0"/>
            </w:tcBorders>
            <w:vAlign w:val="center"/>
          </w:tcPr>
          <w:p w14:paraId="465CBC30">
            <w:pPr>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分值范围</w:t>
            </w:r>
          </w:p>
        </w:tc>
      </w:tr>
      <w:tr w14:paraId="7E20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restart"/>
            <w:tcBorders>
              <w:top w:val="single" w:color="auto" w:sz="4" w:space="0"/>
              <w:left w:val="single" w:color="auto" w:sz="4" w:space="0"/>
              <w:right w:val="single" w:color="auto" w:sz="4" w:space="0"/>
            </w:tcBorders>
            <w:vAlign w:val="center"/>
          </w:tcPr>
          <w:p w14:paraId="42DE0057">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技术资信分</w:t>
            </w:r>
          </w:p>
          <w:p w14:paraId="3D98E167">
            <w:pPr>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90</w:t>
            </w:r>
            <w:r>
              <w:rPr>
                <w:rFonts w:hint="eastAsia" w:ascii="宋体" w:hAnsi="宋体" w:eastAsia="宋体" w:cs="宋体"/>
                <w:color w:val="000000" w:themeColor="text1"/>
                <w:szCs w:val="21"/>
                <w:highlight w:val="none"/>
                <w14:textFill>
                  <w14:solidFill>
                    <w14:schemeClr w14:val="tx1"/>
                  </w14:solidFill>
                </w14:textFill>
              </w:rPr>
              <w:t>分）</w:t>
            </w:r>
          </w:p>
        </w:tc>
        <w:tc>
          <w:tcPr>
            <w:tcW w:w="820" w:type="pct"/>
            <w:tcBorders>
              <w:top w:val="single" w:color="auto" w:sz="4" w:space="0"/>
              <w:left w:val="single" w:color="auto" w:sz="4" w:space="0"/>
              <w:bottom w:val="single" w:color="auto" w:sz="4" w:space="0"/>
              <w:right w:val="single" w:color="auto" w:sz="4" w:space="0"/>
            </w:tcBorders>
            <w:vAlign w:val="center"/>
          </w:tcPr>
          <w:p w14:paraId="343A905F">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供应商业绩</w:t>
            </w:r>
          </w:p>
        </w:tc>
        <w:tc>
          <w:tcPr>
            <w:tcW w:w="2943" w:type="pct"/>
            <w:tcBorders>
              <w:top w:val="single" w:color="auto" w:sz="4" w:space="0"/>
              <w:left w:val="single" w:color="auto" w:sz="4" w:space="0"/>
              <w:bottom w:val="single" w:color="auto" w:sz="4" w:space="0"/>
              <w:right w:val="single" w:color="auto" w:sz="4" w:space="0"/>
            </w:tcBorders>
            <w:vAlign w:val="center"/>
          </w:tcPr>
          <w:p w14:paraId="50B7E5DC">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202</w:t>
            </w:r>
            <w:r>
              <w:rPr>
                <w:rFonts w:hint="eastAsia" w:ascii="宋体" w:hAnsi="宋体" w:eastAsia="宋体" w:cs="宋体"/>
                <w:bCs/>
                <w:color w:val="000000" w:themeColor="text1"/>
                <w:szCs w:val="21"/>
                <w:highlight w:val="none"/>
                <w:lang w:val="en-US" w:eastAsia="zh-CN"/>
                <w14:textFill>
                  <w14:solidFill>
                    <w14:schemeClr w14:val="tx1"/>
                  </w14:solidFill>
                </w14:textFill>
              </w:rPr>
              <w:t>3</w:t>
            </w:r>
            <w:r>
              <w:rPr>
                <w:rFonts w:hint="eastAsia" w:ascii="宋体" w:hAnsi="宋体" w:eastAsia="宋体" w:cs="宋体"/>
                <w:bCs/>
                <w:color w:val="000000" w:themeColor="text1"/>
                <w:szCs w:val="21"/>
                <w:highlight w:val="none"/>
                <w14:textFill>
                  <w14:solidFill>
                    <w14:schemeClr w14:val="tx1"/>
                  </w14:solidFill>
                </w14:textFill>
              </w:rPr>
              <w:t>年1月1日以来（以合同签订时间为准），每提供一个水闸安全鉴定业绩的得</w:t>
            </w:r>
            <w:r>
              <w:rPr>
                <w:rFonts w:hint="eastAsia" w:ascii="宋体" w:hAnsi="宋体" w:eastAsia="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分，满分1</w:t>
            </w:r>
            <w:r>
              <w:rPr>
                <w:rFonts w:hint="eastAsia" w:ascii="宋体" w:hAnsi="宋体" w:eastAsia="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分。</w:t>
            </w:r>
          </w:p>
          <w:p w14:paraId="022EDA70">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注：业绩证明材料须同时提供①合同、②</w:t>
            </w:r>
            <w:r>
              <w:rPr>
                <w:rFonts w:hint="eastAsia" w:ascii="宋体" w:hAnsi="宋体" w:eastAsia="宋体" w:cs="宋体"/>
                <w:b/>
                <w:color w:val="000000" w:themeColor="text1"/>
                <w:szCs w:val="21"/>
                <w:highlight w:val="none"/>
                <w:lang w:val="en-US" w:eastAsia="zh-CN"/>
                <w14:textFill>
                  <w14:solidFill>
                    <w14:schemeClr w14:val="tx1"/>
                  </w14:solidFill>
                </w14:textFill>
              </w:rPr>
              <w:t>水闸</w:t>
            </w:r>
            <w:r>
              <w:rPr>
                <w:rFonts w:hint="eastAsia" w:ascii="宋体" w:hAnsi="宋体" w:eastAsia="宋体" w:cs="宋体"/>
                <w:b/>
                <w:color w:val="000000" w:themeColor="text1"/>
                <w:szCs w:val="21"/>
                <w:highlight w:val="none"/>
                <w14:textFill>
                  <w14:solidFill>
                    <w14:schemeClr w14:val="tx1"/>
                  </w14:solidFill>
                </w14:textFill>
              </w:rPr>
              <w:t>安全鉴定报告封面及关键页、③专家评审或验收意见。如上述证明材料无法体现服务内容、签订时间等评审要素的，须另附合同甲方出具的证明材料。</w:t>
            </w:r>
            <w:r>
              <w:rPr>
                <w:rFonts w:hint="eastAsia" w:ascii="宋体" w:hAnsi="宋体" w:eastAsia="宋体" w:cs="宋体"/>
                <w:b/>
                <w:color w:val="000000" w:themeColor="text1"/>
                <w:szCs w:val="21"/>
                <w:highlight w:val="none"/>
                <w:lang w:val="en-US" w:eastAsia="zh-CN"/>
                <w14:textFill>
                  <w14:solidFill>
                    <w14:schemeClr w14:val="tx1"/>
                  </w14:solidFill>
                </w14:textFill>
              </w:rPr>
              <w:t>③如为联合体磋商，</w:t>
            </w:r>
            <w:r>
              <w:rPr>
                <w:rFonts w:hint="eastAsia" w:ascii="宋体" w:hAnsi="宋体" w:eastAsia="宋体" w:cs="宋体"/>
                <w:b/>
                <w:bCs w:val="0"/>
                <w:color w:val="000000" w:themeColor="text1"/>
                <w:szCs w:val="21"/>
                <w:highlight w:val="none"/>
                <w:lang w:val="en-US" w:eastAsia="zh-CN"/>
                <w14:textFill>
                  <w14:solidFill>
                    <w14:schemeClr w14:val="tx1"/>
                  </w14:solidFill>
                </w14:textFill>
              </w:rPr>
              <w:t>供应商</w:t>
            </w:r>
            <w:r>
              <w:rPr>
                <w:rFonts w:hint="eastAsia" w:ascii="宋体" w:hAnsi="宋体" w:eastAsia="宋体" w:cs="宋体"/>
                <w:b/>
                <w:color w:val="000000" w:themeColor="text1"/>
                <w:szCs w:val="21"/>
                <w:highlight w:val="none"/>
                <w:lang w:val="en-US" w:eastAsia="zh-CN"/>
                <w14:textFill>
                  <w14:solidFill>
                    <w14:schemeClr w14:val="tx1"/>
                  </w14:solidFill>
                </w14:textFill>
              </w:rPr>
              <w:t>业绩应由联合体牵头人提供。</w:t>
            </w:r>
          </w:p>
        </w:tc>
        <w:tc>
          <w:tcPr>
            <w:tcW w:w="708" w:type="pct"/>
            <w:tcBorders>
              <w:top w:val="single" w:color="auto" w:sz="4" w:space="0"/>
              <w:left w:val="single" w:color="auto" w:sz="4" w:space="0"/>
              <w:bottom w:val="single" w:color="auto" w:sz="4" w:space="0"/>
              <w:right w:val="single" w:color="auto" w:sz="4" w:space="0"/>
            </w:tcBorders>
            <w:vAlign w:val="center"/>
          </w:tcPr>
          <w:p w14:paraId="6A051569">
            <w:pPr>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0-1</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分</w:t>
            </w:r>
          </w:p>
        </w:tc>
      </w:tr>
      <w:tr w14:paraId="7C2D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6B4BC834">
            <w:pPr>
              <w:spacing w:line="360" w:lineRule="auto"/>
              <w:ind w:firstLine="435"/>
              <w:jc w:val="center"/>
              <w:rPr>
                <w:rFonts w:hint="eastAsia" w:ascii="宋体" w:hAnsi="宋体" w:eastAsia="宋体" w:cs="宋体"/>
                <w:b/>
                <w:bCs/>
                <w:color w:val="000000" w:themeColor="text1"/>
                <w:szCs w:val="21"/>
                <w:highlight w:val="none"/>
                <w14:textFill>
                  <w14:solidFill>
                    <w14:schemeClr w14:val="tx1"/>
                  </w14:solidFill>
                </w14:textFill>
              </w:rPr>
            </w:pPr>
          </w:p>
        </w:tc>
        <w:tc>
          <w:tcPr>
            <w:tcW w:w="820" w:type="pct"/>
            <w:tcBorders>
              <w:top w:val="single" w:color="auto" w:sz="4" w:space="0"/>
              <w:left w:val="single" w:color="auto" w:sz="4" w:space="0"/>
              <w:bottom w:val="single" w:color="auto" w:sz="4" w:space="0"/>
              <w:right w:val="single" w:color="auto" w:sz="4" w:space="0"/>
            </w:tcBorders>
            <w:vAlign w:val="center"/>
          </w:tcPr>
          <w:p w14:paraId="542B87F2">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项目负责人实力</w:t>
            </w:r>
          </w:p>
        </w:tc>
        <w:tc>
          <w:tcPr>
            <w:tcW w:w="2943" w:type="pct"/>
            <w:tcBorders>
              <w:top w:val="single" w:color="auto" w:sz="4" w:space="0"/>
              <w:left w:val="single" w:color="auto" w:sz="4" w:space="0"/>
              <w:bottom w:val="single" w:color="auto" w:sz="4" w:space="0"/>
              <w:right w:val="single" w:color="auto" w:sz="4" w:space="0"/>
            </w:tcBorders>
            <w:vAlign w:val="center"/>
          </w:tcPr>
          <w:p w14:paraId="01607E79">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供应商拟派项目负责人具有水利水电工程相关专业</w:t>
            </w:r>
            <w:r>
              <w:rPr>
                <w:rFonts w:hint="eastAsia" w:ascii="宋体" w:hAnsi="宋体" w:eastAsia="宋体" w:cs="宋体"/>
                <w:bCs/>
                <w:color w:val="000000" w:themeColor="text1"/>
                <w:szCs w:val="21"/>
                <w:highlight w:val="none"/>
                <w:lang w:val="en-US" w:eastAsia="zh-CN"/>
                <w14:textFill>
                  <w14:solidFill>
                    <w14:schemeClr w14:val="tx1"/>
                  </w14:solidFill>
                </w14:textFill>
              </w:rPr>
              <w:t>高级及以上技术</w:t>
            </w:r>
            <w:r>
              <w:rPr>
                <w:rFonts w:hint="eastAsia" w:ascii="宋体" w:hAnsi="宋体" w:eastAsia="宋体" w:cs="宋体"/>
                <w:bCs/>
                <w:color w:val="000000" w:themeColor="text1"/>
                <w:szCs w:val="21"/>
                <w:highlight w:val="none"/>
                <w14:textFill>
                  <w14:solidFill>
                    <w14:schemeClr w14:val="tx1"/>
                  </w14:solidFill>
                </w14:textFill>
              </w:rPr>
              <w:t>职称的得</w:t>
            </w:r>
            <w:r>
              <w:rPr>
                <w:rFonts w:hint="eastAsia" w:ascii="宋体" w:hAnsi="宋体" w:eastAsia="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分，具有水利水电工程相关专业中级</w:t>
            </w:r>
            <w:r>
              <w:rPr>
                <w:rFonts w:hint="eastAsia" w:ascii="宋体" w:hAnsi="宋体" w:eastAsia="宋体" w:cs="宋体"/>
                <w:bCs/>
                <w:color w:val="000000" w:themeColor="text1"/>
                <w:szCs w:val="21"/>
                <w:highlight w:val="none"/>
                <w:lang w:val="en-US" w:eastAsia="zh-CN"/>
                <w14:textFill>
                  <w14:solidFill>
                    <w14:schemeClr w14:val="tx1"/>
                  </w14:solidFill>
                </w14:textFill>
              </w:rPr>
              <w:t>技术</w:t>
            </w:r>
            <w:r>
              <w:rPr>
                <w:rFonts w:hint="eastAsia" w:ascii="宋体" w:hAnsi="宋体" w:eastAsia="宋体" w:cs="宋体"/>
                <w:bCs/>
                <w:color w:val="000000" w:themeColor="text1"/>
                <w:szCs w:val="21"/>
                <w:highlight w:val="none"/>
                <w14:textFill>
                  <w14:solidFill>
                    <w14:schemeClr w14:val="tx1"/>
                  </w14:solidFill>
                </w14:textFill>
              </w:rPr>
              <w:t>职称的得</w:t>
            </w:r>
            <w:r>
              <w:rPr>
                <w:rFonts w:hint="eastAsia" w:ascii="宋体" w:hAnsi="宋体" w:eastAsia="宋体" w:cs="宋体"/>
                <w:bCs/>
                <w:color w:val="000000" w:themeColor="text1"/>
                <w:szCs w:val="21"/>
                <w:highlight w:val="none"/>
                <w:lang w:val="en-US" w:eastAsia="zh-CN"/>
                <w14:textFill>
                  <w14:solidFill>
                    <w14:schemeClr w14:val="tx1"/>
                  </w14:solidFill>
                </w14:textFill>
              </w:rPr>
              <w:t>3</w:t>
            </w:r>
            <w:r>
              <w:rPr>
                <w:rFonts w:hint="eastAsia" w:ascii="宋体" w:hAnsi="宋体" w:eastAsia="宋体" w:cs="宋体"/>
                <w:bCs/>
                <w:color w:val="000000" w:themeColor="text1"/>
                <w:szCs w:val="21"/>
                <w:highlight w:val="none"/>
                <w14:textFill>
                  <w14:solidFill>
                    <w14:schemeClr w14:val="tx1"/>
                  </w14:solidFill>
                </w14:textFill>
              </w:rPr>
              <w:t>分，最多得</w:t>
            </w:r>
            <w:r>
              <w:rPr>
                <w:rFonts w:hint="eastAsia" w:ascii="宋体" w:hAnsi="宋体" w:eastAsia="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分；</w:t>
            </w:r>
          </w:p>
          <w:p w14:paraId="2392B3BC">
            <w:pPr>
              <w:pStyle w:val="1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w:t>
            </w:r>
            <w:r>
              <w:rPr>
                <w:rFonts w:hint="eastAsia" w:ascii="宋体" w:hAnsi="宋体" w:eastAsia="宋体" w:cs="宋体"/>
                <w:b/>
                <w:color w:val="000000" w:themeColor="text1"/>
                <w:szCs w:val="21"/>
                <w:highlight w:val="none"/>
                <w:lang w:val="en-US" w:eastAsia="zh-CN"/>
                <w14:textFill>
                  <w14:solidFill>
                    <w14:schemeClr w14:val="tx1"/>
                  </w14:solidFill>
                </w14:textFill>
              </w:rPr>
              <w:t>①</w:t>
            </w:r>
            <w:r>
              <w:rPr>
                <w:rFonts w:hint="eastAsia" w:ascii="宋体" w:hAnsi="宋体" w:eastAsia="宋体" w:cs="宋体"/>
                <w:b/>
                <w:color w:val="000000" w:themeColor="text1"/>
                <w:szCs w:val="21"/>
                <w:highlight w:val="none"/>
                <w14:textFill>
                  <w14:solidFill>
                    <w14:schemeClr w14:val="tx1"/>
                  </w14:solidFill>
                </w14:textFill>
              </w:rPr>
              <w:t>响应文件中须提供有效的项目负责人技术职称证书扫描件。</w:t>
            </w:r>
            <w:r>
              <w:rPr>
                <w:rFonts w:hint="eastAsia" w:ascii="宋体" w:hAnsi="宋体" w:eastAsia="宋体" w:cs="宋体"/>
                <w:b/>
                <w:color w:val="000000" w:themeColor="text1"/>
                <w:szCs w:val="21"/>
                <w:highlight w:val="none"/>
                <w:lang w:val="en-US" w:eastAsia="zh-CN"/>
                <w14:textFill>
                  <w14:solidFill>
                    <w14:schemeClr w14:val="tx1"/>
                  </w14:solidFill>
                </w14:textFill>
              </w:rPr>
              <w:t>②</w:t>
            </w:r>
            <w:r>
              <w:rPr>
                <w:rFonts w:hint="eastAsia" w:ascii="宋体" w:hAnsi="宋体" w:eastAsia="宋体" w:cs="宋体"/>
                <w:b/>
                <w:color w:val="000000" w:themeColor="text1"/>
                <w:szCs w:val="21"/>
                <w:highlight w:val="none"/>
                <w14:textFill>
                  <w14:solidFill>
                    <w14:schemeClr w14:val="tx1"/>
                  </w14:solidFill>
                </w14:textFill>
              </w:rPr>
              <w:t>如为联合体磋商，项目</w:t>
            </w:r>
            <w:r>
              <w:rPr>
                <w:rFonts w:hint="eastAsia" w:ascii="宋体" w:hAnsi="宋体" w:eastAsia="宋体" w:cs="宋体"/>
                <w:b/>
                <w:color w:val="000000" w:themeColor="text1"/>
                <w:szCs w:val="21"/>
                <w:highlight w:val="none"/>
                <w:lang w:val="en-US" w:eastAsia="zh-CN"/>
                <w14:textFill>
                  <w14:solidFill>
                    <w14:schemeClr w14:val="tx1"/>
                  </w14:solidFill>
                </w14:textFill>
              </w:rPr>
              <w:t>负责人</w:t>
            </w:r>
            <w:r>
              <w:rPr>
                <w:rFonts w:hint="eastAsia" w:ascii="宋体" w:hAnsi="宋体" w:eastAsia="宋体" w:cs="宋体"/>
                <w:b/>
                <w:color w:val="000000" w:themeColor="text1"/>
                <w:szCs w:val="21"/>
                <w:highlight w:val="none"/>
                <w14:textFill>
                  <w14:solidFill>
                    <w14:schemeClr w14:val="tx1"/>
                  </w14:solidFill>
                </w14:textFill>
              </w:rPr>
              <w:t>应为联合体牵头人单位人员。</w:t>
            </w:r>
            <w:r>
              <w:rPr>
                <w:rFonts w:hint="eastAsia" w:ascii="宋体" w:hAnsi="宋体" w:eastAsia="宋体" w:cs="宋体"/>
                <w:b/>
                <w:color w:val="000000" w:themeColor="text1"/>
                <w:szCs w:val="21"/>
                <w:highlight w:val="none"/>
                <w:lang w:val="en-US" w:eastAsia="zh-CN"/>
                <w14:textFill>
                  <w14:solidFill>
                    <w14:schemeClr w14:val="tx1"/>
                  </w14:solidFill>
                </w14:textFill>
              </w:rPr>
              <w:t>③项目负责人社保：供应商为项目经理缴纳的2025年1月以来任意一个月的社保证明材料（提供任意五险之一的社保缴纳证明即可）。项目负责人的社会保险的缴纳单位应当是供应商或者供应商不具备独立法人资格的分支机构。</w:t>
            </w:r>
          </w:p>
        </w:tc>
        <w:tc>
          <w:tcPr>
            <w:tcW w:w="708" w:type="pct"/>
            <w:tcBorders>
              <w:top w:val="single" w:color="auto" w:sz="4" w:space="0"/>
              <w:left w:val="single" w:color="auto" w:sz="4" w:space="0"/>
              <w:bottom w:val="single" w:color="auto" w:sz="4" w:space="0"/>
              <w:right w:val="single" w:color="auto" w:sz="4" w:space="0"/>
            </w:tcBorders>
            <w:vAlign w:val="center"/>
          </w:tcPr>
          <w:p w14:paraId="7AE5105F">
            <w:pPr>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分</w:t>
            </w:r>
          </w:p>
        </w:tc>
      </w:tr>
      <w:tr w14:paraId="3F76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1DF84EF4">
            <w:pPr>
              <w:spacing w:line="360" w:lineRule="auto"/>
              <w:ind w:firstLine="435"/>
              <w:jc w:val="center"/>
              <w:rPr>
                <w:rFonts w:hint="eastAsia" w:ascii="宋体" w:hAnsi="宋体" w:eastAsia="宋体" w:cs="宋体"/>
                <w:b/>
                <w:bCs/>
                <w:color w:val="000000" w:themeColor="text1"/>
                <w:szCs w:val="21"/>
                <w:highlight w:val="none"/>
                <w14:textFill>
                  <w14:solidFill>
                    <w14:schemeClr w14:val="tx1"/>
                  </w14:solidFill>
                </w14:textFill>
              </w:rPr>
            </w:pPr>
          </w:p>
        </w:tc>
        <w:tc>
          <w:tcPr>
            <w:tcW w:w="820" w:type="pct"/>
            <w:tcBorders>
              <w:top w:val="single" w:color="auto" w:sz="4" w:space="0"/>
              <w:left w:val="single" w:color="auto" w:sz="4" w:space="0"/>
              <w:bottom w:val="single" w:color="auto" w:sz="4" w:space="0"/>
              <w:right w:val="single" w:color="auto" w:sz="4" w:space="0"/>
            </w:tcBorders>
            <w:vAlign w:val="center"/>
          </w:tcPr>
          <w:p w14:paraId="3C852819">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项目负责人业绩</w:t>
            </w:r>
          </w:p>
        </w:tc>
        <w:tc>
          <w:tcPr>
            <w:tcW w:w="2943" w:type="pct"/>
            <w:tcBorders>
              <w:top w:val="single" w:color="auto" w:sz="4" w:space="0"/>
              <w:left w:val="single" w:color="auto" w:sz="4" w:space="0"/>
              <w:bottom w:val="single" w:color="auto" w:sz="4" w:space="0"/>
              <w:right w:val="single" w:color="auto" w:sz="4" w:space="0"/>
            </w:tcBorders>
            <w:vAlign w:val="center"/>
          </w:tcPr>
          <w:p w14:paraId="49CA5CBD">
            <w:pPr>
              <w:pStyle w:val="12"/>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供应商拟派项目负责人每具有一项水闸安全鉴定项目负责人业绩</w:t>
            </w:r>
            <w:r>
              <w:rPr>
                <w:rFonts w:hint="eastAsia" w:ascii="宋体" w:hAnsi="宋体" w:eastAsia="宋体" w:cs="宋体"/>
                <w:bCs/>
                <w:color w:val="000000" w:themeColor="text1"/>
                <w:szCs w:val="21"/>
                <w:highlight w:val="none"/>
                <w:lang w:val="en-US" w:eastAsia="zh-CN"/>
                <w14:textFill>
                  <w14:solidFill>
                    <w14:schemeClr w14:val="tx1"/>
                  </w14:solidFill>
                </w14:textFill>
              </w:rPr>
              <w:t>的</w:t>
            </w:r>
            <w:r>
              <w:rPr>
                <w:rFonts w:hint="eastAsia" w:ascii="宋体" w:hAnsi="宋体" w:eastAsia="宋体" w:cs="宋体"/>
                <w:bCs/>
                <w:color w:val="000000" w:themeColor="text1"/>
                <w:szCs w:val="21"/>
                <w:highlight w:val="none"/>
                <w14:textFill>
                  <w14:solidFill>
                    <w14:schemeClr w14:val="tx1"/>
                  </w14:solidFill>
                </w14:textFill>
              </w:rPr>
              <w:t>得</w:t>
            </w:r>
            <w:r>
              <w:rPr>
                <w:rFonts w:hint="eastAsia" w:ascii="宋体" w:hAnsi="宋体" w:eastAsia="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分，最多得</w:t>
            </w:r>
            <w:r>
              <w:rPr>
                <w:rFonts w:hint="eastAsia" w:ascii="宋体" w:hAnsi="宋体" w:eastAsia="宋体" w:cs="宋体"/>
                <w:bCs/>
                <w:color w:val="000000" w:themeColor="text1"/>
                <w:szCs w:val="21"/>
                <w:highlight w:val="none"/>
                <w:lang w:val="en-US" w:eastAsia="zh-CN"/>
                <w14:textFill>
                  <w14:solidFill>
                    <w14:schemeClr w14:val="tx1"/>
                  </w14:solidFill>
                </w14:textFill>
              </w:rPr>
              <w:t>10</w:t>
            </w:r>
            <w:r>
              <w:rPr>
                <w:rFonts w:hint="eastAsia" w:ascii="宋体" w:hAnsi="宋体" w:eastAsia="宋体" w:cs="宋体"/>
                <w:bCs/>
                <w:color w:val="000000" w:themeColor="text1"/>
                <w:szCs w:val="21"/>
                <w:highlight w:val="none"/>
                <w14:textFill>
                  <w14:solidFill>
                    <w14:schemeClr w14:val="tx1"/>
                  </w14:solidFill>
                </w14:textFill>
              </w:rPr>
              <w:t>分；</w:t>
            </w:r>
          </w:p>
          <w:p w14:paraId="1981C8B5">
            <w:pPr>
              <w:pStyle w:val="1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注：业绩证明材料须同时提供①合同、②</w:t>
            </w:r>
            <w:r>
              <w:rPr>
                <w:rFonts w:hint="eastAsia" w:ascii="宋体" w:hAnsi="宋体" w:eastAsia="宋体" w:cs="宋体"/>
                <w:b/>
                <w:color w:val="000000" w:themeColor="text1"/>
                <w:szCs w:val="21"/>
                <w:highlight w:val="none"/>
                <w:lang w:val="en-US" w:eastAsia="zh-CN"/>
                <w14:textFill>
                  <w14:solidFill>
                    <w14:schemeClr w14:val="tx1"/>
                  </w14:solidFill>
                </w14:textFill>
              </w:rPr>
              <w:t>水闸</w:t>
            </w:r>
            <w:r>
              <w:rPr>
                <w:rFonts w:hint="eastAsia" w:ascii="宋体" w:hAnsi="宋体" w:eastAsia="宋体" w:cs="宋体"/>
                <w:b/>
                <w:color w:val="000000" w:themeColor="text1"/>
                <w:szCs w:val="21"/>
                <w:highlight w:val="none"/>
                <w14:textFill>
                  <w14:solidFill>
                    <w14:schemeClr w14:val="tx1"/>
                  </w14:solidFill>
                </w14:textFill>
              </w:rPr>
              <w:t>安全鉴定报告封面及关键页、③专家评审或验收意见。如上述证明材料无法体现服务内容、签订时间、项目负责人姓名等评审要素的，须另附合同甲方出具的证明材料。</w:t>
            </w:r>
          </w:p>
        </w:tc>
        <w:tc>
          <w:tcPr>
            <w:tcW w:w="708" w:type="pct"/>
            <w:tcBorders>
              <w:top w:val="single" w:color="auto" w:sz="4" w:space="0"/>
              <w:left w:val="single" w:color="auto" w:sz="4" w:space="0"/>
              <w:bottom w:val="single" w:color="auto" w:sz="4" w:space="0"/>
              <w:right w:val="single" w:color="auto" w:sz="4" w:space="0"/>
            </w:tcBorders>
            <w:vAlign w:val="center"/>
          </w:tcPr>
          <w:p w14:paraId="131CE5C7">
            <w:pPr>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w:t>
            </w: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分</w:t>
            </w:r>
          </w:p>
        </w:tc>
      </w:tr>
      <w:tr w14:paraId="2246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0D723B23">
            <w:pPr>
              <w:spacing w:line="360" w:lineRule="auto"/>
              <w:ind w:firstLine="435"/>
              <w:jc w:val="center"/>
              <w:rPr>
                <w:rFonts w:hint="eastAsia" w:ascii="宋体" w:hAnsi="宋体" w:eastAsia="宋体" w:cs="宋体"/>
                <w:b/>
                <w:bCs/>
                <w:color w:val="000000" w:themeColor="text1"/>
                <w:szCs w:val="21"/>
                <w:highlight w:val="none"/>
                <w14:textFill>
                  <w14:solidFill>
                    <w14:schemeClr w14:val="tx1"/>
                  </w14:solidFill>
                </w14:textFill>
              </w:rPr>
            </w:pPr>
          </w:p>
        </w:tc>
        <w:tc>
          <w:tcPr>
            <w:tcW w:w="820" w:type="pct"/>
            <w:tcBorders>
              <w:top w:val="single" w:color="auto" w:sz="4" w:space="0"/>
              <w:left w:val="single" w:color="auto" w:sz="4" w:space="0"/>
              <w:bottom w:val="single" w:color="auto" w:sz="4" w:space="0"/>
              <w:right w:val="single" w:color="auto" w:sz="4" w:space="0"/>
            </w:tcBorders>
            <w:vAlign w:val="center"/>
          </w:tcPr>
          <w:p w14:paraId="7806CE81">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项目组成员</w:t>
            </w:r>
          </w:p>
        </w:tc>
        <w:tc>
          <w:tcPr>
            <w:tcW w:w="2943" w:type="pct"/>
            <w:tcBorders>
              <w:top w:val="single" w:color="auto" w:sz="4" w:space="0"/>
              <w:left w:val="single" w:color="auto" w:sz="4" w:space="0"/>
              <w:bottom w:val="single" w:color="auto" w:sz="4" w:space="0"/>
              <w:right w:val="single" w:color="auto" w:sz="4" w:space="0"/>
            </w:tcBorders>
            <w:vAlign w:val="center"/>
          </w:tcPr>
          <w:p w14:paraId="5A525EBF">
            <w:pPr>
              <w:pStyle w:val="12"/>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（项目负责人除外）</w:t>
            </w:r>
          </w:p>
          <w:p w14:paraId="76C3B278">
            <w:pPr>
              <w:pStyle w:val="12"/>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（1）拟投入本项目的项目组成员每具有一个水利水电工程相关专业高级及以上技术职称的得</w:t>
            </w:r>
            <w:r>
              <w:rPr>
                <w:rFonts w:hint="eastAsia" w:ascii="宋体" w:hAnsi="宋体" w:eastAsia="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分，具有一个水利水电工程相关专业中级技术职称得</w:t>
            </w:r>
            <w:r>
              <w:rPr>
                <w:rFonts w:hint="eastAsia" w:ascii="宋体" w:hAnsi="宋体" w:eastAsia="宋体" w:cs="宋体"/>
                <w:bCs/>
                <w:color w:val="000000" w:themeColor="text1"/>
                <w:szCs w:val="21"/>
                <w:highlight w:val="none"/>
                <w:lang w:val="en-US" w:eastAsia="zh-CN"/>
                <w14:textFill>
                  <w14:solidFill>
                    <w14:schemeClr w14:val="tx1"/>
                  </w14:solidFill>
                </w14:textFill>
              </w:rPr>
              <w:t>3</w:t>
            </w:r>
            <w:r>
              <w:rPr>
                <w:rFonts w:hint="eastAsia" w:ascii="宋体" w:hAnsi="宋体" w:eastAsia="宋体" w:cs="宋体"/>
                <w:bCs/>
                <w:color w:val="000000" w:themeColor="text1"/>
                <w:szCs w:val="21"/>
                <w:highlight w:val="none"/>
                <w14:textFill>
                  <w14:solidFill>
                    <w14:schemeClr w14:val="tx1"/>
                  </w14:solidFill>
                </w14:textFill>
              </w:rPr>
              <w:t>分，本项最多得</w:t>
            </w:r>
            <w:r>
              <w:rPr>
                <w:rFonts w:hint="eastAsia" w:ascii="宋体" w:hAnsi="宋体" w:eastAsia="宋体" w:cs="宋体"/>
                <w:bCs/>
                <w:color w:val="000000" w:themeColor="text1"/>
                <w:szCs w:val="21"/>
                <w:highlight w:val="none"/>
                <w:lang w:val="en-US" w:eastAsia="zh-CN"/>
                <w14:textFill>
                  <w14:solidFill>
                    <w14:schemeClr w14:val="tx1"/>
                  </w14:solidFill>
                </w14:textFill>
              </w:rPr>
              <w:t>15</w:t>
            </w:r>
            <w:r>
              <w:rPr>
                <w:rFonts w:hint="eastAsia" w:ascii="宋体" w:hAnsi="宋体" w:eastAsia="宋体" w:cs="宋体"/>
                <w:bCs/>
                <w:color w:val="000000" w:themeColor="text1"/>
                <w:szCs w:val="21"/>
                <w:highlight w:val="none"/>
                <w14:textFill>
                  <w14:solidFill>
                    <w14:schemeClr w14:val="tx1"/>
                  </w14:solidFill>
                </w14:textFill>
              </w:rPr>
              <w:t>分；</w:t>
            </w:r>
          </w:p>
          <w:p w14:paraId="76CCFD94">
            <w:pPr>
              <w:pStyle w:val="12"/>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（2）拟为本项目配备具有</w:t>
            </w:r>
            <w:r>
              <w:rPr>
                <w:rFonts w:hint="eastAsia" w:hAnsi="宋体" w:eastAsia="宋体" w:cs="宋体"/>
                <w:bCs/>
                <w:color w:val="000000" w:themeColor="text1"/>
                <w:szCs w:val="21"/>
                <w:highlight w:val="none"/>
                <w:lang w:val="en-US" w:eastAsia="zh-CN"/>
                <w14:textFill>
                  <w14:solidFill>
                    <w14:schemeClr w14:val="tx1"/>
                  </w14:solidFill>
                </w14:textFill>
              </w:rPr>
              <w:t>量测、</w:t>
            </w:r>
            <w:r>
              <w:rPr>
                <w:rFonts w:hint="eastAsia" w:ascii="宋体" w:hAnsi="宋体" w:eastAsia="宋体" w:cs="宋体"/>
                <w:bCs/>
                <w:color w:val="000000" w:themeColor="text1"/>
                <w:szCs w:val="21"/>
                <w:highlight w:val="none"/>
                <w14:textFill>
                  <w14:solidFill>
                    <w14:schemeClr w14:val="tx1"/>
                  </w14:solidFill>
                </w14:textFill>
              </w:rPr>
              <w:t>水工、</w:t>
            </w:r>
            <w:r>
              <w:rPr>
                <w:rFonts w:hint="eastAsia" w:hAnsi="宋体" w:eastAsia="宋体" w:cs="宋体"/>
                <w:bCs/>
                <w:color w:val="000000" w:themeColor="text1"/>
                <w:szCs w:val="21"/>
                <w:highlight w:val="none"/>
                <w:lang w:val="en-US" w:eastAsia="zh-CN"/>
                <w14:textFill>
                  <w14:solidFill>
                    <w14:schemeClr w14:val="tx1"/>
                  </w14:solidFill>
                </w14:textFill>
              </w:rPr>
              <w:t>混凝土、</w:t>
            </w:r>
            <w:r>
              <w:rPr>
                <w:rFonts w:hint="eastAsia" w:ascii="宋体" w:hAnsi="宋体" w:eastAsia="宋体" w:cs="宋体"/>
                <w:bCs/>
                <w:color w:val="000000" w:themeColor="text1"/>
                <w:szCs w:val="21"/>
                <w:highlight w:val="none"/>
                <w14:textFill>
                  <w14:solidFill>
                    <w14:schemeClr w14:val="tx1"/>
                  </w14:solidFill>
                </w14:textFill>
              </w:rPr>
              <w:t>岩土、金属结构、</w:t>
            </w:r>
            <w:r>
              <w:rPr>
                <w:rFonts w:hint="eastAsia" w:hAnsi="宋体" w:eastAsia="宋体" w:cs="宋体"/>
                <w:bCs/>
                <w:color w:val="000000" w:themeColor="text1"/>
                <w:szCs w:val="21"/>
                <w:highlight w:val="none"/>
                <w:lang w:val="en-US" w:eastAsia="zh-CN"/>
                <w14:textFill>
                  <w14:solidFill>
                    <w14:schemeClr w14:val="tx1"/>
                  </w14:solidFill>
                </w14:textFill>
              </w:rPr>
              <w:t>机械电气</w:t>
            </w:r>
            <w:r>
              <w:rPr>
                <w:rFonts w:hint="eastAsia" w:ascii="宋体" w:hAnsi="宋体" w:eastAsia="宋体" w:cs="宋体"/>
                <w:bCs/>
                <w:color w:val="000000" w:themeColor="text1"/>
                <w:szCs w:val="21"/>
                <w:highlight w:val="none"/>
                <w14:textFill>
                  <w14:solidFill>
                    <w14:schemeClr w14:val="tx1"/>
                  </w14:solidFill>
                </w14:textFill>
              </w:rPr>
              <w:t>专业的人员，每配备一个专业得</w:t>
            </w:r>
            <w:r>
              <w:rPr>
                <w:rFonts w:hint="eastAsia" w:ascii="宋体" w:hAnsi="宋体" w:eastAsia="宋体" w:cs="宋体"/>
                <w:bCs/>
                <w:color w:val="000000" w:themeColor="text1"/>
                <w:szCs w:val="21"/>
                <w:highlight w:val="none"/>
                <w:lang w:val="en-US" w:eastAsia="zh-CN"/>
                <w14:textFill>
                  <w14:solidFill>
                    <w14:schemeClr w14:val="tx1"/>
                  </w14:solidFill>
                </w14:textFill>
              </w:rPr>
              <w:t>2</w:t>
            </w:r>
            <w:r>
              <w:rPr>
                <w:rFonts w:hint="eastAsia" w:ascii="宋体" w:hAnsi="宋体" w:eastAsia="宋体" w:cs="宋体"/>
                <w:bCs/>
                <w:color w:val="000000" w:themeColor="text1"/>
                <w:szCs w:val="21"/>
                <w:highlight w:val="none"/>
                <w14:textFill>
                  <w14:solidFill>
                    <w14:schemeClr w14:val="tx1"/>
                  </w14:solidFill>
                </w14:textFill>
              </w:rPr>
              <w:t>分，本项最多得</w:t>
            </w:r>
            <w:r>
              <w:rPr>
                <w:rFonts w:hint="eastAsia" w:ascii="宋体" w:hAnsi="宋体" w:eastAsia="宋体" w:cs="宋体"/>
                <w:bCs/>
                <w:color w:val="000000" w:themeColor="text1"/>
                <w:szCs w:val="21"/>
                <w:highlight w:val="none"/>
                <w:lang w:val="en-US" w:eastAsia="zh-CN"/>
                <w14:textFill>
                  <w14:solidFill>
                    <w14:schemeClr w14:val="tx1"/>
                  </w14:solidFill>
                </w14:textFill>
              </w:rPr>
              <w:t>10</w:t>
            </w:r>
            <w:r>
              <w:rPr>
                <w:rFonts w:hint="eastAsia" w:ascii="宋体" w:hAnsi="宋体" w:eastAsia="宋体" w:cs="宋体"/>
                <w:bCs/>
                <w:color w:val="000000" w:themeColor="text1"/>
                <w:szCs w:val="21"/>
                <w:highlight w:val="none"/>
                <w14:textFill>
                  <w14:solidFill>
                    <w14:schemeClr w14:val="tx1"/>
                  </w14:solidFill>
                </w14:textFill>
              </w:rPr>
              <w:t>分；本小项一个专业计分一次，重复的不再计分。</w:t>
            </w:r>
          </w:p>
          <w:p w14:paraId="3DC5CBB6">
            <w:pPr>
              <w:pStyle w:val="12"/>
              <w:rPr>
                <w:rFonts w:hint="eastAsia" w:ascii="宋体" w:hAnsi="宋体" w:eastAsia="宋体" w:cs="宋体"/>
                <w:color w:val="000000" w:themeColor="text1"/>
                <w:szCs w:val="21"/>
                <w:highlight w:val="none"/>
                <w:lang w:val="en-US"/>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w:t>
            </w:r>
            <w:r>
              <w:rPr>
                <w:rFonts w:hint="eastAsia" w:ascii="宋体" w:hAnsi="宋体" w:eastAsia="宋体" w:cs="宋体"/>
                <w:b/>
                <w:color w:val="000000" w:themeColor="text1"/>
                <w:szCs w:val="21"/>
                <w:highlight w:val="none"/>
                <w:lang w:val="en-US" w:eastAsia="zh-CN"/>
                <w14:textFill>
                  <w14:solidFill>
                    <w14:schemeClr w14:val="tx1"/>
                  </w14:solidFill>
                </w14:textFill>
              </w:rPr>
              <w:t>①</w:t>
            </w:r>
            <w:r>
              <w:rPr>
                <w:rFonts w:hint="eastAsia" w:ascii="宋体" w:hAnsi="宋体" w:eastAsia="宋体" w:cs="宋体"/>
                <w:b/>
                <w:color w:val="000000" w:themeColor="text1"/>
                <w:szCs w:val="21"/>
                <w:highlight w:val="none"/>
                <w14:textFill>
                  <w14:solidFill>
                    <w14:schemeClr w14:val="tx1"/>
                  </w14:solidFill>
                </w14:textFill>
              </w:rPr>
              <w:t>响应文件中须提供有效的上述人员相关证书扫描件。</w:t>
            </w:r>
            <w:r>
              <w:rPr>
                <w:rFonts w:hint="eastAsia" w:ascii="宋体" w:hAnsi="宋体" w:eastAsia="宋体" w:cs="宋体"/>
                <w:b/>
                <w:color w:val="000000" w:themeColor="text1"/>
                <w:szCs w:val="21"/>
                <w:highlight w:val="none"/>
                <w:lang w:val="en-US" w:eastAsia="zh-CN"/>
                <w14:textFill>
                  <w14:solidFill>
                    <w14:schemeClr w14:val="tx1"/>
                  </w14:solidFill>
                </w14:textFill>
              </w:rPr>
              <w:t>②供应商为</w:t>
            </w:r>
            <w:r>
              <w:rPr>
                <w:rFonts w:hint="eastAsia" w:hAnsi="宋体" w:eastAsia="宋体" w:cs="宋体"/>
                <w:b/>
                <w:color w:val="000000" w:themeColor="text1"/>
                <w:szCs w:val="21"/>
                <w:highlight w:val="none"/>
                <w:lang w:val="en-US" w:eastAsia="zh-CN"/>
                <w14:textFill>
                  <w14:solidFill>
                    <w14:schemeClr w14:val="tx1"/>
                  </w14:solidFill>
                </w14:textFill>
              </w:rPr>
              <w:t>项目组成员</w:t>
            </w:r>
            <w:r>
              <w:rPr>
                <w:rFonts w:hint="eastAsia" w:ascii="宋体" w:hAnsi="宋体" w:eastAsia="宋体" w:cs="宋体"/>
                <w:b/>
                <w:color w:val="000000" w:themeColor="text1"/>
                <w:szCs w:val="21"/>
                <w:highlight w:val="none"/>
                <w:lang w:val="en-US" w:eastAsia="zh-CN"/>
                <w14:textFill>
                  <w14:solidFill>
                    <w14:schemeClr w14:val="tx1"/>
                  </w14:solidFill>
                </w14:textFill>
              </w:rPr>
              <w:t>缴纳的2025年1月以来任意一个月的社保证明材料（提供任意五险之一的社保缴纳证明即可）。</w:t>
            </w:r>
            <w:r>
              <w:rPr>
                <w:rFonts w:hint="eastAsia" w:hAnsi="宋体" w:eastAsia="宋体" w:cs="宋体"/>
                <w:b/>
                <w:color w:val="000000" w:themeColor="text1"/>
                <w:szCs w:val="21"/>
                <w:highlight w:val="none"/>
                <w:lang w:val="en-US" w:eastAsia="zh-CN"/>
                <w14:textFill>
                  <w14:solidFill>
                    <w14:schemeClr w14:val="tx1"/>
                  </w14:solidFill>
                </w14:textFill>
              </w:rPr>
              <w:t>项目组成员</w:t>
            </w:r>
            <w:r>
              <w:rPr>
                <w:rFonts w:hint="eastAsia" w:ascii="宋体" w:hAnsi="宋体" w:eastAsia="宋体" w:cs="宋体"/>
                <w:b/>
                <w:color w:val="000000" w:themeColor="text1"/>
                <w:szCs w:val="21"/>
                <w:highlight w:val="none"/>
                <w:lang w:val="en-US" w:eastAsia="zh-CN"/>
                <w14:textFill>
                  <w14:solidFill>
                    <w14:schemeClr w14:val="tx1"/>
                  </w14:solidFill>
                </w14:textFill>
              </w:rPr>
              <w:t>社会保险的缴纳单位应当是供应商或者供应商不具备独立法人资格的分支机构。</w:t>
            </w:r>
            <w:r>
              <w:rPr>
                <w:rFonts w:hint="eastAsia" w:hAnsi="宋体" w:eastAsia="宋体" w:cs="宋体"/>
                <w:b/>
                <w:color w:val="000000" w:themeColor="text1"/>
                <w:szCs w:val="21"/>
                <w:highlight w:val="none"/>
                <w:lang w:val="en-US" w:eastAsia="zh-CN"/>
                <w14:textFill>
                  <w14:solidFill>
                    <w14:schemeClr w14:val="tx1"/>
                  </w14:solidFill>
                </w14:textFill>
              </w:rPr>
              <w:t>③</w:t>
            </w:r>
            <w:r>
              <w:rPr>
                <w:rFonts w:hint="eastAsia" w:ascii="宋体" w:hAnsi="宋体" w:eastAsia="宋体" w:cs="宋体"/>
                <w:b/>
                <w:color w:val="000000" w:themeColor="text1"/>
                <w:szCs w:val="21"/>
                <w:highlight w:val="none"/>
                <w14:textFill>
                  <w14:solidFill>
                    <w14:schemeClr w14:val="tx1"/>
                  </w14:solidFill>
                </w14:textFill>
              </w:rPr>
              <w:t>如为联合体磋商，项目</w:t>
            </w:r>
            <w:r>
              <w:rPr>
                <w:rFonts w:hint="eastAsia" w:ascii="宋体" w:hAnsi="宋体" w:eastAsia="宋体" w:cs="宋体"/>
                <w:b/>
                <w:color w:val="000000" w:themeColor="text1"/>
                <w:szCs w:val="21"/>
                <w:highlight w:val="none"/>
                <w:lang w:val="en-US" w:eastAsia="zh-CN"/>
                <w14:textFill>
                  <w14:solidFill>
                    <w14:schemeClr w14:val="tx1"/>
                  </w14:solidFill>
                </w14:textFill>
              </w:rPr>
              <w:t>组成员联合体双方提供的均予以认可</w:t>
            </w:r>
            <w:r>
              <w:rPr>
                <w:rFonts w:hint="eastAsia" w:ascii="宋体" w:hAnsi="宋体" w:eastAsia="宋体" w:cs="宋体"/>
                <w:b/>
                <w:color w:val="000000" w:themeColor="text1"/>
                <w:szCs w:val="21"/>
                <w:highlight w:val="none"/>
                <w14:textFill>
                  <w14:solidFill>
                    <w14:schemeClr w14:val="tx1"/>
                  </w14:solidFill>
                </w14:textFill>
              </w:rPr>
              <w:t>。</w:t>
            </w:r>
          </w:p>
        </w:tc>
        <w:tc>
          <w:tcPr>
            <w:tcW w:w="708" w:type="pct"/>
            <w:tcBorders>
              <w:top w:val="single" w:color="auto" w:sz="4" w:space="0"/>
              <w:left w:val="single" w:color="auto" w:sz="4" w:space="0"/>
              <w:bottom w:val="single" w:color="auto" w:sz="4" w:space="0"/>
              <w:right w:val="single" w:color="auto" w:sz="4" w:space="0"/>
            </w:tcBorders>
            <w:vAlign w:val="center"/>
          </w:tcPr>
          <w:p w14:paraId="138905DE">
            <w:pPr>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0-2</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分</w:t>
            </w:r>
          </w:p>
        </w:tc>
      </w:tr>
      <w:tr w14:paraId="1F4E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28" w:type="pct"/>
            <w:vMerge w:val="continue"/>
            <w:tcBorders>
              <w:left w:val="single" w:color="auto" w:sz="4" w:space="0"/>
              <w:right w:val="single" w:color="auto" w:sz="4" w:space="0"/>
            </w:tcBorders>
            <w:vAlign w:val="center"/>
          </w:tcPr>
          <w:p w14:paraId="50CEEFFA">
            <w:pPr>
              <w:spacing w:line="360" w:lineRule="auto"/>
              <w:ind w:firstLine="435"/>
              <w:jc w:val="center"/>
              <w:rPr>
                <w:rFonts w:hint="eastAsia" w:ascii="宋体" w:hAnsi="宋体" w:eastAsia="宋体" w:cs="宋体"/>
                <w:b/>
                <w:bCs/>
                <w:color w:val="000000" w:themeColor="text1"/>
                <w:szCs w:val="21"/>
                <w:highlight w:val="none"/>
                <w14:textFill>
                  <w14:solidFill>
                    <w14:schemeClr w14:val="tx1"/>
                  </w14:solidFill>
                </w14:textFill>
              </w:rPr>
            </w:pPr>
          </w:p>
        </w:tc>
        <w:tc>
          <w:tcPr>
            <w:tcW w:w="820" w:type="pct"/>
            <w:tcBorders>
              <w:top w:val="single" w:color="auto" w:sz="4" w:space="0"/>
              <w:left w:val="single" w:color="auto" w:sz="4" w:space="0"/>
              <w:bottom w:val="single" w:color="auto" w:sz="4" w:space="0"/>
              <w:right w:val="single" w:color="auto" w:sz="4" w:space="0"/>
            </w:tcBorders>
            <w:vAlign w:val="center"/>
          </w:tcPr>
          <w:p w14:paraId="1DF668D7">
            <w:pPr>
              <w:widowControl/>
              <w:ind w:right="-86" w:rightChars="-41"/>
              <w:jc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水闸鉴定</w:t>
            </w:r>
            <w:r>
              <w:rPr>
                <w:rFonts w:hint="eastAsia" w:ascii="宋体" w:hAnsi="宋体" w:eastAsia="宋体" w:cs="宋体"/>
                <w:b w:val="0"/>
                <w:bCs w:val="0"/>
                <w:color w:val="000000" w:themeColor="text1"/>
                <w:kern w:val="0"/>
                <w:szCs w:val="21"/>
                <w:highlight w:val="none"/>
                <w:lang w:bidi="ar"/>
                <w14:textFill>
                  <w14:solidFill>
                    <w14:schemeClr w14:val="tx1"/>
                  </w14:solidFill>
                </w14:textFill>
              </w:rPr>
              <w:t>实施方案</w:t>
            </w:r>
          </w:p>
        </w:tc>
        <w:tc>
          <w:tcPr>
            <w:tcW w:w="2943" w:type="pct"/>
            <w:tcBorders>
              <w:top w:val="single" w:color="auto" w:sz="4" w:space="0"/>
              <w:left w:val="single" w:color="auto" w:sz="4" w:space="0"/>
              <w:bottom w:val="single" w:color="auto" w:sz="4" w:space="0"/>
              <w:right w:val="single" w:color="auto" w:sz="4" w:space="0"/>
            </w:tcBorders>
            <w:vAlign w:val="center"/>
          </w:tcPr>
          <w:p w14:paraId="438EADCF">
            <w:pPr>
              <w:jc w:val="left"/>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评审小组根据供应商提供的</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水闸鉴定</w:t>
            </w:r>
            <w:r>
              <w:rPr>
                <w:rFonts w:hint="eastAsia" w:ascii="宋体" w:hAnsi="宋体" w:eastAsia="宋体" w:cs="宋体"/>
                <w:b w:val="0"/>
                <w:bCs w:val="0"/>
                <w:color w:val="000000" w:themeColor="text1"/>
                <w:kern w:val="0"/>
                <w:szCs w:val="21"/>
                <w:highlight w:val="none"/>
                <w:lang w:bidi="ar"/>
                <w14:textFill>
                  <w14:solidFill>
                    <w14:schemeClr w14:val="tx1"/>
                  </w14:solidFill>
                </w14:textFill>
              </w:rPr>
              <w:t>实施方案</w:t>
            </w:r>
            <w:r>
              <w:rPr>
                <w:rFonts w:hint="eastAsia" w:ascii="宋体" w:hAnsi="宋体" w:eastAsia="宋体" w:cs="宋体"/>
                <w:b w:val="0"/>
                <w:bCs w:val="0"/>
                <w:color w:val="000000" w:themeColor="text1"/>
                <w:szCs w:val="21"/>
                <w:highlight w:val="none"/>
                <w14:textFill>
                  <w14:solidFill>
                    <w14:schemeClr w14:val="tx1"/>
                  </w14:solidFill>
                </w14:textFill>
              </w:rPr>
              <w:t>中鉴定依据是否全面、鉴定方法是否详细，鉴定程序是否合理，鉴定成果内部审核是否严格、鉴定制度等相关内容进行综合评审：</w:t>
            </w:r>
          </w:p>
          <w:p w14:paraId="7A785EC5">
            <w:pPr>
              <w:jc w:val="left"/>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（1）计划周密详细、合理科学，实施方案充分满足项目实际需要的得5分；</w:t>
            </w:r>
          </w:p>
          <w:p w14:paraId="47AFFEEC">
            <w:pPr>
              <w:jc w:val="left"/>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（2）计划较详细、较合理，实施方案满足项目实际需要的得3分；</w:t>
            </w:r>
          </w:p>
          <w:p w14:paraId="152273B6">
            <w:pPr>
              <w:jc w:val="left"/>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（3）计划详细性、合理性一般，实施方案勉强满足项目实际需要的得1分；</w:t>
            </w:r>
          </w:p>
          <w:p w14:paraId="30308AF5">
            <w:pPr>
              <w:jc w:val="left"/>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（4）与项目实际需要偏差较大或未提供的不得分。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35E7BD45">
            <w:pPr>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0-5分</w:t>
            </w:r>
          </w:p>
        </w:tc>
      </w:tr>
      <w:tr w14:paraId="7111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528" w:type="pct"/>
            <w:vMerge w:val="continue"/>
            <w:tcBorders>
              <w:left w:val="single" w:color="auto" w:sz="4" w:space="0"/>
              <w:right w:val="single" w:color="auto" w:sz="4" w:space="0"/>
            </w:tcBorders>
            <w:vAlign w:val="center"/>
          </w:tcPr>
          <w:p w14:paraId="0DFE8C3B">
            <w:pPr>
              <w:spacing w:line="360" w:lineRule="auto"/>
              <w:ind w:firstLine="435"/>
              <w:jc w:val="center"/>
              <w:rPr>
                <w:rFonts w:hint="eastAsia" w:ascii="宋体" w:hAnsi="宋体" w:eastAsia="宋体" w:cs="宋体"/>
                <w:b/>
                <w:bCs/>
                <w:color w:val="000000" w:themeColor="text1"/>
                <w:szCs w:val="21"/>
                <w:highlight w:val="none"/>
                <w14:textFill>
                  <w14:solidFill>
                    <w14:schemeClr w14:val="tx1"/>
                  </w14:solidFill>
                </w14:textFill>
              </w:rPr>
            </w:pPr>
          </w:p>
        </w:tc>
        <w:tc>
          <w:tcPr>
            <w:tcW w:w="820" w:type="pct"/>
            <w:tcBorders>
              <w:top w:val="single" w:color="auto" w:sz="4" w:space="0"/>
              <w:left w:val="single" w:color="auto" w:sz="4" w:space="0"/>
              <w:bottom w:val="single" w:color="auto" w:sz="4" w:space="0"/>
              <w:right w:val="single" w:color="auto" w:sz="4" w:space="0"/>
            </w:tcBorders>
            <w:vAlign w:val="center"/>
          </w:tcPr>
          <w:p w14:paraId="22A2B216">
            <w:pPr>
              <w:widowControl/>
              <w:ind w:right="-86" w:rightChars="-41"/>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服务承诺</w:t>
            </w:r>
          </w:p>
        </w:tc>
        <w:tc>
          <w:tcPr>
            <w:tcW w:w="2943" w:type="pct"/>
            <w:tcBorders>
              <w:top w:val="single" w:color="auto" w:sz="4" w:space="0"/>
              <w:left w:val="single" w:color="auto" w:sz="4" w:space="0"/>
              <w:bottom w:val="single" w:color="auto" w:sz="4" w:space="0"/>
              <w:right w:val="single" w:color="auto" w:sz="4" w:space="0"/>
            </w:tcBorders>
            <w:vAlign w:val="center"/>
          </w:tcPr>
          <w:p w14:paraId="086E5695">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评审小组根据供应商对本项目的报告评审、技术支持及其他有利于采购人的服务等做出的承诺进行综合评审：</w:t>
            </w:r>
          </w:p>
          <w:p w14:paraId="51706AC8">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（1）服务承诺充分满足项目实际需要的得5分；</w:t>
            </w:r>
          </w:p>
          <w:p w14:paraId="5205669E">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（2）服务承诺满足项目实际需要的得3分；</w:t>
            </w:r>
          </w:p>
          <w:p w14:paraId="5F0D08AD">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（3）服务承诺勉强满足项目实际需要的得1分；</w:t>
            </w:r>
          </w:p>
          <w:p w14:paraId="0A7259C5">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（4）未提供的不得分。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35C927EC">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0-5分</w:t>
            </w:r>
          </w:p>
        </w:tc>
      </w:tr>
      <w:tr w14:paraId="59A4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667E3FDD">
            <w:pPr>
              <w:spacing w:line="360" w:lineRule="auto"/>
              <w:ind w:firstLine="435"/>
              <w:jc w:val="center"/>
              <w:rPr>
                <w:rFonts w:hint="eastAsia" w:ascii="宋体" w:hAnsi="宋体" w:eastAsia="宋体" w:cs="宋体"/>
                <w:b/>
                <w:bCs/>
                <w:color w:val="000000" w:themeColor="text1"/>
                <w:szCs w:val="21"/>
                <w:highlight w:val="none"/>
                <w14:textFill>
                  <w14:solidFill>
                    <w14:schemeClr w14:val="tx1"/>
                  </w14:solidFill>
                </w14:textFill>
              </w:rPr>
            </w:pPr>
          </w:p>
        </w:tc>
        <w:tc>
          <w:tcPr>
            <w:tcW w:w="820" w:type="pct"/>
            <w:tcBorders>
              <w:top w:val="single" w:color="auto" w:sz="4" w:space="0"/>
              <w:left w:val="single" w:color="auto" w:sz="4" w:space="0"/>
              <w:bottom w:val="single" w:color="auto" w:sz="4" w:space="0"/>
              <w:right w:val="single" w:color="auto" w:sz="4" w:space="0"/>
            </w:tcBorders>
            <w:vAlign w:val="center"/>
          </w:tcPr>
          <w:p w14:paraId="4A87E9F6">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现场服务（质量、安全、文明）保障措施</w:t>
            </w:r>
          </w:p>
          <w:p w14:paraId="390530D0">
            <w:pPr>
              <w:widowControl/>
              <w:adjustRightInd w:val="0"/>
              <w:snapToGrid w:val="0"/>
              <w:jc w:val="center"/>
              <w:rPr>
                <w:rFonts w:hint="eastAsia" w:ascii="宋体" w:hAnsi="宋体" w:eastAsia="宋体" w:cs="宋体"/>
                <w:color w:val="000000" w:themeColor="text1"/>
                <w:kern w:val="0"/>
                <w:szCs w:val="21"/>
                <w:highlight w:val="none"/>
                <w:lang w:bidi="ar"/>
                <w14:textFill>
                  <w14:solidFill>
                    <w14:schemeClr w14:val="tx1"/>
                  </w14:solidFill>
                </w14:textFill>
              </w:rPr>
            </w:pPr>
          </w:p>
        </w:tc>
        <w:tc>
          <w:tcPr>
            <w:tcW w:w="2943" w:type="pct"/>
            <w:tcBorders>
              <w:top w:val="single" w:color="auto" w:sz="4" w:space="0"/>
              <w:left w:val="single" w:color="auto" w:sz="4" w:space="0"/>
              <w:bottom w:val="single" w:color="auto" w:sz="4" w:space="0"/>
              <w:right w:val="single" w:color="auto" w:sz="4" w:space="0"/>
            </w:tcBorders>
            <w:vAlign w:val="center"/>
          </w:tcPr>
          <w:p w14:paraId="076776AF">
            <w:pPr>
              <w:widowControl/>
              <w:jc w:val="left"/>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评审小组</w:t>
            </w:r>
            <w:r>
              <w:rPr>
                <w:rFonts w:hint="eastAsia" w:ascii="宋体" w:hAnsi="宋体" w:eastAsia="宋体" w:cs="宋体"/>
                <w:color w:val="000000" w:themeColor="text1"/>
                <w:kern w:val="0"/>
                <w:szCs w:val="21"/>
                <w:highlight w:val="none"/>
                <w:lang w:bidi="ar"/>
                <w14:textFill>
                  <w14:solidFill>
                    <w14:schemeClr w14:val="tx1"/>
                  </w14:solidFill>
                </w14:textFill>
              </w:rPr>
              <w:t>根据</w:t>
            </w:r>
            <w:r>
              <w:rPr>
                <w:rFonts w:hint="eastAsia" w:ascii="宋体" w:hAnsi="宋体" w:eastAsia="宋体" w:cs="宋体"/>
                <w:color w:val="000000" w:themeColor="text1"/>
                <w:szCs w:val="21"/>
                <w:highlight w:val="none"/>
                <w14:textFill>
                  <w14:solidFill>
                    <w14:schemeClr w14:val="tx1"/>
                  </w14:solidFill>
                </w14:textFill>
              </w:rPr>
              <w:t>供应商提供的</w:t>
            </w:r>
            <w:r>
              <w:rPr>
                <w:rFonts w:hint="eastAsia" w:ascii="宋体" w:hAnsi="宋体" w:eastAsia="宋体" w:cs="宋体"/>
                <w:color w:val="000000" w:themeColor="text1"/>
                <w:kern w:val="0"/>
                <w:szCs w:val="21"/>
                <w:highlight w:val="none"/>
                <w:lang w:bidi="ar"/>
                <w14:textFill>
                  <w14:solidFill>
                    <w14:schemeClr w14:val="tx1"/>
                  </w14:solidFill>
                </w14:textFill>
              </w:rPr>
              <w:t>鉴定期间的安全、质量保证措施以及针对文明鉴定提出相关方案及措施；</w:t>
            </w:r>
          </w:p>
          <w:p w14:paraId="3F47F49A">
            <w:pPr>
              <w:widowControl/>
              <w:jc w:val="left"/>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（1）详细，贴切实际，合理，</w:t>
            </w:r>
            <w:r>
              <w:rPr>
                <w:rFonts w:hint="eastAsia" w:ascii="宋体" w:hAnsi="宋体" w:eastAsia="宋体" w:cs="宋体"/>
                <w:color w:val="000000" w:themeColor="text1"/>
                <w:szCs w:val="21"/>
                <w:highlight w:val="none"/>
                <w14:textFill>
                  <w14:solidFill>
                    <w14:schemeClr w14:val="tx1"/>
                  </w14:solidFill>
                </w14:textFill>
              </w:rPr>
              <w:t>充分满足项目服务需求的</w:t>
            </w:r>
            <w:r>
              <w:rPr>
                <w:rFonts w:hint="eastAsia" w:ascii="宋体" w:hAnsi="宋体" w:eastAsia="宋体" w:cs="宋体"/>
                <w:color w:val="000000" w:themeColor="text1"/>
                <w:kern w:val="0"/>
                <w:szCs w:val="21"/>
                <w:highlight w:val="none"/>
                <w:lang w:bidi="ar"/>
                <w14:textFill>
                  <w14:solidFill>
                    <w14:schemeClr w14:val="tx1"/>
                  </w14:solidFill>
                </w14:textFill>
              </w:rPr>
              <w:t>得5分；</w:t>
            </w:r>
          </w:p>
          <w:p w14:paraId="5CD6DE99">
            <w:pPr>
              <w:widowControl/>
              <w:jc w:val="left"/>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（2）较详细，较贴切实际，较合理，</w:t>
            </w:r>
            <w:r>
              <w:rPr>
                <w:rFonts w:hint="eastAsia" w:ascii="宋体" w:hAnsi="宋体" w:eastAsia="宋体" w:cs="宋体"/>
                <w:color w:val="000000" w:themeColor="text1"/>
                <w:szCs w:val="21"/>
                <w:highlight w:val="none"/>
                <w14:textFill>
                  <w14:solidFill>
                    <w14:schemeClr w14:val="tx1"/>
                  </w14:solidFill>
                </w14:textFill>
              </w:rPr>
              <w:t>满足项目服务需求的</w:t>
            </w:r>
            <w:r>
              <w:rPr>
                <w:rFonts w:hint="eastAsia" w:ascii="宋体" w:hAnsi="宋体" w:eastAsia="宋体" w:cs="宋体"/>
                <w:color w:val="000000" w:themeColor="text1"/>
                <w:kern w:val="0"/>
                <w:szCs w:val="21"/>
                <w:highlight w:val="none"/>
                <w:lang w:bidi="ar"/>
                <w14:textFill>
                  <w14:solidFill>
                    <w14:schemeClr w14:val="tx1"/>
                  </w14:solidFill>
                </w14:textFill>
              </w:rPr>
              <w:t>得3分；</w:t>
            </w:r>
          </w:p>
          <w:p w14:paraId="3FF45482">
            <w:pPr>
              <w:widowControl/>
              <w:jc w:val="left"/>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（3）详细性、合理性一般，勉强</w:t>
            </w:r>
            <w:r>
              <w:rPr>
                <w:rFonts w:hint="eastAsia" w:ascii="宋体" w:hAnsi="宋体" w:eastAsia="宋体" w:cs="宋体"/>
                <w:color w:val="000000" w:themeColor="text1"/>
                <w:szCs w:val="21"/>
                <w:highlight w:val="none"/>
                <w14:textFill>
                  <w14:solidFill>
                    <w14:schemeClr w14:val="tx1"/>
                  </w14:solidFill>
                </w14:textFill>
              </w:rPr>
              <w:t>满足项目服务需求的</w:t>
            </w:r>
            <w:r>
              <w:rPr>
                <w:rFonts w:hint="eastAsia" w:ascii="宋体" w:hAnsi="宋体" w:eastAsia="宋体" w:cs="宋体"/>
                <w:color w:val="000000" w:themeColor="text1"/>
                <w:kern w:val="0"/>
                <w:szCs w:val="21"/>
                <w:highlight w:val="none"/>
                <w:lang w:bidi="ar"/>
                <w14:textFill>
                  <w14:solidFill>
                    <w14:schemeClr w14:val="tx1"/>
                  </w14:solidFill>
                </w14:textFill>
              </w:rPr>
              <w:t>得1分；</w:t>
            </w:r>
          </w:p>
          <w:p w14:paraId="2E0F6E8C">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与项目实际需要偏差较大或</w:t>
            </w:r>
            <w:r>
              <w:rPr>
                <w:rFonts w:hint="eastAsia" w:ascii="宋体" w:hAnsi="宋体" w:eastAsia="宋体" w:cs="宋体"/>
                <w:color w:val="000000" w:themeColor="text1"/>
                <w:kern w:val="0"/>
                <w:szCs w:val="21"/>
                <w:highlight w:val="none"/>
                <w:lang w:bidi="ar"/>
                <w14:textFill>
                  <w14:solidFill>
                    <w14:schemeClr w14:val="tx1"/>
                  </w14:solidFill>
                </w14:textFill>
              </w:rPr>
              <w:t xml:space="preserve">未提供的不得分。 </w:t>
            </w:r>
          </w:p>
        </w:tc>
        <w:tc>
          <w:tcPr>
            <w:tcW w:w="708" w:type="pct"/>
            <w:tcBorders>
              <w:top w:val="single" w:color="auto" w:sz="4" w:space="0"/>
              <w:left w:val="single" w:color="auto" w:sz="4" w:space="0"/>
              <w:bottom w:val="single" w:color="auto" w:sz="4" w:space="0"/>
              <w:right w:val="single" w:color="auto" w:sz="4" w:space="0"/>
            </w:tcBorders>
            <w:vAlign w:val="center"/>
          </w:tcPr>
          <w:p w14:paraId="56019CFA">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0-5分</w:t>
            </w:r>
          </w:p>
        </w:tc>
      </w:tr>
      <w:tr w14:paraId="4C8A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1ED99C68">
            <w:pPr>
              <w:spacing w:line="360" w:lineRule="auto"/>
              <w:ind w:firstLine="435"/>
              <w:jc w:val="center"/>
              <w:rPr>
                <w:rFonts w:hint="eastAsia" w:ascii="宋体" w:hAnsi="宋体" w:eastAsia="宋体" w:cs="宋体"/>
                <w:b/>
                <w:bCs/>
                <w:color w:val="000000" w:themeColor="text1"/>
                <w:szCs w:val="21"/>
                <w:highlight w:val="none"/>
                <w14:textFill>
                  <w14:solidFill>
                    <w14:schemeClr w14:val="tx1"/>
                  </w14:solidFill>
                </w14:textFill>
              </w:rPr>
            </w:pPr>
          </w:p>
        </w:tc>
        <w:tc>
          <w:tcPr>
            <w:tcW w:w="820" w:type="pct"/>
            <w:tcBorders>
              <w:top w:val="single" w:color="auto" w:sz="4" w:space="0"/>
              <w:left w:val="single" w:color="auto" w:sz="4" w:space="0"/>
              <w:bottom w:val="single" w:color="auto" w:sz="4" w:space="0"/>
              <w:right w:val="single" w:color="auto" w:sz="4" w:space="0"/>
            </w:tcBorders>
            <w:vAlign w:val="center"/>
          </w:tcPr>
          <w:p w14:paraId="6A3D4FA0">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水下专项检测方案</w:t>
            </w:r>
          </w:p>
        </w:tc>
        <w:tc>
          <w:tcPr>
            <w:tcW w:w="2943" w:type="pct"/>
            <w:tcBorders>
              <w:top w:val="single" w:color="auto" w:sz="4" w:space="0"/>
              <w:left w:val="single" w:color="auto" w:sz="4" w:space="0"/>
              <w:bottom w:val="single" w:color="auto" w:sz="4" w:space="0"/>
              <w:right w:val="single" w:color="auto" w:sz="4" w:space="0"/>
            </w:tcBorders>
            <w:vAlign w:val="center"/>
          </w:tcPr>
          <w:p w14:paraId="372D3627">
            <w:pPr>
              <w:widowControl/>
              <w:jc w:val="left"/>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评审小组</w:t>
            </w:r>
            <w:r>
              <w:rPr>
                <w:rFonts w:hint="eastAsia" w:ascii="宋体" w:hAnsi="宋体" w:eastAsia="宋体" w:cs="宋体"/>
                <w:color w:val="000000" w:themeColor="text1"/>
                <w:kern w:val="0"/>
                <w:szCs w:val="21"/>
                <w:highlight w:val="none"/>
                <w:lang w:bidi="ar"/>
                <w14:textFill>
                  <w14:solidFill>
                    <w14:schemeClr w14:val="tx1"/>
                  </w14:solidFill>
                </w14:textFill>
              </w:rPr>
              <w:t>根据</w:t>
            </w:r>
            <w:r>
              <w:rPr>
                <w:rFonts w:hint="eastAsia" w:ascii="宋体" w:hAnsi="宋体" w:eastAsia="宋体" w:cs="宋体"/>
                <w:color w:val="000000" w:themeColor="text1"/>
                <w:szCs w:val="21"/>
                <w:highlight w:val="none"/>
                <w14:textFill>
                  <w14:solidFill>
                    <w14:schemeClr w14:val="tx1"/>
                  </w14:solidFill>
                </w14:textFill>
              </w:rPr>
              <w:t>供应商提供的</w:t>
            </w:r>
            <w:r>
              <w:rPr>
                <w:rFonts w:hint="eastAsia" w:ascii="宋体" w:hAnsi="宋体" w:eastAsia="宋体" w:cs="宋体"/>
                <w:color w:val="000000" w:themeColor="text1"/>
                <w:kern w:val="0"/>
                <w:szCs w:val="21"/>
                <w:highlight w:val="none"/>
                <w:lang w:bidi="ar"/>
                <w14:textFill>
                  <w14:solidFill>
                    <w14:schemeClr w14:val="tx1"/>
                  </w14:solidFill>
                </w14:textFill>
              </w:rPr>
              <w:t>水下专项检测方案进行评分：</w:t>
            </w:r>
          </w:p>
          <w:p w14:paraId="656B5E01">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（1）计划周密详细、合理科学，专项</w:t>
            </w:r>
            <w:r>
              <w:rPr>
                <w:rFonts w:hint="eastAsia" w:ascii="宋体" w:hAnsi="宋体" w:eastAsia="宋体" w:cs="宋体"/>
                <w:color w:val="000000" w:themeColor="text1"/>
                <w:kern w:val="0"/>
                <w:szCs w:val="21"/>
                <w:highlight w:val="none"/>
                <w:lang w:bidi="ar"/>
                <w14:textFill>
                  <w14:solidFill>
                    <w14:schemeClr w14:val="tx1"/>
                  </w14:solidFill>
                </w14:textFill>
              </w:rPr>
              <w:t>检测</w:t>
            </w:r>
            <w:r>
              <w:rPr>
                <w:rFonts w:hint="eastAsia" w:ascii="宋体" w:hAnsi="宋体" w:eastAsia="宋体" w:cs="宋体"/>
                <w:color w:val="000000" w:themeColor="text1"/>
                <w:szCs w:val="21"/>
                <w:highlight w:val="none"/>
                <w14:textFill>
                  <w14:solidFill>
                    <w14:schemeClr w14:val="tx1"/>
                  </w14:solidFill>
                </w14:textFill>
              </w:rPr>
              <w:t>方案充分满足项目实际需要的得5分；</w:t>
            </w:r>
          </w:p>
          <w:p w14:paraId="5A749CCE">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（2）计划较详细、较合理，专项检测方案满足项目实际需要的得3分；</w:t>
            </w:r>
          </w:p>
          <w:p w14:paraId="1178A9AB">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（3）计划详细性、合理性一般，专项检测方案勉强满足项目实际需要的得1分；</w:t>
            </w:r>
          </w:p>
          <w:p w14:paraId="46D44A2E">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（4）与项目实际需要偏差较大或未提供的不得分。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270A266A">
            <w:pPr>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0-5分</w:t>
            </w:r>
          </w:p>
        </w:tc>
      </w:tr>
      <w:tr w14:paraId="23E5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jc w:val="center"/>
        </w:trPr>
        <w:tc>
          <w:tcPr>
            <w:tcW w:w="528" w:type="pct"/>
            <w:vMerge w:val="continue"/>
            <w:tcBorders>
              <w:left w:val="single" w:color="auto" w:sz="4" w:space="0"/>
              <w:right w:val="single" w:color="auto" w:sz="4" w:space="0"/>
            </w:tcBorders>
            <w:vAlign w:val="center"/>
          </w:tcPr>
          <w:p w14:paraId="124CB459">
            <w:pPr>
              <w:spacing w:line="360" w:lineRule="auto"/>
              <w:ind w:firstLine="435"/>
              <w:jc w:val="center"/>
              <w:rPr>
                <w:rFonts w:hint="eastAsia" w:ascii="宋体" w:hAnsi="宋体" w:eastAsia="宋体" w:cs="宋体"/>
                <w:b/>
                <w:bCs/>
                <w:color w:val="000000" w:themeColor="text1"/>
                <w:szCs w:val="21"/>
                <w:highlight w:val="none"/>
                <w14:textFill>
                  <w14:solidFill>
                    <w14:schemeClr w14:val="tx1"/>
                  </w14:solidFill>
                </w14:textFill>
              </w:rPr>
            </w:pPr>
          </w:p>
        </w:tc>
        <w:tc>
          <w:tcPr>
            <w:tcW w:w="820" w:type="pct"/>
            <w:tcBorders>
              <w:top w:val="single" w:color="auto" w:sz="4" w:space="0"/>
              <w:left w:val="single" w:color="auto" w:sz="4" w:space="0"/>
              <w:bottom w:val="single" w:color="auto" w:sz="4" w:space="0"/>
              <w:right w:val="single" w:color="auto" w:sz="4" w:space="0"/>
            </w:tcBorders>
            <w:vAlign w:val="center"/>
          </w:tcPr>
          <w:p w14:paraId="749B6525">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设备配备</w:t>
            </w:r>
          </w:p>
        </w:tc>
        <w:tc>
          <w:tcPr>
            <w:tcW w:w="2943" w:type="pct"/>
            <w:tcBorders>
              <w:top w:val="single" w:color="auto" w:sz="4" w:space="0"/>
              <w:left w:val="single" w:color="auto" w:sz="4" w:space="0"/>
              <w:bottom w:val="single" w:color="auto" w:sz="4" w:space="0"/>
              <w:right w:val="single" w:color="auto" w:sz="4" w:space="0"/>
            </w:tcBorders>
            <w:vAlign w:val="center"/>
          </w:tcPr>
          <w:p w14:paraId="7D261941">
            <w:pPr>
              <w:widowControl/>
              <w:jc w:val="left"/>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评审小组</w:t>
            </w:r>
            <w:r>
              <w:rPr>
                <w:rFonts w:hint="eastAsia" w:ascii="宋体" w:hAnsi="宋体" w:eastAsia="宋体" w:cs="宋体"/>
                <w:color w:val="000000" w:themeColor="text1"/>
                <w:kern w:val="0"/>
                <w:szCs w:val="21"/>
                <w:highlight w:val="none"/>
                <w:lang w:bidi="ar"/>
                <w14:textFill>
                  <w14:solidFill>
                    <w14:schemeClr w14:val="tx1"/>
                  </w14:solidFill>
                </w14:textFill>
              </w:rPr>
              <w:t>根据供应商为本项目拟配备的鉴定设备是否科学合理，设备齐全进行综合评审：</w:t>
            </w:r>
          </w:p>
          <w:p w14:paraId="4AC43E9B">
            <w:pPr>
              <w:widowControl/>
              <w:jc w:val="left"/>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（1）科学合理，设备齐全，</w:t>
            </w:r>
            <w:r>
              <w:rPr>
                <w:rFonts w:hint="eastAsia" w:ascii="宋体" w:hAnsi="宋体" w:eastAsia="宋体" w:cs="宋体"/>
                <w:color w:val="000000" w:themeColor="text1"/>
                <w:szCs w:val="21"/>
                <w:highlight w:val="none"/>
                <w14:textFill>
                  <w14:solidFill>
                    <w14:schemeClr w14:val="tx1"/>
                  </w14:solidFill>
                </w14:textFill>
              </w:rPr>
              <w:t>充分满足项目设备要求的</w:t>
            </w:r>
            <w:r>
              <w:rPr>
                <w:rFonts w:hint="eastAsia" w:ascii="宋体" w:hAnsi="宋体" w:eastAsia="宋体" w:cs="宋体"/>
                <w:color w:val="000000" w:themeColor="text1"/>
                <w:kern w:val="0"/>
                <w:szCs w:val="21"/>
                <w:highlight w:val="none"/>
                <w:lang w:bidi="ar"/>
                <w14:textFill>
                  <w14:solidFill>
                    <w14:schemeClr w14:val="tx1"/>
                  </w14:solidFill>
                </w14:textFill>
              </w:rPr>
              <w:t>得5分；</w:t>
            </w:r>
          </w:p>
          <w:p w14:paraId="1F439554">
            <w:pPr>
              <w:widowControl/>
              <w:jc w:val="left"/>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（2）基本科学合理，设备较齐全，</w:t>
            </w:r>
            <w:r>
              <w:rPr>
                <w:rFonts w:hint="eastAsia" w:ascii="宋体" w:hAnsi="宋体" w:eastAsia="宋体" w:cs="宋体"/>
                <w:color w:val="000000" w:themeColor="text1"/>
                <w:szCs w:val="21"/>
                <w:highlight w:val="none"/>
                <w14:textFill>
                  <w14:solidFill>
                    <w14:schemeClr w14:val="tx1"/>
                  </w14:solidFill>
                </w14:textFill>
              </w:rPr>
              <w:t>满足项目设备要求的</w:t>
            </w:r>
            <w:r>
              <w:rPr>
                <w:rFonts w:hint="eastAsia" w:ascii="宋体" w:hAnsi="宋体" w:eastAsia="宋体" w:cs="宋体"/>
                <w:color w:val="000000" w:themeColor="text1"/>
                <w:kern w:val="0"/>
                <w:szCs w:val="21"/>
                <w:highlight w:val="none"/>
                <w:lang w:bidi="ar"/>
                <w14:textFill>
                  <w14:solidFill>
                    <w14:schemeClr w14:val="tx1"/>
                  </w14:solidFill>
                </w14:textFill>
              </w:rPr>
              <w:t>得3 分；</w:t>
            </w:r>
          </w:p>
          <w:p w14:paraId="1FD83427">
            <w:pPr>
              <w:widowControl/>
              <w:jc w:val="left"/>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（3）科学合理性一般，设备一般，勉强</w:t>
            </w:r>
            <w:r>
              <w:rPr>
                <w:rFonts w:hint="eastAsia" w:ascii="宋体" w:hAnsi="宋体" w:eastAsia="宋体" w:cs="宋体"/>
                <w:color w:val="000000" w:themeColor="text1"/>
                <w:szCs w:val="21"/>
                <w:highlight w:val="none"/>
                <w14:textFill>
                  <w14:solidFill>
                    <w14:schemeClr w14:val="tx1"/>
                  </w14:solidFill>
                </w14:textFill>
              </w:rPr>
              <w:t>满足项目设备要求的</w:t>
            </w:r>
            <w:r>
              <w:rPr>
                <w:rFonts w:hint="eastAsia" w:ascii="宋体" w:hAnsi="宋体" w:eastAsia="宋体" w:cs="宋体"/>
                <w:color w:val="000000" w:themeColor="text1"/>
                <w:kern w:val="0"/>
                <w:szCs w:val="21"/>
                <w:highlight w:val="none"/>
                <w:lang w:bidi="ar"/>
                <w14:textFill>
                  <w14:solidFill>
                    <w14:schemeClr w14:val="tx1"/>
                  </w14:solidFill>
                </w14:textFill>
              </w:rPr>
              <w:t>得1分；</w:t>
            </w:r>
          </w:p>
          <w:p w14:paraId="255798BC">
            <w:pPr>
              <w:widowControl/>
              <w:jc w:val="left"/>
              <w:rPr>
                <w:rFonts w:hint="eastAsia" w:ascii="宋体" w:hAnsi="宋体" w:eastAsia="宋体" w:cs="宋体"/>
                <w:color w:val="000000" w:themeColor="text1"/>
                <w:kern w:val="0"/>
                <w:szCs w:val="21"/>
                <w:highlight w:val="none"/>
                <w:lang w:eastAsia="zh-CN"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与项目实际需要偏差较大或</w:t>
            </w:r>
            <w:r>
              <w:rPr>
                <w:rFonts w:hint="eastAsia" w:ascii="宋体" w:hAnsi="宋体" w:eastAsia="宋体" w:cs="宋体"/>
                <w:color w:val="000000" w:themeColor="text1"/>
                <w:kern w:val="0"/>
                <w:szCs w:val="21"/>
                <w:highlight w:val="none"/>
                <w:lang w:bidi="ar"/>
                <w14:textFill>
                  <w14:solidFill>
                    <w14:schemeClr w14:val="tx1"/>
                  </w14:solidFill>
                </w14:textFill>
              </w:rPr>
              <w:t xml:space="preserve">未提供的不得分。 </w:t>
            </w:r>
          </w:p>
        </w:tc>
        <w:tc>
          <w:tcPr>
            <w:tcW w:w="708" w:type="pct"/>
            <w:tcBorders>
              <w:top w:val="single" w:color="auto" w:sz="4" w:space="0"/>
              <w:left w:val="single" w:color="auto" w:sz="4" w:space="0"/>
              <w:bottom w:val="single" w:color="auto" w:sz="4" w:space="0"/>
              <w:right w:val="single" w:color="auto" w:sz="4" w:space="0"/>
            </w:tcBorders>
            <w:vAlign w:val="center"/>
          </w:tcPr>
          <w:p w14:paraId="0FFA9464">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0-5分</w:t>
            </w:r>
          </w:p>
        </w:tc>
      </w:tr>
      <w:tr w14:paraId="694C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3B33284B">
            <w:pPr>
              <w:spacing w:line="360" w:lineRule="auto"/>
              <w:ind w:firstLine="435"/>
              <w:jc w:val="center"/>
              <w:rPr>
                <w:rFonts w:hint="eastAsia" w:ascii="宋体" w:hAnsi="宋体" w:eastAsia="宋体" w:cs="宋体"/>
                <w:b/>
                <w:bCs/>
                <w:color w:val="000000" w:themeColor="text1"/>
                <w:szCs w:val="21"/>
                <w:highlight w:val="none"/>
                <w14:textFill>
                  <w14:solidFill>
                    <w14:schemeClr w14:val="tx1"/>
                  </w14:solidFill>
                </w14:textFill>
              </w:rPr>
            </w:pPr>
          </w:p>
        </w:tc>
        <w:tc>
          <w:tcPr>
            <w:tcW w:w="820" w:type="pct"/>
            <w:tcBorders>
              <w:top w:val="single" w:color="auto" w:sz="4" w:space="0"/>
              <w:left w:val="single" w:color="auto" w:sz="4" w:space="0"/>
              <w:bottom w:val="single" w:color="auto" w:sz="4" w:space="0"/>
              <w:right w:val="single" w:color="auto" w:sz="4" w:space="0"/>
            </w:tcBorders>
            <w:vAlign w:val="center"/>
          </w:tcPr>
          <w:p w14:paraId="1BB0230B">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重难点分析及解决措施</w:t>
            </w:r>
          </w:p>
        </w:tc>
        <w:tc>
          <w:tcPr>
            <w:tcW w:w="2943" w:type="pct"/>
            <w:tcBorders>
              <w:top w:val="single" w:color="auto" w:sz="4" w:space="0"/>
              <w:left w:val="single" w:color="auto" w:sz="4" w:space="0"/>
              <w:bottom w:val="single" w:color="auto" w:sz="4" w:space="0"/>
              <w:right w:val="single" w:color="auto" w:sz="4" w:space="0"/>
            </w:tcBorders>
            <w:vAlign w:val="center"/>
          </w:tcPr>
          <w:p w14:paraId="0A6E4C1C">
            <w:pPr>
              <w:widowControl/>
              <w:jc w:val="left"/>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评审小组</w:t>
            </w:r>
            <w:r>
              <w:rPr>
                <w:rFonts w:hint="eastAsia" w:ascii="宋体" w:hAnsi="宋体" w:eastAsia="宋体" w:cs="宋体"/>
                <w:color w:val="000000" w:themeColor="text1"/>
                <w:kern w:val="0"/>
                <w:szCs w:val="21"/>
                <w:highlight w:val="none"/>
                <w:lang w:bidi="ar"/>
                <w14:textFill>
                  <w14:solidFill>
                    <w14:schemeClr w14:val="tx1"/>
                  </w14:solidFill>
                </w14:textFill>
              </w:rPr>
              <w:t>根据供应商对项目研究过程中重点、难点及关键过程分析等方面进行综合评审：</w:t>
            </w:r>
          </w:p>
          <w:p w14:paraId="6D85559C">
            <w:pPr>
              <w:widowControl/>
              <w:jc w:val="left"/>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（1）重点、难点及关键过程分析全面、解决措施得当的得5分；</w:t>
            </w:r>
          </w:p>
          <w:p w14:paraId="25ABD507">
            <w:pPr>
              <w:widowControl/>
              <w:jc w:val="left"/>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（2）重点、难点及关键过程分析较全面，解决措施一般的得3分；</w:t>
            </w:r>
          </w:p>
          <w:p w14:paraId="41F6280A">
            <w:pPr>
              <w:widowControl/>
              <w:jc w:val="left"/>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（3）重点、难点及关键过程分析有一定偏差但偏差程度较小的，无法解决的得1分；</w:t>
            </w:r>
          </w:p>
          <w:p w14:paraId="6D455199">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与项目实际需要偏差较大或</w:t>
            </w:r>
            <w:r>
              <w:rPr>
                <w:rFonts w:hint="eastAsia" w:ascii="宋体" w:hAnsi="宋体" w:eastAsia="宋体" w:cs="宋体"/>
                <w:color w:val="000000" w:themeColor="text1"/>
                <w:kern w:val="0"/>
                <w:szCs w:val="21"/>
                <w:highlight w:val="none"/>
                <w:lang w:bidi="ar"/>
                <w14:textFill>
                  <w14:solidFill>
                    <w14:schemeClr w14:val="tx1"/>
                  </w14:solidFill>
                </w14:textFill>
              </w:rPr>
              <w:t>未提供此项内容的不得分。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4516F3CB">
            <w:pPr>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0-5分</w:t>
            </w:r>
          </w:p>
        </w:tc>
      </w:tr>
      <w:tr w14:paraId="26E9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4" w:hRule="atLeast"/>
          <w:jc w:val="center"/>
        </w:trPr>
        <w:tc>
          <w:tcPr>
            <w:tcW w:w="528" w:type="pct"/>
            <w:vMerge w:val="continue"/>
            <w:tcBorders>
              <w:left w:val="single" w:color="auto" w:sz="4" w:space="0"/>
              <w:right w:val="single" w:color="auto" w:sz="4" w:space="0"/>
            </w:tcBorders>
            <w:vAlign w:val="center"/>
          </w:tcPr>
          <w:p w14:paraId="68C80782">
            <w:pPr>
              <w:spacing w:line="360" w:lineRule="auto"/>
              <w:ind w:firstLine="435"/>
              <w:jc w:val="center"/>
              <w:rPr>
                <w:rFonts w:hint="eastAsia" w:ascii="宋体" w:hAnsi="宋体" w:eastAsia="宋体" w:cs="宋体"/>
                <w:b/>
                <w:bCs/>
                <w:color w:val="000000" w:themeColor="text1"/>
                <w:szCs w:val="21"/>
                <w:highlight w:val="none"/>
                <w14:textFill>
                  <w14:solidFill>
                    <w14:schemeClr w14:val="tx1"/>
                  </w14:solidFill>
                </w14:textFill>
              </w:rPr>
            </w:pPr>
          </w:p>
        </w:tc>
        <w:tc>
          <w:tcPr>
            <w:tcW w:w="820" w:type="pct"/>
            <w:tcBorders>
              <w:top w:val="single" w:color="auto" w:sz="4" w:space="0"/>
              <w:left w:val="single" w:color="auto" w:sz="4" w:space="0"/>
              <w:bottom w:val="single" w:color="auto" w:sz="4" w:space="0"/>
              <w:right w:val="single" w:color="auto" w:sz="4" w:space="0"/>
            </w:tcBorders>
            <w:vAlign w:val="center"/>
          </w:tcPr>
          <w:p w14:paraId="40587DC7">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进度计划和合同履行期限保证措施</w:t>
            </w:r>
          </w:p>
        </w:tc>
        <w:tc>
          <w:tcPr>
            <w:tcW w:w="2943" w:type="pct"/>
            <w:tcBorders>
              <w:top w:val="single" w:color="auto" w:sz="4" w:space="0"/>
              <w:left w:val="single" w:color="auto" w:sz="4" w:space="0"/>
              <w:bottom w:val="single" w:color="auto" w:sz="4" w:space="0"/>
              <w:right w:val="single" w:color="auto" w:sz="4" w:space="0"/>
            </w:tcBorders>
            <w:vAlign w:val="center"/>
          </w:tcPr>
          <w:p w14:paraId="049E762C">
            <w:pPr>
              <w:widowControl/>
              <w:jc w:val="left"/>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评审小组</w:t>
            </w:r>
            <w:r>
              <w:rPr>
                <w:rFonts w:hint="eastAsia" w:ascii="宋体" w:hAnsi="宋体" w:eastAsia="宋体" w:cs="宋体"/>
                <w:color w:val="000000" w:themeColor="text1"/>
                <w:kern w:val="0"/>
                <w:szCs w:val="21"/>
                <w:highlight w:val="none"/>
                <w:lang w:bidi="ar"/>
                <w14:textFill>
                  <w14:solidFill>
                    <w14:schemeClr w14:val="tx1"/>
                  </w14:solidFill>
                </w14:textFill>
              </w:rPr>
              <w:t>根据供应商对项目进度提供的计划方案、合同履行期限的提供保证措施进行综合评分：</w:t>
            </w:r>
          </w:p>
          <w:p w14:paraId="79329A1C">
            <w:pPr>
              <w:widowControl/>
              <w:numPr>
                <w:ilvl w:val="0"/>
                <w:numId w:val="5"/>
              </w:numPr>
              <w:jc w:val="left"/>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计划方案完善有效，进度控制合理，合同履行期限充分满足项目要求的得5分；</w:t>
            </w:r>
          </w:p>
          <w:p w14:paraId="707EBFAB">
            <w:pPr>
              <w:widowControl/>
              <w:numPr>
                <w:ilvl w:val="0"/>
                <w:numId w:val="5"/>
              </w:numPr>
              <w:jc w:val="left"/>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计划方案完善比较有效，进度控制比较合理，合同履行期限满足项目要求的得3分；</w:t>
            </w:r>
          </w:p>
          <w:p w14:paraId="25A42EBD">
            <w:pPr>
              <w:widowControl/>
              <w:numPr>
                <w:ilvl w:val="0"/>
                <w:numId w:val="5"/>
              </w:numPr>
              <w:jc w:val="left"/>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计划方案和进度控制一般，合同履行期限勉强满足项目要求的得1分。</w:t>
            </w:r>
          </w:p>
          <w:p w14:paraId="0F25D2C3">
            <w:pPr>
              <w:widowControl/>
              <w:numPr>
                <w:ilvl w:val="0"/>
                <w:numId w:val="5"/>
              </w:num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未提供此项内容的不得分。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6D031DBB">
            <w:pPr>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0-5分</w:t>
            </w:r>
          </w:p>
        </w:tc>
      </w:tr>
      <w:tr w14:paraId="10B7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tcBorders>
              <w:left w:val="single" w:color="auto" w:sz="4" w:space="0"/>
              <w:right w:val="single" w:color="auto" w:sz="4" w:space="0"/>
            </w:tcBorders>
            <w:vAlign w:val="center"/>
          </w:tcPr>
          <w:p w14:paraId="5FA70746">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价格分</w:t>
            </w:r>
          </w:p>
          <w:p w14:paraId="5EE1679B">
            <w:pPr>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分）</w:t>
            </w:r>
          </w:p>
        </w:tc>
        <w:tc>
          <w:tcPr>
            <w:tcW w:w="4471" w:type="pct"/>
            <w:gridSpan w:val="3"/>
            <w:tcBorders>
              <w:top w:val="single" w:color="auto" w:sz="4" w:space="0"/>
              <w:left w:val="single" w:color="auto" w:sz="4" w:space="0"/>
              <w:bottom w:val="single" w:color="auto" w:sz="4" w:space="0"/>
              <w:right w:val="single" w:color="auto" w:sz="4" w:space="0"/>
            </w:tcBorders>
            <w:vAlign w:val="center"/>
          </w:tcPr>
          <w:p w14:paraId="69B75835">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价格分统一采用低价优先法，即满足磋商文件要求且最后报价最低的供应商的价格为磋商基准价，其价格分为满分</w:t>
            </w:r>
            <w:r>
              <w:rPr>
                <w:rFonts w:hint="eastAsia" w:ascii="宋体" w:hAnsi="宋体" w:eastAsia="宋体" w:cs="宋体"/>
                <w:color w:val="000000" w:themeColor="text1"/>
                <w:szCs w:val="21"/>
                <w:highlight w:val="none"/>
                <w:u w:val="single"/>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分。其他供应商的价格分统一按照下列公式计算：</w:t>
            </w:r>
          </w:p>
          <w:p w14:paraId="081C5369">
            <w:pPr>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磋商报价得分＝（磋商基准价/最后磋商报价）×</w:t>
            </w:r>
            <w:r>
              <w:rPr>
                <w:rFonts w:hint="eastAsia" w:ascii="宋体" w:hAnsi="宋体" w:eastAsia="宋体" w:cs="宋体"/>
                <w:color w:val="000000" w:themeColor="text1"/>
                <w:szCs w:val="21"/>
                <w:highlight w:val="none"/>
                <w:u w:val="single"/>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％×100</w:t>
            </w:r>
          </w:p>
        </w:tc>
      </w:tr>
    </w:tbl>
    <w:p w14:paraId="6AB40729">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2.2.3分值汇总</w:t>
      </w:r>
    </w:p>
    <w:p w14:paraId="266EB535">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（1）磋商小组各成员应当独立对每个有效响应的文件进行评价、打分，然后汇总每个供应商每项评分因素的得分，再取各位评委评分之平均值，四舍五入保留至小数点后两位数，得到该供应商的技术资信分。</w:t>
      </w:r>
    </w:p>
    <w:p w14:paraId="267A64E4">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（2）将每个供应商的技术资信分加上根据上述标准计算出的价格分，即为该供应商的综合总得分。</w:t>
      </w:r>
    </w:p>
    <w:p w14:paraId="3ADDFF35">
      <w:pPr>
        <w:widowControl/>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14:paraId="15D07549">
      <w:pPr>
        <w:spacing w:line="360" w:lineRule="auto"/>
        <w:jc w:val="center"/>
        <w:outlineLvl w:val="0"/>
        <w:rPr>
          <w:rFonts w:hint="eastAsia" w:ascii="宋体" w:hAnsi="宋体" w:eastAsia="宋体" w:cs="宋体"/>
          <w:b/>
          <w:color w:val="000000" w:themeColor="text1"/>
          <w:sz w:val="28"/>
          <w:highlight w:val="none"/>
          <w14:textFill>
            <w14:solidFill>
              <w14:schemeClr w14:val="tx1"/>
            </w14:solidFill>
          </w14:textFill>
        </w:rPr>
      </w:pPr>
      <w:bookmarkStart w:id="77" w:name="_Toc63440929"/>
      <w:bookmarkStart w:id="78" w:name="_Toc17167"/>
      <w:r>
        <w:rPr>
          <w:rFonts w:hint="eastAsia" w:ascii="宋体" w:hAnsi="宋体" w:eastAsia="宋体" w:cs="宋体"/>
          <w:b/>
          <w:color w:val="000000" w:themeColor="text1"/>
          <w:sz w:val="28"/>
          <w:highlight w:val="none"/>
          <w14:textFill>
            <w14:solidFill>
              <w14:schemeClr w14:val="tx1"/>
            </w14:solidFill>
          </w14:textFill>
        </w:rPr>
        <w:t>第五章  政府采购合同</w:t>
      </w:r>
      <w:bookmarkEnd w:id="77"/>
      <w:bookmarkEnd w:id="78"/>
    </w:p>
    <w:p w14:paraId="1E4A1BF2">
      <w:pPr>
        <w:spacing w:line="480" w:lineRule="auto"/>
        <w:jc w:val="center"/>
        <w:rPr>
          <w:rFonts w:hint="eastAsia" w:ascii="宋体" w:hAnsi="宋体" w:eastAsia="宋体" w:cs="宋体"/>
          <w:b/>
          <w:color w:val="000000" w:themeColor="text1"/>
          <w:sz w:val="24"/>
          <w:highlight w:val="none"/>
          <w14:textFill>
            <w14:solidFill>
              <w14:schemeClr w14:val="tx1"/>
            </w14:solidFill>
          </w14:textFill>
        </w:rPr>
      </w:pPr>
    </w:p>
    <w:p w14:paraId="35BC683A">
      <w:pPr>
        <w:spacing w:line="360" w:lineRule="auto"/>
        <w:jc w:val="center"/>
        <w:outlineLvl w:val="1"/>
        <w:rPr>
          <w:rFonts w:hint="eastAsia" w:ascii="宋体" w:hAnsi="宋体" w:eastAsia="宋体" w:cs="宋体"/>
          <w:b/>
          <w:color w:val="000000" w:themeColor="text1"/>
          <w:sz w:val="24"/>
          <w:highlight w:val="none"/>
          <w14:textFill>
            <w14:solidFill>
              <w14:schemeClr w14:val="tx1"/>
            </w14:solidFill>
          </w14:textFill>
        </w:rPr>
      </w:pPr>
      <w:bookmarkStart w:id="79" w:name="_Toc30604"/>
      <w:r>
        <w:rPr>
          <w:rFonts w:hint="eastAsia" w:ascii="宋体" w:hAnsi="宋体" w:eastAsia="宋体" w:cs="宋体"/>
          <w:b/>
          <w:color w:val="000000" w:themeColor="text1"/>
          <w:sz w:val="24"/>
          <w:highlight w:val="none"/>
          <w14:textFill>
            <w14:solidFill>
              <w14:schemeClr w14:val="tx1"/>
            </w14:solidFill>
          </w14:textFill>
        </w:rPr>
        <w:t>第一部分 合同书</w:t>
      </w:r>
      <w:bookmarkEnd w:id="79"/>
    </w:p>
    <w:p w14:paraId="6541D62B">
      <w:pPr>
        <w:spacing w:line="480" w:lineRule="auto"/>
        <w:jc w:val="center"/>
        <w:rPr>
          <w:rFonts w:hint="eastAsia" w:ascii="宋体" w:hAnsi="宋体" w:eastAsia="宋体" w:cs="宋体"/>
          <w:b/>
          <w:color w:val="000000" w:themeColor="text1"/>
          <w:sz w:val="24"/>
          <w:highlight w:val="none"/>
          <w14:textFill>
            <w14:solidFill>
              <w14:schemeClr w14:val="tx1"/>
            </w14:solidFill>
          </w14:textFill>
        </w:rPr>
      </w:pPr>
    </w:p>
    <w:p w14:paraId="172D2CA2">
      <w:pPr>
        <w:spacing w:line="480" w:lineRule="auto"/>
        <w:jc w:val="center"/>
        <w:rPr>
          <w:rFonts w:hint="eastAsia" w:ascii="宋体" w:hAnsi="宋体" w:eastAsia="宋体" w:cs="宋体"/>
          <w:b/>
          <w:color w:val="000000" w:themeColor="text1"/>
          <w:sz w:val="24"/>
          <w:highlight w:val="none"/>
          <w14:textFill>
            <w14:solidFill>
              <w14:schemeClr w14:val="tx1"/>
            </w14:solidFill>
          </w14:textFill>
        </w:rPr>
      </w:pPr>
    </w:p>
    <w:p w14:paraId="5A47D854">
      <w:pPr>
        <w:spacing w:line="480" w:lineRule="auto"/>
        <w:jc w:val="center"/>
        <w:rPr>
          <w:rFonts w:hint="eastAsia" w:ascii="宋体" w:hAnsi="宋体" w:eastAsia="宋体" w:cs="宋体"/>
          <w:b/>
          <w:color w:val="000000" w:themeColor="text1"/>
          <w:sz w:val="24"/>
          <w:highlight w:val="none"/>
          <w14:textFill>
            <w14:solidFill>
              <w14:schemeClr w14:val="tx1"/>
            </w14:solidFill>
          </w14:textFill>
        </w:rPr>
      </w:pPr>
    </w:p>
    <w:p w14:paraId="1752B254">
      <w:pPr>
        <w:spacing w:before="120" w:line="480" w:lineRule="auto"/>
        <w:ind w:left="960"/>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508CC8DB">
      <w:pPr>
        <w:spacing w:before="120" w:line="480" w:lineRule="auto"/>
        <w:ind w:left="96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6E9F5746">
      <w:pPr>
        <w:spacing w:before="120" w:line="480" w:lineRule="auto"/>
        <w:ind w:left="96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甲方（采购人）：</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69D1E2A0">
      <w:pPr>
        <w:spacing w:before="120" w:line="480" w:lineRule="auto"/>
        <w:ind w:left="96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乙方（成交供应商）：</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2EFF448C">
      <w:pPr>
        <w:spacing w:before="120" w:line="480" w:lineRule="auto"/>
        <w:ind w:firstLine="960" w:firstLineChars="4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签订地：</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7E4EF4B0">
      <w:pPr>
        <w:spacing w:before="120" w:line="480" w:lineRule="auto"/>
        <w:ind w:firstLine="960" w:firstLineChars="4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签订日期：</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14:paraId="17A2764B">
      <w:pPr>
        <w:widowControl/>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14:paraId="4025DE8A">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甲方：</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2469E920">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乙方：</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460C4EA1">
      <w:pPr>
        <w:spacing w:line="360" w:lineRule="auto"/>
        <w:ind w:firstLine="435"/>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259F859F">
      <w:pPr>
        <w:spacing w:line="360" w:lineRule="auto"/>
        <w:ind w:firstLine="437"/>
        <w:outlineLvl w:val="2"/>
        <w:rPr>
          <w:rFonts w:hint="eastAsia" w:ascii="宋体" w:hAnsi="宋体" w:eastAsia="宋体" w:cs="宋体"/>
          <w:b/>
          <w:bCs/>
          <w:color w:val="000000" w:themeColor="text1"/>
          <w:sz w:val="24"/>
          <w:highlight w:val="none"/>
          <w:lang w:val="zh-CN"/>
          <w14:textFill>
            <w14:solidFill>
              <w14:schemeClr w14:val="tx1"/>
            </w14:solidFill>
          </w14:textFill>
        </w:rPr>
      </w:pPr>
      <w:bookmarkStart w:id="80" w:name="_Toc24059"/>
      <w:bookmarkStart w:id="81" w:name="_Toc3029"/>
      <w:bookmarkStart w:id="82" w:name="_Toc2232"/>
      <w:r>
        <w:rPr>
          <w:rFonts w:hint="eastAsia" w:ascii="宋体" w:hAnsi="宋体" w:eastAsia="宋体" w:cs="宋体"/>
          <w:b/>
          <w:bCs/>
          <w:color w:val="000000" w:themeColor="text1"/>
          <w:sz w:val="24"/>
          <w:highlight w:val="none"/>
          <w:lang w:val="zh-CN"/>
          <w14:textFill>
            <w14:solidFill>
              <w14:schemeClr w14:val="tx1"/>
            </w14:solidFill>
          </w14:textFill>
        </w:rPr>
        <w:t>1.1 合同组成部分</w:t>
      </w:r>
      <w:bookmarkEnd w:id="80"/>
      <w:bookmarkEnd w:id="81"/>
      <w:bookmarkEnd w:id="82"/>
    </w:p>
    <w:p w14:paraId="0962F179">
      <w:pPr>
        <w:spacing w:line="360" w:lineRule="auto"/>
        <w:ind w:firstLine="435"/>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50450C22">
      <w:pPr>
        <w:spacing w:line="360" w:lineRule="auto"/>
        <w:ind w:firstLine="435"/>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1.1.1本合同及其补充合同、变更协议；</w:t>
      </w:r>
    </w:p>
    <w:p w14:paraId="7BEA1229">
      <w:pPr>
        <w:spacing w:line="360" w:lineRule="auto"/>
        <w:ind w:firstLine="435"/>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1.1.2成交通知书；</w:t>
      </w:r>
    </w:p>
    <w:p w14:paraId="344400EB">
      <w:pPr>
        <w:spacing w:line="360" w:lineRule="auto"/>
        <w:ind w:firstLine="435"/>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1.1.3响应文件（含澄清或者说明文件）；</w:t>
      </w:r>
    </w:p>
    <w:p w14:paraId="4EE76938">
      <w:pPr>
        <w:spacing w:line="360" w:lineRule="auto"/>
        <w:ind w:firstLine="435"/>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1.1.4磋商文件（含澄清或者修改文件）；</w:t>
      </w:r>
    </w:p>
    <w:p w14:paraId="47DAFDFF">
      <w:pPr>
        <w:spacing w:line="360" w:lineRule="auto"/>
        <w:ind w:firstLine="435"/>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1.1.5其他相关采购文件。</w:t>
      </w:r>
    </w:p>
    <w:p w14:paraId="46F74073">
      <w:pPr>
        <w:spacing w:line="360" w:lineRule="auto"/>
        <w:ind w:firstLine="437"/>
        <w:outlineLvl w:val="2"/>
        <w:rPr>
          <w:rFonts w:hint="eastAsia" w:ascii="宋体" w:hAnsi="宋体" w:eastAsia="宋体" w:cs="宋体"/>
          <w:b/>
          <w:bCs/>
          <w:color w:val="000000" w:themeColor="text1"/>
          <w:sz w:val="24"/>
          <w:highlight w:val="none"/>
          <w:lang w:val="zh-CN"/>
          <w14:textFill>
            <w14:solidFill>
              <w14:schemeClr w14:val="tx1"/>
            </w14:solidFill>
          </w14:textFill>
        </w:rPr>
      </w:pPr>
      <w:bookmarkStart w:id="83" w:name="_Toc2918"/>
      <w:bookmarkStart w:id="84" w:name="_Toc22185"/>
      <w:bookmarkStart w:id="85" w:name="_Toc18585"/>
      <w:bookmarkStart w:id="86" w:name="_Toc6773"/>
      <w:bookmarkStart w:id="87" w:name="_Toc6311"/>
      <w:r>
        <w:rPr>
          <w:rFonts w:hint="eastAsia" w:ascii="宋体" w:hAnsi="宋体" w:eastAsia="宋体" w:cs="宋体"/>
          <w:b/>
          <w:bCs/>
          <w:color w:val="000000" w:themeColor="text1"/>
          <w:sz w:val="24"/>
          <w:highlight w:val="none"/>
          <w:lang w:val="zh-CN"/>
          <w14:textFill>
            <w14:solidFill>
              <w14:schemeClr w14:val="tx1"/>
            </w14:solidFill>
          </w14:textFill>
        </w:rPr>
        <w:t xml:space="preserve">1.2 </w:t>
      </w:r>
      <w:bookmarkEnd w:id="83"/>
      <w:bookmarkEnd w:id="84"/>
      <w:bookmarkEnd w:id="85"/>
      <w:bookmarkEnd w:id="86"/>
      <w:bookmarkEnd w:id="87"/>
      <w:r>
        <w:rPr>
          <w:rFonts w:hint="eastAsia" w:ascii="宋体" w:hAnsi="宋体" w:eastAsia="宋体" w:cs="宋体"/>
          <w:b/>
          <w:bCs/>
          <w:color w:val="000000" w:themeColor="text1"/>
          <w:sz w:val="24"/>
          <w:highlight w:val="none"/>
          <w:lang w:val="zh-CN"/>
          <w14:textFill>
            <w14:solidFill>
              <w14:schemeClr w14:val="tx1"/>
            </w14:solidFill>
          </w14:textFill>
        </w:rPr>
        <w:t>服务</w:t>
      </w:r>
    </w:p>
    <w:p w14:paraId="2A78076A">
      <w:pPr>
        <w:spacing w:line="360" w:lineRule="auto"/>
        <w:ind w:firstLine="435"/>
        <w:rPr>
          <w:rFonts w:hint="eastAsia" w:ascii="宋体" w:hAnsi="宋体" w:eastAsia="宋体" w:cs="宋体"/>
          <w:color w:val="000000" w:themeColor="text1"/>
          <w:sz w:val="24"/>
          <w:highlight w:val="none"/>
          <w:u w:val="singl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1.2.1服务名称：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14:paraId="57067DE6">
      <w:pPr>
        <w:spacing w:line="360" w:lineRule="auto"/>
        <w:ind w:firstLine="435"/>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1.2.2服务内容：</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0DBC5977">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1.2.3服务质量：</w:t>
      </w:r>
      <w:r>
        <w:rPr>
          <w:rFonts w:hint="eastAsia" w:ascii="宋体" w:hAnsi="宋体" w:eastAsia="宋体" w:cs="宋体"/>
          <w:color w:val="000000" w:themeColor="text1"/>
          <w:sz w:val="24"/>
          <w:szCs w:val="24"/>
          <w:highlight w:val="none"/>
          <w:u w:val="single"/>
          <w14:textFill>
            <w14:solidFill>
              <w14:schemeClr w14:val="tx1"/>
            </w14:solidFill>
          </w14:textFill>
        </w:rPr>
        <w:t>符合国家法律法规及相关规范标准要求，通过审查。</w:t>
      </w:r>
    </w:p>
    <w:p w14:paraId="6AD433BD">
      <w:pPr>
        <w:spacing w:line="360" w:lineRule="auto"/>
        <w:ind w:firstLine="437"/>
        <w:outlineLvl w:val="2"/>
        <w:rPr>
          <w:rFonts w:hint="eastAsia" w:ascii="宋体" w:hAnsi="宋体" w:eastAsia="宋体" w:cs="宋体"/>
          <w:b/>
          <w:bCs/>
          <w:color w:val="000000" w:themeColor="text1"/>
          <w:sz w:val="24"/>
          <w:highlight w:val="none"/>
          <w:lang w:val="zh-CN"/>
          <w14:textFill>
            <w14:solidFill>
              <w14:schemeClr w14:val="tx1"/>
            </w14:solidFill>
          </w14:textFill>
        </w:rPr>
      </w:pPr>
      <w:bookmarkStart w:id="88" w:name="_Toc21551"/>
      <w:bookmarkStart w:id="89" w:name="_Toc21631"/>
      <w:bookmarkStart w:id="90" w:name="_Toc23292"/>
      <w:r>
        <w:rPr>
          <w:rFonts w:hint="eastAsia" w:ascii="宋体" w:hAnsi="宋体" w:eastAsia="宋体" w:cs="宋体"/>
          <w:b/>
          <w:bCs/>
          <w:color w:val="000000" w:themeColor="text1"/>
          <w:sz w:val="24"/>
          <w:highlight w:val="none"/>
          <w:lang w:val="zh-CN"/>
          <w14:textFill>
            <w14:solidFill>
              <w14:schemeClr w14:val="tx1"/>
            </w14:solidFill>
          </w14:textFill>
        </w:rPr>
        <w:t>1.3 价款</w:t>
      </w:r>
      <w:bookmarkEnd w:id="88"/>
      <w:bookmarkEnd w:id="89"/>
      <w:bookmarkEnd w:id="90"/>
    </w:p>
    <w:p w14:paraId="1F107095">
      <w:pPr>
        <w:spacing w:line="360" w:lineRule="auto"/>
        <w:ind w:firstLine="435"/>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本合同总价为：￥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元（大写：人民币</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元）。</w:t>
      </w:r>
    </w:p>
    <w:p w14:paraId="42E548D8">
      <w:pPr>
        <w:spacing w:line="360" w:lineRule="auto"/>
        <w:ind w:firstLine="437"/>
        <w:outlineLvl w:val="2"/>
        <w:rPr>
          <w:rFonts w:hint="eastAsia" w:ascii="宋体" w:hAnsi="宋体" w:eastAsia="宋体" w:cs="宋体"/>
          <w:b/>
          <w:bCs/>
          <w:color w:val="000000" w:themeColor="text1"/>
          <w:sz w:val="24"/>
          <w:highlight w:val="none"/>
          <w:lang w:val="zh-CN"/>
          <w14:textFill>
            <w14:solidFill>
              <w14:schemeClr w14:val="tx1"/>
            </w14:solidFill>
          </w14:textFill>
        </w:rPr>
      </w:pPr>
      <w:bookmarkStart w:id="91" w:name="_Toc10340"/>
      <w:bookmarkStart w:id="92" w:name="_Toc22618"/>
      <w:bookmarkStart w:id="93" w:name="_Toc1814"/>
      <w:r>
        <w:rPr>
          <w:rFonts w:hint="eastAsia" w:ascii="宋体" w:hAnsi="宋体" w:eastAsia="宋体" w:cs="宋体"/>
          <w:b/>
          <w:bCs/>
          <w:color w:val="000000" w:themeColor="text1"/>
          <w:sz w:val="24"/>
          <w:highlight w:val="none"/>
          <w:lang w:val="zh-CN"/>
          <w14:textFill>
            <w14:solidFill>
              <w14:schemeClr w14:val="tx1"/>
            </w14:solidFill>
          </w14:textFill>
        </w:rPr>
        <w:t>1.4 付款方式和发票开具方式</w:t>
      </w:r>
      <w:bookmarkEnd w:id="91"/>
      <w:bookmarkEnd w:id="92"/>
      <w:bookmarkEnd w:id="93"/>
    </w:p>
    <w:p w14:paraId="3A7FDCAF">
      <w:pPr>
        <w:widowControl/>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1.4.1付款方式：</w:t>
      </w:r>
    </w:p>
    <w:p w14:paraId="4F8AD29F">
      <w:pPr>
        <w:widowControl/>
        <w:spacing w:line="36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①</w:t>
      </w:r>
      <w:r>
        <w:rPr>
          <w:rFonts w:hint="eastAsia" w:ascii="宋体" w:hAnsi="宋体" w:eastAsia="宋体" w:cs="宋体"/>
          <w:bCs/>
          <w:color w:val="000000" w:themeColor="text1"/>
          <w:kern w:val="0"/>
          <w:sz w:val="24"/>
          <w:szCs w:val="24"/>
          <w:highlight w:val="none"/>
          <w14:textFill>
            <w14:solidFill>
              <w14:schemeClr w14:val="tx1"/>
            </w14:solidFill>
          </w14:textFill>
        </w:rPr>
        <w:t>合同签订后，经乙方申请并提交银行、保险公司、担保公司等金融机构出具的金额为合同总价40%的预付款保函作为担保，经甲方审核确认后，</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按规定及时</w:t>
      </w:r>
      <w:r>
        <w:rPr>
          <w:rFonts w:hint="eastAsia" w:ascii="宋体" w:hAnsi="宋体" w:eastAsia="宋体" w:cs="宋体"/>
          <w:bCs/>
          <w:color w:val="000000" w:themeColor="text1"/>
          <w:kern w:val="0"/>
          <w:sz w:val="24"/>
          <w:szCs w:val="24"/>
          <w:highlight w:val="none"/>
          <w14:textFill>
            <w14:solidFill>
              <w14:schemeClr w14:val="tx1"/>
            </w14:solidFill>
          </w14:textFill>
        </w:rPr>
        <w:t>向乙方支付合同总价的40%作为预付款；合同款按进度支付，提交甲方认可的全部成果后支付至合同价的90%</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sz w:val="24"/>
          <w:szCs w:val="24"/>
          <w:lang w:val="en-US" w:eastAsia="zh-CN"/>
        </w:rPr>
        <w:t>并一次性扣回所有预付款，年度验收合格并经结算审核后，支付至结算价的100%</w:t>
      </w:r>
      <w:r>
        <w:rPr>
          <w:rFonts w:hint="eastAsia" w:ascii="宋体" w:hAnsi="宋体" w:eastAsia="宋体" w:cs="宋体"/>
          <w:b/>
          <w:sz w:val="24"/>
          <w:szCs w:val="24"/>
        </w:rPr>
        <w:t>。</w:t>
      </w:r>
    </w:p>
    <w:p w14:paraId="4DD24D9A">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②</w:t>
      </w:r>
      <w:r>
        <w:rPr>
          <w:rFonts w:hint="eastAsia" w:ascii="宋体" w:hAnsi="宋体" w:eastAsia="宋体" w:cs="宋体"/>
          <w:bCs/>
          <w:color w:val="000000" w:themeColor="text1"/>
          <w:kern w:val="0"/>
          <w:sz w:val="24"/>
          <w:szCs w:val="24"/>
          <w:highlight w:val="none"/>
          <w14:textFill>
            <w14:solidFill>
              <w14:schemeClr w14:val="tx1"/>
            </w14:solidFill>
          </w14:textFill>
        </w:rPr>
        <w:t>在签订合同时，乙方书面明确表示无需预付款，即乙方无需提供预付款担保，按皖财购〔2022〕556号规定，合同甲方可不再支付预付款。</w:t>
      </w:r>
    </w:p>
    <w:p w14:paraId="7328B6D2">
      <w:pPr>
        <w:widowControl/>
        <w:spacing w:line="360" w:lineRule="auto"/>
        <w:jc w:val="left"/>
        <w:rPr>
          <w:rFonts w:hint="eastAsia" w:ascii="宋体" w:hAnsi="宋体" w:eastAsia="宋体" w:cs="宋体"/>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合同款按进度支付，提交甲方认可的全部成果后支付至合同价的90%；年度验收合格并经结算审核后，支付至结算价的100%</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w:t>
      </w:r>
    </w:p>
    <w:p w14:paraId="344B29AD">
      <w:pPr>
        <w:widowControl/>
        <w:spacing w:line="360" w:lineRule="auto"/>
        <w:ind w:firstLine="482" w:firstLineChars="200"/>
        <w:jc w:val="left"/>
        <w:rPr>
          <w:rFonts w:hint="eastAsia" w:ascii="宋体" w:hAnsi="宋体" w:eastAsia="宋体" w:cs="宋体"/>
          <w:b/>
          <w:sz w:val="24"/>
          <w:szCs w:val="24"/>
          <w:lang w:val="en-US" w:eastAsia="zh-CN"/>
        </w:rPr>
      </w:pPr>
      <w:r>
        <w:rPr>
          <w:rFonts w:hint="eastAsia" w:ascii="宋体" w:hAnsi="宋体" w:eastAsia="宋体" w:cs="宋体"/>
          <w:b/>
          <w:bCs w:val="0"/>
          <w:color w:val="000000" w:themeColor="text1"/>
          <w:kern w:val="0"/>
          <w:sz w:val="24"/>
          <w:szCs w:val="24"/>
          <w:highlight w:val="none"/>
          <w14:textFill>
            <w14:solidFill>
              <w14:schemeClr w14:val="tx1"/>
            </w14:solidFill>
          </w14:textFill>
        </w:rPr>
        <w:t>备注：预付款支付前，乙方须提交银行、保险公司、担保公司等金融机构出具的预付款保函（见索即付保函）。</w:t>
      </w:r>
    </w:p>
    <w:p w14:paraId="5E50D6E0">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1.4.2发票开具方式：</w:t>
      </w:r>
      <w:r>
        <w:rPr>
          <w:rFonts w:hint="eastAsia" w:ascii="宋体" w:hAnsi="宋体" w:eastAsia="宋体" w:cs="宋体"/>
          <w:color w:val="000000" w:themeColor="text1"/>
          <w:sz w:val="24"/>
          <w:highlight w:val="none"/>
          <w:u w:val="single"/>
          <w14:textFill>
            <w14:solidFill>
              <w14:schemeClr w14:val="tx1"/>
            </w14:solidFill>
          </w14:textFill>
        </w:rPr>
        <w:t xml:space="preserve"> 每次付款前乙方按甲方要求出具增值税发票  </w:t>
      </w:r>
      <w:r>
        <w:rPr>
          <w:rFonts w:hint="eastAsia" w:ascii="宋体" w:hAnsi="宋体" w:eastAsia="宋体" w:cs="宋体"/>
          <w:color w:val="000000" w:themeColor="text1"/>
          <w:sz w:val="24"/>
          <w:highlight w:val="none"/>
          <w14:textFill>
            <w14:solidFill>
              <w14:schemeClr w14:val="tx1"/>
            </w14:solidFill>
          </w14:textFill>
        </w:rPr>
        <w:t>。</w:t>
      </w:r>
    </w:p>
    <w:p w14:paraId="74EC677F">
      <w:pPr>
        <w:spacing w:line="360" w:lineRule="auto"/>
        <w:ind w:firstLine="437"/>
        <w:outlineLvl w:val="2"/>
        <w:rPr>
          <w:rFonts w:hint="eastAsia" w:ascii="宋体" w:hAnsi="宋体" w:eastAsia="宋体" w:cs="宋体"/>
          <w:b/>
          <w:bCs/>
          <w:color w:val="000000" w:themeColor="text1"/>
          <w:sz w:val="24"/>
          <w:highlight w:val="none"/>
          <w:lang w:val="zh-CN"/>
          <w14:textFill>
            <w14:solidFill>
              <w14:schemeClr w14:val="tx1"/>
            </w14:solidFill>
          </w14:textFill>
        </w:rPr>
      </w:pPr>
      <w:bookmarkStart w:id="94" w:name="_Toc32071"/>
      <w:bookmarkStart w:id="95" w:name="_Toc2846"/>
      <w:bookmarkStart w:id="96" w:name="_Toc19304"/>
      <w:r>
        <w:rPr>
          <w:rFonts w:hint="eastAsia" w:ascii="宋体" w:hAnsi="宋体" w:eastAsia="宋体" w:cs="宋体"/>
          <w:b/>
          <w:bCs/>
          <w:color w:val="000000" w:themeColor="text1"/>
          <w:sz w:val="24"/>
          <w:highlight w:val="none"/>
          <w:lang w:val="zh-CN"/>
          <w14:textFill>
            <w14:solidFill>
              <w14:schemeClr w14:val="tx1"/>
            </w14:solidFill>
          </w14:textFill>
        </w:rPr>
        <w:t>1.5 服务期限、地点和方式</w:t>
      </w:r>
      <w:bookmarkEnd w:id="94"/>
      <w:bookmarkEnd w:id="95"/>
      <w:bookmarkEnd w:id="96"/>
    </w:p>
    <w:p w14:paraId="5C9BE3C1">
      <w:pPr>
        <w:spacing w:line="360" w:lineRule="auto"/>
        <w:ind w:firstLine="435"/>
        <w:rPr>
          <w:rFonts w:hint="eastAsia"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1.5.1服务期限：</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14:paraId="4EF2EA5A">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1.5.2服务地点：</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14:paraId="555706EA">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1.5.3服务方式：</w:t>
      </w:r>
      <w:r>
        <w:rPr>
          <w:rFonts w:hint="eastAsia" w:ascii="宋体" w:hAnsi="宋体" w:eastAsia="宋体" w:cs="宋体"/>
          <w:color w:val="000000" w:themeColor="text1"/>
          <w:sz w:val="24"/>
          <w:highlight w:val="none"/>
          <w:u w:val="single"/>
          <w14:textFill>
            <w14:solidFill>
              <w14:schemeClr w14:val="tx1"/>
            </w14:solidFill>
          </w14:textFill>
        </w:rPr>
        <w:t xml:space="preserve"> 技术服务 </w:t>
      </w:r>
      <w:r>
        <w:rPr>
          <w:rFonts w:hint="eastAsia" w:ascii="宋体" w:hAnsi="宋体" w:eastAsia="宋体" w:cs="宋体"/>
          <w:color w:val="000000" w:themeColor="text1"/>
          <w:sz w:val="24"/>
          <w:highlight w:val="none"/>
          <w14:textFill>
            <w14:solidFill>
              <w14:schemeClr w14:val="tx1"/>
            </w14:solidFill>
          </w14:textFill>
        </w:rPr>
        <w:t>。</w:t>
      </w:r>
    </w:p>
    <w:p w14:paraId="4085CD65">
      <w:pPr>
        <w:spacing w:line="360" w:lineRule="auto"/>
        <w:ind w:firstLine="437"/>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bookmarkStart w:id="97" w:name="_Toc21423"/>
      <w:bookmarkStart w:id="98" w:name="_Toc19554"/>
      <w:bookmarkStart w:id="99" w:name="_Toc27250"/>
      <w:bookmarkStart w:id="100" w:name="_Toc331685783"/>
      <w:bookmarkStart w:id="101" w:name="_Toc8809"/>
      <w:r>
        <w:rPr>
          <w:rFonts w:hint="eastAsia" w:ascii="宋体" w:hAnsi="宋体" w:eastAsia="宋体" w:cs="宋体"/>
          <w:b/>
          <w:bCs/>
          <w:color w:val="000000" w:themeColor="text1"/>
          <w:sz w:val="24"/>
          <w:szCs w:val="24"/>
          <w:highlight w:val="none"/>
          <w:lang w:val="zh-CN"/>
          <w14:textFill>
            <w14:solidFill>
              <w14:schemeClr w14:val="tx1"/>
            </w14:solidFill>
          </w14:textFill>
        </w:rPr>
        <w:t>1.6 违约责任</w:t>
      </w:r>
      <w:bookmarkEnd w:id="97"/>
      <w:bookmarkEnd w:id="98"/>
      <w:bookmarkEnd w:id="99"/>
    </w:p>
    <w:p w14:paraId="026B68E8">
      <w:pPr>
        <w:spacing w:line="360" w:lineRule="auto"/>
        <w:ind w:firstLine="4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0.5 </w:t>
      </w:r>
      <w:r>
        <w:rPr>
          <w:rFonts w:hint="eastAsia" w:ascii="宋体" w:hAnsi="宋体" w:eastAsia="宋体" w:cs="宋体"/>
          <w:color w:val="000000" w:themeColor="text1"/>
          <w:sz w:val="24"/>
          <w:szCs w:val="24"/>
          <w:highlight w:val="none"/>
          <w14:textFill>
            <w14:solidFill>
              <w14:schemeClr w14:val="tx1"/>
            </w14:solidFill>
          </w14:textFill>
        </w:rPr>
        <w:t>%计算，最高限额为本合同总价的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10 </w:t>
      </w:r>
      <w:r>
        <w:rPr>
          <w:rFonts w:hint="eastAsia" w:ascii="宋体" w:hAnsi="宋体" w:eastAsia="宋体" w:cs="宋体"/>
          <w:color w:val="000000" w:themeColor="text1"/>
          <w:sz w:val="24"/>
          <w:szCs w:val="24"/>
          <w:highlight w:val="none"/>
          <w14:textFill>
            <w14:solidFill>
              <w14:schemeClr w14:val="tx1"/>
            </w14:solidFill>
          </w14:textFill>
        </w:rPr>
        <w:t>%；迟延履行的违约金计算数额达到前述最高限额之日起，甲方有权在要求乙方支付违约金的同时，书面通知乙方解除本合同；</w:t>
      </w:r>
    </w:p>
    <w:p w14:paraId="0F4BFD7C">
      <w:pPr>
        <w:spacing w:line="360" w:lineRule="auto"/>
        <w:ind w:firstLine="4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000000" w:themeColor="text1"/>
          <w:sz w:val="24"/>
          <w:szCs w:val="24"/>
          <w:highlight w:val="none"/>
          <w:u w:val="single"/>
          <w14:textFill>
            <w14:solidFill>
              <w14:schemeClr w14:val="tx1"/>
            </w14:solidFill>
          </w14:textFill>
        </w:rPr>
        <w:t>0.5</w:t>
      </w:r>
      <w:r>
        <w:rPr>
          <w:rFonts w:hint="eastAsia" w:ascii="宋体" w:hAnsi="宋体" w:eastAsia="宋体" w:cs="宋体"/>
          <w:color w:val="000000" w:themeColor="text1"/>
          <w:sz w:val="24"/>
          <w:szCs w:val="24"/>
          <w:highlight w:val="none"/>
          <w14:textFill>
            <w14:solidFill>
              <w14:schemeClr w14:val="tx1"/>
            </w14:solidFill>
          </w14:textFill>
        </w:rPr>
        <w:t>%计算，最高限额为本合同总价的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10 </w:t>
      </w:r>
      <w:r>
        <w:rPr>
          <w:rFonts w:hint="eastAsia" w:ascii="宋体" w:hAnsi="宋体" w:eastAsia="宋体" w:cs="宋体"/>
          <w:color w:val="000000" w:themeColor="text1"/>
          <w:sz w:val="24"/>
          <w:szCs w:val="24"/>
          <w:highlight w:val="none"/>
          <w14:textFill>
            <w14:solidFill>
              <w14:schemeClr w14:val="tx1"/>
            </w14:solidFill>
          </w14:textFill>
        </w:rPr>
        <w:t>%；迟延付款的违约金计算数额达到前述最高限额之日起，乙方有权在要求甲方支付违约金的同时，书面通知甲方解除本合同；</w:t>
      </w:r>
    </w:p>
    <w:p w14:paraId="3BF00894">
      <w:pPr>
        <w:spacing w:line="360" w:lineRule="auto"/>
        <w:ind w:firstLine="4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E85693D">
      <w:pPr>
        <w:spacing w:line="360" w:lineRule="auto"/>
        <w:ind w:firstLine="4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B78F309">
      <w:pPr>
        <w:spacing w:line="360" w:lineRule="auto"/>
        <w:ind w:firstLine="4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04C6425">
      <w:pPr>
        <w:spacing w:line="360" w:lineRule="auto"/>
        <w:ind w:firstLine="4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1.6.6如果出现政府采购监督管理部门在处理投诉事项期间，书面通知甲方暂停采购活动的情形，或者询问或质疑事项可能影响成交结果的，导致甲方中止履行合同的情形，均不视为甲方违约。</w:t>
      </w:r>
    </w:p>
    <w:p w14:paraId="6E24C1BB">
      <w:pPr>
        <w:spacing w:line="360" w:lineRule="auto"/>
        <w:ind w:firstLine="435"/>
        <w:rPr>
          <w:rFonts w:hint="eastAsia" w:ascii="宋体" w:hAnsi="宋体" w:eastAsia="宋体" w:cs="宋体"/>
          <w:color w:val="000000" w:themeColor="text1"/>
          <w:sz w:val="24"/>
          <w:szCs w:val="24"/>
          <w:highlight w:val="none"/>
          <w14:textFill>
            <w14:solidFill>
              <w14:schemeClr w14:val="tx1"/>
            </w14:solidFill>
          </w14:textFill>
        </w:rPr>
      </w:pPr>
      <w:bookmarkStart w:id="102" w:name="_Toc16021"/>
      <w:bookmarkStart w:id="103" w:name="_Toc28375"/>
      <w:bookmarkStart w:id="104" w:name="_Toc15583"/>
      <w:r>
        <w:rPr>
          <w:rFonts w:hint="eastAsia" w:ascii="宋体" w:hAnsi="宋体" w:eastAsia="宋体" w:cs="宋体"/>
          <w:color w:val="000000" w:themeColor="text1"/>
          <w:sz w:val="24"/>
          <w:szCs w:val="24"/>
          <w:highlight w:val="none"/>
          <w14:textFill>
            <w14:solidFill>
              <w14:schemeClr w14:val="tx1"/>
            </w14:solidFill>
          </w14:textFill>
        </w:rPr>
        <w:t>1.6.7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2E2B784C">
      <w:pPr>
        <w:autoSpaceDE w:val="0"/>
        <w:autoSpaceDN w:val="0"/>
        <w:adjustRightInd w:val="0"/>
        <w:snapToGrid w:val="0"/>
        <w:spacing w:line="360" w:lineRule="auto"/>
        <w:ind w:firstLine="482"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1.7、甲方责任义务</w:t>
      </w:r>
    </w:p>
    <w:p w14:paraId="534CA781">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1.7.1甲方承诺按照合同约定的期限和方式支付合同价款。</w:t>
      </w:r>
    </w:p>
    <w:p w14:paraId="33CF0B1B">
      <w:pPr>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1.7.2甲方对乙方作业安全具有监督、检查和指导的权利。</w:t>
      </w:r>
    </w:p>
    <w:p w14:paraId="333FF464">
      <w:pPr>
        <w:autoSpaceDE w:val="0"/>
        <w:autoSpaceDN w:val="0"/>
        <w:adjustRightInd w:val="0"/>
        <w:snapToGrid w:val="0"/>
        <w:spacing w:line="360" w:lineRule="auto"/>
        <w:ind w:firstLine="482"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1.8</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乙方责任义务</w:t>
      </w:r>
    </w:p>
    <w:p w14:paraId="131F8222">
      <w:pPr>
        <w:spacing w:line="360" w:lineRule="auto"/>
        <w:ind w:firstLine="482" w:firstLineChars="200"/>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1.8.1</w:t>
      </w:r>
      <w:r>
        <w:rPr>
          <w:rFonts w:hint="eastAsia" w:ascii="宋体" w:hAnsi="宋体" w:eastAsia="宋体" w:cs="宋体"/>
          <w:b/>
          <w:bCs/>
          <w:color w:val="000000" w:themeColor="text1"/>
          <w:kern w:val="0"/>
          <w:sz w:val="24"/>
          <w:szCs w:val="24"/>
          <w:highlight w:val="none"/>
          <w14:textFill>
            <w14:solidFill>
              <w14:schemeClr w14:val="tx1"/>
            </w14:solidFill>
          </w14:textFill>
        </w:rPr>
        <w:t>.乙方在作业过程中，应加强人员管理，确保人员工作安全，防范安全生产事故，乙方在履行本合同过程中发生的任何工伤或意外伤亡等，均由乙方负责处理并承担全部费用；若因此给甲方或第三方造成损失，由乙方予以全额赔偿。</w:t>
      </w:r>
    </w:p>
    <w:p w14:paraId="4AD56667">
      <w:pPr>
        <w:spacing w:line="360" w:lineRule="auto"/>
        <w:ind w:firstLine="482" w:firstLineChars="200"/>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1.8.2</w:t>
      </w:r>
      <w:r>
        <w:rPr>
          <w:rFonts w:hint="eastAsia" w:ascii="宋体" w:hAnsi="宋体" w:eastAsia="宋体" w:cs="宋体"/>
          <w:b/>
          <w:bCs/>
          <w:color w:val="000000" w:themeColor="text1"/>
          <w:kern w:val="0"/>
          <w:sz w:val="24"/>
          <w:szCs w:val="24"/>
          <w:highlight w:val="none"/>
          <w14:textFill>
            <w14:solidFill>
              <w14:schemeClr w14:val="tx1"/>
            </w14:solidFill>
          </w14:textFill>
        </w:rPr>
        <w:t>项目实施前，乙方须提供本项目所有从业人员的社会保险（含工伤和医疗）缴纳证明，如无法提供相应证明材料，则须为本项目</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无社会保险的</w:t>
      </w:r>
      <w:r>
        <w:rPr>
          <w:rFonts w:hint="eastAsia" w:ascii="宋体" w:hAnsi="宋体" w:eastAsia="宋体" w:cs="宋体"/>
          <w:b/>
          <w:bCs/>
          <w:color w:val="000000" w:themeColor="text1"/>
          <w:kern w:val="0"/>
          <w:sz w:val="24"/>
          <w:szCs w:val="24"/>
          <w:highlight w:val="none"/>
          <w14:textFill>
            <w14:solidFill>
              <w14:schemeClr w14:val="tx1"/>
            </w14:solidFill>
          </w14:textFill>
        </w:rPr>
        <w:t>从业人员购买以下保险（</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kern w:val="0"/>
          <w:sz w:val="24"/>
          <w:szCs w:val="24"/>
          <w:highlight w:val="none"/>
          <w14:textFill>
            <w14:solidFill>
              <w14:schemeClr w14:val="tx1"/>
            </w14:solidFill>
          </w14:textFill>
        </w:rPr>
        <w:t>者任选其一）：雇主责任险或团体意外险</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或安全生产责任险</w:t>
      </w:r>
      <w:r>
        <w:rPr>
          <w:rFonts w:hint="eastAsia" w:ascii="宋体" w:hAnsi="宋体" w:eastAsia="宋体" w:cs="宋体"/>
          <w:b/>
          <w:bCs/>
          <w:color w:val="000000" w:themeColor="text1"/>
          <w:kern w:val="0"/>
          <w:sz w:val="24"/>
          <w:szCs w:val="24"/>
          <w:highlight w:val="none"/>
          <w14:textFill>
            <w14:solidFill>
              <w14:schemeClr w14:val="tx1"/>
            </w14:solidFill>
          </w14:textFill>
        </w:rPr>
        <w:t>，其保险费已包含在签约合同价中。</w:t>
      </w:r>
    </w:p>
    <w:p w14:paraId="4FB8B639">
      <w:pPr>
        <w:spacing w:line="360" w:lineRule="auto"/>
        <w:ind w:firstLine="482" w:firstLineChars="200"/>
        <w:rPr>
          <w:rFonts w:hint="eastAsia" w:ascii="宋体" w:hAnsi="宋体" w:eastAsia="宋体" w:cs="宋体"/>
          <w:b/>
          <w:bCs/>
          <w:color w:val="000000" w:themeColor="text1"/>
          <w:sz w:val="24"/>
          <w:szCs w:val="24"/>
          <w:highlight w:val="none"/>
          <w:lang w:val="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1.8.3</w:t>
      </w:r>
      <w:r>
        <w:rPr>
          <w:rFonts w:hint="eastAsia" w:ascii="宋体" w:hAnsi="宋体" w:eastAsia="宋体" w:cs="宋体"/>
          <w:b/>
          <w:bCs/>
          <w:color w:val="000000" w:themeColor="text1"/>
          <w:sz w:val="24"/>
          <w:szCs w:val="24"/>
          <w:highlight w:val="none"/>
          <w:lang w:val="zh-CN"/>
          <w14:textFill>
            <w14:solidFill>
              <w14:schemeClr w14:val="tx1"/>
            </w14:solidFill>
          </w14:textFill>
        </w:rPr>
        <w:t>乙方承诺，作业过程中如出现作业人员未有效佩戴现场安全防护必须的安全帽、安全绳、救生衣以及其他必须的作业防护等安全防护用品，发生不安全行为的，每出现一次，从完工结算价中自愿核减1000元，减完为止。</w:t>
      </w:r>
    </w:p>
    <w:p w14:paraId="27BE7636">
      <w:pPr>
        <w:spacing w:line="360" w:lineRule="auto"/>
        <w:ind w:firstLine="437"/>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r>
        <w:rPr>
          <w:rFonts w:hint="eastAsia" w:ascii="宋体" w:hAnsi="宋体" w:eastAsia="宋体" w:cs="宋体"/>
          <w:b/>
          <w:bCs/>
          <w:color w:val="000000" w:themeColor="text1"/>
          <w:sz w:val="24"/>
          <w:szCs w:val="24"/>
          <w:highlight w:val="none"/>
          <w:lang w:val="zh-CN"/>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9</w:t>
      </w:r>
      <w:r>
        <w:rPr>
          <w:rFonts w:hint="eastAsia" w:ascii="宋体" w:hAnsi="宋体" w:eastAsia="宋体" w:cs="宋体"/>
          <w:b/>
          <w:bCs/>
          <w:color w:val="000000" w:themeColor="text1"/>
          <w:sz w:val="24"/>
          <w:szCs w:val="24"/>
          <w:highlight w:val="none"/>
          <w:lang w:val="zh-CN"/>
          <w14:textFill>
            <w14:solidFill>
              <w14:schemeClr w14:val="tx1"/>
            </w14:solidFill>
          </w14:textFill>
        </w:rPr>
        <w:t xml:space="preserve"> 合同争议的解决</w:t>
      </w:r>
      <w:bookmarkEnd w:id="102"/>
      <w:bookmarkEnd w:id="103"/>
      <w:bookmarkEnd w:id="104"/>
    </w:p>
    <w:p w14:paraId="0B0F82D7">
      <w:pPr>
        <w:spacing w:line="360" w:lineRule="auto"/>
        <w:ind w:firstLine="4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1.9.1 </w:t>
      </w:r>
      <w:r>
        <w:rPr>
          <w:rFonts w:hint="eastAsia" w:ascii="宋体" w:hAnsi="宋体" w:eastAsia="宋体" w:cs="宋体"/>
          <w:color w:val="000000" w:themeColor="text1"/>
          <w:sz w:val="24"/>
          <w:szCs w:val="24"/>
          <w:highlight w:val="none"/>
          <w14:textFill>
            <w14:solidFill>
              <w14:schemeClr w14:val="tx1"/>
            </w14:solidFill>
          </w14:textFill>
        </w:rPr>
        <w:t>种方式解决：</w:t>
      </w:r>
    </w:p>
    <w:p w14:paraId="38460A9B">
      <w:pPr>
        <w:spacing w:line="360" w:lineRule="auto"/>
        <w:ind w:firstLine="4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1.9.1将争议提交</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14:textFill>
            <w14:solidFill>
              <w14:schemeClr w14:val="tx1"/>
            </w14:solidFill>
          </w14:textFill>
        </w:rPr>
        <w:t>甲方法人证书登记的住所地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仲裁委员会依申请仲裁时其现行有效的仲裁规则裁决；</w:t>
      </w:r>
    </w:p>
    <w:p w14:paraId="129BB992">
      <w:pPr>
        <w:spacing w:line="360" w:lineRule="auto"/>
        <w:ind w:firstLine="4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1.9.2向</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14:textFill>
            <w14:solidFill>
              <w14:schemeClr w14:val="tx1"/>
            </w14:solidFill>
          </w14:textFill>
        </w:rPr>
        <w:t>甲方法人证书登记的住所地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人民法院起诉。</w:t>
      </w:r>
    </w:p>
    <w:p w14:paraId="73F66463">
      <w:pPr>
        <w:spacing w:line="360" w:lineRule="auto"/>
        <w:ind w:firstLine="437"/>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bookmarkStart w:id="105" w:name="_Toc11173"/>
      <w:bookmarkStart w:id="106" w:name="_Toc15322"/>
      <w:bookmarkStart w:id="107" w:name="_Toc7245"/>
      <w:r>
        <w:rPr>
          <w:rFonts w:hint="eastAsia" w:ascii="宋体" w:hAnsi="宋体" w:eastAsia="宋体" w:cs="宋体"/>
          <w:b/>
          <w:bCs/>
          <w:color w:val="000000" w:themeColor="text1"/>
          <w:sz w:val="24"/>
          <w:szCs w:val="24"/>
          <w:highlight w:val="none"/>
          <w:lang w:val="zh-CN"/>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10</w:t>
      </w:r>
      <w:r>
        <w:rPr>
          <w:rFonts w:hint="eastAsia" w:ascii="宋体" w:hAnsi="宋体" w:eastAsia="宋体" w:cs="宋体"/>
          <w:b/>
          <w:bCs/>
          <w:color w:val="000000" w:themeColor="text1"/>
          <w:sz w:val="24"/>
          <w:szCs w:val="24"/>
          <w:highlight w:val="none"/>
          <w:lang w:val="zh-CN"/>
          <w14:textFill>
            <w14:solidFill>
              <w14:schemeClr w14:val="tx1"/>
            </w14:solidFill>
          </w14:textFill>
        </w:rPr>
        <w:t xml:space="preserve"> 合同生效</w:t>
      </w:r>
      <w:bookmarkEnd w:id="105"/>
      <w:bookmarkEnd w:id="106"/>
      <w:bookmarkEnd w:id="107"/>
    </w:p>
    <w:p w14:paraId="2C0F8989">
      <w:pPr>
        <w:spacing w:line="360" w:lineRule="auto"/>
        <w:ind w:firstLine="435"/>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本合同自双方当事人盖章时生效。</w:t>
      </w:r>
    </w:p>
    <w:p w14:paraId="07E56117">
      <w:pPr>
        <w:autoSpaceDE w:val="0"/>
        <w:autoSpaceDN w:val="0"/>
        <w:adjustRightInd w:val="0"/>
        <w:spacing w:line="560" w:lineRule="exact"/>
        <w:rPr>
          <w:rFonts w:hint="eastAsia" w:ascii="宋体" w:hAnsi="宋体" w:eastAsia="宋体" w:cs="宋体"/>
          <w:color w:val="000000" w:themeColor="text1"/>
          <w:sz w:val="24"/>
          <w:szCs w:val="24"/>
          <w:highlight w:val="none"/>
          <w:lang w:val="zh-CN"/>
          <w14:textFill>
            <w14:solidFill>
              <w14:schemeClr w14:val="tx1"/>
            </w14:solidFill>
          </w14:textFill>
        </w:rPr>
      </w:pPr>
    </w:p>
    <w:p w14:paraId="300C52A0">
      <w:pPr>
        <w:autoSpaceDE w:val="0"/>
        <w:autoSpaceDN w:val="0"/>
        <w:adjustRightInd w:val="0"/>
        <w:spacing w:line="560" w:lineRule="exact"/>
        <w:rPr>
          <w:rFonts w:hint="eastAsia" w:ascii="宋体" w:hAnsi="宋体" w:eastAsia="宋体" w:cs="宋体"/>
          <w:bCs/>
          <w:color w:val="000000" w:themeColor="text1"/>
          <w:sz w:val="24"/>
          <w:szCs w:val="24"/>
          <w:highlight w:val="none"/>
          <w:lang w:val="zh-CN"/>
          <w14:textFill>
            <w14:solidFill>
              <w14:schemeClr w14:val="tx1"/>
            </w14:solidFill>
          </w14:textFill>
        </w:rPr>
      </w:pPr>
      <w:r>
        <w:rPr>
          <w:rFonts w:hint="eastAsia" w:ascii="宋体" w:hAnsi="宋体" w:eastAsia="宋体" w:cs="宋体"/>
          <w:bCs/>
          <w:color w:val="000000" w:themeColor="text1"/>
          <w:sz w:val="24"/>
          <w:szCs w:val="24"/>
          <w:highlight w:val="none"/>
          <w:lang w:val="zh-CN"/>
          <w14:textFill>
            <w14:solidFill>
              <w14:schemeClr w14:val="tx1"/>
            </w14:solidFill>
          </w14:textFill>
        </w:rPr>
        <w:t>甲    方：</w:t>
      </w:r>
      <w:r>
        <w:rPr>
          <w:rFonts w:hint="eastAsia" w:ascii="宋体" w:hAnsi="宋体" w:eastAsia="宋体" w:cs="宋体"/>
          <w:bCs/>
          <w:color w:val="000000" w:themeColor="text1"/>
          <w:sz w:val="24"/>
          <w:szCs w:val="24"/>
          <w:highlight w:val="none"/>
          <w:u w:val="single"/>
          <w:lang w:val="zh-CN"/>
          <w14:textFill>
            <w14:solidFill>
              <w14:schemeClr w14:val="tx1"/>
            </w14:solidFill>
          </w14:textFill>
        </w:rPr>
        <w:t xml:space="preserve">    （单位盖章）     </w:t>
      </w:r>
      <w:r>
        <w:rPr>
          <w:rFonts w:hint="eastAsia" w:ascii="宋体" w:hAnsi="宋体" w:eastAsia="宋体" w:cs="宋体"/>
          <w:bCs/>
          <w:color w:val="000000" w:themeColor="text1"/>
          <w:sz w:val="24"/>
          <w:szCs w:val="24"/>
          <w:highlight w:val="none"/>
          <w:lang w:val="zh-CN"/>
          <w14:textFill>
            <w14:solidFill>
              <w14:schemeClr w14:val="tx1"/>
            </w14:solidFill>
          </w14:textFill>
        </w:rPr>
        <w:t xml:space="preserve">          乙方：</w:t>
      </w:r>
      <w:r>
        <w:rPr>
          <w:rFonts w:hint="eastAsia" w:ascii="宋体" w:hAnsi="宋体" w:eastAsia="宋体" w:cs="宋体"/>
          <w:bCs/>
          <w:color w:val="000000" w:themeColor="text1"/>
          <w:sz w:val="24"/>
          <w:szCs w:val="24"/>
          <w:highlight w:val="none"/>
          <w:u w:val="single"/>
          <w:lang w:val="zh-CN"/>
          <w14:textFill>
            <w14:solidFill>
              <w14:schemeClr w14:val="tx1"/>
            </w14:solidFill>
          </w14:textFill>
        </w:rPr>
        <w:t xml:space="preserve">    （单位盖章）     </w:t>
      </w:r>
    </w:p>
    <w:p w14:paraId="650208BC">
      <w:pPr>
        <w:autoSpaceDE w:val="0"/>
        <w:autoSpaceDN w:val="0"/>
        <w:adjustRightInd w:val="0"/>
        <w:spacing w:line="56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法定代表人                               法定代表人</w:t>
      </w:r>
    </w:p>
    <w:p w14:paraId="52BE4D2D">
      <w:pPr>
        <w:autoSpaceDE w:val="0"/>
        <w:autoSpaceDN w:val="0"/>
        <w:adjustRightInd w:val="0"/>
        <w:spacing w:line="56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或授权代表（签字）：                      或授权代表（签字）：</w:t>
      </w:r>
    </w:p>
    <w:p w14:paraId="3E69D17E">
      <w:pPr>
        <w:widowControl/>
        <w:spacing w:line="560" w:lineRule="exact"/>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时间：</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年</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月</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日               时间：</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年</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月</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日</w:t>
      </w:r>
    </w:p>
    <w:p w14:paraId="56916DB8">
      <w:pPr>
        <w:widowControl/>
        <w:spacing w:line="560" w:lineRule="exact"/>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乙方账户信息</w:t>
      </w:r>
    </w:p>
    <w:p w14:paraId="7685BC38">
      <w:pPr>
        <w:widowControl/>
        <w:spacing w:line="560" w:lineRule="exact"/>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户名：</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0D16B1C5">
      <w:pPr>
        <w:widowControl/>
        <w:spacing w:line="560" w:lineRule="exact"/>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账号：</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15EBF35D">
      <w:pPr>
        <w:widowControl/>
        <w:spacing w:line="560" w:lineRule="exact"/>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开户银行：</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4467292A">
      <w:pPr>
        <w:widowControl/>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p>
    <w:p w14:paraId="19D37B39">
      <w:pPr>
        <w:spacing w:line="360" w:lineRule="auto"/>
        <w:jc w:val="center"/>
        <w:outlineLvl w:val="1"/>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第二部分 合同一般条款</w:t>
      </w:r>
      <w:bookmarkEnd w:id="100"/>
      <w:bookmarkEnd w:id="101"/>
    </w:p>
    <w:p w14:paraId="79ED6D7F">
      <w:pPr>
        <w:spacing w:line="360" w:lineRule="auto"/>
        <w:ind w:firstLine="437"/>
        <w:outlineLvl w:val="2"/>
        <w:rPr>
          <w:rFonts w:hint="eastAsia" w:ascii="宋体" w:hAnsi="宋体" w:eastAsia="宋体" w:cs="宋体"/>
          <w:b/>
          <w:bCs/>
          <w:color w:val="000000" w:themeColor="text1"/>
          <w:sz w:val="24"/>
          <w:highlight w:val="none"/>
          <w:lang w:val="zh-CN"/>
          <w14:textFill>
            <w14:solidFill>
              <w14:schemeClr w14:val="tx1"/>
            </w14:solidFill>
          </w14:textFill>
        </w:rPr>
      </w:pPr>
      <w:bookmarkStart w:id="108" w:name="_Toc259093669"/>
      <w:bookmarkStart w:id="109" w:name="_Toc487900349"/>
      <w:bookmarkStart w:id="110" w:name="_Ref467379094"/>
      <w:bookmarkStart w:id="111" w:name="_Ref467379214"/>
      <w:bookmarkStart w:id="112" w:name="_Ref467379225"/>
      <w:bookmarkStart w:id="113" w:name="_Toc16917"/>
      <w:bookmarkStart w:id="114" w:name="_Toc19614"/>
      <w:bookmarkStart w:id="115" w:name="_Ref467379101"/>
      <w:bookmarkStart w:id="116" w:name="_Ref467379205"/>
      <w:bookmarkStart w:id="117" w:name="_Toc28763"/>
      <w:bookmarkStart w:id="118" w:name="_Ref467378404"/>
      <w:bookmarkStart w:id="119" w:name="_Toc279701240"/>
      <w:bookmarkStart w:id="120" w:name="_Ref467378499"/>
      <w:bookmarkStart w:id="121" w:name="_Ref467379109"/>
      <w:bookmarkStart w:id="122" w:name="_Ref467378463"/>
      <w:bookmarkStart w:id="123" w:name="_Ref467379195"/>
      <w:r>
        <w:rPr>
          <w:rFonts w:hint="eastAsia" w:ascii="宋体" w:hAnsi="宋体" w:eastAsia="宋体" w:cs="宋体"/>
          <w:b/>
          <w:bCs/>
          <w:color w:val="000000" w:themeColor="text1"/>
          <w:sz w:val="24"/>
          <w:highlight w:val="none"/>
          <w:lang w:val="zh-CN"/>
          <w14:textFill>
            <w14:solidFill>
              <w14:schemeClr w14:val="tx1"/>
            </w14:solidFill>
          </w14:textFill>
        </w:rPr>
        <w:t>2.1 定义</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33CF5DBB">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本合同中的下列词语应按以下内容进行解释：</w:t>
      </w:r>
    </w:p>
    <w:p w14:paraId="108BC5ED">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2.1.1“合同”系指采购人和成交供应商签订的载明双方当事人所达成的协议，并包括所有的附件、附录和构成合同的其他文件。</w:t>
      </w:r>
    </w:p>
    <w:p w14:paraId="6AEA76E0">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2.1.2“合同价”系指根据合同约定，成交供应商在完全履行合同义务后，采购人应支付给成交供应商的价格。</w:t>
      </w:r>
    </w:p>
    <w:p w14:paraId="6DE75919">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2.1.3“服务”系指成交供应商根据合同约定应向采购人履行的除货物和工程以外的其他政府采购对象，包括采购人自身需要的服务和向社会公众提供的公共服务。</w:t>
      </w:r>
    </w:p>
    <w:p w14:paraId="2DC38C47">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bookmarkStart w:id="124" w:name="_Ref467378840"/>
      <w:r>
        <w:rPr>
          <w:rFonts w:hint="eastAsia" w:ascii="宋体" w:hAnsi="宋体" w:eastAsia="宋体" w:cs="宋体"/>
          <w:color w:val="000000" w:themeColor="text1"/>
          <w:sz w:val="24"/>
          <w:highlight w:val="none"/>
          <w14:textFill>
            <w14:solidFill>
              <w14:schemeClr w14:val="tx1"/>
            </w14:solidFill>
          </w14:textFill>
        </w:rPr>
        <w:t>2.1.4“甲方”系指与成交供应商签署合同的采购人</w:t>
      </w:r>
      <w:bookmarkEnd w:id="124"/>
      <w:r>
        <w:rPr>
          <w:rFonts w:hint="eastAsia" w:ascii="宋体" w:hAnsi="宋体" w:eastAsia="宋体" w:cs="宋体"/>
          <w:color w:val="000000" w:themeColor="text1"/>
          <w:sz w:val="24"/>
          <w:highlight w:val="none"/>
          <w14:textFill>
            <w14:solidFill>
              <w14:schemeClr w14:val="tx1"/>
            </w14:solidFill>
          </w14:textFill>
        </w:rPr>
        <w:t>；采购人委托采购代理机构代表其与乙方签订合同的，采购人的授权委托书作为合同附件。</w:t>
      </w:r>
    </w:p>
    <w:p w14:paraId="6E954564">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bookmarkStart w:id="125" w:name="_Ref467379400"/>
      <w:r>
        <w:rPr>
          <w:rFonts w:hint="eastAsia" w:ascii="宋体" w:hAnsi="宋体" w:eastAsia="宋体" w:cs="宋体"/>
          <w:color w:val="000000" w:themeColor="text1"/>
          <w:sz w:val="24"/>
          <w:highlight w:val="none"/>
          <w14:textFill>
            <w14:solidFill>
              <w14:schemeClr w14:val="tx1"/>
            </w14:solidFill>
          </w14:textFill>
        </w:rPr>
        <w:t>2.1.5“乙方”系指根据合同约定提供服务的成交供应商</w:t>
      </w:r>
      <w:bookmarkEnd w:id="125"/>
      <w:r>
        <w:rPr>
          <w:rFonts w:hint="eastAsia" w:ascii="宋体" w:hAnsi="宋体" w:eastAsia="宋体" w:cs="宋体"/>
          <w:color w:val="000000" w:themeColor="text1"/>
          <w:sz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F4AFAC5">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bookmarkStart w:id="126" w:name="_Ref467379436"/>
      <w:r>
        <w:rPr>
          <w:rFonts w:hint="eastAsia" w:ascii="宋体" w:hAnsi="宋体" w:eastAsia="宋体" w:cs="宋体"/>
          <w:color w:val="000000" w:themeColor="text1"/>
          <w:sz w:val="24"/>
          <w:highlight w:val="none"/>
          <w14:textFill>
            <w14:solidFill>
              <w14:schemeClr w14:val="tx1"/>
            </w14:solidFill>
          </w14:textFill>
        </w:rPr>
        <w:t>2.1.6“现场”系指合同约定提供服务的地点。</w:t>
      </w:r>
      <w:bookmarkEnd w:id="126"/>
    </w:p>
    <w:p w14:paraId="108B7252">
      <w:pPr>
        <w:spacing w:line="360" w:lineRule="auto"/>
        <w:ind w:firstLine="437"/>
        <w:outlineLvl w:val="2"/>
        <w:rPr>
          <w:rFonts w:hint="eastAsia" w:ascii="宋体" w:hAnsi="宋体" w:eastAsia="宋体" w:cs="宋体"/>
          <w:b/>
          <w:bCs/>
          <w:color w:val="000000" w:themeColor="text1"/>
          <w:sz w:val="24"/>
          <w:highlight w:val="none"/>
          <w:lang w:val="zh-CN"/>
          <w14:textFill>
            <w14:solidFill>
              <w14:schemeClr w14:val="tx1"/>
            </w14:solidFill>
          </w14:textFill>
        </w:rPr>
      </w:pPr>
      <w:bookmarkStart w:id="127" w:name="_Toc13336"/>
      <w:bookmarkStart w:id="128" w:name="_Toc27635"/>
      <w:bookmarkStart w:id="129" w:name="_Toc259093670"/>
      <w:bookmarkStart w:id="130" w:name="_Toc32504"/>
      <w:bookmarkStart w:id="131" w:name="_Toc279701241"/>
      <w:bookmarkStart w:id="132" w:name="_Toc487900350"/>
      <w:r>
        <w:rPr>
          <w:rFonts w:hint="eastAsia" w:ascii="宋体" w:hAnsi="宋体" w:eastAsia="宋体" w:cs="宋体"/>
          <w:b/>
          <w:bCs/>
          <w:color w:val="000000" w:themeColor="text1"/>
          <w:sz w:val="24"/>
          <w:highlight w:val="none"/>
          <w:lang w:val="zh-CN"/>
          <w14:textFill>
            <w14:solidFill>
              <w14:schemeClr w14:val="tx1"/>
            </w14:solidFill>
          </w14:textFill>
        </w:rPr>
        <w:t>2.2 技术规范</w:t>
      </w:r>
      <w:bookmarkEnd w:id="127"/>
      <w:bookmarkEnd w:id="128"/>
      <w:bookmarkEnd w:id="129"/>
      <w:bookmarkEnd w:id="130"/>
      <w:bookmarkEnd w:id="131"/>
      <w:bookmarkEnd w:id="132"/>
    </w:p>
    <w:p w14:paraId="1E22D1C2">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6615C87">
      <w:pPr>
        <w:spacing w:line="360" w:lineRule="auto"/>
        <w:ind w:firstLine="437"/>
        <w:outlineLvl w:val="2"/>
        <w:rPr>
          <w:rFonts w:hint="eastAsia" w:ascii="宋体" w:hAnsi="宋体" w:eastAsia="宋体" w:cs="宋体"/>
          <w:b/>
          <w:bCs/>
          <w:color w:val="000000" w:themeColor="text1"/>
          <w:sz w:val="24"/>
          <w:highlight w:val="none"/>
          <w:lang w:val="zh-CN"/>
          <w14:textFill>
            <w14:solidFill>
              <w14:schemeClr w14:val="tx1"/>
            </w14:solidFill>
          </w14:textFill>
        </w:rPr>
      </w:pPr>
      <w:bookmarkStart w:id="133" w:name="_Toc31634"/>
      <w:bookmarkStart w:id="134" w:name="_Toc27853"/>
      <w:bookmarkStart w:id="135" w:name="_Toc259093671"/>
      <w:bookmarkStart w:id="136" w:name="_Toc9829"/>
      <w:bookmarkStart w:id="137" w:name="_Toc279701242"/>
      <w:bookmarkStart w:id="138" w:name="_Toc487900351"/>
      <w:r>
        <w:rPr>
          <w:rFonts w:hint="eastAsia" w:ascii="宋体" w:hAnsi="宋体" w:eastAsia="宋体" w:cs="宋体"/>
          <w:b/>
          <w:bCs/>
          <w:color w:val="000000" w:themeColor="text1"/>
          <w:sz w:val="24"/>
          <w:highlight w:val="none"/>
          <w:lang w:val="zh-CN"/>
          <w14:textFill>
            <w14:solidFill>
              <w14:schemeClr w14:val="tx1"/>
            </w14:solidFill>
          </w14:textFill>
        </w:rPr>
        <w:t>2.3 知识产权</w:t>
      </w:r>
      <w:bookmarkEnd w:id="133"/>
      <w:bookmarkEnd w:id="134"/>
      <w:bookmarkEnd w:id="135"/>
      <w:bookmarkEnd w:id="136"/>
      <w:bookmarkEnd w:id="137"/>
      <w:bookmarkEnd w:id="138"/>
    </w:p>
    <w:p w14:paraId="206137BB">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630839A9">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2.3.2具有知识产权的计算机软件等货物的知识产权归属，详见</w:t>
      </w:r>
      <w:r>
        <w:rPr>
          <w:rFonts w:hint="eastAsia" w:ascii="宋体" w:hAnsi="宋体" w:eastAsia="宋体" w:cs="宋体"/>
          <w:b/>
          <w:i/>
          <w:color w:val="000000" w:themeColor="text1"/>
          <w:sz w:val="24"/>
          <w:highlight w:val="none"/>
          <w:u w:val="single"/>
          <w14:textFill>
            <w14:solidFill>
              <w14:schemeClr w14:val="tx1"/>
            </w14:solidFill>
          </w14:textFill>
        </w:rPr>
        <w:t>合同专用条款</w:t>
      </w:r>
      <w:r>
        <w:rPr>
          <w:rFonts w:hint="eastAsia" w:ascii="宋体" w:hAnsi="宋体" w:eastAsia="宋体" w:cs="宋体"/>
          <w:color w:val="000000" w:themeColor="text1"/>
          <w:sz w:val="24"/>
          <w:highlight w:val="none"/>
          <w14:textFill>
            <w14:solidFill>
              <w14:schemeClr w14:val="tx1"/>
            </w14:solidFill>
          </w14:textFill>
        </w:rPr>
        <w:t>。</w:t>
      </w:r>
    </w:p>
    <w:p w14:paraId="7BF4E98C">
      <w:pPr>
        <w:spacing w:line="360" w:lineRule="auto"/>
        <w:ind w:firstLine="437"/>
        <w:outlineLvl w:val="2"/>
        <w:rPr>
          <w:rFonts w:hint="eastAsia" w:ascii="宋体" w:hAnsi="宋体" w:eastAsia="宋体" w:cs="宋体"/>
          <w:b/>
          <w:bCs/>
          <w:color w:val="000000" w:themeColor="text1"/>
          <w:sz w:val="24"/>
          <w:highlight w:val="none"/>
          <w:lang w:val="zh-CN"/>
          <w14:textFill>
            <w14:solidFill>
              <w14:schemeClr w14:val="tx1"/>
            </w14:solidFill>
          </w14:textFill>
        </w:rPr>
      </w:pPr>
      <w:bookmarkStart w:id="139" w:name="_Toc259093674"/>
      <w:bookmarkStart w:id="140" w:name="_Toc279701245"/>
      <w:bookmarkStart w:id="141" w:name="_Toc487900354"/>
      <w:bookmarkStart w:id="142" w:name="_Ref467379527"/>
      <w:bookmarkStart w:id="143" w:name="_Ref467379542"/>
      <w:bookmarkStart w:id="144" w:name="_Ref467378541"/>
      <w:bookmarkStart w:id="145" w:name="_Ref467378591"/>
      <w:bookmarkStart w:id="146" w:name="_Ref467379536"/>
      <w:bookmarkStart w:id="147" w:name="_Toc30272"/>
      <w:bookmarkStart w:id="148" w:name="_Toc26182"/>
      <w:bookmarkStart w:id="149" w:name="_Toc19074"/>
      <w:r>
        <w:rPr>
          <w:rFonts w:hint="eastAsia" w:ascii="宋体" w:hAnsi="宋体" w:eastAsia="宋体" w:cs="宋体"/>
          <w:b/>
          <w:bCs/>
          <w:color w:val="000000" w:themeColor="text1"/>
          <w:sz w:val="24"/>
          <w:highlight w:val="none"/>
          <w:lang w:val="zh-CN"/>
          <w14:textFill>
            <w14:solidFill>
              <w14:schemeClr w14:val="tx1"/>
            </w14:solidFill>
          </w14:textFill>
        </w:rPr>
        <w:t>2.</w:t>
      </w:r>
      <w:bookmarkEnd w:id="139"/>
      <w:bookmarkEnd w:id="140"/>
      <w:bookmarkEnd w:id="141"/>
      <w:bookmarkEnd w:id="142"/>
      <w:bookmarkEnd w:id="143"/>
      <w:bookmarkEnd w:id="144"/>
      <w:bookmarkEnd w:id="145"/>
      <w:bookmarkEnd w:id="146"/>
      <w:r>
        <w:rPr>
          <w:rFonts w:hint="eastAsia" w:ascii="宋体" w:hAnsi="宋体" w:eastAsia="宋体" w:cs="宋体"/>
          <w:b/>
          <w:bCs/>
          <w:color w:val="000000" w:themeColor="text1"/>
          <w:sz w:val="24"/>
          <w:highlight w:val="none"/>
          <w:lang w:val="zh-CN"/>
          <w14:textFill>
            <w14:solidFill>
              <w14:schemeClr w14:val="tx1"/>
            </w14:solidFill>
          </w14:textFill>
        </w:rPr>
        <w:t>4 履约检查和问题反馈</w:t>
      </w:r>
      <w:bookmarkEnd w:id="147"/>
      <w:bookmarkEnd w:id="148"/>
      <w:bookmarkEnd w:id="149"/>
    </w:p>
    <w:p w14:paraId="6F7A411D">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bookmarkStart w:id="150" w:name="_Toc186431854"/>
      <w:bookmarkStart w:id="151" w:name="_Toc279701247"/>
      <w:bookmarkStart w:id="152" w:name="_Ref467379807"/>
      <w:bookmarkStart w:id="153" w:name="_Toc259093676"/>
      <w:bookmarkStart w:id="154" w:name="_Ref467379793"/>
      <w:bookmarkStart w:id="155" w:name="_Toc487900357"/>
      <w:r>
        <w:rPr>
          <w:rFonts w:hint="eastAsia" w:ascii="宋体" w:hAnsi="宋体" w:eastAsia="宋体" w:cs="宋体"/>
          <w:color w:val="000000" w:themeColor="text1"/>
          <w:sz w:val="24"/>
          <w:highlight w:val="none"/>
          <w14:textFill>
            <w14:solidFill>
              <w14:schemeClr w14:val="tx1"/>
            </w14:solidFill>
          </w14:textFill>
        </w:rPr>
        <w:t>2.4.1甲方有权在其认为必要时，对乙方是否能够按照合同约定提供服务进行履约检查，以确保乙方所提供的服务能够依约满足甲方项目需求，但不得因履约检查妨碍乙方的正常工作，乙方应予积极配合；</w:t>
      </w:r>
    </w:p>
    <w:p w14:paraId="012B32FD">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2.4.2合同履行期间，甲方有权将履行过程中出现的问题反馈给乙方，双方当事人应以书面形式约定需要完善和改进的内容</w:t>
      </w:r>
      <w:bookmarkEnd w:id="150"/>
      <w:bookmarkStart w:id="156" w:name="_Toc186431855"/>
      <w:r>
        <w:rPr>
          <w:rFonts w:hint="eastAsia" w:ascii="宋体" w:hAnsi="宋体" w:eastAsia="宋体" w:cs="宋体"/>
          <w:color w:val="000000" w:themeColor="text1"/>
          <w:sz w:val="24"/>
          <w:highlight w:val="none"/>
          <w14:textFill>
            <w14:solidFill>
              <w14:schemeClr w14:val="tx1"/>
            </w14:solidFill>
          </w14:textFill>
        </w:rPr>
        <w:t>。</w:t>
      </w:r>
    </w:p>
    <w:bookmarkEnd w:id="156"/>
    <w:p w14:paraId="55D2DF3F">
      <w:pPr>
        <w:spacing w:line="360" w:lineRule="auto"/>
        <w:ind w:firstLine="437"/>
        <w:outlineLvl w:val="2"/>
        <w:rPr>
          <w:rFonts w:hint="eastAsia" w:ascii="宋体" w:hAnsi="宋体" w:eastAsia="宋体" w:cs="宋体"/>
          <w:b/>
          <w:bCs/>
          <w:color w:val="000000" w:themeColor="text1"/>
          <w:sz w:val="24"/>
          <w:highlight w:val="none"/>
          <w:lang w:val="zh-CN"/>
          <w14:textFill>
            <w14:solidFill>
              <w14:schemeClr w14:val="tx1"/>
            </w14:solidFill>
          </w14:textFill>
        </w:rPr>
      </w:pPr>
      <w:bookmarkStart w:id="157" w:name="_Toc28451"/>
      <w:bookmarkStart w:id="158" w:name="_Toc19219"/>
      <w:bookmarkStart w:id="159" w:name="_Toc7836"/>
      <w:r>
        <w:rPr>
          <w:rFonts w:hint="eastAsia" w:ascii="宋体" w:hAnsi="宋体" w:eastAsia="宋体" w:cs="宋体"/>
          <w:b/>
          <w:bCs/>
          <w:color w:val="000000" w:themeColor="text1"/>
          <w:sz w:val="24"/>
          <w:highlight w:val="none"/>
          <w:lang w:val="zh-CN"/>
          <w14:textFill>
            <w14:solidFill>
              <w14:schemeClr w14:val="tx1"/>
            </w14:solidFill>
          </w14:textFill>
        </w:rPr>
        <w:t>2.5 结算方式和付款条件</w:t>
      </w:r>
      <w:bookmarkEnd w:id="151"/>
      <w:bookmarkEnd w:id="152"/>
      <w:bookmarkEnd w:id="153"/>
      <w:bookmarkEnd w:id="154"/>
      <w:bookmarkEnd w:id="155"/>
      <w:bookmarkEnd w:id="157"/>
      <w:bookmarkEnd w:id="158"/>
      <w:bookmarkEnd w:id="159"/>
    </w:p>
    <w:p w14:paraId="54DBBEF2">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详见</w:t>
      </w:r>
      <w:r>
        <w:rPr>
          <w:rFonts w:hint="eastAsia" w:ascii="宋体" w:hAnsi="宋体" w:eastAsia="宋体" w:cs="宋体"/>
          <w:b/>
          <w:i/>
          <w:color w:val="000000" w:themeColor="text1"/>
          <w:sz w:val="24"/>
          <w:highlight w:val="none"/>
          <w:u w:val="single"/>
          <w14:textFill>
            <w14:solidFill>
              <w14:schemeClr w14:val="tx1"/>
            </w14:solidFill>
          </w14:textFill>
        </w:rPr>
        <w:t>合同专用条款</w:t>
      </w:r>
      <w:r>
        <w:rPr>
          <w:rFonts w:hint="eastAsia" w:ascii="宋体" w:hAnsi="宋体" w:eastAsia="宋体" w:cs="宋体"/>
          <w:color w:val="000000" w:themeColor="text1"/>
          <w:sz w:val="24"/>
          <w:highlight w:val="none"/>
          <w14:textFill>
            <w14:solidFill>
              <w14:schemeClr w14:val="tx1"/>
            </w14:solidFill>
          </w14:textFill>
        </w:rPr>
        <w:t>。</w:t>
      </w:r>
    </w:p>
    <w:p w14:paraId="309DDC12">
      <w:pPr>
        <w:spacing w:line="360" w:lineRule="auto"/>
        <w:ind w:firstLine="437"/>
        <w:outlineLvl w:val="2"/>
        <w:rPr>
          <w:rFonts w:hint="eastAsia" w:ascii="宋体" w:hAnsi="宋体" w:eastAsia="宋体" w:cs="宋体"/>
          <w:b/>
          <w:bCs/>
          <w:color w:val="000000" w:themeColor="text1"/>
          <w:sz w:val="24"/>
          <w:highlight w:val="none"/>
          <w:lang w:val="zh-CN"/>
          <w14:textFill>
            <w14:solidFill>
              <w14:schemeClr w14:val="tx1"/>
            </w14:solidFill>
          </w14:textFill>
        </w:rPr>
      </w:pPr>
      <w:bookmarkStart w:id="160" w:name="_Toc259093677"/>
      <w:bookmarkStart w:id="161" w:name="_Ref467379923"/>
      <w:bookmarkStart w:id="162" w:name="_Ref467379863"/>
      <w:bookmarkStart w:id="163" w:name="_Toc487900358"/>
      <w:bookmarkStart w:id="164" w:name="_Ref467379852"/>
      <w:bookmarkStart w:id="165" w:name="_Toc279701248"/>
      <w:bookmarkStart w:id="166" w:name="_Toc774"/>
      <w:bookmarkStart w:id="167" w:name="_Toc3225"/>
      <w:bookmarkStart w:id="168" w:name="_Toc16110"/>
      <w:r>
        <w:rPr>
          <w:rFonts w:hint="eastAsia" w:ascii="宋体" w:hAnsi="宋体" w:eastAsia="宋体" w:cs="宋体"/>
          <w:b/>
          <w:bCs/>
          <w:color w:val="000000" w:themeColor="text1"/>
          <w:sz w:val="24"/>
          <w:highlight w:val="none"/>
          <w:lang w:val="zh-CN"/>
          <w14:textFill>
            <w14:solidFill>
              <w14:schemeClr w14:val="tx1"/>
            </w14:solidFill>
          </w14:textFill>
        </w:rPr>
        <w:t>2.6 技术资料</w:t>
      </w:r>
      <w:bookmarkEnd w:id="160"/>
      <w:bookmarkEnd w:id="161"/>
      <w:bookmarkEnd w:id="162"/>
      <w:bookmarkEnd w:id="163"/>
      <w:bookmarkEnd w:id="164"/>
      <w:bookmarkEnd w:id="165"/>
      <w:r>
        <w:rPr>
          <w:rFonts w:hint="eastAsia" w:ascii="宋体" w:hAnsi="宋体" w:eastAsia="宋体" w:cs="宋体"/>
          <w:b/>
          <w:bCs/>
          <w:color w:val="000000" w:themeColor="text1"/>
          <w:sz w:val="24"/>
          <w:highlight w:val="none"/>
          <w:lang w:val="zh-CN"/>
          <w14:textFill>
            <w14:solidFill>
              <w14:schemeClr w14:val="tx1"/>
            </w14:solidFill>
          </w14:textFill>
        </w:rPr>
        <w:t>和保密义务</w:t>
      </w:r>
      <w:bookmarkEnd w:id="166"/>
      <w:bookmarkEnd w:id="167"/>
      <w:bookmarkEnd w:id="168"/>
    </w:p>
    <w:p w14:paraId="256A4C7D">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2.6.1乙方有权依据合同约定和项目需要，向甲方了解有关情况，调阅有关资料等，甲方应予积极配合；</w:t>
      </w:r>
    </w:p>
    <w:p w14:paraId="0C0CDF1F">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2.6.2乙方有义务妥善保管和保护由甲方提供的前款信息和资料等；</w:t>
      </w:r>
    </w:p>
    <w:p w14:paraId="718042BF">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33D128A">
      <w:pPr>
        <w:spacing w:line="360" w:lineRule="auto"/>
        <w:ind w:firstLine="437"/>
        <w:outlineLvl w:val="2"/>
        <w:rPr>
          <w:rFonts w:hint="eastAsia" w:ascii="宋体" w:hAnsi="宋体" w:eastAsia="宋体" w:cs="宋体"/>
          <w:b/>
          <w:bCs/>
          <w:color w:val="000000" w:themeColor="text1"/>
          <w:sz w:val="24"/>
          <w:highlight w:val="none"/>
          <w:lang w:val="zh-CN"/>
          <w14:textFill>
            <w14:solidFill>
              <w14:schemeClr w14:val="tx1"/>
            </w14:solidFill>
          </w14:textFill>
        </w:rPr>
      </w:pPr>
      <w:bookmarkStart w:id="169" w:name="_Toc7860"/>
      <w:r>
        <w:rPr>
          <w:rFonts w:hint="eastAsia" w:ascii="宋体" w:hAnsi="宋体" w:eastAsia="宋体" w:cs="宋体"/>
          <w:b/>
          <w:bCs/>
          <w:color w:val="000000" w:themeColor="text1"/>
          <w:sz w:val="24"/>
          <w:highlight w:val="none"/>
          <w:lang w:val="zh-CN"/>
          <w14:textFill>
            <w14:solidFill>
              <w14:schemeClr w14:val="tx1"/>
            </w14:solidFill>
          </w14:textFill>
        </w:rPr>
        <w:t>2.7 质量保证</w:t>
      </w:r>
      <w:bookmarkEnd w:id="169"/>
    </w:p>
    <w:p w14:paraId="0DEB866C">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2.7.1乙方应建立和完善履行合同的内部质量保证体系，并提供相关内部规章制度给甲方，以便甲方进行监督检查；</w:t>
      </w:r>
    </w:p>
    <w:p w14:paraId="5B2B5B4B">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2.7.2乙方应保证履行合同的人员数量和素质、软件和硬件设备的配置、场地、环境和设施等满足全面履行合同的要求，并应接受甲方的监督检查。</w:t>
      </w:r>
    </w:p>
    <w:p w14:paraId="6D1BBD22">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bookmarkStart w:id="170" w:name="_Toc22267"/>
      <w:r>
        <w:rPr>
          <w:rFonts w:hint="eastAsia" w:ascii="宋体" w:hAnsi="宋体" w:eastAsia="宋体" w:cs="宋体"/>
          <w:b/>
          <w:color w:val="000000" w:themeColor="text1"/>
          <w:sz w:val="24"/>
          <w:highlight w:val="none"/>
          <w14:textFill>
            <w14:solidFill>
              <w14:schemeClr w14:val="tx1"/>
            </w14:solidFill>
          </w14:textFill>
        </w:rPr>
        <w:t>2.8 延迟履行</w:t>
      </w:r>
      <w:bookmarkEnd w:id="170"/>
    </w:p>
    <w:p w14:paraId="0769B01D">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BCE544B">
      <w:pPr>
        <w:spacing w:line="360" w:lineRule="auto"/>
        <w:ind w:firstLine="437"/>
        <w:outlineLvl w:val="2"/>
        <w:rPr>
          <w:rFonts w:hint="eastAsia" w:ascii="宋体" w:hAnsi="宋体" w:eastAsia="宋体" w:cs="宋体"/>
          <w:b/>
          <w:bCs/>
          <w:color w:val="000000" w:themeColor="text1"/>
          <w:sz w:val="24"/>
          <w:highlight w:val="none"/>
          <w:lang w:val="zh-CN"/>
          <w14:textFill>
            <w14:solidFill>
              <w14:schemeClr w14:val="tx1"/>
            </w14:solidFill>
          </w14:textFill>
        </w:rPr>
      </w:pPr>
      <w:bookmarkStart w:id="171" w:name="_Toc7502"/>
      <w:bookmarkStart w:id="172" w:name="_Toc259093683"/>
      <w:bookmarkStart w:id="173" w:name="_Ref467378121"/>
      <w:bookmarkStart w:id="174" w:name="_Toc279701254"/>
      <w:bookmarkStart w:id="175" w:name="_Toc487900364"/>
      <w:r>
        <w:rPr>
          <w:rFonts w:hint="eastAsia" w:ascii="宋体" w:hAnsi="宋体" w:eastAsia="宋体" w:cs="宋体"/>
          <w:b/>
          <w:bCs/>
          <w:color w:val="000000" w:themeColor="text1"/>
          <w:sz w:val="24"/>
          <w:highlight w:val="none"/>
          <w:lang w:val="zh-CN"/>
          <w14:textFill>
            <w14:solidFill>
              <w14:schemeClr w14:val="tx1"/>
            </w14:solidFill>
          </w14:textFill>
        </w:rPr>
        <w:t>2.9 合同变更</w:t>
      </w:r>
      <w:bookmarkEnd w:id="171"/>
    </w:p>
    <w:p w14:paraId="5F38516F">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2.9.1双方当事人协商一致，可以签订书面补充合同的形式变更合同，但不得违背采购文件确定的事项；</w:t>
      </w:r>
    </w:p>
    <w:p w14:paraId="22186147">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2.9.2合同继续履行将损害国家利益和社会公共利益的，双方当事人应当以书面形式变更合同。有过错的一方应当承担赔偿责任，双方当事人都有过错的，各自承担相应的责任。</w:t>
      </w:r>
      <w:bookmarkStart w:id="176" w:name="_Toc279701259"/>
      <w:bookmarkStart w:id="177" w:name="_Toc259093688"/>
      <w:bookmarkStart w:id="178" w:name="_Toc487900369"/>
    </w:p>
    <w:p w14:paraId="43D94510">
      <w:pPr>
        <w:spacing w:line="360" w:lineRule="auto"/>
        <w:ind w:firstLine="437"/>
        <w:outlineLvl w:val="2"/>
        <w:rPr>
          <w:rFonts w:hint="eastAsia" w:ascii="宋体" w:hAnsi="宋体" w:eastAsia="宋体" w:cs="宋体"/>
          <w:b/>
          <w:bCs/>
          <w:color w:val="000000" w:themeColor="text1"/>
          <w:sz w:val="24"/>
          <w:highlight w:val="none"/>
          <w:lang w:val="zh-CN"/>
          <w14:textFill>
            <w14:solidFill>
              <w14:schemeClr w14:val="tx1"/>
            </w14:solidFill>
          </w14:textFill>
        </w:rPr>
      </w:pPr>
      <w:bookmarkStart w:id="179" w:name="_Toc10366"/>
      <w:bookmarkStart w:id="180" w:name="_Toc15237"/>
      <w:bookmarkStart w:id="181" w:name="_Toc22955"/>
      <w:r>
        <w:rPr>
          <w:rFonts w:hint="eastAsia" w:ascii="宋体" w:hAnsi="宋体" w:eastAsia="宋体" w:cs="宋体"/>
          <w:b/>
          <w:bCs/>
          <w:color w:val="000000" w:themeColor="text1"/>
          <w:sz w:val="24"/>
          <w:highlight w:val="none"/>
          <w:lang w:val="zh-CN"/>
          <w14:textFill>
            <w14:solidFill>
              <w14:schemeClr w14:val="tx1"/>
            </w14:solidFill>
          </w14:textFill>
        </w:rPr>
        <w:t>2.10 合同转让</w:t>
      </w:r>
      <w:bookmarkEnd w:id="176"/>
      <w:bookmarkEnd w:id="177"/>
      <w:bookmarkEnd w:id="178"/>
      <w:r>
        <w:rPr>
          <w:rFonts w:hint="eastAsia" w:ascii="宋体" w:hAnsi="宋体" w:eastAsia="宋体" w:cs="宋体"/>
          <w:b/>
          <w:bCs/>
          <w:color w:val="000000" w:themeColor="text1"/>
          <w:sz w:val="24"/>
          <w:highlight w:val="none"/>
          <w:lang w:val="zh-CN"/>
          <w14:textFill>
            <w14:solidFill>
              <w14:schemeClr w14:val="tx1"/>
            </w14:solidFill>
          </w14:textFill>
        </w:rPr>
        <w:t>和分包</w:t>
      </w:r>
      <w:bookmarkEnd w:id="179"/>
      <w:bookmarkEnd w:id="180"/>
      <w:bookmarkEnd w:id="181"/>
    </w:p>
    <w:p w14:paraId="6E7923C4">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E58CA5F">
      <w:pPr>
        <w:spacing w:line="360" w:lineRule="auto"/>
        <w:ind w:firstLine="437"/>
        <w:outlineLvl w:val="2"/>
        <w:rPr>
          <w:rFonts w:hint="eastAsia" w:ascii="宋体" w:hAnsi="宋体" w:eastAsia="宋体" w:cs="宋体"/>
          <w:b/>
          <w:bCs/>
          <w:color w:val="000000" w:themeColor="text1"/>
          <w:sz w:val="24"/>
          <w:highlight w:val="none"/>
          <w:lang w:val="zh-CN"/>
          <w14:textFill>
            <w14:solidFill>
              <w14:schemeClr w14:val="tx1"/>
            </w14:solidFill>
          </w14:textFill>
        </w:rPr>
      </w:pPr>
      <w:bookmarkStart w:id="182" w:name="_Toc13566"/>
      <w:bookmarkStart w:id="183" w:name="_Toc14066"/>
      <w:bookmarkStart w:id="184" w:name="_Toc16508"/>
      <w:r>
        <w:rPr>
          <w:rFonts w:hint="eastAsia" w:ascii="宋体" w:hAnsi="宋体" w:eastAsia="宋体" w:cs="宋体"/>
          <w:b/>
          <w:bCs/>
          <w:color w:val="000000" w:themeColor="text1"/>
          <w:sz w:val="24"/>
          <w:highlight w:val="none"/>
          <w:lang w:val="zh-CN"/>
          <w14:textFill>
            <w14:solidFill>
              <w14:schemeClr w14:val="tx1"/>
            </w14:solidFill>
          </w14:textFill>
        </w:rPr>
        <w:t>2.11 不可抗力</w:t>
      </w:r>
      <w:bookmarkEnd w:id="182"/>
      <w:bookmarkEnd w:id="183"/>
      <w:bookmarkEnd w:id="184"/>
    </w:p>
    <w:p w14:paraId="7FC0EF04">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2.11.1如果任何一方遭遇法律规定的不可抗力，致使合同履行受阻时，履行合同的期限应予延长，延长的期限应相当于不可抗力所影响的时间；</w:t>
      </w:r>
    </w:p>
    <w:p w14:paraId="515C153C">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2.11.2因不可抗力致使不能实现合同目的的，当事人可以解除合同；</w:t>
      </w:r>
    </w:p>
    <w:p w14:paraId="7A406151">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2.11.3因不可抗力致使合同有变更必要的，双方当事人应在</w:t>
      </w:r>
      <w:r>
        <w:rPr>
          <w:rFonts w:hint="eastAsia" w:ascii="宋体" w:hAnsi="宋体" w:eastAsia="宋体" w:cs="宋体"/>
          <w:b/>
          <w:i/>
          <w:color w:val="000000" w:themeColor="text1"/>
          <w:sz w:val="24"/>
          <w:highlight w:val="none"/>
          <w:u w:val="single"/>
          <w14:textFill>
            <w14:solidFill>
              <w14:schemeClr w14:val="tx1"/>
            </w14:solidFill>
          </w14:textFill>
        </w:rPr>
        <w:t>合同专用条款</w:t>
      </w:r>
      <w:r>
        <w:rPr>
          <w:rFonts w:hint="eastAsia" w:ascii="宋体" w:hAnsi="宋体" w:eastAsia="宋体" w:cs="宋体"/>
          <w:color w:val="000000" w:themeColor="text1"/>
          <w:sz w:val="24"/>
          <w:highlight w:val="none"/>
          <w14:textFill>
            <w14:solidFill>
              <w14:schemeClr w14:val="tx1"/>
            </w14:solidFill>
          </w14:textFill>
        </w:rPr>
        <w:t>约定时间内以书面形式变更合同；</w:t>
      </w:r>
    </w:p>
    <w:p w14:paraId="21265B81">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2.11.4受不可抗力影响的一方在不可抗力发生后，应在</w:t>
      </w:r>
      <w:r>
        <w:rPr>
          <w:rFonts w:hint="eastAsia" w:ascii="宋体" w:hAnsi="宋体" w:eastAsia="宋体" w:cs="宋体"/>
          <w:b/>
          <w:i/>
          <w:color w:val="000000" w:themeColor="text1"/>
          <w:sz w:val="24"/>
          <w:highlight w:val="none"/>
          <w:u w:val="single"/>
          <w14:textFill>
            <w14:solidFill>
              <w14:schemeClr w14:val="tx1"/>
            </w14:solidFill>
          </w14:textFill>
        </w:rPr>
        <w:t>合同专用条款</w:t>
      </w:r>
      <w:r>
        <w:rPr>
          <w:rFonts w:hint="eastAsia" w:ascii="宋体" w:hAnsi="宋体" w:eastAsia="宋体" w:cs="宋体"/>
          <w:color w:val="000000" w:themeColor="text1"/>
          <w:sz w:val="24"/>
          <w:highlight w:val="none"/>
          <w14:textFill>
            <w14:solidFill>
              <w14:schemeClr w14:val="tx1"/>
            </w14:solidFill>
          </w14:textFill>
        </w:rPr>
        <w:t>约定时间内以书面形式通知对方当事人，并在</w:t>
      </w:r>
      <w:r>
        <w:rPr>
          <w:rFonts w:hint="eastAsia" w:ascii="宋体" w:hAnsi="宋体" w:eastAsia="宋体" w:cs="宋体"/>
          <w:b/>
          <w:i/>
          <w:color w:val="000000" w:themeColor="text1"/>
          <w:sz w:val="24"/>
          <w:highlight w:val="none"/>
          <w:u w:val="single"/>
          <w14:textFill>
            <w14:solidFill>
              <w14:schemeClr w14:val="tx1"/>
            </w14:solidFill>
          </w14:textFill>
        </w:rPr>
        <w:t>合同专用条款</w:t>
      </w:r>
      <w:r>
        <w:rPr>
          <w:rFonts w:hint="eastAsia" w:ascii="宋体" w:hAnsi="宋体" w:eastAsia="宋体" w:cs="宋体"/>
          <w:color w:val="000000" w:themeColor="text1"/>
          <w:sz w:val="24"/>
          <w:highlight w:val="none"/>
          <w14:textFill>
            <w14:solidFill>
              <w14:schemeClr w14:val="tx1"/>
            </w14:solidFill>
          </w14:textFill>
        </w:rPr>
        <w:t>约定时间内，将有关部门出具的证明文件送达对方当事人。</w:t>
      </w:r>
    </w:p>
    <w:p w14:paraId="4281B8E1">
      <w:pPr>
        <w:spacing w:line="360" w:lineRule="auto"/>
        <w:ind w:firstLine="437"/>
        <w:outlineLvl w:val="2"/>
        <w:rPr>
          <w:rFonts w:hint="eastAsia" w:ascii="宋体" w:hAnsi="宋体" w:eastAsia="宋体" w:cs="宋体"/>
          <w:b/>
          <w:bCs/>
          <w:color w:val="000000" w:themeColor="text1"/>
          <w:sz w:val="24"/>
          <w:highlight w:val="none"/>
          <w:lang w:val="zh-CN"/>
          <w14:textFill>
            <w14:solidFill>
              <w14:schemeClr w14:val="tx1"/>
            </w14:solidFill>
          </w14:textFill>
        </w:rPr>
      </w:pPr>
      <w:bookmarkStart w:id="185" w:name="_Toc689"/>
      <w:bookmarkStart w:id="186" w:name="_Toc30676"/>
      <w:bookmarkStart w:id="187" w:name="_Toc259093684"/>
      <w:bookmarkStart w:id="188" w:name="_Toc279701255"/>
      <w:bookmarkStart w:id="189" w:name="_Toc487900365"/>
      <w:bookmarkStart w:id="190" w:name="_Toc6969"/>
      <w:r>
        <w:rPr>
          <w:rFonts w:hint="eastAsia" w:ascii="宋体" w:hAnsi="宋体" w:eastAsia="宋体" w:cs="宋体"/>
          <w:b/>
          <w:bCs/>
          <w:color w:val="000000" w:themeColor="text1"/>
          <w:sz w:val="24"/>
          <w:highlight w:val="none"/>
          <w:lang w:val="zh-CN"/>
          <w14:textFill>
            <w14:solidFill>
              <w14:schemeClr w14:val="tx1"/>
            </w14:solidFill>
          </w14:textFill>
        </w:rPr>
        <w:t>2.12 税费</w:t>
      </w:r>
      <w:bookmarkEnd w:id="185"/>
      <w:bookmarkEnd w:id="186"/>
      <w:bookmarkEnd w:id="187"/>
      <w:bookmarkEnd w:id="188"/>
      <w:bookmarkEnd w:id="189"/>
      <w:bookmarkEnd w:id="190"/>
    </w:p>
    <w:p w14:paraId="45EB2C6F">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与合同有关的一切税费，均按照中华人民共和国法律的相关规定缴纳。</w:t>
      </w:r>
    </w:p>
    <w:p w14:paraId="7F476AC0">
      <w:pPr>
        <w:spacing w:line="360" w:lineRule="auto"/>
        <w:ind w:firstLine="437"/>
        <w:outlineLvl w:val="2"/>
        <w:rPr>
          <w:rFonts w:hint="eastAsia" w:ascii="宋体" w:hAnsi="宋体" w:eastAsia="宋体" w:cs="宋体"/>
          <w:b/>
          <w:bCs/>
          <w:color w:val="000000" w:themeColor="text1"/>
          <w:sz w:val="24"/>
          <w:highlight w:val="none"/>
          <w:lang w:val="zh-CN"/>
          <w14:textFill>
            <w14:solidFill>
              <w14:schemeClr w14:val="tx1"/>
            </w14:solidFill>
          </w14:textFill>
        </w:rPr>
      </w:pPr>
      <w:bookmarkStart w:id="191" w:name="_Toc16959"/>
      <w:bookmarkStart w:id="192" w:name="_Toc487900368"/>
      <w:bookmarkStart w:id="193" w:name="_Toc8298"/>
      <w:bookmarkStart w:id="194" w:name="_Toc279701258"/>
      <w:bookmarkStart w:id="195" w:name="_Toc7102"/>
      <w:bookmarkStart w:id="196" w:name="_Toc259093687"/>
      <w:r>
        <w:rPr>
          <w:rFonts w:hint="eastAsia" w:ascii="宋体" w:hAnsi="宋体" w:eastAsia="宋体" w:cs="宋体"/>
          <w:b/>
          <w:bCs/>
          <w:color w:val="000000" w:themeColor="text1"/>
          <w:sz w:val="24"/>
          <w:highlight w:val="none"/>
          <w:lang w:val="zh-CN"/>
          <w14:textFill>
            <w14:solidFill>
              <w14:schemeClr w14:val="tx1"/>
            </w14:solidFill>
          </w14:textFill>
        </w:rPr>
        <w:t>2.13 乙方破产</w:t>
      </w:r>
      <w:bookmarkEnd w:id="191"/>
      <w:bookmarkEnd w:id="192"/>
      <w:bookmarkEnd w:id="193"/>
      <w:bookmarkEnd w:id="194"/>
      <w:bookmarkEnd w:id="195"/>
      <w:bookmarkEnd w:id="196"/>
    </w:p>
    <w:p w14:paraId="1B53DB4F">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6287C72">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bookmarkStart w:id="197" w:name="_Toc6134"/>
      <w:bookmarkStart w:id="198" w:name="_Toc29333"/>
      <w:bookmarkStart w:id="199" w:name="_Toc15387"/>
      <w:r>
        <w:rPr>
          <w:rFonts w:hint="eastAsia" w:ascii="宋体" w:hAnsi="宋体" w:eastAsia="宋体" w:cs="宋体"/>
          <w:b/>
          <w:bCs/>
          <w:color w:val="000000" w:themeColor="text1"/>
          <w:sz w:val="24"/>
          <w:highlight w:val="none"/>
          <w:lang w:val="zh-CN"/>
          <w14:textFill>
            <w14:solidFill>
              <w14:schemeClr w14:val="tx1"/>
            </w14:solidFill>
          </w14:textFill>
        </w:rPr>
        <w:t>2.14 合同中止、终止</w:t>
      </w:r>
      <w:bookmarkEnd w:id="197"/>
      <w:bookmarkEnd w:id="198"/>
      <w:bookmarkEnd w:id="199"/>
    </w:p>
    <w:p w14:paraId="412A0281">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2.14.1双方当事人不得擅自中止或者终止合同；</w:t>
      </w:r>
    </w:p>
    <w:p w14:paraId="5F77BF77">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14:paraId="0ABC715D">
      <w:pPr>
        <w:spacing w:line="360" w:lineRule="auto"/>
        <w:ind w:firstLine="437"/>
        <w:outlineLvl w:val="2"/>
        <w:rPr>
          <w:rFonts w:hint="eastAsia" w:ascii="宋体" w:hAnsi="宋体" w:eastAsia="宋体" w:cs="宋体"/>
          <w:b/>
          <w:bCs/>
          <w:color w:val="000000" w:themeColor="text1"/>
          <w:sz w:val="24"/>
          <w:highlight w:val="none"/>
          <w:lang w:val="zh-CN"/>
          <w14:textFill>
            <w14:solidFill>
              <w14:schemeClr w14:val="tx1"/>
            </w14:solidFill>
          </w14:textFill>
        </w:rPr>
      </w:pPr>
      <w:bookmarkStart w:id="200" w:name="_Toc1125"/>
      <w:bookmarkStart w:id="201" w:name="_Toc6596"/>
      <w:bookmarkStart w:id="202" w:name="_Toc14563"/>
      <w:r>
        <w:rPr>
          <w:rFonts w:hint="eastAsia" w:ascii="宋体" w:hAnsi="宋体" w:eastAsia="宋体" w:cs="宋体"/>
          <w:b/>
          <w:bCs/>
          <w:color w:val="000000" w:themeColor="text1"/>
          <w:sz w:val="24"/>
          <w:highlight w:val="none"/>
          <w:lang w:val="zh-CN"/>
          <w14:textFill>
            <w14:solidFill>
              <w14:schemeClr w14:val="tx1"/>
            </w14:solidFill>
          </w14:textFill>
        </w:rPr>
        <w:t>2.15 检验和验收</w:t>
      </w:r>
      <w:bookmarkEnd w:id="200"/>
      <w:bookmarkEnd w:id="201"/>
      <w:bookmarkEnd w:id="202"/>
    </w:p>
    <w:p w14:paraId="5186D21E">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2.15.1乙方按照</w:t>
      </w:r>
      <w:r>
        <w:rPr>
          <w:rFonts w:hint="eastAsia" w:ascii="宋体" w:hAnsi="宋体" w:eastAsia="宋体" w:cs="宋体"/>
          <w:b/>
          <w:i/>
          <w:color w:val="000000" w:themeColor="text1"/>
          <w:sz w:val="24"/>
          <w:highlight w:val="none"/>
          <w:u w:val="single"/>
          <w14:textFill>
            <w14:solidFill>
              <w14:schemeClr w14:val="tx1"/>
            </w14:solidFill>
          </w14:textFill>
        </w:rPr>
        <w:t>合同专用条款</w:t>
      </w:r>
      <w:r>
        <w:rPr>
          <w:rFonts w:hint="eastAsia" w:ascii="宋体" w:hAnsi="宋体" w:eastAsia="宋体" w:cs="宋体"/>
          <w:color w:val="000000" w:themeColor="text1"/>
          <w:sz w:val="24"/>
          <w:highlight w:val="none"/>
          <w14:textFill>
            <w14:solidFill>
              <w14:schemeClr w14:val="tx1"/>
            </w14:solidFill>
          </w14:textFill>
        </w:rPr>
        <w:t>的约定，定期提交服务报告，甲方按照</w:t>
      </w:r>
      <w:r>
        <w:rPr>
          <w:rFonts w:hint="eastAsia" w:ascii="宋体" w:hAnsi="宋体" w:eastAsia="宋体" w:cs="宋体"/>
          <w:b/>
          <w:i/>
          <w:color w:val="000000" w:themeColor="text1"/>
          <w:sz w:val="24"/>
          <w:highlight w:val="none"/>
          <w:u w:val="single"/>
          <w14:textFill>
            <w14:solidFill>
              <w14:schemeClr w14:val="tx1"/>
            </w14:solidFill>
          </w14:textFill>
        </w:rPr>
        <w:t>合同专用条款</w:t>
      </w:r>
      <w:r>
        <w:rPr>
          <w:rFonts w:hint="eastAsia" w:ascii="宋体" w:hAnsi="宋体" w:eastAsia="宋体" w:cs="宋体"/>
          <w:color w:val="000000" w:themeColor="text1"/>
          <w:sz w:val="24"/>
          <w:highlight w:val="none"/>
          <w14:textFill>
            <w14:solidFill>
              <w14:schemeClr w14:val="tx1"/>
            </w14:solidFill>
          </w14:textFill>
        </w:rPr>
        <w:t>的约定进行定期验收；</w:t>
      </w:r>
    </w:p>
    <w:p w14:paraId="6E12F743">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7DE54C1">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2.15.3检验和验收标准、程序等具体内容以及前述验收书的效力详见</w:t>
      </w:r>
      <w:r>
        <w:rPr>
          <w:rFonts w:hint="eastAsia" w:ascii="宋体" w:hAnsi="宋体" w:eastAsia="宋体" w:cs="宋体"/>
          <w:b/>
          <w:i/>
          <w:color w:val="000000" w:themeColor="text1"/>
          <w:sz w:val="24"/>
          <w:highlight w:val="none"/>
          <w:u w:val="single"/>
          <w14:textFill>
            <w14:solidFill>
              <w14:schemeClr w14:val="tx1"/>
            </w14:solidFill>
          </w14:textFill>
        </w:rPr>
        <w:t>合同专用条款</w:t>
      </w:r>
      <w:r>
        <w:rPr>
          <w:rFonts w:hint="eastAsia" w:ascii="宋体" w:hAnsi="宋体" w:eastAsia="宋体" w:cs="宋体"/>
          <w:i/>
          <w:color w:val="000000" w:themeColor="text1"/>
          <w:sz w:val="24"/>
          <w:highlight w:val="none"/>
          <w14:textFill>
            <w14:solidFill>
              <w14:schemeClr w14:val="tx1"/>
            </w14:solidFill>
          </w14:textFill>
        </w:rPr>
        <w:t>。</w:t>
      </w:r>
    </w:p>
    <w:bookmarkEnd w:id="172"/>
    <w:bookmarkEnd w:id="173"/>
    <w:bookmarkEnd w:id="174"/>
    <w:bookmarkEnd w:id="175"/>
    <w:p w14:paraId="7B8AAA42">
      <w:pPr>
        <w:spacing w:line="360" w:lineRule="auto"/>
        <w:ind w:firstLine="437"/>
        <w:outlineLvl w:val="2"/>
        <w:rPr>
          <w:rFonts w:hint="eastAsia" w:ascii="宋体" w:hAnsi="宋体" w:eastAsia="宋体" w:cs="宋体"/>
          <w:b/>
          <w:bCs/>
          <w:color w:val="000000" w:themeColor="text1"/>
          <w:sz w:val="24"/>
          <w:highlight w:val="none"/>
          <w14:textFill>
            <w14:solidFill>
              <w14:schemeClr w14:val="tx1"/>
            </w14:solidFill>
          </w14:textFill>
        </w:rPr>
      </w:pPr>
      <w:bookmarkStart w:id="203" w:name="_Toc12773"/>
      <w:bookmarkStart w:id="204" w:name="_Toc10330"/>
      <w:bookmarkStart w:id="205" w:name="_Toc487900373"/>
      <w:bookmarkStart w:id="206" w:name="_Toc279701263"/>
      <w:bookmarkStart w:id="207" w:name="_Toc259093692"/>
      <w:bookmarkStart w:id="208" w:name="_Toc18567"/>
      <w:r>
        <w:rPr>
          <w:rFonts w:hint="eastAsia" w:ascii="宋体" w:hAnsi="宋体" w:eastAsia="宋体" w:cs="宋体"/>
          <w:b/>
          <w:bCs/>
          <w:color w:val="000000" w:themeColor="text1"/>
          <w:sz w:val="24"/>
          <w:highlight w:val="none"/>
          <w14:textFill>
            <w14:solidFill>
              <w14:schemeClr w14:val="tx1"/>
            </w14:solidFill>
          </w14:textFill>
        </w:rPr>
        <w:t xml:space="preserve">2.16 </w:t>
      </w:r>
      <w:r>
        <w:rPr>
          <w:rFonts w:hint="eastAsia" w:ascii="宋体" w:hAnsi="宋体" w:eastAsia="宋体" w:cs="宋体"/>
          <w:b/>
          <w:bCs/>
          <w:color w:val="000000" w:themeColor="text1"/>
          <w:sz w:val="24"/>
          <w:highlight w:val="none"/>
          <w:lang w:val="zh-CN"/>
          <w14:textFill>
            <w14:solidFill>
              <w14:schemeClr w14:val="tx1"/>
            </w14:solidFill>
          </w14:textFill>
        </w:rPr>
        <w:t>合同使用的文字和适用的法律</w:t>
      </w:r>
      <w:bookmarkEnd w:id="203"/>
      <w:bookmarkEnd w:id="204"/>
      <w:bookmarkEnd w:id="205"/>
      <w:bookmarkEnd w:id="206"/>
      <w:bookmarkEnd w:id="207"/>
      <w:bookmarkEnd w:id="208"/>
    </w:p>
    <w:p w14:paraId="21EA69B5">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2.16.1合同使用汉语书就、变更和解释；</w:t>
      </w:r>
    </w:p>
    <w:p w14:paraId="54181EA1">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2.16.2合同适用中华人民共和国法律。</w:t>
      </w:r>
    </w:p>
    <w:p w14:paraId="08DA5A75">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bookmarkStart w:id="209" w:name="_Toc12004"/>
      <w:bookmarkStart w:id="210" w:name="_Toc259093693"/>
      <w:bookmarkStart w:id="211" w:name="_Toc16673"/>
      <w:bookmarkStart w:id="212" w:name="_Toc279701264"/>
      <w:bookmarkStart w:id="213" w:name="_Toc3148"/>
      <w:bookmarkStart w:id="214" w:name="_Toc487900374"/>
      <w:r>
        <w:rPr>
          <w:rFonts w:hint="eastAsia" w:ascii="宋体" w:hAnsi="宋体" w:eastAsia="宋体" w:cs="宋体"/>
          <w:b/>
          <w:bCs/>
          <w:color w:val="000000" w:themeColor="text1"/>
          <w:sz w:val="24"/>
          <w:highlight w:val="none"/>
          <w:lang w:val="zh-CN"/>
          <w14:textFill>
            <w14:solidFill>
              <w14:schemeClr w14:val="tx1"/>
            </w14:solidFill>
          </w14:textFill>
        </w:rPr>
        <w:t>2.17 履约保证金</w:t>
      </w:r>
      <w:bookmarkEnd w:id="209"/>
      <w:bookmarkEnd w:id="210"/>
      <w:bookmarkEnd w:id="211"/>
      <w:bookmarkEnd w:id="212"/>
      <w:bookmarkEnd w:id="213"/>
    </w:p>
    <w:p w14:paraId="3DD7DCF5">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2.17.1采购文件要求乙方提交履约保证金的，乙方应按</w:t>
      </w:r>
      <w:r>
        <w:rPr>
          <w:rFonts w:hint="eastAsia" w:ascii="宋体" w:hAnsi="宋体" w:eastAsia="宋体" w:cs="宋体"/>
          <w:b/>
          <w:i/>
          <w:color w:val="000000" w:themeColor="text1"/>
          <w:sz w:val="24"/>
          <w:highlight w:val="none"/>
          <w:u w:val="single"/>
          <w14:textFill>
            <w14:solidFill>
              <w14:schemeClr w14:val="tx1"/>
            </w14:solidFill>
          </w14:textFill>
        </w:rPr>
        <w:t>合同专用条款</w:t>
      </w:r>
      <w:r>
        <w:rPr>
          <w:rFonts w:hint="eastAsia" w:ascii="宋体" w:hAnsi="宋体" w:eastAsia="宋体" w:cs="宋体"/>
          <w:color w:val="000000" w:themeColor="text1"/>
          <w:sz w:val="24"/>
          <w:highlight w:val="none"/>
          <w14:textFill>
            <w14:solidFill>
              <w14:schemeClr w14:val="tx1"/>
            </w14:solidFill>
          </w14:textFill>
        </w:rPr>
        <w:t>约定的方式，以支票、汇票、本票或者金融机构、担保机构出具的保函等非现金形式提交；</w:t>
      </w:r>
    </w:p>
    <w:p w14:paraId="2181C7B1">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2.17.2履约保证金在</w:t>
      </w:r>
      <w:r>
        <w:rPr>
          <w:rFonts w:hint="eastAsia" w:ascii="宋体" w:hAnsi="宋体" w:eastAsia="宋体" w:cs="宋体"/>
          <w:b/>
          <w:i/>
          <w:color w:val="000000" w:themeColor="text1"/>
          <w:sz w:val="24"/>
          <w:szCs w:val="24"/>
          <w:highlight w:val="none"/>
          <w:u w:val="single"/>
          <w14:textFill>
            <w14:solidFill>
              <w14:schemeClr w14:val="tx1"/>
            </w14:solidFill>
          </w14:textFill>
        </w:rPr>
        <w:t>合同专用条款</w:t>
      </w:r>
      <w:r>
        <w:rPr>
          <w:rFonts w:hint="eastAsia" w:ascii="宋体" w:hAnsi="宋体" w:eastAsia="宋体" w:cs="宋体"/>
          <w:color w:val="000000" w:themeColor="text1"/>
          <w:sz w:val="24"/>
          <w:szCs w:val="24"/>
          <w:highlight w:val="none"/>
          <w14:textFill>
            <w14:solidFill>
              <w14:schemeClr w14:val="tx1"/>
            </w14:solidFill>
          </w14:textFill>
        </w:rPr>
        <w:t>约定期间内或者货物质量保证期内不予退还或者应完全有效，前述约定期间届满或者货物质量保证期届满之日起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个工作日内，甲方应将履约保证金退还乙方，甲方逾期退还履约保证金应承担违约责任。</w:t>
      </w:r>
    </w:p>
    <w:p w14:paraId="2EB60A7F">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14"/>
    <w:p w14:paraId="348C5450">
      <w:pPr>
        <w:spacing w:line="360" w:lineRule="auto"/>
        <w:ind w:firstLine="437"/>
        <w:outlineLvl w:val="2"/>
        <w:rPr>
          <w:rFonts w:hint="eastAsia" w:ascii="宋体" w:hAnsi="宋体" w:eastAsia="宋体" w:cs="宋体"/>
          <w:b/>
          <w:color w:val="000000" w:themeColor="text1"/>
          <w:sz w:val="24"/>
          <w:highlight w:val="none"/>
          <w14:textFill>
            <w14:solidFill>
              <w14:schemeClr w14:val="tx1"/>
            </w14:solidFill>
          </w14:textFill>
        </w:rPr>
      </w:pPr>
      <w:bookmarkStart w:id="215" w:name="_Toc6885"/>
      <w:bookmarkStart w:id="216" w:name="_Toc19890"/>
      <w:bookmarkStart w:id="217" w:name="_Toc14001"/>
      <w:r>
        <w:rPr>
          <w:rFonts w:hint="eastAsia" w:ascii="宋体" w:hAnsi="宋体" w:eastAsia="宋体" w:cs="宋体"/>
          <w:b/>
          <w:bCs/>
          <w:color w:val="000000" w:themeColor="text1"/>
          <w:sz w:val="24"/>
          <w:highlight w:val="none"/>
          <w:lang w:val="zh-CN"/>
          <w14:textFill>
            <w14:solidFill>
              <w14:schemeClr w14:val="tx1"/>
            </w14:solidFill>
          </w14:textFill>
        </w:rPr>
        <w:t>2.18 合同份数</w:t>
      </w:r>
      <w:bookmarkEnd w:id="215"/>
      <w:bookmarkEnd w:id="216"/>
      <w:bookmarkEnd w:id="217"/>
    </w:p>
    <w:p w14:paraId="7CFD6C39">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合同份数按</w:t>
      </w:r>
      <w:r>
        <w:rPr>
          <w:rFonts w:hint="eastAsia" w:ascii="宋体" w:hAnsi="宋体" w:eastAsia="宋体" w:cs="宋体"/>
          <w:b/>
          <w:i/>
          <w:color w:val="000000" w:themeColor="text1"/>
          <w:sz w:val="24"/>
          <w:highlight w:val="none"/>
          <w:u w:val="single"/>
          <w14:textFill>
            <w14:solidFill>
              <w14:schemeClr w14:val="tx1"/>
            </w14:solidFill>
          </w14:textFill>
        </w:rPr>
        <w:t>合同专用条款</w:t>
      </w:r>
      <w:r>
        <w:rPr>
          <w:rFonts w:hint="eastAsia" w:ascii="宋体" w:hAnsi="宋体" w:eastAsia="宋体" w:cs="宋体"/>
          <w:color w:val="000000" w:themeColor="text1"/>
          <w:sz w:val="24"/>
          <w:highlight w:val="none"/>
          <w14:textFill>
            <w14:solidFill>
              <w14:schemeClr w14:val="tx1"/>
            </w14:solidFill>
          </w14:textFill>
        </w:rPr>
        <w:t>规定，每份均具有同等法律效力。</w:t>
      </w:r>
    </w:p>
    <w:p w14:paraId="3455B88B">
      <w:pPr>
        <w:spacing w:line="360" w:lineRule="auto"/>
        <w:jc w:val="center"/>
        <w:outlineLvl w:val="1"/>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bookmarkStart w:id="218" w:name="_Toc8839"/>
      <w:bookmarkStart w:id="219" w:name="_Toc331685784"/>
      <w:r>
        <w:rPr>
          <w:rFonts w:hint="eastAsia" w:ascii="宋体" w:hAnsi="宋体" w:eastAsia="宋体" w:cs="宋体"/>
          <w:b/>
          <w:color w:val="000000" w:themeColor="text1"/>
          <w:sz w:val="24"/>
          <w:highlight w:val="none"/>
          <w14:textFill>
            <w14:solidFill>
              <w14:schemeClr w14:val="tx1"/>
            </w14:solidFill>
          </w14:textFill>
        </w:rPr>
        <w:t>第三部分 合同专用条款</w:t>
      </w:r>
      <w:bookmarkEnd w:id="218"/>
      <w:bookmarkEnd w:id="219"/>
    </w:p>
    <w:p w14:paraId="08536F20">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0"/>
        <w:gridCol w:w="7543"/>
      </w:tblGrid>
      <w:tr w14:paraId="090DE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4" w:type="pct"/>
            <w:tcBorders>
              <w:left w:val="single" w:color="auto" w:sz="4" w:space="0"/>
            </w:tcBorders>
            <w:vAlign w:val="center"/>
          </w:tcPr>
          <w:p w14:paraId="36C251E3">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条款号</w:t>
            </w:r>
          </w:p>
        </w:tc>
        <w:tc>
          <w:tcPr>
            <w:tcW w:w="4525" w:type="pct"/>
            <w:vAlign w:val="center"/>
          </w:tcPr>
          <w:p w14:paraId="4CEB93C7">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约定内容</w:t>
            </w:r>
          </w:p>
        </w:tc>
      </w:tr>
      <w:tr w14:paraId="3E87C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4" w:type="pct"/>
            <w:tcBorders>
              <w:left w:val="single" w:color="auto" w:sz="4" w:space="0"/>
            </w:tcBorders>
            <w:vAlign w:val="center"/>
          </w:tcPr>
          <w:p w14:paraId="712694ED">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2.3.2</w:t>
            </w:r>
          </w:p>
        </w:tc>
        <w:tc>
          <w:tcPr>
            <w:tcW w:w="4525" w:type="pct"/>
            <w:vAlign w:val="center"/>
          </w:tcPr>
          <w:p w14:paraId="31E7EE35">
            <w:pPr>
              <w:pStyle w:val="54"/>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本项目所有成果的版权属甲方所有，未经同意，乙方不得自行删除、复制、修改、转移数据，亦不得以任何形式向第三方提供;甲方提供的任何业务资料，乙方需认真保管、严格保密，并在使用完毕后及时归还。乙方在甲方单位工作时，应遵守相关规章、制度等。不论本合同是否变更、解除、终止，本条款均有效。</w:t>
            </w:r>
          </w:p>
        </w:tc>
      </w:tr>
      <w:tr w14:paraId="5F8EC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6A785087">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2.11.3</w:t>
            </w:r>
          </w:p>
          <w:p w14:paraId="18258252">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2.11.4</w:t>
            </w:r>
          </w:p>
        </w:tc>
        <w:tc>
          <w:tcPr>
            <w:tcW w:w="4525" w:type="pct"/>
            <w:vAlign w:val="center"/>
          </w:tcPr>
          <w:p w14:paraId="6F49058A">
            <w:pPr>
              <w:pStyle w:val="54"/>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不可抗力致使合同有变更必要，甲乙双方应在不可抗力发生后5个工作日内应以书面形式变更合同。</w:t>
            </w:r>
          </w:p>
          <w:p w14:paraId="315306D7">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受不可抗力影响的一方在不可抗力发生后，甲乙双方应在不可抗力发生后10个工作日内以书面形式通知对方当事人，将有关部门出具的证明文件送达对方当事人。</w:t>
            </w:r>
          </w:p>
        </w:tc>
      </w:tr>
      <w:tr w14:paraId="1EAB4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37737120">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2.15.3</w:t>
            </w:r>
          </w:p>
        </w:tc>
        <w:tc>
          <w:tcPr>
            <w:tcW w:w="4525" w:type="pct"/>
            <w:vAlign w:val="center"/>
          </w:tcPr>
          <w:p w14:paraId="78B492C4">
            <w:pPr>
              <w:adjustRightInd w:val="0"/>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1.验收标准</w:t>
            </w:r>
          </w:p>
          <w:p w14:paraId="007D77F3">
            <w:pPr>
              <w:adjustRightInd w:val="0"/>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按照</w:t>
            </w:r>
            <w:r>
              <w:rPr>
                <w:rFonts w:hint="eastAsia" w:ascii="宋体" w:hAnsi="宋体" w:eastAsia="宋体" w:cs="宋体"/>
                <w:color w:val="000000" w:themeColor="text1"/>
                <w:sz w:val="24"/>
                <w:highlight w:val="none"/>
                <w:lang w:val="en-US" w:eastAsia="zh-CN"/>
                <w14:textFill>
                  <w14:solidFill>
                    <w14:schemeClr w14:val="tx1"/>
                  </w14:solidFill>
                </w14:textFill>
              </w:rPr>
              <w:t>相关行业</w:t>
            </w:r>
            <w:r>
              <w:rPr>
                <w:rFonts w:hint="eastAsia" w:ascii="宋体" w:hAnsi="宋体" w:eastAsia="宋体" w:cs="宋体"/>
                <w:color w:val="000000" w:themeColor="text1"/>
                <w:sz w:val="24"/>
                <w:highlight w:val="none"/>
                <w14:textFill>
                  <w14:solidFill>
                    <w14:schemeClr w14:val="tx1"/>
                  </w14:solidFill>
                </w14:textFill>
              </w:rPr>
              <w:t>的规定及相关要求。</w:t>
            </w:r>
          </w:p>
          <w:p w14:paraId="0D52A9DE">
            <w:pPr>
              <w:adjustRightInd w:val="0"/>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2.验收程序：</w:t>
            </w:r>
          </w:p>
          <w:p w14:paraId="02EBDE72">
            <w:pPr>
              <w:adjustRightInd w:val="0"/>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（1）成立验收小组，验收人员应由甲方、乙方组成。</w:t>
            </w:r>
          </w:p>
          <w:p w14:paraId="42D77767">
            <w:pPr>
              <w:adjustRightInd w:val="0"/>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（2）出具验收报告。</w:t>
            </w:r>
          </w:p>
          <w:p w14:paraId="0137A415">
            <w:pPr>
              <w:adjustRightInd w:val="0"/>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3.验收合格后，乙方向甲方提交成果报告电子档及纸质文档8份。</w:t>
            </w:r>
          </w:p>
        </w:tc>
      </w:tr>
      <w:tr w14:paraId="0AA0E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7F3D4481">
            <w:pPr>
              <w:spacing w:line="5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2.17.1</w:t>
            </w:r>
          </w:p>
        </w:tc>
        <w:tc>
          <w:tcPr>
            <w:tcW w:w="4525" w:type="pct"/>
            <w:vAlign w:val="center"/>
          </w:tcPr>
          <w:p w14:paraId="6D5F6F9E">
            <w:pPr>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（1）金额：合同价的</w:t>
            </w:r>
            <w:r>
              <w:rPr>
                <w:rFonts w:hint="eastAsia" w:ascii="宋体" w:hAnsi="宋体" w:eastAsia="宋体" w:cs="宋体"/>
                <w:bCs/>
                <w:color w:val="000000" w:themeColor="text1"/>
                <w:kern w:val="0"/>
                <w:sz w:val="24"/>
                <w:szCs w:val="28"/>
                <w:highlight w:val="none"/>
                <w:u w:val="single"/>
                <w14:textFill>
                  <w14:solidFill>
                    <w14:schemeClr w14:val="tx1"/>
                  </w14:solidFill>
                </w14:textFill>
              </w:rPr>
              <w:t>2.5</w:t>
            </w:r>
            <w:r>
              <w:rPr>
                <w:rFonts w:hint="eastAsia" w:ascii="宋体" w:hAnsi="宋体" w:eastAsia="宋体" w:cs="宋体"/>
                <w:bCs/>
                <w:color w:val="000000" w:themeColor="text1"/>
                <w:kern w:val="0"/>
                <w:sz w:val="24"/>
                <w:szCs w:val="28"/>
                <w:highlight w:val="none"/>
                <w14:textFill>
                  <w14:solidFill>
                    <w14:schemeClr w14:val="tx1"/>
                  </w14:solidFill>
                </w14:textFill>
              </w:rPr>
              <w:t>%</w:t>
            </w:r>
          </w:p>
          <w:p w14:paraId="6C2A0DDE">
            <w:pPr>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（2）支付方式：</w:t>
            </w:r>
          </w:p>
          <w:p w14:paraId="1E0C9E61">
            <w:pPr>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sym w:font="Wingdings" w:char="00FE"/>
            </w:r>
            <w:r>
              <w:rPr>
                <w:rFonts w:hint="eastAsia" w:ascii="宋体" w:hAnsi="宋体" w:eastAsia="宋体" w:cs="宋体"/>
                <w:bCs/>
                <w:color w:val="000000" w:themeColor="text1"/>
                <w:kern w:val="0"/>
                <w:sz w:val="24"/>
                <w:szCs w:val="28"/>
                <w:highlight w:val="none"/>
                <w14:textFill>
                  <w14:solidFill>
                    <w14:schemeClr w14:val="tx1"/>
                  </w14:solidFill>
                </w14:textFill>
              </w:rPr>
              <w:t xml:space="preserve">转账/电汇 </w:t>
            </w:r>
            <w:r>
              <w:rPr>
                <w:rFonts w:hint="eastAsia" w:ascii="宋体" w:hAnsi="宋体" w:eastAsia="宋体" w:cs="宋体"/>
                <w:bCs/>
                <w:color w:val="000000" w:themeColor="text1"/>
                <w:kern w:val="0"/>
                <w:sz w:val="24"/>
                <w:szCs w:val="28"/>
                <w:highlight w:val="none"/>
                <w14:textFill>
                  <w14:solidFill>
                    <w14:schemeClr w14:val="tx1"/>
                  </w14:solidFill>
                </w14:textFill>
              </w:rPr>
              <w:sym w:font="Wingdings" w:char="00FE"/>
            </w:r>
            <w:r>
              <w:rPr>
                <w:rFonts w:hint="eastAsia" w:ascii="宋体" w:hAnsi="宋体" w:eastAsia="宋体" w:cs="宋体"/>
                <w:bCs/>
                <w:color w:val="000000" w:themeColor="text1"/>
                <w:kern w:val="0"/>
                <w:sz w:val="24"/>
                <w:szCs w:val="28"/>
                <w:highlight w:val="none"/>
                <w14:textFill>
                  <w14:solidFill>
                    <w14:schemeClr w14:val="tx1"/>
                  </w14:solidFill>
                </w14:textFill>
              </w:rPr>
              <w:t xml:space="preserve">支票 </w:t>
            </w:r>
            <w:r>
              <w:rPr>
                <w:rFonts w:hint="eastAsia" w:ascii="宋体" w:hAnsi="宋体" w:eastAsia="宋体" w:cs="宋体"/>
                <w:bCs/>
                <w:color w:val="000000" w:themeColor="text1"/>
                <w:kern w:val="0"/>
                <w:sz w:val="24"/>
                <w:szCs w:val="28"/>
                <w:highlight w:val="none"/>
                <w14:textFill>
                  <w14:solidFill>
                    <w14:schemeClr w14:val="tx1"/>
                  </w14:solidFill>
                </w14:textFill>
              </w:rPr>
              <w:sym w:font="Wingdings" w:char="00FE"/>
            </w:r>
            <w:r>
              <w:rPr>
                <w:rFonts w:hint="eastAsia" w:ascii="宋体" w:hAnsi="宋体" w:eastAsia="宋体" w:cs="宋体"/>
                <w:bCs/>
                <w:color w:val="000000" w:themeColor="text1"/>
                <w:kern w:val="0"/>
                <w:sz w:val="24"/>
                <w:szCs w:val="28"/>
                <w:highlight w:val="none"/>
                <w14:textFill>
                  <w14:solidFill>
                    <w14:schemeClr w14:val="tx1"/>
                  </w14:solidFill>
                </w14:textFill>
              </w:rPr>
              <w:t xml:space="preserve">汇票 </w:t>
            </w:r>
            <w:r>
              <w:rPr>
                <w:rFonts w:hint="eastAsia" w:ascii="宋体" w:hAnsi="宋体" w:eastAsia="宋体" w:cs="宋体"/>
                <w:bCs/>
                <w:color w:val="000000" w:themeColor="text1"/>
                <w:kern w:val="0"/>
                <w:sz w:val="24"/>
                <w:szCs w:val="28"/>
                <w:highlight w:val="none"/>
                <w14:textFill>
                  <w14:solidFill>
                    <w14:schemeClr w14:val="tx1"/>
                  </w14:solidFill>
                </w14:textFill>
              </w:rPr>
              <w:sym w:font="Wingdings" w:char="00FE"/>
            </w:r>
            <w:r>
              <w:rPr>
                <w:rFonts w:hint="eastAsia" w:ascii="宋体" w:hAnsi="宋体" w:eastAsia="宋体" w:cs="宋体"/>
                <w:bCs/>
                <w:color w:val="000000" w:themeColor="text1"/>
                <w:kern w:val="0"/>
                <w:sz w:val="24"/>
                <w:szCs w:val="28"/>
                <w:highlight w:val="none"/>
                <w14:textFill>
                  <w14:solidFill>
                    <w14:schemeClr w14:val="tx1"/>
                  </w14:solidFill>
                </w14:textFill>
              </w:rPr>
              <w:t xml:space="preserve">本票 </w:t>
            </w:r>
            <w:r>
              <w:rPr>
                <w:rFonts w:hint="eastAsia" w:ascii="宋体" w:hAnsi="宋体" w:eastAsia="宋体" w:cs="宋体"/>
                <w:bCs/>
                <w:color w:val="000000" w:themeColor="text1"/>
                <w:kern w:val="0"/>
                <w:sz w:val="24"/>
                <w:szCs w:val="28"/>
                <w:highlight w:val="none"/>
                <w14:textFill>
                  <w14:solidFill>
                    <w14:schemeClr w14:val="tx1"/>
                  </w14:solidFill>
                </w14:textFill>
              </w:rPr>
              <w:sym w:font="Wingdings" w:char="00FE"/>
            </w:r>
            <w:r>
              <w:rPr>
                <w:rFonts w:hint="eastAsia" w:ascii="宋体" w:hAnsi="宋体" w:eastAsia="宋体" w:cs="宋体"/>
                <w:bCs/>
                <w:color w:val="000000" w:themeColor="text1"/>
                <w:kern w:val="0"/>
                <w:sz w:val="24"/>
                <w:szCs w:val="28"/>
                <w:highlight w:val="none"/>
                <w14:textFill>
                  <w14:solidFill>
                    <w14:schemeClr w14:val="tx1"/>
                  </w14:solidFill>
                </w14:textFill>
              </w:rPr>
              <w:t xml:space="preserve">保险 </w:t>
            </w:r>
            <w:r>
              <w:rPr>
                <w:rFonts w:hint="eastAsia" w:ascii="宋体" w:hAnsi="宋体" w:eastAsia="宋体" w:cs="宋体"/>
                <w:bCs/>
                <w:color w:val="000000" w:themeColor="text1"/>
                <w:kern w:val="0"/>
                <w:sz w:val="24"/>
                <w:szCs w:val="28"/>
                <w:highlight w:val="none"/>
                <w14:textFill>
                  <w14:solidFill>
                    <w14:schemeClr w14:val="tx1"/>
                  </w14:solidFill>
                </w14:textFill>
              </w:rPr>
              <w:sym w:font="Wingdings" w:char="00FE"/>
            </w:r>
            <w:r>
              <w:rPr>
                <w:rFonts w:hint="eastAsia" w:ascii="宋体" w:hAnsi="宋体" w:eastAsia="宋体" w:cs="宋体"/>
                <w:bCs/>
                <w:color w:val="000000" w:themeColor="text1"/>
                <w:kern w:val="0"/>
                <w:sz w:val="24"/>
                <w:szCs w:val="28"/>
                <w:highlight w:val="none"/>
                <w14:textFill>
                  <w14:solidFill>
                    <w14:schemeClr w14:val="tx1"/>
                  </w14:solidFill>
                </w14:textFill>
              </w:rPr>
              <w:t>保函</w:t>
            </w:r>
          </w:p>
          <w:p w14:paraId="623419EE">
            <w:pPr>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（3）收取单位：</w:t>
            </w:r>
            <w:r>
              <w:rPr>
                <w:rFonts w:hint="eastAsia" w:ascii="宋体" w:hAnsi="宋体" w:eastAsia="宋体" w:cs="宋体"/>
                <w:color w:val="000000" w:themeColor="text1"/>
                <w:sz w:val="24"/>
                <w:szCs w:val="24"/>
                <w:highlight w:val="none"/>
                <w:u w:val="single"/>
                <w14:textFill>
                  <w14:solidFill>
                    <w14:schemeClr w14:val="tx1"/>
                  </w14:solidFill>
                </w14:textFill>
              </w:rPr>
              <w:t>本项目为统采分签项目，成交后履约保证金由各合同甲方分别收取</w:t>
            </w:r>
            <w:r>
              <w:rPr>
                <w:rFonts w:hint="eastAsia" w:ascii="宋体" w:hAnsi="宋体" w:eastAsia="宋体" w:cs="宋体"/>
                <w:bCs/>
                <w:color w:val="000000" w:themeColor="text1"/>
                <w:kern w:val="0"/>
                <w:sz w:val="24"/>
                <w:szCs w:val="28"/>
                <w:highlight w:val="none"/>
                <w14:textFill>
                  <w14:solidFill>
                    <w14:schemeClr w14:val="tx1"/>
                  </w14:solidFill>
                </w14:textFill>
              </w:rPr>
              <w:t xml:space="preserve">                 </w:t>
            </w:r>
          </w:p>
          <w:p w14:paraId="6ADA8FFB">
            <w:pPr>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（4）收取账号：</w:t>
            </w:r>
            <w:r>
              <w:rPr>
                <w:rFonts w:hint="eastAsia" w:ascii="宋体" w:hAnsi="宋体" w:eastAsia="宋体" w:cs="宋体"/>
                <w:bCs/>
                <w:color w:val="000000" w:themeColor="text1"/>
                <w:kern w:val="0"/>
                <w:sz w:val="24"/>
                <w:szCs w:val="28"/>
                <w:highlight w:val="none"/>
                <w:u w:val="single"/>
                <w14:textFill>
                  <w14:solidFill>
                    <w14:schemeClr w14:val="tx1"/>
                  </w14:solidFill>
                </w14:textFill>
              </w:rPr>
              <w:t>成交后提供</w:t>
            </w:r>
          </w:p>
          <w:p w14:paraId="48E42A12">
            <w:pPr>
              <w:spacing w:line="360" w:lineRule="auto"/>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退还时间：</w:t>
            </w:r>
            <w:r>
              <w:rPr>
                <w:rFonts w:hint="eastAsia" w:ascii="宋体" w:hAnsi="宋体" w:eastAsia="宋体" w:cs="宋体"/>
                <w:color w:val="000000" w:themeColor="text1"/>
                <w:sz w:val="24"/>
                <w:highlight w:val="none"/>
                <w:u w:val="single"/>
                <w14:textFill>
                  <w14:solidFill>
                    <w14:schemeClr w14:val="tx1"/>
                  </w14:solidFill>
                </w14:textFill>
              </w:rPr>
              <w:t>履约保证金在合同生效之日起至项目验收合格前一直有效，移交项目成果并通过验收后经乙方申请，合同甲方确认后</w:t>
            </w:r>
            <w:r>
              <w:rPr>
                <w:rFonts w:hint="eastAsia" w:ascii="宋体" w:hAnsi="宋体" w:eastAsia="宋体" w:cs="宋体"/>
                <w:color w:val="000000" w:themeColor="text1"/>
                <w:sz w:val="24"/>
                <w:szCs w:val="24"/>
                <w:highlight w:val="none"/>
                <w:u w:val="single"/>
                <w14:textFill>
                  <w14:solidFill>
                    <w14:schemeClr w14:val="tx1"/>
                  </w14:solidFill>
                </w14:textFill>
              </w:rPr>
              <w:t>按规定及时</w:t>
            </w:r>
            <w:r>
              <w:rPr>
                <w:rFonts w:hint="eastAsia" w:ascii="宋体" w:hAnsi="宋体" w:eastAsia="宋体" w:cs="宋体"/>
                <w:color w:val="000000" w:themeColor="text1"/>
                <w:sz w:val="24"/>
                <w:highlight w:val="none"/>
                <w:u w:val="single"/>
                <w14:textFill>
                  <w14:solidFill>
                    <w14:schemeClr w14:val="tx1"/>
                  </w14:solidFill>
                </w14:textFill>
              </w:rPr>
              <w:t>将履约保证金款项退还给乙方或者解除履约担保。</w:t>
            </w:r>
          </w:p>
          <w:p w14:paraId="17971653">
            <w:pPr>
              <w:spacing w:line="36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如果乙方不履行合同，履约保证金不予退还；如果乙方未能按合同约定全面履行义务，甲方有权从履约保证金中取得补偿或赔偿，同时不影响甲方要求乙方承担合同约定的超过履约保证金的违约责任的权利。</w:t>
            </w:r>
          </w:p>
          <w:p w14:paraId="683EAE34">
            <w:pPr>
              <w:spacing w:line="360" w:lineRule="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注意事项：</w:t>
            </w:r>
          </w:p>
          <w:p w14:paraId="1756EFD2">
            <w:pPr>
              <w:spacing w:line="360" w:lineRule="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（1）以上各类机构出具的以担保函、保证保险承担责任的方式均须满足无条件见索即付条件。</w:t>
            </w:r>
          </w:p>
          <w:p w14:paraId="3D1862D9">
            <w:pPr>
              <w:adjustRightInd w:val="0"/>
              <w:snapToGrid w:val="0"/>
              <w:spacing w:line="360" w:lineRule="auto"/>
              <w:jc w:val="lef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（2）以担保函、保证保险形式缴纳履约保证金的，受益人和收取单位须为合同甲方。</w:t>
            </w:r>
          </w:p>
        </w:tc>
      </w:tr>
      <w:tr w14:paraId="6E016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588F5876">
            <w:pPr>
              <w:pStyle w:val="54"/>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2.18</w:t>
            </w:r>
          </w:p>
        </w:tc>
        <w:tc>
          <w:tcPr>
            <w:tcW w:w="4525" w:type="pct"/>
            <w:vAlign w:val="center"/>
          </w:tcPr>
          <w:p w14:paraId="4AACB34B">
            <w:pPr>
              <w:pStyle w:val="54"/>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本合同一式陆份，甲乙双方各执叁份。</w:t>
            </w:r>
          </w:p>
        </w:tc>
      </w:tr>
      <w:tr w14:paraId="5E242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6DA93E56">
            <w:pPr>
              <w:pStyle w:val="54"/>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2.20</w:t>
            </w:r>
          </w:p>
        </w:tc>
        <w:tc>
          <w:tcPr>
            <w:tcW w:w="4525" w:type="pct"/>
            <w:vAlign w:val="center"/>
          </w:tcPr>
          <w:p w14:paraId="71D7AA75">
            <w:pPr>
              <w:pStyle w:val="54"/>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项目实施前，乙方须提供本项目所有从业人员的社会保险（含工伤和医疗）缴纳证明，如无法提供相应证明材料，则须为本项目</w:t>
            </w:r>
            <w:r>
              <w:rPr>
                <w:rFonts w:hint="eastAsia" w:ascii="宋体" w:hAnsi="宋体" w:eastAsia="宋体" w:cs="宋体"/>
                <w:bCs/>
                <w:color w:val="000000" w:themeColor="text1"/>
                <w:kern w:val="0"/>
                <w:sz w:val="24"/>
                <w:szCs w:val="28"/>
                <w:highlight w:val="none"/>
                <w:lang w:val="en-US" w:eastAsia="zh-CN"/>
                <w14:textFill>
                  <w14:solidFill>
                    <w14:schemeClr w14:val="tx1"/>
                  </w14:solidFill>
                </w14:textFill>
              </w:rPr>
              <w:t>无社会保险的</w:t>
            </w:r>
            <w:r>
              <w:rPr>
                <w:rFonts w:hint="eastAsia" w:ascii="宋体" w:hAnsi="宋体" w:eastAsia="宋体" w:cs="宋体"/>
                <w:bCs/>
                <w:color w:val="000000" w:themeColor="text1"/>
                <w:kern w:val="0"/>
                <w:sz w:val="24"/>
                <w:szCs w:val="28"/>
                <w:highlight w:val="none"/>
                <w14:textFill>
                  <w14:solidFill>
                    <w14:schemeClr w14:val="tx1"/>
                  </w14:solidFill>
                </w14:textFill>
              </w:rPr>
              <w:t>从业人员购买以下保险（</w:t>
            </w:r>
            <w:r>
              <w:rPr>
                <w:rFonts w:hint="eastAsia" w:ascii="宋体" w:hAnsi="宋体" w:eastAsia="宋体" w:cs="宋体"/>
                <w:bCs/>
                <w:color w:val="000000" w:themeColor="text1"/>
                <w:kern w:val="0"/>
                <w:sz w:val="24"/>
                <w:szCs w:val="28"/>
                <w:highlight w:val="none"/>
                <w:lang w:val="en-US" w:eastAsia="zh-CN"/>
                <w14:textFill>
                  <w14:solidFill>
                    <w14:schemeClr w14:val="tx1"/>
                  </w14:solidFill>
                </w14:textFill>
              </w:rPr>
              <w:t>三</w:t>
            </w:r>
            <w:r>
              <w:rPr>
                <w:rFonts w:hint="eastAsia" w:ascii="宋体" w:hAnsi="宋体" w:eastAsia="宋体" w:cs="宋体"/>
                <w:bCs/>
                <w:color w:val="000000" w:themeColor="text1"/>
                <w:kern w:val="0"/>
                <w:sz w:val="24"/>
                <w:szCs w:val="28"/>
                <w:highlight w:val="none"/>
                <w14:textFill>
                  <w14:solidFill>
                    <w14:schemeClr w14:val="tx1"/>
                  </w14:solidFill>
                </w14:textFill>
              </w:rPr>
              <w:t>者任选其一）</w:t>
            </w:r>
          </w:p>
          <w:p w14:paraId="3F2AA1C6">
            <w:pPr>
              <w:pStyle w:val="54"/>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1.雇主责任险</w:t>
            </w:r>
          </w:p>
          <w:p w14:paraId="7D1405AE">
            <w:pPr>
              <w:pStyle w:val="54"/>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保险责任：被保险人为服务企业建立劳动关系的人员，在工作时间和工作场所内,因工作原因受到事故伤害;在工作时间和工作场所内,因履行工作职责受到暴力等意外伤害;被诊断、鉴定为职业病;在上下班途中,受到非本人主要责任的交通事故或者城市轨道交通、客运轮渡、火车事故伤害;在工作时间和工作岗位,突发疾病死亡或者在48小时之内经抢无效死亡;</w:t>
            </w:r>
          </w:p>
          <w:p w14:paraId="77DA8CDE">
            <w:pPr>
              <w:pStyle w:val="54"/>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2.企业作业人员员团队意外险</w:t>
            </w:r>
          </w:p>
          <w:p w14:paraId="6FDC09FC">
            <w:pPr>
              <w:pStyle w:val="54"/>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保险责任：在从事工程服务或从事工程服务相关工作，以及在作业现场或在指定的生活区域内，因遭受意外伤害事故而导致的身故、残疾或发生的医疗费用，保险公司依照约定给付身故保险金，或按照残疾比例给付表给付伤残保险金，或医疗费用补偿金。</w:t>
            </w:r>
          </w:p>
          <w:p w14:paraId="7C41440B">
            <w:pPr>
              <w:pStyle w:val="54"/>
              <w:numPr>
                <w:ilvl w:val="0"/>
                <w:numId w:val="6"/>
              </w:numPr>
              <w:spacing w:line="360" w:lineRule="auto"/>
              <w:rPr>
                <w:rFonts w:hint="eastAsia" w:ascii="宋体" w:hAnsi="宋体" w:eastAsia="宋体" w:cs="@仿宋_GB2312"/>
                <w:bCs/>
                <w:color w:val="auto"/>
                <w:kern w:val="0"/>
                <w:sz w:val="24"/>
                <w:szCs w:val="28"/>
                <w:lang w:val="en-US" w:eastAsia="zh-CN"/>
              </w:rPr>
            </w:pPr>
            <w:r>
              <w:rPr>
                <w:rFonts w:hint="default" w:ascii="宋体" w:hAnsi="宋体" w:eastAsia="宋体" w:cs="@仿宋_GB2312"/>
                <w:bCs/>
                <w:color w:val="auto"/>
                <w:kern w:val="0"/>
                <w:sz w:val="24"/>
                <w:szCs w:val="28"/>
                <w:lang w:val="en-US" w:eastAsia="zh-CN"/>
              </w:rPr>
              <w:t>安全生产责任保险（安责险）</w:t>
            </w:r>
            <w:r>
              <w:rPr>
                <w:rFonts w:hint="eastAsia" w:ascii="宋体" w:hAnsi="宋体" w:eastAsia="宋体" w:cs="@仿宋_GB2312"/>
                <w:bCs/>
                <w:color w:val="auto"/>
                <w:kern w:val="0"/>
                <w:sz w:val="24"/>
                <w:szCs w:val="28"/>
                <w:lang w:val="en-US" w:eastAsia="zh-CN"/>
              </w:rPr>
              <w:t>：</w:t>
            </w:r>
          </w:p>
          <w:p w14:paraId="623D37C3">
            <w:pPr>
              <w:pStyle w:val="54"/>
              <w:spacing w:line="360" w:lineRule="auto"/>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仿宋_GB2312"/>
                <w:bCs/>
                <w:color w:val="auto"/>
                <w:kern w:val="0"/>
                <w:sz w:val="24"/>
                <w:szCs w:val="28"/>
                <w:lang w:val="en-US" w:eastAsia="zh-CN"/>
              </w:rPr>
              <w:t>保险责任：</w:t>
            </w:r>
            <w:r>
              <w:rPr>
                <w:rFonts w:hint="default" w:ascii="宋体" w:hAnsi="宋体" w:eastAsia="宋体" w:cs="@仿宋_GB2312"/>
                <w:bCs/>
                <w:color w:val="auto"/>
                <w:kern w:val="0"/>
                <w:sz w:val="24"/>
                <w:szCs w:val="28"/>
                <w:lang w:val="en-US" w:eastAsia="zh-CN"/>
              </w:rPr>
              <w:t>是为生产经营单位提供生产安全事故伤亡与经济损失赔偿，并配套事故预防服务的商业保险，高危行业领域单位依法强制投保，保费由企业承担，不得摊派给个人。主险：从业人员因生产安全事故致伤亡的赔偿；第三者人身伤亡与财产损失的赔偿；事故抢险救援、医疗救护、鉴定、法律诉讼等费用 。附加</w:t>
            </w:r>
            <w:r>
              <w:rPr>
                <w:rFonts w:hint="eastAsia" w:ascii="宋体" w:hAnsi="宋体" w:eastAsia="宋体" w:cs="@仿宋_GB2312"/>
                <w:bCs/>
                <w:color w:val="auto"/>
                <w:kern w:val="0"/>
                <w:sz w:val="24"/>
                <w:szCs w:val="28"/>
                <w:lang w:val="en-US" w:eastAsia="zh-CN"/>
              </w:rPr>
              <w:t>险</w:t>
            </w:r>
            <w:r>
              <w:rPr>
                <w:rFonts w:hint="default" w:ascii="宋体" w:hAnsi="宋体" w:eastAsia="宋体" w:cs="@仿宋_GB2312"/>
                <w:bCs/>
                <w:color w:val="auto"/>
                <w:kern w:val="0"/>
                <w:sz w:val="24"/>
                <w:szCs w:val="28"/>
                <w:lang w:val="en-US" w:eastAsia="zh-CN"/>
              </w:rPr>
              <w:t>：医疗费用、施救与善后费用、精神损害赔偿、雇主责任扩展等，按合同约定执行 。</w:t>
            </w:r>
          </w:p>
        </w:tc>
      </w:tr>
    </w:tbl>
    <w:p w14:paraId="6ABE2B91">
      <w:pPr>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br w:type="page"/>
      </w:r>
    </w:p>
    <w:p w14:paraId="46E8478D">
      <w:pPr>
        <w:spacing w:line="400" w:lineRule="exact"/>
        <w:jc w:val="center"/>
        <w:outlineLvl w:val="9"/>
        <w:rPr>
          <w:rFonts w:hint="eastAsia" w:ascii="宋体" w:hAnsi="宋体" w:eastAsia="宋体" w:cs="宋体"/>
          <w:color w:val="000000" w:themeColor="text1"/>
          <w:sz w:val="24"/>
          <w:highlight w:val="none"/>
          <w14:textFill>
            <w14:solidFill>
              <w14:schemeClr w14:val="tx1"/>
            </w14:solidFill>
          </w14:textFill>
        </w:rPr>
      </w:pPr>
    </w:p>
    <w:p w14:paraId="6C253226">
      <w:pPr>
        <w:spacing w:line="400" w:lineRule="exact"/>
        <w:jc w:val="center"/>
        <w:outlineLvl w:val="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第四部分 廉政协议书</w:t>
      </w:r>
    </w:p>
    <w:p w14:paraId="11AC51C0">
      <w:pPr>
        <w:spacing w:line="360" w:lineRule="auto"/>
        <w:ind w:firstLine="420" w:firstLineChars="200"/>
        <w:rPr>
          <w:rFonts w:hint="eastAsia" w:ascii="宋体" w:hAnsi="宋体" w:eastAsia="宋体" w:cs="宋体"/>
          <w:color w:val="000000" w:themeColor="text1"/>
          <w:szCs w:val="32"/>
          <w:highlight w:val="none"/>
          <w14:textFill>
            <w14:solidFill>
              <w14:schemeClr w14:val="tx1"/>
            </w14:solidFill>
          </w14:textFill>
        </w:rPr>
      </w:pPr>
    </w:p>
    <w:p w14:paraId="013E4C01">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为加强服务项目中的廉政建设，规范服务项目采购双方的各项活动，防止发生各种谋取不正当利益的违法违纪行为，保护国家、集体和当事人的合法权益，根据国家有关法律法规和廉政建设责任制规定，就</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i/>
          <w:iCs/>
          <w:color w:val="000000" w:themeColor="text1"/>
          <w:sz w:val="24"/>
          <w:szCs w:val="24"/>
          <w:highlight w:val="none"/>
          <w:u w:val="single"/>
          <w:lang w:val="en-US" w:eastAsia="zh-CN"/>
          <w14:textFill>
            <w14:solidFill>
              <w14:schemeClr w14:val="tx1"/>
            </w14:solidFill>
          </w14:textFill>
        </w:rPr>
        <w:t>（项目名称）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特订立廉政合同。</w:t>
      </w:r>
    </w:p>
    <w:p w14:paraId="4DDC9713">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第一条</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甲乙双方的责任</w:t>
      </w:r>
    </w:p>
    <w:p w14:paraId="1A110B2D">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（一）应严格遵守国家关于市场准入、项目采购、工程建设、</w:t>
      </w:r>
      <w:r>
        <w:rPr>
          <w:rFonts w:hint="eastAsia" w:ascii="宋体" w:hAnsi="宋体" w:eastAsia="宋体" w:cs="宋体"/>
          <w:color w:val="000000" w:themeColor="text1"/>
          <w:sz w:val="24"/>
          <w:szCs w:val="24"/>
          <w:highlight w:val="none"/>
          <w:lang w:eastAsia="zh-CN"/>
          <w14:textFill>
            <w14:solidFill>
              <w14:schemeClr w14:val="tx1"/>
            </w14:solidFill>
          </w14:textFill>
        </w:rPr>
        <w:t>作业</w:t>
      </w:r>
      <w:r>
        <w:rPr>
          <w:rFonts w:hint="eastAsia" w:ascii="宋体" w:hAnsi="宋体" w:eastAsia="宋体" w:cs="宋体"/>
          <w:color w:val="000000" w:themeColor="text1"/>
          <w:sz w:val="24"/>
          <w:szCs w:val="24"/>
          <w:highlight w:val="none"/>
          <w14:textFill>
            <w14:solidFill>
              <w14:schemeClr w14:val="tx1"/>
            </w14:solidFill>
          </w14:textFill>
        </w:rPr>
        <w:t>安装和市场活动等有关法律、法规，相关政策，以及廉政建设的各项规定。</w:t>
      </w:r>
    </w:p>
    <w:p w14:paraId="67E681E5">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（二）严格执行本项目合同书，自觉按合同办事。</w:t>
      </w:r>
    </w:p>
    <w:p w14:paraId="7D4E5165">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（三）业务活动必须坚持公开、公平、公正、诚信、透明的原则（除法律法规另有规定者外），不得为获取不正当的利益，损害国家、集体和对方利益，不得违反工程建设管理、</w:t>
      </w:r>
      <w:r>
        <w:rPr>
          <w:rFonts w:hint="eastAsia" w:ascii="宋体" w:hAnsi="宋体" w:eastAsia="宋体" w:cs="宋体"/>
          <w:color w:val="000000" w:themeColor="text1"/>
          <w:sz w:val="24"/>
          <w:szCs w:val="24"/>
          <w:highlight w:val="none"/>
          <w:lang w:eastAsia="zh-CN"/>
          <w14:textFill>
            <w14:solidFill>
              <w14:schemeClr w14:val="tx1"/>
            </w14:solidFill>
          </w14:textFill>
        </w:rPr>
        <w:t>作业</w:t>
      </w:r>
      <w:r>
        <w:rPr>
          <w:rFonts w:hint="eastAsia" w:ascii="宋体" w:hAnsi="宋体" w:eastAsia="宋体" w:cs="宋体"/>
          <w:color w:val="000000" w:themeColor="text1"/>
          <w:sz w:val="24"/>
          <w:szCs w:val="24"/>
          <w:highlight w:val="none"/>
          <w14:textFill>
            <w14:solidFill>
              <w14:schemeClr w14:val="tx1"/>
            </w14:solidFill>
          </w14:textFill>
        </w:rPr>
        <w:t>安装的规章制度。</w:t>
      </w:r>
    </w:p>
    <w:p w14:paraId="2744DFA6">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（四）发现对方在业务活动中有违规、违纪、违法行为的，应及时提醒对方，情节严重的，应向其上级行政主管部门或纪检监察、司法等有关机关举报。</w:t>
      </w:r>
    </w:p>
    <w:p w14:paraId="6C1A1ED6">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第二条</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甲方的责任</w:t>
      </w:r>
    </w:p>
    <w:p w14:paraId="4B4AD605">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甲方的领导和从事该服务项目的工作人员，在项目实施的事前、事中、事后应遵守以下规定：</w:t>
      </w:r>
    </w:p>
    <w:p w14:paraId="0EDCAB73">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（一）不准向乙方和相关单位索要或接受回扣、礼金、有价证券、贵重物品和好处费、感谢费等。   </w:t>
      </w:r>
    </w:p>
    <w:p w14:paraId="2F4A2D3E">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（二）不准在乙方和相关单位报销任何应由甲方或个人支付的费用。</w:t>
      </w:r>
    </w:p>
    <w:p w14:paraId="5CDDDB6F">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（三）不准要求、暗示或接受乙方和相关单位为个人装修住房、婚丧嫁娶、配偶子女的工作安排以及出国(境)、旅游等提供方便。</w:t>
      </w:r>
    </w:p>
    <w:p w14:paraId="2C6B9457">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（四）不准参加有可能影响公正执行公务的乙方和相关单位的宴请和健身、娱乐等活动。</w:t>
      </w:r>
    </w:p>
    <w:p w14:paraId="36E7245D">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不准向乙方介绍或为配偶、子女、亲属参与同甲方实施项目合同有关的设备、材料、工程分包、劳务等经济活动。不得以任何理由向乙方和相关单位推荐分包单位和要求乙方购买合同规定以外的材料、设备等。</w:t>
      </w:r>
    </w:p>
    <w:p w14:paraId="03F17274">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第三条 乙方的责任</w:t>
      </w:r>
    </w:p>
    <w:p w14:paraId="03FEADB7">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应与甲方保持正常的业务交往，按照有关法律法规和程序开展业务工作，严格执行项目实施的有关方针、政策，尤其是有关建筑</w:t>
      </w:r>
      <w:r>
        <w:rPr>
          <w:rFonts w:hint="eastAsia" w:ascii="宋体" w:hAnsi="宋体" w:eastAsia="宋体" w:cs="宋体"/>
          <w:color w:val="000000" w:themeColor="text1"/>
          <w:sz w:val="24"/>
          <w:szCs w:val="24"/>
          <w:highlight w:val="none"/>
          <w:lang w:eastAsia="zh-CN"/>
          <w14:textFill>
            <w14:solidFill>
              <w14:schemeClr w14:val="tx1"/>
            </w14:solidFill>
          </w14:textFill>
        </w:rPr>
        <w:t>作业</w:t>
      </w:r>
      <w:r>
        <w:rPr>
          <w:rFonts w:hint="eastAsia" w:ascii="宋体" w:hAnsi="宋体" w:eastAsia="宋体" w:cs="宋体"/>
          <w:color w:val="000000" w:themeColor="text1"/>
          <w:sz w:val="24"/>
          <w:szCs w:val="24"/>
          <w:highlight w:val="none"/>
          <w14:textFill>
            <w14:solidFill>
              <w14:schemeClr w14:val="tx1"/>
            </w14:solidFill>
          </w14:textFill>
        </w:rPr>
        <w:t>安装的强制性标准和规范，并遵守以下规定：</w:t>
      </w:r>
    </w:p>
    <w:p w14:paraId="4A511201">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（一）不准以任何理由向甲方及其工作人员索要、接受或赠送礼金、有价证券、贵重物品和回扣、好处费、感谢费等。</w:t>
      </w:r>
    </w:p>
    <w:p w14:paraId="240AC85D">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（二）不准以任何理由为甲方和相关单位报销应由对方或个人支付的费用。</w:t>
      </w:r>
    </w:p>
    <w:p w14:paraId="186BF680">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（三）不准接受或暗示为甲方、相关单位或个人装修住房、婚丧嫁娶、配偶子女的工作安排以及出国(境)、旅游等提供方便。</w:t>
      </w:r>
    </w:p>
    <w:p w14:paraId="48D59A99">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（四）不准以任何理由为甲方、相关单位或个人组织有可能影响公正执行公务的宴请、健身、娱乐等活动。</w:t>
      </w:r>
    </w:p>
    <w:p w14:paraId="7A142941">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第四条 违约责任</w:t>
      </w:r>
    </w:p>
    <w:p w14:paraId="18AE0302">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（一）甲方工作人员有违反本合同第一、二条责任行为的，按照管理权限，依据有关法律法规和规定给予党纪、政纪处分或组织处理；涉嫌犯罪的，移交司法机关追究刑事责任。</w:t>
      </w:r>
    </w:p>
    <w:p w14:paraId="440BFE62">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（二）乙方工作人员有违反本合同第一、三条责任行为的，按照管理权限，依据有关法律法规和规定给予党纪、政纪处分或组织处理；涉嫌犯罪的，移交司法机关追究刑事责任。</w:t>
      </w:r>
    </w:p>
    <w:p w14:paraId="7E166CB7">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第五条</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本协议作为合同书的附件，与合同书具有同等法律效力。经双方签署后立即生效。</w:t>
      </w:r>
    </w:p>
    <w:p w14:paraId="5539B99F">
      <w:pPr>
        <w:spacing w:line="560" w:lineRule="exact"/>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第六条</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本协议的有效期为双方签署之日起至该项目完工验收合格时止。</w:t>
      </w:r>
    </w:p>
    <w:p w14:paraId="7B3822AA">
      <w:pPr>
        <w:ind w:left="640"/>
        <w:rPr>
          <w:rFonts w:hint="eastAsia" w:ascii="宋体" w:hAnsi="宋体" w:eastAsia="宋体" w:cs="宋体"/>
          <w:color w:val="000000" w:themeColor="text1"/>
          <w:sz w:val="24"/>
          <w:szCs w:val="24"/>
          <w:highlight w:val="none"/>
          <w14:textFill>
            <w14:solidFill>
              <w14:schemeClr w14:val="tx1"/>
            </w14:solidFill>
          </w14:textFill>
        </w:rPr>
      </w:pPr>
    </w:p>
    <w:p w14:paraId="649F4989">
      <w:pPr>
        <w:pStyle w:val="6"/>
        <w:ind w:firstLine="420" w:firstLineChars="175"/>
        <w:rPr>
          <w:rFonts w:hint="eastAsia" w:ascii="宋体" w:hAnsi="宋体" w:eastAsia="宋体" w:cs="宋体"/>
          <w:color w:val="000000" w:themeColor="text1"/>
          <w:sz w:val="24"/>
          <w:szCs w:val="24"/>
          <w:highlight w:val="none"/>
          <w14:textFill>
            <w14:solidFill>
              <w14:schemeClr w14:val="tx1"/>
            </w14:solidFill>
          </w14:textFill>
        </w:rPr>
      </w:pPr>
    </w:p>
    <w:p w14:paraId="62FF1FE1">
      <w:pPr>
        <w:ind w:firstLine="640"/>
        <w:rPr>
          <w:rFonts w:hint="eastAsia" w:ascii="宋体" w:hAnsi="宋体" w:eastAsia="宋体" w:cs="宋体"/>
          <w:color w:val="000000" w:themeColor="text1"/>
          <w:sz w:val="24"/>
          <w:szCs w:val="24"/>
          <w:highlight w:val="none"/>
          <w14:textFill>
            <w14:solidFill>
              <w14:schemeClr w14:val="tx1"/>
            </w14:solidFill>
          </w14:textFill>
        </w:rPr>
      </w:pPr>
    </w:p>
    <w:p w14:paraId="2861E365">
      <w:pPr>
        <w:pStyle w:val="6"/>
        <w:ind w:firstLine="480"/>
        <w:rPr>
          <w:rFonts w:hint="eastAsia" w:ascii="宋体" w:hAnsi="宋体" w:eastAsia="宋体" w:cs="宋体"/>
          <w:color w:val="000000" w:themeColor="text1"/>
          <w:sz w:val="24"/>
          <w:szCs w:val="24"/>
          <w:highlight w:val="none"/>
          <w14:textFill>
            <w14:solidFill>
              <w14:schemeClr w14:val="tx1"/>
            </w14:solidFill>
          </w14:textFill>
        </w:rPr>
      </w:pPr>
    </w:p>
    <w:p w14:paraId="735BDE1A">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 方（盖章）：                  乙 方（盖章）：</w:t>
      </w:r>
    </w:p>
    <w:p w14:paraId="6A2C762B">
      <w:pPr>
        <w:ind w:firstLine="148" w:firstLineChars="62"/>
        <w:rPr>
          <w:rFonts w:hint="eastAsia" w:ascii="宋体" w:hAnsi="宋体" w:eastAsia="宋体" w:cs="宋体"/>
          <w:color w:val="000000" w:themeColor="text1"/>
          <w:sz w:val="24"/>
          <w:szCs w:val="24"/>
          <w:highlight w:val="none"/>
          <w14:textFill>
            <w14:solidFill>
              <w14:schemeClr w14:val="tx1"/>
            </w14:solidFill>
          </w14:textFill>
        </w:rPr>
      </w:pPr>
    </w:p>
    <w:p w14:paraId="5F178D56">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法定代表人（签字）：             法定代表人（签字）：</w:t>
      </w:r>
    </w:p>
    <w:p w14:paraId="723E4019">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或委托代理人：                   或委托代理人：</w:t>
      </w:r>
    </w:p>
    <w:p w14:paraId="64B1A638">
      <w:pPr>
        <w:pStyle w:val="6"/>
        <w:ind w:firstLine="480"/>
        <w:rPr>
          <w:rFonts w:hint="eastAsia" w:ascii="宋体" w:hAnsi="宋体" w:eastAsia="宋体" w:cs="宋体"/>
          <w:color w:val="000000" w:themeColor="text1"/>
          <w:sz w:val="24"/>
          <w:szCs w:val="24"/>
          <w:highlight w:val="none"/>
          <w14:textFill>
            <w14:solidFill>
              <w14:schemeClr w14:val="tx1"/>
            </w14:solidFill>
          </w14:textFill>
        </w:rPr>
      </w:pPr>
    </w:p>
    <w:p w14:paraId="7AD01197">
      <w:pPr>
        <w:ind w:firstLine="640"/>
        <w:rPr>
          <w:rFonts w:hint="eastAsia" w:ascii="宋体" w:hAnsi="宋体" w:eastAsia="宋体" w:cs="宋体"/>
          <w:color w:val="000000" w:themeColor="text1"/>
          <w:sz w:val="24"/>
          <w:szCs w:val="24"/>
          <w:highlight w:val="none"/>
          <w14:textFill>
            <w14:solidFill>
              <w14:schemeClr w14:val="tx1"/>
            </w14:solidFill>
          </w14:textFill>
        </w:rPr>
      </w:pPr>
    </w:p>
    <w:p w14:paraId="27631E8F">
      <w:pPr>
        <w:pStyle w:val="6"/>
        <w:ind w:firstLine="480"/>
        <w:rPr>
          <w:rFonts w:hint="eastAsia" w:ascii="宋体" w:hAnsi="宋体" w:eastAsia="宋体" w:cs="宋体"/>
          <w:color w:val="000000" w:themeColor="text1"/>
          <w:sz w:val="24"/>
          <w:szCs w:val="24"/>
          <w:highlight w:val="none"/>
          <w14:textFill>
            <w14:solidFill>
              <w14:schemeClr w14:val="tx1"/>
            </w14:solidFill>
          </w14:textFill>
        </w:rPr>
      </w:pPr>
    </w:p>
    <w:p w14:paraId="2CB07F64">
      <w:pPr>
        <w:ind w:firstLine="1200" w:firstLineChars="500"/>
        <w:rPr>
          <w:rFonts w:hint="eastAsia" w:ascii="宋体" w:hAnsi="宋体" w:eastAsia="宋体" w:cs="宋体"/>
          <w:color w:val="000000" w:themeColor="text1"/>
          <w:sz w:val="24"/>
          <w:szCs w:val="24"/>
          <w:highlight w:val="none"/>
          <w14:textFill>
            <w14:solidFill>
              <w14:schemeClr w14:val="tx1"/>
            </w14:solidFill>
          </w14:textFill>
        </w:rPr>
        <w:sectPr>
          <w:footerReference r:id="rId5" w:type="default"/>
          <w:pgSz w:w="11905" w:h="16838"/>
          <w:pgMar w:top="1474" w:right="1814" w:bottom="1474" w:left="1814" w:header="851" w:footer="992" w:gutter="0"/>
          <w:pgNumType w:fmt="decimal" w:start="1"/>
          <w:cols w:space="0" w:num="1"/>
          <w:docGrid w:linePitch="328" w:charSpace="0"/>
        </w:sectPr>
      </w:pPr>
      <w:r>
        <w:rPr>
          <w:rFonts w:hint="eastAsia" w:ascii="宋体" w:hAnsi="宋体" w:eastAsia="宋体" w:cs="宋体"/>
          <w:color w:val="000000" w:themeColor="text1"/>
          <w:sz w:val="24"/>
          <w:szCs w:val="24"/>
          <w:highlight w:val="none"/>
          <w14:textFill>
            <w14:solidFill>
              <w14:schemeClr w14:val="tx1"/>
            </w14:solidFill>
          </w14:textFill>
        </w:rPr>
        <w:t>年   月   日                      年   月   日</w:t>
      </w:r>
    </w:p>
    <w:p w14:paraId="6AF688D8">
      <w:pPr>
        <w:pStyle w:val="74"/>
        <w:spacing w:after="312" w:afterLines="100"/>
        <w:ind w:firstLine="482"/>
        <w:outlineLvl w:val="1"/>
        <w:rPr>
          <w:rFonts w:ascii="宋体" w:hAnsi="宋体" w:eastAsia="宋体" w:cs="宋体"/>
          <w:b/>
          <w:color w:val="000000" w:themeColor="text1"/>
          <w:highlight w:val="none"/>
          <w:lang w:val="en-US" w:eastAsia="zh-CN"/>
          <w14:textFill>
            <w14:solidFill>
              <w14:schemeClr w14:val="tx1"/>
            </w14:solidFill>
          </w14:textFill>
        </w:rPr>
      </w:pPr>
      <w:bookmarkStart w:id="220" w:name="_Toc2430"/>
      <w:bookmarkStart w:id="221" w:name="_Toc25148"/>
      <w:r>
        <w:rPr>
          <w:rFonts w:hint="eastAsia" w:ascii="宋体" w:hAnsi="宋体" w:eastAsia="宋体" w:cs="宋体"/>
          <w:b/>
          <w:color w:val="000000" w:themeColor="text1"/>
          <w:highlight w:val="none"/>
          <w14:textFill>
            <w14:solidFill>
              <w14:schemeClr w14:val="tx1"/>
            </w14:solidFill>
          </w14:textFill>
        </w:rPr>
        <w:t xml:space="preserve">第五部分 </w:t>
      </w:r>
      <w:r>
        <w:rPr>
          <w:rFonts w:hint="eastAsia" w:ascii="宋体" w:hAnsi="宋体" w:eastAsia="宋体" w:cs="宋体"/>
          <w:b/>
          <w:color w:val="000000" w:themeColor="text1"/>
          <w:highlight w:val="none"/>
          <w:lang w:val="en-US" w:eastAsia="zh-CN"/>
          <w14:textFill>
            <w14:solidFill>
              <w14:schemeClr w14:val="tx1"/>
            </w14:solidFill>
          </w14:textFill>
        </w:rPr>
        <w:t>安全生产协议书</w:t>
      </w:r>
    </w:p>
    <w:p w14:paraId="61762B77">
      <w:pPr>
        <w:widowControl/>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为在 </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（项目名称）</w:t>
      </w:r>
      <w:r>
        <w:rPr>
          <w:rFonts w:hint="eastAsia" w:ascii="宋体" w:hAnsi="宋体" w:eastAsia="宋体" w:cs="宋体"/>
          <w:bCs/>
          <w:color w:val="000000" w:themeColor="text1"/>
          <w:sz w:val="24"/>
          <w:szCs w:val="24"/>
          <w:highlight w:val="none"/>
          <w14:textFill>
            <w14:solidFill>
              <w14:schemeClr w14:val="tx1"/>
            </w14:solidFill>
          </w14:textFill>
        </w:rPr>
        <w:t>合同的实施过程中创造安全、高效的作业环境，切实搞好本项目的安全管理工作，本项目</w:t>
      </w:r>
      <w:r>
        <w:rPr>
          <w:rFonts w:hint="eastAsia" w:ascii="宋体" w:hAnsi="宋体" w:eastAsia="宋体" w:cs="宋体"/>
          <w:bCs/>
          <w:color w:val="000000" w:themeColor="text1"/>
          <w:sz w:val="24"/>
          <w:szCs w:val="24"/>
          <w:highlight w:val="none"/>
          <w:u w:val="single"/>
          <w14:textFill>
            <w14:solidFill>
              <w14:schemeClr w14:val="tx1"/>
            </w14:solidFill>
          </w14:textFill>
        </w:rPr>
        <w:t>甲方       （甲方名称，以下简称“甲方”）</w:t>
      </w:r>
      <w:r>
        <w:rPr>
          <w:rFonts w:hint="eastAsia" w:ascii="宋体" w:hAnsi="宋体" w:eastAsia="宋体" w:cs="宋体"/>
          <w:bCs/>
          <w:color w:val="000000" w:themeColor="text1"/>
          <w:sz w:val="24"/>
          <w:szCs w:val="24"/>
          <w:highlight w:val="none"/>
          <w14:textFill>
            <w14:solidFill>
              <w14:schemeClr w14:val="tx1"/>
            </w14:solidFill>
          </w14:textFill>
        </w:rPr>
        <w:t>与</w:t>
      </w:r>
      <w:r>
        <w:rPr>
          <w:rFonts w:hint="eastAsia" w:ascii="宋体" w:hAnsi="宋体" w:eastAsia="宋体" w:cs="宋体"/>
          <w:bCs/>
          <w:color w:val="000000" w:themeColor="text1"/>
          <w:sz w:val="24"/>
          <w:szCs w:val="24"/>
          <w:highlight w:val="none"/>
          <w:u w:val="single"/>
          <w14:textFill>
            <w14:solidFill>
              <w14:schemeClr w14:val="tx1"/>
            </w14:solidFill>
          </w14:textFill>
        </w:rPr>
        <w:t>乙方         （乙方名称，以下简称“乙方”）</w:t>
      </w:r>
      <w:r>
        <w:rPr>
          <w:rFonts w:hint="eastAsia" w:ascii="宋体" w:hAnsi="宋体" w:eastAsia="宋体" w:cs="宋体"/>
          <w:bCs/>
          <w:color w:val="000000" w:themeColor="text1"/>
          <w:sz w:val="24"/>
          <w:szCs w:val="24"/>
          <w:highlight w:val="none"/>
          <w14:textFill>
            <w14:solidFill>
              <w14:schemeClr w14:val="tx1"/>
            </w14:solidFill>
          </w14:textFill>
        </w:rPr>
        <w:t>特此签订安全生产合同：</w:t>
      </w:r>
    </w:p>
    <w:p w14:paraId="24719566">
      <w:pPr>
        <w:widowControl/>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一、甲方职责</w:t>
      </w:r>
    </w:p>
    <w:p w14:paraId="212D14AC">
      <w:pPr>
        <w:widowControl/>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1.甲方依据《中华人民共和国安全生产法》等法律法规规定责任，全面履行自己应有的权利和义务。</w:t>
      </w:r>
    </w:p>
    <w:p w14:paraId="167CE3D6">
      <w:pPr>
        <w:widowControl/>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2.甲方对乙方作业安全具有监督、检查和指导的权利。</w:t>
      </w:r>
    </w:p>
    <w:p w14:paraId="7C538123">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二、乙方的安全责任</w:t>
      </w:r>
    </w:p>
    <w:p w14:paraId="06A218D9">
      <w:pPr>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乙方要严格执行国家已发布的有关法律法规和地方政府有关安全管理的规定，严格各项安全生产的规章制度和方案。</w:t>
      </w:r>
    </w:p>
    <w:p w14:paraId="3F6A1AC3">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在开工前，</w:t>
      </w:r>
      <w:r>
        <w:rPr>
          <w:rFonts w:hint="eastAsia" w:asciiTheme="minorEastAsia" w:hAnsiTheme="minorEastAsia" w:eastAsiaTheme="minorEastAsia" w:cstheme="minorEastAsia"/>
          <w:b w:val="0"/>
          <w:bCs/>
          <w:color w:val="000000" w:themeColor="text1"/>
          <w:kern w:val="2"/>
          <w:sz w:val="24"/>
          <w:szCs w:val="24"/>
          <w:highlight w:val="none"/>
          <w:lang w:val="en-US" w:eastAsia="zh-CN" w:bidi="ar-SA"/>
          <w14:textFill>
            <w14:solidFill>
              <w14:schemeClr w14:val="tx1"/>
            </w14:solidFill>
          </w14:textFill>
        </w:rPr>
        <w:t>必须</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进行安全技术交底，落实项目实施过程中所有安全技术措施和人身防护用品，未经落实的不得进行实施。</w:t>
      </w:r>
      <w:r>
        <w:rPr>
          <w:rFonts w:hint="eastAsia" w:asciiTheme="minorEastAsia" w:hAnsiTheme="minorEastAsia" w:eastAsiaTheme="minorEastAsia" w:cstheme="minorEastAsia"/>
          <w:b w:val="0"/>
          <w:bCs/>
          <w:color w:val="000000" w:themeColor="text1"/>
          <w:kern w:val="2"/>
          <w:sz w:val="24"/>
          <w:szCs w:val="24"/>
          <w:highlight w:val="none"/>
          <w:lang w:val="en-US" w:eastAsia="zh-CN" w:bidi="ar-SA"/>
          <w14:textFill>
            <w14:solidFill>
              <w14:schemeClr w14:val="tx1"/>
            </w14:solidFill>
          </w14:textFill>
        </w:rPr>
        <w:t>明确各级人员的安全生产责任，</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对所有参与现场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作业</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的人员进行安全教育，使其具备安全意识和应对突发情况的能力。临水临空等安全风险较大的作业应有现场安全监督人员现场监督，并通知管理单位技术人员到场。</w:t>
      </w:r>
    </w:p>
    <w:p w14:paraId="1BE3069D">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参加</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作业</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人员，必须接受安全技术教育，熟知和遵守本工种的各项安全技术操作规程，定期进行安全技术考核，合格者方准上岗操作。对于从事电气、起重、建筑登高架设作业等特殊工种的人员，并将特种作业人员名单和特种作业证上报</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审查，无证人员禁止从事特种作业；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鉴定检测实施过程中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如出现特种作业无证操作现象时，</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项目负责人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必须承担管理责任。</w:t>
      </w:r>
    </w:p>
    <w:p w14:paraId="27AA9B9C">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水上及临水作业，操作人员必须穿戴好救生衣，不得穿带钉易滑的硬底鞋，每次工作前对所用的救生衣进行检查确保其安全有效，禁止单人独自作业，室外作业时，当风力较大，影响作业安全时，立即停止作业，人员在船上走动或操作时，船只要固定牢靠，船上配备救生圈等救生器具。</w:t>
      </w:r>
    </w:p>
    <w:p w14:paraId="4FAA76DF">
      <w:pPr>
        <w:spacing w:line="360" w:lineRule="auto"/>
        <w:ind w:firstLine="480" w:firstLineChars="200"/>
        <w:rPr>
          <w:rFonts w:hint="default"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如遇交叉作业，如开闸放水期间等，禁止进行水上及临近项目作业。交叉作业时应设置安全栏杆、安全网、防护棚和示警围栏，防止安全生产事故。</w:t>
      </w:r>
    </w:p>
    <w:p w14:paraId="76E9C559">
      <w:pPr>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14:textFill>
            <w14:solidFill>
              <w14:schemeClr w14:val="tx1"/>
            </w14:solidFill>
          </w14:textFill>
        </w:rPr>
        <w:t>.箱涵等封闭空间作业要求：</w:t>
      </w:r>
    </w:p>
    <w:p w14:paraId="6E0FDAB3">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①危险源识别</w:t>
      </w:r>
    </w:p>
    <w:p w14:paraId="786DA4C6">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a、中毒危害：有限空间容易积聚高浓度有害物质。有害物质可以是原来就存在于有限空间的也可以是作业过程中逐渐积聚的。</w:t>
      </w:r>
    </w:p>
    <w:p w14:paraId="6DD4FDEE">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b、缺氧危害：空气中氧浓度过低会引起缺氧。</w:t>
      </w:r>
    </w:p>
    <w:p w14:paraId="44FB0551">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c、燃爆危害：空气中存在易燃、易爆物质，浓度过高遇火会引起爆炸或燃烧。</w:t>
      </w:r>
    </w:p>
    <w:p w14:paraId="29B0BAB9">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d、其他危害：其他任何威胁生命或健康的环境条件。如坠落、溺水、物体打击、电击等。</w:t>
      </w:r>
    </w:p>
    <w:p w14:paraId="0B34C1E8">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②作业前准备工作</w:t>
      </w:r>
    </w:p>
    <w:p w14:paraId="0C6941A3">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a制定作业方案。详细了解密闭空间现场整体情况以往发生事故情况，做好风险识别和评估工作，制定作业方案和应急预案。</w:t>
      </w:r>
    </w:p>
    <w:p w14:paraId="7E992B06">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b配齐防护措施。要配齐职业病防护设施设备和个人防护装备，严禁无防护监护措施作业。</w:t>
      </w:r>
    </w:p>
    <w:p w14:paraId="6125BBD3">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c 明确安全责任。明确监护人员、作业人员、应急救援人员及其安全责任。</w:t>
      </w:r>
    </w:p>
    <w:p w14:paraId="3BA8215A">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d进行安全培训。向作业人员、应急救援人员进行安全培训。</w:t>
      </w:r>
    </w:p>
    <w:p w14:paraId="45D32A62">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③作业时管控措施</w:t>
      </w:r>
    </w:p>
    <w:p w14:paraId="16413F29">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a采取阻断措施。作业人员应在醒目位置设置警示标识或安全告知牌，防止无关人员随意进入。空间内发现存在可能危及作业安全的风险源时（如可燃气体浓度超标），作业人员应采取封闭、封堵、切断能源等隔离阻断措施。</w:t>
      </w:r>
    </w:p>
    <w:p w14:paraId="76B932D6">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b采取通风检测措施。进入作业现场前，作业人员应当严格遵守“先通风、再检测、后作业”的原则，对密闭空间进行强制通风一段时间后再进行气体检测，检测结果合格后佩戴符合要求的个体防护用品、安全防护设备和联络通讯设备方可进入作业。作业人员应拴带救生绳。未经通风和检测，任何人员不得进入密闭空间作业。</w:t>
      </w:r>
    </w:p>
    <w:p w14:paraId="604AC3CF">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c如检测结果不合格，在缺氧或有毒的受限空间作业时，应佩戴符合要求的供氧设备及个体防护用品、安全防护设备和联络通讯设备方可进入作业；作业人员应拴带救生绳。</w:t>
      </w:r>
    </w:p>
    <w:p w14:paraId="44F60060">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d受限空间外应备有消防器材、清水等相应的应急用品。</w:t>
      </w:r>
    </w:p>
    <w:p w14:paraId="7F7B5522">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④制定应急措施</w:t>
      </w:r>
    </w:p>
    <w:p w14:paraId="13F6A37E">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必须制定应急措施，现场配备应急装备，严禁盲目施救。</w:t>
      </w:r>
    </w:p>
    <w:p w14:paraId="7B5C6785">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a如发生异常情况或作业人员感觉不适或呼吸困难时，应立即撤离受限空间；</w:t>
      </w:r>
    </w:p>
    <w:p w14:paraId="2CAC70AA">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b发生突发性事件，项目负责人应立即帮助作业人员撤离受限空间，必要时可以采取急救手段，同时将情况上报部门负责人;</w:t>
      </w:r>
    </w:p>
    <w:p w14:paraId="28D0A745">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c出现有人中毒、窒息的紧急情况，抢救人员必须佩带隔离式防护面具进入受限空间，并至少一人在外部做联络工作发生事故，抢救工作应争分夺秒，但须沉着冷静正确处理事故。不得拖延耽误，更不能盲目抢救。抢救者首先要保护好自己，只有将自己保护好，才能更有效地抢救别人;</w:t>
      </w:r>
    </w:p>
    <w:p w14:paraId="42A3DCA2">
      <w:pPr>
        <w:widowControl/>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d发生其他较严重情形按照应急预案相关要求处理。</w:t>
      </w:r>
    </w:p>
    <w:p w14:paraId="18AB23B9">
      <w:pPr>
        <w:numPr>
          <w:ilvl w:val="0"/>
          <w:numId w:val="7"/>
        </w:numPr>
        <w:spacing w:line="360" w:lineRule="auto"/>
        <w:ind w:firstLine="480" w:firstLineChars="200"/>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高空作业时，禁止穿硬底和带钉易滑的鞋，患有心脏病、高血压、精神病、癫痫病</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患者</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禁止从事高空操作，高空作业操作人员要系安全带，并且安全带要固定牢靠。</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攀爬和悬空高处作业人员以及搭设高处作业安全设施的人员，必须经过专业技术培训，持证上岗，并定期进行身体检查。非作业人员不准在高处作业面上。</w:t>
      </w:r>
    </w:p>
    <w:p w14:paraId="5E34ED5C">
      <w:pPr>
        <w:numPr>
          <w:ilvl w:val="0"/>
          <w:numId w:val="7"/>
        </w:num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遇高温天气，应结合天气、</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进度等实际情况，加强作业人员身心关怀，合理安排作业时间，及时安排休息避暑，并配备防暑降温等</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必需的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应急药品、物品，避免人员中暑、疲劳作业等情况。</w:t>
      </w:r>
    </w:p>
    <w:p w14:paraId="31F75530">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操作人员上岗，必须按规定穿戴防护用品。</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负责人和安全检查员应随时检查劳动防护用品的穿戴情况，不按规定穿戴防护用品的人员不得上岗。</w:t>
      </w:r>
    </w:p>
    <w:p w14:paraId="7994614A">
      <w:pPr>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.乙方应根据</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特点，合理安排身体素质、技术水平高、安全责任心强的人员作业，作业过程中做好职业健康、环境保护、劳动卫生、安全生产等有关工作，做到安全文明作业，坚决防范各类安全事故发生。</w:t>
      </w:r>
    </w:p>
    <w:p w14:paraId="3314308B">
      <w:pPr>
        <w:spacing w:line="360" w:lineRule="auto"/>
        <w:ind w:firstLine="482" w:firstLineChars="200"/>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11</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乙方在作业过程中，应加强人员管理，确保人员工作安全，防范安全生产事故，乙方在履行本合同过程中发生的任何工伤或意外伤亡等，均由乙方负责处理并承担全部费用；若因此给甲方或第三方造成损失，由乙方予以全额赔偿。</w:t>
      </w:r>
    </w:p>
    <w:p w14:paraId="590445E5">
      <w:pPr>
        <w:spacing w:line="360" w:lineRule="auto"/>
        <w:ind w:firstLine="482" w:firstLineChars="200"/>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12</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.项目实施前，乙方须提供本项目所有从业人员的社会保险（含工伤和医疗）缴纳证明，如无法提供相应证明材料，则须为本项目</w:t>
      </w: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无社会保险的</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从业人员购买以下保险（</w:t>
      </w: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者任选其一）：雇主责任险或团体意外险</w:t>
      </w: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或安全责任险</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，其保险费已包含在签约合同价中。</w:t>
      </w:r>
    </w:p>
    <w:p w14:paraId="519B0097">
      <w:pPr>
        <w:spacing w:line="360" w:lineRule="auto"/>
        <w:ind w:firstLine="482" w:firstLineChars="200"/>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13.</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安全承诺</w:t>
      </w:r>
      <w:r>
        <w:rPr>
          <w:rFonts w:hint="eastAsia" w:asciiTheme="minorEastAsia" w:hAnsiTheme="minorEastAsia" w:eastAsiaTheme="minorEastAsia" w:cstheme="minorEastAsia"/>
          <w:b/>
          <w:bCs/>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乙方承诺，</w:t>
      </w: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作业</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过程中如出现作业人员未有效佩戴安全帽、安全绳等安全防护用品，发生不安全行为的，每出现一次，从完工结算价中自愿核减1000元，减完为止。</w:t>
      </w:r>
    </w:p>
    <w:p w14:paraId="5EE42328">
      <w:pPr>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.本合同由双方法定代表人或其授权的代理人签署并加盖单位章后生效，全部工程竣工验收后失效。</w:t>
      </w:r>
    </w:p>
    <w:p w14:paraId="255E4D14">
      <w:pPr>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.本合同正本—式</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份，副本</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份，合同双方各执正本—份，副本</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份，当正本与副本的内容不一致时，以正本为准。</w:t>
      </w:r>
    </w:p>
    <w:p w14:paraId="620B37D0">
      <w:pPr>
        <w:spacing w:line="360" w:lineRule="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甲方：</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（盖单位章）      乙方：</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（盖单位章）</w:t>
      </w:r>
    </w:p>
    <w:p w14:paraId="4579E05C">
      <w:pPr>
        <w:spacing w:line="360" w:lineRule="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（签字）  法定代表人或其委托代理人：</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（签字）</w:t>
      </w:r>
    </w:p>
    <w:p w14:paraId="414C6385">
      <w:pPr>
        <w:spacing w:line="360" w:lineRule="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p w14:paraId="678D4508">
      <w:pPr>
        <w:spacing w:line="360" w:lineRule="auto"/>
        <w:ind w:firstLine="84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日                </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日</w:t>
      </w:r>
    </w:p>
    <w:p w14:paraId="34A2A0D3">
      <w:pPr>
        <w:rPr>
          <w:rFonts w:hint="eastAsia" w:ascii="宋体" w:hAnsi="宋体" w:eastAsia="宋体" w:cs="宋体"/>
          <w:b/>
          <w:color w:val="000000" w:themeColor="text1"/>
          <w:sz w:val="28"/>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br w:type="page"/>
      </w:r>
    </w:p>
    <w:p w14:paraId="090678DE">
      <w:pPr>
        <w:spacing w:line="360" w:lineRule="auto"/>
        <w:jc w:val="center"/>
        <w:outlineLvl w:val="0"/>
        <w:rPr>
          <w:rFonts w:hint="eastAsia" w:ascii="宋体" w:hAnsi="宋体" w:eastAsia="宋体" w:cs="宋体"/>
          <w:b/>
          <w:color w:val="000000" w:themeColor="text1"/>
          <w:sz w:val="28"/>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第六章  响应文件格式</w:t>
      </w:r>
      <w:bookmarkEnd w:id="220"/>
      <w:bookmarkEnd w:id="221"/>
    </w:p>
    <w:p w14:paraId="2A84A646">
      <w:pPr>
        <w:spacing w:line="900" w:lineRule="exact"/>
        <w:jc w:val="center"/>
        <w:rPr>
          <w:rFonts w:hint="eastAsia" w:ascii="宋体" w:hAnsi="宋体" w:eastAsia="宋体" w:cs="宋体"/>
          <w:b/>
          <w:color w:val="000000" w:themeColor="text1"/>
          <w:sz w:val="72"/>
          <w:highlight w:val="none"/>
          <w14:textFill>
            <w14:solidFill>
              <w14:schemeClr w14:val="tx1"/>
            </w14:solidFill>
          </w14:textFill>
        </w:rPr>
      </w:pPr>
    </w:p>
    <w:p w14:paraId="75DFAC87">
      <w:pPr>
        <w:spacing w:line="900" w:lineRule="exact"/>
        <w:jc w:val="center"/>
        <w:rPr>
          <w:rFonts w:hint="eastAsia" w:ascii="宋体" w:hAnsi="宋体" w:eastAsia="宋体" w:cs="宋体"/>
          <w:b/>
          <w:color w:val="000000" w:themeColor="text1"/>
          <w:sz w:val="72"/>
          <w:highlight w:val="none"/>
          <w14:textFill>
            <w14:solidFill>
              <w14:schemeClr w14:val="tx1"/>
            </w14:solidFill>
          </w14:textFill>
        </w:rPr>
      </w:pPr>
      <w:r>
        <w:rPr>
          <w:rFonts w:hint="eastAsia" w:ascii="宋体" w:hAnsi="宋体" w:eastAsia="宋体" w:cs="宋体"/>
          <w:b/>
          <w:color w:val="000000" w:themeColor="text1"/>
          <w:sz w:val="72"/>
          <w:highlight w:val="none"/>
          <w14:textFill>
            <w14:solidFill>
              <w14:schemeClr w14:val="tx1"/>
            </w14:solidFill>
          </w14:textFill>
        </w:rPr>
        <w:t>响</w:t>
      </w:r>
    </w:p>
    <w:p w14:paraId="526EAD5B">
      <w:pPr>
        <w:spacing w:line="900" w:lineRule="exact"/>
        <w:jc w:val="center"/>
        <w:rPr>
          <w:rFonts w:hint="eastAsia" w:ascii="宋体" w:hAnsi="宋体" w:eastAsia="宋体" w:cs="宋体"/>
          <w:b/>
          <w:color w:val="000000" w:themeColor="text1"/>
          <w:sz w:val="72"/>
          <w:highlight w:val="none"/>
          <w14:textFill>
            <w14:solidFill>
              <w14:schemeClr w14:val="tx1"/>
            </w14:solidFill>
          </w14:textFill>
        </w:rPr>
      </w:pPr>
    </w:p>
    <w:p w14:paraId="6B00A759">
      <w:pPr>
        <w:spacing w:line="900" w:lineRule="exact"/>
        <w:jc w:val="center"/>
        <w:rPr>
          <w:rFonts w:hint="eastAsia" w:ascii="宋体" w:hAnsi="宋体" w:eastAsia="宋体" w:cs="宋体"/>
          <w:b/>
          <w:color w:val="000000" w:themeColor="text1"/>
          <w:sz w:val="72"/>
          <w:highlight w:val="none"/>
          <w14:textFill>
            <w14:solidFill>
              <w14:schemeClr w14:val="tx1"/>
            </w14:solidFill>
          </w14:textFill>
        </w:rPr>
      </w:pPr>
      <w:r>
        <w:rPr>
          <w:rFonts w:hint="eastAsia" w:ascii="宋体" w:hAnsi="宋体" w:eastAsia="宋体" w:cs="宋体"/>
          <w:b/>
          <w:color w:val="000000" w:themeColor="text1"/>
          <w:sz w:val="72"/>
          <w:highlight w:val="none"/>
          <w14:textFill>
            <w14:solidFill>
              <w14:schemeClr w14:val="tx1"/>
            </w14:solidFill>
          </w14:textFill>
        </w:rPr>
        <w:t>应</w:t>
      </w:r>
    </w:p>
    <w:p w14:paraId="691834CB">
      <w:pPr>
        <w:spacing w:line="900" w:lineRule="exact"/>
        <w:jc w:val="center"/>
        <w:rPr>
          <w:rFonts w:hint="eastAsia" w:ascii="宋体" w:hAnsi="宋体" w:eastAsia="宋体" w:cs="宋体"/>
          <w:b/>
          <w:color w:val="000000" w:themeColor="text1"/>
          <w:sz w:val="72"/>
          <w:highlight w:val="none"/>
          <w14:textFill>
            <w14:solidFill>
              <w14:schemeClr w14:val="tx1"/>
            </w14:solidFill>
          </w14:textFill>
        </w:rPr>
      </w:pPr>
    </w:p>
    <w:p w14:paraId="1234D616">
      <w:pPr>
        <w:spacing w:line="900" w:lineRule="exact"/>
        <w:jc w:val="center"/>
        <w:rPr>
          <w:rFonts w:hint="eastAsia" w:ascii="宋体" w:hAnsi="宋体" w:eastAsia="宋体" w:cs="宋体"/>
          <w:b/>
          <w:color w:val="000000" w:themeColor="text1"/>
          <w:sz w:val="72"/>
          <w:highlight w:val="none"/>
          <w14:textFill>
            <w14:solidFill>
              <w14:schemeClr w14:val="tx1"/>
            </w14:solidFill>
          </w14:textFill>
        </w:rPr>
      </w:pPr>
      <w:r>
        <w:rPr>
          <w:rFonts w:hint="eastAsia" w:ascii="宋体" w:hAnsi="宋体" w:eastAsia="宋体" w:cs="宋体"/>
          <w:b/>
          <w:color w:val="000000" w:themeColor="text1"/>
          <w:sz w:val="72"/>
          <w:highlight w:val="none"/>
          <w14:textFill>
            <w14:solidFill>
              <w14:schemeClr w14:val="tx1"/>
            </w14:solidFill>
          </w14:textFill>
        </w:rPr>
        <w:t>文</w:t>
      </w:r>
    </w:p>
    <w:p w14:paraId="1616B4B4">
      <w:pPr>
        <w:spacing w:line="900" w:lineRule="exact"/>
        <w:jc w:val="center"/>
        <w:rPr>
          <w:rFonts w:hint="eastAsia" w:ascii="宋体" w:hAnsi="宋体" w:eastAsia="宋体" w:cs="宋体"/>
          <w:b/>
          <w:color w:val="000000" w:themeColor="text1"/>
          <w:sz w:val="72"/>
          <w:highlight w:val="none"/>
          <w14:textFill>
            <w14:solidFill>
              <w14:schemeClr w14:val="tx1"/>
            </w14:solidFill>
          </w14:textFill>
        </w:rPr>
      </w:pPr>
    </w:p>
    <w:p w14:paraId="65730C6A">
      <w:pPr>
        <w:jc w:val="center"/>
        <w:rPr>
          <w:rFonts w:hint="eastAsia" w:ascii="宋体" w:hAnsi="宋体" w:eastAsia="宋体" w:cs="宋体"/>
          <w:b/>
          <w:color w:val="000000" w:themeColor="text1"/>
          <w:sz w:val="72"/>
          <w:highlight w:val="none"/>
          <w14:textFill>
            <w14:solidFill>
              <w14:schemeClr w14:val="tx1"/>
            </w14:solidFill>
          </w14:textFill>
        </w:rPr>
      </w:pPr>
      <w:r>
        <w:rPr>
          <w:rFonts w:hint="eastAsia" w:ascii="宋体" w:hAnsi="宋体" w:eastAsia="宋体" w:cs="宋体"/>
          <w:b/>
          <w:color w:val="000000" w:themeColor="text1"/>
          <w:sz w:val="72"/>
          <w:highlight w:val="none"/>
          <w14:textFill>
            <w14:solidFill>
              <w14:schemeClr w14:val="tx1"/>
            </w14:solidFill>
          </w14:textFill>
        </w:rPr>
        <w:t>件</w:t>
      </w:r>
    </w:p>
    <w:p w14:paraId="03AD1431">
      <w:pPr>
        <w:spacing w:after="156" w:afterLines="50" w:line="500" w:lineRule="exact"/>
        <w:rPr>
          <w:rFonts w:hint="eastAsia" w:ascii="宋体" w:hAnsi="宋体" w:eastAsia="宋体" w:cs="宋体"/>
          <w:b/>
          <w:color w:val="000000" w:themeColor="text1"/>
          <w:sz w:val="72"/>
          <w:highlight w:val="none"/>
          <w14:textFill>
            <w14:solidFill>
              <w14:schemeClr w14:val="tx1"/>
            </w14:solidFill>
          </w14:textFill>
        </w:rPr>
      </w:pPr>
    </w:p>
    <w:p w14:paraId="34049800">
      <w:pPr>
        <w:spacing w:after="156" w:afterLines="50"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p>
    <w:p w14:paraId="2CCF0C66">
      <w:pPr>
        <w:tabs>
          <w:tab w:val="left" w:pos="2410"/>
        </w:tabs>
        <w:autoSpaceDE w:val="0"/>
        <w:autoSpaceDN w:val="0"/>
        <w:adjustRightInd w:val="0"/>
        <w:snapToGrid w:val="0"/>
        <w:spacing w:line="360" w:lineRule="auto"/>
        <w:ind w:firstLine="643" w:firstLineChars="200"/>
        <w:rPr>
          <w:rFonts w:hint="eastAsia" w:ascii="宋体" w:hAnsi="宋体" w:eastAsia="宋体" w:cs="宋体"/>
          <w:b/>
          <w:color w:val="000000" w:themeColor="text1"/>
          <w:spacing w:val="20"/>
          <w:kern w:val="0"/>
          <w:sz w:val="32"/>
          <w:szCs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项目名称：</w:t>
      </w:r>
      <w:r>
        <w:rPr>
          <w:rFonts w:hint="eastAsia" w:ascii="宋体" w:hAnsi="宋体" w:eastAsia="宋体" w:cs="宋体"/>
          <w:b/>
          <w:color w:val="000000" w:themeColor="text1"/>
          <w:sz w:val="32"/>
          <w:highlight w:val="none"/>
          <w:u w:val="single"/>
          <w14:textFill>
            <w14:solidFill>
              <w14:schemeClr w14:val="tx1"/>
            </w14:solidFill>
          </w14:textFill>
        </w:rPr>
        <w:t xml:space="preserve">                  </w:t>
      </w:r>
    </w:p>
    <w:p w14:paraId="40DEB0E4">
      <w:pPr>
        <w:tabs>
          <w:tab w:val="left" w:pos="2410"/>
        </w:tabs>
        <w:autoSpaceDE w:val="0"/>
        <w:autoSpaceDN w:val="0"/>
        <w:adjustRightInd w:val="0"/>
        <w:snapToGrid w:val="0"/>
        <w:spacing w:line="360" w:lineRule="auto"/>
        <w:ind w:firstLine="643" w:firstLineChars="200"/>
        <w:rPr>
          <w:rFonts w:hint="eastAsia" w:ascii="宋体" w:hAnsi="宋体" w:eastAsia="宋体" w:cs="宋体"/>
          <w:b/>
          <w:color w:val="000000" w:themeColor="text1"/>
          <w:sz w:val="32"/>
          <w:highlight w:val="none"/>
          <w:u w:val="singl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项目编号：</w:t>
      </w:r>
      <w:r>
        <w:rPr>
          <w:rFonts w:hint="eastAsia" w:ascii="宋体" w:hAnsi="宋体" w:eastAsia="宋体" w:cs="宋体"/>
          <w:b/>
          <w:color w:val="000000" w:themeColor="text1"/>
          <w:sz w:val="32"/>
          <w:highlight w:val="none"/>
          <w:u w:val="single"/>
          <w14:textFill>
            <w14:solidFill>
              <w14:schemeClr w14:val="tx1"/>
            </w14:solidFill>
          </w14:textFill>
        </w:rPr>
        <w:t xml:space="preserve">                  </w:t>
      </w:r>
    </w:p>
    <w:p w14:paraId="27D64E57">
      <w:pPr>
        <w:tabs>
          <w:tab w:val="left" w:pos="2410"/>
        </w:tabs>
        <w:autoSpaceDE w:val="0"/>
        <w:autoSpaceDN w:val="0"/>
        <w:adjustRightInd w:val="0"/>
        <w:snapToGrid w:val="0"/>
        <w:spacing w:line="360" w:lineRule="auto"/>
        <w:ind w:firstLine="643" w:firstLineChars="200"/>
        <w:rPr>
          <w:rFonts w:hint="eastAsia" w:ascii="宋体" w:hAnsi="宋体" w:eastAsia="宋体" w:cs="宋体"/>
          <w:b/>
          <w:color w:val="000000" w:themeColor="text1"/>
          <w:sz w:val="32"/>
          <w:highlight w:val="none"/>
          <w:u w:val="singl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供 应 商：</w:t>
      </w:r>
      <w:r>
        <w:rPr>
          <w:rFonts w:hint="eastAsia" w:ascii="宋体" w:hAnsi="宋体" w:eastAsia="宋体" w:cs="宋体"/>
          <w:b/>
          <w:color w:val="000000" w:themeColor="text1"/>
          <w:sz w:val="32"/>
          <w:highlight w:val="none"/>
          <w:u w:val="single"/>
          <w14:textFill>
            <w14:solidFill>
              <w14:schemeClr w14:val="tx1"/>
            </w14:solidFill>
          </w14:textFill>
        </w:rPr>
        <w:t xml:space="preserve">                  </w:t>
      </w:r>
    </w:p>
    <w:p w14:paraId="16C3E113">
      <w:pPr>
        <w:spacing w:after="156" w:afterLines="50" w:line="500" w:lineRule="exact"/>
        <w:jc w:val="center"/>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u w:val="single"/>
          <w14:textFill>
            <w14:solidFill>
              <w14:schemeClr w14:val="tx1"/>
            </w14:solidFill>
          </w14:textFill>
        </w:rPr>
        <w:t xml:space="preserve">  </w:t>
      </w:r>
      <w:bookmarkStart w:id="222" w:name="_Toc8037"/>
      <w:r>
        <w:rPr>
          <w:rFonts w:hint="eastAsia" w:ascii="宋体" w:hAnsi="宋体" w:eastAsia="宋体" w:cs="宋体"/>
          <w:b/>
          <w:color w:val="000000" w:themeColor="text1"/>
          <w:sz w:val="32"/>
          <w:highlight w:val="none"/>
          <w14:textFill>
            <w14:solidFill>
              <w14:schemeClr w14:val="tx1"/>
            </w14:solidFill>
          </w14:textFill>
        </w:rPr>
        <w:t>年</w:t>
      </w:r>
      <w:r>
        <w:rPr>
          <w:rFonts w:hint="eastAsia" w:ascii="宋体" w:hAnsi="宋体" w:eastAsia="宋体" w:cs="宋体"/>
          <w:b/>
          <w:color w:val="000000" w:themeColor="text1"/>
          <w:sz w:val="32"/>
          <w:highlight w:val="none"/>
          <w:u w:val="single"/>
          <w14:textFill>
            <w14:solidFill>
              <w14:schemeClr w14:val="tx1"/>
            </w14:solidFill>
          </w14:textFill>
        </w:rPr>
        <w:t xml:space="preserve">  </w:t>
      </w:r>
      <w:r>
        <w:rPr>
          <w:rFonts w:hint="eastAsia" w:ascii="宋体" w:hAnsi="宋体" w:eastAsia="宋体" w:cs="宋体"/>
          <w:b/>
          <w:color w:val="000000" w:themeColor="text1"/>
          <w:sz w:val="32"/>
          <w:highlight w:val="none"/>
          <w14:textFill>
            <w14:solidFill>
              <w14:schemeClr w14:val="tx1"/>
            </w14:solidFill>
          </w14:textFill>
        </w:rPr>
        <w:t>月</w:t>
      </w:r>
      <w:r>
        <w:rPr>
          <w:rFonts w:hint="eastAsia" w:ascii="宋体" w:hAnsi="宋体" w:eastAsia="宋体" w:cs="宋体"/>
          <w:b/>
          <w:color w:val="000000" w:themeColor="text1"/>
          <w:sz w:val="32"/>
          <w:highlight w:val="none"/>
          <w:u w:val="single"/>
          <w14:textFill>
            <w14:solidFill>
              <w14:schemeClr w14:val="tx1"/>
            </w14:solidFill>
          </w14:textFill>
        </w:rPr>
        <w:t xml:space="preserve">  </w:t>
      </w:r>
      <w:r>
        <w:rPr>
          <w:rFonts w:hint="eastAsia" w:ascii="宋体" w:hAnsi="宋体" w:eastAsia="宋体" w:cs="宋体"/>
          <w:b/>
          <w:color w:val="000000" w:themeColor="text1"/>
          <w:sz w:val="32"/>
          <w:highlight w:val="none"/>
          <w14:textFill>
            <w14:solidFill>
              <w14:schemeClr w14:val="tx1"/>
            </w14:solidFill>
          </w14:textFill>
        </w:rPr>
        <w:t>日</w:t>
      </w:r>
      <w:bookmarkEnd w:id="222"/>
    </w:p>
    <w:p w14:paraId="3D796BE2">
      <w:pPr>
        <w:widowControl/>
        <w:jc w:val="left"/>
        <w:rPr>
          <w:rFonts w:hint="eastAsia" w:ascii="宋体" w:hAnsi="宋体" w:eastAsia="宋体" w:cs="宋体"/>
          <w:b/>
          <w:color w:val="000000" w:themeColor="text1"/>
          <w:sz w:val="28"/>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br w:type="page"/>
      </w:r>
    </w:p>
    <w:p w14:paraId="19465C3D">
      <w:pPr>
        <w:spacing w:line="360" w:lineRule="auto"/>
        <w:jc w:val="center"/>
        <w:outlineLvl w:val="1"/>
        <w:rPr>
          <w:rFonts w:hint="eastAsia" w:ascii="宋体" w:hAnsi="宋体" w:eastAsia="宋体" w:cs="宋体"/>
          <w:b/>
          <w:color w:val="000000" w:themeColor="text1"/>
          <w:sz w:val="24"/>
          <w:highlight w:val="none"/>
          <w14:textFill>
            <w14:solidFill>
              <w14:schemeClr w14:val="tx1"/>
            </w14:solidFill>
          </w14:textFill>
        </w:rPr>
      </w:pPr>
      <w:bookmarkStart w:id="223" w:name="_Toc461053086"/>
      <w:bookmarkStart w:id="224" w:name="_Toc461056631"/>
      <w:bookmarkStart w:id="225" w:name="_Toc520983587"/>
      <w:bookmarkStart w:id="226" w:name="_Toc5881"/>
      <w:bookmarkStart w:id="227" w:name="_Toc26791"/>
      <w:r>
        <w:rPr>
          <w:rFonts w:hint="eastAsia" w:ascii="宋体" w:hAnsi="宋体" w:eastAsia="宋体" w:cs="宋体"/>
          <w:b/>
          <w:color w:val="000000" w:themeColor="text1"/>
          <w:sz w:val="24"/>
          <w:highlight w:val="none"/>
          <w14:textFill>
            <w14:solidFill>
              <w14:schemeClr w14:val="tx1"/>
            </w14:solidFill>
          </w14:textFill>
        </w:rPr>
        <w:t>一</w:t>
      </w:r>
      <w:bookmarkEnd w:id="223"/>
      <w:bookmarkEnd w:id="224"/>
      <w:r>
        <w:rPr>
          <w:rFonts w:hint="eastAsia" w:ascii="宋体" w:hAnsi="宋体" w:eastAsia="宋体" w:cs="宋体"/>
          <w:b/>
          <w:color w:val="000000" w:themeColor="text1"/>
          <w:sz w:val="24"/>
          <w:highlight w:val="none"/>
          <w14:textFill>
            <w14:solidFill>
              <w14:schemeClr w14:val="tx1"/>
            </w14:solidFill>
          </w14:textFill>
        </w:rPr>
        <w:t>、报价表格式</w:t>
      </w:r>
      <w:bookmarkEnd w:id="225"/>
      <w:bookmarkEnd w:id="226"/>
      <w:bookmarkEnd w:id="227"/>
    </w:p>
    <w:p w14:paraId="3622DB3D">
      <w:pPr>
        <w:spacing w:before="156" w:beforeLines="50" w:after="156" w:afterLines="50" w:line="360" w:lineRule="auto"/>
        <w:jc w:val="left"/>
        <w:outlineLvl w:val="2"/>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1-1 报价表</w:t>
      </w:r>
    </w:p>
    <w:p w14:paraId="3E3CD877">
      <w:pPr>
        <w:snapToGrid w:val="0"/>
        <w:spacing w:line="360" w:lineRule="auto"/>
        <w:jc w:val="left"/>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项目名称：</w:t>
      </w:r>
      <w:r>
        <w:rPr>
          <w:rFonts w:hint="eastAsia" w:ascii="宋体" w:hAnsi="宋体" w:eastAsia="宋体" w:cs="宋体"/>
          <w:b/>
          <w:color w:val="000000" w:themeColor="text1"/>
          <w:sz w:val="24"/>
          <w:szCs w:val="28"/>
          <w:highlight w:val="none"/>
          <w:u w:val="single"/>
          <w14:textFill>
            <w14:solidFill>
              <w14:schemeClr w14:val="tx1"/>
            </w14:solidFill>
          </w14:textFill>
        </w:rPr>
        <w:t xml:space="preserve">          </w:t>
      </w:r>
    </w:p>
    <w:p w14:paraId="38DA2379">
      <w:pPr>
        <w:snapToGrid w:val="0"/>
        <w:spacing w:after="156" w:afterLines="50" w:line="360" w:lineRule="auto"/>
        <w:jc w:val="left"/>
        <w:rPr>
          <w:rFonts w:hint="eastAsia" w:ascii="宋体" w:hAnsi="宋体" w:eastAsia="宋体" w:cs="宋体"/>
          <w:b/>
          <w:bCs/>
          <w:color w:val="000000" w:themeColor="text1"/>
          <w:sz w:val="24"/>
          <w:szCs w:val="28"/>
          <w:highlight w:val="none"/>
          <w:u w:val="singl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项目编号：</w:t>
      </w:r>
      <w:r>
        <w:rPr>
          <w:rFonts w:hint="eastAsia" w:ascii="宋体" w:hAnsi="宋体" w:eastAsia="宋体" w:cs="宋体"/>
          <w:b/>
          <w:color w:val="000000" w:themeColor="text1"/>
          <w:sz w:val="24"/>
          <w:szCs w:val="28"/>
          <w:highlight w:val="none"/>
          <w:u w:val="single"/>
          <w14:textFill>
            <w14:solidFill>
              <w14:schemeClr w14:val="tx1"/>
            </w14:solidFill>
          </w14:textFill>
        </w:rPr>
        <w:t xml:space="preserve">          </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26F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E547770">
            <w:pPr>
              <w:spacing w:line="360" w:lineRule="auto"/>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供应商名称</w:t>
            </w:r>
          </w:p>
        </w:tc>
        <w:tc>
          <w:tcPr>
            <w:tcW w:w="3557" w:type="pct"/>
            <w:tcBorders>
              <w:left w:val="single" w:color="auto" w:sz="4" w:space="0"/>
            </w:tcBorders>
          </w:tcPr>
          <w:p w14:paraId="379E0822">
            <w:pPr>
              <w:spacing w:line="360" w:lineRule="auto"/>
              <w:rPr>
                <w:rFonts w:hint="eastAsia" w:ascii="宋体" w:hAnsi="宋体" w:eastAsia="宋体" w:cs="宋体"/>
                <w:b/>
                <w:color w:val="000000" w:themeColor="text1"/>
                <w:sz w:val="24"/>
                <w:highlight w:val="none"/>
                <w14:textFill>
                  <w14:solidFill>
                    <w14:schemeClr w14:val="tx1"/>
                  </w14:solidFill>
                </w14:textFill>
              </w:rPr>
            </w:pPr>
          </w:p>
        </w:tc>
      </w:tr>
      <w:tr w14:paraId="2003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03315AC">
            <w:pPr>
              <w:spacing w:line="360" w:lineRule="exact"/>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磋商范围</w:t>
            </w:r>
          </w:p>
        </w:tc>
        <w:tc>
          <w:tcPr>
            <w:tcW w:w="3557" w:type="pct"/>
            <w:tcBorders>
              <w:left w:val="single" w:color="auto" w:sz="4" w:space="0"/>
            </w:tcBorders>
            <w:vAlign w:val="center"/>
          </w:tcPr>
          <w:p w14:paraId="5D348BBD">
            <w:pPr>
              <w:widowControl/>
              <w:spacing w:line="360" w:lineRule="exac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全部 </w:t>
            </w:r>
          </w:p>
        </w:tc>
      </w:tr>
      <w:tr w14:paraId="0840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7DA2CC7F">
            <w:pPr>
              <w:spacing w:line="360" w:lineRule="auto"/>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报价</w:t>
            </w:r>
          </w:p>
          <w:p w14:paraId="61D31D2A">
            <w:pPr>
              <w:spacing w:line="360" w:lineRule="auto"/>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（详见备注说明）</w:t>
            </w:r>
          </w:p>
        </w:tc>
        <w:tc>
          <w:tcPr>
            <w:tcW w:w="3557" w:type="pct"/>
            <w:vAlign w:val="center"/>
          </w:tcPr>
          <w:p w14:paraId="188D6C11">
            <w:pPr>
              <w:snapToGrid w:val="0"/>
              <w:spacing w:line="360" w:lineRule="auto"/>
              <w:rPr>
                <w:rFonts w:hint="eastAsia" w:ascii="宋体" w:hAnsi="宋体" w:eastAsia="宋体" w:cs="宋体"/>
                <w:color w:val="000000" w:themeColor="text1"/>
                <w:sz w:val="24"/>
                <w:szCs w:val="28"/>
                <w:highlight w:val="none"/>
                <w14:textFill>
                  <w14:solidFill>
                    <w14:schemeClr w14:val="tx1"/>
                  </w14:solidFill>
                </w14:textFill>
              </w:rPr>
            </w:pPr>
          </w:p>
          <w:p w14:paraId="0F2DDF14">
            <w:pPr>
              <w:snapToGrid w:val="0"/>
              <w:spacing w:line="360" w:lineRule="auto"/>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大写：</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25B13E90">
            <w:pPr>
              <w:spacing w:line="360" w:lineRule="auto"/>
              <w:ind w:right="-6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小写</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元）</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07928C3A">
            <w:pPr>
              <w:snapToGrid w:val="0"/>
              <w:spacing w:line="360" w:lineRule="auto"/>
              <w:rPr>
                <w:rFonts w:hint="eastAsia" w:ascii="宋体" w:hAnsi="宋体" w:eastAsia="宋体" w:cs="宋体"/>
                <w:b/>
                <w:color w:val="000000" w:themeColor="text1"/>
                <w:sz w:val="24"/>
                <w:highlight w:val="none"/>
                <w14:textFill>
                  <w14:solidFill>
                    <w14:schemeClr w14:val="tx1"/>
                  </w14:solidFill>
                </w14:textFill>
              </w:rPr>
            </w:pPr>
          </w:p>
        </w:tc>
      </w:tr>
      <w:tr w14:paraId="089A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1443" w:type="pct"/>
            <w:vAlign w:val="center"/>
          </w:tcPr>
          <w:p w14:paraId="393ED82B">
            <w:pPr>
              <w:spacing w:line="360" w:lineRule="auto"/>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备注说明</w:t>
            </w:r>
          </w:p>
        </w:tc>
        <w:tc>
          <w:tcPr>
            <w:tcW w:w="3557" w:type="pct"/>
          </w:tcPr>
          <w:p w14:paraId="3B58D8A5">
            <w:pPr>
              <w:spacing w:line="360" w:lineRule="auto"/>
              <w:rPr>
                <w:rFonts w:hint="eastAsia" w:ascii="宋体" w:hAnsi="宋体" w:eastAsia="宋体" w:cs="宋体"/>
                <w:b/>
                <w:color w:val="000000" w:themeColor="text1"/>
                <w:sz w:val="24"/>
                <w:highlight w:val="none"/>
                <w14:textFill>
                  <w14:solidFill>
                    <w14:schemeClr w14:val="tx1"/>
                  </w14:solidFill>
                </w14:textFill>
              </w:rPr>
            </w:pPr>
          </w:p>
        </w:tc>
      </w:tr>
    </w:tbl>
    <w:p w14:paraId="243334D6">
      <w:pPr>
        <w:spacing w:line="360" w:lineRule="auto"/>
        <w:ind w:firstLine="4800" w:firstLineChars="20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供应商电子签章：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3AA9A444">
      <w:pPr>
        <w:spacing w:line="360" w:lineRule="auto"/>
        <w:ind w:firstLine="4800" w:firstLineChars="20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          期：</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21F31211">
      <w:pPr>
        <w:adjustRightInd w:val="0"/>
        <w:snapToGrid w:val="0"/>
        <w:spacing w:line="360" w:lineRule="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注：</w:t>
      </w:r>
    </w:p>
    <w:p w14:paraId="1C687F0C">
      <w:pPr>
        <w:adjustRightInd w:val="0"/>
        <w:snapToGrid w:val="0"/>
        <w:spacing w:line="360" w:lineRule="auto"/>
        <w:ind w:firstLine="482"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1.本表内容根据磋商文件要求包括了服务及其配套的设计、试验、保险、税费以及培训、技术服务（包括技术资料、图纸的提供）质保期内的售后服务保障等所有费用。</w:t>
      </w:r>
    </w:p>
    <w:p w14:paraId="2217FE8B">
      <w:pPr>
        <w:adjustRightInd w:val="0"/>
        <w:snapToGrid w:val="0"/>
        <w:spacing w:line="360" w:lineRule="auto"/>
        <w:ind w:firstLine="482" w:firstLineChars="200"/>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2.特殊事项在备注中注明。</w:t>
      </w:r>
    </w:p>
    <w:p w14:paraId="2580E169">
      <w:pPr>
        <w:adjustRightInd w:val="0"/>
        <w:snapToGrid w:val="0"/>
        <w:spacing w:line="360" w:lineRule="auto"/>
        <w:ind w:firstLine="482" w:firstLineChars="200"/>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3.表中大写金额与小写金额不一致的，以大写金额为准。</w:t>
      </w:r>
    </w:p>
    <w:p w14:paraId="1583698F">
      <w:pPr>
        <w:widowControl/>
        <w:jc w:val="left"/>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br w:type="page"/>
      </w:r>
    </w:p>
    <w:p w14:paraId="60107B67">
      <w:pPr>
        <w:spacing w:before="156" w:beforeLines="50" w:after="156" w:afterLines="50" w:line="360" w:lineRule="auto"/>
        <w:jc w:val="left"/>
        <w:outlineLvl w:val="2"/>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1-2 分项报价明细表</w:t>
      </w:r>
    </w:p>
    <w:p w14:paraId="62890D0F">
      <w:pPr>
        <w:spacing w:line="360" w:lineRule="auto"/>
        <w:ind w:firstLine="435"/>
        <w:jc w:val="center"/>
        <w:rPr>
          <w:rFonts w:hint="eastAsia" w:ascii="宋体" w:hAnsi="宋体" w:eastAsia="宋体" w:cs="宋体"/>
          <w:i/>
          <w:color w:val="000000" w:themeColor="text1"/>
          <w:sz w:val="24"/>
          <w:highlight w:val="none"/>
          <w14:textFill>
            <w14:solidFill>
              <w14:schemeClr w14:val="tx1"/>
            </w14:solidFill>
          </w14:textFill>
        </w:rPr>
      </w:pPr>
      <w:r>
        <w:rPr>
          <w:rFonts w:hint="eastAsia" w:ascii="宋体" w:hAnsi="宋体" w:eastAsia="宋体" w:cs="宋体"/>
          <w:i/>
          <w:color w:val="000000" w:themeColor="text1"/>
          <w:sz w:val="24"/>
          <w:highlight w:val="none"/>
          <w14:textFill>
            <w14:solidFill>
              <w14:schemeClr w14:val="tx1"/>
            </w14:solidFill>
          </w14:textFill>
        </w:rPr>
        <w:t>（供应商可自行制作格式）</w:t>
      </w:r>
    </w:p>
    <w:p w14:paraId="4B2DD6FE">
      <w:pPr>
        <w:spacing w:line="360" w:lineRule="auto"/>
        <w:ind w:firstLine="4800" w:firstLineChars="2000"/>
        <w:rPr>
          <w:rFonts w:hint="eastAsia" w:ascii="宋体" w:hAnsi="宋体" w:eastAsia="宋体" w:cs="宋体"/>
          <w:color w:val="000000" w:themeColor="text1"/>
          <w:sz w:val="24"/>
          <w:highlight w:val="none"/>
          <w14:textFill>
            <w14:solidFill>
              <w14:schemeClr w14:val="tx1"/>
            </w14:solidFill>
          </w14:textFill>
        </w:rPr>
      </w:pPr>
    </w:p>
    <w:tbl>
      <w:tblPr>
        <w:tblStyle w:val="23"/>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03"/>
        <w:gridCol w:w="1203"/>
        <w:gridCol w:w="1428"/>
        <w:gridCol w:w="1587"/>
        <w:gridCol w:w="1587"/>
        <w:gridCol w:w="1509"/>
      </w:tblGrid>
      <w:tr w14:paraId="5A76C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706" w:type="pct"/>
            <w:tcBorders>
              <w:top w:val="single" w:color="auto" w:sz="4" w:space="0"/>
              <w:left w:val="single" w:color="auto" w:sz="4" w:space="0"/>
              <w:bottom w:val="single" w:color="auto" w:sz="4" w:space="0"/>
              <w:right w:val="single" w:color="auto" w:sz="4" w:space="0"/>
            </w:tcBorders>
            <w:vAlign w:val="center"/>
          </w:tcPr>
          <w:p w14:paraId="78794359">
            <w:pPr>
              <w:jc w:val="center"/>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序号</w:t>
            </w:r>
          </w:p>
        </w:tc>
        <w:tc>
          <w:tcPr>
            <w:tcW w:w="706" w:type="pct"/>
            <w:tcBorders>
              <w:top w:val="single" w:color="auto" w:sz="4" w:space="0"/>
              <w:left w:val="single" w:color="auto" w:sz="4" w:space="0"/>
              <w:bottom w:val="single" w:color="auto" w:sz="4" w:space="0"/>
              <w:right w:val="single" w:color="auto" w:sz="4" w:space="0"/>
            </w:tcBorders>
            <w:vAlign w:val="center"/>
          </w:tcPr>
          <w:p w14:paraId="732861F4">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安全鉴定水闸名称</w:t>
            </w:r>
          </w:p>
        </w:tc>
        <w:tc>
          <w:tcPr>
            <w:tcW w:w="838" w:type="pct"/>
            <w:tcBorders>
              <w:top w:val="single" w:color="auto" w:sz="4" w:space="0"/>
              <w:left w:val="single" w:color="auto" w:sz="4" w:space="0"/>
              <w:bottom w:val="single" w:color="auto" w:sz="4" w:space="0"/>
              <w:right w:val="single" w:color="auto" w:sz="4" w:space="0"/>
            </w:tcBorders>
            <w:vAlign w:val="center"/>
          </w:tcPr>
          <w:p w14:paraId="6C415F31">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项</w:t>
            </w:r>
          </w:p>
        </w:tc>
        <w:tc>
          <w:tcPr>
            <w:tcW w:w="931" w:type="pct"/>
            <w:tcBorders>
              <w:top w:val="single" w:color="auto" w:sz="4" w:space="0"/>
              <w:left w:val="single" w:color="auto" w:sz="4" w:space="0"/>
              <w:bottom w:val="single" w:color="auto" w:sz="4" w:space="0"/>
              <w:right w:val="single" w:color="auto" w:sz="4" w:space="0"/>
            </w:tcBorders>
            <w:vAlign w:val="center"/>
          </w:tcPr>
          <w:p w14:paraId="0A787A1F">
            <w:pPr>
              <w:jc w:val="center"/>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单价</w:t>
            </w: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eastAsia="宋体" w:cs="宋体"/>
                <w:b/>
                <w:color w:val="000000" w:themeColor="text1"/>
                <w:sz w:val="24"/>
                <w:highlight w:val="none"/>
                <w:lang w:val="en-US" w:eastAsia="zh-CN"/>
                <w14:textFill>
                  <w14:solidFill>
                    <w14:schemeClr w14:val="tx1"/>
                  </w14:solidFill>
                </w14:textFill>
              </w:rPr>
              <w:t>元）</w:t>
            </w:r>
          </w:p>
        </w:tc>
        <w:tc>
          <w:tcPr>
            <w:tcW w:w="931" w:type="pct"/>
            <w:tcBorders>
              <w:top w:val="single" w:color="auto" w:sz="4" w:space="0"/>
              <w:left w:val="single" w:color="auto" w:sz="4" w:space="0"/>
              <w:bottom w:val="single" w:color="auto" w:sz="4" w:space="0"/>
              <w:right w:val="single" w:color="auto" w:sz="4" w:space="0"/>
            </w:tcBorders>
            <w:vAlign w:val="center"/>
          </w:tcPr>
          <w:p w14:paraId="2049C09E">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合价</w:t>
            </w: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eastAsia="宋体" w:cs="宋体"/>
                <w:b/>
                <w:color w:val="000000" w:themeColor="text1"/>
                <w:sz w:val="24"/>
                <w:highlight w:val="none"/>
                <w:lang w:val="en-US" w:eastAsia="zh-CN"/>
                <w14:textFill>
                  <w14:solidFill>
                    <w14:schemeClr w14:val="tx1"/>
                  </w14:solidFill>
                </w14:textFill>
              </w:rPr>
              <w:t>元）</w:t>
            </w:r>
          </w:p>
        </w:tc>
        <w:tc>
          <w:tcPr>
            <w:tcW w:w="885" w:type="pct"/>
            <w:tcBorders>
              <w:top w:val="single" w:color="auto" w:sz="4" w:space="0"/>
              <w:left w:val="single" w:color="auto" w:sz="4" w:space="0"/>
              <w:bottom w:val="single" w:color="auto" w:sz="4" w:space="0"/>
              <w:right w:val="single" w:color="auto" w:sz="4" w:space="0"/>
            </w:tcBorders>
            <w:vAlign w:val="center"/>
          </w:tcPr>
          <w:p w14:paraId="1FB95EFB">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备注</w:t>
            </w:r>
          </w:p>
        </w:tc>
      </w:tr>
      <w:tr w14:paraId="0E86F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706" w:type="pct"/>
            <w:tcBorders>
              <w:top w:val="single" w:color="auto" w:sz="4" w:space="0"/>
              <w:left w:val="single" w:color="auto" w:sz="4" w:space="0"/>
              <w:bottom w:val="single" w:color="auto" w:sz="4" w:space="0"/>
              <w:right w:val="single" w:color="auto" w:sz="4" w:space="0"/>
            </w:tcBorders>
            <w:vAlign w:val="center"/>
          </w:tcPr>
          <w:p w14:paraId="445009B7">
            <w:pPr>
              <w:jc w:val="center"/>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1</w:t>
            </w:r>
          </w:p>
        </w:tc>
        <w:tc>
          <w:tcPr>
            <w:tcW w:w="706" w:type="pct"/>
            <w:tcBorders>
              <w:top w:val="single" w:color="auto" w:sz="4" w:space="0"/>
              <w:left w:val="single" w:color="auto" w:sz="4" w:space="0"/>
              <w:bottom w:val="single" w:color="auto" w:sz="4" w:space="0"/>
              <w:right w:val="single" w:color="auto" w:sz="4" w:space="0"/>
            </w:tcBorders>
            <w:vAlign w:val="center"/>
          </w:tcPr>
          <w:p w14:paraId="243015BA">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新河涵</w:t>
            </w:r>
          </w:p>
        </w:tc>
        <w:tc>
          <w:tcPr>
            <w:tcW w:w="838" w:type="pct"/>
            <w:tcBorders>
              <w:top w:val="single" w:color="auto" w:sz="4" w:space="0"/>
              <w:left w:val="single" w:color="auto" w:sz="4" w:space="0"/>
              <w:right w:val="single" w:color="auto" w:sz="4" w:space="0"/>
            </w:tcBorders>
            <w:vAlign w:val="center"/>
          </w:tcPr>
          <w:p w14:paraId="4DDE6C3C">
            <w:pPr>
              <w:jc w:val="center"/>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1</w:t>
            </w:r>
          </w:p>
        </w:tc>
        <w:tc>
          <w:tcPr>
            <w:tcW w:w="931" w:type="pct"/>
            <w:tcBorders>
              <w:top w:val="single" w:color="auto" w:sz="4" w:space="0"/>
              <w:left w:val="single" w:color="auto" w:sz="4" w:space="0"/>
              <w:right w:val="single" w:color="auto" w:sz="4" w:space="0"/>
            </w:tcBorders>
            <w:vAlign w:val="center"/>
          </w:tcPr>
          <w:p w14:paraId="3E70B273">
            <w:pPr>
              <w:spacing w:line="560" w:lineRule="exact"/>
              <w:jc w:val="center"/>
              <w:rPr>
                <w:rFonts w:hint="eastAsia" w:ascii="宋体" w:hAnsi="宋体" w:eastAsia="宋体" w:cs="宋体"/>
                <w:bCs/>
                <w:color w:val="000000" w:themeColor="text1"/>
                <w:szCs w:val="21"/>
                <w:highlight w:val="none"/>
                <w14:textFill>
                  <w14:solidFill>
                    <w14:schemeClr w14:val="tx1"/>
                  </w14:solidFill>
                </w14:textFill>
              </w:rPr>
            </w:pPr>
          </w:p>
        </w:tc>
        <w:tc>
          <w:tcPr>
            <w:tcW w:w="931" w:type="pct"/>
            <w:tcBorders>
              <w:top w:val="single" w:color="auto" w:sz="4" w:space="0"/>
              <w:left w:val="single" w:color="auto" w:sz="4" w:space="0"/>
              <w:right w:val="single" w:color="auto" w:sz="4" w:space="0"/>
            </w:tcBorders>
            <w:vAlign w:val="center"/>
          </w:tcPr>
          <w:p w14:paraId="57966EEE">
            <w:pPr>
              <w:spacing w:line="560" w:lineRule="exact"/>
              <w:jc w:val="center"/>
              <w:rPr>
                <w:rFonts w:hint="eastAsia" w:ascii="宋体" w:hAnsi="宋体" w:eastAsia="宋体" w:cs="宋体"/>
                <w:bCs/>
                <w:color w:val="000000" w:themeColor="text1"/>
                <w:szCs w:val="21"/>
                <w:highlight w:val="none"/>
                <w14:textFill>
                  <w14:solidFill>
                    <w14:schemeClr w14:val="tx1"/>
                  </w14:solidFill>
                </w14:textFill>
              </w:rPr>
            </w:pPr>
          </w:p>
        </w:tc>
        <w:tc>
          <w:tcPr>
            <w:tcW w:w="885" w:type="pct"/>
            <w:vMerge w:val="restart"/>
            <w:tcBorders>
              <w:top w:val="single" w:color="auto" w:sz="4" w:space="0"/>
              <w:left w:val="single" w:color="auto" w:sz="4" w:space="0"/>
              <w:right w:val="single" w:color="auto" w:sz="4" w:space="0"/>
            </w:tcBorders>
            <w:vAlign w:val="center"/>
          </w:tcPr>
          <w:p w14:paraId="36A4F4C5">
            <w:pPr>
              <w:spacing w:line="560" w:lineRule="exact"/>
              <w:jc w:val="center"/>
              <w:rPr>
                <w:rFonts w:hint="eastAsia" w:ascii="宋体" w:hAnsi="宋体" w:eastAsia="宋体" w:cs="宋体"/>
                <w:bCs/>
                <w:color w:val="000000" w:themeColor="text1"/>
                <w:szCs w:val="21"/>
                <w:highlight w:val="none"/>
                <w14:textFill>
                  <w14:solidFill>
                    <w14:schemeClr w14:val="tx1"/>
                  </w14:solidFill>
                </w14:textFill>
              </w:rPr>
            </w:pPr>
          </w:p>
        </w:tc>
      </w:tr>
      <w:tr w14:paraId="1B140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706" w:type="pct"/>
            <w:tcBorders>
              <w:top w:val="single" w:color="auto" w:sz="4" w:space="0"/>
              <w:left w:val="single" w:color="auto" w:sz="4" w:space="0"/>
              <w:bottom w:val="single" w:color="auto" w:sz="4" w:space="0"/>
              <w:right w:val="single" w:color="auto" w:sz="4" w:space="0"/>
            </w:tcBorders>
            <w:vAlign w:val="center"/>
          </w:tcPr>
          <w:p w14:paraId="70FF4DB6">
            <w:pPr>
              <w:jc w:val="center"/>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2</w:t>
            </w:r>
          </w:p>
        </w:tc>
        <w:tc>
          <w:tcPr>
            <w:tcW w:w="706" w:type="pct"/>
            <w:tcBorders>
              <w:top w:val="single" w:color="auto" w:sz="4" w:space="0"/>
              <w:left w:val="single" w:color="auto" w:sz="4" w:space="0"/>
              <w:bottom w:val="single" w:color="auto" w:sz="4" w:space="0"/>
              <w:right w:val="single" w:color="auto" w:sz="4" w:space="0"/>
            </w:tcBorders>
            <w:vAlign w:val="center"/>
          </w:tcPr>
          <w:p w14:paraId="6B80C8B7">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乌江涵</w:t>
            </w:r>
          </w:p>
        </w:tc>
        <w:tc>
          <w:tcPr>
            <w:tcW w:w="838" w:type="pct"/>
            <w:tcBorders>
              <w:left w:val="single" w:color="auto" w:sz="4" w:space="0"/>
              <w:right w:val="single" w:color="auto" w:sz="4" w:space="0"/>
            </w:tcBorders>
            <w:vAlign w:val="center"/>
          </w:tcPr>
          <w:p w14:paraId="5F88E030">
            <w:pPr>
              <w:jc w:val="center"/>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1</w:t>
            </w:r>
          </w:p>
        </w:tc>
        <w:tc>
          <w:tcPr>
            <w:tcW w:w="931" w:type="pct"/>
            <w:tcBorders>
              <w:left w:val="single" w:color="auto" w:sz="4" w:space="0"/>
              <w:right w:val="single" w:color="auto" w:sz="4" w:space="0"/>
            </w:tcBorders>
            <w:vAlign w:val="center"/>
          </w:tcPr>
          <w:p w14:paraId="36E28566">
            <w:pPr>
              <w:spacing w:line="560" w:lineRule="exact"/>
              <w:jc w:val="center"/>
              <w:rPr>
                <w:rFonts w:hint="eastAsia" w:ascii="宋体" w:hAnsi="宋体" w:eastAsia="宋体" w:cs="宋体"/>
                <w:bCs/>
                <w:color w:val="000000" w:themeColor="text1"/>
                <w:szCs w:val="21"/>
                <w:highlight w:val="none"/>
                <w14:textFill>
                  <w14:solidFill>
                    <w14:schemeClr w14:val="tx1"/>
                  </w14:solidFill>
                </w14:textFill>
              </w:rPr>
            </w:pPr>
          </w:p>
        </w:tc>
        <w:tc>
          <w:tcPr>
            <w:tcW w:w="931" w:type="pct"/>
            <w:tcBorders>
              <w:left w:val="single" w:color="auto" w:sz="4" w:space="0"/>
              <w:right w:val="single" w:color="auto" w:sz="4" w:space="0"/>
            </w:tcBorders>
            <w:vAlign w:val="center"/>
          </w:tcPr>
          <w:p w14:paraId="2E9E4694">
            <w:pPr>
              <w:spacing w:line="560" w:lineRule="exact"/>
              <w:jc w:val="center"/>
              <w:rPr>
                <w:rFonts w:hint="eastAsia" w:ascii="宋体" w:hAnsi="宋体" w:eastAsia="宋体" w:cs="宋体"/>
                <w:bCs/>
                <w:color w:val="000000" w:themeColor="text1"/>
                <w:szCs w:val="21"/>
                <w:highlight w:val="none"/>
                <w14:textFill>
                  <w14:solidFill>
                    <w14:schemeClr w14:val="tx1"/>
                  </w14:solidFill>
                </w14:textFill>
              </w:rPr>
            </w:pPr>
          </w:p>
        </w:tc>
        <w:tc>
          <w:tcPr>
            <w:tcW w:w="885" w:type="pct"/>
            <w:vMerge w:val="continue"/>
            <w:tcBorders>
              <w:left w:val="single" w:color="auto" w:sz="4" w:space="0"/>
              <w:right w:val="single" w:color="auto" w:sz="4" w:space="0"/>
            </w:tcBorders>
            <w:vAlign w:val="center"/>
          </w:tcPr>
          <w:p w14:paraId="27D8AD37">
            <w:pPr>
              <w:spacing w:line="560" w:lineRule="exact"/>
              <w:jc w:val="center"/>
              <w:rPr>
                <w:rFonts w:hint="eastAsia" w:ascii="宋体" w:hAnsi="宋体" w:eastAsia="宋体" w:cs="宋体"/>
                <w:bCs/>
                <w:color w:val="000000" w:themeColor="text1"/>
                <w:szCs w:val="21"/>
                <w:highlight w:val="none"/>
                <w14:textFill>
                  <w14:solidFill>
                    <w14:schemeClr w14:val="tx1"/>
                  </w14:solidFill>
                </w14:textFill>
              </w:rPr>
            </w:pPr>
          </w:p>
        </w:tc>
      </w:tr>
      <w:tr w14:paraId="6894EF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706" w:type="pct"/>
            <w:tcBorders>
              <w:top w:val="single" w:color="auto" w:sz="4" w:space="0"/>
              <w:left w:val="single" w:color="auto" w:sz="4" w:space="0"/>
              <w:bottom w:val="single" w:color="auto" w:sz="4" w:space="0"/>
              <w:right w:val="single" w:color="auto" w:sz="4" w:space="0"/>
            </w:tcBorders>
            <w:vAlign w:val="center"/>
          </w:tcPr>
          <w:p w14:paraId="3EBC1D3F">
            <w:pPr>
              <w:jc w:val="center"/>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3</w:t>
            </w:r>
          </w:p>
        </w:tc>
        <w:tc>
          <w:tcPr>
            <w:tcW w:w="706" w:type="pct"/>
            <w:tcBorders>
              <w:top w:val="single" w:color="auto" w:sz="4" w:space="0"/>
              <w:left w:val="single" w:color="auto" w:sz="4" w:space="0"/>
              <w:bottom w:val="single" w:color="auto" w:sz="4" w:space="0"/>
              <w:right w:val="single" w:color="auto" w:sz="4" w:space="0"/>
            </w:tcBorders>
            <w:vAlign w:val="center"/>
          </w:tcPr>
          <w:p w14:paraId="116A668F">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小集涵</w:t>
            </w:r>
          </w:p>
        </w:tc>
        <w:tc>
          <w:tcPr>
            <w:tcW w:w="838" w:type="pct"/>
            <w:tcBorders>
              <w:left w:val="single" w:color="auto" w:sz="4" w:space="0"/>
              <w:right w:val="single" w:color="auto" w:sz="4" w:space="0"/>
            </w:tcBorders>
            <w:vAlign w:val="center"/>
          </w:tcPr>
          <w:p w14:paraId="4A37F74B">
            <w:pPr>
              <w:jc w:val="center"/>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1</w:t>
            </w:r>
          </w:p>
        </w:tc>
        <w:tc>
          <w:tcPr>
            <w:tcW w:w="931" w:type="pct"/>
            <w:tcBorders>
              <w:left w:val="single" w:color="auto" w:sz="4" w:space="0"/>
              <w:right w:val="single" w:color="auto" w:sz="4" w:space="0"/>
            </w:tcBorders>
            <w:vAlign w:val="center"/>
          </w:tcPr>
          <w:p w14:paraId="0032E57F">
            <w:pPr>
              <w:spacing w:line="560" w:lineRule="exact"/>
              <w:jc w:val="center"/>
              <w:rPr>
                <w:rFonts w:hint="eastAsia" w:ascii="宋体" w:hAnsi="宋体" w:eastAsia="宋体" w:cs="宋体"/>
                <w:bCs/>
                <w:color w:val="000000" w:themeColor="text1"/>
                <w:szCs w:val="21"/>
                <w:highlight w:val="none"/>
                <w14:textFill>
                  <w14:solidFill>
                    <w14:schemeClr w14:val="tx1"/>
                  </w14:solidFill>
                </w14:textFill>
              </w:rPr>
            </w:pPr>
          </w:p>
        </w:tc>
        <w:tc>
          <w:tcPr>
            <w:tcW w:w="931" w:type="pct"/>
            <w:tcBorders>
              <w:left w:val="single" w:color="auto" w:sz="4" w:space="0"/>
              <w:right w:val="single" w:color="auto" w:sz="4" w:space="0"/>
            </w:tcBorders>
            <w:vAlign w:val="center"/>
          </w:tcPr>
          <w:p w14:paraId="5BCFEDA9">
            <w:pPr>
              <w:spacing w:line="560" w:lineRule="exact"/>
              <w:jc w:val="center"/>
              <w:rPr>
                <w:rFonts w:hint="eastAsia" w:ascii="宋体" w:hAnsi="宋体" w:eastAsia="宋体" w:cs="宋体"/>
                <w:bCs/>
                <w:color w:val="000000" w:themeColor="text1"/>
                <w:szCs w:val="21"/>
                <w:highlight w:val="none"/>
                <w14:textFill>
                  <w14:solidFill>
                    <w14:schemeClr w14:val="tx1"/>
                  </w14:solidFill>
                </w14:textFill>
              </w:rPr>
            </w:pPr>
          </w:p>
        </w:tc>
        <w:tc>
          <w:tcPr>
            <w:tcW w:w="885" w:type="pct"/>
            <w:vMerge w:val="continue"/>
            <w:tcBorders>
              <w:left w:val="single" w:color="auto" w:sz="4" w:space="0"/>
              <w:right w:val="single" w:color="auto" w:sz="4" w:space="0"/>
            </w:tcBorders>
            <w:vAlign w:val="center"/>
          </w:tcPr>
          <w:p w14:paraId="237C1B01">
            <w:pPr>
              <w:spacing w:line="560" w:lineRule="exact"/>
              <w:jc w:val="center"/>
              <w:rPr>
                <w:rFonts w:hint="eastAsia" w:ascii="宋体" w:hAnsi="宋体" w:eastAsia="宋体" w:cs="宋体"/>
                <w:bCs/>
                <w:color w:val="000000" w:themeColor="text1"/>
                <w:szCs w:val="21"/>
                <w:highlight w:val="none"/>
                <w14:textFill>
                  <w14:solidFill>
                    <w14:schemeClr w14:val="tx1"/>
                  </w14:solidFill>
                </w14:textFill>
              </w:rPr>
            </w:pPr>
          </w:p>
        </w:tc>
      </w:tr>
      <w:tr w14:paraId="110EE2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6" w:hRule="atLeast"/>
          <w:jc w:val="center"/>
        </w:trPr>
        <w:tc>
          <w:tcPr>
            <w:tcW w:w="706" w:type="pct"/>
            <w:tcBorders>
              <w:top w:val="single" w:color="auto" w:sz="4" w:space="0"/>
              <w:left w:val="single" w:color="auto" w:sz="4" w:space="0"/>
              <w:bottom w:val="single" w:color="auto" w:sz="4" w:space="0"/>
              <w:right w:val="single" w:color="auto" w:sz="4" w:space="0"/>
            </w:tcBorders>
            <w:vAlign w:val="center"/>
          </w:tcPr>
          <w:p w14:paraId="1CF5DC1E">
            <w:pPr>
              <w:jc w:val="center"/>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4</w:t>
            </w:r>
          </w:p>
        </w:tc>
        <w:tc>
          <w:tcPr>
            <w:tcW w:w="706" w:type="pct"/>
            <w:tcBorders>
              <w:top w:val="single" w:color="auto" w:sz="4" w:space="0"/>
              <w:left w:val="single" w:color="auto" w:sz="4" w:space="0"/>
              <w:bottom w:val="single" w:color="auto" w:sz="4" w:space="0"/>
              <w:right w:val="single" w:color="auto" w:sz="4" w:space="0"/>
            </w:tcBorders>
            <w:vAlign w:val="center"/>
          </w:tcPr>
          <w:p w14:paraId="3FCB5926">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蔡桥涵</w:t>
            </w:r>
          </w:p>
        </w:tc>
        <w:tc>
          <w:tcPr>
            <w:tcW w:w="838" w:type="pct"/>
            <w:tcBorders>
              <w:left w:val="single" w:color="auto" w:sz="4" w:space="0"/>
              <w:right w:val="single" w:color="auto" w:sz="4" w:space="0"/>
            </w:tcBorders>
            <w:vAlign w:val="center"/>
          </w:tcPr>
          <w:p w14:paraId="6618F4A7">
            <w:pPr>
              <w:jc w:val="center"/>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1</w:t>
            </w:r>
          </w:p>
        </w:tc>
        <w:tc>
          <w:tcPr>
            <w:tcW w:w="931" w:type="pct"/>
            <w:tcBorders>
              <w:left w:val="single" w:color="auto" w:sz="4" w:space="0"/>
              <w:right w:val="single" w:color="auto" w:sz="4" w:space="0"/>
            </w:tcBorders>
            <w:vAlign w:val="center"/>
          </w:tcPr>
          <w:p w14:paraId="547024EF">
            <w:pPr>
              <w:spacing w:line="560" w:lineRule="exact"/>
              <w:jc w:val="center"/>
              <w:rPr>
                <w:rFonts w:hint="eastAsia" w:ascii="宋体" w:hAnsi="宋体" w:eastAsia="宋体" w:cs="宋体"/>
                <w:bCs/>
                <w:color w:val="000000" w:themeColor="text1"/>
                <w:szCs w:val="21"/>
                <w:highlight w:val="none"/>
                <w14:textFill>
                  <w14:solidFill>
                    <w14:schemeClr w14:val="tx1"/>
                  </w14:solidFill>
                </w14:textFill>
              </w:rPr>
            </w:pPr>
          </w:p>
        </w:tc>
        <w:tc>
          <w:tcPr>
            <w:tcW w:w="931" w:type="pct"/>
            <w:tcBorders>
              <w:left w:val="single" w:color="auto" w:sz="4" w:space="0"/>
              <w:right w:val="single" w:color="auto" w:sz="4" w:space="0"/>
            </w:tcBorders>
            <w:vAlign w:val="center"/>
          </w:tcPr>
          <w:p w14:paraId="22E3AAFC">
            <w:pPr>
              <w:spacing w:line="560" w:lineRule="exact"/>
              <w:jc w:val="center"/>
              <w:rPr>
                <w:rFonts w:hint="eastAsia" w:ascii="宋体" w:hAnsi="宋体" w:eastAsia="宋体" w:cs="宋体"/>
                <w:bCs/>
                <w:color w:val="000000" w:themeColor="text1"/>
                <w:szCs w:val="21"/>
                <w:highlight w:val="none"/>
                <w14:textFill>
                  <w14:solidFill>
                    <w14:schemeClr w14:val="tx1"/>
                  </w14:solidFill>
                </w14:textFill>
              </w:rPr>
            </w:pPr>
          </w:p>
        </w:tc>
        <w:tc>
          <w:tcPr>
            <w:tcW w:w="885" w:type="pct"/>
            <w:vMerge w:val="continue"/>
            <w:tcBorders>
              <w:left w:val="single" w:color="auto" w:sz="4" w:space="0"/>
              <w:right w:val="single" w:color="auto" w:sz="4" w:space="0"/>
            </w:tcBorders>
            <w:vAlign w:val="center"/>
          </w:tcPr>
          <w:p w14:paraId="45CC66B1">
            <w:pPr>
              <w:spacing w:line="560" w:lineRule="exact"/>
              <w:jc w:val="center"/>
              <w:rPr>
                <w:rFonts w:hint="eastAsia" w:ascii="宋体" w:hAnsi="宋体" w:eastAsia="宋体" w:cs="宋体"/>
                <w:bCs/>
                <w:color w:val="000000" w:themeColor="text1"/>
                <w:szCs w:val="21"/>
                <w:highlight w:val="none"/>
                <w14:textFill>
                  <w14:solidFill>
                    <w14:schemeClr w14:val="tx1"/>
                  </w14:solidFill>
                </w14:textFill>
              </w:rPr>
            </w:pPr>
          </w:p>
        </w:tc>
      </w:tr>
      <w:tr w14:paraId="4B61BE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 w:hRule="atLeast"/>
          <w:jc w:val="center"/>
        </w:trPr>
        <w:tc>
          <w:tcPr>
            <w:tcW w:w="706" w:type="pct"/>
            <w:tcBorders>
              <w:top w:val="single" w:color="auto" w:sz="4" w:space="0"/>
              <w:left w:val="single" w:color="auto" w:sz="4" w:space="0"/>
              <w:bottom w:val="single" w:color="auto" w:sz="4" w:space="0"/>
              <w:right w:val="single" w:color="auto" w:sz="4" w:space="0"/>
            </w:tcBorders>
            <w:vAlign w:val="center"/>
          </w:tcPr>
          <w:p w14:paraId="54EA97C8">
            <w:pPr>
              <w:jc w:val="center"/>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5</w:t>
            </w:r>
          </w:p>
        </w:tc>
        <w:tc>
          <w:tcPr>
            <w:tcW w:w="706" w:type="pct"/>
            <w:tcBorders>
              <w:top w:val="single" w:color="auto" w:sz="4" w:space="0"/>
              <w:left w:val="single" w:color="auto" w:sz="4" w:space="0"/>
              <w:bottom w:val="single" w:color="auto" w:sz="4" w:space="0"/>
              <w:right w:val="single" w:color="auto" w:sz="4" w:space="0"/>
            </w:tcBorders>
            <w:vAlign w:val="center"/>
          </w:tcPr>
          <w:p w14:paraId="39150DF2">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张沟涵</w:t>
            </w:r>
          </w:p>
        </w:tc>
        <w:tc>
          <w:tcPr>
            <w:tcW w:w="838" w:type="pct"/>
            <w:tcBorders>
              <w:left w:val="single" w:color="auto" w:sz="4" w:space="0"/>
              <w:right w:val="single" w:color="auto" w:sz="4" w:space="0"/>
            </w:tcBorders>
            <w:vAlign w:val="center"/>
          </w:tcPr>
          <w:p w14:paraId="6A649C3C">
            <w:pPr>
              <w:jc w:val="center"/>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1</w:t>
            </w:r>
          </w:p>
        </w:tc>
        <w:tc>
          <w:tcPr>
            <w:tcW w:w="931" w:type="pct"/>
            <w:tcBorders>
              <w:left w:val="single" w:color="auto" w:sz="4" w:space="0"/>
              <w:right w:val="single" w:color="auto" w:sz="4" w:space="0"/>
            </w:tcBorders>
            <w:vAlign w:val="center"/>
          </w:tcPr>
          <w:p w14:paraId="79DC0E92">
            <w:pPr>
              <w:spacing w:line="560" w:lineRule="exact"/>
              <w:jc w:val="center"/>
              <w:rPr>
                <w:rFonts w:hint="eastAsia" w:ascii="宋体" w:hAnsi="宋体" w:eastAsia="宋体" w:cs="宋体"/>
                <w:bCs/>
                <w:color w:val="000000" w:themeColor="text1"/>
                <w:szCs w:val="21"/>
                <w:highlight w:val="none"/>
                <w14:textFill>
                  <w14:solidFill>
                    <w14:schemeClr w14:val="tx1"/>
                  </w14:solidFill>
                </w14:textFill>
              </w:rPr>
            </w:pPr>
          </w:p>
        </w:tc>
        <w:tc>
          <w:tcPr>
            <w:tcW w:w="931" w:type="pct"/>
            <w:tcBorders>
              <w:left w:val="single" w:color="auto" w:sz="4" w:space="0"/>
              <w:right w:val="single" w:color="auto" w:sz="4" w:space="0"/>
            </w:tcBorders>
            <w:vAlign w:val="center"/>
          </w:tcPr>
          <w:p w14:paraId="43133A90">
            <w:pPr>
              <w:spacing w:line="560" w:lineRule="exact"/>
              <w:jc w:val="center"/>
              <w:rPr>
                <w:rFonts w:hint="eastAsia" w:ascii="宋体" w:hAnsi="宋体" w:eastAsia="宋体" w:cs="宋体"/>
                <w:bCs/>
                <w:color w:val="000000" w:themeColor="text1"/>
                <w:szCs w:val="21"/>
                <w:highlight w:val="none"/>
                <w14:textFill>
                  <w14:solidFill>
                    <w14:schemeClr w14:val="tx1"/>
                  </w14:solidFill>
                </w14:textFill>
              </w:rPr>
            </w:pPr>
          </w:p>
        </w:tc>
        <w:tc>
          <w:tcPr>
            <w:tcW w:w="885" w:type="pct"/>
            <w:vMerge w:val="continue"/>
            <w:tcBorders>
              <w:left w:val="single" w:color="auto" w:sz="4" w:space="0"/>
              <w:right w:val="single" w:color="auto" w:sz="4" w:space="0"/>
            </w:tcBorders>
            <w:vAlign w:val="center"/>
          </w:tcPr>
          <w:p w14:paraId="32768A1C">
            <w:pPr>
              <w:spacing w:line="560" w:lineRule="exact"/>
              <w:jc w:val="center"/>
              <w:rPr>
                <w:rFonts w:hint="eastAsia" w:ascii="宋体" w:hAnsi="宋体" w:eastAsia="宋体" w:cs="宋体"/>
                <w:bCs/>
                <w:color w:val="000000" w:themeColor="text1"/>
                <w:szCs w:val="21"/>
                <w:highlight w:val="none"/>
                <w14:textFill>
                  <w14:solidFill>
                    <w14:schemeClr w14:val="tx1"/>
                  </w14:solidFill>
                </w14:textFill>
              </w:rPr>
            </w:pPr>
          </w:p>
        </w:tc>
      </w:tr>
      <w:tr w14:paraId="7286E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6" w:hRule="atLeast"/>
          <w:jc w:val="center"/>
        </w:trPr>
        <w:tc>
          <w:tcPr>
            <w:tcW w:w="706" w:type="pct"/>
            <w:tcBorders>
              <w:top w:val="single" w:color="auto" w:sz="4" w:space="0"/>
              <w:left w:val="single" w:color="auto" w:sz="4" w:space="0"/>
              <w:bottom w:val="single" w:color="auto" w:sz="4" w:space="0"/>
              <w:right w:val="single" w:color="auto" w:sz="4" w:space="0"/>
            </w:tcBorders>
            <w:vAlign w:val="center"/>
          </w:tcPr>
          <w:p w14:paraId="1FC7B5FD">
            <w:pPr>
              <w:jc w:val="center"/>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6</w:t>
            </w:r>
          </w:p>
        </w:tc>
        <w:tc>
          <w:tcPr>
            <w:tcW w:w="706" w:type="pct"/>
            <w:tcBorders>
              <w:top w:val="single" w:color="auto" w:sz="4" w:space="0"/>
              <w:left w:val="single" w:color="auto" w:sz="4" w:space="0"/>
              <w:bottom w:val="single" w:color="auto" w:sz="4" w:space="0"/>
              <w:right w:val="single" w:color="auto" w:sz="4" w:space="0"/>
            </w:tcBorders>
            <w:vAlign w:val="center"/>
          </w:tcPr>
          <w:p w14:paraId="2FBF4EB4">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吴沟涵</w:t>
            </w:r>
          </w:p>
        </w:tc>
        <w:tc>
          <w:tcPr>
            <w:tcW w:w="838" w:type="pct"/>
            <w:tcBorders>
              <w:left w:val="single" w:color="auto" w:sz="4" w:space="0"/>
              <w:right w:val="single" w:color="auto" w:sz="4" w:space="0"/>
            </w:tcBorders>
            <w:vAlign w:val="center"/>
          </w:tcPr>
          <w:p w14:paraId="4F4280B8">
            <w:pPr>
              <w:jc w:val="center"/>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1</w:t>
            </w:r>
          </w:p>
        </w:tc>
        <w:tc>
          <w:tcPr>
            <w:tcW w:w="931" w:type="pct"/>
            <w:tcBorders>
              <w:left w:val="single" w:color="auto" w:sz="4" w:space="0"/>
              <w:right w:val="single" w:color="auto" w:sz="4" w:space="0"/>
            </w:tcBorders>
            <w:vAlign w:val="center"/>
          </w:tcPr>
          <w:p w14:paraId="4D9C2B60">
            <w:pPr>
              <w:spacing w:line="560" w:lineRule="exact"/>
              <w:jc w:val="center"/>
              <w:rPr>
                <w:rFonts w:hint="eastAsia" w:ascii="宋体" w:hAnsi="宋体" w:eastAsia="宋体" w:cs="宋体"/>
                <w:bCs/>
                <w:color w:val="000000" w:themeColor="text1"/>
                <w:szCs w:val="21"/>
                <w:highlight w:val="none"/>
                <w14:textFill>
                  <w14:solidFill>
                    <w14:schemeClr w14:val="tx1"/>
                  </w14:solidFill>
                </w14:textFill>
              </w:rPr>
            </w:pPr>
          </w:p>
        </w:tc>
        <w:tc>
          <w:tcPr>
            <w:tcW w:w="931" w:type="pct"/>
            <w:tcBorders>
              <w:left w:val="single" w:color="auto" w:sz="4" w:space="0"/>
              <w:right w:val="single" w:color="auto" w:sz="4" w:space="0"/>
            </w:tcBorders>
            <w:vAlign w:val="center"/>
          </w:tcPr>
          <w:p w14:paraId="0AA90F3D">
            <w:pPr>
              <w:spacing w:line="560" w:lineRule="exact"/>
              <w:jc w:val="center"/>
              <w:rPr>
                <w:rFonts w:hint="eastAsia" w:ascii="宋体" w:hAnsi="宋体" w:eastAsia="宋体" w:cs="宋体"/>
                <w:bCs/>
                <w:color w:val="000000" w:themeColor="text1"/>
                <w:szCs w:val="21"/>
                <w:highlight w:val="none"/>
                <w14:textFill>
                  <w14:solidFill>
                    <w14:schemeClr w14:val="tx1"/>
                  </w14:solidFill>
                </w14:textFill>
              </w:rPr>
            </w:pPr>
          </w:p>
        </w:tc>
        <w:tc>
          <w:tcPr>
            <w:tcW w:w="885" w:type="pct"/>
            <w:vMerge w:val="continue"/>
            <w:tcBorders>
              <w:left w:val="single" w:color="auto" w:sz="4" w:space="0"/>
              <w:right w:val="single" w:color="auto" w:sz="4" w:space="0"/>
            </w:tcBorders>
            <w:vAlign w:val="center"/>
          </w:tcPr>
          <w:p w14:paraId="4AFA7648">
            <w:pPr>
              <w:spacing w:line="560" w:lineRule="exact"/>
              <w:jc w:val="center"/>
              <w:rPr>
                <w:rFonts w:hint="eastAsia" w:ascii="宋体" w:hAnsi="宋体" w:eastAsia="宋体" w:cs="宋体"/>
                <w:bCs/>
                <w:color w:val="000000" w:themeColor="text1"/>
                <w:szCs w:val="21"/>
                <w:highlight w:val="none"/>
                <w14:textFill>
                  <w14:solidFill>
                    <w14:schemeClr w14:val="tx1"/>
                  </w14:solidFill>
                </w14:textFill>
              </w:rPr>
            </w:pPr>
          </w:p>
        </w:tc>
      </w:tr>
      <w:tr w14:paraId="41134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4" w:hRule="atLeast"/>
          <w:jc w:val="center"/>
        </w:trPr>
        <w:tc>
          <w:tcPr>
            <w:tcW w:w="706" w:type="pct"/>
            <w:tcBorders>
              <w:top w:val="single" w:color="auto" w:sz="4" w:space="0"/>
              <w:left w:val="single" w:color="auto" w:sz="4" w:space="0"/>
              <w:bottom w:val="single" w:color="auto" w:sz="4" w:space="0"/>
              <w:right w:val="single" w:color="auto" w:sz="4" w:space="0"/>
            </w:tcBorders>
            <w:vAlign w:val="center"/>
          </w:tcPr>
          <w:p w14:paraId="4D1F5E81">
            <w:pPr>
              <w:jc w:val="center"/>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7</w:t>
            </w:r>
          </w:p>
        </w:tc>
        <w:tc>
          <w:tcPr>
            <w:tcW w:w="706" w:type="pct"/>
            <w:tcBorders>
              <w:top w:val="single" w:color="auto" w:sz="4" w:space="0"/>
              <w:left w:val="single" w:color="auto" w:sz="4" w:space="0"/>
              <w:bottom w:val="single" w:color="auto" w:sz="4" w:space="0"/>
              <w:right w:val="single" w:color="auto" w:sz="4" w:space="0"/>
            </w:tcBorders>
            <w:vAlign w:val="center"/>
          </w:tcPr>
          <w:p w14:paraId="29E8262D">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丁花沟涵</w:t>
            </w:r>
          </w:p>
        </w:tc>
        <w:tc>
          <w:tcPr>
            <w:tcW w:w="838" w:type="pct"/>
            <w:tcBorders>
              <w:left w:val="single" w:color="auto" w:sz="4" w:space="0"/>
              <w:bottom w:val="single" w:color="auto" w:sz="4" w:space="0"/>
              <w:right w:val="single" w:color="auto" w:sz="4" w:space="0"/>
            </w:tcBorders>
            <w:vAlign w:val="center"/>
          </w:tcPr>
          <w:p w14:paraId="25B11584">
            <w:pPr>
              <w:jc w:val="center"/>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1</w:t>
            </w:r>
          </w:p>
        </w:tc>
        <w:tc>
          <w:tcPr>
            <w:tcW w:w="931" w:type="pct"/>
            <w:tcBorders>
              <w:left w:val="single" w:color="auto" w:sz="4" w:space="0"/>
              <w:bottom w:val="single" w:color="auto" w:sz="4" w:space="0"/>
              <w:right w:val="single" w:color="auto" w:sz="4" w:space="0"/>
            </w:tcBorders>
            <w:vAlign w:val="center"/>
          </w:tcPr>
          <w:p w14:paraId="17412F64">
            <w:pPr>
              <w:spacing w:line="560" w:lineRule="exact"/>
              <w:jc w:val="center"/>
              <w:rPr>
                <w:rFonts w:hint="eastAsia" w:ascii="宋体" w:hAnsi="宋体" w:eastAsia="宋体" w:cs="宋体"/>
                <w:bCs/>
                <w:color w:val="000000" w:themeColor="text1"/>
                <w:szCs w:val="21"/>
                <w:highlight w:val="none"/>
                <w14:textFill>
                  <w14:solidFill>
                    <w14:schemeClr w14:val="tx1"/>
                  </w14:solidFill>
                </w14:textFill>
              </w:rPr>
            </w:pPr>
          </w:p>
        </w:tc>
        <w:tc>
          <w:tcPr>
            <w:tcW w:w="931" w:type="pct"/>
            <w:tcBorders>
              <w:left w:val="single" w:color="auto" w:sz="4" w:space="0"/>
              <w:bottom w:val="single" w:color="auto" w:sz="4" w:space="0"/>
              <w:right w:val="single" w:color="auto" w:sz="4" w:space="0"/>
            </w:tcBorders>
            <w:vAlign w:val="center"/>
          </w:tcPr>
          <w:p w14:paraId="694CE5FA">
            <w:pPr>
              <w:spacing w:line="560" w:lineRule="exact"/>
              <w:jc w:val="center"/>
              <w:rPr>
                <w:rFonts w:hint="eastAsia" w:ascii="宋体" w:hAnsi="宋体" w:eastAsia="宋体" w:cs="宋体"/>
                <w:bCs/>
                <w:color w:val="000000" w:themeColor="text1"/>
                <w:szCs w:val="21"/>
                <w:highlight w:val="none"/>
                <w14:textFill>
                  <w14:solidFill>
                    <w14:schemeClr w14:val="tx1"/>
                  </w14:solidFill>
                </w14:textFill>
              </w:rPr>
            </w:pPr>
          </w:p>
        </w:tc>
        <w:tc>
          <w:tcPr>
            <w:tcW w:w="885" w:type="pct"/>
            <w:vMerge w:val="continue"/>
            <w:tcBorders>
              <w:left w:val="single" w:color="auto" w:sz="4" w:space="0"/>
              <w:right w:val="single" w:color="auto" w:sz="4" w:space="0"/>
            </w:tcBorders>
            <w:vAlign w:val="center"/>
          </w:tcPr>
          <w:p w14:paraId="2A0C2F08">
            <w:pPr>
              <w:spacing w:line="560" w:lineRule="exact"/>
              <w:jc w:val="center"/>
              <w:rPr>
                <w:rFonts w:hint="eastAsia" w:ascii="宋体" w:hAnsi="宋体" w:eastAsia="宋体" w:cs="宋体"/>
                <w:bCs/>
                <w:color w:val="000000" w:themeColor="text1"/>
                <w:szCs w:val="21"/>
                <w:highlight w:val="none"/>
                <w14:textFill>
                  <w14:solidFill>
                    <w14:schemeClr w14:val="tx1"/>
                  </w14:solidFill>
                </w14:textFill>
              </w:rPr>
            </w:pPr>
          </w:p>
        </w:tc>
      </w:tr>
      <w:tr w14:paraId="5737E5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4" w:hRule="atLeast"/>
          <w:jc w:val="center"/>
        </w:trPr>
        <w:tc>
          <w:tcPr>
            <w:tcW w:w="706" w:type="pct"/>
            <w:tcBorders>
              <w:top w:val="single" w:color="auto" w:sz="4" w:space="0"/>
              <w:left w:val="single" w:color="auto" w:sz="4" w:space="0"/>
              <w:bottom w:val="single" w:color="auto" w:sz="4" w:space="0"/>
              <w:right w:val="single" w:color="auto" w:sz="4" w:space="0"/>
            </w:tcBorders>
            <w:vAlign w:val="center"/>
          </w:tcPr>
          <w:p w14:paraId="2262A09D">
            <w:pPr>
              <w:jc w:val="center"/>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8</w:t>
            </w:r>
          </w:p>
        </w:tc>
        <w:tc>
          <w:tcPr>
            <w:tcW w:w="706" w:type="pct"/>
            <w:tcBorders>
              <w:top w:val="single" w:color="auto" w:sz="4" w:space="0"/>
              <w:left w:val="single" w:color="auto" w:sz="4" w:space="0"/>
              <w:bottom w:val="single" w:color="auto" w:sz="4" w:space="0"/>
              <w:right w:val="single" w:color="auto" w:sz="4" w:space="0"/>
            </w:tcBorders>
            <w:vAlign w:val="center"/>
          </w:tcPr>
          <w:p w14:paraId="43629F19">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郎庙涵</w:t>
            </w:r>
          </w:p>
        </w:tc>
        <w:tc>
          <w:tcPr>
            <w:tcW w:w="838" w:type="pct"/>
            <w:tcBorders>
              <w:top w:val="single" w:color="auto" w:sz="4" w:space="0"/>
              <w:left w:val="single" w:color="auto" w:sz="4" w:space="0"/>
              <w:bottom w:val="single" w:color="auto" w:sz="4" w:space="0"/>
              <w:right w:val="single" w:color="auto" w:sz="4" w:space="0"/>
            </w:tcBorders>
            <w:vAlign w:val="center"/>
          </w:tcPr>
          <w:p w14:paraId="7F7A109B">
            <w:pPr>
              <w:jc w:val="center"/>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1</w:t>
            </w:r>
          </w:p>
        </w:tc>
        <w:tc>
          <w:tcPr>
            <w:tcW w:w="931" w:type="pct"/>
            <w:tcBorders>
              <w:top w:val="single" w:color="auto" w:sz="4" w:space="0"/>
              <w:left w:val="single" w:color="auto" w:sz="4" w:space="0"/>
              <w:bottom w:val="single" w:color="auto" w:sz="4" w:space="0"/>
              <w:right w:val="single" w:color="auto" w:sz="4" w:space="0"/>
            </w:tcBorders>
            <w:vAlign w:val="center"/>
          </w:tcPr>
          <w:p w14:paraId="573228C4">
            <w:pPr>
              <w:spacing w:line="560" w:lineRule="exact"/>
              <w:jc w:val="center"/>
              <w:rPr>
                <w:rFonts w:hint="eastAsia" w:ascii="宋体" w:hAnsi="宋体" w:eastAsia="宋体" w:cs="宋体"/>
                <w:bCs/>
                <w:color w:val="000000" w:themeColor="text1"/>
                <w:szCs w:val="21"/>
                <w:highlight w:val="none"/>
                <w14:textFill>
                  <w14:solidFill>
                    <w14:schemeClr w14:val="tx1"/>
                  </w14:solidFill>
                </w14:textFill>
              </w:rPr>
            </w:pPr>
          </w:p>
        </w:tc>
        <w:tc>
          <w:tcPr>
            <w:tcW w:w="931" w:type="pct"/>
            <w:tcBorders>
              <w:top w:val="single" w:color="auto" w:sz="4" w:space="0"/>
              <w:left w:val="single" w:color="auto" w:sz="4" w:space="0"/>
              <w:bottom w:val="single" w:color="auto" w:sz="4" w:space="0"/>
              <w:right w:val="single" w:color="auto" w:sz="4" w:space="0"/>
            </w:tcBorders>
            <w:vAlign w:val="center"/>
          </w:tcPr>
          <w:p w14:paraId="652E7DBC">
            <w:pPr>
              <w:spacing w:line="560" w:lineRule="exact"/>
              <w:jc w:val="center"/>
              <w:rPr>
                <w:rFonts w:hint="eastAsia" w:ascii="宋体" w:hAnsi="宋体" w:eastAsia="宋体" w:cs="宋体"/>
                <w:bCs/>
                <w:color w:val="000000" w:themeColor="text1"/>
                <w:szCs w:val="21"/>
                <w:highlight w:val="none"/>
                <w14:textFill>
                  <w14:solidFill>
                    <w14:schemeClr w14:val="tx1"/>
                  </w14:solidFill>
                </w14:textFill>
              </w:rPr>
            </w:pPr>
          </w:p>
        </w:tc>
        <w:tc>
          <w:tcPr>
            <w:tcW w:w="885" w:type="pct"/>
            <w:vMerge w:val="continue"/>
            <w:tcBorders>
              <w:left w:val="single" w:color="auto" w:sz="4" w:space="0"/>
              <w:right w:val="single" w:color="auto" w:sz="4" w:space="0"/>
            </w:tcBorders>
            <w:vAlign w:val="center"/>
          </w:tcPr>
          <w:p w14:paraId="6F59BF43">
            <w:pPr>
              <w:spacing w:line="560" w:lineRule="exact"/>
              <w:jc w:val="center"/>
              <w:rPr>
                <w:rFonts w:hint="eastAsia" w:ascii="宋体" w:hAnsi="宋体" w:eastAsia="宋体" w:cs="宋体"/>
                <w:bCs/>
                <w:color w:val="000000" w:themeColor="text1"/>
                <w:szCs w:val="21"/>
                <w:highlight w:val="none"/>
                <w14:textFill>
                  <w14:solidFill>
                    <w14:schemeClr w14:val="tx1"/>
                  </w14:solidFill>
                </w14:textFill>
              </w:rPr>
            </w:pPr>
          </w:p>
        </w:tc>
      </w:tr>
      <w:tr w14:paraId="6B473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4" w:hRule="atLeast"/>
          <w:jc w:val="center"/>
        </w:trPr>
        <w:tc>
          <w:tcPr>
            <w:tcW w:w="2250" w:type="pct"/>
            <w:gridSpan w:val="3"/>
            <w:tcBorders>
              <w:top w:val="single" w:color="auto" w:sz="4" w:space="0"/>
              <w:left w:val="single" w:color="auto" w:sz="4" w:space="0"/>
              <w:bottom w:val="single" w:color="auto" w:sz="4" w:space="0"/>
              <w:right w:val="single" w:color="auto" w:sz="4" w:space="0"/>
            </w:tcBorders>
            <w:vAlign w:val="center"/>
          </w:tcPr>
          <w:p w14:paraId="1C209919">
            <w:pPr>
              <w:jc w:val="center"/>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合计（元）</w:t>
            </w:r>
          </w:p>
        </w:tc>
        <w:tc>
          <w:tcPr>
            <w:tcW w:w="931" w:type="pct"/>
            <w:tcBorders>
              <w:top w:val="single" w:color="auto" w:sz="4" w:space="0"/>
              <w:left w:val="single" w:color="auto" w:sz="4" w:space="0"/>
              <w:bottom w:val="single" w:color="auto" w:sz="4" w:space="0"/>
              <w:right w:val="single" w:color="auto" w:sz="4" w:space="0"/>
            </w:tcBorders>
            <w:vAlign w:val="center"/>
          </w:tcPr>
          <w:p w14:paraId="609734AD">
            <w:pPr>
              <w:spacing w:line="560" w:lineRule="exact"/>
              <w:jc w:val="center"/>
              <w:rPr>
                <w:rFonts w:hint="eastAsia" w:ascii="宋体" w:hAnsi="宋体" w:eastAsia="宋体" w:cs="宋体"/>
                <w:bCs/>
                <w:color w:val="000000" w:themeColor="text1"/>
                <w:szCs w:val="21"/>
                <w:highlight w:val="none"/>
                <w14:textFill>
                  <w14:solidFill>
                    <w14:schemeClr w14:val="tx1"/>
                  </w14:solidFill>
                </w14:textFill>
              </w:rPr>
            </w:pPr>
          </w:p>
        </w:tc>
        <w:tc>
          <w:tcPr>
            <w:tcW w:w="931" w:type="pct"/>
            <w:tcBorders>
              <w:top w:val="single" w:color="auto" w:sz="4" w:space="0"/>
              <w:left w:val="single" w:color="auto" w:sz="4" w:space="0"/>
              <w:bottom w:val="single" w:color="auto" w:sz="4" w:space="0"/>
              <w:right w:val="single" w:color="auto" w:sz="4" w:space="0"/>
            </w:tcBorders>
            <w:vAlign w:val="center"/>
          </w:tcPr>
          <w:p w14:paraId="692D5A37">
            <w:pPr>
              <w:spacing w:line="560" w:lineRule="exact"/>
              <w:jc w:val="center"/>
              <w:rPr>
                <w:rFonts w:hint="eastAsia" w:ascii="宋体" w:hAnsi="宋体" w:eastAsia="宋体" w:cs="宋体"/>
                <w:bCs/>
                <w:color w:val="000000" w:themeColor="text1"/>
                <w:szCs w:val="21"/>
                <w:highlight w:val="none"/>
                <w14:textFill>
                  <w14:solidFill>
                    <w14:schemeClr w14:val="tx1"/>
                  </w14:solidFill>
                </w14:textFill>
              </w:rPr>
            </w:pPr>
          </w:p>
        </w:tc>
        <w:tc>
          <w:tcPr>
            <w:tcW w:w="885" w:type="pct"/>
            <w:tcBorders>
              <w:left w:val="single" w:color="auto" w:sz="4" w:space="0"/>
              <w:bottom w:val="single" w:color="auto" w:sz="4" w:space="0"/>
              <w:right w:val="single" w:color="auto" w:sz="4" w:space="0"/>
            </w:tcBorders>
            <w:vAlign w:val="center"/>
          </w:tcPr>
          <w:p w14:paraId="4489BD3D">
            <w:pPr>
              <w:spacing w:line="560" w:lineRule="exact"/>
              <w:jc w:val="center"/>
              <w:rPr>
                <w:rFonts w:hint="eastAsia" w:ascii="宋体" w:hAnsi="宋体" w:eastAsia="宋体" w:cs="宋体"/>
                <w:bCs/>
                <w:color w:val="000000" w:themeColor="text1"/>
                <w:szCs w:val="21"/>
                <w:highlight w:val="none"/>
                <w14:textFill>
                  <w14:solidFill>
                    <w14:schemeClr w14:val="tx1"/>
                  </w14:solidFill>
                </w14:textFill>
              </w:rPr>
            </w:pPr>
          </w:p>
        </w:tc>
      </w:tr>
    </w:tbl>
    <w:p w14:paraId="2FF31649">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5DAE7E52">
      <w:pPr>
        <w:spacing w:line="360" w:lineRule="auto"/>
        <w:ind w:firstLine="4800" w:firstLineChars="20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供应商电子签章：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6AC23593">
      <w:pPr>
        <w:spacing w:line="360" w:lineRule="auto"/>
        <w:ind w:firstLine="4800" w:firstLineChars="20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          期：</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2C64F1A4">
      <w:pPr>
        <w:adjustRightInd w:val="0"/>
        <w:snapToGrid w:val="0"/>
        <w:spacing w:line="360" w:lineRule="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注：</w:t>
      </w:r>
    </w:p>
    <w:p w14:paraId="1BA06810">
      <w:pPr>
        <w:adjustRightInd w:val="0"/>
        <w:snapToGrid w:val="0"/>
        <w:spacing w:line="560" w:lineRule="exact"/>
        <w:ind w:firstLine="482" w:firstLineChars="200"/>
        <w:jc w:val="left"/>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b/>
          <w:bCs/>
          <w:color w:val="FF0000"/>
          <w:kern w:val="0"/>
          <w:sz w:val="24"/>
          <w:szCs w:val="24"/>
          <w:highlight w:val="none"/>
          <w:lang w:val="en-US" w:eastAsia="zh-CN"/>
        </w:rPr>
        <w:t>1.本项目需对所涉及涵闸的全部闸门及启闭机金属结构、机电设备等进行检测、复核计算及评价等；如采用有损检测应在检测完成后由供应商恢复。</w:t>
      </w:r>
    </w:p>
    <w:p w14:paraId="42A366F4">
      <w:pPr>
        <w:adjustRightInd w:val="0"/>
        <w:snapToGrid w:val="0"/>
        <w:spacing w:line="560" w:lineRule="exact"/>
        <w:ind w:firstLine="482" w:firstLineChars="200"/>
        <w:jc w:val="left"/>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b/>
          <w:bCs/>
          <w:color w:val="FF0000"/>
          <w:kern w:val="0"/>
          <w:sz w:val="24"/>
          <w:szCs w:val="24"/>
          <w:highlight w:val="none"/>
          <w:lang w:val="en-US" w:eastAsia="zh-CN"/>
        </w:rPr>
        <w:t>2.为保障洞身等结构有效检测，本项目响应报价包含但不限于涵闸上下游围堰填筑及拆除清理、检修门安装拆除工作等。</w:t>
      </w:r>
    </w:p>
    <w:p w14:paraId="73CB1E87">
      <w:pPr>
        <w:adjustRightInd w:val="0"/>
        <w:snapToGrid w:val="0"/>
        <w:spacing w:line="560" w:lineRule="exact"/>
        <w:ind w:firstLine="482" w:firstLineChars="200"/>
        <w:jc w:val="left"/>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b/>
          <w:bCs/>
          <w:color w:val="FF0000"/>
          <w:kern w:val="0"/>
          <w:sz w:val="24"/>
          <w:szCs w:val="24"/>
          <w:highlight w:val="none"/>
          <w:lang w:val="en-US" w:eastAsia="zh-CN"/>
        </w:rPr>
        <w:t>3.采购需求所列服务为本项目的全部服务内容。如有漏项或缺项，供应商承担全部责任。</w:t>
      </w:r>
    </w:p>
    <w:p w14:paraId="5DF06A8D">
      <w:pPr>
        <w:adjustRightInd w:val="0"/>
        <w:snapToGrid w:val="0"/>
        <w:spacing w:line="360" w:lineRule="auto"/>
        <w:ind w:firstLine="482" w:firstLineChars="200"/>
        <w:rPr>
          <w:rFonts w:hint="eastAsia" w:ascii="宋体" w:hAnsi="宋体" w:eastAsia="宋体" w:cs="宋体"/>
          <w:b/>
          <w:bCs/>
          <w:color w:val="000000" w:themeColor="text1"/>
          <w:sz w:val="24"/>
          <w:szCs w:val="28"/>
          <w:highlight w:val="none"/>
          <w14:textFill>
            <w14:solidFill>
              <w14:schemeClr w14:val="tx1"/>
            </w14:solidFill>
          </w14:textFill>
        </w:rPr>
      </w:pPr>
    </w:p>
    <w:p w14:paraId="65DE6B7E">
      <w:pPr>
        <w:widowControl/>
        <w:jc w:val="left"/>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br w:type="page"/>
      </w:r>
    </w:p>
    <w:p w14:paraId="0D35B554">
      <w:pPr>
        <w:spacing w:line="360" w:lineRule="auto"/>
        <w:jc w:val="center"/>
        <w:outlineLvl w:val="2"/>
        <w:rPr>
          <w:rFonts w:hint="eastAsia" w:ascii="宋体" w:hAnsi="宋体" w:eastAsia="宋体" w:cs="宋体"/>
          <w:b/>
          <w:color w:val="000000" w:themeColor="text1"/>
          <w:sz w:val="24"/>
          <w:highlight w:val="none"/>
          <w14:textFill>
            <w14:solidFill>
              <w14:schemeClr w14:val="tx1"/>
            </w14:solidFill>
          </w14:textFill>
        </w:rPr>
      </w:pPr>
      <w:bookmarkStart w:id="228" w:name="_Toc520983588"/>
      <w:bookmarkStart w:id="229" w:name="_Toc28695"/>
      <w:bookmarkStart w:id="230" w:name="_Toc32436"/>
      <w:r>
        <w:rPr>
          <w:rFonts w:hint="eastAsia" w:ascii="宋体" w:hAnsi="宋体" w:eastAsia="宋体" w:cs="宋体"/>
          <w:b/>
          <w:color w:val="000000" w:themeColor="text1"/>
          <w:sz w:val="24"/>
          <w:highlight w:val="none"/>
          <w:lang w:val="en-US" w:eastAsia="zh-CN"/>
          <w14:textFill>
            <w14:solidFill>
              <w14:schemeClr w14:val="tx1"/>
            </w14:solidFill>
          </w14:textFill>
        </w:rPr>
        <w:t>1-3</w:t>
      </w:r>
      <w:r>
        <w:rPr>
          <w:rFonts w:hint="eastAsia" w:ascii="宋体" w:hAnsi="宋体" w:eastAsia="宋体" w:cs="宋体"/>
          <w:b/>
          <w:color w:val="000000" w:themeColor="text1"/>
          <w:sz w:val="24"/>
          <w:highlight w:val="none"/>
          <w14:textFill>
            <w14:solidFill>
              <w14:schemeClr w14:val="tx1"/>
            </w14:solidFill>
          </w14:textFill>
        </w:rPr>
        <w:t>最后承诺报价表</w:t>
      </w:r>
      <w:bookmarkEnd w:id="228"/>
      <w:bookmarkEnd w:id="229"/>
      <w:bookmarkEnd w:id="230"/>
    </w:p>
    <w:p w14:paraId="682E5168">
      <w:pPr>
        <w:spacing w:before="156" w:beforeLines="50" w:after="156" w:afterLines="50" w:line="360" w:lineRule="auto"/>
        <w:ind w:firstLine="236" w:firstLineChars="98"/>
        <w:jc w:val="center"/>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（第</w:t>
      </w:r>
      <w:r>
        <w:rPr>
          <w:rFonts w:hint="eastAsia" w:ascii="宋体" w:hAnsi="宋体" w:eastAsia="宋体" w:cs="宋体"/>
          <w:b/>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8"/>
          <w:highlight w:val="none"/>
          <w14:textFill>
            <w14:solidFill>
              <w14:schemeClr w14:val="tx1"/>
            </w14:solidFill>
          </w14:textFill>
        </w:rPr>
        <w:t>次报价书）</w:t>
      </w:r>
    </w:p>
    <w:p w14:paraId="1FCD9D70">
      <w:pPr>
        <w:snapToGrid w:val="0"/>
        <w:spacing w:line="360" w:lineRule="auto"/>
        <w:jc w:val="left"/>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项目名称：</w:t>
      </w:r>
      <w:r>
        <w:rPr>
          <w:rFonts w:hint="eastAsia" w:ascii="宋体" w:hAnsi="宋体" w:eastAsia="宋体" w:cs="宋体"/>
          <w:b/>
          <w:color w:val="000000" w:themeColor="text1"/>
          <w:sz w:val="24"/>
          <w:szCs w:val="28"/>
          <w:highlight w:val="none"/>
          <w:u w:val="single"/>
          <w14:textFill>
            <w14:solidFill>
              <w14:schemeClr w14:val="tx1"/>
            </w14:solidFill>
          </w14:textFill>
        </w:rPr>
        <w:t xml:space="preserve">          </w:t>
      </w:r>
    </w:p>
    <w:p w14:paraId="43A6DEF3">
      <w:pPr>
        <w:snapToGrid w:val="0"/>
        <w:spacing w:after="156" w:afterLines="50" w:line="360" w:lineRule="auto"/>
        <w:jc w:val="left"/>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项目编号：</w:t>
      </w:r>
      <w:r>
        <w:rPr>
          <w:rFonts w:hint="eastAsia" w:ascii="宋体" w:hAnsi="宋体" w:eastAsia="宋体" w:cs="宋体"/>
          <w:b/>
          <w:color w:val="000000" w:themeColor="text1"/>
          <w:sz w:val="24"/>
          <w:szCs w:val="28"/>
          <w:highlight w:val="none"/>
          <w:u w:val="single"/>
          <w14:textFill>
            <w14:solidFill>
              <w14:schemeClr w14:val="tx1"/>
            </w14:solidFill>
          </w14:textFill>
        </w:rPr>
        <w:t xml:space="preserve">          </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0900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2DDCE2A">
            <w:pPr>
              <w:spacing w:line="360" w:lineRule="auto"/>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供应商名称</w:t>
            </w:r>
          </w:p>
        </w:tc>
        <w:tc>
          <w:tcPr>
            <w:tcW w:w="3557" w:type="pct"/>
            <w:tcBorders>
              <w:left w:val="single" w:color="auto" w:sz="4" w:space="0"/>
            </w:tcBorders>
          </w:tcPr>
          <w:p w14:paraId="34DCA7E0">
            <w:pPr>
              <w:spacing w:line="360" w:lineRule="auto"/>
              <w:rPr>
                <w:rFonts w:hint="eastAsia" w:ascii="宋体" w:hAnsi="宋体" w:eastAsia="宋体" w:cs="宋体"/>
                <w:b/>
                <w:color w:val="000000" w:themeColor="text1"/>
                <w:sz w:val="24"/>
                <w:highlight w:val="none"/>
                <w14:textFill>
                  <w14:solidFill>
                    <w14:schemeClr w14:val="tx1"/>
                  </w14:solidFill>
                </w14:textFill>
              </w:rPr>
            </w:pPr>
          </w:p>
        </w:tc>
      </w:tr>
      <w:tr w14:paraId="65CB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532ED831">
            <w:pPr>
              <w:spacing w:line="360" w:lineRule="exact"/>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磋商</w:t>
            </w:r>
            <w:r>
              <w:rPr>
                <w:rFonts w:hint="eastAsia" w:ascii="宋体" w:hAnsi="宋体" w:eastAsia="宋体" w:cs="宋体"/>
                <w:b/>
                <w:color w:val="000000" w:themeColor="text1"/>
                <w:sz w:val="24"/>
                <w:highlight w:val="none"/>
                <w14:textFill>
                  <w14:solidFill>
                    <w14:schemeClr w14:val="tx1"/>
                  </w14:solidFill>
                </w14:textFill>
              </w:rPr>
              <w:t>范围</w:t>
            </w:r>
          </w:p>
        </w:tc>
        <w:tc>
          <w:tcPr>
            <w:tcW w:w="3557" w:type="pct"/>
            <w:tcBorders>
              <w:left w:val="single" w:color="auto" w:sz="4" w:space="0"/>
            </w:tcBorders>
            <w:vAlign w:val="center"/>
          </w:tcPr>
          <w:p w14:paraId="02C8B75C">
            <w:pPr>
              <w:widowControl/>
              <w:spacing w:line="360" w:lineRule="exac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全部</w:t>
            </w:r>
          </w:p>
        </w:tc>
      </w:tr>
      <w:tr w14:paraId="5CAA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4D085EC3">
            <w:pPr>
              <w:spacing w:line="360" w:lineRule="auto"/>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最后报价</w:t>
            </w:r>
          </w:p>
          <w:p w14:paraId="6A23D7BD">
            <w:pPr>
              <w:spacing w:line="360" w:lineRule="auto"/>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（详见备注说明）</w:t>
            </w:r>
          </w:p>
        </w:tc>
        <w:tc>
          <w:tcPr>
            <w:tcW w:w="3557" w:type="pct"/>
            <w:vAlign w:val="center"/>
          </w:tcPr>
          <w:p w14:paraId="2177E73E">
            <w:pPr>
              <w:snapToGrid w:val="0"/>
              <w:spacing w:line="360" w:lineRule="auto"/>
              <w:rPr>
                <w:rFonts w:hint="eastAsia" w:ascii="宋体" w:hAnsi="宋体" w:eastAsia="宋体" w:cs="宋体"/>
                <w:color w:val="000000" w:themeColor="text1"/>
                <w:sz w:val="24"/>
                <w:szCs w:val="28"/>
                <w:highlight w:val="none"/>
                <w14:textFill>
                  <w14:solidFill>
                    <w14:schemeClr w14:val="tx1"/>
                  </w14:solidFill>
                </w14:textFill>
              </w:rPr>
            </w:pPr>
          </w:p>
          <w:p w14:paraId="7287BB83">
            <w:pPr>
              <w:snapToGrid w:val="0"/>
              <w:spacing w:line="360" w:lineRule="auto"/>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人民币大写：</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4F94AC01">
            <w:pPr>
              <w:spacing w:line="360" w:lineRule="auto"/>
              <w:ind w:right="-67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人民币小写</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元）</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tc>
      </w:tr>
      <w:tr w14:paraId="1BFF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1443" w:type="pct"/>
            <w:vAlign w:val="center"/>
          </w:tcPr>
          <w:p w14:paraId="798EF491">
            <w:pPr>
              <w:spacing w:line="360" w:lineRule="auto"/>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备注说明</w:t>
            </w:r>
          </w:p>
        </w:tc>
        <w:tc>
          <w:tcPr>
            <w:tcW w:w="3557" w:type="pct"/>
          </w:tcPr>
          <w:p w14:paraId="5A08B2CE">
            <w:pPr>
              <w:spacing w:line="360" w:lineRule="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i/>
                <w:color w:val="000000" w:themeColor="text1"/>
                <w:sz w:val="24"/>
                <w:highlight w:val="none"/>
                <w14:textFill>
                  <w14:solidFill>
                    <w14:schemeClr w14:val="tx1"/>
                  </w14:solidFill>
                </w14:textFill>
              </w:rPr>
              <w:t>（此处可补充磋商小组根据与供应商磋商情况变动的磋商文件的内容，包括采购需求中的技术、服务要求以及合同草案条款。）</w:t>
            </w:r>
          </w:p>
        </w:tc>
      </w:tr>
      <w:tr w14:paraId="5DF3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43" w:type="pct"/>
            <w:vAlign w:val="center"/>
          </w:tcPr>
          <w:p w14:paraId="65AC5194">
            <w:pPr>
              <w:spacing w:line="360" w:lineRule="auto"/>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磋商小组签字</w:t>
            </w:r>
          </w:p>
        </w:tc>
        <w:tc>
          <w:tcPr>
            <w:tcW w:w="3557" w:type="pct"/>
          </w:tcPr>
          <w:p w14:paraId="270AA4FD">
            <w:pPr>
              <w:spacing w:line="360" w:lineRule="auto"/>
              <w:rPr>
                <w:rFonts w:hint="eastAsia" w:ascii="宋体" w:hAnsi="宋体" w:eastAsia="宋体" w:cs="宋体"/>
                <w:b/>
                <w:color w:val="000000" w:themeColor="text1"/>
                <w:sz w:val="24"/>
                <w:highlight w:val="none"/>
                <w14:textFill>
                  <w14:solidFill>
                    <w14:schemeClr w14:val="tx1"/>
                  </w14:solidFill>
                </w14:textFill>
              </w:rPr>
            </w:pPr>
          </w:p>
        </w:tc>
      </w:tr>
    </w:tbl>
    <w:p w14:paraId="189F5F28">
      <w:pPr>
        <w:spacing w:line="360" w:lineRule="auto"/>
        <w:ind w:firstLine="3600" w:firstLineChars="15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供应商公章或授权代表签字：</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6D4AD9DE">
      <w:pPr>
        <w:spacing w:line="360" w:lineRule="auto"/>
        <w:ind w:firstLine="4800" w:firstLineChars="20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          期：</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23AA96F2">
      <w:pPr>
        <w:adjustRightInd w:val="0"/>
        <w:snapToGrid w:val="0"/>
        <w:spacing w:line="360" w:lineRule="auto"/>
        <w:rPr>
          <w:rFonts w:hint="eastAsia"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14:textFill>
            <w14:solidFill>
              <w14:schemeClr w14:val="tx1"/>
            </w14:solidFill>
          </w14:textFill>
        </w:rPr>
        <w:t>注：</w:t>
      </w:r>
    </w:p>
    <w:p w14:paraId="3C5E8CD6">
      <w:pPr>
        <w:spacing w:line="360" w:lineRule="auto"/>
        <w:ind w:firstLine="482"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bookmarkStart w:id="231" w:name="_Toc32385"/>
      <w:bookmarkStart w:id="232" w:name="_Toc11500"/>
      <w:bookmarkStart w:id="233" w:name="_Toc520983591"/>
      <w:r>
        <w:rPr>
          <w:rFonts w:hint="eastAsia" w:ascii="宋体" w:hAnsi="宋体" w:eastAsia="宋体" w:cs="宋体"/>
          <w:b/>
          <w:bCs/>
          <w:color w:val="000000" w:themeColor="text1"/>
          <w:sz w:val="24"/>
          <w:szCs w:val="24"/>
          <w:highlight w:val="none"/>
          <w14:textFill>
            <w14:solidFill>
              <w14:schemeClr w14:val="tx1"/>
            </w14:solidFill>
          </w14:textFill>
        </w:rPr>
        <w:t>1.本页《报价表》由供应商在接到报价通知后依据磋商情况填写,并在规定</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30分钟</w:t>
      </w:r>
      <w:r>
        <w:rPr>
          <w:rFonts w:hint="eastAsia" w:ascii="宋体" w:hAnsi="宋体" w:eastAsia="宋体" w:cs="宋体"/>
          <w:b/>
          <w:bCs/>
          <w:color w:val="000000" w:themeColor="text1"/>
          <w:sz w:val="24"/>
          <w:szCs w:val="24"/>
          <w:highlight w:val="none"/>
          <w14:textFill>
            <w14:solidFill>
              <w14:schemeClr w14:val="tx1"/>
            </w14:solidFill>
          </w14:textFill>
        </w:rPr>
        <w:t>内提交。</w:t>
      </w:r>
      <w:r>
        <w:rPr>
          <w:rFonts w:hint="eastAsia" w:ascii="宋体" w:hAnsi="宋体" w:eastAsia="宋体" w:cs="宋体"/>
          <w:color w:val="000000" w:themeColor="text1"/>
          <w:sz w:val="24"/>
          <w:szCs w:val="24"/>
          <w:highlight w:val="none"/>
          <w14:textFill>
            <w14:solidFill>
              <w14:schemeClr w14:val="tx1"/>
            </w14:solidFill>
          </w14:textFill>
        </w:rPr>
        <w:t>考虑磋商报价的方便，供应商在填写最后承诺报价后，（第一次报价-最后承诺报价）除以第一次报价后得出的优惠率视同为需求表中全部分项设备、</w:t>
      </w:r>
      <w:r>
        <w:rPr>
          <w:rFonts w:hint="eastAsia" w:ascii="宋体" w:hAnsi="宋体" w:eastAsia="宋体" w:cs="宋体"/>
          <w:color w:val="000000" w:themeColor="text1"/>
          <w:sz w:val="24"/>
          <w:szCs w:val="24"/>
          <w:highlight w:val="none"/>
          <w:lang w:val="en-US" w:eastAsia="zh-CN"/>
          <w14:textFill>
            <w14:solidFill>
              <w14:schemeClr w14:val="tx1"/>
            </w14:solidFill>
          </w14:textFill>
        </w:rPr>
        <w:t>工作量的</w:t>
      </w:r>
      <w:r>
        <w:rPr>
          <w:rFonts w:hint="eastAsia" w:ascii="宋体" w:hAnsi="宋体" w:eastAsia="宋体" w:cs="宋体"/>
          <w:color w:val="000000" w:themeColor="text1"/>
          <w:sz w:val="24"/>
          <w:szCs w:val="24"/>
          <w:highlight w:val="none"/>
          <w14:textFill>
            <w14:solidFill>
              <w14:schemeClr w14:val="tx1"/>
            </w14:solidFill>
          </w14:textFill>
        </w:rPr>
        <w:t>优惠浮动值（特定分项优惠除外）。</w:t>
      </w:r>
      <w:r>
        <w:rPr>
          <w:rFonts w:hint="eastAsia" w:ascii="宋体" w:hAnsi="宋体" w:eastAsia="宋体" w:cs="宋体"/>
          <w:bCs/>
          <w:color w:val="000000" w:themeColor="text1"/>
          <w:sz w:val="24"/>
          <w:szCs w:val="24"/>
          <w:highlight w:val="none"/>
          <w14:textFill>
            <w14:solidFill>
              <w14:schemeClr w14:val="tx1"/>
            </w14:solidFill>
          </w14:textFill>
        </w:rPr>
        <w:t>此优惠率调整原则适用于合同内价格的计算及项目增减、变更时价格的计算。</w:t>
      </w:r>
    </w:p>
    <w:p w14:paraId="00170D94">
      <w:pPr>
        <w:spacing w:line="360" w:lineRule="auto"/>
        <w:ind w:firstLine="482"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2.如按照上述原则存在部分分项报价无法取整，合同价格按照最终承诺报价不变双方协商后修正部分分项报价单价</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并将调整后的分项单价作为结算依据</w:t>
      </w:r>
      <w:r>
        <w:rPr>
          <w:rFonts w:hint="eastAsia" w:ascii="宋体" w:hAnsi="宋体" w:eastAsia="宋体" w:cs="宋体"/>
          <w:b/>
          <w:bCs/>
          <w:color w:val="000000" w:themeColor="text1"/>
          <w:sz w:val="24"/>
          <w:szCs w:val="24"/>
          <w:highlight w:val="none"/>
          <w14:textFill>
            <w14:solidFill>
              <w14:schemeClr w14:val="tx1"/>
            </w14:solidFill>
          </w14:textFill>
        </w:rPr>
        <w:t>。</w:t>
      </w:r>
    </w:p>
    <w:p w14:paraId="1880DA6E">
      <w:pPr>
        <w:spacing w:line="360" w:lineRule="auto"/>
        <w:ind w:firstLine="482"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3.表中大写金额与小写金额不一致的，以大写金额为准。</w:t>
      </w:r>
    </w:p>
    <w:p w14:paraId="70B1D127">
      <w:pPr>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br w:type="page"/>
      </w:r>
    </w:p>
    <w:p w14:paraId="6C2CFFDF">
      <w:pPr>
        <w:spacing w:line="360" w:lineRule="auto"/>
        <w:jc w:val="center"/>
        <w:outlineLvl w:val="1"/>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二</w:t>
      </w:r>
      <w:r>
        <w:rPr>
          <w:rFonts w:hint="eastAsia" w:ascii="宋体" w:hAnsi="宋体" w:eastAsia="宋体" w:cs="宋体"/>
          <w:b/>
          <w:color w:val="000000" w:themeColor="text1"/>
          <w:sz w:val="24"/>
          <w:highlight w:val="none"/>
          <w14:textFill>
            <w14:solidFill>
              <w14:schemeClr w14:val="tx1"/>
            </w14:solidFill>
          </w14:textFill>
        </w:rPr>
        <w:t>、磋商响应函</w:t>
      </w:r>
      <w:bookmarkEnd w:id="231"/>
      <w:bookmarkEnd w:id="232"/>
      <w:bookmarkEnd w:id="233"/>
    </w:p>
    <w:p w14:paraId="23603386">
      <w:pPr>
        <w:pStyle w:val="13"/>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致：采购人</w:t>
      </w:r>
    </w:p>
    <w:p w14:paraId="5EB058A0">
      <w:pPr>
        <w:spacing w:line="360" w:lineRule="auto"/>
        <w:ind w:firstLine="480" w:firstLineChars="200"/>
        <w:rPr>
          <w:rFonts w:hint="eastAsia" w:ascii="宋体" w:hAnsi="宋体" w:eastAsia="宋体" w:cs="宋体"/>
          <w:dstrike/>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根据贵方的</w:t>
      </w:r>
      <w:bookmarkStart w:id="234" w:name="_Hlk44287543"/>
      <w:r>
        <w:rPr>
          <w:rFonts w:hint="eastAsia" w:ascii="宋体" w:hAnsi="宋体" w:eastAsia="宋体" w:cs="宋体"/>
          <w:color w:val="000000" w:themeColor="text1"/>
          <w:sz w:val="24"/>
          <w:highlight w:val="none"/>
          <w14:textFill>
            <w14:solidFill>
              <w14:schemeClr w14:val="tx1"/>
            </w14:solidFill>
          </w14:textFill>
        </w:rPr>
        <w:t>竞争性磋商公告和磋商邀请</w:t>
      </w:r>
      <w:bookmarkEnd w:id="234"/>
      <w:r>
        <w:rPr>
          <w:rFonts w:hint="eastAsia" w:ascii="宋体" w:hAnsi="宋体" w:eastAsia="宋体" w:cs="宋体"/>
          <w:color w:val="000000" w:themeColor="text1"/>
          <w:sz w:val="24"/>
          <w:highlight w:val="none"/>
          <w14:textFill>
            <w14:solidFill>
              <w14:schemeClr w14:val="tx1"/>
            </w14:solidFill>
          </w14:textFill>
        </w:rPr>
        <w:t>，我方兹宣布同意如下：</w:t>
      </w:r>
    </w:p>
    <w:p w14:paraId="3782B4AF">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我方根据磋商文件的规定，严格履行合同的责任和义务,并保证于买方要求的日期内完成，并通过买方验收。</w:t>
      </w:r>
    </w:p>
    <w:p w14:paraId="17DF81ED">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2.我方已详细审核全部磋商文件，包括磋商文件附件及更正公告（如有），我方正式认可并遵守本次磋商文件，并对磋商文件各项条款、规定及要求均无异议。</w:t>
      </w:r>
    </w:p>
    <w:p w14:paraId="0FF3804D">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3.我方同意从磋商文件规定的磋商日期起遵循本磋商文件，并在磋商文件规定的磋商有效期之前均具有约束力。</w:t>
      </w:r>
    </w:p>
    <w:p w14:paraId="7FF20D7E">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我方声明响应文件所提供的一切资料均真实无误、及时、有效，企业运营正常。由于我方提供资料不实而造成的责任和后果由我方承担。我方同意按照贵方提出的要求，提供与磋商有关的任何证据、数据或资料。</w:t>
      </w:r>
    </w:p>
    <w:p w14:paraId="01FC69AF">
      <w:pPr>
        <w:spacing w:line="360" w:lineRule="auto"/>
        <w:ind w:firstLine="435"/>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我方</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承诺</w:t>
      </w:r>
      <w:r>
        <w:rPr>
          <w:rFonts w:hint="eastAsia" w:ascii="宋体" w:hAnsi="宋体" w:eastAsia="宋体" w:cs="宋体"/>
          <w:b/>
          <w:bCs/>
          <w:color w:val="000000" w:themeColor="text1"/>
          <w:sz w:val="24"/>
          <w:szCs w:val="24"/>
          <w:highlight w:val="none"/>
          <w14:textFill>
            <w14:solidFill>
              <w14:schemeClr w14:val="tx1"/>
            </w14:solidFill>
          </w14:textFill>
        </w:rPr>
        <w:t>在本项目响应中提供的投标授权委托代理人，以及</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b/>
          <w:bCs/>
          <w:color w:val="000000" w:themeColor="text1"/>
          <w:sz w:val="24"/>
          <w:szCs w:val="24"/>
          <w:highlight w:val="none"/>
          <w14:textFill>
            <w14:solidFill>
              <w14:schemeClr w14:val="tx1"/>
            </w14:solidFill>
          </w14:textFill>
        </w:rPr>
        <w:t>文件中确定的项目管理</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及服务</w:t>
      </w:r>
      <w:r>
        <w:rPr>
          <w:rFonts w:hint="eastAsia" w:ascii="宋体" w:hAnsi="宋体" w:eastAsia="宋体" w:cs="宋体"/>
          <w:b/>
          <w:bCs/>
          <w:color w:val="000000" w:themeColor="text1"/>
          <w:sz w:val="24"/>
          <w:szCs w:val="24"/>
          <w:highlight w:val="none"/>
          <w14:textFill>
            <w14:solidFill>
              <w14:schemeClr w14:val="tx1"/>
            </w14:solidFill>
          </w14:textFill>
        </w:rPr>
        <w:t>人员，均与我单位具有劳动合同关系、且已依法缴纳社会保险。</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成交后如发现有虚假承诺，</w:t>
      </w:r>
      <w:r>
        <w:rPr>
          <w:rFonts w:hint="eastAsia" w:ascii="宋体" w:hAnsi="宋体" w:eastAsia="宋体" w:cs="宋体"/>
          <w:b/>
          <w:bCs/>
          <w:color w:val="000000" w:themeColor="text1"/>
          <w:sz w:val="24"/>
          <w:szCs w:val="24"/>
          <w:highlight w:val="none"/>
          <w14:textFill>
            <w14:solidFill>
              <w14:schemeClr w14:val="tx1"/>
            </w14:solidFill>
          </w14:textFill>
        </w:rPr>
        <w:t>采购人有权解除合同，并追究违约责任，同时将相关违约行为报送监管部门，记不良行为记录，实施信用惩戒</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14:paraId="19A66B09">
      <w:pPr>
        <w:pStyle w:val="6"/>
        <w:rPr>
          <w:rFonts w:hint="eastAsia" w:ascii="宋体" w:hAnsi="宋体" w:eastAsia="宋体" w:cs="宋体"/>
          <w:color w:val="000000" w:themeColor="text1"/>
          <w:highlight w:val="none"/>
          <w14:textFill>
            <w14:solidFill>
              <w14:schemeClr w14:val="tx1"/>
            </w14:solidFill>
          </w14:textFill>
        </w:rPr>
      </w:pPr>
    </w:p>
    <w:p w14:paraId="10DE3BE3">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6EE0407A">
      <w:pPr>
        <w:spacing w:line="360" w:lineRule="auto"/>
        <w:ind w:firstLine="4800" w:firstLineChars="20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供应商电子签章：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6B924975">
      <w:pPr>
        <w:spacing w:line="360" w:lineRule="auto"/>
        <w:ind w:firstLine="4800" w:firstLineChars="20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          期：</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05D05986">
      <w:pPr>
        <w:widowControl/>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14:paraId="1BE12F69">
      <w:pPr>
        <w:spacing w:line="360" w:lineRule="auto"/>
        <w:jc w:val="center"/>
        <w:outlineLvl w:val="1"/>
        <w:rPr>
          <w:rFonts w:hint="eastAsia" w:ascii="宋体" w:hAnsi="宋体" w:eastAsia="宋体" w:cs="宋体"/>
          <w:b/>
          <w:color w:val="000000" w:themeColor="text1"/>
          <w:sz w:val="24"/>
          <w:highlight w:val="none"/>
          <w14:textFill>
            <w14:solidFill>
              <w14:schemeClr w14:val="tx1"/>
            </w14:solidFill>
          </w14:textFill>
        </w:rPr>
      </w:pPr>
      <w:bookmarkStart w:id="235" w:name="_Toc21328"/>
      <w:r>
        <w:rPr>
          <w:rFonts w:hint="eastAsia" w:ascii="宋体" w:hAnsi="宋体" w:eastAsia="宋体" w:cs="宋体"/>
          <w:b/>
          <w:color w:val="000000" w:themeColor="text1"/>
          <w:sz w:val="24"/>
          <w:highlight w:val="none"/>
          <w:lang w:val="en-US" w:eastAsia="zh-CN"/>
          <w14:textFill>
            <w14:solidFill>
              <w14:schemeClr w14:val="tx1"/>
            </w14:solidFill>
          </w14:textFill>
        </w:rPr>
        <w:t>三</w:t>
      </w:r>
      <w:r>
        <w:rPr>
          <w:rFonts w:hint="eastAsia" w:ascii="宋体" w:hAnsi="宋体" w:eastAsia="宋体" w:cs="宋体"/>
          <w:b/>
          <w:color w:val="000000" w:themeColor="text1"/>
          <w:sz w:val="24"/>
          <w:highlight w:val="none"/>
          <w14:textFill>
            <w14:solidFill>
              <w14:schemeClr w14:val="tx1"/>
            </w14:solidFill>
          </w14:textFill>
        </w:rPr>
        <w:t>、供应商资格声明书</w:t>
      </w:r>
      <w:bookmarkEnd w:id="235"/>
    </w:p>
    <w:p w14:paraId="758A2A9F">
      <w:pPr>
        <w:pStyle w:val="13"/>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致：采购人</w:t>
      </w:r>
    </w:p>
    <w:p w14:paraId="2F0BFEA5">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在参与本次项目磋商中，我单位承诺：</w:t>
      </w:r>
    </w:p>
    <w:p w14:paraId="271D9EFE">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（一）具有良好的商业信誉和健全的财务会计制度；</w:t>
      </w:r>
    </w:p>
    <w:p w14:paraId="057FF4DA">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（二）具有履行合同所必需的设备和专业技术能力；</w:t>
      </w:r>
    </w:p>
    <w:p w14:paraId="072B3B20">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（三）有依法缴纳税收和社会保障资金的良好记录；</w:t>
      </w:r>
    </w:p>
    <w:p w14:paraId="1E5D0505">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44B8201">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（五）我单位不存在为采购项目提供整体设计、规范编制或者项目管理、监理、检测等服务后，再参加该采购项目的其他采购活动的情形（单一来源采购项目除外）；</w:t>
      </w:r>
    </w:p>
    <w:p w14:paraId="6B403F2A">
      <w:pPr>
        <w:widowControl/>
        <w:spacing w:line="360" w:lineRule="auto"/>
        <w:ind w:firstLine="480" w:firstLineChars="200"/>
        <w:jc w:val="left"/>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（六）与我单位存在单位负责人为同一人或者存在直接控股、管理关系的其他法人单位信息如下（如有，不论其是否参加同一合同项下的政府采购活动均须填写）：</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14:paraId="2857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55C92340">
            <w:pPr>
              <w:widowControl/>
              <w:spacing w:line="360" w:lineRule="auto"/>
              <w:jc w:val="center"/>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序号</w:t>
            </w:r>
          </w:p>
        </w:tc>
        <w:tc>
          <w:tcPr>
            <w:tcW w:w="4501" w:type="dxa"/>
          </w:tcPr>
          <w:p w14:paraId="64588C7F">
            <w:pPr>
              <w:pStyle w:val="8"/>
              <w:jc w:val="center"/>
              <w:rPr>
                <w:rFonts w:hint="eastAsia" w:ascii="宋体" w:hAnsi="宋体" w:eastAsia="宋体" w:cs="宋体"/>
                <w:color w:val="000000" w:themeColor="text1"/>
                <w:kern w:val="0"/>
                <w:sz w:val="24"/>
                <w:highlight w:val="none"/>
                <w:lang w:val="en-US" w:bidi="ar"/>
                <w14:textFill>
                  <w14:solidFill>
                    <w14:schemeClr w14:val="tx1"/>
                  </w14:solidFill>
                </w14:textFill>
              </w:rPr>
            </w:pPr>
            <w:r>
              <w:rPr>
                <w:rFonts w:hint="eastAsia" w:ascii="宋体" w:hAnsi="宋体" w:eastAsia="宋体" w:cs="宋体"/>
                <w:color w:val="000000" w:themeColor="text1"/>
                <w:kern w:val="0"/>
                <w:sz w:val="24"/>
                <w:highlight w:val="none"/>
                <w:lang w:val="en-US" w:bidi="ar"/>
                <w14:textFill>
                  <w14:solidFill>
                    <w14:schemeClr w14:val="tx1"/>
                  </w14:solidFill>
                </w14:textFill>
              </w:rPr>
              <w:t>单位名称</w:t>
            </w:r>
          </w:p>
        </w:tc>
        <w:tc>
          <w:tcPr>
            <w:tcW w:w="2681" w:type="dxa"/>
          </w:tcPr>
          <w:p w14:paraId="139441A8">
            <w:pPr>
              <w:pStyle w:val="8"/>
              <w:jc w:val="center"/>
              <w:rPr>
                <w:rFonts w:hint="eastAsia" w:ascii="宋体" w:hAnsi="宋体" w:eastAsia="宋体" w:cs="宋体"/>
                <w:color w:val="000000" w:themeColor="text1"/>
                <w:kern w:val="0"/>
                <w:sz w:val="24"/>
                <w:highlight w:val="none"/>
                <w:lang w:val="en-US" w:bidi="ar"/>
                <w14:textFill>
                  <w14:solidFill>
                    <w14:schemeClr w14:val="tx1"/>
                  </w14:solidFill>
                </w14:textFill>
              </w:rPr>
            </w:pPr>
            <w:r>
              <w:rPr>
                <w:rFonts w:hint="eastAsia" w:ascii="宋体" w:hAnsi="宋体" w:eastAsia="宋体" w:cs="宋体"/>
                <w:color w:val="000000" w:themeColor="text1"/>
                <w:kern w:val="0"/>
                <w:sz w:val="24"/>
                <w:highlight w:val="none"/>
                <w:lang w:val="en-US" w:bidi="ar"/>
                <w14:textFill>
                  <w14:solidFill>
                    <w14:schemeClr w14:val="tx1"/>
                  </w14:solidFill>
                </w14:textFill>
              </w:rPr>
              <w:t>相互关系</w:t>
            </w:r>
          </w:p>
        </w:tc>
      </w:tr>
      <w:tr w14:paraId="1510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2FCBB312">
            <w:pPr>
              <w:pStyle w:val="8"/>
              <w:jc w:val="center"/>
              <w:rPr>
                <w:rFonts w:hint="eastAsia" w:ascii="宋体" w:hAnsi="宋体" w:eastAsia="宋体" w:cs="宋体"/>
                <w:color w:val="000000" w:themeColor="text1"/>
                <w:kern w:val="0"/>
                <w:sz w:val="24"/>
                <w:highlight w:val="none"/>
                <w:lang w:val="en-US" w:bidi="ar"/>
                <w14:textFill>
                  <w14:solidFill>
                    <w14:schemeClr w14:val="tx1"/>
                  </w14:solidFill>
                </w14:textFill>
              </w:rPr>
            </w:pPr>
            <w:r>
              <w:rPr>
                <w:rFonts w:hint="eastAsia" w:ascii="宋体" w:hAnsi="宋体" w:eastAsia="宋体" w:cs="宋体"/>
                <w:color w:val="000000" w:themeColor="text1"/>
                <w:kern w:val="0"/>
                <w:sz w:val="24"/>
                <w:highlight w:val="none"/>
                <w:lang w:val="en-US" w:bidi="ar"/>
                <w14:textFill>
                  <w14:solidFill>
                    <w14:schemeClr w14:val="tx1"/>
                  </w14:solidFill>
                </w14:textFill>
              </w:rPr>
              <w:t>1</w:t>
            </w:r>
          </w:p>
        </w:tc>
        <w:tc>
          <w:tcPr>
            <w:tcW w:w="4501" w:type="dxa"/>
          </w:tcPr>
          <w:p w14:paraId="0DB81A22">
            <w:pPr>
              <w:pStyle w:val="8"/>
              <w:jc w:val="center"/>
              <w:rPr>
                <w:rFonts w:hint="eastAsia" w:ascii="宋体" w:hAnsi="宋体" w:eastAsia="宋体" w:cs="宋体"/>
                <w:color w:val="000000" w:themeColor="text1"/>
                <w:kern w:val="0"/>
                <w:sz w:val="24"/>
                <w:highlight w:val="none"/>
                <w:lang w:val="en-US" w:bidi="ar"/>
                <w14:textFill>
                  <w14:solidFill>
                    <w14:schemeClr w14:val="tx1"/>
                  </w14:solidFill>
                </w14:textFill>
              </w:rPr>
            </w:pPr>
          </w:p>
        </w:tc>
        <w:tc>
          <w:tcPr>
            <w:tcW w:w="2681" w:type="dxa"/>
          </w:tcPr>
          <w:p w14:paraId="5DE76A5F">
            <w:pPr>
              <w:pStyle w:val="8"/>
              <w:jc w:val="center"/>
              <w:rPr>
                <w:rFonts w:hint="eastAsia" w:ascii="宋体" w:hAnsi="宋体" w:eastAsia="宋体" w:cs="宋体"/>
                <w:color w:val="000000" w:themeColor="text1"/>
                <w:kern w:val="0"/>
                <w:sz w:val="24"/>
                <w:highlight w:val="none"/>
                <w:lang w:val="en-US" w:bidi="ar"/>
                <w14:textFill>
                  <w14:solidFill>
                    <w14:schemeClr w14:val="tx1"/>
                  </w14:solidFill>
                </w14:textFill>
              </w:rPr>
            </w:pPr>
          </w:p>
        </w:tc>
      </w:tr>
      <w:tr w14:paraId="7285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14ED08CB">
            <w:pPr>
              <w:pStyle w:val="8"/>
              <w:jc w:val="center"/>
              <w:rPr>
                <w:rFonts w:hint="eastAsia" w:ascii="宋体" w:hAnsi="宋体" w:eastAsia="宋体" w:cs="宋体"/>
                <w:color w:val="000000" w:themeColor="text1"/>
                <w:kern w:val="0"/>
                <w:sz w:val="24"/>
                <w:highlight w:val="none"/>
                <w:lang w:val="en-US" w:bidi="ar"/>
                <w14:textFill>
                  <w14:solidFill>
                    <w14:schemeClr w14:val="tx1"/>
                  </w14:solidFill>
                </w14:textFill>
              </w:rPr>
            </w:pPr>
            <w:r>
              <w:rPr>
                <w:rFonts w:hint="eastAsia" w:ascii="宋体" w:hAnsi="宋体" w:eastAsia="宋体" w:cs="宋体"/>
                <w:color w:val="000000" w:themeColor="text1"/>
                <w:kern w:val="0"/>
                <w:sz w:val="24"/>
                <w:highlight w:val="none"/>
                <w:lang w:val="en-US" w:bidi="ar"/>
                <w14:textFill>
                  <w14:solidFill>
                    <w14:schemeClr w14:val="tx1"/>
                  </w14:solidFill>
                </w14:textFill>
              </w:rPr>
              <w:t>2</w:t>
            </w:r>
          </w:p>
        </w:tc>
        <w:tc>
          <w:tcPr>
            <w:tcW w:w="4501" w:type="dxa"/>
          </w:tcPr>
          <w:p w14:paraId="55848036">
            <w:pPr>
              <w:pStyle w:val="8"/>
              <w:jc w:val="center"/>
              <w:rPr>
                <w:rFonts w:hint="eastAsia" w:ascii="宋体" w:hAnsi="宋体" w:eastAsia="宋体" w:cs="宋体"/>
                <w:color w:val="000000" w:themeColor="text1"/>
                <w:kern w:val="0"/>
                <w:sz w:val="24"/>
                <w:highlight w:val="none"/>
                <w:lang w:val="en-US" w:bidi="ar"/>
                <w14:textFill>
                  <w14:solidFill>
                    <w14:schemeClr w14:val="tx1"/>
                  </w14:solidFill>
                </w14:textFill>
              </w:rPr>
            </w:pPr>
          </w:p>
        </w:tc>
        <w:tc>
          <w:tcPr>
            <w:tcW w:w="2681" w:type="dxa"/>
          </w:tcPr>
          <w:p w14:paraId="56CAD127">
            <w:pPr>
              <w:pStyle w:val="8"/>
              <w:jc w:val="center"/>
              <w:rPr>
                <w:rFonts w:hint="eastAsia" w:ascii="宋体" w:hAnsi="宋体" w:eastAsia="宋体" w:cs="宋体"/>
                <w:color w:val="000000" w:themeColor="text1"/>
                <w:kern w:val="0"/>
                <w:sz w:val="24"/>
                <w:highlight w:val="none"/>
                <w:lang w:val="en-US" w:bidi="ar"/>
                <w14:textFill>
                  <w14:solidFill>
                    <w14:schemeClr w14:val="tx1"/>
                  </w14:solidFill>
                </w14:textFill>
              </w:rPr>
            </w:pPr>
          </w:p>
        </w:tc>
      </w:tr>
    </w:tbl>
    <w:p w14:paraId="129B81A0">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本单位对上述声明的真实性负责。如有虚假，将依法承担相应责任。</w:t>
      </w:r>
    </w:p>
    <w:p w14:paraId="669C2E61">
      <w:pPr>
        <w:spacing w:line="360" w:lineRule="auto"/>
        <w:ind w:firstLine="4800" w:firstLineChars="20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供应商电子签章：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4B49E750">
      <w:pPr>
        <w:tabs>
          <w:tab w:val="left" w:pos="630"/>
        </w:tabs>
        <w:spacing w:line="360" w:lineRule="auto"/>
        <w:ind w:firstLine="4800" w:firstLineChars="20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          期：</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1CA5594D">
      <w:pPr>
        <w:spacing w:line="440" w:lineRule="exact"/>
        <w:ind w:firstLine="4800" w:firstLineChars="2000"/>
        <w:rPr>
          <w:rFonts w:hint="eastAsia" w:ascii="宋体" w:hAnsi="宋体" w:eastAsia="宋体" w:cs="宋体"/>
          <w:color w:val="000000" w:themeColor="text1"/>
          <w:sz w:val="24"/>
          <w:szCs w:val="24"/>
          <w:highlight w:val="none"/>
          <w:u w:val="single"/>
          <w14:textFill>
            <w14:solidFill>
              <w14:schemeClr w14:val="tx1"/>
            </w14:solidFill>
          </w14:textFill>
        </w:rPr>
      </w:pPr>
    </w:p>
    <w:p w14:paraId="6017F7C3">
      <w:pPr>
        <w:widowControl/>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14:paraId="30833B5D">
      <w:pPr>
        <w:widowControl/>
        <w:jc w:val="center"/>
        <w:outlineLvl w:val="1"/>
        <w:rPr>
          <w:rFonts w:hint="eastAsia" w:ascii="宋体" w:hAnsi="宋体" w:eastAsia="宋体" w:cs="宋体"/>
          <w:b/>
          <w:color w:val="000000" w:themeColor="text1"/>
          <w:sz w:val="24"/>
          <w:szCs w:val="24"/>
          <w:highlight w:val="none"/>
          <w:u w:val="none"/>
          <w:lang w:val="en-US" w:eastAsia="zh-CN"/>
          <w14:textFill>
            <w14:solidFill>
              <w14:schemeClr w14:val="tx1"/>
            </w14:solidFill>
          </w14:textFill>
        </w:rPr>
      </w:pPr>
      <w:bookmarkStart w:id="236" w:name="_Toc121626298"/>
      <w:bookmarkStart w:id="237" w:name="_Toc520983594"/>
      <w:bookmarkStart w:id="238" w:name="_Toc909"/>
      <w:bookmarkStart w:id="239" w:name="_Toc516969106"/>
      <w:bookmarkStart w:id="240" w:name="_Toc25503"/>
      <w:bookmarkStart w:id="241" w:name="_Toc204594911"/>
      <w:bookmarkStart w:id="242" w:name="_Toc22233"/>
      <w:bookmarkStart w:id="243" w:name="_Toc28033"/>
      <w:r>
        <w:rPr>
          <w:rFonts w:hint="eastAsia" w:ascii="宋体" w:hAnsi="宋体" w:eastAsia="宋体" w:cs="宋体"/>
          <w:b/>
          <w:color w:val="000000" w:themeColor="text1"/>
          <w:sz w:val="24"/>
          <w:szCs w:val="24"/>
          <w:highlight w:val="none"/>
          <w:u w:val="none"/>
          <w:lang w:val="en-US" w:eastAsia="zh-CN"/>
          <w14:textFill>
            <w14:solidFill>
              <w14:schemeClr w14:val="tx1"/>
            </w14:solidFill>
          </w14:textFill>
        </w:rPr>
        <w:t>四</w:t>
      </w:r>
      <w:r>
        <w:rPr>
          <w:rFonts w:hint="eastAsia" w:ascii="宋体" w:hAnsi="宋体" w:eastAsia="宋体" w:cs="宋体"/>
          <w:b/>
          <w:color w:val="000000" w:themeColor="text1"/>
          <w:sz w:val="24"/>
          <w:szCs w:val="24"/>
          <w:highlight w:val="none"/>
          <w:u w:val="none"/>
          <w14:textFill>
            <w14:solidFill>
              <w14:schemeClr w14:val="tx1"/>
            </w14:solidFill>
          </w14:textFill>
        </w:rPr>
        <w:t>、授权书</w:t>
      </w:r>
      <w:bookmarkEnd w:id="236"/>
      <w:bookmarkEnd w:id="237"/>
      <w:bookmarkEnd w:id="238"/>
      <w:bookmarkEnd w:id="239"/>
      <w:bookmarkEnd w:id="240"/>
      <w:bookmarkEnd w:id="241"/>
      <w:r>
        <w:rPr>
          <w:rFonts w:hint="eastAsia" w:ascii="宋体" w:hAnsi="宋体" w:eastAsia="宋体" w:cs="宋体"/>
          <w:b/>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u w:val="none"/>
          <w:lang w:val="en-US" w:eastAsia="zh-CN"/>
          <w14:textFill>
            <w14:solidFill>
              <w14:schemeClr w14:val="tx1"/>
            </w14:solidFill>
          </w14:textFill>
        </w:rPr>
        <w:t>非联合体采用）</w:t>
      </w:r>
    </w:p>
    <w:p w14:paraId="4352A4F5">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41228253">
      <w:pPr>
        <w:pStyle w:val="12"/>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本授权书声明：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（供应商名称）授权</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（供应商授权代表姓名）代表我方参加本项目</w:t>
      </w:r>
      <w:r>
        <w:rPr>
          <w:rFonts w:hint="eastAsia" w:ascii="宋体" w:hAnsi="宋体" w:eastAsia="宋体" w:cs="宋体"/>
          <w:bCs/>
          <w:color w:val="000000" w:themeColor="text1"/>
          <w:sz w:val="24"/>
          <w:szCs w:val="24"/>
          <w:highlight w:val="none"/>
          <w14:textFill>
            <w14:solidFill>
              <w14:schemeClr w14:val="tx1"/>
            </w14:solidFill>
          </w14:textFill>
        </w:rPr>
        <w:t>采购活动</w:t>
      </w:r>
      <w:r>
        <w:rPr>
          <w:rFonts w:hint="eastAsia" w:ascii="宋体" w:hAnsi="宋体" w:eastAsia="宋体" w:cs="宋体"/>
          <w:color w:val="000000" w:themeColor="text1"/>
          <w:sz w:val="24"/>
          <w:szCs w:val="24"/>
          <w:highlight w:val="none"/>
          <w14:textFill>
            <w14:solidFill>
              <w14:schemeClr w14:val="tx1"/>
            </w14:solidFill>
          </w14:textFill>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6CB299F1">
      <w:pPr>
        <w:pStyle w:val="12"/>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本授权书自出具之日起生效。</w:t>
      </w:r>
    </w:p>
    <w:p w14:paraId="34ED1667">
      <w:pPr>
        <w:pStyle w:val="12"/>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授权代表身份证明扫描件：</w:t>
      </w:r>
    </w:p>
    <w:p w14:paraId="35EB0C37">
      <w:pPr>
        <w:pStyle w:val="12"/>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p w14:paraId="108BAD69">
      <w:pPr>
        <w:pStyle w:val="12"/>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p w14:paraId="69C4B366">
      <w:pPr>
        <w:pStyle w:val="12"/>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p w14:paraId="1A45D6F8">
      <w:pPr>
        <w:pStyle w:val="12"/>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p w14:paraId="2AD913E6">
      <w:pPr>
        <w:pStyle w:val="12"/>
        <w:snapToGrid w:val="0"/>
        <w:spacing w:line="36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授权代表联系方式：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（请填写手机号码）</w:t>
      </w:r>
    </w:p>
    <w:p w14:paraId="19DA2059">
      <w:pPr>
        <w:pStyle w:val="12"/>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p w14:paraId="5F4458AA">
      <w:pPr>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特此声明。</w:t>
      </w:r>
    </w:p>
    <w:p w14:paraId="5037151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69F16F5B">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供应商电子签章：</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593451A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17A086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3D6128AF">
      <w:pPr>
        <w:pStyle w:val="12"/>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p>
    <w:p w14:paraId="2DBEFC6B">
      <w:pPr>
        <w:pStyle w:val="12"/>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1.本项目只允许有唯一的供应商授权代表，提供身份证明扫描件；</w:t>
      </w:r>
    </w:p>
    <w:p w14:paraId="0CFA234A">
      <w:pPr>
        <w:pStyle w:val="12"/>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2.法定代表人参加磋商的无需提供授权书，仅提供身份证明扫描件。</w:t>
      </w:r>
    </w:p>
    <w:p w14:paraId="16C9CA11">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24C7D74F">
      <w:pPr>
        <w:keepNext/>
        <w:keepLines/>
        <w:spacing w:before="260" w:after="260" w:line="416" w:lineRule="auto"/>
        <w:jc w:val="center"/>
        <w:outlineLvl w:val="9"/>
        <w:rPr>
          <w:rFonts w:hint="eastAsia" w:ascii="宋体" w:hAnsi="宋体" w:eastAsia="宋体" w:cs="宋体"/>
          <w:b/>
          <w:bCs/>
          <w:color w:val="000000" w:themeColor="text1"/>
          <w:kern w:val="2"/>
          <w:sz w:val="24"/>
          <w:szCs w:val="24"/>
          <w:highlight w:val="none"/>
          <w14:textFill>
            <w14:solidFill>
              <w14:schemeClr w14:val="tx1"/>
            </w14:solidFill>
          </w14:textFill>
        </w:rPr>
      </w:pPr>
      <w:bookmarkStart w:id="244" w:name="_Toc12223"/>
      <w:bookmarkStart w:id="245" w:name="_Toc32351"/>
      <w:r>
        <w:rPr>
          <w:rFonts w:hint="eastAsia" w:ascii="宋体" w:hAnsi="宋体" w:eastAsia="宋体" w:cs="宋体"/>
          <w:b/>
          <w:bCs/>
          <w:color w:val="000000" w:themeColor="text1"/>
          <w:kern w:val="2"/>
          <w:sz w:val="24"/>
          <w:szCs w:val="24"/>
          <w:highlight w:val="none"/>
          <w14:textFill>
            <w14:solidFill>
              <w14:schemeClr w14:val="tx1"/>
            </w14:solidFill>
          </w14:textFill>
        </w:rPr>
        <w:t>法定代表人身份证明书</w:t>
      </w:r>
      <w:bookmarkEnd w:id="244"/>
      <w:bookmarkEnd w:id="245"/>
      <w:r>
        <w:rPr>
          <w:rFonts w:hint="eastAsia" w:ascii="宋体" w:hAnsi="宋体" w:eastAsia="宋体" w:cs="宋体"/>
          <w:b/>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u w:val="none"/>
          <w:lang w:val="en-US" w:eastAsia="zh-CN"/>
          <w14:textFill>
            <w14:solidFill>
              <w14:schemeClr w14:val="tx1"/>
            </w14:solidFill>
          </w14:textFill>
        </w:rPr>
        <w:t>非联合体采用）</w:t>
      </w:r>
    </w:p>
    <w:p w14:paraId="5BE8806D">
      <w:pPr>
        <w:autoSpaceDE w:val="0"/>
        <w:autoSpaceDN w:val="0"/>
        <w:adjustRightInd w:val="0"/>
        <w:spacing w:line="360" w:lineRule="auto"/>
        <w:jc w:val="center"/>
        <w:rPr>
          <w:rFonts w:hint="eastAsia" w:ascii="宋体" w:hAnsi="宋体" w:eastAsia="宋体" w:cs="宋体"/>
          <w:b/>
          <w:color w:val="000000" w:themeColor="text1"/>
          <w:kern w:val="2"/>
          <w:sz w:val="24"/>
          <w:szCs w:val="24"/>
          <w:highlight w:val="none"/>
          <w:lang w:val="zh-CN"/>
          <w14:textFill>
            <w14:solidFill>
              <w14:schemeClr w14:val="tx1"/>
            </w14:solidFill>
          </w14:textFill>
        </w:rPr>
      </w:pPr>
    </w:p>
    <w:p w14:paraId="5982A333">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单位名称：</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1D8890F8">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单位性质：</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6A63FB14">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地    址：</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5E442919">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成立时间：</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年</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月</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日</w:t>
      </w:r>
    </w:p>
    <w:p w14:paraId="58AE174F">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经营期限：</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42F738FA">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姓    名：</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性    别：</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47A74878">
      <w:pPr>
        <w:snapToGrid w:val="0"/>
        <w:spacing w:line="360" w:lineRule="auto"/>
        <w:ind w:firstLine="480" w:firstLineChars="200"/>
        <w:jc w:val="left"/>
        <w:rPr>
          <w:rFonts w:hint="eastAsia"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年    龄：</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职    务：</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303619B9">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联系电话：</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手机号码：</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5CD01668">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系  </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（供应商单位名称）       </w:t>
      </w:r>
      <w:r>
        <w:rPr>
          <w:rFonts w:hint="eastAsia" w:ascii="宋体" w:hAnsi="宋体" w:eastAsia="宋体" w:cs="宋体"/>
          <w:color w:val="000000" w:themeColor="text1"/>
          <w:kern w:val="2"/>
          <w:sz w:val="24"/>
          <w:szCs w:val="24"/>
          <w:highlight w:val="none"/>
          <w14:textFill>
            <w14:solidFill>
              <w14:schemeClr w14:val="tx1"/>
            </w14:solidFill>
          </w14:textFill>
        </w:rPr>
        <w:t>的法定代表人。</w:t>
      </w:r>
    </w:p>
    <w:p w14:paraId="311A2B4B">
      <w:pPr>
        <w:spacing w:before="62" w:beforeLines="20" w:after="62" w:afterLines="20" w:line="540" w:lineRule="exact"/>
        <w:ind w:firstLine="610"/>
        <w:rPr>
          <w:rFonts w:hint="eastAsia" w:ascii="宋体" w:hAnsi="宋体" w:eastAsia="宋体" w:cs="宋体"/>
          <w:color w:val="000000" w:themeColor="text1"/>
          <w:kern w:val="2"/>
          <w:sz w:val="24"/>
          <w:szCs w:val="24"/>
          <w:highlight w:val="none"/>
          <w14:textFill>
            <w14:solidFill>
              <w14:schemeClr w14:val="tx1"/>
            </w14:solidFill>
          </w14:textFill>
        </w:rPr>
      </w:pPr>
    </w:p>
    <w:p w14:paraId="0631C787">
      <w:pPr>
        <w:spacing w:before="62" w:beforeLines="20" w:after="62" w:afterLines="20" w:line="540" w:lineRule="exact"/>
        <w:ind w:left="420" w:leftChars="200" w:firstLine="240" w:firstLineChars="1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特此证明。</w:t>
      </w:r>
    </w:p>
    <w:p w14:paraId="0C239617">
      <w:pPr>
        <w:tabs>
          <w:tab w:val="left" w:pos="720"/>
          <w:tab w:val="left" w:pos="900"/>
        </w:tabs>
        <w:spacing w:before="62" w:beforeLines="20" w:after="62" w:afterLines="20" w:line="540" w:lineRule="exact"/>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附：法定代表人身份证扫描件</w:t>
      </w:r>
    </w:p>
    <w:p w14:paraId="49B2B72B">
      <w:pPr>
        <w:tabs>
          <w:tab w:val="left" w:pos="720"/>
          <w:tab w:val="left" w:pos="900"/>
        </w:tabs>
        <w:spacing w:before="62" w:beforeLines="20" w:after="62" w:afterLines="20" w:line="540" w:lineRule="exact"/>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p>
    <w:p w14:paraId="513F31D9">
      <w:pPr>
        <w:tabs>
          <w:tab w:val="left" w:pos="720"/>
          <w:tab w:val="left" w:pos="900"/>
        </w:tabs>
        <w:spacing w:before="62" w:beforeLines="20" w:after="62" w:afterLines="20" w:line="540" w:lineRule="exact"/>
        <w:ind w:firstLine="4560" w:firstLineChars="1900"/>
        <w:rPr>
          <w:rFonts w:hint="eastAsia" w:ascii="宋体" w:hAnsi="宋体" w:eastAsia="宋体" w:cs="宋体"/>
          <w:color w:val="000000" w:themeColor="text1"/>
          <w:kern w:val="2"/>
          <w:sz w:val="24"/>
          <w:szCs w:val="24"/>
          <w:highlight w:val="none"/>
          <w14:textFill>
            <w14:solidFill>
              <w14:schemeClr w14:val="tx1"/>
            </w14:solidFill>
          </w14:textFill>
        </w:rPr>
      </w:pPr>
    </w:p>
    <w:p w14:paraId="1172279C">
      <w:pPr>
        <w:spacing w:line="360" w:lineRule="auto"/>
        <w:ind w:firstLine="3840" w:firstLineChars="16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供应商电子签章：</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6C33749A">
      <w:pPr>
        <w:spacing w:line="360" w:lineRule="auto"/>
        <w:ind w:firstLine="3840" w:firstLineChars="16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日          期：</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6571C8F0">
      <w:pPr>
        <w:jc w:val="center"/>
        <w:outlineLvl w:val="9"/>
        <w:rPr>
          <w:rFonts w:hint="eastAsia" w:ascii="宋体" w:hAnsi="宋体" w:eastAsia="宋体" w:cs="宋体"/>
          <w:b/>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br w:type="page"/>
      </w:r>
      <w:r>
        <w:rPr>
          <w:rFonts w:hint="eastAsia" w:ascii="宋体" w:hAnsi="宋体" w:eastAsia="宋体" w:cs="宋体"/>
          <w:b/>
          <w:color w:val="000000" w:themeColor="text1"/>
          <w:sz w:val="24"/>
          <w:szCs w:val="24"/>
          <w:highlight w:val="none"/>
          <w:u w:val="none"/>
          <w14:textFill>
            <w14:solidFill>
              <w14:schemeClr w14:val="tx1"/>
            </w14:solidFill>
          </w14:textFill>
        </w:rPr>
        <w:t>联合体授权委托书（联合体采用）</w:t>
      </w:r>
    </w:p>
    <w:p w14:paraId="7DA1CB14">
      <w:pPr>
        <w:pStyle w:val="75"/>
        <w:tabs>
          <w:tab w:val="left" w:pos="0"/>
        </w:tabs>
        <w:autoSpaceDE w:val="0"/>
        <w:autoSpaceDN w:val="0"/>
        <w:adjustRightInd/>
        <w:spacing w:before="0" w:after="0" w:line="360" w:lineRule="auto"/>
        <w:ind w:left="1134" w:right="2" w:rightChars="1" w:firstLine="420"/>
        <w:textAlignment w:val="bottom"/>
        <w:rPr>
          <w:rFonts w:hint="eastAsia" w:ascii="宋体" w:hAnsi="宋体" w:eastAsia="宋体" w:cs="宋体"/>
          <w:color w:val="000000" w:themeColor="text1"/>
          <w:kern w:val="2"/>
          <w:sz w:val="21"/>
          <w:szCs w:val="21"/>
          <w:highlight w:val="none"/>
          <w14:textFill>
            <w14:solidFill>
              <w14:schemeClr w14:val="tx1"/>
            </w14:solidFill>
          </w14:textFill>
        </w:rPr>
      </w:pPr>
    </w:p>
    <w:p w14:paraId="12CE9309">
      <w:pPr>
        <w:pStyle w:val="12"/>
        <w:snapToGrid w:val="0"/>
        <w:spacing w:line="360" w:lineRule="auto"/>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w:t>
      </w:r>
      <w:r>
        <w:rPr>
          <w:rFonts w:hint="eastAsia" w:ascii="宋体" w:hAnsi="宋体" w:eastAsia="宋体" w:cs="宋体"/>
          <w:color w:val="000000" w:themeColor="text1"/>
          <w:sz w:val="24"/>
          <w:szCs w:val="24"/>
          <w:highlight w:val="none"/>
          <w:lang w:val="en-US" w:eastAsia="zh-CN"/>
          <w14:textFill>
            <w14:solidFill>
              <w14:schemeClr w14:val="tx1"/>
            </w14:solidFill>
          </w14:textFill>
        </w:rPr>
        <w:t>联合体</w:t>
      </w:r>
      <w:r>
        <w:rPr>
          <w:rFonts w:hint="eastAsia" w:ascii="宋体" w:hAnsi="宋体" w:eastAsia="宋体" w:cs="宋体"/>
          <w:color w:val="000000" w:themeColor="text1"/>
          <w:sz w:val="24"/>
          <w:szCs w:val="24"/>
          <w:highlight w:val="none"/>
          <w14:textFill>
            <w14:solidFill>
              <w14:schemeClr w14:val="tx1"/>
            </w14:solidFill>
          </w14:textFill>
        </w:rPr>
        <w:t>授权书声明：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联合体牵头人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（联合体成员名称）现共同授权委托</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联合体牵头人授权代表姓名）为代表我们组成的磋商联合体参加本项目采购活动，全权代表本联合体处理磋商过程的一切事宜，包括但不限于：提交响应文件、参与磋商、签约等。本联合体授权代表在采购活动过程中所签署的一切文件和处理与之有关的一切事务，本联合体均予以认可并对此承担责任。联合体授权代表无转委托权。特此授权。</w:t>
      </w:r>
    </w:p>
    <w:p w14:paraId="012FB937">
      <w:pPr>
        <w:pStyle w:val="12"/>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本授权书自出具之日起生效。</w:t>
      </w:r>
    </w:p>
    <w:p w14:paraId="6AC38FF7">
      <w:pPr>
        <w:pStyle w:val="12"/>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联合体</w:t>
      </w:r>
      <w:r>
        <w:rPr>
          <w:rFonts w:hint="eastAsia" w:ascii="宋体" w:hAnsi="宋体" w:eastAsia="宋体" w:cs="宋体"/>
          <w:color w:val="000000" w:themeColor="text1"/>
          <w:sz w:val="24"/>
          <w:szCs w:val="24"/>
          <w:highlight w:val="none"/>
          <w14:textFill>
            <w14:solidFill>
              <w14:schemeClr w14:val="tx1"/>
            </w14:solidFill>
          </w14:textFill>
        </w:rPr>
        <w:t>授权代表身份证明扫描件：</w:t>
      </w:r>
    </w:p>
    <w:p w14:paraId="09432187">
      <w:pPr>
        <w:pStyle w:val="12"/>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7C4DBC84">
      <w:pPr>
        <w:pStyle w:val="12"/>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66BEF4B0">
      <w:pPr>
        <w:pStyle w:val="12"/>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7E5F62D1">
      <w:pPr>
        <w:pStyle w:val="12"/>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p w14:paraId="092199CD">
      <w:pPr>
        <w:pStyle w:val="12"/>
        <w:snapToGrid w:val="0"/>
        <w:spacing w:line="36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联合体</w:t>
      </w:r>
      <w:r>
        <w:rPr>
          <w:rFonts w:hint="eastAsia" w:ascii="宋体" w:hAnsi="宋体" w:eastAsia="宋体" w:cs="宋体"/>
          <w:color w:val="000000" w:themeColor="text1"/>
          <w:sz w:val="24"/>
          <w:szCs w:val="24"/>
          <w:highlight w:val="none"/>
          <w14:textFill>
            <w14:solidFill>
              <w14:schemeClr w14:val="tx1"/>
            </w14:solidFill>
          </w14:textFill>
        </w:rPr>
        <w:t>授权代表联系方式：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（请填写手机号码）</w:t>
      </w:r>
    </w:p>
    <w:p w14:paraId="524E80FC">
      <w:pPr>
        <w:pStyle w:val="12"/>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p w14:paraId="62BC5C2D">
      <w:pPr>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特此声明。</w:t>
      </w:r>
    </w:p>
    <w:p w14:paraId="589735F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7AC24597">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联合体牵头人</w:t>
      </w:r>
      <w:r>
        <w:rPr>
          <w:rFonts w:hint="eastAsia" w:ascii="宋体" w:hAnsi="宋体" w:eastAsia="宋体" w:cs="宋体"/>
          <w:bCs/>
          <w:color w:val="000000" w:themeColor="text1"/>
          <w:sz w:val="24"/>
          <w:szCs w:val="24"/>
          <w:highlight w:val="none"/>
          <w14:textFill>
            <w14:solidFill>
              <w14:schemeClr w14:val="tx1"/>
            </w14:solidFill>
          </w14:textFill>
        </w:rPr>
        <w:t>电子签章：</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1D12BF3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0DFA4883">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04DCF986">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3F1F4B5">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联合体成员</w:t>
      </w:r>
      <w:r>
        <w:rPr>
          <w:rFonts w:hint="eastAsia" w:ascii="宋体" w:hAnsi="宋体" w:eastAsia="宋体" w:cs="宋体"/>
          <w:bCs/>
          <w:color w:val="000000" w:themeColor="text1"/>
          <w:sz w:val="24"/>
          <w:szCs w:val="24"/>
          <w:highlight w:val="none"/>
          <w14:textFill>
            <w14:solidFill>
              <w14:schemeClr w14:val="tx1"/>
            </w14:solidFill>
          </w14:textFill>
        </w:rPr>
        <w:t>电子签章：</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4E75E93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170691B">
      <w:pPr>
        <w:pStyle w:val="8"/>
        <w:rPr>
          <w:rFonts w:hint="eastAsia" w:ascii="宋体" w:hAnsi="宋体" w:eastAsia="宋体" w:cs="宋体"/>
          <w:color w:val="000000" w:themeColor="text1"/>
          <w:sz w:val="24"/>
          <w:szCs w:val="24"/>
          <w:highlight w:val="none"/>
          <w14:textFill>
            <w14:solidFill>
              <w14:schemeClr w14:val="tx1"/>
            </w14:solidFill>
          </w14:textFill>
        </w:rPr>
      </w:pPr>
    </w:p>
    <w:p w14:paraId="4F5A9884">
      <w:pPr>
        <w:pStyle w:val="38"/>
        <w:rPr>
          <w:rFonts w:hint="eastAsia" w:ascii="宋体" w:hAnsi="宋体" w:eastAsia="宋体" w:cs="宋体"/>
          <w:color w:val="000000" w:themeColor="text1"/>
          <w:sz w:val="24"/>
          <w:szCs w:val="24"/>
          <w:highlight w:val="none"/>
          <w14:textFill>
            <w14:solidFill>
              <w14:schemeClr w14:val="tx1"/>
            </w14:solidFill>
          </w14:textFill>
        </w:rPr>
      </w:pPr>
    </w:p>
    <w:p w14:paraId="1AC36311">
      <w:pPr>
        <w:pStyle w:val="38"/>
        <w:rPr>
          <w:rFonts w:hint="eastAsia" w:ascii="宋体" w:hAnsi="宋体" w:eastAsia="宋体" w:cs="宋体"/>
          <w:color w:val="000000" w:themeColor="text1"/>
          <w:sz w:val="24"/>
          <w:szCs w:val="24"/>
          <w:highlight w:val="none"/>
          <w14:textFill>
            <w14:solidFill>
              <w14:schemeClr w14:val="tx1"/>
            </w14:solidFill>
          </w14:textFill>
        </w:rPr>
      </w:pPr>
    </w:p>
    <w:p w14:paraId="0E521C78">
      <w:pPr>
        <w:pStyle w:val="12"/>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p>
    <w:p w14:paraId="22455E84">
      <w:pPr>
        <w:pStyle w:val="12"/>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1.本项目只允许有唯一的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联合体</w:t>
      </w:r>
      <w:r>
        <w:rPr>
          <w:rFonts w:hint="eastAsia" w:ascii="宋体" w:hAnsi="宋体" w:eastAsia="宋体" w:cs="宋体"/>
          <w:color w:val="000000" w:themeColor="text1"/>
          <w:sz w:val="24"/>
          <w:szCs w:val="24"/>
          <w:highlight w:val="none"/>
          <w14:textFill>
            <w14:solidFill>
              <w14:schemeClr w14:val="tx1"/>
            </w14:solidFill>
          </w14:textFill>
        </w:rPr>
        <w:t>授权代表，提供身份证明扫描件；</w:t>
      </w:r>
    </w:p>
    <w:p w14:paraId="0091E6D3">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2.法定代表人参加磋商的无需提供授权书，仅提供身份证明扫描件。</w:t>
      </w:r>
    </w:p>
    <w:p w14:paraId="5A1DB559">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010B4B43">
      <w:pPr>
        <w:keepNext/>
        <w:keepLines/>
        <w:spacing w:before="260" w:after="260" w:line="416" w:lineRule="auto"/>
        <w:jc w:val="center"/>
        <w:outlineLvl w:val="9"/>
        <w:rPr>
          <w:rFonts w:hint="eastAsia"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14:textFill>
            <w14:solidFill>
              <w14:schemeClr w14:val="tx1"/>
            </w14:solidFill>
          </w14:textFill>
        </w:rPr>
        <w:t>法定代表人身份证明书</w:t>
      </w:r>
      <w:r>
        <w:rPr>
          <w:rFonts w:hint="eastAsia" w:ascii="宋体" w:hAnsi="宋体" w:eastAsia="宋体" w:cs="宋体"/>
          <w:b/>
          <w:color w:val="000000" w:themeColor="text1"/>
          <w:sz w:val="24"/>
          <w:szCs w:val="24"/>
          <w:highlight w:val="none"/>
          <w:u w:val="none"/>
          <w14:textFill>
            <w14:solidFill>
              <w14:schemeClr w14:val="tx1"/>
            </w14:solidFill>
          </w14:textFill>
        </w:rPr>
        <w:t>（联合体</w:t>
      </w:r>
      <w:r>
        <w:rPr>
          <w:rFonts w:hint="eastAsia" w:ascii="宋体" w:hAnsi="宋体" w:eastAsia="宋体" w:cs="宋体"/>
          <w:b/>
          <w:color w:val="000000" w:themeColor="text1"/>
          <w:sz w:val="24"/>
          <w:szCs w:val="24"/>
          <w:highlight w:val="none"/>
          <w:u w:val="none"/>
          <w:lang w:val="en-US" w:eastAsia="zh-CN"/>
          <w14:textFill>
            <w14:solidFill>
              <w14:schemeClr w14:val="tx1"/>
            </w14:solidFill>
          </w14:textFill>
        </w:rPr>
        <w:t>牵头人</w:t>
      </w:r>
      <w:r>
        <w:rPr>
          <w:rFonts w:hint="eastAsia" w:ascii="宋体" w:hAnsi="宋体" w:eastAsia="宋体" w:cs="宋体"/>
          <w:b/>
          <w:color w:val="000000" w:themeColor="text1"/>
          <w:sz w:val="24"/>
          <w:szCs w:val="24"/>
          <w:highlight w:val="none"/>
          <w:u w:val="none"/>
          <w14:textFill>
            <w14:solidFill>
              <w14:schemeClr w14:val="tx1"/>
            </w14:solidFill>
          </w14:textFill>
        </w:rPr>
        <w:t>）</w:t>
      </w:r>
    </w:p>
    <w:p w14:paraId="10B21388">
      <w:pPr>
        <w:autoSpaceDE w:val="0"/>
        <w:autoSpaceDN w:val="0"/>
        <w:adjustRightInd w:val="0"/>
        <w:spacing w:line="360" w:lineRule="auto"/>
        <w:jc w:val="center"/>
        <w:rPr>
          <w:rFonts w:hint="eastAsia" w:ascii="宋体" w:hAnsi="宋体" w:eastAsia="宋体" w:cs="宋体"/>
          <w:b/>
          <w:color w:val="000000" w:themeColor="text1"/>
          <w:kern w:val="2"/>
          <w:sz w:val="24"/>
          <w:szCs w:val="24"/>
          <w:highlight w:val="none"/>
          <w:lang w:val="zh-CN"/>
          <w14:textFill>
            <w14:solidFill>
              <w14:schemeClr w14:val="tx1"/>
            </w14:solidFill>
          </w14:textFill>
        </w:rPr>
      </w:pPr>
    </w:p>
    <w:p w14:paraId="1B6140DD">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单位名称：</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32674F80">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单位性质：</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151687CF">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地    址：</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693B4173">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成立时间：</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年</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月</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日</w:t>
      </w:r>
    </w:p>
    <w:p w14:paraId="06A1A58A">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经营期限：</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670F2993">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姓    名：</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性    别：</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45918EE1">
      <w:pPr>
        <w:snapToGrid w:val="0"/>
        <w:spacing w:line="360" w:lineRule="auto"/>
        <w:ind w:firstLine="480" w:firstLineChars="200"/>
        <w:jc w:val="left"/>
        <w:rPr>
          <w:rFonts w:hint="eastAsia"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年    龄：</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职    务：</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0B4DF732">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联系电话：</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手机号码：</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046BA2F7">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系  </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（联合体牵头人）       </w:t>
      </w:r>
      <w:r>
        <w:rPr>
          <w:rFonts w:hint="eastAsia" w:ascii="宋体" w:hAnsi="宋体" w:eastAsia="宋体" w:cs="宋体"/>
          <w:color w:val="000000" w:themeColor="text1"/>
          <w:kern w:val="2"/>
          <w:sz w:val="24"/>
          <w:szCs w:val="24"/>
          <w:highlight w:val="none"/>
          <w14:textFill>
            <w14:solidFill>
              <w14:schemeClr w14:val="tx1"/>
            </w14:solidFill>
          </w14:textFill>
        </w:rPr>
        <w:t>的法定代表人。</w:t>
      </w:r>
    </w:p>
    <w:p w14:paraId="5BEB27B4">
      <w:pPr>
        <w:spacing w:before="62" w:beforeLines="20" w:after="62" w:afterLines="20" w:line="540" w:lineRule="exact"/>
        <w:ind w:firstLine="610"/>
        <w:rPr>
          <w:rFonts w:hint="eastAsia" w:ascii="宋体" w:hAnsi="宋体" w:eastAsia="宋体" w:cs="宋体"/>
          <w:color w:val="000000" w:themeColor="text1"/>
          <w:kern w:val="2"/>
          <w:sz w:val="24"/>
          <w:szCs w:val="24"/>
          <w:highlight w:val="none"/>
          <w14:textFill>
            <w14:solidFill>
              <w14:schemeClr w14:val="tx1"/>
            </w14:solidFill>
          </w14:textFill>
        </w:rPr>
      </w:pPr>
    </w:p>
    <w:p w14:paraId="78827D51">
      <w:pPr>
        <w:spacing w:before="62" w:beforeLines="20" w:after="62" w:afterLines="20" w:line="540" w:lineRule="exact"/>
        <w:ind w:left="420" w:leftChars="200" w:firstLine="240" w:firstLineChars="1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特此证明。</w:t>
      </w:r>
    </w:p>
    <w:p w14:paraId="211F06F7">
      <w:pPr>
        <w:tabs>
          <w:tab w:val="left" w:pos="720"/>
          <w:tab w:val="left" w:pos="900"/>
        </w:tabs>
        <w:spacing w:before="62" w:beforeLines="20" w:after="62" w:afterLines="20" w:line="540" w:lineRule="exact"/>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附：法定代表人身份证扫描件</w:t>
      </w:r>
    </w:p>
    <w:p w14:paraId="3CD15669">
      <w:pPr>
        <w:tabs>
          <w:tab w:val="left" w:pos="720"/>
          <w:tab w:val="left" w:pos="900"/>
        </w:tabs>
        <w:spacing w:before="62" w:beforeLines="20" w:after="62" w:afterLines="20" w:line="540" w:lineRule="exact"/>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p>
    <w:p w14:paraId="4AAD85BE">
      <w:pPr>
        <w:tabs>
          <w:tab w:val="left" w:pos="720"/>
          <w:tab w:val="left" w:pos="900"/>
        </w:tabs>
        <w:spacing w:before="62" w:beforeLines="20" w:after="62" w:afterLines="20" w:line="540" w:lineRule="exact"/>
        <w:ind w:firstLine="4560" w:firstLineChars="1900"/>
        <w:rPr>
          <w:rFonts w:hint="eastAsia" w:ascii="宋体" w:hAnsi="宋体" w:eastAsia="宋体" w:cs="宋体"/>
          <w:color w:val="000000" w:themeColor="text1"/>
          <w:kern w:val="2"/>
          <w:sz w:val="24"/>
          <w:szCs w:val="24"/>
          <w:highlight w:val="none"/>
          <w14:textFill>
            <w14:solidFill>
              <w14:schemeClr w14:val="tx1"/>
            </w14:solidFill>
          </w14:textFill>
        </w:rPr>
      </w:pPr>
    </w:p>
    <w:p w14:paraId="58FE4B47">
      <w:pPr>
        <w:spacing w:line="360" w:lineRule="auto"/>
        <w:ind w:firstLine="3840" w:firstLineChars="16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联合体牵头人电子签章：</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4DEC5EF4">
      <w:pPr>
        <w:spacing w:line="360" w:lineRule="auto"/>
        <w:ind w:firstLine="3840" w:firstLineChars="16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日          期：</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74337129">
      <w:pPr>
        <w:keepNext/>
        <w:keepLines/>
        <w:spacing w:before="260" w:after="260" w:line="416" w:lineRule="auto"/>
        <w:jc w:val="center"/>
        <w:outlineLvl w:val="9"/>
        <w:rPr>
          <w:rFonts w:hint="eastAsia"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br w:type="page"/>
      </w:r>
      <w:r>
        <w:rPr>
          <w:rFonts w:hint="eastAsia" w:ascii="宋体" w:hAnsi="宋体" w:eastAsia="宋体" w:cs="宋体"/>
          <w:b/>
          <w:bCs/>
          <w:color w:val="000000" w:themeColor="text1"/>
          <w:kern w:val="2"/>
          <w:sz w:val="24"/>
          <w:szCs w:val="24"/>
          <w:highlight w:val="none"/>
          <w14:textFill>
            <w14:solidFill>
              <w14:schemeClr w14:val="tx1"/>
            </w14:solidFill>
          </w14:textFill>
        </w:rPr>
        <w:t>法定代表人身份证明书</w:t>
      </w:r>
      <w:r>
        <w:rPr>
          <w:rFonts w:hint="eastAsia" w:ascii="宋体" w:hAnsi="宋体" w:eastAsia="宋体" w:cs="宋体"/>
          <w:b/>
          <w:color w:val="000000" w:themeColor="text1"/>
          <w:sz w:val="24"/>
          <w:szCs w:val="24"/>
          <w:highlight w:val="none"/>
          <w:u w:val="none"/>
          <w14:textFill>
            <w14:solidFill>
              <w14:schemeClr w14:val="tx1"/>
            </w14:solidFill>
          </w14:textFill>
        </w:rPr>
        <w:t>（联合体</w:t>
      </w:r>
      <w:r>
        <w:rPr>
          <w:rFonts w:hint="eastAsia" w:ascii="宋体" w:hAnsi="宋体" w:eastAsia="宋体" w:cs="宋体"/>
          <w:b/>
          <w:color w:val="000000" w:themeColor="text1"/>
          <w:sz w:val="24"/>
          <w:szCs w:val="24"/>
          <w:highlight w:val="none"/>
          <w:u w:val="none"/>
          <w:lang w:val="en-US" w:eastAsia="zh-CN"/>
          <w14:textFill>
            <w14:solidFill>
              <w14:schemeClr w14:val="tx1"/>
            </w14:solidFill>
          </w14:textFill>
        </w:rPr>
        <w:t>成员</w:t>
      </w:r>
      <w:r>
        <w:rPr>
          <w:rFonts w:hint="eastAsia" w:ascii="宋体" w:hAnsi="宋体" w:eastAsia="宋体" w:cs="宋体"/>
          <w:b/>
          <w:color w:val="000000" w:themeColor="text1"/>
          <w:sz w:val="24"/>
          <w:szCs w:val="24"/>
          <w:highlight w:val="none"/>
          <w:u w:val="none"/>
          <w14:textFill>
            <w14:solidFill>
              <w14:schemeClr w14:val="tx1"/>
            </w14:solidFill>
          </w14:textFill>
        </w:rPr>
        <w:t>）</w:t>
      </w:r>
    </w:p>
    <w:p w14:paraId="175688FD">
      <w:pPr>
        <w:autoSpaceDE w:val="0"/>
        <w:autoSpaceDN w:val="0"/>
        <w:adjustRightInd w:val="0"/>
        <w:spacing w:line="360" w:lineRule="auto"/>
        <w:jc w:val="center"/>
        <w:rPr>
          <w:rFonts w:hint="eastAsia" w:ascii="宋体" w:hAnsi="宋体" w:eastAsia="宋体" w:cs="宋体"/>
          <w:b/>
          <w:color w:val="000000" w:themeColor="text1"/>
          <w:kern w:val="2"/>
          <w:sz w:val="24"/>
          <w:szCs w:val="24"/>
          <w:highlight w:val="none"/>
          <w:lang w:val="zh-CN"/>
          <w14:textFill>
            <w14:solidFill>
              <w14:schemeClr w14:val="tx1"/>
            </w14:solidFill>
          </w14:textFill>
        </w:rPr>
      </w:pPr>
    </w:p>
    <w:p w14:paraId="106C055B">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单位名称：</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72478811">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单位性质：</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5355433E">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地    址：</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05E779B4">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成立时间：</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年</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月</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日</w:t>
      </w:r>
    </w:p>
    <w:p w14:paraId="596DB3AF">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经营期限：</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6399D12F">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姓    名：</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性    别：</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484978DD">
      <w:pPr>
        <w:snapToGrid w:val="0"/>
        <w:spacing w:line="360" w:lineRule="auto"/>
        <w:ind w:firstLine="480" w:firstLineChars="200"/>
        <w:jc w:val="left"/>
        <w:rPr>
          <w:rFonts w:hint="eastAsia"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年    龄：</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职    务：</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783391F0">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联系电话：</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手机号码：</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3C0D1C12">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系  </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（联合体</w:t>
      </w:r>
      <w:r>
        <w:rPr>
          <w:rFonts w:hint="eastAsia" w:ascii="宋体" w:hAnsi="宋体" w:eastAsia="宋体" w:cs="宋体"/>
          <w:color w:val="000000" w:themeColor="text1"/>
          <w:kern w:val="2"/>
          <w:sz w:val="24"/>
          <w:szCs w:val="24"/>
          <w:highlight w:val="none"/>
          <w:u w:val="single"/>
          <w:lang w:val="en-US" w:eastAsia="zh-CN"/>
          <w14:textFill>
            <w14:solidFill>
              <w14:schemeClr w14:val="tx1"/>
            </w14:solidFill>
          </w14:textFill>
        </w:rPr>
        <w:t>成员</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的法定代表人。</w:t>
      </w:r>
    </w:p>
    <w:p w14:paraId="5C56879B">
      <w:pPr>
        <w:spacing w:before="62" w:beforeLines="20" w:after="62" w:afterLines="20" w:line="540" w:lineRule="exact"/>
        <w:ind w:firstLine="610"/>
        <w:rPr>
          <w:rFonts w:hint="eastAsia" w:ascii="宋体" w:hAnsi="宋体" w:eastAsia="宋体" w:cs="宋体"/>
          <w:color w:val="000000" w:themeColor="text1"/>
          <w:kern w:val="2"/>
          <w:sz w:val="24"/>
          <w:szCs w:val="24"/>
          <w:highlight w:val="none"/>
          <w14:textFill>
            <w14:solidFill>
              <w14:schemeClr w14:val="tx1"/>
            </w14:solidFill>
          </w14:textFill>
        </w:rPr>
      </w:pPr>
    </w:p>
    <w:p w14:paraId="1399C9B2">
      <w:pPr>
        <w:spacing w:before="62" w:beforeLines="20" w:after="62" w:afterLines="20" w:line="540" w:lineRule="exact"/>
        <w:ind w:left="420" w:leftChars="200" w:firstLine="240" w:firstLineChars="1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特此证明。</w:t>
      </w:r>
    </w:p>
    <w:p w14:paraId="0408251E">
      <w:pPr>
        <w:tabs>
          <w:tab w:val="left" w:pos="720"/>
          <w:tab w:val="left" w:pos="900"/>
        </w:tabs>
        <w:spacing w:before="62" w:beforeLines="20" w:after="62" w:afterLines="20" w:line="540" w:lineRule="exact"/>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附：法定代表人身份证扫描件</w:t>
      </w:r>
    </w:p>
    <w:p w14:paraId="3F0B121A">
      <w:pPr>
        <w:tabs>
          <w:tab w:val="left" w:pos="720"/>
          <w:tab w:val="left" w:pos="900"/>
        </w:tabs>
        <w:spacing w:before="62" w:beforeLines="20" w:after="62" w:afterLines="20" w:line="540" w:lineRule="exact"/>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p>
    <w:p w14:paraId="06C6680B">
      <w:pPr>
        <w:tabs>
          <w:tab w:val="left" w:pos="720"/>
          <w:tab w:val="left" w:pos="900"/>
        </w:tabs>
        <w:spacing w:before="62" w:beforeLines="20" w:after="62" w:afterLines="20" w:line="540" w:lineRule="exact"/>
        <w:ind w:firstLine="4560" w:firstLineChars="1900"/>
        <w:rPr>
          <w:rFonts w:hint="eastAsia" w:ascii="宋体" w:hAnsi="宋体" w:eastAsia="宋体" w:cs="宋体"/>
          <w:color w:val="000000" w:themeColor="text1"/>
          <w:kern w:val="2"/>
          <w:sz w:val="24"/>
          <w:szCs w:val="24"/>
          <w:highlight w:val="none"/>
          <w14:textFill>
            <w14:solidFill>
              <w14:schemeClr w14:val="tx1"/>
            </w14:solidFill>
          </w14:textFill>
        </w:rPr>
      </w:pPr>
    </w:p>
    <w:p w14:paraId="1764B8F8">
      <w:pPr>
        <w:spacing w:line="360" w:lineRule="auto"/>
        <w:ind w:firstLine="3840" w:firstLineChars="16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联合体成员电子签章：</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3001036C">
      <w:pPr>
        <w:spacing w:line="360" w:lineRule="auto"/>
        <w:ind w:firstLine="3840" w:firstLineChars="16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日          期：</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6C8656C1">
      <w:pPr>
        <w:widowControl/>
        <w:jc w:val="left"/>
        <w:rPr>
          <w:rFonts w:hint="eastAsia"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br w:type="page"/>
      </w:r>
    </w:p>
    <w:p w14:paraId="62AF586C">
      <w:pPr>
        <w:spacing w:line="360" w:lineRule="auto"/>
        <w:jc w:val="center"/>
        <w:outlineLvl w:val="1"/>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五</w:t>
      </w:r>
      <w:r>
        <w:rPr>
          <w:rFonts w:hint="eastAsia" w:ascii="宋体" w:hAnsi="宋体" w:eastAsia="宋体" w:cs="宋体"/>
          <w:b/>
          <w:color w:val="000000" w:themeColor="text1"/>
          <w:sz w:val="24"/>
          <w:highlight w:val="none"/>
          <w14:textFill>
            <w14:solidFill>
              <w14:schemeClr w14:val="tx1"/>
            </w14:solidFill>
          </w14:textFill>
        </w:rPr>
        <w:t>、磋商响应表</w:t>
      </w:r>
      <w:bookmarkEnd w:id="242"/>
      <w:bookmarkEnd w:id="243"/>
    </w:p>
    <w:p w14:paraId="2703B4DB">
      <w:pPr>
        <w:spacing w:line="360" w:lineRule="auto"/>
        <w:ind w:firstLine="435"/>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6.1商务响应表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5D70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21896106">
            <w:pPr>
              <w:pStyle w:val="12"/>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序号</w:t>
            </w:r>
          </w:p>
        </w:tc>
        <w:tc>
          <w:tcPr>
            <w:tcW w:w="1124" w:type="pct"/>
            <w:vAlign w:val="center"/>
          </w:tcPr>
          <w:p w14:paraId="0EAC97AE">
            <w:pPr>
              <w:pStyle w:val="12"/>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商务条款</w:t>
            </w:r>
          </w:p>
        </w:tc>
        <w:tc>
          <w:tcPr>
            <w:tcW w:w="1465" w:type="pct"/>
            <w:vAlign w:val="center"/>
          </w:tcPr>
          <w:p w14:paraId="013CC689">
            <w:pPr>
              <w:pStyle w:val="12"/>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磋商文件要求</w:t>
            </w:r>
          </w:p>
        </w:tc>
        <w:tc>
          <w:tcPr>
            <w:tcW w:w="1510" w:type="pct"/>
            <w:vAlign w:val="center"/>
          </w:tcPr>
          <w:p w14:paraId="78DD93A4">
            <w:pPr>
              <w:pStyle w:val="12"/>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供应商承诺</w:t>
            </w:r>
          </w:p>
        </w:tc>
        <w:tc>
          <w:tcPr>
            <w:tcW w:w="475" w:type="pct"/>
            <w:vAlign w:val="center"/>
          </w:tcPr>
          <w:p w14:paraId="17977EAD">
            <w:pPr>
              <w:pStyle w:val="12"/>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偏离说明</w:t>
            </w:r>
          </w:p>
        </w:tc>
      </w:tr>
      <w:tr w14:paraId="68B9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B9A70C7">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1124" w:type="pct"/>
            <w:vAlign w:val="center"/>
          </w:tcPr>
          <w:p w14:paraId="12E6E093">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付款方式</w:t>
            </w:r>
          </w:p>
        </w:tc>
        <w:tc>
          <w:tcPr>
            <w:tcW w:w="1465" w:type="pct"/>
            <w:vAlign w:val="center"/>
          </w:tcPr>
          <w:p w14:paraId="20F2A8A8">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满足磋商文件要求</w:t>
            </w:r>
          </w:p>
        </w:tc>
        <w:tc>
          <w:tcPr>
            <w:tcW w:w="1510" w:type="pct"/>
            <w:vAlign w:val="center"/>
          </w:tcPr>
          <w:p w14:paraId="3A9CEC5E">
            <w:pPr>
              <w:jc w:val="center"/>
              <w:rPr>
                <w:rFonts w:hint="eastAsia" w:ascii="宋体" w:hAnsi="宋体" w:eastAsia="宋体" w:cs="宋体"/>
                <w:color w:val="000000" w:themeColor="text1"/>
                <w:sz w:val="24"/>
                <w:highlight w:val="none"/>
                <w14:textFill>
                  <w14:solidFill>
                    <w14:schemeClr w14:val="tx1"/>
                  </w14:solidFill>
                </w14:textFill>
              </w:rPr>
            </w:pPr>
          </w:p>
        </w:tc>
        <w:tc>
          <w:tcPr>
            <w:tcW w:w="475" w:type="pct"/>
            <w:vAlign w:val="center"/>
          </w:tcPr>
          <w:p w14:paraId="6C7335E0">
            <w:pPr>
              <w:jc w:val="center"/>
              <w:rPr>
                <w:rFonts w:hint="eastAsia" w:ascii="宋体" w:hAnsi="宋体" w:eastAsia="宋体" w:cs="宋体"/>
                <w:color w:val="000000" w:themeColor="text1"/>
                <w:sz w:val="24"/>
                <w:highlight w:val="none"/>
                <w14:textFill>
                  <w14:solidFill>
                    <w14:schemeClr w14:val="tx1"/>
                  </w14:solidFill>
                </w14:textFill>
              </w:rPr>
            </w:pPr>
          </w:p>
        </w:tc>
      </w:tr>
      <w:tr w14:paraId="2EFD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4E712CD">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1124" w:type="pct"/>
            <w:vAlign w:val="center"/>
          </w:tcPr>
          <w:p w14:paraId="262D9E9F">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服务地点</w:t>
            </w:r>
          </w:p>
        </w:tc>
        <w:tc>
          <w:tcPr>
            <w:tcW w:w="1465" w:type="pct"/>
            <w:vAlign w:val="center"/>
          </w:tcPr>
          <w:p w14:paraId="373BEB32">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满足磋商文件要求</w:t>
            </w:r>
          </w:p>
        </w:tc>
        <w:tc>
          <w:tcPr>
            <w:tcW w:w="1510" w:type="pct"/>
            <w:vAlign w:val="center"/>
          </w:tcPr>
          <w:p w14:paraId="2EDA0C84">
            <w:pPr>
              <w:jc w:val="center"/>
              <w:rPr>
                <w:rFonts w:hint="eastAsia" w:ascii="宋体" w:hAnsi="宋体" w:eastAsia="宋体" w:cs="宋体"/>
                <w:color w:val="000000" w:themeColor="text1"/>
                <w:sz w:val="24"/>
                <w:highlight w:val="none"/>
                <w14:textFill>
                  <w14:solidFill>
                    <w14:schemeClr w14:val="tx1"/>
                  </w14:solidFill>
                </w14:textFill>
              </w:rPr>
            </w:pPr>
          </w:p>
        </w:tc>
        <w:tc>
          <w:tcPr>
            <w:tcW w:w="475" w:type="pct"/>
            <w:vAlign w:val="center"/>
          </w:tcPr>
          <w:p w14:paraId="4AF3C89F">
            <w:pPr>
              <w:jc w:val="center"/>
              <w:rPr>
                <w:rFonts w:hint="eastAsia" w:ascii="宋体" w:hAnsi="宋体" w:eastAsia="宋体" w:cs="宋体"/>
                <w:color w:val="000000" w:themeColor="text1"/>
                <w:sz w:val="24"/>
                <w:highlight w:val="none"/>
                <w14:textFill>
                  <w14:solidFill>
                    <w14:schemeClr w14:val="tx1"/>
                  </w14:solidFill>
                </w14:textFill>
              </w:rPr>
            </w:pPr>
          </w:p>
        </w:tc>
      </w:tr>
      <w:tr w14:paraId="159B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EC658DF">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1124" w:type="pct"/>
            <w:vAlign w:val="center"/>
          </w:tcPr>
          <w:p w14:paraId="2BC5F5CD">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服务期限</w:t>
            </w:r>
          </w:p>
        </w:tc>
        <w:tc>
          <w:tcPr>
            <w:tcW w:w="1465" w:type="pct"/>
            <w:vAlign w:val="center"/>
          </w:tcPr>
          <w:p w14:paraId="4E410ED5">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满足磋商文件要求</w:t>
            </w:r>
          </w:p>
        </w:tc>
        <w:tc>
          <w:tcPr>
            <w:tcW w:w="1510" w:type="pct"/>
            <w:vAlign w:val="center"/>
          </w:tcPr>
          <w:p w14:paraId="16DACC80">
            <w:pPr>
              <w:pStyle w:val="49"/>
              <w:jc w:val="center"/>
              <w:rPr>
                <w:rFonts w:hint="eastAsia" w:ascii="宋体" w:hAnsi="宋体" w:eastAsia="宋体" w:cs="宋体"/>
                <w:color w:val="000000" w:themeColor="text1"/>
                <w:highlight w:val="none"/>
                <w14:textFill>
                  <w14:solidFill>
                    <w14:schemeClr w14:val="tx1"/>
                  </w14:solidFill>
                </w14:textFill>
              </w:rPr>
            </w:pPr>
          </w:p>
        </w:tc>
        <w:tc>
          <w:tcPr>
            <w:tcW w:w="475" w:type="pct"/>
            <w:vAlign w:val="center"/>
          </w:tcPr>
          <w:p w14:paraId="77A48A8E">
            <w:pPr>
              <w:jc w:val="center"/>
              <w:rPr>
                <w:rFonts w:hint="eastAsia" w:ascii="宋体" w:hAnsi="宋体" w:eastAsia="宋体" w:cs="宋体"/>
                <w:color w:val="000000" w:themeColor="text1"/>
                <w:sz w:val="24"/>
                <w:highlight w:val="none"/>
                <w14:textFill>
                  <w14:solidFill>
                    <w14:schemeClr w14:val="tx1"/>
                  </w14:solidFill>
                </w14:textFill>
              </w:rPr>
            </w:pPr>
          </w:p>
        </w:tc>
      </w:tr>
    </w:tbl>
    <w:p w14:paraId="2C41E3F7">
      <w:pPr>
        <w:spacing w:line="360" w:lineRule="auto"/>
        <w:ind w:firstLine="4800" w:firstLineChars="20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供应商电子签章：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23C58BD7">
      <w:pPr>
        <w:tabs>
          <w:tab w:val="left" w:pos="630"/>
        </w:tabs>
        <w:spacing w:line="360" w:lineRule="auto"/>
        <w:ind w:firstLine="4800" w:firstLineChars="20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          期：</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136406C6">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14:paraId="65FE9268">
      <w:pPr>
        <w:spacing w:line="360" w:lineRule="auto"/>
        <w:jc w:val="center"/>
        <w:outlineLvl w:val="1"/>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六</w:t>
      </w:r>
      <w:r>
        <w:rPr>
          <w:rFonts w:hint="eastAsia" w:ascii="宋体" w:hAnsi="宋体" w:eastAsia="宋体" w:cs="宋体"/>
          <w:b/>
          <w:color w:val="000000" w:themeColor="text1"/>
          <w:sz w:val="24"/>
          <w:highlight w:val="none"/>
          <w14:textFill>
            <w14:solidFill>
              <w14:schemeClr w14:val="tx1"/>
            </w14:solidFill>
          </w14:textFill>
        </w:rPr>
        <w:t>、联合协议</w:t>
      </w:r>
      <w:r>
        <w:rPr>
          <w:rFonts w:hint="eastAsia" w:ascii="宋体" w:hAnsi="宋体" w:eastAsia="宋体" w:cs="宋体"/>
          <w:b/>
          <w:i/>
          <w:iCs/>
          <w:color w:val="000000" w:themeColor="text1"/>
          <w:sz w:val="24"/>
          <w:highlight w:val="none"/>
          <w:lang w:eastAsia="zh-CN"/>
          <w14:textFill>
            <w14:solidFill>
              <w14:schemeClr w14:val="tx1"/>
            </w14:solidFill>
          </w14:textFill>
        </w:rPr>
        <w:t>（</w:t>
      </w:r>
      <w:r>
        <w:rPr>
          <w:rFonts w:hint="eastAsia" w:ascii="宋体" w:hAnsi="宋体" w:eastAsia="宋体" w:cs="宋体"/>
          <w:b/>
          <w:i/>
          <w:iCs/>
          <w:color w:val="000000" w:themeColor="text1"/>
          <w:sz w:val="24"/>
          <w:highlight w:val="none"/>
          <w:lang w:val="en-US" w:eastAsia="zh-CN"/>
          <w14:textFill>
            <w14:solidFill>
              <w14:schemeClr w14:val="tx1"/>
            </w14:solidFill>
          </w14:textFill>
        </w:rPr>
        <w:t>如有）</w:t>
      </w:r>
    </w:p>
    <w:p w14:paraId="2FB7FD3F">
      <w:pPr>
        <w:spacing w:line="360" w:lineRule="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联合体成员一名称：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14:paraId="18751D08">
      <w:pPr>
        <w:spacing w:line="360" w:lineRule="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联合体成员二名称：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14:paraId="652272F0">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上述各成员单位经过友好协商，自愿组成联合体，共同参加本项目的磋商，现就联合体参加磋商事宜订立如下协议：</w:t>
      </w:r>
    </w:p>
    <w:p w14:paraId="17FD9B05">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（某成员单位名称）为联合体牵头人。</w:t>
      </w:r>
    </w:p>
    <w:p w14:paraId="298F5E89">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在本项目磋商阶段，联合体牵头人负责磋商项目的一切组织、协调工作，并授权代理人以联合体的名义参加项目的磋商，代理人在磋商、合同签订过程中所签署的一切文件和处理与本次磋商有关的一切事务，联合体各方均予以承认并承担法律责任。联合体成交后，联合体各方共同与采购人签订合同，就本项目对采购人承担连带责任。</w:t>
      </w:r>
    </w:p>
    <w:p w14:paraId="6DF85EE6">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3.联合体各成员单位内部的职责分工及各方负责内容的合同金额占总合同金额的百分比如下：</w:t>
      </w:r>
    </w:p>
    <w:p w14:paraId="52523E39">
      <w:pPr>
        <w:spacing w:line="360" w:lineRule="auto"/>
        <w:ind w:firstLine="435"/>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联合体成员一名称：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，承担</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工作，负责内容的合同金额占总合同金额的百分比：</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14:paraId="7F2DF8FC">
      <w:pPr>
        <w:spacing w:line="360" w:lineRule="auto"/>
        <w:ind w:firstLine="435"/>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联合体成员二名称：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，承担</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工作，负责内容的合同金额占总合同金额的百分比：</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14:paraId="02EEE306">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4．磋商工作和联合体在成交后项目实施过程中的有关费用按各自承担的工作量分摊。</w:t>
      </w:r>
    </w:p>
    <w:p w14:paraId="4708FF53">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5．联合体成交后，本联合协议是合同的附件，对联合体各成员单位有合同约束力。</w:t>
      </w:r>
    </w:p>
    <w:p w14:paraId="27F91552">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6．本协议书自签署之日起生效，联合体未成交或者合同履行完毕后自动失效。</w:t>
      </w:r>
    </w:p>
    <w:p w14:paraId="02D71D50">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联合体成员一：</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（公章）</w:t>
      </w:r>
    </w:p>
    <w:p w14:paraId="7FD7EDC2">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（签字或盖章）</w:t>
      </w:r>
    </w:p>
    <w:p w14:paraId="4A5B2E7A">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联合体成员二：</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（公章）</w:t>
      </w:r>
    </w:p>
    <w:p w14:paraId="6E3EB9B2">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（签字或盖章）</w:t>
      </w:r>
    </w:p>
    <w:p w14:paraId="6008A43A">
      <w:pPr>
        <w:pStyle w:val="20"/>
        <w:spacing w:line="360" w:lineRule="auto"/>
        <w:rPr>
          <w:rFonts w:hint="eastAsia" w:ascii="宋体" w:hAnsi="宋体" w:eastAsia="宋体" w:cs="宋体"/>
          <w:color w:val="000000" w:themeColor="text1"/>
          <w:sz w:val="24"/>
          <w:highlight w:val="none"/>
          <w14:textFill>
            <w14:solidFill>
              <w14:schemeClr w14:val="tx1"/>
            </w14:solidFill>
          </w14:textFill>
        </w:rPr>
      </w:pPr>
    </w:p>
    <w:p w14:paraId="6BD8C437">
      <w:pPr>
        <w:spacing w:line="360" w:lineRule="auto"/>
        <w:ind w:right="480" w:firstLine="4680" w:firstLineChars="1950"/>
        <w:rPr>
          <w:rFonts w:hint="eastAsia" w:ascii="宋体" w:hAnsi="宋体" w:eastAsia="宋体" w:cs="宋体"/>
          <w:color w:val="000000" w:themeColor="text1"/>
          <w:kern w:val="2"/>
          <w:sz w:val="24"/>
          <w:szCs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签订日期:</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14:paraId="517D98F1">
      <w:pPr>
        <w:rPr>
          <w:rFonts w:hint="eastAsia" w:ascii="宋体" w:hAnsi="宋体" w:eastAsia="宋体" w:cs="宋体"/>
          <w:color w:val="000000" w:themeColor="text1"/>
          <w:highlight w:val="none"/>
          <w14:textFill>
            <w14:solidFill>
              <w14:schemeClr w14:val="tx1"/>
            </w14:solidFill>
          </w14:textFill>
        </w:rPr>
      </w:pPr>
    </w:p>
    <w:p w14:paraId="351A28FD">
      <w:pPr>
        <w:spacing w:line="360" w:lineRule="auto"/>
        <w:jc w:val="center"/>
        <w:outlineLvl w:val="1"/>
        <w:rPr>
          <w:rFonts w:hint="eastAsia" w:ascii="宋体" w:hAnsi="宋体" w:eastAsia="宋体" w:cs="宋体"/>
          <w:b/>
          <w:color w:val="000000" w:themeColor="text1"/>
          <w:sz w:val="24"/>
          <w:highlight w:val="none"/>
          <w14:textFill>
            <w14:solidFill>
              <w14:schemeClr w14:val="tx1"/>
            </w14:solidFill>
          </w14:textFill>
        </w:rPr>
      </w:pPr>
      <w:bookmarkStart w:id="246" w:name="_Toc6445"/>
      <w:bookmarkStart w:id="247" w:name="_Toc17888"/>
      <w:bookmarkStart w:id="248" w:name="_Hlk60608597"/>
      <w:r>
        <w:rPr>
          <w:rFonts w:hint="eastAsia" w:ascii="宋体" w:hAnsi="宋体" w:eastAsia="宋体" w:cs="宋体"/>
          <w:b/>
          <w:color w:val="000000" w:themeColor="text1"/>
          <w:sz w:val="24"/>
          <w:highlight w:val="none"/>
          <w:lang w:val="en-US" w:eastAsia="zh-CN"/>
          <w14:textFill>
            <w14:solidFill>
              <w14:schemeClr w14:val="tx1"/>
            </w14:solidFill>
          </w14:textFill>
        </w:rPr>
        <w:t>七</w:t>
      </w:r>
      <w:r>
        <w:rPr>
          <w:rFonts w:hint="eastAsia" w:ascii="宋体" w:hAnsi="宋体" w:eastAsia="宋体" w:cs="宋体"/>
          <w:b/>
          <w:color w:val="000000" w:themeColor="text1"/>
          <w:sz w:val="24"/>
          <w:highlight w:val="none"/>
          <w14:textFill>
            <w14:solidFill>
              <w14:schemeClr w14:val="tx1"/>
            </w14:solidFill>
          </w14:textFill>
        </w:rPr>
        <w:t>、中小企业声明函</w:t>
      </w:r>
      <w:bookmarkEnd w:id="246"/>
      <w:bookmarkEnd w:id="247"/>
    </w:p>
    <w:p w14:paraId="51D506F0">
      <w:pPr>
        <w:pStyle w:val="8"/>
        <w:jc w:val="center"/>
        <w:rPr>
          <w:rFonts w:hint="eastAsia" w:ascii="宋体" w:hAnsi="宋体" w:eastAsia="宋体" w:cs="宋体"/>
          <w:i/>
          <w:color w:val="000000" w:themeColor="text1"/>
          <w:sz w:val="24"/>
          <w:highlight w:val="none"/>
          <w:lang w:val="en-US"/>
          <w14:textFill>
            <w14:solidFill>
              <w14:schemeClr w14:val="tx1"/>
            </w14:solidFill>
          </w14:textFill>
        </w:rPr>
      </w:pPr>
      <w:r>
        <w:rPr>
          <w:rFonts w:hint="eastAsia" w:ascii="宋体" w:hAnsi="宋体" w:eastAsia="宋体" w:cs="宋体"/>
          <w:i/>
          <w:color w:val="000000" w:themeColor="text1"/>
          <w:sz w:val="24"/>
          <w:highlight w:val="none"/>
          <w:lang w:val="en-US"/>
          <w14:textFill>
            <w14:solidFill>
              <w14:schemeClr w14:val="tx1"/>
            </w14:solidFill>
          </w14:textFill>
        </w:rPr>
        <w:t>（</w:t>
      </w:r>
      <w:r>
        <w:rPr>
          <w:rFonts w:hint="eastAsia" w:ascii="宋体" w:hAnsi="宋体" w:eastAsia="宋体" w:cs="宋体"/>
          <w:i/>
          <w:color w:val="000000" w:themeColor="text1"/>
          <w:sz w:val="24"/>
          <w:highlight w:val="none"/>
          <w14:textFill>
            <w14:solidFill>
              <w14:schemeClr w14:val="tx1"/>
            </w14:solidFill>
          </w14:textFill>
        </w:rPr>
        <w:t>非中小企业</w:t>
      </w:r>
      <w:r>
        <w:rPr>
          <w:rFonts w:hint="eastAsia" w:ascii="宋体" w:hAnsi="宋体" w:eastAsia="宋体" w:cs="宋体"/>
          <w:i/>
          <w:color w:val="000000" w:themeColor="text1"/>
          <w:sz w:val="24"/>
          <w:highlight w:val="none"/>
          <w:lang w:val="en-US"/>
          <w14:textFill>
            <w14:solidFill>
              <w14:schemeClr w14:val="tx1"/>
            </w14:solidFill>
          </w14:textFill>
        </w:rPr>
        <w:t>磋商，不需此件，请删去“中小企业声明函”）</w:t>
      </w:r>
    </w:p>
    <w:p w14:paraId="1E0BD67A">
      <w:pPr>
        <w:spacing w:line="360" w:lineRule="auto"/>
        <w:ind w:firstLine="435"/>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s="宋体"/>
          <w:b/>
          <w:bCs/>
          <w:color w:val="000000" w:themeColor="text1"/>
          <w:sz w:val="24"/>
          <w:szCs w:val="24"/>
          <w:highlight w:val="none"/>
          <w:u w:val="single"/>
          <w14:textFill>
            <w14:solidFill>
              <w14:schemeClr w14:val="tx1"/>
            </w14:solidFill>
          </w14:textFill>
        </w:rPr>
        <w:t>安徽省淮河河道管理局</w:t>
      </w:r>
      <w:r>
        <w:rPr>
          <w:rFonts w:hint="eastAsia" w:ascii="宋体" w:hAnsi="宋体" w:eastAsia="宋体" w:cs="宋体"/>
          <w:color w:val="000000" w:themeColor="text1"/>
          <w:sz w:val="24"/>
          <w:szCs w:val="24"/>
          <w:highlight w:val="none"/>
          <w:lang w:val="zh-CN"/>
          <w14:textFill>
            <w14:solidFill>
              <w14:schemeClr w14:val="tx1"/>
            </w14:solidFill>
          </w14:textFill>
        </w:rPr>
        <w:t>的</w:t>
      </w: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2026年省淮河局、省怀洪新河局、省临淮岗局部分水闸安全鉴定及堤防安全评价等（第1包省淮河局）</w:t>
      </w:r>
      <w:r>
        <w:rPr>
          <w:rFonts w:hint="eastAsia" w:ascii="宋体" w:hAnsi="宋体" w:eastAsia="宋体" w:cs="宋体"/>
          <w:color w:val="000000" w:themeColor="text1"/>
          <w:sz w:val="24"/>
          <w:szCs w:val="24"/>
          <w:highlight w:val="none"/>
          <w:lang w:val="zh-CN"/>
          <w14:textFill>
            <w14:solidFill>
              <w14:schemeClr w14:val="tx1"/>
            </w14:solidFill>
          </w14:textFill>
        </w:rPr>
        <w:t xml:space="preserve">采购活动，服务全部由符合政策要求的中小企业承接。相关企业（含联合体中的中小企业、签订分包意向协议的中小企业）的具体情况如下： </w:t>
      </w:r>
    </w:p>
    <w:p w14:paraId="210D6A8E">
      <w:pPr>
        <w:spacing w:line="360" w:lineRule="auto"/>
        <w:ind w:firstLine="435"/>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1.</w:t>
      </w: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 xml:space="preserve"> 2026年省淮河局、省怀洪新河局、省临淮岗局部分水闸安全鉴定及堤防安全评价等（第1包省淮河局）</w:t>
      </w:r>
      <w:r>
        <w:rPr>
          <w:rFonts w:hint="eastAsia" w:ascii="宋体" w:hAnsi="宋体" w:eastAsia="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zh-CN"/>
          <w14:textFill>
            <w14:solidFill>
              <w14:schemeClr w14:val="tx1"/>
            </w14:solidFill>
          </w14:textFill>
        </w:rPr>
        <w:t>，属于</w:t>
      </w:r>
      <w:r>
        <w:rPr>
          <w:rFonts w:hint="eastAsia" w:ascii="宋体" w:hAnsi="宋体" w:eastAsia="宋体" w:cs="宋体"/>
          <w:b/>
          <w:bCs/>
          <w:color w:val="000000" w:themeColor="text1"/>
          <w:sz w:val="24"/>
          <w:szCs w:val="24"/>
          <w:highlight w:val="none"/>
          <w:u w:val="single"/>
          <w14:textFill>
            <w14:solidFill>
              <w14:schemeClr w14:val="tx1"/>
            </w14:solidFill>
          </w14:textFill>
        </w:rPr>
        <w:t>其他未列明</w:t>
      </w:r>
      <w:r>
        <w:rPr>
          <w:rFonts w:hint="eastAsia" w:ascii="宋体" w:hAnsi="宋体" w:eastAsia="宋体" w:cs="宋体"/>
          <w:color w:val="000000" w:themeColor="text1"/>
          <w:sz w:val="24"/>
          <w:szCs w:val="24"/>
          <w:highlight w:val="none"/>
          <w:lang w:val="zh-CN"/>
          <w14:textFill>
            <w14:solidFill>
              <w14:schemeClr w14:val="tx1"/>
            </w14:solidFill>
          </w14:textFill>
        </w:rPr>
        <w:t>行业；承接企业为</w:t>
      </w:r>
      <w:r>
        <w:rPr>
          <w:rFonts w:hint="eastAsia" w:ascii="宋体" w:hAnsi="宋体" w:eastAsia="宋体" w:cs="宋体"/>
          <w:color w:val="000000" w:themeColor="text1"/>
          <w:sz w:val="24"/>
          <w:szCs w:val="24"/>
          <w:highlight w:val="none"/>
          <w:u w:val="single"/>
          <w:lang w:val="zh-CN"/>
          <w14:textFill>
            <w14:solidFill>
              <w14:schemeClr w14:val="tx1"/>
            </w14:solidFill>
          </w14:textFill>
        </w:rPr>
        <w:t>（企业名称）</w:t>
      </w:r>
      <w:r>
        <w:rPr>
          <w:rFonts w:hint="eastAsia" w:ascii="宋体" w:hAnsi="宋体" w:eastAsia="宋体" w:cs="宋体"/>
          <w:color w:val="000000" w:themeColor="text1"/>
          <w:sz w:val="24"/>
          <w:szCs w:val="24"/>
          <w:highlight w:val="none"/>
          <w:lang w:val="zh-CN"/>
          <w14:textFill>
            <w14:solidFill>
              <w14:schemeClr w14:val="tx1"/>
            </w14:solidFill>
          </w14:textFill>
        </w:rPr>
        <w:t>，从业人员</w:t>
      </w:r>
      <w:r>
        <w:rPr>
          <w:rFonts w:hint="eastAsia" w:ascii="宋体" w:hAnsi="宋体" w:eastAsia="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zh-CN"/>
          <w14:textFill>
            <w14:solidFill>
              <w14:schemeClr w14:val="tx1"/>
            </w14:solidFill>
          </w14:textFill>
        </w:rPr>
        <w:t>人，营业收入为</w:t>
      </w:r>
      <w:r>
        <w:rPr>
          <w:rFonts w:hint="eastAsia" w:ascii="宋体" w:hAnsi="宋体" w:eastAsia="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zh-CN"/>
          <w14:textFill>
            <w14:solidFill>
              <w14:schemeClr w14:val="tx1"/>
            </w14:solidFill>
          </w14:textFill>
        </w:rPr>
        <w:t>万元，资产总额为</w:t>
      </w:r>
      <w:r>
        <w:rPr>
          <w:rFonts w:hint="eastAsia" w:ascii="宋体" w:hAnsi="宋体" w:eastAsia="宋体" w:cs="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zh-CN"/>
          <w14:textFill>
            <w14:solidFill>
              <w14:schemeClr w14:val="tx1"/>
            </w14:solidFill>
          </w14:textFill>
        </w:rPr>
        <w:t>万元，属于</w:t>
      </w:r>
      <w:r>
        <w:rPr>
          <w:rFonts w:hint="eastAsia" w:ascii="宋体" w:hAnsi="宋体" w:eastAsia="宋体" w:cs="宋体"/>
          <w:color w:val="000000" w:themeColor="text1"/>
          <w:sz w:val="24"/>
          <w:szCs w:val="24"/>
          <w:highlight w:val="none"/>
          <w:u w:val="single"/>
          <w:lang w:val="zh-CN"/>
          <w14:textFill>
            <w14:solidFill>
              <w14:schemeClr w14:val="tx1"/>
            </w14:solidFill>
          </w14:textFill>
        </w:rPr>
        <w:t>（中型企业、小型企业、微型企业）</w:t>
      </w:r>
      <w:r>
        <w:rPr>
          <w:rFonts w:hint="eastAsia" w:ascii="宋体" w:hAnsi="宋体" w:eastAsia="宋体" w:cs="宋体"/>
          <w:color w:val="000000" w:themeColor="text1"/>
          <w:sz w:val="24"/>
          <w:szCs w:val="24"/>
          <w:highlight w:val="none"/>
          <w:lang w:val="zh-CN"/>
          <w14:textFill>
            <w14:solidFill>
              <w14:schemeClr w14:val="tx1"/>
            </w14:solidFill>
          </w14:textFill>
        </w:rPr>
        <w:t xml:space="preserve">； </w:t>
      </w:r>
    </w:p>
    <w:p w14:paraId="7CD5ADB9">
      <w:pPr>
        <w:spacing w:line="360" w:lineRule="auto"/>
        <w:ind w:firstLine="435"/>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p>
    <w:p w14:paraId="4B945960">
      <w:pPr>
        <w:spacing w:line="360" w:lineRule="auto"/>
        <w:ind w:firstLine="435"/>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以上企业，不属于大企业的分支机构，不存在控股股东为大企业的情形，也不存在与大企业的负责人为同一人的情形。</w:t>
      </w:r>
    </w:p>
    <w:p w14:paraId="387BE6A5">
      <w:pPr>
        <w:spacing w:line="360" w:lineRule="auto"/>
        <w:ind w:firstLine="435"/>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 xml:space="preserve">本企业对上述声明内容的真实性负责。如有虚假，将依法承担相应责任。 </w:t>
      </w:r>
    </w:p>
    <w:p w14:paraId="07738B8B">
      <w:pPr>
        <w:spacing w:line="360" w:lineRule="auto"/>
        <w:ind w:firstLine="435"/>
        <w:rPr>
          <w:rFonts w:hint="eastAsia" w:ascii="宋体" w:hAnsi="宋体" w:eastAsia="宋体" w:cs="宋体"/>
          <w:color w:val="000000" w:themeColor="text1"/>
          <w:sz w:val="24"/>
          <w:szCs w:val="24"/>
          <w:highlight w:val="none"/>
          <w14:textFill>
            <w14:solidFill>
              <w14:schemeClr w14:val="tx1"/>
            </w14:solidFill>
          </w14:textFill>
        </w:rPr>
      </w:pPr>
    </w:p>
    <w:p w14:paraId="56827129">
      <w:pPr>
        <w:spacing w:line="360" w:lineRule="auto"/>
        <w:ind w:firstLine="435"/>
        <w:rPr>
          <w:rFonts w:hint="eastAsia" w:ascii="宋体" w:hAnsi="宋体" w:eastAsia="宋体" w:cs="宋体"/>
          <w:color w:val="000000" w:themeColor="text1"/>
          <w:sz w:val="24"/>
          <w:szCs w:val="24"/>
          <w:highlight w:val="none"/>
          <w14:textFill>
            <w14:solidFill>
              <w14:schemeClr w14:val="tx1"/>
            </w14:solidFill>
          </w14:textFill>
        </w:rPr>
      </w:pPr>
    </w:p>
    <w:p w14:paraId="07A46259">
      <w:pPr>
        <w:spacing w:line="360" w:lineRule="auto"/>
        <w:ind w:firstLine="4228" w:firstLineChars="176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供应商电子签章：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9C0A653">
      <w:pPr>
        <w:tabs>
          <w:tab w:val="left" w:pos="4620"/>
        </w:tabs>
        <w:spacing w:line="360" w:lineRule="auto"/>
        <w:ind w:firstLine="4252" w:firstLineChars="177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85B1E1E">
      <w:pPr>
        <w:tabs>
          <w:tab w:val="left" w:pos="4620"/>
        </w:tabs>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bookmarkEnd w:id="248"/>
    <w:p w14:paraId="2977C2A0">
      <w:pPr>
        <w:tabs>
          <w:tab w:val="left" w:pos="4620"/>
        </w:tabs>
        <w:spacing w:line="360" w:lineRule="auto"/>
        <w:jc w:val="left"/>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注：</w:t>
      </w:r>
    </w:p>
    <w:p w14:paraId="3EEA0CDC">
      <w:pPr>
        <w:tabs>
          <w:tab w:val="left" w:pos="4620"/>
        </w:tabs>
        <w:spacing w:line="360" w:lineRule="auto"/>
        <w:jc w:val="left"/>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1.从业人员、营业收入、资产总额填报上一年数据，无上一年数据的新成立企业可不填报。</w:t>
      </w:r>
    </w:p>
    <w:p w14:paraId="5FD1E7F4">
      <w:pPr>
        <w:tabs>
          <w:tab w:val="left" w:pos="4620"/>
        </w:tabs>
        <w:spacing w:line="360" w:lineRule="auto"/>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000000" w:themeColor="text1"/>
          <w:szCs w:val="21"/>
          <w:highlight w:val="none"/>
          <w:lang w:val="zh-CN"/>
          <w14:textFill>
            <w14:solidFill>
              <w14:schemeClr w14:val="tx1"/>
            </w14:solidFill>
          </w14:textFill>
        </w:rPr>
        <w:t>如有虚假，将依法承担相应责任。</w:t>
      </w:r>
      <w:r>
        <w:rPr>
          <w:rFonts w:hint="eastAsia" w:ascii="宋体" w:hAnsi="宋体" w:eastAsia="宋体" w:cs="宋体"/>
          <w:b/>
          <w:bCs/>
          <w:color w:val="000000" w:themeColor="text1"/>
          <w:szCs w:val="21"/>
          <w:highlight w:val="none"/>
          <w14:textFill>
            <w14:solidFill>
              <w14:schemeClr w14:val="tx1"/>
            </w14:solidFill>
          </w14:textFill>
        </w:rPr>
        <w:t>供应商自行登录工业和信息化部官网进行中小企业规模类型自测（查询网址https://www.miit.gov.cn/）。</w:t>
      </w:r>
    </w:p>
    <w:p w14:paraId="77DA970D">
      <w:pPr>
        <w:tabs>
          <w:tab w:val="left" w:pos="4620"/>
        </w:tabs>
        <w:spacing w:line="360" w:lineRule="auto"/>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3.上述“</w:t>
      </w:r>
      <w:r>
        <w:rPr>
          <w:rFonts w:hint="eastAsia" w:ascii="宋体" w:hAnsi="宋体" w:eastAsia="宋体" w:cs="宋体"/>
          <w:b/>
          <w:bCs/>
          <w:color w:val="000000" w:themeColor="text1"/>
          <w:szCs w:val="21"/>
          <w:highlight w:val="none"/>
          <w:u w:val="single"/>
          <w:lang w:val="zh-CN"/>
          <w14:textFill>
            <w14:solidFill>
              <w14:schemeClr w14:val="tx1"/>
            </w14:solidFill>
          </w14:textFill>
        </w:rPr>
        <w:t>标的名称</w:t>
      </w:r>
      <w:r>
        <w:rPr>
          <w:rFonts w:hint="eastAsia" w:ascii="宋体" w:hAnsi="宋体" w:eastAsia="宋体" w:cs="宋体"/>
          <w:b/>
          <w:bCs/>
          <w:color w:val="000000" w:themeColor="text1"/>
          <w:szCs w:val="21"/>
          <w:highlight w:val="none"/>
          <w14:textFill>
            <w14:solidFill>
              <w14:schemeClr w14:val="tx1"/>
            </w14:solidFill>
          </w14:textFill>
        </w:rPr>
        <w:t>”，详见第三章采购需求前附表中明确的“标的名称”。</w:t>
      </w:r>
    </w:p>
    <w:p w14:paraId="748714F6">
      <w:pPr>
        <w:tabs>
          <w:tab w:val="left" w:pos="4620"/>
        </w:tabs>
        <w:spacing w:line="360" w:lineRule="auto"/>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4.上述“</w:t>
      </w:r>
      <w:r>
        <w:rPr>
          <w:rFonts w:hint="eastAsia" w:ascii="宋体" w:hAnsi="宋体" w:eastAsia="宋体" w:cs="宋体"/>
          <w:b/>
          <w:bCs/>
          <w:color w:val="000000" w:themeColor="text1"/>
          <w:szCs w:val="21"/>
          <w:highlight w:val="none"/>
          <w:u w:val="single"/>
          <w14:textFill>
            <w14:solidFill>
              <w14:schemeClr w14:val="tx1"/>
            </w14:solidFill>
          </w14:textFill>
        </w:rPr>
        <w:t>采购文件中明确的所属行业</w:t>
      </w:r>
      <w:r>
        <w:rPr>
          <w:rFonts w:hint="eastAsia" w:ascii="宋体" w:hAnsi="宋体" w:eastAsia="宋体" w:cs="宋体"/>
          <w:b/>
          <w:bCs/>
          <w:color w:val="000000" w:themeColor="text1"/>
          <w:szCs w:val="21"/>
          <w:highlight w:val="none"/>
          <w14:textFill>
            <w14:solidFill>
              <w14:schemeClr w14:val="tx1"/>
            </w14:solidFill>
          </w14:textFill>
        </w:rPr>
        <w:t>”，详见第三章采购需求前附表中明确的“所属行业”。</w:t>
      </w:r>
    </w:p>
    <w:p w14:paraId="6F5DD31D">
      <w:pPr>
        <w:tabs>
          <w:tab w:val="left" w:pos="4620"/>
        </w:tabs>
        <w:spacing w:line="360" w:lineRule="auto"/>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5．填写示例：</w:t>
      </w:r>
      <w:r>
        <w:rPr>
          <w:rFonts w:hint="eastAsia" w:ascii="宋体" w:hAnsi="宋体" w:eastAsia="宋体" w:cs="宋体"/>
          <w:b/>
          <w:bCs/>
          <w:color w:val="000000" w:themeColor="text1"/>
          <w:szCs w:val="21"/>
          <w:highlight w:val="none"/>
          <w:u w:val="single"/>
          <w14:textFill>
            <w14:solidFill>
              <w14:schemeClr w14:val="tx1"/>
            </w14:solidFill>
          </w14:textFill>
        </w:rPr>
        <w:t>某标的名称</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u w:val="single"/>
          <w14:textFill>
            <w14:solidFill>
              <w14:schemeClr w14:val="tx1"/>
            </w14:solidFill>
          </w14:textFill>
        </w:rPr>
        <w:t>填写第三章采购需求前附表中明确的“标的名称”</w:t>
      </w:r>
      <w:r>
        <w:rPr>
          <w:rFonts w:hint="eastAsia" w:ascii="宋体" w:hAnsi="宋体" w:eastAsia="宋体" w:cs="宋体"/>
          <w:b/>
          <w:bCs/>
          <w:color w:val="000000" w:themeColor="text1"/>
          <w:szCs w:val="21"/>
          <w:highlight w:val="none"/>
          <w14:textFill>
            <w14:solidFill>
              <w14:schemeClr w14:val="tx1"/>
            </w14:solidFill>
          </w14:textFill>
        </w:rPr>
        <w:t>），属于</w:t>
      </w:r>
      <w:r>
        <w:rPr>
          <w:rFonts w:hint="eastAsia" w:ascii="宋体" w:hAnsi="宋体" w:eastAsia="宋体" w:cs="宋体"/>
          <w:b/>
          <w:bCs/>
          <w:color w:val="000000" w:themeColor="text1"/>
          <w:szCs w:val="21"/>
          <w:highlight w:val="none"/>
          <w:u w:val="single"/>
          <w14:textFill>
            <w14:solidFill>
              <w14:schemeClr w14:val="tx1"/>
            </w14:solidFill>
          </w14:textFill>
        </w:rPr>
        <w:t>（填写第三章采购需求前附表中明确的“所属行业”，如软件和信息技术服务业）</w:t>
      </w:r>
      <w:r>
        <w:rPr>
          <w:rFonts w:hint="eastAsia" w:ascii="宋体" w:hAnsi="宋体" w:eastAsia="宋体" w:cs="宋体"/>
          <w:b/>
          <w:bCs/>
          <w:color w:val="000000" w:themeColor="text1"/>
          <w:szCs w:val="21"/>
          <w:highlight w:val="none"/>
          <w14:textFill>
            <w14:solidFill>
              <w14:schemeClr w14:val="tx1"/>
            </w14:solidFill>
          </w14:textFill>
        </w:rPr>
        <w:t>行业；承接企业为</w:t>
      </w:r>
      <w:r>
        <w:rPr>
          <w:rFonts w:hint="eastAsia" w:ascii="宋体" w:hAnsi="宋体" w:eastAsia="宋体" w:cs="宋体"/>
          <w:b/>
          <w:bCs/>
          <w:color w:val="000000" w:themeColor="text1"/>
          <w:szCs w:val="21"/>
          <w:highlight w:val="none"/>
          <w:u w:val="single"/>
          <w:lang w:val="zh-CN"/>
          <w14:textFill>
            <w14:solidFill>
              <w14:schemeClr w14:val="tx1"/>
            </w14:solidFill>
          </w14:textFill>
        </w:rPr>
        <w:t>某</w:t>
      </w:r>
      <w:r>
        <w:rPr>
          <w:rFonts w:hint="eastAsia" w:ascii="宋体" w:hAnsi="宋体" w:eastAsia="宋体" w:cs="宋体"/>
          <w:b/>
          <w:bCs/>
          <w:color w:val="000000" w:themeColor="text1"/>
          <w:szCs w:val="21"/>
          <w:highlight w:val="none"/>
          <w:u w:val="single"/>
          <w14:textFill>
            <w14:solidFill>
              <w14:schemeClr w14:val="tx1"/>
            </w14:solidFill>
          </w14:textFill>
        </w:rPr>
        <w:t>企业</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zh-CN"/>
          <w14:textFill>
            <w14:solidFill>
              <w14:schemeClr w14:val="tx1"/>
            </w14:solidFill>
          </w14:textFill>
        </w:rPr>
        <w:t>从业人员</w:t>
      </w:r>
      <w:r>
        <w:rPr>
          <w:rFonts w:hint="eastAsia" w:ascii="宋体" w:hAnsi="宋体" w:eastAsia="宋体" w:cs="宋体"/>
          <w:b/>
          <w:bCs/>
          <w:color w:val="000000" w:themeColor="text1"/>
          <w:szCs w:val="21"/>
          <w:highlight w:val="none"/>
          <w:u w:val="single"/>
          <w14:textFill>
            <w14:solidFill>
              <w14:schemeClr w14:val="tx1"/>
            </w14:solidFill>
          </w14:textFill>
        </w:rPr>
        <w:t>100</w:t>
      </w:r>
      <w:r>
        <w:rPr>
          <w:rFonts w:hint="eastAsia" w:ascii="宋体" w:hAnsi="宋体" w:eastAsia="宋体" w:cs="宋体"/>
          <w:b/>
          <w:bCs/>
          <w:color w:val="000000" w:themeColor="text1"/>
          <w:szCs w:val="21"/>
          <w:highlight w:val="none"/>
          <w:lang w:val="zh-CN"/>
          <w14:textFill>
            <w14:solidFill>
              <w14:schemeClr w14:val="tx1"/>
            </w14:solidFill>
          </w14:textFill>
        </w:rPr>
        <w:t>人</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zh-CN"/>
          <w14:textFill>
            <w14:solidFill>
              <w14:schemeClr w14:val="tx1"/>
            </w14:solidFill>
          </w14:textFill>
        </w:rPr>
        <w:t>营业收入为</w:t>
      </w:r>
      <w:r>
        <w:rPr>
          <w:rFonts w:hint="eastAsia" w:ascii="宋体" w:hAnsi="宋体" w:eastAsia="宋体" w:cs="宋体"/>
          <w:b/>
          <w:bCs/>
          <w:color w:val="000000" w:themeColor="text1"/>
          <w:szCs w:val="21"/>
          <w:highlight w:val="none"/>
          <w:u w:val="single"/>
          <w14:textFill>
            <w14:solidFill>
              <w14:schemeClr w14:val="tx1"/>
            </w14:solidFill>
          </w14:textFill>
        </w:rPr>
        <w:t>10000</w:t>
      </w:r>
      <w:r>
        <w:rPr>
          <w:rFonts w:hint="eastAsia" w:ascii="宋体" w:hAnsi="宋体" w:eastAsia="宋体" w:cs="宋体"/>
          <w:b/>
          <w:bCs/>
          <w:color w:val="000000" w:themeColor="text1"/>
          <w:szCs w:val="21"/>
          <w:highlight w:val="none"/>
          <w:lang w:val="zh-CN"/>
          <w14:textFill>
            <w14:solidFill>
              <w14:schemeClr w14:val="tx1"/>
            </w14:solidFill>
          </w14:textFill>
        </w:rPr>
        <w:t>万元</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zh-CN"/>
          <w14:textFill>
            <w14:solidFill>
              <w14:schemeClr w14:val="tx1"/>
            </w14:solidFill>
          </w14:textFill>
        </w:rPr>
        <w:t>资产总额为</w:t>
      </w:r>
      <w:r>
        <w:rPr>
          <w:rFonts w:hint="eastAsia" w:ascii="宋体" w:hAnsi="宋体" w:eastAsia="宋体" w:cs="宋体"/>
          <w:b/>
          <w:bCs/>
          <w:color w:val="000000" w:themeColor="text1"/>
          <w:szCs w:val="21"/>
          <w:highlight w:val="none"/>
          <w:u w:val="single"/>
          <w14:textFill>
            <w14:solidFill>
              <w14:schemeClr w14:val="tx1"/>
            </w14:solidFill>
          </w14:textFill>
        </w:rPr>
        <w:t>5000</w:t>
      </w:r>
      <w:r>
        <w:rPr>
          <w:rFonts w:hint="eastAsia" w:ascii="宋体" w:hAnsi="宋体" w:eastAsia="宋体" w:cs="宋体"/>
          <w:b/>
          <w:bCs/>
          <w:color w:val="000000" w:themeColor="text1"/>
          <w:szCs w:val="21"/>
          <w:highlight w:val="none"/>
          <w:lang w:val="zh-CN"/>
          <w14:textFill>
            <w14:solidFill>
              <w14:schemeClr w14:val="tx1"/>
            </w14:solidFill>
          </w14:textFill>
        </w:rPr>
        <w:t>万元</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zh-CN"/>
          <w14:textFill>
            <w14:solidFill>
              <w14:schemeClr w14:val="tx1"/>
            </w14:solidFill>
          </w14:textFill>
        </w:rPr>
        <w:t>属于</w:t>
      </w:r>
      <w:r>
        <w:rPr>
          <w:rFonts w:hint="eastAsia" w:ascii="宋体" w:hAnsi="宋体" w:eastAsia="宋体" w:cs="宋体"/>
          <w:b/>
          <w:bCs/>
          <w:color w:val="000000" w:themeColor="text1"/>
          <w:szCs w:val="21"/>
          <w:highlight w:val="none"/>
          <w14:textFill>
            <w14:solidFill>
              <w14:schemeClr w14:val="tx1"/>
            </w14:solidFill>
          </w14:textFill>
        </w:rPr>
        <w:t>中</w:t>
      </w:r>
      <w:r>
        <w:rPr>
          <w:rFonts w:hint="eastAsia" w:ascii="宋体" w:hAnsi="宋体" w:eastAsia="宋体" w:cs="宋体"/>
          <w:b/>
          <w:bCs/>
          <w:color w:val="000000" w:themeColor="text1"/>
          <w:szCs w:val="21"/>
          <w:highlight w:val="none"/>
          <w:u w:val="single"/>
          <w:lang w:val="zh-CN"/>
          <w14:textFill>
            <w14:solidFill>
              <w14:schemeClr w14:val="tx1"/>
            </w14:solidFill>
          </w14:textFill>
        </w:rPr>
        <w:t>型</w:t>
      </w:r>
      <w:r>
        <w:rPr>
          <w:rFonts w:hint="eastAsia" w:ascii="宋体" w:hAnsi="宋体" w:eastAsia="宋体" w:cs="宋体"/>
          <w:b/>
          <w:bCs/>
          <w:color w:val="000000" w:themeColor="text1"/>
          <w:szCs w:val="21"/>
          <w:highlight w:val="none"/>
          <w:lang w:val="zh-CN"/>
          <w14:textFill>
            <w14:solidFill>
              <w14:schemeClr w14:val="tx1"/>
            </w14:solidFill>
          </w14:textFill>
        </w:rPr>
        <w:t>企业</w:t>
      </w:r>
      <w:r>
        <w:rPr>
          <w:rFonts w:hint="eastAsia" w:ascii="宋体" w:hAnsi="宋体" w:eastAsia="宋体" w:cs="宋体"/>
          <w:b/>
          <w:bCs/>
          <w:color w:val="000000" w:themeColor="text1"/>
          <w:szCs w:val="21"/>
          <w:highlight w:val="none"/>
          <w14:textFill>
            <w14:solidFill>
              <w14:schemeClr w14:val="tx1"/>
            </w14:solidFill>
          </w14:textFill>
        </w:rPr>
        <w:t>[供应商自行登录工业和信息化部官网进行中小企业规模类型自测（查询网址https://www.miit.gov.cn/）]</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750C7100">
      <w:pPr>
        <w:tabs>
          <w:tab w:val="left" w:pos="4620"/>
        </w:tabs>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14:paraId="785B5A58">
      <w:pPr>
        <w:spacing w:line="360" w:lineRule="auto"/>
        <w:jc w:val="center"/>
        <w:outlineLvl w:val="9"/>
        <w:rPr>
          <w:rFonts w:hint="eastAsia" w:ascii="宋体" w:hAnsi="宋体" w:eastAsia="宋体" w:cs="宋体"/>
          <w:b/>
          <w:color w:val="000000" w:themeColor="text1"/>
          <w:sz w:val="24"/>
          <w:highlight w:val="none"/>
          <w14:textFill>
            <w14:solidFill>
              <w14:schemeClr w14:val="tx1"/>
            </w14:solidFill>
          </w14:textFill>
        </w:rPr>
      </w:pPr>
      <w:bookmarkStart w:id="249" w:name="_Toc17713"/>
      <w:bookmarkStart w:id="250" w:name="_Toc5908"/>
      <w:bookmarkStart w:id="251" w:name="_Hlk60608725"/>
      <w:r>
        <w:rPr>
          <w:rFonts w:hint="eastAsia" w:ascii="宋体" w:hAnsi="宋体" w:eastAsia="宋体" w:cs="宋体"/>
          <w:b/>
          <w:color w:val="000000" w:themeColor="text1"/>
          <w:sz w:val="24"/>
          <w:highlight w:val="none"/>
          <w14:textFill>
            <w14:solidFill>
              <w14:schemeClr w14:val="tx1"/>
            </w14:solidFill>
          </w14:textFill>
        </w:rPr>
        <w:t>残疾人福利性单位声明函</w:t>
      </w:r>
      <w:bookmarkEnd w:id="249"/>
      <w:bookmarkEnd w:id="250"/>
    </w:p>
    <w:p w14:paraId="19708C27">
      <w:pPr>
        <w:pStyle w:val="8"/>
        <w:jc w:val="center"/>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i/>
          <w:color w:val="000000" w:themeColor="text1"/>
          <w:sz w:val="24"/>
          <w:highlight w:val="none"/>
          <w:lang w:val="en-US"/>
          <w14:textFill>
            <w14:solidFill>
              <w14:schemeClr w14:val="tx1"/>
            </w14:solidFill>
          </w14:textFill>
        </w:rPr>
        <w:t>（非残疾人福利性单位磋商，请删去“残疾人福利性单位声明函”）</w:t>
      </w:r>
    </w:p>
    <w:p w14:paraId="2045C1FA">
      <w:pPr>
        <w:spacing w:line="360" w:lineRule="auto"/>
        <w:ind w:firstLine="435"/>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本单位</w:t>
      </w:r>
      <w:r>
        <w:rPr>
          <w:rFonts w:hint="eastAsia" w:ascii="宋体" w:hAnsi="宋体" w:eastAsia="宋体" w:cs="宋体"/>
          <w:color w:val="000000" w:themeColor="text1"/>
          <w:sz w:val="24"/>
          <w:highlight w:val="none"/>
          <w14:textFill>
            <w14:solidFill>
              <w14:schemeClr w14:val="tx1"/>
            </w14:solidFill>
          </w14:textFill>
        </w:rPr>
        <w:t>郑重</w:t>
      </w:r>
      <w:r>
        <w:rPr>
          <w:rFonts w:hint="eastAsia" w:ascii="宋体" w:hAnsi="宋体" w:eastAsia="宋体" w:cs="宋体"/>
          <w:color w:val="000000" w:themeColor="text1"/>
          <w:spacing w:val="6"/>
          <w:sz w:val="24"/>
          <w:szCs w:val="24"/>
          <w:highlight w:val="none"/>
          <w14:textFill>
            <w14:solidFill>
              <w14:schemeClr w14:val="tx1"/>
            </w14:solidFill>
          </w14:textFill>
        </w:rPr>
        <w:t>声明，根据《财政部 民政部 中国残疾人联合会关于促进残疾人就业政府采购政策的通知》（财库</w:t>
      </w:r>
      <w:r>
        <w:rPr>
          <w:rFonts w:hint="eastAsia" w:ascii="宋体" w:hAnsi="宋体" w:eastAsia="宋体" w:cs="宋体"/>
          <w:color w:val="000000" w:themeColor="text1"/>
          <w:sz w:val="24"/>
          <w:szCs w:val="24"/>
          <w:highlight w:val="none"/>
          <w14:textFill>
            <w14:solidFill>
              <w14:schemeClr w14:val="tx1"/>
            </w14:solidFill>
          </w14:textFill>
        </w:rPr>
        <w:t>〔2017〕141</w:t>
      </w:r>
      <w:r>
        <w:rPr>
          <w:rFonts w:hint="eastAsia" w:ascii="宋体" w:hAnsi="宋体" w:eastAsia="宋体" w:cs="宋体"/>
          <w:color w:val="000000" w:themeColor="text1"/>
          <w:spacing w:val="6"/>
          <w:sz w:val="24"/>
          <w:szCs w:val="24"/>
          <w:highlight w:val="none"/>
          <w14:textFill>
            <w14:solidFill>
              <w14:schemeClr w14:val="tx1"/>
            </w14:solidFill>
          </w14:textFill>
        </w:rPr>
        <w:t>号）的规定，本单位为</w:t>
      </w:r>
      <w:r>
        <w:rPr>
          <w:rFonts w:hint="eastAsia" w:ascii="宋体" w:hAnsi="宋体" w:eastAsia="宋体" w:cs="宋体"/>
          <w:bCs/>
          <w:color w:val="000000" w:themeColor="text1"/>
          <w:sz w:val="24"/>
          <w:szCs w:val="24"/>
          <w:highlight w:val="none"/>
          <w14:textFill>
            <w14:solidFill>
              <w14:schemeClr w14:val="tx1"/>
            </w14:solidFill>
          </w14:textFill>
        </w:rPr>
        <w:t>符合</w:t>
      </w:r>
      <w:r>
        <w:rPr>
          <w:rFonts w:hint="eastAsia" w:ascii="宋体" w:hAnsi="宋体" w:eastAsia="宋体" w:cs="宋体"/>
          <w:color w:val="000000" w:themeColor="text1"/>
          <w:spacing w:val="6"/>
          <w:sz w:val="24"/>
          <w:szCs w:val="24"/>
          <w:highlight w:val="none"/>
          <w14:textFill>
            <w14:solidFill>
              <w14:schemeClr w14:val="tx1"/>
            </w14:solidFill>
          </w14:textFill>
        </w:rPr>
        <w:t>条件的残疾人福利性单位，且本单位参加</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单位的</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2AF469CE">
      <w:pPr>
        <w:spacing w:line="360" w:lineRule="auto"/>
        <w:ind w:firstLine="435"/>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本单位对上述声明的真实性负责。如有虚假，将依法承担相应责任。</w:t>
      </w:r>
    </w:p>
    <w:p w14:paraId="44B54EF0">
      <w:pPr>
        <w:spacing w:line="360" w:lineRule="auto"/>
        <w:ind w:firstLine="4228" w:firstLineChars="1762"/>
        <w:rPr>
          <w:rFonts w:hint="eastAsia" w:ascii="宋体" w:hAnsi="宋体" w:eastAsia="宋体" w:cs="宋体"/>
          <w:color w:val="000000" w:themeColor="text1"/>
          <w:sz w:val="24"/>
          <w:szCs w:val="24"/>
          <w:highlight w:val="none"/>
          <w14:textFill>
            <w14:solidFill>
              <w14:schemeClr w14:val="tx1"/>
            </w14:solidFill>
          </w14:textFill>
        </w:rPr>
      </w:pPr>
    </w:p>
    <w:p w14:paraId="1BE73A23">
      <w:pPr>
        <w:spacing w:line="360" w:lineRule="auto"/>
        <w:ind w:firstLine="4228" w:firstLineChars="1762"/>
        <w:rPr>
          <w:rFonts w:hint="eastAsia" w:ascii="宋体" w:hAnsi="宋体" w:eastAsia="宋体" w:cs="宋体"/>
          <w:color w:val="000000" w:themeColor="text1"/>
          <w:sz w:val="24"/>
          <w:szCs w:val="24"/>
          <w:highlight w:val="none"/>
          <w14:textFill>
            <w14:solidFill>
              <w14:schemeClr w14:val="tx1"/>
            </w14:solidFill>
          </w14:textFill>
        </w:rPr>
      </w:pPr>
    </w:p>
    <w:p w14:paraId="6144D5A0">
      <w:pPr>
        <w:spacing w:line="360" w:lineRule="auto"/>
        <w:ind w:firstLine="4228" w:firstLineChars="176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供应商电子签章：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D2E0DD1">
      <w:pPr>
        <w:tabs>
          <w:tab w:val="left" w:pos="4620"/>
        </w:tabs>
        <w:spacing w:line="360" w:lineRule="auto"/>
        <w:ind w:firstLine="4252" w:firstLineChars="177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bookmarkEnd w:id="251"/>
    <w:p w14:paraId="70C2647E">
      <w:pPr>
        <w:widowControl/>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14:paraId="00AB81F5">
      <w:pPr>
        <w:spacing w:line="360" w:lineRule="auto"/>
        <w:jc w:val="center"/>
        <w:outlineLvl w:val="1"/>
        <w:rPr>
          <w:rFonts w:hint="eastAsia" w:ascii="宋体" w:hAnsi="宋体" w:eastAsia="宋体" w:cs="宋体"/>
          <w:b/>
          <w:color w:val="000000" w:themeColor="text1"/>
          <w:sz w:val="24"/>
          <w:highlight w:val="none"/>
          <w:lang w:val="en-US" w:eastAsia="zh-CN"/>
          <w14:textFill>
            <w14:solidFill>
              <w14:schemeClr w14:val="tx1"/>
            </w14:solidFill>
          </w14:textFill>
        </w:rPr>
      </w:pPr>
      <w:bookmarkStart w:id="252" w:name="_Toc2278"/>
      <w:bookmarkStart w:id="253" w:name="_Toc20592"/>
      <w:bookmarkStart w:id="254" w:name="_Hlk44283088"/>
      <w:r>
        <w:rPr>
          <w:rFonts w:hint="eastAsia" w:ascii="宋体" w:hAnsi="宋体" w:eastAsia="宋体" w:cs="宋体"/>
          <w:b/>
          <w:color w:val="000000" w:themeColor="text1"/>
          <w:sz w:val="24"/>
          <w:highlight w:val="none"/>
          <w:lang w:val="en-US" w:eastAsia="zh-CN"/>
          <w14:textFill>
            <w14:solidFill>
              <w14:schemeClr w14:val="tx1"/>
            </w14:solidFill>
          </w14:textFill>
        </w:rPr>
        <w:t>八、供应商项目组成员配备表</w:t>
      </w:r>
    </w:p>
    <w:p w14:paraId="6748B771">
      <w:pPr>
        <w:pStyle w:val="12"/>
        <w:jc w:val="center"/>
        <w:rPr>
          <w:rFonts w:hint="eastAsia" w:ascii="宋体" w:hAnsi="宋体" w:eastAsia="宋体" w:cs="宋体"/>
          <w:i/>
          <w:iCs/>
          <w:color w:val="000000" w:themeColor="text1"/>
          <w:highlight w:val="none"/>
          <w:lang w:val="en-US" w:eastAsia="zh-CN"/>
          <w14:textFill>
            <w14:solidFill>
              <w14:schemeClr w14:val="tx1"/>
            </w14:solidFill>
          </w14:textFill>
        </w:rPr>
      </w:pPr>
      <w:r>
        <w:rPr>
          <w:rFonts w:hint="eastAsia" w:ascii="宋体" w:hAnsi="宋体" w:eastAsia="宋体" w:cs="宋体"/>
          <w:i/>
          <w:iCs/>
          <w:color w:val="000000" w:themeColor="text1"/>
          <w:highlight w:val="none"/>
          <w:lang w:eastAsia="zh-CN"/>
          <w14:textFill>
            <w14:solidFill>
              <w14:schemeClr w14:val="tx1"/>
            </w14:solidFill>
          </w14:textFill>
        </w:rPr>
        <w:t>（</w:t>
      </w:r>
      <w:r>
        <w:rPr>
          <w:rFonts w:hint="eastAsia" w:ascii="宋体" w:hAnsi="宋体" w:eastAsia="宋体" w:cs="宋体"/>
          <w:i/>
          <w:iCs/>
          <w:color w:val="000000" w:themeColor="text1"/>
          <w:highlight w:val="none"/>
          <w:lang w:val="en-US" w:eastAsia="zh-CN"/>
          <w14:textFill>
            <w14:solidFill>
              <w14:schemeClr w14:val="tx1"/>
            </w14:solidFill>
          </w14:textFill>
        </w:rPr>
        <w:t>本格式仅供参考，供应商可自行拟定格式）</w:t>
      </w:r>
    </w:p>
    <w:tbl>
      <w:tblPr>
        <w:tblStyle w:val="23"/>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356"/>
        <w:gridCol w:w="910"/>
        <w:gridCol w:w="729"/>
        <w:gridCol w:w="729"/>
        <w:gridCol w:w="1025"/>
        <w:gridCol w:w="1202"/>
        <w:gridCol w:w="1203"/>
        <w:gridCol w:w="1203"/>
      </w:tblGrid>
      <w:tr w14:paraId="4F440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tcBorders>
              <w:top w:val="single" w:color="auto" w:sz="12" w:space="0"/>
              <w:bottom w:val="double" w:color="auto" w:sz="6" w:space="0"/>
            </w:tcBorders>
            <w:vAlign w:val="center"/>
          </w:tcPr>
          <w:p w14:paraId="775F211D">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名称</w:t>
            </w:r>
          </w:p>
        </w:tc>
        <w:tc>
          <w:tcPr>
            <w:tcW w:w="544" w:type="pct"/>
            <w:tcBorders>
              <w:top w:val="single" w:color="auto" w:sz="12" w:space="0"/>
              <w:bottom w:val="double" w:color="auto" w:sz="6" w:space="0"/>
            </w:tcBorders>
            <w:vAlign w:val="center"/>
          </w:tcPr>
          <w:p w14:paraId="3B84447D">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436" w:type="pct"/>
            <w:tcBorders>
              <w:top w:val="single" w:color="auto" w:sz="12" w:space="0"/>
              <w:bottom w:val="double" w:color="auto" w:sz="6" w:space="0"/>
            </w:tcBorders>
            <w:vAlign w:val="center"/>
          </w:tcPr>
          <w:p w14:paraId="6C8E2900">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职务</w:t>
            </w:r>
          </w:p>
        </w:tc>
        <w:tc>
          <w:tcPr>
            <w:tcW w:w="436" w:type="pct"/>
            <w:tcBorders>
              <w:top w:val="single" w:color="auto" w:sz="12" w:space="0"/>
              <w:bottom w:val="double" w:color="auto" w:sz="6" w:space="0"/>
            </w:tcBorders>
            <w:vAlign w:val="center"/>
          </w:tcPr>
          <w:p w14:paraId="3C2327E2">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职称</w:t>
            </w:r>
          </w:p>
        </w:tc>
        <w:tc>
          <w:tcPr>
            <w:tcW w:w="611" w:type="pct"/>
            <w:tcBorders>
              <w:top w:val="single" w:color="auto" w:sz="12" w:space="0"/>
              <w:bottom w:val="double" w:color="auto" w:sz="6" w:space="0"/>
            </w:tcBorders>
            <w:vAlign w:val="center"/>
          </w:tcPr>
          <w:p w14:paraId="44F6239F">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主要资历、经验及承担过的项目</w:t>
            </w:r>
          </w:p>
        </w:tc>
        <w:tc>
          <w:tcPr>
            <w:tcW w:w="719" w:type="pct"/>
            <w:tcBorders>
              <w:top w:val="single" w:color="auto" w:sz="12" w:space="0"/>
              <w:bottom w:val="double" w:color="auto" w:sz="6" w:space="0"/>
            </w:tcBorders>
            <w:vAlign w:val="center"/>
          </w:tcPr>
          <w:p w14:paraId="21A0DA90">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身份证号码</w:t>
            </w:r>
          </w:p>
        </w:tc>
        <w:tc>
          <w:tcPr>
            <w:tcW w:w="719" w:type="pct"/>
            <w:tcBorders>
              <w:top w:val="single" w:color="auto" w:sz="12" w:space="0"/>
              <w:bottom w:val="double" w:color="auto" w:sz="6" w:space="0"/>
            </w:tcBorders>
            <w:vAlign w:val="center"/>
          </w:tcPr>
          <w:p w14:paraId="2D897110">
            <w:pPr>
              <w:keepNext/>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职称证书编号</w:t>
            </w:r>
          </w:p>
        </w:tc>
        <w:tc>
          <w:tcPr>
            <w:tcW w:w="719" w:type="pct"/>
            <w:tcBorders>
              <w:top w:val="single" w:color="auto" w:sz="12" w:space="0"/>
              <w:bottom w:val="double" w:color="auto" w:sz="6" w:space="0"/>
            </w:tcBorders>
            <w:vAlign w:val="center"/>
          </w:tcPr>
          <w:p w14:paraId="3BD411F9">
            <w:pPr>
              <w:keepNext/>
              <w:spacing w:line="360" w:lineRule="auto"/>
              <w:jc w:val="center"/>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注册证书编号（或其他）</w:t>
            </w:r>
          </w:p>
        </w:tc>
      </w:tr>
      <w:tr w14:paraId="003BD9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840" w:type="pct"/>
            <w:gridSpan w:val="5"/>
            <w:tcBorders>
              <w:top w:val="double" w:color="auto" w:sz="6" w:space="0"/>
            </w:tcBorders>
            <w:vAlign w:val="center"/>
          </w:tcPr>
          <w:p w14:paraId="5C4454E6">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一、总部人员</w:t>
            </w:r>
          </w:p>
        </w:tc>
        <w:tc>
          <w:tcPr>
            <w:tcW w:w="719" w:type="pct"/>
            <w:tcBorders>
              <w:top w:val="double" w:color="auto" w:sz="6" w:space="0"/>
            </w:tcBorders>
            <w:vAlign w:val="center"/>
          </w:tcPr>
          <w:p w14:paraId="261881F4">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tcBorders>
              <w:top w:val="double" w:color="auto" w:sz="6" w:space="0"/>
            </w:tcBorders>
            <w:vAlign w:val="center"/>
          </w:tcPr>
          <w:p w14:paraId="63D31033">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tcBorders>
              <w:top w:val="double" w:color="auto" w:sz="6" w:space="0"/>
            </w:tcBorders>
            <w:vAlign w:val="center"/>
          </w:tcPr>
          <w:p w14:paraId="26B48AB3">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53040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tcBorders>
              <w:top w:val="nil"/>
              <w:bottom w:val="nil"/>
            </w:tcBorders>
            <w:vAlign w:val="center"/>
          </w:tcPr>
          <w:p w14:paraId="1959F728">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项目主管</w:t>
            </w:r>
            <w:r>
              <w:rPr>
                <w:rFonts w:hint="eastAsia" w:ascii="宋体" w:hAnsi="宋体" w:eastAsia="宋体" w:cs="宋体"/>
                <w:color w:val="000000" w:themeColor="text1"/>
                <w:sz w:val="24"/>
                <w:szCs w:val="24"/>
                <w:highlight w:val="none"/>
                <w:lang w:val="en-US" w:eastAsia="zh-CN"/>
                <w14:textFill>
                  <w14:solidFill>
                    <w14:schemeClr w14:val="tx1"/>
                  </w14:solidFill>
                </w14:textFill>
              </w:rPr>
              <w:t>领导</w:t>
            </w:r>
          </w:p>
        </w:tc>
        <w:tc>
          <w:tcPr>
            <w:tcW w:w="544" w:type="pct"/>
            <w:tcBorders>
              <w:top w:val="nil"/>
            </w:tcBorders>
            <w:vAlign w:val="center"/>
          </w:tcPr>
          <w:p w14:paraId="63BBDD4A">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tcBorders>
              <w:top w:val="nil"/>
            </w:tcBorders>
            <w:vAlign w:val="center"/>
          </w:tcPr>
          <w:p w14:paraId="2D58FBEC">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tcBorders>
              <w:top w:val="nil"/>
            </w:tcBorders>
            <w:vAlign w:val="center"/>
          </w:tcPr>
          <w:p w14:paraId="0209D794">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11" w:type="pct"/>
            <w:tcBorders>
              <w:top w:val="nil"/>
            </w:tcBorders>
            <w:vAlign w:val="center"/>
          </w:tcPr>
          <w:p w14:paraId="2F550C11">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tcBorders>
              <w:top w:val="nil"/>
            </w:tcBorders>
            <w:vAlign w:val="center"/>
          </w:tcPr>
          <w:p w14:paraId="106AF22F">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tcBorders>
              <w:top w:val="nil"/>
            </w:tcBorders>
            <w:vAlign w:val="center"/>
          </w:tcPr>
          <w:p w14:paraId="705FC06A">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tcBorders>
              <w:top w:val="nil"/>
            </w:tcBorders>
            <w:vAlign w:val="center"/>
          </w:tcPr>
          <w:p w14:paraId="1BC4C6AB">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FE9CA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restart"/>
            <w:vAlign w:val="center"/>
          </w:tcPr>
          <w:p w14:paraId="1FE6AAB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其他人员</w:t>
            </w:r>
          </w:p>
        </w:tc>
        <w:tc>
          <w:tcPr>
            <w:tcW w:w="544" w:type="pct"/>
            <w:vAlign w:val="center"/>
          </w:tcPr>
          <w:p w14:paraId="2B2A74AA">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63D084AA">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5348542C">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11" w:type="pct"/>
            <w:vAlign w:val="center"/>
          </w:tcPr>
          <w:p w14:paraId="3EC20A43">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2A4AC825">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01FB8064">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514B38D3">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0ECA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vAlign w:val="center"/>
          </w:tcPr>
          <w:p w14:paraId="76666B1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44" w:type="pct"/>
            <w:vAlign w:val="center"/>
          </w:tcPr>
          <w:p w14:paraId="5C3C7C2B">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48206DFC">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1980E730">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11" w:type="pct"/>
            <w:vAlign w:val="center"/>
          </w:tcPr>
          <w:p w14:paraId="05905BE1">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2C766076">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544AD90C">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5F254082">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E9EAC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tcBorders>
              <w:bottom w:val="nil"/>
            </w:tcBorders>
            <w:vAlign w:val="center"/>
          </w:tcPr>
          <w:p w14:paraId="2CC47B7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44" w:type="pct"/>
            <w:vAlign w:val="center"/>
          </w:tcPr>
          <w:p w14:paraId="7E27B226">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5AE23D9F">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22893554">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11" w:type="pct"/>
            <w:vAlign w:val="center"/>
          </w:tcPr>
          <w:p w14:paraId="6CEFC914">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5872B840">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06E1E312">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1A522A9B">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53DB8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840" w:type="pct"/>
            <w:gridSpan w:val="5"/>
            <w:vAlign w:val="center"/>
          </w:tcPr>
          <w:p w14:paraId="26EE0718">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二、现场人员</w:t>
            </w:r>
          </w:p>
        </w:tc>
        <w:tc>
          <w:tcPr>
            <w:tcW w:w="719" w:type="pct"/>
            <w:vAlign w:val="center"/>
          </w:tcPr>
          <w:p w14:paraId="75D3E807">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6E8886A7">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43F984B6">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A1E9D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Align w:val="center"/>
          </w:tcPr>
          <w:p w14:paraId="770A0E18">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负责人</w:t>
            </w:r>
          </w:p>
        </w:tc>
        <w:tc>
          <w:tcPr>
            <w:tcW w:w="544" w:type="pct"/>
            <w:vAlign w:val="center"/>
          </w:tcPr>
          <w:p w14:paraId="1A355C22">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4690546B">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10043249">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11" w:type="pct"/>
            <w:vAlign w:val="center"/>
          </w:tcPr>
          <w:p w14:paraId="0F7CEBC5">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76DB05A9">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78CCE843">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07655E2C">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C648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Align w:val="center"/>
          </w:tcPr>
          <w:p w14:paraId="60B656F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项目技术负责人</w:t>
            </w:r>
          </w:p>
        </w:tc>
        <w:tc>
          <w:tcPr>
            <w:tcW w:w="544" w:type="pct"/>
            <w:vAlign w:val="center"/>
          </w:tcPr>
          <w:p w14:paraId="28545C5F">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70690BE5">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05BE59B8">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11" w:type="pct"/>
            <w:vAlign w:val="center"/>
          </w:tcPr>
          <w:p w14:paraId="19A48ACE">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5E781FCB">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2CA9F67B">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564700B5">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9F2A0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Align w:val="center"/>
          </w:tcPr>
          <w:p w14:paraId="291EB30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44" w:type="pct"/>
            <w:vAlign w:val="center"/>
          </w:tcPr>
          <w:p w14:paraId="2181C9EA">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0A425D61">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4853D384">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11" w:type="pct"/>
            <w:vAlign w:val="center"/>
          </w:tcPr>
          <w:p w14:paraId="790F89BD">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132AFEEA">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189B4776">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20F2ECA5">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9620D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restart"/>
            <w:vAlign w:val="center"/>
          </w:tcPr>
          <w:p w14:paraId="134813A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其他人员</w:t>
            </w:r>
          </w:p>
        </w:tc>
        <w:tc>
          <w:tcPr>
            <w:tcW w:w="544" w:type="pct"/>
            <w:vAlign w:val="center"/>
          </w:tcPr>
          <w:p w14:paraId="7AB35C8E">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025C109E">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6761F958">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11" w:type="pct"/>
            <w:vAlign w:val="center"/>
          </w:tcPr>
          <w:p w14:paraId="0656E569">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67A71EA1">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0A067D6F">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31968A6F">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1B63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vAlign w:val="center"/>
          </w:tcPr>
          <w:p w14:paraId="54D299B8">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44" w:type="pct"/>
            <w:tcBorders>
              <w:bottom w:val="nil"/>
            </w:tcBorders>
            <w:vAlign w:val="center"/>
          </w:tcPr>
          <w:p w14:paraId="228349C7">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tcBorders>
              <w:bottom w:val="nil"/>
            </w:tcBorders>
            <w:vAlign w:val="center"/>
          </w:tcPr>
          <w:p w14:paraId="6A537BDE">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tcBorders>
              <w:bottom w:val="nil"/>
            </w:tcBorders>
            <w:vAlign w:val="center"/>
          </w:tcPr>
          <w:p w14:paraId="414B45D4">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11" w:type="pct"/>
            <w:tcBorders>
              <w:bottom w:val="nil"/>
            </w:tcBorders>
            <w:vAlign w:val="center"/>
          </w:tcPr>
          <w:p w14:paraId="2AFA36C8">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tcBorders>
              <w:bottom w:val="nil"/>
            </w:tcBorders>
            <w:vAlign w:val="center"/>
          </w:tcPr>
          <w:p w14:paraId="77BB84BD">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tcBorders>
              <w:bottom w:val="nil"/>
            </w:tcBorders>
            <w:vAlign w:val="center"/>
          </w:tcPr>
          <w:p w14:paraId="26643748">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tcBorders>
              <w:bottom w:val="nil"/>
            </w:tcBorders>
            <w:vAlign w:val="center"/>
          </w:tcPr>
          <w:p w14:paraId="05842FA4">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DBF1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vAlign w:val="center"/>
          </w:tcPr>
          <w:p w14:paraId="1290DE11">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44" w:type="pct"/>
            <w:vAlign w:val="center"/>
          </w:tcPr>
          <w:p w14:paraId="62801DD6">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3B567F71">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7082330D">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11" w:type="pct"/>
            <w:vAlign w:val="center"/>
          </w:tcPr>
          <w:p w14:paraId="389A3F40">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43FACB71">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3B3741E1">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2EA2A863">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B345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vAlign w:val="center"/>
          </w:tcPr>
          <w:p w14:paraId="1075BB65">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44" w:type="pct"/>
            <w:vAlign w:val="center"/>
          </w:tcPr>
          <w:p w14:paraId="7733A54F">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4C541B96">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38F4C8CD">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11" w:type="pct"/>
            <w:vAlign w:val="center"/>
          </w:tcPr>
          <w:p w14:paraId="5A9435B5">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23D97DDD">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0D878135">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457D4CB3">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22C0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vAlign w:val="center"/>
          </w:tcPr>
          <w:p w14:paraId="09C2FB1C">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44" w:type="pct"/>
            <w:vAlign w:val="center"/>
          </w:tcPr>
          <w:p w14:paraId="5B9678CB">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5122B6CF">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vAlign w:val="center"/>
          </w:tcPr>
          <w:p w14:paraId="4E2490EA">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11" w:type="pct"/>
            <w:vAlign w:val="center"/>
          </w:tcPr>
          <w:p w14:paraId="00CB4D32">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37CBA753">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5E5786D9">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vAlign w:val="center"/>
          </w:tcPr>
          <w:p w14:paraId="6FB1E110">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C771A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tcBorders>
              <w:bottom w:val="single" w:color="auto" w:sz="12" w:space="0"/>
            </w:tcBorders>
            <w:vAlign w:val="center"/>
          </w:tcPr>
          <w:p w14:paraId="1055499F">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44" w:type="pct"/>
            <w:tcBorders>
              <w:bottom w:val="single" w:color="auto" w:sz="12" w:space="0"/>
            </w:tcBorders>
            <w:vAlign w:val="center"/>
          </w:tcPr>
          <w:p w14:paraId="1D180365">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tcBorders>
              <w:bottom w:val="single" w:color="auto" w:sz="12" w:space="0"/>
            </w:tcBorders>
            <w:vAlign w:val="center"/>
          </w:tcPr>
          <w:p w14:paraId="6C823EDC">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36" w:type="pct"/>
            <w:tcBorders>
              <w:bottom w:val="single" w:color="auto" w:sz="12" w:space="0"/>
            </w:tcBorders>
            <w:vAlign w:val="center"/>
          </w:tcPr>
          <w:p w14:paraId="717D7426">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11" w:type="pct"/>
            <w:tcBorders>
              <w:bottom w:val="single" w:color="auto" w:sz="12" w:space="0"/>
            </w:tcBorders>
            <w:vAlign w:val="center"/>
          </w:tcPr>
          <w:p w14:paraId="28F98DB8">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tcBorders>
              <w:bottom w:val="single" w:color="auto" w:sz="12" w:space="0"/>
            </w:tcBorders>
            <w:vAlign w:val="center"/>
          </w:tcPr>
          <w:p w14:paraId="3B7C19D7">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tcBorders>
              <w:bottom w:val="single" w:color="auto" w:sz="12" w:space="0"/>
            </w:tcBorders>
            <w:vAlign w:val="center"/>
          </w:tcPr>
          <w:p w14:paraId="1A951E41">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9" w:type="pct"/>
            <w:tcBorders>
              <w:bottom w:val="single" w:color="auto" w:sz="12" w:space="0"/>
            </w:tcBorders>
            <w:vAlign w:val="center"/>
          </w:tcPr>
          <w:p w14:paraId="2248B596">
            <w:pPr>
              <w:keepNext/>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505F5283">
      <w:pPr>
        <w:spacing w:line="360" w:lineRule="auto"/>
        <w:jc w:val="center"/>
        <w:outlineLvl w:val="9"/>
        <w:rPr>
          <w:rFonts w:hint="eastAsia" w:ascii="宋体" w:hAnsi="宋体" w:eastAsia="宋体" w:cs="宋体"/>
          <w:b/>
          <w:color w:val="000000" w:themeColor="text1"/>
          <w:sz w:val="24"/>
          <w:highlight w:val="none"/>
          <w:lang w:val="en-US" w:eastAsia="zh-CN"/>
          <w14:textFill>
            <w14:solidFill>
              <w14:schemeClr w14:val="tx1"/>
            </w14:solidFill>
          </w14:textFill>
        </w:rPr>
      </w:pPr>
    </w:p>
    <w:p w14:paraId="3451E33F">
      <w:pPr>
        <w:jc w:val="center"/>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r>
        <w:rPr>
          <w:rFonts w:hint="eastAsia" w:ascii="宋体" w:hAnsi="宋体" w:eastAsia="宋体" w:cs="宋体"/>
          <w:b/>
          <w:bCs w:val="0"/>
          <w:color w:val="000000" w:themeColor="text1"/>
          <w:sz w:val="24"/>
          <w:highlight w:val="none"/>
          <w:lang w:val="en-US" w:eastAsia="zh-CN"/>
          <w14:textFill>
            <w14:solidFill>
              <w14:schemeClr w14:val="tx1"/>
            </w14:solidFill>
          </w14:textFill>
        </w:rPr>
        <w:t>上述人员</w:t>
      </w:r>
      <w:r>
        <w:rPr>
          <w:rFonts w:hint="eastAsia" w:ascii="宋体" w:hAnsi="宋体" w:eastAsia="宋体" w:cs="宋体"/>
          <w:b/>
          <w:bCs w:val="0"/>
          <w:color w:val="000000" w:themeColor="text1"/>
          <w:sz w:val="24"/>
          <w:highlight w:val="none"/>
          <w14:textFill>
            <w14:solidFill>
              <w14:schemeClr w14:val="tx1"/>
            </w14:solidFill>
          </w14:textFill>
        </w:rPr>
        <w:t>相关证明</w:t>
      </w:r>
      <w:r>
        <w:rPr>
          <w:rFonts w:hint="eastAsia" w:ascii="宋体" w:hAnsi="宋体" w:eastAsia="宋体" w:cs="宋体"/>
          <w:b/>
          <w:bCs w:val="0"/>
          <w:color w:val="000000" w:themeColor="text1"/>
          <w:sz w:val="24"/>
          <w:highlight w:val="none"/>
          <w:lang w:val="en-US" w:eastAsia="zh-CN"/>
          <w14:textFill>
            <w14:solidFill>
              <w14:schemeClr w14:val="tx1"/>
            </w14:solidFill>
          </w14:textFill>
        </w:rPr>
        <w:t>材料：</w:t>
      </w:r>
    </w:p>
    <w:p w14:paraId="7A558728">
      <w:pPr>
        <w:rPr>
          <w:rFonts w:hint="eastAsia" w:ascii="宋体" w:hAnsi="宋体" w:eastAsia="宋体" w:cs="宋体"/>
          <w:b/>
          <w:color w:val="000000" w:themeColor="text1"/>
          <w:sz w:val="24"/>
          <w:highlight w:val="none"/>
          <w:lang w:val="en-US" w:eastAsia="zh-CN"/>
          <w14:textFill>
            <w14:solidFill>
              <w14:schemeClr w14:val="tx1"/>
            </w14:solidFill>
          </w14:textFill>
        </w:rPr>
      </w:pPr>
    </w:p>
    <w:p w14:paraId="7BBF5F46">
      <w:pPr>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br w:type="page"/>
      </w:r>
    </w:p>
    <w:p w14:paraId="01205E72">
      <w:pPr>
        <w:spacing w:line="360" w:lineRule="auto"/>
        <w:jc w:val="center"/>
        <w:outlineLvl w:val="1"/>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九</w:t>
      </w:r>
      <w:r>
        <w:rPr>
          <w:rFonts w:hint="eastAsia" w:ascii="宋体" w:hAnsi="宋体" w:eastAsia="宋体" w:cs="宋体"/>
          <w:b/>
          <w:color w:val="000000" w:themeColor="text1"/>
          <w:sz w:val="24"/>
          <w:highlight w:val="none"/>
          <w14:textFill>
            <w14:solidFill>
              <w14:schemeClr w14:val="tx1"/>
            </w14:solidFill>
          </w14:textFill>
        </w:rPr>
        <w:t>、诚信履约承诺函</w:t>
      </w:r>
      <w:bookmarkEnd w:id="252"/>
      <w:bookmarkEnd w:id="253"/>
    </w:p>
    <w:p w14:paraId="638F375A">
      <w:pPr>
        <w:spacing w:line="360" w:lineRule="auto"/>
        <w:rPr>
          <w:rFonts w:hint="eastAsia" w:ascii="宋体" w:hAnsi="宋体" w:eastAsia="宋体" w:cs="宋体"/>
          <w:b/>
          <w:bCs/>
          <w:color w:val="000000" w:themeColor="text1"/>
          <w:sz w:val="24"/>
          <w:highlight w:val="none"/>
          <w14:textFill>
            <w14:solidFill>
              <w14:schemeClr w14:val="tx1"/>
            </w14:solidFill>
          </w14:textFill>
        </w:rPr>
      </w:pPr>
    </w:p>
    <w:bookmarkEnd w:id="254"/>
    <w:p w14:paraId="21FE44F8">
      <w:pPr>
        <w:spacing w:line="360" w:lineRule="auto"/>
        <w:rPr>
          <w:rFonts w:hint="eastAsia" w:ascii="宋体" w:hAnsi="宋体" w:eastAsia="宋体" w:cs="宋体"/>
          <w:b/>
          <w:bCs/>
          <w:color w:val="000000" w:themeColor="text1"/>
          <w:sz w:val="24"/>
          <w:highlight w:val="none"/>
          <w:u w:val="single"/>
          <w14:textFill>
            <w14:solidFill>
              <w14:schemeClr w14:val="tx1"/>
            </w14:solidFill>
          </w14:textFill>
        </w:rPr>
      </w:pPr>
      <w:bookmarkStart w:id="255" w:name="_Toc7807"/>
      <w:bookmarkStart w:id="256" w:name="_Toc3826"/>
      <w:r>
        <w:rPr>
          <w:rFonts w:hint="eastAsia" w:ascii="宋体" w:hAnsi="宋体" w:eastAsia="宋体" w:cs="宋体"/>
          <w:b/>
          <w:bCs/>
          <w:color w:val="000000" w:themeColor="text1"/>
          <w:sz w:val="24"/>
          <w:highlight w:val="none"/>
          <w14:textFill>
            <w14:solidFill>
              <w14:schemeClr w14:val="tx1"/>
            </w14:solidFill>
          </w14:textFill>
        </w:rPr>
        <w:t>致：采购人</w:t>
      </w:r>
    </w:p>
    <w:p w14:paraId="32A8A341">
      <w:pPr>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eastAsia="宋体" w:cs="宋体"/>
          <w:bCs/>
          <w:color w:val="000000" w:themeColor="text1"/>
          <w:sz w:val="24"/>
          <w:highlight w:val="none"/>
          <w14:textFill>
            <w14:solidFill>
              <w14:schemeClr w14:val="tx1"/>
            </w14:solidFill>
          </w14:textFill>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0A8BC132">
      <w:pPr>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（1）中标或者成交后无正当理由拒不与采购人签订政府采购合同；</w:t>
      </w:r>
    </w:p>
    <w:p w14:paraId="2E7F40B4">
      <w:pPr>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（2）未按照采购文件确定的事项签订政府采购合同；</w:t>
      </w:r>
    </w:p>
    <w:p w14:paraId="62E2134E">
      <w:pPr>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（3）将政府采购合同转包；</w:t>
      </w:r>
    </w:p>
    <w:p w14:paraId="160B6FFB">
      <w:pPr>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（4）提供假冒伪劣产品；</w:t>
      </w:r>
    </w:p>
    <w:p w14:paraId="241BFB6E">
      <w:pPr>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（5）擅自变更、中止或者终止政府采购合同。</w:t>
      </w:r>
    </w:p>
    <w:p w14:paraId="45BCDD6A">
      <w:pPr>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D49C8D3">
      <w:pPr>
        <w:numPr>
          <w:ilvl w:val="0"/>
          <w:numId w:val="0"/>
        </w:numPr>
        <w:spacing w:line="360" w:lineRule="auto"/>
        <w:ind w:firstLine="480" w:firstLineChars="200"/>
        <w:rPr>
          <w:rFonts w:hint="eastAsia" w:ascii="宋体" w:hAnsi="宋体" w:eastAsia="宋体" w:cs="宋体"/>
          <w:bCs/>
          <w:color w:val="000000" w:themeColor="text1"/>
          <w:kern w:val="2"/>
          <w:sz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highlight w:val="none"/>
          <w:lang w:val="en-US" w:eastAsia="zh-CN" w:bidi="ar-SA"/>
          <w14:textFill>
            <w14:solidFill>
              <w14:schemeClr w14:val="tx1"/>
            </w14:solidFill>
          </w14:textFill>
        </w:rPr>
        <w:t>2.我单位响应文件全部为真实、有效，若存在虚假响应，一经查实，无条件同意采购人取消我单位成交资格或合同甲方解除合同，同时愿意承担因此造成的一切损失和处罚，包括但不限于信用惩戒、限制响应资格等。</w:t>
      </w:r>
    </w:p>
    <w:p w14:paraId="492221A4">
      <w:pPr>
        <w:numPr>
          <w:ilvl w:val="0"/>
          <w:numId w:val="0"/>
        </w:numPr>
        <w:spacing w:line="360" w:lineRule="auto"/>
        <w:ind w:firstLine="480" w:firstLineChars="200"/>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bidi="ar-SA"/>
          <w14:textFill>
            <w14:solidFill>
              <w14:schemeClr w14:val="tx1"/>
            </w14:solidFill>
          </w14:textFill>
        </w:rPr>
        <w:t>3.</w:t>
      </w:r>
      <w:r>
        <w:rPr>
          <w:rFonts w:hint="eastAsia" w:ascii="宋体" w:hAnsi="宋体" w:eastAsia="宋体" w:cs="宋体"/>
          <w:b/>
          <w:bCs w:val="0"/>
          <w:color w:val="000000" w:themeColor="text1"/>
          <w:sz w:val="24"/>
          <w:highlight w:val="none"/>
          <w:lang w:val="en-US" w:eastAsia="zh-CN"/>
          <w14:textFill>
            <w14:solidFill>
              <w14:schemeClr w14:val="tx1"/>
            </w14:solidFill>
          </w14:textFill>
        </w:rPr>
        <w:t>成交通知书发送之日起10日历天内，</w:t>
      </w:r>
      <w:r>
        <w:rPr>
          <w:rFonts w:hint="eastAsia" w:ascii="宋体" w:hAnsi="宋体" w:eastAsia="宋体" w:cs="宋体"/>
          <w:bCs/>
          <w:color w:val="000000" w:themeColor="text1"/>
          <w:sz w:val="24"/>
          <w:highlight w:val="none"/>
          <w:lang w:val="en-US" w:eastAsia="zh-CN"/>
          <w14:textFill>
            <w14:solidFill>
              <w14:schemeClr w14:val="tx1"/>
            </w14:solidFill>
          </w14:textFill>
        </w:rPr>
        <w:t>按照响应文件提供自备机械设备、项目组成员，并为所有服务的无社保人员购买</w:t>
      </w:r>
      <w:r>
        <w:rPr>
          <w:rFonts w:hint="eastAsia" w:ascii="宋体" w:hAnsi="宋体" w:eastAsia="宋体" w:cs="宋体"/>
          <w:b/>
          <w:bCs/>
          <w:color w:val="000000" w:themeColor="text1"/>
          <w:sz w:val="24"/>
          <w:szCs w:val="24"/>
          <w:highlight w:val="none"/>
          <w:u w:val="single"/>
          <w14:textFill>
            <w14:solidFill>
              <w14:schemeClr w14:val="tx1"/>
            </w14:solidFill>
          </w14:textFill>
        </w:rPr>
        <w:t>雇主责任险或</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团体意外险</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或安全生产责任险</w:t>
      </w:r>
      <w:r>
        <w:rPr>
          <w:rFonts w:hint="eastAsia" w:ascii="宋体" w:hAnsi="宋体" w:eastAsia="宋体" w:cs="宋体"/>
          <w:bCs/>
          <w:color w:val="000000" w:themeColor="text1"/>
          <w:sz w:val="24"/>
          <w:highlight w:val="none"/>
          <w:lang w:val="en-US" w:eastAsia="zh-CN"/>
          <w14:textFill>
            <w14:solidFill>
              <w14:schemeClr w14:val="tx1"/>
            </w14:solidFill>
          </w14:textFill>
        </w:rPr>
        <w:t>，如有现场进场作业工作，作业前由甲方验证，若不能按时提供，无条件同意采购人取消</w:t>
      </w:r>
      <w:r>
        <w:rPr>
          <w:rFonts w:hint="eastAsia" w:ascii="宋体" w:hAnsi="宋体" w:eastAsia="宋体" w:cs="宋体"/>
          <w:bCs/>
          <w:color w:val="000000" w:themeColor="text1"/>
          <w:kern w:val="2"/>
          <w:sz w:val="24"/>
          <w:highlight w:val="none"/>
          <w:lang w:val="en-US" w:eastAsia="zh-CN" w:bidi="ar-SA"/>
          <w14:textFill>
            <w14:solidFill>
              <w14:schemeClr w14:val="tx1"/>
            </w14:solidFill>
          </w14:textFill>
        </w:rPr>
        <w:t>我单位</w:t>
      </w:r>
      <w:r>
        <w:rPr>
          <w:rFonts w:hint="eastAsia" w:ascii="宋体" w:hAnsi="宋体" w:eastAsia="宋体" w:cs="宋体"/>
          <w:bCs/>
          <w:color w:val="000000" w:themeColor="text1"/>
          <w:sz w:val="24"/>
          <w:highlight w:val="none"/>
          <w:lang w:val="en-US" w:eastAsia="zh-CN"/>
          <w14:textFill>
            <w14:solidFill>
              <w14:schemeClr w14:val="tx1"/>
            </w14:solidFill>
          </w14:textFill>
        </w:rPr>
        <w:t>成交资格或合同甲方解除合同，同时愿意承担因此造成的一切损失和处罚，包括但不限于信用惩戒、限制响应资格等。</w:t>
      </w:r>
    </w:p>
    <w:p w14:paraId="1A5DC799">
      <w:pPr>
        <w:numPr>
          <w:ilvl w:val="0"/>
          <w:numId w:val="0"/>
        </w:numPr>
        <w:spacing w:line="360" w:lineRule="auto"/>
        <w:ind w:firstLine="480" w:firstLineChars="200"/>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bidi="ar-SA"/>
          <w14:textFill>
            <w14:solidFill>
              <w14:schemeClr w14:val="tx1"/>
            </w14:solidFill>
          </w14:textFill>
        </w:rPr>
        <w:t>4.</w:t>
      </w:r>
      <w:r>
        <w:rPr>
          <w:rFonts w:hint="eastAsia" w:ascii="宋体" w:hAnsi="宋体" w:eastAsia="宋体" w:cs="宋体"/>
          <w:bCs/>
          <w:color w:val="000000" w:themeColor="text1"/>
          <w:sz w:val="24"/>
          <w:highlight w:val="none"/>
          <w:lang w:val="en-US" w:eastAsia="zh-CN"/>
          <w14:textFill>
            <w14:solidFill>
              <w14:schemeClr w14:val="tx1"/>
            </w14:solidFill>
          </w14:textFill>
        </w:rPr>
        <w:t>项目履约过程中，质量、进度及安全严格按照采购文件要求执行，并自愿服从合同甲方监管，若出现不服从现场监管，无条件同意采购人取消</w:t>
      </w:r>
      <w:r>
        <w:rPr>
          <w:rFonts w:hint="eastAsia" w:ascii="宋体" w:hAnsi="宋体" w:eastAsia="宋体" w:cs="宋体"/>
          <w:bCs/>
          <w:color w:val="000000" w:themeColor="text1"/>
          <w:kern w:val="2"/>
          <w:sz w:val="24"/>
          <w:highlight w:val="none"/>
          <w:lang w:val="en-US" w:eastAsia="zh-CN" w:bidi="ar-SA"/>
          <w14:textFill>
            <w14:solidFill>
              <w14:schemeClr w14:val="tx1"/>
            </w14:solidFill>
          </w14:textFill>
        </w:rPr>
        <w:t>我单位</w:t>
      </w:r>
      <w:r>
        <w:rPr>
          <w:rFonts w:hint="eastAsia" w:ascii="宋体" w:hAnsi="宋体" w:eastAsia="宋体" w:cs="宋体"/>
          <w:bCs/>
          <w:color w:val="000000" w:themeColor="text1"/>
          <w:sz w:val="24"/>
          <w:highlight w:val="none"/>
          <w:lang w:val="en-US" w:eastAsia="zh-CN"/>
          <w14:textFill>
            <w14:solidFill>
              <w14:schemeClr w14:val="tx1"/>
            </w14:solidFill>
          </w14:textFill>
        </w:rPr>
        <w:t>成交资格或合同甲方解除合同，并愿意承担因此造成的一切损失和处罚，包括但不限于信用惩戒、限制响应资格等。</w:t>
      </w:r>
    </w:p>
    <w:p w14:paraId="46BC0026">
      <w:pPr>
        <w:spacing w:line="360" w:lineRule="auto"/>
        <w:ind w:firstLine="480" w:firstLineChars="200"/>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5.如有现场服务作业，</w:t>
      </w:r>
      <w:r>
        <w:rPr>
          <w:rFonts w:hint="eastAsia" w:ascii="宋体" w:hAnsi="宋体" w:eastAsia="宋体" w:cs="宋体"/>
          <w:bCs/>
          <w:color w:val="000000" w:themeColor="text1"/>
          <w:sz w:val="24"/>
          <w:highlight w:val="none"/>
          <w:lang w:eastAsia="zh-CN"/>
          <w14:textFill>
            <w14:solidFill>
              <w14:schemeClr w14:val="tx1"/>
            </w14:solidFill>
          </w14:textFill>
        </w:rPr>
        <w:t>作业过程中如出现作业人员未有效佩戴现场安全防护必需的安全帽、安全绳、救生衣以及其他必需的作业防护等安全防护用品，发生不安全行为的，每出现一次，从</w:t>
      </w:r>
      <w:r>
        <w:rPr>
          <w:rFonts w:hint="eastAsia" w:ascii="宋体" w:hAnsi="宋体" w:eastAsia="宋体" w:cs="宋体"/>
          <w:bCs/>
          <w:color w:val="000000" w:themeColor="text1"/>
          <w:sz w:val="24"/>
          <w:highlight w:val="none"/>
          <w:lang w:val="en-US" w:eastAsia="zh-CN"/>
          <w14:textFill>
            <w14:solidFill>
              <w14:schemeClr w14:val="tx1"/>
            </w14:solidFill>
          </w14:textFill>
        </w:rPr>
        <w:t>项目</w:t>
      </w:r>
      <w:r>
        <w:rPr>
          <w:rFonts w:hint="eastAsia" w:ascii="宋体" w:hAnsi="宋体" w:eastAsia="宋体" w:cs="宋体"/>
          <w:bCs/>
          <w:color w:val="000000" w:themeColor="text1"/>
          <w:sz w:val="24"/>
          <w:highlight w:val="none"/>
          <w:lang w:eastAsia="zh-CN"/>
          <w14:textFill>
            <w14:solidFill>
              <w14:schemeClr w14:val="tx1"/>
            </w14:solidFill>
          </w14:textFill>
        </w:rPr>
        <w:t>结算价中自愿核减1000元，减完为止。</w:t>
      </w:r>
    </w:p>
    <w:p w14:paraId="214BD3DB">
      <w:pPr>
        <w:spacing w:line="360" w:lineRule="auto"/>
        <w:ind w:firstLine="480" w:firstLineChars="200"/>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6.</w:t>
      </w:r>
      <w:r>
        <w:rPr>
          <w:rFonts w:hint="eastAsia" w:ascii="宋体" w:hAnsi="宋体" w:eastAsia="宋体" w:cs="宋体"/>
          <w:bCs/>
          <w:color w:val="000000" w:themeColor="text1"/>
          <w:sz w:val="24"/>
          <w:highlight w:val="none"/>
          <w14:textFill>
            <w14:solidFill>
              <w14:schemeClr w14:val="tx1"/>
            </w14:solidFill>
          </w14:textFill>
        </w:rPr>
        <w:t>合同履约期间，</w:t>
      </w:r>
      <w:r>
        <w:rPr>
          <w:rFonts w:hint="eastAsia" w:ascii="宋体" w:hAnsi="宋体" w:eastAsia="宋体" w:cs="宋体"/>
          <w:bCs/>
          <w:color w:val="000000" w:themeColor="text1"/>
          <w:sz w:val="24"/>
          <w:highlight w:val="none"/>
          <w:lang w:val="en-US" w:eastAsia="zh-CN"/>
          <w14:textFill>
            <w14:solidFill>
              <w14:schemeClr w14:val="tx1"/>
            </w14:solidFill>
          </w14:textFill>
        </w:rPr>
        <w:t>所有项目</w:t>
      </w:r>
      <w:r>
        <w:rPr>
          <w:rFonts w:hint="eastAsia" w:ascii="宋体" w:hAnsi="宋体" w:eastAsia="宋体" w:cs="宋体"/>
          <w:bCs/>
          <w:color w:val="000000" w:themeColor="text1"/>
          <w:sz w:val="24"/>
          <w:highlight w:val="none"/>
          <w14:textFill>
            <w14:solidFill>
              <w14:schemeClr w14:val="tx1"/>
            </w14:solidFill>
          </w14:textFill>
        </w:rPr>
        <w:t>人员突发疾病、意外等造成的人员伤亡及财产损失均由</w:t>
      </w:r>
      <w:r>
        <w:rPr>
          <w:rFonts w:hint="eastAsia" w:ascii="宋体" w:hAnsi="宋体" w:eastAsia="宋体" w:cs="宋体"/>
          <w:bCs/>
          <w:color w:val="000000" w:themeColor="text1"/>
          <w:sz w:val="24"/>
          <w:highlight w:val="none"/>
          <w:lang w:val="en-US" w:eastAsia="zh-CN"/>
          <w14:textFill>
            <w14:solidFill>
              <w14:schemeClr w14:val="tx1"/>
            </w14:solidFill>
          </w14:textFill>
        </w:rPr>
        <w:t>我单位</w:t>
      </w:r>
      <w:r>
        <w:rPr>
          <w:rFonts w:hint="eastAsia" w:ascii="宋体" w:hAnsi="宋体" w:eastAsia="宋体" w:cs="宋体"/>
          <w:bCs/>
          <w:color w:val="000000" w:themeColor="text1"/>
          <w:sz w:val="24"/>
          <w:highlight w:val="none"/>
          <w14:textFill>
            <w14:solidFill>
              <w14:schemeClr w14:val="tx1"/>
            </w14:solidFill>
          </w14:textFill>
        </w:rPr>
        <w:t>负责</w:t>
      </w:r>
      <w:r>
        <w:rPr>
          <w:rFonts w:hint="eastAsia" w:ascii="宋体" w:hAnsi="宋体" w:eastAsia="宋体" w:cs="宋体"/>
          <w:bCs/>
          <w:color w:val="000000" w:themeColor="text1"/>
          <w:sz w:val="24"/>
          <w:highlight w:val="none"/>
          <w:lang w:val="en-US" w:eastAsia="zh-CN"/>
          <w14:textFill>
            <w14:solidFill>
              <w14:schemeClr w14:val="tx1"/>
            </w14:solidFill>
          </w14:textFill>
        </w:rPr>
        <w:t>承担，并全额赔偿因此给采购人或第三方造成的损失。</w:t>
      </w:r>
    </w:p>
    <w:p w14:paraId="4AE3DFBD">
      <w:pPr>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7.</w:t>
      </w:r>
      <w:r>
        <w:rPr>
          <w:rFonts w:hint="eastAsia" w:ascii="宋体" w:hAnsi="宋体" w:eastAsia="宋体" w:cs="宋体"/>
          <w:bCs/>
          <w:color w:val="000000" w:themeColor="text1"/>
          <w:sz w:val="24"/>
          <w:highlight w:val="none"/>
          <w14:textFill>
            <w14:solidFill>
              <w14:schemeClr w14:val="tx1"/>
            </w14:solidFill>
          </w14:textFill>
        </w:rPr>
        <w:t>在项目发生投诉、信访举报案件、履约存在争议时，拒绝协助配合调查的，无条件同意采购人取消</w:t>
      </w:r>
      <w:r>
        <w:rPr>
          <w:rFonts w:hint="eastAsia" w:ascii="宋体" w:hAnsi="宋体" w:eastAsia="宋体" w:cs="宋体"/>
          <w:bCs/>
          <w:color w:val="000000" w:themeColor="text1"/>
          <w:kern w:val="2"/>
          <w:sz w:val="24"/>
          <w:highlight w:val="none"/>
          <w:lang w:val="en-US" w:eastAsia="zh-CN" w:bidi="ar-SA"/>
          <w14:textFill>
            <w14:solidFill>
              <w14:schemeClr w14:val="tx1"/>
            </w14:solidFill>
          </w14:textFill>
        </w:rPr>
        <w:t>我单位</w:t>
      </w:r>
      <w:r>
        <w:rPr>
          <w:rFonts w:hint="eastAsia" w:ascii="宋体" w:hAnsi="宋体" w:eastAsia="宋体" w:cs="宋体"/>
          <w:bCs/>
          <w:color w:val="000000" w:themeColor="text1"/>
          <w:sz w:val="24"/>
          <w:highlight w:val="none"/>
          <w14:textFill>
            <w14:solidFill>
              <w14:schemeClr w14:val="tx1"/>
            </w14:solidFill>
          </w14:textFill>
        </w:rPr>
        <w:t>成交资格或</w:t>
      </w:r>
      <w:r>
        <w:rPr>
          <w:rFonts w:hint="eastAsia" w:ascii="宋体" w:hAnsi="宋体" w:eastAsia="宋体" w:cs="宋体"/>
          <w:bCs/>
          <w:color w:val="000000" w:themeColor="text1"/>
          <w:sz w:val="24"/>
          <w:highlight w:val="none"/>
          <w:lang w:eastAsia="zh-CN"/>
          <w14:textFill>
            <w14:solidFill>
              <w14:schemeClr w14:val="tx1"/>
            </w14:solidFill>
          </w14:textFill>
        </w:rPr>
        <w:t>合同甲方解除合同</w:t>
      </w:r>
      <w:r>
        <w:rPr>
          <w:rFonts w:hint="eastAsia" w:ascii="宋体" w:hAnsi="宋体" w:eastAsia="宋体" w:cs="宋体"/>
          <w:bCs/>
          <w:color w:val="000000" w:themeColor="text1"/>
          <w:sz w:val="24"/>
          <w:highlight w:val="none"/>
          <w14:textFill>
            <w14:solidFill>
              <w14:schemeClr w14:val="tx1"/>
            </w14:solidFill>
          </w14:textFill>
        </w:rPr>
        <w:t>，并愿意承担因此造成的一切损失和处罚，包括但不限于信用惩戒、限制响应资格等。</w:t>
      </w:r>
    </w:p>
    <w:p w14:paraId="5EE7D8BA">
      <w:pPr>
        <w:spacing w:line="360" w:lineRule="auto"/>
        <w:rPr>
          <w:rFonts w:hint="eastAsia" w:ascii="宋体" w:hAnsi="宋体" w:eastAsia="宋体" w:cs="宋体"/>
          <w:bCs/>
          <w:color w:val="000000" w:themeColor="text1"/>
          <w:sz w:val="24"/>
          <w:highlight w:val="none"/>
          <w14:textFill>
            <w14:solidFill>
              <w14:schemeClr w14:val="tx1"/>
            </w14:solidFill>
          </w14:textFill>
        </w:rPr>
      </w:pPr>
    </w:p>
    <w:p w14:paraId="6B08FE94">
      <w:pPr>
        <w:spacing w:line="360" w:lineRule="auto"/>
        <w:ind w:firstLine="4320" w:firstLineChars="1800"/>
        <w:rPr>
          <w:rFonts w:hint="eastAsia" w:ascii="宋体" w:hAnsi="宋体" w:eastAsia="宋体" w:cs="宋体"/>
          <w:bCs/>
          <w:color w:val="000000" w:themeColor="text1"/>
          <w:sz w:val="24"/>
          <w:highlight w:val="none"/>
          <w:u w:val="singl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供应商电子签章：</w:t>
      </w:r>
      <w:r>
        <w:rPr>
          <w:rFonts w:hint="eastAsia" w:ascii="宋体" w:hAnsi="宋体" w:eastAsia="宋体" w:cs="宋体"/>
          <w:bCs/>
          <w:color w:val="000000" w:themeColor="text1"/>
          <w:sz w:val="24"/>
          <w:highlight w:val="none"/>
          <w:u w:val="single"/>
          <w14:textFill>
            <w14:solidFill>
              <w14:schemeClr w14:val="tx1"/>
            </w14:solidFill>
          </w14:textFill>
        </w:rPr>
        <w:t xml:space="preserve">             </w:t>
      </w:r>
    </w:p>
    <w:p w14:paraId="7E3D06CF">
      <w:pPr>
        <w:spacing w:line="360" w:lineRule="auto"/>
        <w:ind w:firstLine="4320" w:firstLineChars="18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日          期：</w:t>
      </w:r>
      <w:r>
        <w:rPr>
          <w:rFonts w:hint="eastAsia" w:ascii="宋体" w:hAnsi="宋体" w:eastAsia="宋体" w:cs="宋体"/>
          <w:bCs/>
          <w:color w:val="000000" w:themeColor="text1"/>
          <w:sz w:val="24"/>
          <w:highlight w:val="none"/>
          <w:u w:val="single"/>
          <w14:textFill>
            <w14:solidFill>
              <w14:schemeClr w14:val="tx1"/>
            </w14:solidFill>
          </w14:textFill>
        </w:rPr>
        <w:t xml:space="preserve">             </w:t>
      </w:r>
    </w:p>
    <w:p w14:paraId="6E99F2CB">
      <w:pPr>
        <w:widowControl/>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p>
    <w:p w14:paraId="2A2E5D9F">
      <w:pPr>
        <w:spacing w:line="360" w:lineRule="auto"/>
        <w:jc w:val="center"/>
        <w:outlineLvl w:val="1"/>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十</w:t>
      </w:r>
      <w:r>
        <w:rPr>
          <w:rFonts w:hint="eastAsia" w:ascii="宋体" w:hAnsi="宋体" w:eastAsia="宋体" w:cs="宋体"/>
          <w:b/>
          <w:color w:val="000000" w:themeColor="text1"/>
          <w:sz w:val="24"/>
          <w:highlight w:val="none"/>
          <w14:textFill>
            <w14:solidFill>
              <w14:schemeClr w14:val="tx1"/>
            </w14:solidFill>
          </w14:textFill>
        </w:rPr>
        <w:t>、其他相关证明材料</w:t>
      </w:r>
      <w:bookmarkEnd w:id="255"/>
      <w:bookmarkEnd w:id="256"/>
    </w:p>
    <w:p w14:paraId="306A8300">
      <w:pPr>
        <w:tabs>
          <w:tab w:val="left" w:pos="4620"/>
        </w:tabs>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提供符合磋商邀请、采购需求及评审方法和标准规定的相关证明文件。</w:t>
      </w:r>
    </w:p>
    <w:p w14:paraId="4BD052B7">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p>
    <w:p w14:paraId="09F30659">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63FB5426">
      <w:pPr>
        <w:spacing w:line="360" w:lineRule="auto"/>
        <w:ind w:firstLine="435"/>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特别提示：</w:t>
      </w:r>
    </w:p>
    <w:p w14:paraId="080B3751">
      <w:pPr>
        <w:spacing w:line="360" w:lineRule="auto"/>
        <w:ind w:firstLine="435"/>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供应商在响应文件制作时可在此栏内上传磋商文件要求上传的证明资料，如营业执照、证书等，应将上述证明材料制作成扫描件上传。</w:t>
      </w:r>
    </w:p>
    <w:p w14:paraId="5501129E">
      <w:pPr>
        <w:spacing w:line="360" w:lineRule="auto"/>
        <w:jc w:val="center"/>
        <w:rPr>
          <w:rFonts w:hint="eastAsia" w:ascii="宋体" w:hAnsi="宋体" w:eastAsia="宋体" w:cs="宋体"/>
          <w:b/>
          <w:color w:val="000000" w:themeColor="text1"/>
          <w:sz w:val="24"/>
          <w:highlight w:val="none"/>
          <w14:textFill>
            <w14:solidFill>
              <w14:schemeClr w14:val="tx1"/>
            </w14:solidFill>
          </w14:textFill>
        </w:rPr>
      </w:pPr>
    </w:p>
    <w:p w14:paraId="46FBC750">
      <w:pPr>
        <w:widowControl/>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14:paraId="4E32AF81">
      <w:pPr>
        <w:spacing w:line="360" w:lineRule="auto"/>
        <w:jc w:val="center"/>
        <w:outlineLvl w:val="0"/>
        <w:rPr>
          <w:rFonts w:hint="eastAsia" w:ascii="宋体" w:hAnsi="宋体" w:eastAsia="宋体" w:cs="宋体"/>
          <w:b/>
          <w:bCs/>
          <w:color w:val="000000" w:themeColor="text1"/>
          <w:sz w:val="28"/>
          <w:highlight w:val="none"/>
          <w14:textFill>
            <w14:solidFill>
              <w14:schemeClr w14:val="tx1"/>
            </w14:solidFill>
          </w14:textFill>
        </w:rPr>
      </w:pPr>
      <w:bookmarkStart w:id="257" w:name="_Toc63440924"/>
      <w:bookmarkStart w:id="258" w:name="_Toc19418"/>
      <w:r>
        <w:rPr>
          <w:rFonts w:hint="eastAsia" w:ascii="宋体" w:hAnsi="宋体" w:eastAsia="宋体" w:cs="宋体"/>
          <w:b/>
          <w:bCs/>
          <w:color w:val="000000" w:themeColor="text1"/>
          <w:sz w:val="28"/>
          <w:highlight w:val="none"/>
          <w14:textFill>
            <w14:solidFill>
              <w14:schemeClr w14:val="tx1"/>
            </w14:solidFill>
          </w14:textFill>
        </w:rPr>
        <w:t>第七章  政府采购</w:t>
      </w:r>
      <w:bookmarkEnd w:id="257"/>
      <w:r>
        <w:rPr>
          <w:rFonts w:hint="eastAsia" w:ascii="宋体" w:hAnsi="宋体" w:eastAsia="宋体" w:cs="宋体"/>
          <w:b/>
          <w:color w:val="000000" w:themeColor="text1"/>
          <w:sz w:val="28"/>
          <w:highlight w:val="none"/>
          <w14:textFill>
            <w14:solidFill>
              <w14:schemeClr w14:val="tx1"/>
            </w14:solidFill>
          </w14:textFill>
        </w:rPr>
        <w:t>供应</w:t>
      </w:r>
      <w:r>
        <w:rPr>
          <w:rFonts w:hint="eastAsia" w:ascii="宋体" w:hAnsi="宋体" w:eastAsia="宋体" w:cs="宋体"/>
          <w:b/>
          <w:bCs/>
          <w:color w:val="000000" w:themeColor="text1"/>
          <w:sz w:val="28"/>
          <w:highlight w:val="none"/>
          <w14:textFill>
            <w14:solidFill>
              <w14:schemeClr w14:val="tx1"/>
            </w14:solidFill>
          </w14:textFill>
        </w:rPr>
        <w:t>商询问函和质疑函范本</w:t>
      </w:r>
      <w:bookmarkEnd w:id="258"/>
    </w:p>
    <w:p w14:paraId="45C70845">
      <w:pPr>
        <w:spacing w:line="360" w:lineRule="auto"/>
        <w:jc w:val="center"/>
        <w:outlineLvl w:val="1"/>
        <w:rPr>
          <w:rFonts w:hint="eastAsia" w:ascii="宋体" w:hAnsi="宋体" w:eastAsia="宋体" w:cs="宋体"/>
          <w:b/>
          <w:bCs/>
          <w:color w:val="000000" w:themeColor="text1"/>
          <w:sz w:val="32"/>
          <w:szCs w:val="44"/>
          <w:highlight w:val="none"/>
          <w14:textFill>
            <w14:solidFill>
              <w14:schemeClr w14:val="tx1"/>
            </w14:solidFill>
          </w14:textFill>
        </w:rPr>
      </w:pPr>
      <w:bookmarkStart w:id="259" w:name="_Toc2142"/>
      <w:bookmarkStart w:id="260" w:name="_Toc8735"/>
      <w:r>
        <w:rPr>
          <w:rFonts w:hint="eastAsia" w:ascii="宋体" w:hAnsi="宋体" w:eastAsia="宋体" w:cs="宋体"/>
          <w:b/>
          <w:bCs/>
          <w:color w:val="000000" w:themeColor="text1"/>
          <w:sz w:val="32"/>
          <w:szCs w:val="44"/>
          <w:highlight w:val="none"/>
          <w14:textFill>
            <w14:solidFill>
              <w14:schemeClr w14:val="tx1"/>
            </w14:solidFill>
          </w14:textFill>
        </w:rPr>
        <w:t>询问函范本</w:t>
      </w:r>
      <w:bookmarkEnd w:id="259"/>
      <w:bookmarkEnd w:id="260"/>
    </w:p>
    <w:p w14:paraId="2C424A76">
      <w:pPr>
        <w:adjustRightInd w:val="0"/>
        <w:snapToGrid w:val="0"/>
        <w:spacing w:line="360" w:lineRule="auto"/>
        <w:ind w:firstLine="480" w:firstLineChars="200"/>
        <w:jc w:val="center"/>
        <w:rPr>
          <w:rFonts w:hint="eastAsia" w:ascii="宋体" w:hAnsi="宋体" w:eastAsia="宋体" w:cs="宋体"/>
          <w:b/>
          <w:bCs/>
          <w:color w:val="000000" w:themeColor="text1"/>
          <w:sz w:val="32"/>
          <w:szCs w:val="44"/>
          <w:highlight w:val="none"/>
          <w14:textFill>
            <w14:solidFill>
              <w14:schemeClr w14:val="tx1"/>
            </w14:solidFill>
          </w14:textFill>
        </w:rPr>
      </w:pPr>
      <w:r>
        <w:rPr>
          <w:rFonts w:hint="eastAsia" w:ascii="宋体" w:hAnsi="宋体" w:eastAsia="宋体" w:cs="宋体"/>
          <w:i/>
          <w:iCs/>
          <w:color w:val="000000" w:themeColor="text1"/>
          <w:sz w:val="24"/>
          <w:szCs w:val="24"/>
          <w:highlight w:val="none"/>
          <w14:textFill>
            <w14:solidFill>
              <w14:schemeClr w14:val="tx1"/>
            </w14:solidFill>
          </w14:textFill>
        </w:rPr>
        <w:t>（如为对采购文件或采购程序的询问或疑问，请按询问函范本或电子交易系统中网上询问格式附件进行提交）</w:t>
      </w:r>
    </w:p>
    <w:p w14:paraId="0C9C1FAE">
      <w:pPr>
        <w:adjustRightInd w:val="0"/>
        <w:snapToGrid w:val="0"/>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致：采购人</w:t>
      </w:r>
    </w:p>
    <w:p w14:paraId="48E0DA5B">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我单位拟参与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iCs/>
          <w:color w:val="000000" w:themeColor="text1"/>
          <w:sz w:val="24"/>
          <w:szCs w:val="24"/>
          <w:highlight w:val="none"/>
          <w14:textFill>
            <w14:solidFill>
              <w14:schemeClr w14:val="tx1"/>
            </w14:solidFill>
          </w14:textFill>
        </w:rPr>
        <w:t>（项目名称、编号)</w:t>
      </w:r>
      <w:r>
        <w:rPr>
          <w:rFonts w:hint="eastAsia" w:ascii="宋体" w:hAnsi="宋体" w:eastAsia="宋体" w:cs="宋体"/>
          <w:color w:val="000000" w:themeColor="text1"/>
          <w:sz w:val="24"/>
          <w:szCs w:val="24"/>
          <w:highlight w:val="none"/>
          <w14:textFill>
            <w14:solidFill>
              <w14:schemeClr w14:val="tx1"/>
            </w14:solidFill>
          </w14:textFill>
        </w:rPr>
        <w:t>的采购活动，现有以下内容(或条款)存在疑问(或无法理解)，特提出询问。</w:t>
      </w:r>
    </w:p>
    <w:p w14:paraId="7C14D6F6">
      <w:pPr>
        <w:adjustRightInd w:val="0"/>
        <w:snapToGrid w:val="0"/>
        <w:spacing w:line="360" w:lineRule="auto"/>
        <w:ind w:firstLine="480" w:firstLineChars="200"/>
        <w:outlineLvl w:val="1"/>
        <w:rPr>
          <w:rFonts w:hint="eastAsia" w:ascii="宋体" w:hAnsi="宋体" w:eastAsia="宋体" w:cs="宋体"/>
          <w:color w:val="000000" w:themeColor="text1"/>
          <w:sz w:val="24"/>
          <w:szCs w:val="24"/>
          <w:highlight w:val="none"/>
          <w14:textFill>
            <w14:solidFill>
              <w14:schemeClr w14:val="tx1"/>
            </w14:solidFill>
          </w14:textFill>
        </w:rPr>
      </w:pPr>
      <w:bookmarkStart w:id="261" w:name="_Toc26386"/>
      <w:bookmarkStart w:id="262" w:name="_Toc9092"/>
      <w:r>
        <w:rPr>
          <w:rFonts w:hint="eastAsia" w:ascii="宋体" w:hAnsi="宋体" w:eastAsia="宋体" w:cs="宋体"/>
          <w:color w:val="000000" w:themeColor="text1"/>
          <w:sz w:val="24"/>
          <w:szCs w:val="24"/>
          <w:highlight w:val="none"/>
          <w14:textFill>
            <w14:solidFill>
              <w14:schemeClr w14:val="tx1"/>
            </w14:solidFill>
          </w14:textFill>
        </w:rPr>
        <w:t>一、(事项一)</w:t>
      </w:r>
      <w:bookmarkEnd w:id="261"/>
      <w:bookmarkEnd w:id="262"/>
    </w:p>
    <w:p w14:paraId="6E577C52">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1、(内容或条款)</w:t>
      </w:r>
    </w:p>
    <w:p w14:paraId="069F4424">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2、(说明疑问或无法理解原因)</w:t>
      </w:r>
    </w:p>
    <w:p w14:paraId="548050D1">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3、(建议)</w:t>
      </w:r>
    </w:p>
    <w:p w14:paraId="71EA2D96">
      <w:pPr>
        <w:adjustRightInd w:val="0"/>
        <w:snapToGrid w:val="0"/>
        <w:spacing w:line="360" w:lineRule="auto"/>
        <w:ind w:firstLine="480" w:firstLineChars="200"/>
        <w:outlineLvl w:val="1"/>
        <w:rPr>
          <w:rFonts w:hint="eastAsia" w:ascii="宋体" w:hAnsi="宋体" w:eastAsia="宋体" w:cs="宋体"/>
          <w:color w:val="000000" w:themeColor="text1"/>
          <w:sz w:val="24"/>
          <w:szCs w:val="24"/>
          <w:highlight w:val="none"/>
          <w14:textFill>
            <w14:solidFill>
              <w14:schemeClr w14:val="tx1"/>
            </w14:solidFill>
          </w14:textFill>
        </w:rPr>
      </w:pPr>
      <w:bookmarkStart w:id="263" w:name="_Toc9273"/>
      <w:bookmarkStart w:id="264" w:name="_Toc17582"/>
      <w:r>
        <w:rPr>
          <w:rFonts w:hint="eastAsia" w:ascii="宋体" w:hAnsi="宋体" w:eastAsia="宋体" w:cs="宋体"/>
          <w:color w:val="000000" w:themeColor="text1"/>
          <w:sz w:val="24"/>
          <w:szCs w:val="24"/>
          <w:highlight w:val="none"/>
          <w14:textFill>
            <w14:solidFill>
              <w14:schemeClr w14:val="tx1"/>
            </w14:solidFill>
          </w14:textFill>
        </w:rPr>
        <w:t>二、(事项二)</w:t>
      </w:r>
      <w:bookmarkEnd w:id="263"/>
      <w:bookmarkEnd w:id="264"/>
    </w:p>
    <w:p w14:paraId="71141F7B">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15A090CC">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随附相关证明材料如下： </w:t>
      </w:r>
    </w:p>
    <w:p w14:paraId="727EC449">
      <w:pPr>
        <w:spacing w:line="360" w:lineRule="auto"/>
        <w:ind w:firstLine="4228" w:firstLineChars="1762"/>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 系 人：</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32DB3127">
      <w:pPr>
        <w:spacing w:line="360" w:lineRule="auto"/>
        <w:ind w:firstLine="4228" w:firstLineChars="1762"/>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联系电话：</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3B484A46">
      <w:pPr>
        <w:tabs>
          <w:tab w:val="left" w:pos="630"/>
        </w:tabs>
        <w:spacing w:line="360" w:lineRule="auto"/>
        <w:ind w:firstLine="4228" w:firstLineChars="1762"/>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    期：</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271BBCF5">
      <w:pPr>
        <w:rPr>
          <w:rFonts w:hint="eastAsia" w:ascii="宋体" w:hAnsi="宋体" w:eastAsia="宋体" w:cs="宋体"/>
          <w:b/>
          <w:color w:val="000000" w:themeColor="text1"/>
          <w:sz w:val="52"/>
          <w:highlight w:val="none"/>
          <w14:textFill>
            <w14:solidFill>
              <w14:schemeClr w14:val="tx1"/>
            </w14:solidFill>
          </w14:textFill>
        </w:rPr>
      </w:pPr>
      <w:r>
        <w:rPr>
          <w:rFonts w:hint="eastAsia" w:ascii="宋体" w:hAnsi="宋体" w:eastAsia="宋体" w:cs="宋体"/>
          <w:b/>
          <w:bCs/>
          <w:color w:val="000000" w:themeColor="text1"/>
          <w:sz w:val="32"/>
          <w:szCs w:val="44"/>
          <w:highlight w:val="none"/>
          <w14:textFill>
            <w14:solidFill>
              <w14:schemeClr w14:val="tx1"/>
            </w14:solidFill>
          </w14:textFill>
        </w:rPr>
        <w:br w:type="page"/>
      </w:r>
    </w:p>
    <w:p w14:paraId="330E324D">
      <w:pPr>
        <w:jc w:val="center"/>
        <w:outlineLvl w:val="1"/>
        <w:rPr>
          <w:rFonts w:hint="eastAsia" w:ascii="宋体" w:hAnsi="宋体" w:eastAsia="宋体" w:cs="宋体"/>
          <w:b/>
          <w:bCs/>
          <w:color w:val="000000" w:themeColor="text1"/>
          <w:sz w:val="32"/>
          <w:szCs w:val="44"/>
          <w:highlight w:val="none"/>
          <w14:textFill>
            <w14:solidFill>
              <w14:schemeClr w14:val="tx1"/>
            </w14:solidFill>
          </w14:textFill>
        </w:rPr>
      </w:pPr>
      <w:bookmarkStart w:id="265" w:name="_Toc26673"/>
      <w:bookmarkStart w:id="266" w:name="_Toc6990"/>
      <w:r>
        <w:rPr>
          <w:rFonts w:hint="eastAsia" w:ascii="宋体" w:hAnsi="宋体" w:eastAsia="宋体" w:cs="宋体"/>
          <w:b/>
          <w:bCs/>
          <w:color w:val="000000" w:themeColor="text1"/>
          <w:sz w:val="32"/>
          <w:szCs w:val="44"/>
          <w:highlight w:val="none"/>
          <w14:textFill>
            <w14:solidFill>
              <w14:schemeClr w14:val="tx1"/>
            </w14:solidFill>
          </w14:textFill>
        </w:rPr>
        <w:t>质疑函范本</w:t>
      </w:r>
      <w:bookmarkEnd w:id="265"/>
      <w:bookmarkEnd w:id="266"/>
    </w:p>
    <w:p w14:paraId="41984649">
      <w:pPr>
        <w:adjustRightInd w:val="0"/>
        <w:snapToGrid w:val="0"/>
        <w:spacing w:before="312" w:beforeLines="100" w:line="360" w:lineRule="auto"/>
        <w:outlineLvl w:val="1"/>
        <w:rPr>
          <w:rFonts w:hint="eastAsia" w:ascii="宋体" w:hAnsi="宋体" w:eastAsia="宋体" w:cs="宋体"/>
          <w:b/>
          <w:bCs/>
          <w:color w:val="000000" w:themeColor="text1"/>
          <w:sz w:val="24"/>
          <w:szCs w:val="24"/>
          <w:highlight w:val="none"/>
          <w14:textFill>
            <w14:solidFill>
              <w14:schemeClr w14:val="tx1"/>
            </w14:solidFill>
          </w14:textFill>
        </w:rPr>
      </w:pPr>
      <w:bookmarkStart w:id="267" w:name="_Toc29510"/>
      <w:bookmarkStart w:id="268" w:name="_Toc2994"/>
      <w:r>
        <w:rPr>
          <w:rFonts w:hint="eastAsia" w:ascii="宋体" w:hAnsi="宋体" w:eastAsia="宋体" w:cs="宋体"/>
          <w:b/>
          <w:bCs/>
          <w:color w:val="000000" w:themeColor="text1"/>
          <w:sz w:val="24"/>
          <w:szCs w:val="24"/>
          <w:highlight w:val="none"/>
          <w14:textFill>
            <w14:solidFill>
              <w14:schemeClr w14:val="tx1"/>
            </w14:solidFill>
          </w14:textFill>
        </w:rPr>
        <w:t>一、质疑供应商基本信息</w:t>
      </w:r>
      <w:bookmarkEnd w:id="267"/>
      <w:bookmarkEnd w:id="268"/>
    </w:p>
    <w:p w14:paraId="2AE0CD2C">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质疑供应商：</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03531E29">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邮编：</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670C8D90">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038F663D">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授权代表：</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2C46D96C">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7CD43872">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地址： </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邮编：</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19B0013F">
      <w:pPr>
        <w:adjustRightInd w:val="0"/>
        <w:snapToGrid w:val="0"/>
        <w:spacing w:line="360" w:lineRule="auto"/>
        <w:outlineLvl w:val="1"/>
        <w:rPr>
          <w:rFonts w:hint="eastAsia" w:ascii="宋体" w:hAnsi="宋体" w:eastAsia="宋体" w:cs="宋体"/>
          <w:b/>
          <w:bCs/>
          <w:color w:val="000000" w:themeColor="text1"/>
          <w:sz w:val="24"/>
          <w:szCs w:val="24"/>
          <w:highlight w:val="none"/>
          <w14:textFill>
            <w14:solidFill>
              <w14:schemeClr w14:val="tx1"/>
            </w14:solidFill>
          </w14:textFill>
        </w:rPr>
      </w:pPr>
      <w:bookmarkStart w:id="269" w:name="_Toc31042"/>
      <w:bookmarkStart w:id="270" w:name="_Toc28130"/>
      <w:r>
        <w:rPr>
          <w:rFonts w:hint="eastAsia" w:ascii="宋体" w:hAnsi="宋体" w:eastAsia="宋体" w:cs="宋体"/>
          <w:b/>
          <w:bCs/>
          <w:color w:val="000000" w:themeColor="text1"/>
          <w:sz w:val="24"/>
          <w:szCs w:val="24"/>
          <w:highlight w:val="none"/>
          <w14:textFill>
            <w14:solidFill>
              <w14:schemeClr w14:val="tx1"/>
            </w14:solidFill>
          </w14:textFill>
        </w:rPr>
        <w:t>二、质疑项目基本情况</w:t>
      </w:r>
      <w:bookmarkEnd w:id="269"/>
      <w:bookmarkEnd w:id="270"/>
    </w:p>
    <w:p w14:paraId="55FC76BC">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质疑项目的名称：</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53B08209">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质疑项目的编号：</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包号：</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2F65B23A">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采购人名称：</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1D27D9FE">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采购文件获取日期：</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783AFCA6">
      <w:pPr>
        <w:adjustRightInd w:val="0"/>
        <w:snapToGrid w:val="0"/>
        <w:spacing w:line="360" w:lineRule="auto"/>
        <w:outlineLvl w:val="1"/>
        <w:rPr>
          <w:rFonts w:hint="eastAsia" w:ascii="宋体" w:hAnsi="宋体" w:eastAsia="宋体" w:cs="宋体"/>
          <w:b/>
          <w:bCs/>
          <w:color w:val="000000" w:themeColor="text1"/>
          <w:sz w:val="24"/>
          <w:szCs w:val="24"/>
          <w:highlight w:val="none"/>
          <w14:textFill>
            <w14:solidFill>
              <w14:schemeClr w14:val="tx1"/>
            </w14:solidFill>
          </w14:textFill>
        </w:rPr>
      </w:pPr>
      <w:bookmarkStart w:id="271" w:name="_Toc20587"/>
      <w:bookmarkStart w:id="272" w:name="_Toc6486"/>
      <w:r>
        <w:rPr>
          <w:rFonts w:hint="eastAsia" w:ascii="宋体" w:hAnsi="宋体" w:eastAsia="宋体" w:cs="宋体"/>
          <w:b/>
          <w:bCs/>
          <w:color w:val="000000" w:themeColor="text1"/>
          <w:sz w:val="24"/>
          <w:szCs w:val="24"/>
          <w:highlight w:val="none"/>
          <w14:textFill>
            <w14:solidFill>
              <w14:schemeClr w14:val="tx1"/>
            </w14:solidFill>
          </w14:textFill>
        </w:rPr>
        <w:t>三、质疑事项具体内容</w:t>
      </w:r>
      <w:bookmarkEnd w:id="271"/>
      <w:bookmarkEnd w:id="272"/>
    </w:p>
    <w:p w14:paraId="0D345DF3">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质疑事项1：</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099B82AD">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事实依据：</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69EF07DA">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3460BCA6">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法律依据：</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36687706">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2407E508">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质疑事项2</w:t>
      </w:r>
    </w:p>
    <w:p w14:paraId="56C55CB8">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39E1B2C4">
      <w:pPr>
        <w:adjustRightInd w:val="0"/>
        <w:snapToGrid w:val="0"/>
        <w:spacing w:line="360" w:lineRule="auto"/>
        <w:outlineLvl w:val="1"/>
        <w:rPr>
          <w:rFonts w:hint="eastAsia" w:ascii="宋体" w:hAnsi="宋体" w:eastAsia="宋体" w:cs="宋体"/>
          <w:b/>
          <w:bCs/>
          <w:color w:val="000000" w:themeColor="text1"/>
          <w:sz w:val="24"/>
          <w:szCs w:val="24"/>
          <w:highlight w:val="none"/>
          <w14:textFill>
            <w14:solidFill>
              <w14:schemeClr w14:val="tx1"/>
            </w14:solidFill>
          </w14:textFill>
        </w:rPr>
      </w:pPr>
      <w:bookmarkStart w:id="273" w:name="_Toc32755"/>
      <w:bookmarkStart w:id="274" w:name="_Toc20470"/>
      <w:r>
        <w:rPr>
          <w:rFonts w:hint="eastAsia" w:ascii="宋体" w:hAnsi="宋体" w:eastAsia="宋体" w:cs="宋体"/>
          <w:b/>
          <w:bCs/>
          <w:color w:val="000000" w:themeColor="text1"/>
          <w:sz w:val="24"/>
          <w:szCs w:val="24"/>
          <w:highlight w:val="none"/>
          <w14:textFill>
            <w14:solidFill>
              <w14:schemeClr w14:val="tx1"/>
            </w14:solidFill>
          </w14:textFill>
        </w:rPr>
        <w:t>四、与质疑事项相关的质疑请求</w:t>
      </w:r>
      <w:bookmarkEnd w:id="273"/>
      <w:bookmarkEnd w:id="274"/>
    </w:p>
    <w:p w14:paraId="5542B9A8">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请求：</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18F3AF4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签字(签章)：                   公章：                      </w:t>
      </w:r>
    </w:p>
    <w:p w14:paraId="1B2CDDEF">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日期：    </w:t>
      </w:r>
    </w:p>
    <w:p w14:paraId="3C552977">
      <w:pPr>
        <w:widowControl/>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p>
    <w:p w14:paraId="33EA7737">
      <w:pPr>
        <w:outlineLvl w:val="0"/>
        <w:rPr>
          <w:rFonts w:hint="eastAsia" w:ascii="宋体" w:hAnsi="宋体" w:eastAsia="宋体" w:cs="宋体"/>
          <w:b/>
          <w:color w:val="000000" w:themeColor="text1"/>
          <w:sz w:val="28"/>
          <w:szCs w:val="32"/>
          <w:highlight w:val="none"/>
          <w14:textFill>
            <w14:solidFill>
              <w14:schemeClr w14:val="tx1"/>
            </w14:solidFill>
          </w14:textFill>
        </w:rPr>
      </w:pPr>
      <w:bookmarkStart w:id="275" w:name="_Toc21667"/>
      <w:bookmarkStart w:id="276" w:name="_Toc8368"/>
      <w:r>
        <w:rPr>
          <w:rFonts w:hint="eastAsia" w:ascii="宋体" w:hAnsi="宋体" w:eastAsia="宋体" w:cs="宋体"/>
          <w:b/>
          <w:color w:val="000000" w:themeColor="text1"/>
          <w:sz w:val="28"/>
          <w:szCs w:val="32"/>
          <w:highlight w:val="none"/>
          <w14:textFill>
            <w14:solidFill>
              <w14:schemeClr w14:val="tx1"/>
            </w14:solidFill>
          </w14:textFill>
        </w:rPr>
        <w:t>质疑函制作说明：</w:t>
      </w:r>
      <w:bookmarkEnd w:id="275"/>
      <w:bookmarkEnd w:id="276"/>
    </w:p>
    <w:p w14:paraId="12B395B0">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1.供应商提出质疑时，应提交质疑函和必要的证明材料。</w:t>
      </w:r>
    </w:p>
    <w:p w14:paraId="702AFFE8">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DC5130D">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3.质疑供应商若对项目的某一分包进行质疑，质疑函中应列明具体分包号。</w:t>
      </w:r>
    </w:p>
    <w:p w14:paraId="216E0E70">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4.质疑函的质疑事项应具体、明确，并有必要的事实依据和法律依据。</w:t>
      </w:r>
    </w:p>
    <w:p w14:paraId="1B8BB706">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5.质疑函的质疑请求应与质疑事项相关。</w:t>
      </w:r>
    </w:p>
    <w:p w14:paraId="7169E72C">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806E3">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98A23">
    <w:pPr>
      <w:pStyle w:val="15"/>
      <w:tabs>
        <w:tab w:val="clear" w:pos="4153"/>
      </w:tabs>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54BAA">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954BAA">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1E59D">
    <w:pPr>
      <w:pStyle w:val="15"/>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D8E3B">
                          <w:pPr>
                            <w:pStyle w:val="1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FD8E3B">
                    <w:pPr>
                      <w:pStyle w:val="1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F3663">
    <w:pPr>
      <w:pStyle w:val="16"/>
      <w:jc w:val="both"/>
      <w:rPr>
        <w:rFonts w:hint="eastAsia" w:ascii="宋体" w:hAnsi="宋体" w:eastAsia="宋体" w:cs="宋体"/>
        <w:lang w:val="en-US" w:eastAsia="zh-CN"/>
      </w:rPr>
    </w:pPr>
    <w:r>
      <w:rPr>
        <w:rFonts w:hint="eastAsia" w:ascii="宋体" w:hAnsi="宋体" w:eastAsia="宋体" w:cs="宋体"/>
        <w:lang w:val="en-US" w:eastAsia="zh-CN"/>
      </w:rPr>
      <w:t>安徽省淮河河道管理局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9CA8D">
    <w:pPr>
      <w:pStyle w:val="16"/>
      <w:jc w:val="left"/>
      <w:rPr>
        <w:rFonts w:hint="default" w:eastAsia="@仿宋_GB2312"/>
        <w:lang w:val="en-US" w:eastAsia="zh-CN"/>
      </w:rPr>
    </w:pPr>
    <w:r>
      <w:rPr>
        <w:rFonts w:hint="eastAsia" w:asciiTheme="minorEastAsia" w:hAnsiTheme="minorEastAsia" w:eastAsiaTheme="minorEastAsia"/>
        <w:lang w:val="en-US" w:eastAsia="zh-CN"/>
      </w:rPr>
      <w:t>安徽省淮河河道管理局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35F02"/>
    <w:multiLevelType w:val="singleLevel"/>
    <w:tmpl w:val="93635F02"/>
    <w:lvl w:ilvl="0" w:tentative="0">
      <w:start w:val="3"/>
      <w:numFmt w:val="decimal"/>
      <w:lvlText w:val="%1."/>
      <w:lvlJc w:val="left"/>
      <w:pPr>
        <w:tabs>
          <w:tab w:val="left" w:pos="312"/>
        </w:tabs>
      </w:pPr>
    </w:lvl>
  </w:abstractNum>
  <w:abstractNum w:abstractNumId="1">
    <w:nsid w:val="A5C35486"/>
    <w:multiLevelType w:val="singleLevel"/>
    <w:tmpl w:val="A5C35486"/>
    <w:lvl w:ilvl="0" w:tentative="0">
      <w:start w:val="7"/>
      <w:numFmt w:val="chineseCounting"/>
      <w:suff w:val="nothing"/>
      <w:lvlText w:val="%1、"/>
      <w:lvlJc w:val="left"/>
      <w:rPr>
        <w:rFonts w:hint="eastAsia"/>
      </w:rPr>
    </w:lvl>
  </w:abstractNum>
  <w:abstractNum w:abstractNumId="2">
    <w:nsid w:val="C24A6640"/>
    <w:multiLevelType w:val="singleLevel"/>
    <w:tmpl w:val="C24A6640"/>
    <w:lvl w:ilvl="0" w:tentative="0">
      <w:start w:val="6"/>
      <w:numFmt w:val="decimal"/>
      <w:suff w:val="nothing"/>
      <w:lvlText w:val="（%1）"/>
      <w:lvlJc w:val="left"/>
    </w:lvl>
  </w:abstractNum>
  <w:abstractNum w:abstractNumId="3">
    <w:nsid w:val="D79A46E3"/>
    <w:multiLevelType w:val="singleLevel"/>
    <w:tmpl w:val="D79A46E3"/>
    <w:lvl w:ilvl="0" w:tentative="0">
      <w:start w:val="7"/>
      <w:numFmt w:val="decimal"/>
      <w:lvlText w:val="%1."/>
      <w:lvlJc w:val="left"/>
      <w:pPr>
        <w:tabs>
          <w:tab w:val="left" w:pos="312"/>
        </w:tabs>
      </w:pPr>
    </w:lvl>
  </w:abstractNum>
  <w:abstractNum w:abstractNumId="4">
    <w:nsid w:val="14DDDD92"/>
    <w:multiLevelType w:val="singleLevel"/>
    <w:tmpl w:val="14DDDD92"/>
    <w:lvl w:ilvl="0" w:tentative="0">
      <w:start w:val="1"/>
      <w:numFmt w:val="decimal"/>
      <w:suff w:val="nothing"/>
      <w:lvlText w:val="（%1）"/>
      <w:lvlJc w:val="left"/>
    </w:lvl>
  </w:abstractNum>
  <w:abstractNum w:abstractNumId="5">
    <w:nsid w:val="15E096DC"/>
    <w:multiLevelType w:val="singleLevel"/>
    <w:tmpl w:val="15E096DC"/>
    <w:lvl w:ilvl="0" w:tentative="0">
      <w:start w:val="1"/>
      <w:numFmt w:val="decimal"/>
      <w:suff w:val="nothing"/>
      <w:lvlText w:val="（%1）"/>
      <w:lvlJc w:val="left"/>
    </w:lvl>
  </w:abstractNum>
  <w:abstractNum w:abstractNumId="6">
    <w:nsid w:val="4482DDAA"/>
    <w:multiLevelType w:val="singleLevel"/>
    <w:tmpl w:val="4482DDAA"/>
    <w:lvl w:ilvl="0" w:tentative="0">
      <w:start w:val="1"/>
      <w:numFmt w:val="decimal"/>
      <w:suff w:val="nothing"/>
      <w:lvlText w:val="（%1）"/>
      <w:lvlJc w:val="left"/>
    </w:lvl>
  </w:abstractNum>
  <w:num w:numId="1">
    <w:abstractNumId w:val="1"/>
  </w:num>
  <w:num w:numId="2">
    <w:abstractNumId w:val="2"/>
  </w:num>
  <w:num w:numId="3">
    <w:abstractNumId w:val="4"/>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yZDMxNWRkYmY5MjE3NjUxYTk3ZDA1NDUyNmVkYWEifQ=="/>
    <w:docVar w:name="KSO_WPS_MARK_KEY" w:val="ad60c202-8af9-45f4-8044-d15b30f966cd"/>
  </w:docVars>
  <w:rsids>
    <w:rsidRoot w:val="00276BA1"/>
    <w:rsid w:val="0000043F"/>
    <w:rsid w:val="0000081F"/>
    <w:rsid w:val="000037F9"/>
    <w:rsid w:val="000049DA"/>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2F95"/>
    <w:rsid w:val="00054AA3"/>
    <w:rsid w:val="00056E31"/>
    <w:rsid w:val="00056ECB"/>
    <w:rsid w:val="00057B40"/>
    <w:rsid w:val="000648D2"/>
    <w:rsid w:val="00070E0E"/>
    <w:rsid w:val="0007146E"/>
    <w:rsid w:val="00072E36"/>
    <w:rsid w:val="00076DB7"/>
    <w:rsid w:val="00080FEB"/>
    <w:rsid w:val="00094D41"/>
    <w:rsid w:val="00097CB9"/>
    <w:rsid w:val="000A0161"/>
    <w:rsid w:val="000A10A9"/>
    <w:rsid w:val="000A6693"/>
    <w:rsid w:val="000A7970"/>
    <w:rsid w:val="000A7D94"/>
    <w:rsid w:val="000B1511"/>
    <w:rsid w:val="000B6249"/>
    <w:rsid w:val="000C1DB1"/>
    <w:rsid w:val="000C3FD5"/>
    <w:rsid w:val="000D19EC"/>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5E1E"/>
    <w:rsid w:val="0011660B"/>
    <w:rsid w:val="0012143A"/>
    <w:rsid w:val="0012203E"/>
    <w:rsid w:val="00123B07"/>
    <w:rsid w:val="001258BA"/>
    <w:rsid w:val="00130601"/>
    <w:rsid w:val="00132F4D"/>
    <w:rsid w:val="00133EA0"/>
    <w:rsid w:val="00137249"/>
    <w:rsid w:val="00140687"/>
    <w:rsid w:val="00143255"/>
    <w:rsid w:val="00146421"/>
    <w:rsid w:val="00153B20"/>
    <w:rsid w:val="00155F64"/>
    <w:rsid w:val="00157856"/>
    <w:rsid w:val="00160729"/>
    <w:rsid w:val="0016455F"/>
    <w:rsid w:val="00165398"/>
    <w:rsid w:val="00166794"/>
    <w:rsid w:val="00166ED8"/>
    <w:rsid w:val="001714C9"/>
    <w:rsid w:val="00171515"/>
    <w:rsid w:val="00172B93"/>
    <w:rsid w:val="001768BC"/>
    <w:rsid w:val="0018119B"/>
    <w:rsid w:val="001844AB"/>
    <w:rsid w:val="001853C7"/>
    <w:rsid w:val="00192879"/>
    <w:rsid w:val="001934E8"/>
    <w:rsid w:val="001940E2"/>
    <w:rsid w:val="001944B8"/>
    <w:rsid w:val="001959A9"/>
    <w:rsid w:val="001967D2"/>
    <w:rsid w:val="00196DA3"/>
    <w:rsid w:val="001970C3"/>
    <w:rsid w:val="001971E5"/>
    <w:rsid w:val="00197622"/>
    <w:rsid w:val="001A0C0F"/>
    <w:rsid w:val="001A68E5"/>
    <w:rsid w:val="001B2A54"/>
    <w:rsid w:val="001B2BA4"/>
    <w:rsid w:val="001B5014"/>
    <w:rsid w:val="001B7327"/>
    <w:rsid w:val="001C2A15"/>
    <w:rsid w:val="001D22EA"/>
    <w:rsid w:val="001D53B4"/>
    <w:rsid w:val="001E1835"/>
    <w:rsid w:val="001E281E"/>
    <w:rsid w:val="001F28D2"/>
    <w:rsid w:val="001F2F45"/>
    <w:rsid w:val="001F3023"/>
    <w:rsid w:val="001F35F6"/>
    <w:rsid w:val="001F4AAF"/>
    <w:rsid w:val="001F74CA"/>
    <w:rsid w:val="001F7590"/>
    <w:rsid w:val="002003B6"/>
    <w:rsid w:val="0020244A"/>
    <w:rsid w:val="002049B4"/>
    <w:rsid w:val="0020520B"/>
    <w:rsid w:val="002076AD"/>
    <w:rsid w:val="00213265"/>
    <w:rsid w:val="00213C55"/>
    <w:rsid w:val="00223CF4"/>
    <w:rsid w:val="00224B69"/>
    <w:rsid w:val="00224C4A"/>
    <w:rsid w:val="00231187"/>
    <w:rsid w:val="0023407E"/>
    <w:rsid w:val="00235AD7"/>
    <w:rsid w:val="00236143"/>
    <w:rsid w:val="00240B40"/>
    <w:rsid w:val="00244182"/>
    <w:rsid w:val="00246425"/>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4542"/>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10070"/>
    <w:rsid w:val="0031081B"/>
    <w:rsid w:val="003110EC"/>
    <w:rsid w:val="00314289"/>
    <w:rsid w:val="003152D8"/>
    <w:rsid w:val="003206A6"/>
    <w:rsid w:val="0032560D"/>
    <w:rsid w:val="00327C92"/>
    <w:rsid w:val="00333292"/>
    <w:rsid w:val="003344E7"/>
    <w:rsid w:val="0033580B"/>
    <w:rsid w:val="003365E7"/>
    <w:rsid w:val="003378D5"/>
    <w:rsid w:val="003473D7"/>
    <w:rsid w:val="00351995"/>
    <w:rsid w:val="00351AC8"/>
    <w:rsid w:val="00353075"/>
    <w:rsid w:val="00363E02"/>
    <w:rsid w:val="00373A96"/>
    <w:rsid w:val="003813D9"/>
    <w:rsid w:val="003826C2"/>
    <w:rsid w:val="00383728"/>
    <w:rsid w:val="00384E57"/>
    <w:rsid w:val="003903BB"/>
    <w:rsid w:val="0039195E"/>
    <w:rsid w:val="00392627"/>
    <w:rsid w:val="00394128"/>
    <w:rsid w:val="00394ADC"/>
    <w:rsid w:val="00395235"/>
    <w:rsid w:val="0039561A"/>
    <w:rsid w:val="00396667"/>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6508"/>
    <w:rsid w:val="004110F6"/>
    <w:rsid w:val="004134F8"/>
    <w:rsid w:val="0041456E"/>
    <w:rsid w:val="004148E3"/>
    <w:rsid w:val="00414F7E"/>
    <w:rsid w:val="004164F8"/>
    <w:rsid w:val="00422224"/>
    <w:rsid w:val="00426F05"/>
    <w:rsid w:val="004328E1"/>
    <w:rsid w:val="0043738A"/>
    <w:rsid w:val="004427B7"/>
    <w:rsid w:val="0044349F"/>
    <w:rsid w:val="00445F1F"/>
    <w:rsid w:val="00447862"/>
    <w:rsid w:val="00451F60"/>
    <w:rsid w:val="00452BB2"/>
    <w:rsid w:val="00456054"/>
    <w:rsid w:val="0045656D"/>
    <w:rsid w:val="00462D98"/>
    <w:rsid w:val="00463E7D"/>
    <w:rsid w:val="00470F83"/>
    <w:rsid w:val="00472A44"/>
    <w:rsid w:val="00473A89"/>
    <w:rsid w:val="00475899"/>
    <w:rsid w:val="004817BA"/>
    <w:rsid w:val="00482C78"/>
    <w:rsid w:val="00483ABC"/>
    <w:rsid w:val="0048634A"/>
    <w:rsid w:val="004874AE"/>
    <w:rsid w:val="0049056F"/>
    <w:rsid w:val="00492217"/>
    <w:rsid w:val="00494D24"/>
    <w:rsid w:val="004951D1"/>
    <w:rsid w:val="004960BB"/>
    <w:rsid w:val="004A1BA3"/>
    <w:rsid w:val="004A27D0"/>
    <w:rsid w:val="004A4D67"/>
    <w:rsid w:val="004B3668"/>
    <w:rsid w:val="004B7E79"/>
    <w:rsid w:val="004C13CB"/>
    <w:rsid w:val="004C1AAB"/>
    <w:rsid w:val="004C5B90"/>
    <w:rsid w:val="004D3D4B"/>
    <w:rsid w:val="004D5498"/>
    <w:rsid w:val="004D66A5"/>
    <w:rsid w:val="004D6B00"/>
    <w:rsid w:val="004E1D50"/>
    <w:rsid w:val="004E3140"/>
    <w:rsid w:val="004E3266"/>
    <w:rsid w:val="004E38BA"/>
    <w:rsid w:val="004E50CA"/>
    <w:rsid w:val="004F27A0"/>
    <w:rsid w:val="004F3958"/>
    <w:rsid w:val="0050027D"/>
    <w:rsid w:val="00501382"/>
    <w:rsid w:val="005048FB"/>
    <w:rsid w:val="00510563"/>
    <w:rsid w:val="00510798"/>
    <w:rsid w:val="005119B5"/>
    <w:rsid w:val="005125F1"/>
    <w:rsid w:val="00524A11"/>
    <w:rsid w:val="00527768"/>
    <w:rsid w:val="00530EA4"/>
    <w:rsid w:val="005327FB"/>
    <w:rsid w:val="00533251"/>
    <w:rsid w:val="00533FCA"/>
    <w:rsid w:val="005346EF"/>
    <w:rsid w:val="00542F0C"/>
    <w:rsid w:val="00545404"/>
    <w:rsid w:val="005470D4"/>
    <w:rsid w:val="0055705E"/>
    <w:rsid w:val="005616B5"/>
    <w:rsid w:val="00566690"/>
    <w:rsid w:val="005679A4"/>
    <w:rsid w:val="005732A4"/>
    <w:rsid w:val="00574CE6"/>
    <w:rsid w:val="0059223D"/>
    <w:rsid w:val="0059365B"/>
    <w:rsid w:val="00593ABC"/>
    <w:rsid w:val="00597B15"/>
    <w:rsid w:val="005A044C"/>
    <w:rsid w:val="005A149F"/>
    <w:rsid w:val="005A3A32"/>
    <w:rsid w:val="005A45D2"/>
    <w:rsid w:val="005B2C9F"/>
    <w:rsid w:val="005B34C9"/>
    <w:rsid w:val="005B571E"/>
    <w:rsid w:val="005C1D52"/>
    <w:rsid w:val="005C46AC"/>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29BA"/>
    <w:rsid w:val="0064389A"/>
    <w:rsid w:val="00645442"/>
    <w:rsid w:val="006525CD"/>
    <w:rsid w:val="00653F7F"/>
    <w:rsid w:val="00662DCD"/>
    <w:rsid w:val="00662EE8"/>
    <w:rsid w:val="00663813"/>
    <w:rsid w:val="00664AFD"/>
    <w:rsid w:val="00667567"/>
    <w:rsid w:val="0067198E"/>
    <w:rsid w:val="0067391A"/>
    <w:rsid w:val="00674173"/>
    <w:rsid w:val="0067534F"/>
    <w:rsid w:val="00677D87"/>
    <w:rsid w:val="006834FA"/>
    <w:rsid w:val="00690DB1"/>
    <w:rsid w:val="00693404"/>
    <w:rsid w:val="006953D9"/>
    <w:rsid w:val="006A1269"/>
    <w:rsid w:val="006A5803"/>
    <w:rsid w:val="006A69C3"/>
    <w:rsid w:val="006A7C15"/>
    <w:rsid w:val="006B1242"/>
    <w:rsid w:val="006B1DBC"/>
    <w:rsid w:val="006B3712"/>
    <w:rsid w:val="006B7D9A"/>
    <w:rsid w:val="006C06D9"/>
    <w:rsid w:val="006C3E22"/>
    <w:rsid w:val="006C4192"/>
    <w:rsid w:val="006C5716"/>
    <w:rsid w:val="006C64B2"/>
    <w:rsid w:val="006C74A9"/>
    <w:rsid w:val="006C7542"/>
    <w:rsid w:val="006D07DE"/>
    <w:rsid w:val="006D361A"/>
    <w:rsid w:val="006D6A81"/>
    <w:rsid w:val="006E06D9"/>
    <w:rsid w:val="006E1D40"/>
    <w:rsid w:val="006E2E1F"/>
    <w:rsid w:val="006E5059"/>
    <w:rsid w:val="006F5F03"/>
    <w:rsid w:val="006F5FFF"/>
    <w:rsid w:val="00710804"/>
    <w:rsid w:val="00711FC6"/>
    <w:rsid w:val="00712952"/>
    <w:rsid w:val="007130B1"/>
    <w:rsid w:val="00713487"/>
    <w:rsid w:val="00715071"/>
    <w:rsid w:val="007231E9"/>
    <w:rsid w:val="00724F0E"/>
    <w:rsid w:val="007270A6"/>
    <w:rsid w:val="00727C59"/>
    <w:rsid w:val="00733730"/>
    <w:rsid w:val="00734E5D"/>
    <w:rsid w:val="00735C49"/>
    <w:rsid w:val="00736013"/>
    <w:rsid w:val="00737BF8"/>
    <w:rsid w:val="0074339B"/>
    <w:rsid w:val="0074478E"/>
    <w:rsid w:val="00750B60"/>
    <w:rsid w:val="00756245"/>
    <w:rsid w:val="00761662"/>
    <w:rsid w:val="00764043"/>
    <w:rsid w:val="00766A36"/>
    <w:rsid w:val="00773D70"/>
    <w:rsid w:val="007757CF"/>
    <w:rsid w:val="007769F6"/>
    <w:rsid w:val="00780F9D"/>
    <w:rsid w:val="0078128F"/>
    <w:rsid w:val="007819D9"/>
    <w:rsid w:val="0078683C"/>
    <w:rsid w:val="00790EDB"/>
    <w:rsid w:val="00791538"/>
    <w:rsid w:val="0079326E"/>
    <w:rsid w:val="00796EDE"/>
    <w:rsid w:val="007A5A58"/>
    <w:rsid w:val="007B1C56"/>
    <w:rsid w:val="007B2EDC"/>
    <w:rsid w:val="007C1DD7"/>
    <w:rsid w:val="007C3CD5"/>
    <w:rsid w:val="007C4756"/>
    <w:rsid w:val="007C5E88"/>
    <w:rsid w:val="007C61EF"/>
    <w:rsid w:val="007C6783"/>
    <w:rsid w:val="007D03DE"/>
    <w:rsid w:val="007D1C0D"/>
    <w:rsid w:val="007D2D23"/>
    <w:rsid w:val="007E1AE9"/>
    <w:rsid w:val="007E27D6"/>
    <w:rsid w:val="007E3921"/>
    <w:rsid w:val="00801028"/>
    <w:rsid w:val="00803793"/>
    <w:rsid w:val="00804000"/>
    <w:rsid w:val="008101A2"/>
    <w:rsid w:val="00817A01"/>
    <w:rsid w:val="00820937"/>
    <w:rsid w:val="00825E35"/>
    <w:rsid w:val="00830A4E"/>
    <w:rsid w:val="00832419"/>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11FC"/>
    <w:rsid w:val="008922A8"/>
    <w:rsid w:val="00895BD5"/>
    <w:rsid w:val="008A16C4"/>
    <w:rsid w:val="008A4A27"/>
    <w:rsid w:val="008A649F"/>
    <w:rsid w:val="008A6FED"/>
    <w:rsid w:val="008B39C5"/>
    <w:rsid w:val="008B51AA"/>
    <w:rsid w:val="008C67F2"/>
    <w:rsid w:val="008D064A"/>
    <w:rsid w:val="008D2537"/>
    <w:rsid w:val="008D2B0F"/>
    <w:rsid w:val="008D633C"/>
    <w:rsid w:val="008E449E"/>
    <w:rsid w:val="008E4BDD"/>
    <w:rsid w:val="008E770C"/>
    <w:rsid w:val="008F187F"/>
    <w:rsid w:val="008F402F"/>
    <w:rsid w:val="008F76E8"/>
    <w:rsid w:val="00904508"/>
    <w:rsid w:val="009078A1"/>
    <w:rsid w:val="00911E9C"/>
    <w:rsid w:val="009146BD"/>
    <w:rsid w:val="00917405"/>
    <w:rsid w:val="00920C1F"/>
    <w:rsid w:val="00920F7C"/>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85DDB"/>
    <w:rsid w:val="00991460"/>
    <w:rsid w:val="00995BF9"/>
    <w:rsid w:val="009975CC"/>
    <w:rsid w:val="009A0CAF"/>
    <w:rsid w:val="009A2207"/>
    <w:rsid w:val="009A2D34"/>
    <w:rsid w:val="009A6565"/>
    <w:rsid w:val="009B0EDA"/>
    <w:rsid w:val="009B6C42"/>
    <w:rsid w:val="009D2998"/>
    <w:rsid w:val="009D31F7"/>
    <w:rsid w:val="009D32C2"/>
    <w:rsid w:val="009D50DB"/>
    <w:rsid w:val="009E2932"/>
    <w:rsid w:val="009E3A0A"/>
    <w:rsid w:val="009F1936"/>
    <w:rsid w:val="009F3E91"/>
    <w:rsid w:val="009F4B04"/>
    <w:rsid w:val="00A008DA"/>
    <w:rsid w:val="00A00C93"/>
    <w:rsid w:val="00A0571E"/>
    <w:rsid w:val="00A13A27"/>
    <w:rsid w:val="00A1499B"/>
    <w:rsid w:val="00A170D8"/>
    <w:rsid w:val="00A30A1B"/>
    <w:rsid w:val="00A311AD"/>
    <w:rsid w:val="00A314C2"/>
    <w:rsid w:val="00A43949"/>
    <w:rsid w:val="00A501BF"/>
    <w:rsid w:val="00A519A0"/>
    <w:rsid w:val="00A5274A"/>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97848"/>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D508C"/>
    <w:rsid w:val="00AE2149"/>
    <w:rsid w:val="00AE2BF3"/>
    <w:rsid w:val="00AE33AE"/>
    <w:rsid w:val="00AE3986"/>
    <w:rsid w:val="00AE3F91"/>
    <w:rsid w:val="00AF5B63"/>
    <w:rsid w:val="00B0053D"/>
    <w:rsid w:val="00B01176"/>
    <w:rsid w:val="00B039E3"/>
    <w:rsid w:val="00B06D36"/>
    <w:rsid w:val="00B12BC4"/>
    <w:rsid w:val="00B20B34"/>
    <w:rsid w:val="00B22838"/>
    <w:rsid w:val="00B33E8F"/>
    <w:rsid w:val="00B33E95"/>
    <w:rsid w:val="00B3720B"/>
    <w:rsid w:val="00B45D0B"/>
    <w:rsid w:val="00B52FA0"/>
    <w:rsid w:val="00B5558A"/>
    <w:rsid w:val="00B56513"/>
    <w:rsid w:val="00B61B64"/>
    <w:rsid w:val="00B631E4"/>
    <w:rsid w:val="00B64376"/>
    <w:rsid w:val="00B6570C"/>
    <w:rsid w:val="00B6790B"/>
    <w:rsid w:val="00B7401F"/>
    <w:rsid w:val="00B769CF"/>
    <w:rsid w:val="00B801FB"/>
    <w:rsid w:val="00B806C3"/>
    <w:rsid w:val="00B80D6F"/>
    <w:rsid w:val="00B84FCA"/>
    <w:rsid w:val="00B9089F"/>
    <w:rsid w:val="00B91826"/>
    <w:rsid w:val="00B91AEE"/>
    <w:rsid w:val="00B95F5A"/>
    <w:rsid w:val="00B96EAD"/>
    <w:rsid w:val="00BA05C3"/>
    <w:rsid w:val="00BA4962"/>
    <w:rsid w:val="00BA4B7C"/>
    <w:rsid w:val="00BA79F5"/>
    <w:rsid w:val="00BA7EA7"/>
    <w:rsid w:val="00BB2E28"/>
    <w:rsid w:val="00BB3AB6"/>
    <w:rsid w:val="00BB766D"/>
    <w:rsid w:val="00BC007B"/>
    <w:rsid w:val="00BC1715"/>
    <w:rsid w:val="00BC26BA"/>
    <w:rsid w:val="00BC35F8"/>
    <w:rsid w:val="00BC481B"/>
    <w:rsid w:val="00BD08DF"/>
    <w:rsid w:val="00BD2D29"/>
    <w:rsid w:val="00BD617C"/>
    <w:rsid w:val="00BE6036"/>
    <w:rsid w:val="00BE782C"/>
    <w:rsid w:val="00BF376F"/>
    <w:rsid w:val="00BF46A6"/>
    <w:rsid w:val="00BF6CAD"/>
    <w:rsid w:val="00BF71FB"/>
    <w:rsid w:val="00C044E8"/>
    <w:rsid w:val="00C04DBF"/>
    <w:rsid w:val="00C05E4C"/>
    <w:rsid w:val="00C06545"/>
    <w:rsid w:val="00C134AF"/>
    <w:rsid w:val="00C220FC"/>
    <w:rsid w:val="00C24DFA"/>
    <w:rsid w:val="00C24F9D"/>
    <w:rsid w:val="00C30182"/>
    <w:rsid w:val="00C31FC9"/>
    <w:rsid w:val="00C37A63"/>
    <w:rsid w:val="00C42248"/>
    <w:rsid w:val="00C46A36"/>
    <w:rsid w:val="00C47037"/>
    <w:rsid w:val="00C50235"/>
    <w:rsid w:val="00C509E3"/>
    <w:rsid w:val="00C53625"/>
    <w:rsid w:val="00C548BA"/>
    <w:rsid w:val="00C5679D"/>
    <w:rsid w:val="00C57784"/>
    <w:rsid w:val="00C602C1"/>
    <w:rsid w:val="00C63FC0"/>
    <w:rsid w:val="00C66392"/>
    <w:rsid w:val="00C7075D"/>
    <w:rsid w:val="00C73D09"/>
    <w:rsid w:val="00C74895"/>
    <w:rsid w:val="00C74C5E"/>
    <w:rsid w:val="00C82558"/>
    <w:rsid w:val="00C827A2"/>
    <w:rsid w:val="00C82B69"/>
    <w:rsid w:val="00C82C8E"/>
    <w:rsid w:val="00C82CB3"/>
    <w:rsid w:val="00C91B28"/>
    <w:rsid w:val="00C91F3A"/>
    <w:rsid w:val="00C93590"/>
    <w:rsid w:val="00CA31EA"/>
    <w:rsid w:val="00CA5446"/>
    <w:rsid w:val="00CB14E5"/>
    <w:rsid w:val="00CB218D"/>
    <w:rsid w:val="00CB2B28"/>
    <w:rsid w:val="00CB5625"/>
    <w:rsid w:val="00CB5797"/>
    <w:rsid w:val="00CB6160"/>
    <w:rsid w:val="00CC1C17"/>
    <w:rsid w:val="00CC4F7F"/>
    <w:rsid w:val="00CC5D70"/>
    <w:rsid w:val="00CD09E1"/>
    <w:rsid w:val="00CE1780"/>
    <w:rsid w:val="00CE4913"/>
    <w:rsid w:val="00CE66BD"/>
    <w:rsid w:val="00CF0671"/>
    <w:rsid w:val="00CF247A"/>
    <w:rsid w:val="00CF44AD"/>
    <w:rsid w:val="00CF45F2"/>
    <w:rsid w:val="00CF4D7C"/>
    <w:rsid w:val="00CF4FC0"/>
    <w:rsid w:val="00CF6BA5"/>
    <w:rsid w:val="00CF7486"/>
    <w:rsid w:val="00D00637"/>
    <w:rsid w:val="00D1072F"/>
    <w:rsid w:val="00D108A5"/>
    <w:rsid w:val="00D14585"/>
    <w:rsid w:val="00D153C8"/>
    <w:rsid w:val="00D17F98"/>
    <w:rsid w:val="00D20EFF"/>
    <w:rsid w:val="00D215B9"/>
    <w:rsid w:val="00D31324"/>
    <w:rsid w:val="00D4386E"/>
    <w:rsid w:val="00D51432"/>
    <w:rsid w:val="00D53ED8"/>
    <w:rsid w:val="00D541A0"/>
    <w:rsid w:val="00D64857"/>
    <w:rsid w:val="00D6493A"/>
    <w:rsid w:val="00D649A5"/>
    <w:rsid w:val="00D66833"/>
    <w:rsid w:val="00D67875"/>
    <w:rsid w:val="00D71E86"/>
    <w:rsid w:val="00D731C6"/>
    <w:rsid w:val="00D745C5"/>
    <w:rsid w:val="00D75327"/>
    <w:rsid w:val="00D75AAE"/>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1DCC"/>
    <w:rsid w:val="00DE352F"/>
    <w:rsid w:val="00DE4A3F"/>
    <w:rsid w:val="00DE5A99"/>
    <w:rsid w:val="00DF371B"/>
    <w:rsid w:val="00DF4367"/>
    <w:rsid w:val="00DF565E"/>
    <w:rsid w:val="00DF7291"/>
    <w:rsid w:val="00E0574A"/>
    <w:rsid w:val="00E1243D"/>
    <w:rsid w:val="00E12742"/>
    <w:rsid w:val="00E146D4"/>
    <w:rsid w:val="00E14815"/>
    <w:rsid w:val="00E21D37"/>
    <w:rsid w:val="00E220ED"/>
    <w:rsid w:val="00E22B44"/>
    <w:rsid w:val="00E30ACD"/>
    <w:rsid w:val="00E32735"/>
    <w:rsid w:val="00E34236"/>
    <w:rsid w:val="00E44B88"/>
    <w:rsid w:val="00E60DDB"/>
    <w:rsid w:val="00E65AD9"/>
    <w:rsid w:val="00E66E36"/>
    <w:rsid w:val="00E67F21"/>
    <w:rsid w:val="00E702ED"/>
    <w:rsid w:val="00E709A4"/>
    <w:rsid w:val="00E75917"/>
    <w:rsid w:val="00E772DB"/>
    <w:rsid w:val="00E86012"/>
    <w:rsid w:val="00E860CA"/>
    <w:rsid w:val="00E86BAB"/>
    <w:rsid w:val="00E92962"/>
    <w:rsid w:val="00E94E10"/>
    <w:rsid w:val="00E96743"/>
    <w:rsid w:val="00E96A42"/>
    <w:rsid w:val="00E97497"/>
    <w:rsid w:val="00EA16D5"/>
    <w:rsid w:val="00EA49C5"/>
    <w:rsid w:val="00EA6279"/>
    <w:rsid w:val="00EB09D2"/>
    <w:rsid w:val="00EB38A0"/>
    <w:rsid w:val="00EB5027"/>
    <w:rsid w:val="00EB6C87"/>
    <w:rsid w:val="00EC1836"/>
    <w:rsid w:val="00EC2F6E"/>
    <w:rsid w:val="00EC3990"/>
    <w:rsid w:val="00EC484B"/>
    <w:rsid w:val="00EC7E58"/>
    <w:rsid w:val="00ED15FA"/>
    <w:rsid w:val="00ED5C9F"/>
    <w:rsid w:val="00EE050C"/>
    <w:rsid w:val="00EE2113"/>
    <w:rsid w:val="00EE5730"/>
    <w:rsid w:val="00EE6E9A"/>
    <w:rsid w:val="00EF2AC4"/>
    <w:rsid w:val="00EF397E"/>
    <w:rsid w:val="00F00AED"/>
    <w:rsid w:val="00F0340C"/>
    <w:rsid w:val="00F06F68"/>
    <w:rsid w:val="00F11241"/>
    <w:rsid w:val="00F15E9D"/>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70658"/>
    <w:rsid w:val="00F7417E"/>
    <w:rsid w:val="00F75B81"/>
    <w:rsid w:val="00F761CA"/>
    <w:rsid w:val="00F804C4"/>
    <w:rsid w:val="00F80C7E"/>
    <w:rsid w:val="00F82F83"/>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F092F"/>
    <w:rsid w:val="00FF0DA7"/>
    <w:rsid w:val="00FF1EA8"/>
    <w:rsid w:val="00FF2B09"/>
    <w:rsid w:val="00FF44E0"/>
    <w:rsid w:val="00FF6C72"/>
    <w:rsid w:val="00FF73F2"/>
    <w:rsid w:val="01722E9F"/>
    <w:rsid w:val="01915CC2"/>
    <w:rsid w:val="02EB0203"/>
    <w:rsid w:val="038E7531"/>
    <w:rsid w:val="0396194E"/>
    <w:rsid w:val="06AE129F"/>
    <w:rsid w:val="06D53CC1"/>
    <w:rsid w:val="06E71A3B"/>
    <w:rsid w:val="072D20A4"/>
    <w:rsid w:val="0738130A"/>
    <w:rsid w:val="073B420D"/>
    <w:rsid w:val="09A909AA"/>
    <w:rsid w:val="0A3D35AB"/>
    <w:rsid w:val="0A542106"/>
    <w:rsid w:val="0A6C4667"/>
    <w:rsid w:val="0BAA1223"/>
    <w:rsid w:val="0BB94CF0"/>
    <w:rsid w:val="0BBE711B"/>
    <w:rsid w:val="0BD47173"/>
    <w:rsid w:val="0C1B47F2"/>
    <w:rsid w:val="0C4264AA"/>
    <w:rsid w:val="0C6157E5"/>
    <w:rsid w:val="0DB63633"/>
    <w:rsid w:val="0FFC6E68"/>
    <w:rsid w:val="101C7F35"/>
    <w:rsid w:val="10607C4F"/>
    <w:rsid w:val="106E6418"/>
    <w:rsid w:val="107C2BF5"/>
    <w:rsid w:val="10C06717"/>
    <w:rsid w:val="10F70556"/>
    <w:rsid w:val="11323C4E"/>
    <w:rsid w:val="1133317E"/>
    <w:rsid w:val="12D71D5F"/>
    <w:rsid w:val="13E133AD"/>
    <w:rsid w:val="143D67CD"/>
    <w:rsid w:val="151B7FB7"/>
    <w:rsid w:val="15F64E85"/>
    <w:rsid w:val="167B6427"/>
    <w:rsid w:val="16A000A1"/>
    <w:rsid w:val="16B27D38"/>
    <w:rsid w:val="17C23271"/>
    <w:rsid w:val="18486691"/>
    <w:rsid w:val="18D62949"/>
    <w:rsid w:val="1930691F"/>
    <w:rsid w:val="195F1B69"/>
    <w:rsid w:val="1A6528FE"/>
    <w:rsid w:val="1A835004"/>
    <w:rsid w:val="1BA61F6F"/>
    <w:rsid w:val="1C1F477D"/>
    <w:rsid w:val="1C63029E"/>
    <w:rsid w:val="1C715A71"/>
    <w:rsid w:val="1CC921E7"/>
    <w:rsid w:val="1D1C4205"/>
    <w:rsid w:val="1D444EB6"/>
    <w:rsid w:val="1DA840EB"/>
    <w:rsid w:val="1DCD7987"/>
    <w:rsid w:val="206D26A6"/>
    <w:rsid w:val="20C16461"/>
    <w:rsid w:val="20FF5536"/>
    <w:rsid w:val="2146397C"/>
    <w:rsid w:val="21F42BC1"/>
    <w:rsid w:val="226F2197"/>
    <w:rsid w:val="23146520"/>
    <w:rsid w:val="23585502"/>
    <w:rsid w:val="23596C26"/>
    <w:rsid w:val="23897365"/>
    <w:rsid w:val="24577437"/>
    <w:rsid w:val="25800113"/>
    <w:rsid w:val="262D78EB"/>
    <w:rsid w:val="27CA60F4"/>
    <w:rsid w:val="27E85AF1"/>
    <w:rsid w:val="284C4C8D"/>
    <w:rsid w:val="28C929C1"/>
    <w:rsid w:val="295220BC"/>
    <w:rsid w:val="29DA6B0B"/>
    <w:rsid w:val="2A093B18"/>
    <w:rsid w:val="2A8D7B4E"/>
    <w:rsid w:val="2ABD245A"/>
    <w:rsid w:val="2B412386"/>
    <w:rsid w:val="2BB34FD2"/>
    <w:rsid w:val="2BD62409"/>
    <w:rsid w:val="2C1079EB"/>
    <w:rsid w:val="2C1C1853"/>
    <w:rsid w:val="2CEA687B"/>
    <w:rsid w:val="2D1633EB"/>
    <w:rsid w:val="2DD40FDF"/>
    <w:rsid w:val="2DE16C1F"/>
    <w:rsid w:val="2E1B2EA1"/>
    <w:rsid w:val="2E63511A"/>
    <w:rsid w:val="2EB35320"/>
    <w:rsid w:val="2F111D48"/>
    <w:rsid w:val="2F317872"/>
    <w:rsid w:val="2F3F0C54"/>
    <w:rsid w:val="2F4615DA"/>
    <w:rsid w:val="2F634EE2"/>
    <w:rsid w:val="2FEB270A"/>
    <w:rsid w:val="30ED2B9B"/>
    <w:rsid w:val="31197749"/>
    <w:rsid w:val="316A5AFB"/>
    <w:rsid w:val="32691053"/>
    <w:rsid w:val="328B4E7C"/>
    <w:rsid w:val="32A538A5"/>
    <w:rsid w:val="330E360D"/>
    <w:rsid w:val="33B37D2E"/>
    <w:rsid w:val="33CA54E7"/>
    <w:rsid w:val="341E3434"/>
    <w:rsid w:val="34210B45"/>
    <w:rsid w:val="34AE68DC"/>
    <w:rsid w:val="34D33CB2"/>
    <w:rsid w:val="352620DC"/>
    <w:rsid w:val="35E5310F"/>
    <w:rsid w:val="361B367C"/>
    <w:rsid w:val="3661430F"/>
    <w:rsid w:val="369D587E"/>
    <w:rsid w:val="36A97D76"/>
    <w:rsid w:val="36CF1D5D"/>
    <w:rsid w:val="370F3BF6"/>
    <w:rsid w:val="37D90364"/>
    <w:rsid w:val="38787C50"/>
    <w:rsid w:val="387D47BC"/>
    <w:rsid w:val="39293004"/>
    <w:rsid w:val="39882115"/>
    <w:rsid w:val="39BF7E42"/>
    <w:rsid w:val="39E10D60"/>
    <w:rsid w:val="3A730CDD"/>
    <w:rsid w:val="3BFC5E74"/>
    <w:rsid w:val="3C0059BB"/>
    <w:rsid w:val="3C5F3E33"/>
    <w:rsid w:val="3CED48B2"/>
    <w:rsid w:val="3F5E4365"/>
    <w:rsid w:val="3FB0492C"/>
    <w:rsid w:val="400A040D"/>
    <w:rsid w:val="405C6684"/>
    <w:rsid w:val="409E2788"/>
    <w:rsid w:val="40DE746F"/>
    <w:rsid w:val="415470E2"/>
    <w:rsid w:val="41AF5742"/>
    <w:rsid w:val="41BB759E"/>
    <w:rsid w:val="42B740A7"/>
    <w:rsid w:val="4353477A"/>
    <w:rsid w:val="43C05511"/>
    <w:rsid w:val="446B6021"/>
    <w:rsid w:val="449F4C52"/>
    <w:rsid w:val="44C24358"/>
    <w:rsid w:val="44D26C18"/>
    <w:rsid w:val="44E328F5"/>
    <w:rsid w:val="45D571E0"/>
    <w:rsid w:val="45FC7108"/>
    <w:rsid w:val="473A7BED"/>
    <w:rsid w:val="47863A67"/>
    <w:rsid w:val="478F71C4"/>
    <w:rsid w:val="48055C38"/>
    <w:rsid w:val="480F4FC6"/>
    <w:rsid w:val="4821633F"/>
    <w:rsid w:val="4821786A"/>
    <w:rsid w:val="4825146D"/>
    <w:rsid w:val="4977562B"/>
    <w:rsid w:val="4A6169D0"/>
    <w:rsid w:val="4B014864"/>
    <w:rsid w:val="4B1C090F"/>
    <w:rsid w:val="4B5210DA"/>
    <w:rsid w:val="4B954E7C"/>
    <w:rsid w:val="4D413BD5"/>
    <w:rsid w:val="4D805EFF"/>
    <w:rsid w:val="4DD24805"/>
    <w:rsid w:val="4E6B046C"/>
    <w:rsid w:val="4E707289"/>
    <w:rsid w:val="4E9E4717"/>
    <w:rsid w:val="4EEA3D40"/>
    <w:rsid w:val="4F00728A"/>
    <w:rsid w:val="4F3F6AB1"/>
    <w:rsid w:val="4F5D071B"/>
    <w:rsid w:val="4F9B688F"/>
    <w:rsid w:val="4FE10B2D"/>
    <w:rsid w:val="50ED0658"/>
    <w:rsid w:val="5105628E"/>
    <w:rsid w:val="52E958C6"/>
    <w:rsid w:val="54087D99"/>
    <w:rsid w:val="54212AF2"/>
    <w:rsid w:val="54A72003"/>
    <w:rsid w:val="550541C2"/>
    <w:rsid w:val="550E2D41"/>
    <w:rsid w:val="56023921"/>
    <w:rsid w:val="56C360E3"/>
    <w:rsid w:val="5809250B"/>
    <w:rsid w:val="58CC4D9F"/>
    <w:rsid w:val="58E54C94"/>
    <w:rsid w:val="592A069B"/>
    <w:rsid w:val="596D04DF"/>
    <w:rsid w:val="59797E22"/>
    <w:rsid w:val="5A3617D9"/>
    <w:rsid w:val="5A7F6B6C"/>
    <w:rsid w:val="5AFB613D"/>
    <w:rsid w:val="5B0D0447"/>
    <w:rsid w:val="5B884B20"/>
    <w:rsid w:val="5BC0556E"/>
    <w:rsid w:val="5BC81C40"/>
    <w:rsid w:val="5C014453"/>
    <w:rsid w:val="5C91675E"/>
    <w:rsid w:val="5D327459"/>
    <w:rsid w:val="5D7A67A4"/>
    <w:rsid w:val="5DA327CA"/>
    <w:rsid w:val="5E5D2E35"/>
    <w:rsid w:val="5F1F0576"/>
    <w:rsid w:val="5FD74633"/>
    <w:rsid w:val="60E412C0"/>
    <w:rsid w:val="61E323AE"/>
    <w:rsid w:val="623331AC"/>
    <w:rsid w:val="625772C4"/>
    <w:rsid w:val="63307CBF"/>
    <w:rsid w:val="636F3034"/>
    <w:rsid w:val="63D73A13"/>
    <w:rsid w:val="64FE29DC"/>
    <w:rsid w:val="650516A8"/>
    <w:rsid w:val="652C5066"/>
    <w:rsid w:val="65330581"/>
    <w:rsid w:val="65830E72"/>
    <w:rsid w:val="668665AF"/>
    <w:rsid w:val="66E81280"/>
    <w:rsid w:val="67063DDF"/>
    <w:rsid w:val="68F10859"/>
    <w:rsid w:val="69110DD3"/>
    <w:rsid w:val="691D526F"/>
    <w:rsid w:val="69676D3F"/>
    <w:rsid w:val="6A2E3597"/>
    <w:rsid w:val="6C8D150C"/>
    <w:rsid w:val="6CE35249"/>
    <w:rsid w:val="6D9E2FAE"/>
    <w:rsid w:val="6E39711A"/>
    <w:rsid w:val="6E985310"/>
    <w:rsid w:val="6E997D6C"/>
    <w:rsid w:val="6EF616F6"/>
    <w:rsid w:val="6F5D575B"/>
    <w:rsid w:val="6F716EA9"/>
    <w:rsid w:val="70BA1EAD"/>
    <w:rsid w:val="71441E71"/>
    <w:rsid w:val="71467526"/>
    <w:rsid w:val="71F92EA9"/>
    <w:rsid w:val="72F11900"/>
    <w:rsid w:val="73160B6E"/>
    <w:rsid w:val="74FB2FF0"/>
    <w:rsid w:val="74FC2405"/>
    <w:rsid w:val="754058DD"/>
    <w:rsid w:val="76A41635"/>
    <w:rsid w:val="76DA50B6"/>
    <w:rsid w:val="771A04F8"/>
    <w:rsid w:val="78250F0A"/>
    <w:rsid w:val="784A4B73"/>
    <w:rsid w:val="786924FD"/>
    <w:rsid w:val="794D0150"/>
    <w:rsid w:val="79532E9E"/>
    <w:rsid w:val="799B26EC"/>
    <w:rsid w:val="7A5B3FA8"/>
    <w:rsid w:val="7B203504"/>
    <w:rsid w:val="7BA174E1"/>
    <w:rsid w:val="7BBB198C"/>
    <w:rsid w:val="7BC04FC3"/>
    <w:rsid w:val="7BE8690C"/>
    <w:rsid w:val="7BE871A6"/>
    <w:rsid w:val="7CA72746"/>
    <w:rsid w:val="7CAA0BB1"/>
    <w:rsid w:val="7D4937F0"/>
    <w:rsid w:val="7DC33C3F"/>
    <w:rsid w:val="7EA81A90"/>
    <w:rsid w:val="7F0C6D3F"/>
    <w:rsid w:val="7F2B14FE"/>
    <w:rsid w:val="7F586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7"/>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9"/>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4"/>
    <w:qFormat/>
    <w:uiPriority w:val="0"/>
    <w:pPr>
      <w:keepNext/>
      <w:keepLines/>
      <w:spacing w:before="280" w:after="290" w:line="376" w:lineRule="auto"/>
      <w:outlineLvl w:val="3"/>
    </w:pPr>
    <w:rPr>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6"/>
    <w:qFormat/>
    <w:uiPriority w:val="0"/>
    <w:pPr>
      <w:jc w:val="left"/>
    </w:pPr>
    <w:rPr>
      <w:rFonts w:ascii="Arial" w:hAnsi="Arial" w:eastAsia="黑体" w:cs="Arial"/>
    </w:rPr>
  </w:style>
  <w:style w:type="paragraph" w:styleId="8">
    <w:name w:val="Body Text"/>
    <w:basedOn w:val="1"/>
    <w:link w:val="65"/>
    <w:qFormat/>
    <w:uiPriority w:val="0"/>
    <w:pPr>
      <w:spacing w:after="120"/>
    </w:pPr>
    <w:rPr>
      <w:rFonts w:ascii="@微软简标宋" w:hAnsi="@微软简标宋" w:eastAsia="@微软简标宋" w:cs="@微软简标宋"/>
      <w:szCs w:val="24"/>
      <w:lang w:val="zh-CN"/>
    </w:rPr>
  </w:style>
  <w:style w:type="paragraph" w:styleId="9">
    <w:name w:val="Body Text Indent"/>
    <w:basedOn w:val="1"/>
    <w:next w:val="10"/>
    <w:qFormat/>
    <w:uiPriority w:val="99"/>
    <w:pPr>
      <w:spacing w:after="120"/>
      <w:ind w:left="420" w:leftChars="200"/>
    </w:pPr>
    <w:rPr>
      <w:rFonts w:ascii="Times New Roman" w:hAnsi="Times New Roman"/>
      <w:b/>
      <w:bCs/>
      <w:color w:val="FF0000"/>
      <w:sz w:val="48"/>
      <w:szCs w:val="24"/>
    </w:rPr>
  </w:style>
  <w:style w:type="paragraph" w:styleId="10">
    <w:name w:val="envelope return"/>
    <w:basedOn w:val="1"/>
    <w:qFormat/>
    <w:uiPriority w:val="0"/>
    <w:pPr>
      <w:snapToGrid w:val="0"/>
    </w:pPr>
    <w:rPr>
      <w:rFonts w:ascii="Arial" w:hAnsi="Arial"/>
    </w:rPr>
  </w:style>
  <w:style w:type="paragraph" w:styleId="11">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45"/>
    <w:qFormat/>
    <w:uiPriority w:val="99"/>
    <w:rPr>
      <w:rFonts w:ascii="宋体" w:hAnsi="Courier New" w:eastAsiaTheme="minorEastAsia" w:cstheme="minorBidi"/>
      <w:szCs w:val="22"/>
    </w:rPr>
  </w:style>
  <w:style w:type="paragraph" w:styleId="13">
    <w:name w:val="Date"/>
    <w:basedOn w:val="1"/>
    <w:next w:val="1"/>
    <w:link w:val="52"/>
    <w:qFormat/>
    <w:uiPriority w:val="0"/>
    <w:rPr>
      <w:rFonts w:ascii="Arial" w:hAnsi="Arial" w:eastAsia="宋体" w:cs="Arial"/>
      <w:b/>
      <w:sz w:val="28"/>
    </w:rPr>
  </w:style>
  <w:style w:type="paragraph" w:styleId="14">
    <w:name w:val="Balloon Text"/>
    <w:basedOn w:val="1"/>
    <w:link w:val="39"/>
    <w:semiHidden/>
    <w:unhideWhenUsed/>
    <w:qFormat/>
    <w:uiPriority w:val="99"/>
    <w:rPr>
      <w:sz w:val="18"/>
      <w:szCs w:val="18"/>
    </w:rPr>
  </w:style>
  <w:style w:type="paragraph" w:styleId="15">
    <w:name w:val="footer"/>
    <w:basedOn w:val="1"/>
    <w:link w:val="44"/>
    <w:unhideWhenUsed/>
    <w:qFormat/>
    <w:uiPriority w:val="99"/>
    <w:pPr>
      <w:tabs>
        <w:tab w:val="center" w:pos="4153"/>
        <w:tab w:val="right" w:pos="8306"/>
      </w:tabs>
      <w:snapToGrid w:val="0"/>
      <w:jc w:val="left"/>
    </w:pPr>
    <w:rPr>
      <w:sz w:val="18"/>
      <w:szCs w:val="18"/>
    </w:rPr>
  </w:style>
  <w:style w:type="paragraph" w:styleId="16">
    <w:name w:val="header"/>
    <w:basedOn w:val="1"/>
    <w:link w:val="43"/>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qFormat/>
    <w:uiPriority w:val="0"/>
    <w:pPr>
      <w:spacing w:before="100" w:beforeAutospacing="1" w:after="100" w:afterAutospacing="1"/>
      <w:jc w:val="left"/>
    </w:pPr>
    <w:rPr>
      <w:rFonts w:cs="Times New Roman"/>
      <w:kern w:val="0"/>
      <w:sz w:val="24"/>
    </w:rPr>
  </w:style>
  <w:style w:type="paragraph" w:styleId="20">
    <w:name w:val="index 1"/>
    <w:basedOn w:val="1"/>
    <w:next w:val="1"/>
    <w:qFormat/>
    <w:uiPriority w:val="0"/>
    <w:pPr>
      <w:jc w:val="center"/>
    </w:pPr>
    <w:rPr>
      <w:rFonts w:ascii="Arial" w:hAnsi="Arial" w:eastAsia="Arial" w:cs="Arial"/>
      <w:b/>
      <w:bCs/>
      <w:sz w:val="28"/>
    </w:rPr>
  </w:style>
  <w:style w:type="paragraph" w:styleId="21">
    <w:name w:val="Body Text First Indent"/>
    <w:basedOn w:val="8"/>
    <w:unhideWhenUsed/>
    <w:qFormat/>
    <w:uiPriority w:val="99"/>
    <w:pPr>
      <w:ind w:firstLine="420" w:firstLineChars="100"/>
    </w:pPr>
  </w:style>
  <w:style w:type="paragraph" w:styleId="22">
    <w:name w:val="Body Text First Indent 2"/>
    <w:basedOn w:val="9"/>
    <w:qFormat/>
    <w:uiPriority w:val="0"/>
    <w:pPr>
      <w:ind w:left="0" w:leftChars="0" w:firstLine="210"/>
    </w:pPr>
    <w:rPr>
      <w:rFonts w:ascii="宋体"/>
      <w:b w:val="0"/>
      <w:bCs w:val="0"/>
      <w:color w:val="auto"/>
      <w:sz w:val="24"/>
    </w:rPr>
  </w:style>
  <w:style w:type="table" w:styleId="24">
    <w:name w:val="Table Grid"/>
    <w:basedOn w:val="2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FollowedHyperlink"/>
    <w:basedOn w:val="25"/>
    <w:semiHidden/>
    <w:unhideWhenUsed/>
    <w:qFormat/>
    <w:uiPriority w:val="99"/>
    <w:rPr>
      <w:color w:val="800080"/>
      <w:u w:val="none"/>
    </w:rPr>
  </w:style>
  <w:style w:type="character" w:styleId="28">
    <w:name w:val="Emphasis"/>
    <w:basedOn w:val="25"/>
    <w:qFormat/>
    <w:uiPriority w:val="20"/>
    <w:rPr>
      <w:b/>
      <w:bCs/>
    </w:rPr>
  </w:style>
  <w:style w:type="character" w:styleId="29">
    <w:name w:val="HTML Definition"/>
    <w:basedOn w:val="25"/>
    <w:semiHidden/>
    <w:unhideWhenUsed/>
    <w:qFormat/>
    <w:uiPriority w:val="99"/>
  </w:style>
  <w:style w:type="character" w:styleId="30">
    <w:name w:val="HTML Typewriter"/>
    <w:basedOn w:val="25"/>
    <w:semiHidden/>
    <w:unhideWhenUsed/>
    <w:qFormat/>
    <w:uiPriority w:val="99"/>
    <w:rPr>
      <w:rFonts w:hint="default" w:ascii="monospace" w:hAnsi="monospace" w:eastAsia="monospace" w:cs="monospace"/>
      <w:sz w:val="20"/>
    </w:rPr>
  </w:style>
  <w:style w:type="character" w:styleId="31">
    <w:name w:val="HTML Acronym"/>
    <w:basedOn w:val="25"/>
    <w:semiHidden/>
    <w:unhideWhenUsed/>
    <w:qFormat/>
    <w:uiPriority w:val="99"/>
  </w:style>
  <w:style w:type="character" w:styleId="32">
    <w:name w:val="HTML Variable"/>
    <w:basedOn w:val="25"/>
    <w:semiHidden/>
    <w:unhideWhenUsed/>
    <w:qFormat/>
    <w:uiPriority w:val="99"/>
  </w:style>
  <w:style w:type="character" w:styleId="33">
    <w:name w:val="Hyperlink"/>
    <w:basedOn w:val="25"/>
    <w:unhideWhenUsed/>
    <w:qFormat/>
    <w:uiPriority w:val="99"/>
    <w:rPr>
      <w:color w:val="0000FF" w:themeColor="hyperlink"/>
      <w:u w:val="single"/>
      <w14:textFill>
        <w14:solidFill>
          <w14:schemeClr w14:val="hlink"/>
        </w14:solidFill>
      </w14:textFill>
    </w:rPr>
  </w:style>
  <w:style w:type="character" w:styleId="34">
    <w:name w:val="HTML Code"/>
    <w:basedOn w:val="25"/>
    <w:semiHidden/>
    <w:unhideWhenUsed/>
    <w:qFormat/>
    <w:uiPriority w:val="99"/>
    <w:rPr>
      <w:rFonts w:ascii="monospace" w:hAnsi="monospace" w:eastAsia="monospace" w:cs="monospace"/>
      <w:sz w:val="20"/>
    </w:rPr>
  </w:style>
  <w:style w:type="character" w:styleId="35">
    <w:name w:val="HTML Cite"/>
    <w:basedOn w:val="25"/>
    <w:semiHidden/>
    <w:unhideWhenUsed/>
    <w:qFormat/>
    <w:uiPriority w:val="99"/>
  </w:style>
  <w:style w:type="character" w:styleId="36">
    <w:name w:val="HTML Keyboard"/>
    <w:basedOn w:val="25"/>
    <w:semiHidden/>
    <w:unhideWhenUsed/>
    <w:qFormat/>
    <w:uiPriority w:val="99"/>
    <w:rPr>
      <w:rFonts w:hint="default" w:ascii="monospace" w:hAnsi="monospace" w:eastAsia="monospace" w:cs="monospace"/>
      <w:sz w:val="20"/>
    </w:rPr>
  </w:style>
  <w:style w:type="character" w:styleId="37">
    <w:name w:val="HTML Sample"/>
    <w:basedOn w:val="25"/>
    <w:semiHidden/>
    <w:unhideWhenUsed/>
    <w:qFormat/>
    <w:uiPriority w:val="99"/>
    <w:rPr>
      <w:rFonts w:hint="default" w:ascii="monospace" w:hAnsi="monospace" w:eastAsia="monospace" w:cs="monospace"/>
    </w:rPr>
  </w:style>
  <w:style w:type="paragraph" w:customStyle="1" w:styleId="3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39">
    <w:name w:val="批注框文本 字符"/>
    <w:basedOn w:val="25"/>
    <w:link w:val="14"/>
    <w:semiHidden/>
    <w:qFormat/>
    <w:uiPriority w:val="99"/>
    <w:rPr>
      <w:rFonts w:ascii="@仿宋_GB2312" w:hAnsi="@仿宋_GB2312" w:eastAsia="@仿宋_GB2312" w:cs="@仿宋_GB2312"/>
      <w:sz w:val="18"/>
      <w:szCs w:val="18"/>
    </w:rPr>
  </w:style>
  <w:style w:type="paragraph" w:customStyle="1" w:styleId="40">
    <w:name w:val="正文（缩进）"/>
    <w:basedOn w:val="1"/>
    <w:qFormat/>
    <w:uiPriority w:val="0"/>
    <w:pPr>
      <w:widowControl/>
      <w:spacing w:before="156" w:after="156"/>
      <w:ind w:firstLine="480" w:firstLineChars="200"/>
      <w:jc w:val="left"/>
    </w:pPr>
    <w:rPr>
      <w:kern w:val="0"/>
      <w:sz w:val="24"/>
      <w:szCs w:val="24"/>
    </w:rPr>
  </w:style>
  <w:style w:type="paragraph" w:customStyle="1" w:styleId="41">
    <w:name w:val="xl31"/>
    <w:basedOn w:val="1"/>
    <w:qFormat/>
    <w:uiPriority w:val="0"/>
    <w:pPr>
      <w:widowControl/>
      <w:spacing w:before="100" w:beforeAutospacing="1" w:after="100" w:afterAutospacing="1"/>
      <w:jc w:val="center"/>
    </w:pPr>
    <w:rPr>
      <w:b/>
      <w:bCs/>
      <w:kern w:val="0"/>
      <w:sz w:val="28"/>
      <w:szCs w:val="28"/>
    </w:rPr>
  </w:style>
  <w:style w:type="paragraph" w:customStyle="1" w:styleId="42">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3">
    <w:name w:val="页眉 字符"/>
    <w:basedOn w:val="25"/>
    <w:link w:val="16"/>
    <w:qFormat/>
    <w:uiPriority w:val="0"/>
    <w:rPr>
      <w:rFonts w:ascii="@仿宋_GB2312" w:hAnsi="@仿宋_GB2312" w:eastAsia="@仿宋_GB2312" w:cs="@仿宋_GB2312"/>
      <w:sz w:val="18"/>
      <w:szCs w:val="18"/>
    </w:rPr>
  </w:style>
  <w:style w:type="character" w:customStyle="1" w:styleId="44">
    <w:name w:val="页脚 字符"/>
    <w:basedOn w:val="25"/>
    <w:link w:val="15"/>
    <w:qFormat/>
    <w:uiPriority w:val="99"/>
    <w:rPr>
      <w:rFonts w:ascii="@仿宋_GB2312" w:hAnsi="@仿宋_GB2312" w:eastAsia="@仿宋_GB2312" w:cs="@仿宋_GB2312"/>
      <w:sz w:val="18"/>
      <w:szCs w:val="18"/>
    </w:rPr>
  </w:style>
  <w:style w:type="character" w:customStyle="1" w:styleId="45">
    <w:name w:val="纯文本 字符"/>
    <w:link w:val="12"/>
    <w:qFormat/>
    <w:uiPriority w:val="0"/>
    <w:rPr>
      <w:rFonts w:ascii="宋体" w:hAnsi="Courier New"/>
    </w:rPr>
  </w:style>
  <w:style w:type="character" w:customStyle="1" w:styleId="46">
    <w:name w:val="纯文本 字符1"/>
    <w:basedOn w:val="25"/>
    <w:semiHidden/>
    <w:qFormat/>
    <w:uiPriority w:val="99"/>
    <w:rPr>
      <w:rFonts w:hAnsi="Courier New" w:cs="Courier New" w:asciiTheme="minorEastAsia"/>
      <w:szCs w:val="20"/>
    </w:rPr>
  </w:style>
  <w:style w:type="character" w:customStyle="1" w:styleId="47">
    <w:name w:val="未处理的提及1"/>
    <w:basedOn w:val="25"/>
    <w:semiHidden/>
    <w:unhideWhenUsed/>
    <w:qFormat/>
    <w:uiPriority w:val="99"/>
    <w:rPr>
      <w:color w:val="605E5C"/>
      <w:shd w:val="clear" w:color="auto" w:fill="E1DFDD"/>
    </w:rPr>
  </w:style>
  <w:style w:type="paragraph" w:styleId="48">
    <w:name w:val="List Paragraph"/>
    <w:basedOn w:val="1"/>
    <w:qFormat/>
    <w:uiPriority w:val="34"/>
    <w:pPr>
      <w:ind w:firstLine="420" w:firstLineChars="200"/>
    </w:pPr>
  </w:style>
  <w:style w:type="paragraph" w:customStyle="1" w:styleId="49">
    <w:name w:val="Char Char Char Char Char Char Char1 Char"/>
    <w:basedOn w:val="1"/>
    <w:qFormat/>
    <w:uiPriority w:val="0"/>
    <w:rPr>
      <w:rFonts w:ascii="Arial" w:hAnsi="Arial" w:eastAsia="宋体" w:cs="Arial"/>
      <w:sz w:val="24"/>
    </w:rPr>
  </w:style>
  <w:style w:type="table" w:customStyle="1" w:styleId="50">
    <w:name w:val="网格表 1 浅色1"/>
    <w:basedOn w:val="23"/>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1">
    <w:name w:val="日期 字符"/>
    <w:basedOn w:val="25"/>
    <w:semiHidden/>
    <w:qFormat/>
    <w:uiPriority w:val="99"/>
    <w:rPr>
      <w:rFonts w:ascii="@仿宋_GB2312" w:hAnsi="@仿宋_GB2312" w:eastAsia="@仿宋_GB2312" w:cs="@仿宋_GB2312"/>
      <w:szCs w:val="20"/>
    </w:rPr>
  </w:style>
  <w:style w:type="character" w:customStyle="1" w:styleId="52">
    <w:name w:val="日期 字符1"/>
    <w:link w:val="13"/>
    <w:qFormat/>
    <w:uiPriority w:val="0"/>
    <w:rPr>
      <w:rFonts w:ascii="Arial" w:hAnsi="Arial" w:eastAsia="宋体" w:cs="Arial"/>
      <w:b/>
      <w:sz w:val="28"/>
      <w:szCs w:val="20"/>
    </w:rPr>
  </w:style>
  <w:style w:type="character" w:customStyle="1" w:styleId="53">
    <w:name w:val="纯文本 Char1"/>
    <w:link w:val="54"/>
    <w:qFormat/>
    <w:locked/>
    <w:uiPriority w:val="0"/>
    <w:rPr>
      <w:rFonts w:ascii="Arial" w:hAnsi="Arial" w:eastAsia="Arial"/>
      <w:kern w:val="2"/>
      <w:sz w:val="21"/>
      <w:lang w:val="en-US" w:eastAsia="zh-CN" w:bidi="ar-SA"/>
    </w:rPr>
  </w:style>
  <w:style w:type="paragraph" w:customStyle="1" w:styleId="54">
    <w:name w:val="纯文本1"/>
    <w:basedOn w:val="1"/>
    <w:link w:val="53"/>
    <w:qFormat/>
    <w:uiPriority w:val="0"/>
    <w:rPr>
      <w:rFonts w:ascii="Arial" w:hAnsi="Arial" w:eastAsia="Arial" w:cstheme="minorBidi"/>
    </w:rPr>
  </w:style>
  <w:style w:type="character" w:customStyle="1" w:styleId="55">
    <w:name w:val="批注文字 Char"/>
    <w:basedOn w:val="25"/>
    <w:semiHidden/>
    <w:qFormat/>
    <w:uiPriority w:val="99"/>
    <w:rPr>
      <w:rFonts w:ascii="@仿宋_GB2312" w:hAnsi="@仿宋_GB2312" w:eastAsia="@仿宋_GB2312" w:cs="@仿宋_GB2312"/>
      <w:szCs w:val="20"/>
    </w:rPr>
  </w:style>
  <w:style w:type="character" w:customStyle="1" w:styleId="56">
    <w:name w:val="批注文字 字符"/>
    <w:link w:val="7"/>
    <w:qFormat/>
    <w:uiPriority w:val="0"/>
    <w:rPr>
      <w:rFonts w:ascii="Arial" w:hAnsi="Arial" w:eastAsia="黑体" w:cs="Arial"/>
      <w:szCs w:val="20"/>
    </w:rPr>
  </w:style>
  <w:style w:type="character" w:customStyle="1" w:styleId="57">
    <w:name w:val="标题 1 字符"/>
    <w:basedOn w:val="25"/>
    <w:link w:val="2"/>
    <w:qFormat/>
    <w:uiPriority w:val="9"/>
    <w:rPr>
      <w:rFonts w:ascii="@仿宋_GB2312" w:hAnsi="@仿宋_GB2312" w:eastAsia="@仿宋_GB2312" w:cs="@仿宋_GB2312"/>
      <w:b/>
      <w:bCs/>
      <w:kern w:val="44"/>
      <w:sz w:val="44"/>
      <w:szCs w:val="44"/>
    </w:rPr>
  </w:style>
  <w:style w:type="paragraph" w:customStyle="1" w:styleId="5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9">
    <w:name w:val="标题 3 字符"/>
    <w:basedOn w:val="25"/>
    <w:link w:val="4"/>
    <w:semiHidden/>
    <w:qFormat/>
    <w:uiPriority w:val="9"/>
    <w:rPr>
      <w:rFonts w:ascii="@仿宋_GB2312" w:hAnsi="@仿宋_GB2312" w:eastAsia="@仿宋_GB2312" w:cs="@仿宋_GB2312"/>
      <w:b/>
      <w:bCs/>
      <w:sz w:val="32"/>
      <w:szCs w:val="32"/>
    </w:rPr>
  </w:style>
  <w:style w:type="character" w:customStyle="1" w:styleId="60">
    <w:name w:val="fontstyle01"/>
    <w:basedOn w:val="25"/>
    <w:qFormat/>
    <w:uiPriority w:val="0"/>
    <w:rPr>
      <w:rFonts w:hint="eastAsia" w:ascii="宋体" w:hAnsi="宋体" w:eastAsia="宋体"/>
      <w:color w:val="000000"/>
      <w:sz w:val="22"/>
      <w:szCs w:val="22"/>
    </w:rPr>
  </w:style>
  <w:style w:type="character" w:customStyle="1" w:styleId="61">
    <w:name w:val="fontstyle21"/>
    <w:basedOn w:val="25"/>
    <w:qFormat/>
    <w:uiPriority w:val="0"/>
    <w:rPr>
      <w:rFonts w:hint="default" w:ascii="TimesNewRomanPSMT" w:hAnsi="TimesNewRomanPSMT"/>
      <w:color w:val="000000"/>
      <w:sz w:val="22"/>
      <w:szCs w:val="22"/>
    </w:rPr>
  </w:style>
  <w:style w:type="character" w:customStyle="1" w:styleId="62">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3">
    <w:name w:val="标题 4 字符"/>
    <w:basedOn w:val="25"/>
    <w:semiHidden/>
    <w:qFormat/>
    <w:uiPriority w:val="9"/>
    <w:rPr>
      <w:rFonts w:asciiTheme="majorHAnsi" w:hAnsiTheme="majorHAnsi" w:eastAsiaTheme="majorEastAsia" w:cstheme="majorBidi"/>
      <w:b/>
      <w:bCs/>
      <w:sz w:val="28"/>
      <w:szCs w:val="28"/>
    </w:rPr>
  </w:style>
  <w:style w:type="character" w:customStyle="1" w:styleId="64">
    <w:name w:val="标题 4 字符1"/>
    <w:link w:val="5"/>
    <w:qFormat/>
    <w:uiPriority w:val="0"/>
    <w:rPr>
      <w:rFonts w:ascii="@仿宋_GB2312" w:hAnsi="@仿宋_GB2312" w:eastAsia="@仿宋_GB2312" w:cs="@仿宋_GB2312"/>
      <w:b/>
      <w:bCs/>
      <w:sz w:val="28"/>
      <w:szCs w:val="28"/>
    </w:rPr>
  </w:style>
  <w:style w:type="character" w:customStyle="1" w:styleId="65">
    <w:name w:val="正文文本 字符"/>
    <w:basedOn w:val="25"/>
    <w:link w:val="8"/>
    <w:qFormat/>
    <w:uiPriority w:val="0"/>
    <w:rPr>
      <w:rFonts w:ascii="@微软简标宋" w:hAnsi="@微软简标宋" w:eastAsia="@微软简标宋" w:cs="@微软简标宋"/>
      <w:szCs w:val="24"/>
      <w:lang w:val="zh-CN" w:eastAsia="zh-CN"/>
    </w:rPr>
  </w:style>
  <w:style w:type="table" w:customStyle="1" w:styleId="66">
    <w:name w:val="网格型1"/>
    <w:basedOn w:val="2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Table Normal"/>
    <w:semiHidden/>
    <w:unhideWhenUsed/>
    <w:qFormat/>
    <w:uiPriority w:val="0"/>
    <w:tblPr>
      <w:tblCellMar>
        <w:top w:w="0" w:type="dxa"/>
        <w:left w:w="0" w:type="dxa"/>
        <w:bottom w:w="0" w:type="dxa"/>
        <w:right w:w="0" w:type="dxa"/>
      </w:tblCellMar>
    </w:tblPr>
  </w:style>
  <w:style w:type="paragraph" w:customStyle="1" w:styleId="68">
    <w:name w:val="Table Text"/>
    <w:basedOn w:val="1"/>
    <w:semiHidden/>
    <w:qFormat/>
    <w:uiPriority w:val="0"/>
    <w:rPr>
      <w:rFonts w:ascii="Arial" w:hAnsi="Arial" w:eastAsia="Arial" w:cs="Arial"/>
      <w:szCs w:val="21"/>
      <w:lang w:eastAsia="en-US"/>
    </w:rPr>
  </w:style>
  <w:style w:type="paragraph" w:customStyle="1" w:styleId="69">
    <w:name w:val="样式 样式 正文文本缩进正文文字缩进 + 首行缩进:  2 字符2 + 首行缩进:  2 字符"/>
    <w:basedOn w:val="1"/>
    <w:unhideWhenUsed/>
    <w:qFormat/>
    <w:uiPriority w:val="0"/>
    <w:pPr>
      <w:ind w:left="100" w:leftChars="100" w:right="100" w:rightChars="100" w:firstLine="200" w:firstLineChars="100"/>
    </w:pPr>
    <w:rPr>
      <w:rFonts w:hAnsi="Arial"/>
      <w:szCs w:val="22"/>
    </w:rPr>
  </w:style>
  <w:style w:type="paragraph" w:customStyle="1" w:styleId="70">
    <w:name w:val="Body text|1"/>
    <w:basedOn w:val="1"/>
    <w:qFormat/>
    <w:uiPriority w:val="0"/>
    <w:pPr>
      <w:spacing w:line="398" w:lineRule="auto"/>
      <w:ind w:firstLine="400"/>
    </w:pPr>
    <w:rPr>
      <w:rFonts w:ascii="宋体" w:hAnsi="宋体" w:cs="宋体"/>
      <w:sz w:val="30"/>
      <w:szCs w:val="30"/>
      <w:lang w:val="zh-TW" w:eastAsia="zh-TW" w:bidi="zh-TW"/>
    </w:rPr>
  </w:style>
  <w:style w:type="paragraph" w:customStyle="1" w:styleId="71">
    <w:name w:val="正文文本首行缩进1"/>
    <w:next w:val="72"/>
    <w:qFormat/>
    <w:uiPriority w:val="0"/>
    <w:pPr>
      <w:widowControl w:val="0"/>
      <w:spacing w:beforeLines="100" w:after="120" w:line="360" w:lineRule="auto"/>
      <w:ind w:firstLine="420" w:firstLineChars="100"/>
      <w:jc w:val="both"/>
    </w:pPr>
    <w:rPr>
      <w:rFonts w:ascii="@微软简标宋" w:hAnsi="宋体" w:eastAsia="@微软简标宋" w:cs="@微软简标宋"/>
      <w:bCs/>
      <w:color w:val="0000FF"/>
      <w:kern w:val="2"/>
      <w:sz w:val="21"/>
      <w:szCs w:val="24"/>
      <w:lang w:val="zh-CN" w:eastAsia="zh-CN" w:bidi="ar-SA"/>
    </w:rPr>
  </w:style>
  <w:style w:type="paragraph" w:customStyle="1" w:styleId="72">
    <w:name w:val="正文文本首行缩进 21"/>
    <w:next w:val="73"/>
    <w:qFormat/>
    <w:uiPriority w:val="99"/>
    <w:pPr>
      <w:widowControl w:val="0"/>
      <w:spacing w:after="120" w:line="180" w:lineRule="auto"/>
      <w:ind w:left="420" w:leftChars="200" w:firstLine="420"/>
      <w:jc w:val="both"/>
    </w:pPr>
    <w:rPr>
      <w:rFonts w:ascii="Times New Roman" w:hAnsi="Times New Roman" w:eastAsia="宋体" w:cstheme="minorBidi"/>
      <w:color w:val="FF0000"/>
      <w:kern w:val="2"/>
      <w:sz w:val="21"/>
      <w:szCs w:val="22"/>
      <w:lang w:val="en-US" w:eastAsia="zh-CN" w:bidi="ar-SA"/>
    </w:rPr>
  </w:style>
  <w:style w:type="paragraph" w:customStyle="1" w:styleId="73">
    <w:name w:val="正文文本缩进_0"/>
    <w:qFormat/>
    <w:uiPriority w:val="99"/>
    <w:pPr>
      <w:widowControl w:val="0"/>
      <w:ind w:firstLine="210"/>
      <w:jc w:val="both"/>
    </w:pPr>
    <w:rPr>
      <w:rFonts w:eastAsia="宋体" w:asciiTheme="minorHAnsi" w:hAnsiTheme="minorHAnsi" w:cstheme="minorBidi"/>
      <w:kern w:val="2"/>
      <w:sz w:val="21"/>
      <w:szCs w:val="24"/>
      <w:lang w:val="en-US" w:eastAsia="zh-CN" w:bidi="ar-SA"/>
    </w:rPr>
  </w:style>
  <w:style w:type="paragraph" w:customStyle="1" w:styleId="74">
    <w:name w:val="Body text|3"/>
    <w:basedOn w:val="1"/>
    <w:qFormat/>
    <w:uiPriority w:val="0"/>
    <w:pPr>
      <w:spacing w:after="630"/>
      <w:ind w:firstLine="200"/>
      <w:jc w:val="center"/>
    </w:pPr>
    <w:rPr>
      <w:rFonts w:ascii="MingLiU" w:hAnsi="MingLiU" w:eastAsia="MingLiU" w:cs="MingLiU"/>
      <w:kern w:val="0"/>
      <w:sz w:val="28"/>
      <w:szCs w:val="28"/>
      <w:lang w:val="zh-TW" w:eastAsia="zh-TW" w:bidi="zh-TW"/>
    </w:rPr>
  </w:style>
  <w:style w:type="paragraph" w:customStyle="1" w:styleId="7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5351A8-48F5-4B18-AF42-26053916CB99}">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72</Pages>
  <Words>4622</Words>
  <Characters>5049</Characters>
  <Lines>250</Lines>
  <Paragraphs>70</Paragraphs>
  <TotalTime>43</TotalTime>
  <ScaleCrop>false</ScaleCrop>
  <LinksUpToDate>false</LinksUpToDate>
  <CharactersWithSpaces>5112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2025-02-14T09:00:00Z</dcterms:created>
  <dc:creator>Anakin</dc:creator>
  <cp:lastModifiedBy>薛</cp:lastModifiedBy>
  <cp:lastPrinted>2019-12-07T15:20:00Z</cp:lastPrinted>
  <dcterms:modified xsi:type="dcterms:W3CDTF">2026-01-26T08:53:52Z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99C6D87922754F29A3AEB904AEA5F644_13</vt:lpwstr>
  </property>
  <property fmtid="{D5CDD505-2E9C-101B-9397-08002B2CF9AE}" pid="4" name="KSOTemplateDocerSaveRecord">
    <vt:lpwstr>eyJoZGlkIjoiMzVlMjZkNGNhODI0MmM3NmVlZmJhYTVhZmQ5MGVlYTgiLCJ1c2VySWQiOiIxMjMyMDYzNDI1In0=</vt:lpwstr>
  </property>
</Properties>
</file>