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4E601A">
      <w:pPr>
        <w:tabs>
          <w:tab w:val="left" w:pos="315"/>
          <w:tab w:val="left" w:pos="8820"/>
        </w:tabs>
        <w:spacing w:before="240" w:beforeLines="100" w:after="120" w:afterLines="50" w:line="500" w:lineRule="exact"/>
        <w:ind w:right="254" w:rightChars="127"/>
        <w:jc w:val="center"/>
        <w:rPr>
          <w:b/>
          <w:bCs/>
          <w:color w:val="auto"/>
          <w:sz w:val="52"/>
          <w:szCs w:val="52"/>
          <w:highlight w:val="none"/>
          <w:vertAlign w:val="superscript"/>
        </w:rPr>
      </w:pPr>
    </w:p>
    <w:p w14:paraId="6F0089E9">
      <w:pPr>
        <w:tabs>
          <w:tab w:val="left" w:pos="315"/>
          <w:tab w:val="left" w:pos="8820"/>
        </w:tabs>
        <w:spacing w:before="240" w:beforeLines="100" w:after="120" w:afterLines="50" w:line="500" w:lineRule="exact"/>
        <w:ind w:right="254" w:rightChars="127"/>
        <w:jc w:val="center"/>
        <w:rPr>
          <w:b/>
          <w:bCs/>
          <w:color w:val="auto"/>
          <w:sz w:val="52"/>
          <w:szCs w:val="52"/>
          <w:highlight w:val="none"/>
        </w:rPr>
      </w:pPr>
    </w:p>
    <w:p w14:paraId="6F296C88">
      <w:pPr>
        <w:tabs>
          <w:tab w:val="left" w:pos="315"/>
          <w:tab w:val="left" w:pos="8820"/>
        </w:tabs>
        <w:spacing w:before="240" w:beforeLines="100" w:after="120" w:afterLines="50" w:line="500" w:lineRule="exact"/>
        <w:ind w:right="254" w:rightChars="127"/>
        <w:jc w:val="center"/>
        <w:rPr>
          <w:rFonts w:hint="eastAsia" w:eastAsia="宋体"/>
          <w:b/>
          <w:bCs/>
          <w:color w:val="auto"/>
          <w:sz w:val="52"/>
          <w:szCs w:val="52"/>
          <w:highlight w:val="none"/>
          <w:lang w:eastAsia="zh-CN"/>
        </w:rPr>
      </w:pPr>
      <w:bookmarkStart w:id="0" w:name="_Hlk9544796"/>
      <w:r>
        <w:rPr>
          <w:rFonts w:hint="eastAsia"/>
          <w:b/>
          <w:bCs/>
          <w:color w:val="auto"/>
          <w:sz w:val="52"/>
          <w:szCs w:val="52"/>
          <w:highlight w:val="none"/>
          <w:lang w:val="en-US" w:eastAsia="zh-CN"/>
        </w:rPr>
        <w:t>安徽省</w:t>
      </w:r>
      <w:r>
        <w:rPr>
          <w:rFonts w:hint="eastAsia"/>
          <w:b/>
          <w:bCs/>
          <w:color w:val="auto"/>
          <w:sz w:val="52"/>
          <w:szCs w:val="52"/>
          <w:highlight w:val="none"/>
        </w:rPr>
        <w:t>政府采购</w:t>
      </w:r>
      <w:r>
        <w:rPr>
          <w:rFonts w:hint="eastAsia"/>
          <w:b/>
          <w:bCs/>
          <w:color w:val="auto"/>
          <w:sz w:val="52"/>
          <w:szCs w:val="52"/>
          <w:highlight w:val="none"/>
          <w:lang w:eastAsia="zh-CN"/>
        </w:rPr>
        <w:t>项目</w:t>
      </w:r>
    </w:p>
    <w:p w14:paraId="433A7AAE">
      <w:pPr>
        <w:tabs>
          <w:tab w:val="left" w:pos="315"/>
          <w:tab w:val="left" w:pos="8820"/>
        </w:tabs>
        <w:spacing w:before="240" w:beforeLines="100" w:after="120" w:afterLines="50" w:line="500" w:lineRule="exact"/>
        <w:ind w:right="254" w:rightChars="127"/>
        <w:jc w:val="center"/>
        <w:rPr>
          <w:b/>
          <w:bCs/>
          <w:color w:val="auto"/>
          <w:sz w:val="52"/>
          <w:szCs w:val="52"/>
          <w:highlight w:val="none"/>
        </w:rPr>
      </w:pPr>
      <w:r>
        <w:rPr>
          <w:rFonts w:hint="eastAsia"/>
          <w:b/>
          <w:bCs/>
          <w:color w:val="auto"/>
          <w:sz w:val="52"/>
          <w:szCs w:val="52"/>
          <w:highlight w:val="none"/>
        </w:rPr>
        <w:t>竞争性磋商文件示范文本（工程类）</w:t>
      </w:r>
    </w:p>
    <w:p w14:paraId="536E20A4">
      <w:pPr>
        <w:tabs>
          <w:tab w:val="left" w:pos="315"/>
          <w:tab w:val="left" w:pos="8820"/>
        </w:tabs>
        <w:spacing w:before="240" w:beforeLines="100" w:after="120" w:afterLines="50" w:line="500" w:lineRule="exact"/>
        <w:ind w:right="254" w:rightChars="127"/>
        <w:jc w:val="center"/>
        <w:rPr>
          <w:b/>
          <w:bCs/>
          <w:color w:val="auto"/>
          <w:sz w:val="52"/>
          <w:szCs w:val="52"/>
          <w:highlight w:val="none"/>
        </w:rPr>
      </w:pPr>
      <w:r>
        <w:rPr>
          <w:rFonts w:hint="eastAsia"/>
          <w:b/>
          <w:bCs/>
          <w:color w:val="auto"/>
          <w:sz w:val="52"/>
          <w:szCs w:val="52"/>
          <w:highlight w:val="none"/>
        </w:rPr>
        <w:t>（</w:t>
      </w:r>
      <w:r>
        <w:rPr>
          <w:rFonts w:hint="eastAsia"/>
          <w:b/>
          <w:bCs/>
          <w:color w:val="auto"/>
          <w:sz w:val="52"/>
          <w:szCs w:val="52"/>
          <w:highlight w:val="none"/>
          <w:lang w:val="en-US" w:eastAsia="zh-CN"/>
        </w:rPr>
        <w:t>2024版本</w:t>
      </w:r>
      <w:r>
        <w:rPr>
          <w:rFonts w:hint="eastAsia"/>
          <w:b/>
          <w:bCs/>
          <w:color w:val="auto"/>
          <w:sz w:val="52"/>
          <w:szCs w:val="52"/>
          <w:highlight w:val="none"/>
        </w:rPr>
        <w:t>）</w:t>
      </w:r>
    </w:p>
    <w:bookmarkEnd w:id="0"/>
    <w:p w14:paraId="0BCE5692">
      <w:pPr>
        <w:tabs>
          <w:tab w:val="left" w:pos="315"/>
          <w:tab w:val="left" w:pos="8820"/>
        </w:tabs>
        <w:spacing w:before="240" w:beforeLines="100" w:after="120" w:afterLines="50" w:line="500" w:lineRule="exact"/>
        <w:ind w:right="254" w:rightChars="127"/>
        <w:jc w:val="center"/>
        <w:rPr>
          <w:bCs/>
          <w:color w:val="auto"/>
          <w:sz w:val="44"/>
          <w:szCs w:val="44"/>
          <w:highlight w:val="none"/>
        </w:rPr>
      </w:pPr>
    </w:p>
    <w:p w14:paraId="1409E33E">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1ADFED38">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3DB90E88">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26DEE91F">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095808F7">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0CE852CE">
      <w:pPr>
        <w:tabs>
          <w:tab w:val="left" w:pos="2410"/>
        </w:tabs>
        <w:autoSpaceDE w:val="0"/>
        <w:autoSpaceDN w:val="0"/>
        <w:adjustRightInd w:val="0"/>
        <w:snapToGrid w:val="0"/>
        <w:spacing w:line="360" w:lineRule="auto"/>
        <w:rPr>
          <w:rFonts w:hint="eastAsia" w:eastAsia="宋体"/>
          <w:b/>
          <w:color w:val="auto"/>
          <w:spacing w:val="20"/>
          <w:sz w:val="32"/>
          <w:szCs w:val="32"/>
          <w:highlight w:val="none"/>
          <w:lang w:val="en-US" w:eastAsia="zh-CN"/>
        </w:rPr>
      </w:pPr>
      <w:r>
        <w:rPr>
          <w:rFonts w:hint="eastAsia"/>
          <w:b/>
          <w:color w:val="auto"/>
          <w:spacing w:val="20"/>
          <w:sz w:val="32"/>
          <w:szCs w:val="32"/>
          <w:highlight w:val="none"/>
        </w:rPr>
        <w:t>项目名称：</w:t>
      </w:r>
      <w:r>
        <w:rPr>
          <w:rFonts w:hint="eastAsia"/>
          <w:b/>
          <w:color w:val="auto"/>
          <w:spacing w:val="20"/>
          <w:sz w:val="32"/>
          <w:szCs w:val="32"/>
          <w:highlight w:val="none"/>
          <w:u w:val="single"/>
        </w:rPr>
        <w:t>2026年省淮河局堤防日常维护项</w:t>
      </w:r>
      <w:r>
        <w:rPr>
          <w:rFonts w:hint="eastAsia"/>
          <w:b/>
          <w:color w:val="auto"/>
          <w:spacing w:val="20"/>
          <w:sz w:val="32"/>
          <w:szCs w:val="32"/>
          <w:highlight w:val="none"/>
          <w:u w:val="single"/>
          <w:lang w:val="en-US" w:eastAsia="zh-CN"/>
        </w:rPr>
        <w:t>目</w:t>
      </w:r>
    </w:p>
    <w:p w14:paraId="4926BAFB">
      <w:pPr>
        <w:tabs>
          <w:tab w:val="left" w:pos="2410"/>
        </w:tabs>
        <w:autoSpaceDE w:val="0"/>
        <w:autoSpaceDN w:val="0"/>
        <w:adjustRightInd w:val="0"/>
        <w:snapToGrid w:val="0"/>
        <w:spacing w:line="360" w:lineRule="auto"/>
        <w:rPr>
          <w:b/>
          <w:color w:val="auto"/>
          <w:spacing w:val="20"/>
          <w:sz w:val="32"/>
          <w:szCs w:val="32"/>
          <w:highlight w:val="none"/>
        </w:rPr>
      </w:pPr>
      <w:r>
        <w:rPr>
          <w:rFonts w:hint="eastAsia"/>
          <w:b/>
          <w:color w:val="auto"/>
          <w:spacing w:val="20"/>
          <w:sz w:val="32"/>
          <w:szCs w:val="32"/>
          <w:highlight w:val="none"/>
        </w:rPr>
        <w:t>项目编号：</w:t>
      </w:r>
      <w:r>
        <w:rPr>
          <w:rFonts w:hint="eastAsia"/>
          <w:b/>
          <w:color w:val="auto"/>
          <w:spacing w:val="20"/>
          <w:sz w:val="32"/>
          <w:szCs w:val="32"/>
          <w:highlight w:val="none"/>
          <w:u w:val="single"/>
        </w:rPr>
        <w:t>FSSD34000120260072号</w:t>
      </w:r>
    </w:p>
    <w:p w14:paraId="0C76E781">
      <w:pPr>
        <w:tabs>
          <w:tab w:val="left" w:pos="2410"/>
        </w:tabs>
        <w:autoSpaceDE w:val="0"/>
        <w:autoSpaceDN w:val="0"/>
        <w:adjustRightInd w:val="0"/>
        <w:snapToGrid w:val="0"/>
        <w:spacing w:line="360" w:lineRule="auto"/>
        <w:rPr>
          <w:rFonts w:hint="default"/>
          <w:b/>
          <w:color w:val="auto"/>
          <w:spacing w:val="20"/>
          <w:sz w:val="32"/>
          <w:szCs w:val="32"/>
          <w:highlight w:val="none"/>
          <w:lang w:val="en-US"/>
        </w:rPr>
      </w:pPr>
      <w:r>
        <w:rPr>
          <w:rFonts w:hint="eastAsia"/>
          <w:b/>
          <w:color w:val="auto"/>
          <w:spacing w:val="20"/>
          <w:sz w:val="32"/>
          <w:szCs w:val="32"/>
          <w:highlight w:val="none"/>
        </w:rPr>
        <w:t>采 购 人：</w:t>
      </w:r>
      <w:r>
        <w:rPr>
          <w:rFonts w:hint="eastAsia"/>
          <w:b/>
          <w:color w:val="auto"/>
          <w:spacing w:val="20"/>
          <w:sz w:val="32"/>
          <w:szCs w:val="32"/>
          <w:highlight w:val="none"/>
          <w:u w:val="single"/>
          <w:lang w:val="en-US" w:eastAsia="zh-CN"/>
        </w:rPr>
        <w:t>安徽省淮河河道管理局</w:t>
      </w:r>
    </w:p>
    <w:p w14:paraId="792836E4">
      <w:pPr>
        <w:tabs>
          <w:tab w:val="left" w:pos="2410"/>
        </w:tabs>
        <w:autoSpaceDE w:val="0"/>
        <w:autoSpaceDN w:val="0"/>
        <w:adjustRightInd w:val="0"/>
        <w:snapToGrid w:val="0"/>
        <w:spacing w:line="360" w:lineRule="auto"/>
        <w:rPr>
          <w:rFonts w:hint="default" w:eastAsia="宋体"/>
          <w:b/>
          <w:color w:val="auto"/>
          <w:spacing w:val="20"/>
          <w:sz w:val="32"/>
          <w:szCs w:val="32"/>
          <w:highlight w:val="none"/>
          <w:lang w:val="en-US" w:eastAsia="zh-CN"/>
        </w:rPr>
      </w:pPr>
      <w:r>
        <w:rPr>
          <w:rFonts w:hint="eastAsia"/>
          <w:b/>
          <w:color w:val="auto"/>
          <w:spacing w:val="20"/>
          <w:sz w:val="32"/>
          <w:szCs w:val="32"/>
          <w:highlight w:val="none"/>
        </w:rPr>
        <w:t>采购代理机构：</w:t>
      </w:r>
      <w:r>
        <w:rPr>
          <w:rFonts w:hint="eastAsia"/>
          <w:b/>
          <w:color w:val="auto"/>
          <w:spacing w:val="20"/>
          <w:sz w:val="32"/>
          <w:szCs w:val="32"/>
          <w:highlight w:val="none"/>
          <w:u w:val="single"/>
          <w:lang w:val="en-US" w:eastAsia="zh-CN"/>
        </w:rPr>
        <w:t>安徽安兆工程技术咨询服务有限公司</w:t>
      </w:r>
    </w:p>
    <w:p w14:paraId="614FE280">
      <w:pPr>
        <w:tabs>
          <w:tab w:val="left" w:pos="315"/>
          <w:tab w:val="left" w:pos="8820"/>
        </w:tabs>
        <w:spacing w:before="240" w:beforeLines="100" w:after="120" w:afterLines="50" w:line="500" w:lineRule="exact"/>
        <w:ind w:right="254" w:rightChars="127"/>
        <w:jc w:val="center"/>
        <w:rPr>
          <w:b/>
          <w:bCs/>
          <w:color w:val="auto"/>
          <w:sz w:val="44"/>
          <w:szCs w:val="44"/>
          <w:highlight w:val="none"/>
        </w:rPr>
      </w:pPr>
    </w:p>
    <w:p w14:paraId="4DEDF997">
      <w:pPr>
        <w:tabs>
          <w:tab w:val="left" w:pos="2410"/>
        </w:tabs>
        <w:autoSpaceDE w:val="0"/>
        <w:autoSpaceDN w:val="0"/>
        <w:adjustRightInd w:val="0"/>
        <w:snapToGrid w:val="0"/>
        <w:spacing w:line="360" w:lineRule="auto"/>
        <w:jc w:val="center"/>
        <w:rPr>
          <w:b/>
          <w:color w:val="auto"/>
          <w:sz w:val="36"/>
          <w:highlight w:val="none"/>
        </w:rPr>
      </w:pPr>
    </w:p>
    <w:p w14:paraId="5BF1A354">
      <w:pPr>
        <w:tabs>
          <w:tab w:val="left" w:pos="2410"/>
        </w:tabs>
        <w:autoSpaceDE w:val="0"/>
        <w:autoSpaceDN w:val="0"/>
        <w:adjustRightInd w:val="0"/>
        <w:snapToGrid w:val="0"/>
        <w:spacing w:line="360" w:lineRule="auto"/>
        <w:jc w:val="center"/>
        <w:rPr>
          <w:b/>
          <w:color w:val="auto"/>
          <w:sz w:val="36"/>
          <w:highlight w:val="none"/>
        </w:rPr>
      </w:pPr>
      <w:r>
        <w:rPr>
          <w:rFonts w:hint="eastAsia"/>
          <w:b/>
          <w:color w:val="auto"/>
          <w:sz w:val="36"/>
          <w:highlight w:val="none"/>
          <w:u w:val="none"/>
          <w:lang w:val="en-US" w:eastAsia="zh-CN"/>
        </w:rPr>
        <w:t>2026</w:t>
      </w:r>
      <w:r>
        <w:rPr>
          <w:rFonts w:hint="eastAsia"/>
          <w:b/>
          <w:color w:val="auto"/>
          <w:sz w:val="36"/>
          <w:highlight w:val="none"/>
          <w:u w:val="none"/>
        </w:rPr>
        <w:t>年</w:t>
      </w:r>
      <w:r>
        <w:rPr>
          <w:rFonts w:hint="eastAsia"/>
          <w:b/>
          <w:color w:val="auto"/>
          <w:sz w:val="36"/>
          <w:highlight w:val="none"/>
          <w:u w:val="none"/>
          <w:lang w:val="en-US" w:eastAsia="zh-CN"/>
        </w:rPr>
        <w:t>1</w:t>
      </w:r>
      <w:r>
        <w:rPr>
          <w:rFonts w:hint="eastAsia"/>
          <w:b/>
          <w:color w:val="auto"/>
          <w:sz w:val="36"/>
          <w:highlight w:val="none"/>
          <w:u w:val="none"/>
        </w:rPr>
        <w:t>月</w:t>
      </w:r>
      <w:r>
        <w:rPr>
          <w:b/>
          <w:color w:val="auto"/>
          <w:sz w:val="36"/>
          <w:highlight w:val="none"/>
        </w:rPr>
        <w:br w:type="page"/>
      </w:r>
    </w:p>
    <w:p w14:paraId="0ED6282E">
      <w:pPr>
        <w:tabs>
          <w:tab w:val="left" w:pos="2410"/>
        </w:tabs>
        <w:autoSpaceDE w:val="0"/>
        <w:autoSpaceDN w:val="0"/>
        <w:adjustRightInd w:val="0"/>
        <w:snapToGrid w:val="0"/>
        <w:spacing w:line="360" w:lineRule="auto"/>
        <w:jc w:val="center"/>
        <w:rPr>
          <w:b/>
          <w:color w:val="auto"/>
          <w:sz w:val="28"/>
          <w:highlight w:val="none"/>
        </w:rPr>
      </w:pPr>
      <w:r>
        <w:rPr>
          <w:rFonts w:hint="eastAsia"/>
          <w:b/>
          <w:color w:val="auto"/>
          <w:sz w:val="28"/>
          <w:highlight w:val="none"/>
        </w:rPr>
        <w:t>目  录</w:t>
      </w:r>
    </w:p>
    <w:p w14:paraId="0C24DCF7">
      <w:pPr>
        <w:tabs>
          <w:tab w:val="left" w:pos="2410"/>
        </w:tabs>
        <w:autoSpaceDE w:val="0"/>
        <w:autoSpaceDN w:val="0"/>
        <w:adjustRightInd w:val="0"/>
        <w:snapToGrid w:val="0"/>
        <w:spacing w:line="360" w:lineRule="auto"/>
        <w:jc w:val="center"/>
        <w:rPr>
          <w:b/>
          <w:color w:val="auto"/>
          <w:sz w:val="28"/>
          <w:highlight w:val="none"/>
        </w:rPr>
      </w:pPr>
    </w:p>
    <w:p w14:paraId="4F54BC65">
      <w:pPr>
        <w:pStyle w:val="36"/>
        <w:tabs>
          <w:tab w:val="right" w:leader="dot" w:pos="8279"/>
        </w:tabs>
      </w:pPr>
      <w:r>
        <w:rPr>
          <w:rFonts w:asciiTheme="minorEastAsia" w:hAnsiTheme="minorEastAsia"/>
          <w:b/>
          <w:color w:val="auto"/>
          <w:sz w:val="24"/>
          <w:szCs w:val="24"/>
          <w:highlight w:val="none"/>
        </w:rPr>
        <w:fldChar w:fldCharType="begin"/>
      </w:r>
      <w:r>
        <w:rPr>
          <w:rFonts w:asciiTheme="minorEastAsia" w:hAnsiTheme="minorEastAsia"/>
          <w:b/>
          <w:color w:val="auto"/>
          <w:sz w:val="24"/>
          <w:szCs w:val="24"/>
          <w:highlight w:val="none"/>
        </w:rPr>
        <w:instrText xml:space="preserve"> </w:instrText>
      </w:r>
      <w:r>
        <w:rPr>
          <w:rFonts w:hint="eastAsia" w:asciiTheme="minorEastAsia" w:hAnsiTheme="minorEastAsia"/>
          <w:b/>
          <w:color w:val="auto"/>
          <w:sz w:val="24"/>
          <w:szCs w:val="24"/>
          <w:highlight w:val="none"/>
        </w:rPr>
        <w:instrText xml:space="preserve">TOC \o "1-2" \h \z \u</w:instrText>
      </w:r>
      <w:r>
        <w:rPr>
          <w:rFonts w:asciiTheme="minorEastAsia" w:hAnsiTheme="minorEastAsia"/>
          <w:b/>
          <w:color w:val="auto"/>
          <w:sz w:val="24"/>
          <w:szCs w:val="24"/>
          <w:highlight w:val="none"/>
        </w:rPr>
        <w:instrText xml:space="preserve"> </w:instrText>
      </w:r>
      <w:r>
        <w:rPr>
          <w:rFonts w:asciiTheme="minorEastAsia" w:hAnsiTheme="minorEastAsia"/>
          <w:b/>
          <w:color w:val="auto"/>
          <w:sz w:val="24"/>
          <w:szCs w:val="24"/>
          <w:highlight w:val="none"/>
        </w:rPr>
        <w:fldChar w:fldCharType="separate"/>
      </w: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_Toc11403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 xml:space="preserve">第一章 </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磋商邀请</w:t>
      </w:r>
      <w:r>
        <w:tab/>
      </w:r>
      <w:r>
        <w:fldChar w:fldCharType="begin"/>
      </w:r>
      <w:r>
        <w:instrText xml:space="preserve"> PAGEREF _Toc11403 \h </w:instrText>
      </w:r>
      <w:r>
        <w:fldChar w:fldCharType="separate"/>
      </w:r>
      <w:r>
        <w:t>1</w:t>
      </w:r>
      <w:r>
        <w:fldChar w:fldCharType="end"/>
      </w:r>
      <w:r>
        <w:rPr>
          <w:rFonts w:asciiTheme="minorEastAsia" w:hAnsiTheme="minorEastAsia"/>
          <w:color w:val="auto"/>
          <w:szCs w:val="24"/>
          <w:highlight w:val="none"/>
        </w:rPr>
        <w:fldChar w:fldCharType="end"/>
      </w:r>
    </w:p>
    <w:p w14:paraId="75896245">
      <w:pPr>
        <w:pStyle w:val="36"/>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_Toc28080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第二章</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 xml:space="preserve"> 供应商</w:t>
      </w:r>
      <w:r>
        <w:rPr>
          <w:rFonts w:asciiTheme="minorEastAsia" w:hAnsiTheme="minorEastAsia" w:eastAsiaTheme="minorEastAsia"/>
          <w:highlight w:val="none"/>
        </w:rPr>
        <w:t>须知</w:t>
      </w:r>
      <w:r>
        <w:tab/>
      </w:r>
      <w:r>
        <w:fldChar w:fldCharType="begin"/>
      </w:r>
      <w:r>
        <w:instrText xml:space="preserve"> PAGEREF _Toc28080 \h </w:instrText>
      </w:r>
      <w:r>
        <w:fldChar w:fldCharType="separate"/>
      </w:r>
      <w:r>
        <w:t>5</w:t>
      </w:r>
      <w:r>
        <w:fldChar w:fldCharType="end"/>
      </w:r>
      <w:r>
        <w:rPr>
          <w:rFonts w:asciiTheme="minorEastAsia" w:hAnsiTheme="minorEastAsia"/>
          <w:color w:val="auto"/>
          <w:szCs w:val="24"/>
          <w:highlight w:val="none"/>
        </w:rPr>
        <w:fldChar w:fldCharType="end"/>
      </w:r>
    </w:p>
    <w:p w14:paraId="6AAA51E0">
      <w:pPr>
        <w:pStyle w:val="36"/>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_Toc30873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第三章  采购需求</w:t>
      </w:r>
      <w:r>
        <w:tab/>
      </w:r>
      <w:r>
        <w:fldChar w:fldCharType="begin"/>
      </w:r>
      <w:r>
        <w:instrText xml:space="preserve"> PAGEREF _Toc30873 \h </w:instrText>
      </w:r>
      <w:r>
        <w:fldChar w:fldCharType="separate"/>
      </w:r>
      <w:r>
        <w:t>23</w:t>
      </w:r>
      <w:r>
        <w:fldChar w:fldCharType="end"/>
      </w:r>
      <w:r>
        <w:rPr>
          <w:rFonts w:asciiTheme="minorEastAsia" w:hAnsiTheme="minorEastAsia"/>
          <w:color w:val="auto"/>
          <w:szCs w:val="24"/>
          <w:highlight w:val="none"/>
        </w:rPr>
        <w:fldChar w:fldCharType="end"/>
      </w:r>
    </w:p>
    <w:p w14:paraId="73E1B34E">
      <w:pPr>
        <w:pStyle w:val="36"/>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_Toc11353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第四章  评审方法和标准</w:t>
      </w:r>
      <w:r>
        <w:tab/>
      </w:r>
      <w:r>
        <w:fldChar w:fldCharType="begin"/>
      </w:r>
      <w:r>
        <w:instrText xml:space="preserve"> PAGEREF _Toc11353 \h </w:instrText>
      </w:r>
      <w:r>
        <w:fldChar w:fldCharType="separate"/>
      </w:r>
      <w:r>
        <w:t>26</w:t>
      </w:r>
      <w:r>
        <w:fldChar w:fldCharType="end"/>
      </w:r>
      <w:r>
        <w:rPr>
          <w:rFonts w:asciiTheme="minorEastAsia" w:hAnsiTheme="minorEastAsia"/>
          <w:color w:val="auto"/>
          <w:szCs w:val="24"/>
          <w:highlight w:val="none"/>
        </w:rPr>
        <w:fldChar w:fldCharType="end"/>
      </w:r>
    </w:p>
    <w:p w14:paraId="3C3AF7A0">
      <w:pPr>
        <w:pStyle w:val="36"/>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_Toc31277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 xml:space="preserve">第五章  </w:t>
      </w:r>
      <w:r>
        <w:rPr>
          <w:rFonts w:asciiTheme="minorEastAsia" w:hAnsiTheme="minorEastAsia" w:eastAsiaTheme="minorEastAsia"/>
          <w:highlight w:val="none"/>
        </w:rPr>
        <w:t>政府采购合同</w:t>
      </w:r>
      <w:r>
        <w:tab/>
      </w:r>
      <w:r>
        <w:fldChar w:fldCharType="begin"/>
      </w:r>
      <w:r>
        <w:instrText xml:space="preserve"> PAGEREF _Toc31277 \h </w:instrText>
      </w:r>
      <w:r>
        <w:fldChar w:fldCharType="separate"/>
      </w:r>
      <w:r>
        <w:t>83</w:t>
      </w:r>
      <w:r>
        <w:fldChar w:fldCharType="end"/>
      </w:r>
      <w:r>
        <w:rPr>
          <w:rFonts w:asciiTheme="minorEastAsia" w:hAnsiTheme="minorEastAsia"/>
          <w:color w:val="auto"/>
          <w:szCs w:val="24"/>
          <w:highlight w:val="none"/>
        </w:rPr>
        <w:fldChar w:fldCharType="end"/>
      </w:r>
    </w:p>
    <w:p w14:paraId="5145DF95">
      <w:pPr>
        <w:pStyle w:val="36"/>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_Toc22734 </w:instrText>
      </w:r>
      <w:r>
        <w:rPr>
          <w:rFonts w:asciiTheme="minorEastAsia" w:hAnsiTheme="minorEastAsia"/>
          <w:szCs w:val="24"/>
          <w:highlight w:val="none"/>
        </w:rPr>
        <w:fldChar w:fldCharType="separate"/>
      </w:r>
      <w:r>
        <w:rPr>
          <w:rFonts w:hint="eastAsia" w:asciiTheme="minorEastAsia" w:hAnsiTheme="minorEastAsia" w:eastAsiaTheme="minorEastAsia"/>
          <w:highlight w:val="none"/>
        </w:rPr>
        <w:t>第六章  响应文件格式</w:t>
      </w:r>
      <w:r>
        <w:tab/>
      </w:r>
      <w:r>
        <w:fldChar w:fldCharType="begin"/>
      </w:r>
      <w:r>
        <w:instrText xml:space="preserve"> PAGEREF _Toc22734 \h </w:instrText>
      </w:r>
      <w:r>
        <w:fldChar w:fldCharType="separate"/>
      </w:r>
      <w:r>
        <w:t>125</w:t>
      </w:r>
      <w:r>
        <w:fldChar w:fldCharType="end"/>
      </w:r>
      <w:r>
        <w:rPr>
          <w:rFonts w:asciiTheme="minorEastAsia" w:hAnsiTheme="minorEastAsia"/>
          <w:color w:val="auto"/>
          <w:szCs w:val="24"/>
          <w:highlight w:val="none"/>
        </w:rPr>
        <w:fldChar w:fldCharType="end"/>
      </w:r>
    </w:p>
    <w:p w14:paraId="1F0B5C21">
      <w:pPr>
        <w:pStyle w:val="36"/>
        <w:tabs>
          <w:tab w:val="right" w:leader="dot" w:pos="8279"/>
        </w:tabs>
      </w:pPr>
      <w:r>
        <w:rPr>
          <w:rFonts w:asciiTheme="minorEastAsia" w:hAnsiTheme="minorEastAsia"/>
          <w:color w:val="auto"/>
          <w:szCs w:val="24"/>
          <w:highlight w:val="none"/>
        </w:rPr>
        <w:fldChar w:fldCharType="begin"/>
      </w:r>
      <w:r>
        <w:rPr>
          <w:rFonts w:asciiTheme="minorEastAsia" w:hAnsiTheme="minorEastAsia"/>
          <w:szCs w:val="24"/>
          <w:highlight w:val="none"/>
        </w:rPr>
        <w:instrText xml:space="preserve"> HYPERLINK \l _Toc24879 </w:instrText>
      </w:r>
      <w:r>
        <w:rPr>
          <w:rFonts w:asciiTheme="minorEastAsia" w:hAnsiTheme="minorEastAsia"/>
          <w:szCs w:val="24"/>
          <w:highlight w:val="none"/>
        </w:rPr>
        <w:fldChar w:fldCharType="separate"/>
      </w:r>
      <w:r>
        <w:rPr>
          <w:rFonts w:hint="eastAsia"/>
          <w:bCs/>
          <w:highlight w:val="none"/>
        </w:rPr>
        <w:t>第</w:t>
      </w:r>
      <w:r>
        <w:rPr>
          <w:rFonts w:hint="eastAsia"/>
          <w:bCs/>
          <w:highlight w:val="none"/>
          <w:lang w:val="en-US" w:eastAsia="zh-CN"/>
        </w:rPr>
        <w:t>七</w:t>
      </w:r>
      <w:r>
        <w:rPr>
          <w:rFonts w:hint="eastAsia"/>
          <w:bCs/>
          <w:highlight w:val="none"/>
        </w:rPr>
        <w:t>章  政府采购</w:t>
      </w:r>
      <w:r>
        <w:rPr>
          <w:rFonts w:hint="eastAsia" w:asciiTheme="minorEastAsia" w:hAnsiTheme="minorEastAsia" w:eastAsiaTheme="minorEastAsia"/>
          <w:highlight w:val="none"/>
        </w:rPr>
        <w:t>供应</w:t>
      </w:r>
      <w:r>
        <w:rPr>
          <w:rFonts w:hint="eastAsia"/>
          <w:bCs/>
          <w:highlight w:val="none"/>
        </w:rPr>
        <w:t>商询问函和质疑函范本</w:t>
      </w:r>
      <w:r>
        <w:tab/>
      </w:r>
      <w:r>
        <w:fldChar w:fldCharType="begin"/>
      </w:r>
      <w:r>
        <w:instrText xml:space="preserve"> PAGEREF _Toc24879 \h </w:instrText>
      </w:r>
      <w:r>
        <w:fldChar w:fldCharType="separate"/>
      </w:r>
      <w:r>
        <w:t>144</w:t>
      </w:r>
      <w:r>
        <w:fldChar w:fldCharType="end"/>
      </w:r>
      <w:r>
        <w:rPr>
          <w:rFonts w:asciiTheme="minorEastAsia" w:hAnsiTheme="minorEastAsia"/>
          <w:color w:val="auto"/>
          <w:szCs w:val="24"/>
          <w:highlight w:val="none"/>
        </w:rPr>
        <w:fldChar w:fldCharType="end"/>
      </w:r>
    </w:p>
    <w:p w14:paraId="7AAED32F">
      <w:pPr>
        <w:pStyle w:val="46"/>
        <w:tabs>
          <w:tab w:val="right" w:leader="dot" w:pos="8296"/>
        </w:tabs>
        <w:rPr>
          <w:rFonts w:asciiTheme="minorEastAsia" w:hAnsiTheme="minorEastAsia"/>
          <w:b/>
          <w:color w:val="auto"/>
          <w:szCs w:val="24"/>
          <w:highlight w:val="none"/>
        </w:rPr>
      </w:pPr>
      <w:r>
        <w:rPr>
          <w:rFonts w:asciiTheme="minorEastAsia" w:hAnsiTheme="minorEastAsia"/>
          <w:color w:val="auto"/>
          <w:szCs w:val="24"/>
          <w:highlight w:val="none"/>
        </w:rPr>
        <w:fldChar w:fldCharType="end"/>
      </w:r>
    </w:p>
    <w:p w14:paraId="4FCE23EC">
      <w:pPr>
        <w:pStyle w:val="5"/>
        <w:sectPr>
          <w:headerReference r:id="rId3" w:type="default"/>
          <w:footerReference r:id="rId4" w:type="default"/>
          <w:pgSz w:w="11907" w:h="16840"/>
          <w:pgMar w:top="1474" w:right="1814" w:bottom="1474" w:left="1814" w:header="851" w:footer="992" w:gutter="0"/>
          <w:cols w:space="720" w:num="1"/>
          <w:docGrid w:linePitch="462" w:charSpace="0"/>
        </w:sectPr>
      </w:pPr>
    </w:p>
    <w:p w14:paraId="6BB75831">
      <w:pPr>
        <w:spacing w:line="360" w:lineRule="auto"/>
        <w:jc w:val="center"/>
        <w:outlineLvl w:val="0"/>
        <w:rPr>
          <w:rFonts w:asciiTheme="minorEastAsia" w:hAnsiTheme="minorEastAsia" w:eastAsiaTheme="minorEastAsia"/>
          <w:b/>
          <w:color w:val="auto"/>
          <w:sz w:val="28"/>
          <w:highlight w:val="none"/>
        </w:rPr>
      </w:pPr>
      <w:bookmarkStart w:id="1" w:name="_Toc11403"/>
      <w:r>
        <w:rPr>
          <w:rFonts w:hint="eastAsia" w:asciiTheme="minorEastAsia" w:hAnsiTheme="minorEastAsia" w:eastAsiaTheme="minorEastAsia"/>
          <w:b/>
          <w:color w:val="auto"/>
          <w:sz w:val="28"/>
          <w:highlight w:val="none"/>
        </w:rPr>
        <w:t xml:space="preserve">第一章 </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磋商邀请</w:t>
      </w:r>
      <w:bookmarkEnd w:id="1"/>
    </w:p>
    <w:p w14:paraId="2F63C71A">
      <w:pPr>
        <w:spacing w:line="360" w:lineRule="auto"/>
        <w:ind w:firstLine="435"/>
        <w:outlineLvl w:val="1"/>
        <w:rPr>
          <w:rFonts w:hint="eastAsia"/>
          <w:b/>
          <w:bCs/>
          <w:color w:val="auto"/>
          <w:sz w:val="24"/>
          <w:szCs w:val="18"/>
          <w:highlight w:val="none"/>
        </w:rPr>
      </w:pPr>
      <w:bookmarkStart w:id="2" w:name="_Toc8770"/>
      <w:bookmarkStart w:id="3" w:name="_Toc18492"/>
      <w:r>
        <w:rPr>
          <w:rFonts w:hint="eastAsia"/>
          <w:b/>
          <w:bCs/>
          <w:color w:val="auto"/>
          <w:sz w:val="24"/>
          <w:szCs w:val="18"/>
          <w:highlight w:val="none"/>
        </w:rPr>
        <w:t>一、</w:t>
      </w:r>
      <w:bookmarkEnd w:id="2"/>
      <w:r>
        <w:rPr>
          <w:rFonts w:hint="eastAsia"/>
          <w:b/>
          <w:bCs/>
          <w:color w:val="auto"/>
          <w:sz w:val="24"/>
          <w:szCs w:val="18"/>
          <w:highlight w:val="none"/>
        </w:rPr>
        <w:t>项目基本情况</w:t>
      </w:r>
      <w:bookmarkEnd w:id="3"/>
    </w:p>
    <w:p w14:paraId="500AAC88">
      <w:pPr>
        <w:spacing w:line="360" w:lineRule="auto"/>
        <w:ind w:firstLine="435"/>
        <w:rPr>
          <w:rFonts w:hint="eastAsia" w:asciiTheme="minorEastAsia" w:hAnsiTheme="minorEastAsia" w:eastAsiaTheme="minorEastAsia"/>
          <w:color w:val="auto"/>
          <w:sz w:val="24"/>
          <w:highlight w:val="none"/>
        </w:rPr>
      </w:pPr>
      <w:bookmarkStart w:id="4" w:name="_Toc26628"/>
      <w:r>
        <w:rPr>
          <w:rFonts w:hint="eastAsia" w:asciiTheme="minorEastAsia" w:hAnsiTheme="minorEastAsia" w:eastAsiaTheme="minorEastAsia"/>
          <w:color w:val="auto"/>
          <w:sz w:val="24"/>
          <w:highlight w:val="none"/>
        </w:rPr>
        <w:t>1.项目编号：</w:t>
      </w:r>
      <w:r>
        <w:rPr>
          <w:rFonts w:hint="eastAsia" w:asciiTheme="minorEastAsia" w:hAnsiTheme="minorEastAsia" w:eastAsiaTheme="minorEastAsia"/>
          <w:color w:val="auto"/>
          <w:sz w:val="24"/>
          <w:highlight w:val="none"/>
          <w:u w:val="single"/>
        </w:rPr>
        <w:t>FSSD34000120260072号</w:t>
      </w:r>
    </w:p>
    <w:p w14:paraId="32067DAE">
      <w:pPr>
        <w:spacing w:line="360" w:lineRule="auto"/>
        <w:ind w:firstLine="435"/>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2.项目名称：</w:t>
      </w:r>
      <w:r>
        <w:rPr>
          <w:rFonts w:hint="eastAsia" w:asciiTheme="minorEastAsia" w:hAnsiTheme="minorEastAsia" w:eastAsiaTheme="minorEastAsia"/>
          <w:color w:val="auto"/>
          <w:sz w:val="24"/>
          <w:highlight w:val="none"/>
          <w:u w:val="single"/>
          <w:lang w:eastAsia="zh-CN"/>
        </w:rPr>
        <w:t>2026年省淮河局堤防日常维护项目</w:t>
      </w:r>
    </w:p>
    <w:p w14:paraId="342D3890">
      <w:pPr>
        <w:spacing w:line="360" w:lineRule="auto"/>
        <w:ind w:firstLine="435"/>
        <w:rPr>
          <w:rFonts w:hint="eastAsia"/>
          <w:color w:val="auto"/>
          <w:sz w:val="24"/>
          <w:szCs w:val="18"/>
          <w:highlight w:val="none"/>
          <w:u w:val="single"/>
          <w:lang w:val="en-US" w:eastAsia="zh-CN"/>
        </w:rPr>
      </w:pPr>
      <w:r>
        <w:rPr>
          <w:rFonts w:hint="eastAsia" w:asciiTheme="minorEastAsia" w:hAnsiTheme="minorEastAsia" w:eastAsiaTheme="minorEastAsia"/>
          <w:color w:val="auto"/>
          <w:sz w:val="24"/>
          <w:highlight w:val="none"/>
        </w:rPr>
        <w:t>3.预算金额：</w:t>
      </w:r>
      <w:r>
        <w:rPr>
          <w:rFonts w:hint="eastAsia"/>
          <w:color w:val="auto"/>
          <w:sz w:val="24"/>
          <w:szCs w:val="18"/>
          <w:highlight w:val="none"/>
          <w:u w:val="single"/>
          <w:lang w:val="en-US" w:eastAsia="zh-CN"/>
        </w:rPr>
        <w:t>399万元</w:t>
      </w:r>
    </w:p>
    <w:p w14:paraId="486E7A17">
      <w:pPr>
        <w:spacing w:line="360" w:lineRule="auto"/>
        <w:ind w:firstLine="435"/>
        <w:rPr>
          <w:rFonts w:hint="eastAsia"/>
          <w:color w:val="auto"/>
          <w:sz w:val="24"/>
          <w:szCs w:val="18"/>
          <w:highlight w:val="none"/>
          <w:u w:val="single"/>
          <w:lang w:val="en-US" w:eastAsia="zh-CN"/>
        </w:rPr>
      </w:pPr>
      <w:r>
        <w:rPr>
          <w:rFonts w:hint="eastAsia" w:asciiTheme="minorEastAsia" w:hAnsiTheme="minorEastAsia" w:eastAsiaTheme="minorEastAsia"/>
          <w:color w:val="auto"/>
          <w:sz w:val="24"/>
          <w:highlight w:val="none"/>
        </w:rPr>
        <w:t>4.最高限价：</w:t>
      </w:r>
      <w:r>
        <w:rPr>
          <w:rFonts w:hint="eastAsia"/>
          <w:color w:val="auto"/>
          <w:sz w:val="24"/>
          <w:szCs w:val="18"/>
          <w:highlight w:val="none"/>
          <w:u w:val="single"/>
          <w:lang w:val="en-US" w:eastAsia="zh-CN"/>
        </w:rPr>
        <w:t>399万元</w:t>
      </w:r>
    </w:p>
    <w:p w14:paraId="56D08CA4">
      <w:pPr>
        <w:spacing w:line="360" w:lineRule="auto"/>
        <w:ind w:firstLine="435"/>
        <w:rPr>
          <w:rFonts w:hint="default" w:cstheme="minorBidi"/>
          <w:b/>
          <w:bCs/>
          <w:color w:val="auto"/>
          <w:sz w:val="24"/>
          <w:szCs w:val="18"/>
          <w:highlight w:val="none"/>
          <w:u w:val="single"/>
          <w:lang w:val="en-US" w:eastAsia="zh-CN" w:bidi="ar-SA"/>
        </w:rPr>
      </w:pPr>
      <w:r>
        <w:rPr>
          <w:rFonts w:hint="default" w:cstheme="minorBidi"/>
          <w:b/>
          <w:bCs/>
          <w:color w:val="auto"/>
          <w:sz w:val="24"/>
          <w:szCs w:val="18"/>
          <w:highlight w:val="none"/>
          <w:u w:val="single"/>
          <w:lang w:val="en-US" w:eastAsia="zh-CN" w:bidi="ar-SA"/>
        </w:rPr>
        <w:t>第1包：五河局最高限价70.2万元。</w:t>
      </w:r>
    </w:p>
    <w:p w14:paraId="074A8B9F">
      <w:pPr>
        <w:spacing w:line="360" w:lineRule="auto"/>
        <w:ind w:firstLine="435"/>
        <w:rPr>
          <w:rFonts w:hint="default" w:cstheme="minorBidi"/>
          <w:b/>
          <w:bCs/>
          <w:color w:val="auto"/>
          <w:sz w:val="24"/>
          <w:szCs w:val="18"/>
          <w:highlight w:val="none"/>
          <w:u w:val="single"/>
          <w:lang w:val="en-US" w:eastAsia="zh-CN" w:bidi="ar-SA"/>
        </w:rPr>
      </w:pPr>
      <w:r>
        <w:rPr>
          <w:rFonts w:hint="default" w:cstheme="minorBidi"/>
          <w:b/>
          <w:bCs/>
          <w:color w:val="auto"/>
          <w:sz w:val="24"/>
          <w:szCs w:val="18"/>
          <w:highlight w:val="none"/>
          <w:u w:val="single"/>
          <w:lang w:val="en-US" w:eastAsia="zh-CN" w:bidi="ar-SA"/>
        </w:rPr>
        <w:t>第2包：凤台局最高限价64.6万元。</w:t>
      </w:r>
    </w:p>
    <w:p w14:paraId="7E5AC2E6">
      <w:pPr>
        <w:spacing w:line="360" w:lineRule="auto"/>
        <w:ind w:firstLine="435"/>
        <w:rPr>
          <w:rFonts w:hint="default" w:cstheme="minorBidi"/>
          <w:b/>
          <w:bCs/>
          <w:color w:val="auto"/>
          <w:sz w:val="24"/>
          <w:szCs w:val="18"/>
          <w:highlight w:val="none"/>
          <w:u w:val="single"/>
          <w:lang w:val="en-US" w:eastAsia="zh-CN" w:bidi="ar-SA"/>
        </w:rPr>
      </w:pPr>
      <w:r>
        <w:rPr>
          <w:rFonts w:hint="default" w:cstheme="minorBidi"/>
          <w:b/>
          <w:bCs/>
          <w:color w:val="auto"/>
          <w:sz w:val="24"/>
          <w:szCs w:val="18"/>
          <w:highlight w:val="none"/>
          <w:u w:val="single"/>
          <w:lang w:val="en-US" w:eastAsia="zh-CN" w:bidi="ar-SA"/>
        </w:rPr>
        <w:t>第3包：怀远局最高限价61.4万元。</w:t>
      </w:r>
      <w:bookmarkStart w:id="793" w:name="_GoBack"/>
      <w:bookmarkEnd w:id="793"/>
    </w:p>
    <w:p w14:paraId="383432C8">
      <w:pPr>
        <w:spacing w:line="360" w:lineRule="auto"/>
        <w:ind w:firstLine="435"/>
        <w:rPr>
          <w:rFonts w:hint="default" w:cstheme="minorBidi"/>
          <w:b/>
          <w:bCs/>
          <w:color w:val="auto"/>
          <w:sz w:val="24"/>
          <w:szCs w:val="18"/>
          <w:highlight w:val="none"/>
          <w:u w:val="single"/>
          <w:lang w:val="en-US" w:eastAsia="zh-CN" w:bidi="ar-SA"/>
        </w:rPr>
      </w:pPr>
      <w:r>
        <w:rPr>
          <w:rFonts w:hint="default" w:cstheme="minorBidi"/>
          <w:b/>
          <w:bCs/>
          <w:color w:val="auto"/>
          <w:sz w:val="24"/>
          <w:szCs w:val="18"/>
          <w:highlight w:val="none"/>
          <w:u w:val="single"/>
          <w:lang w:val="en-US" w:eastAsia="zh-CN" w:bidi="ar-SA"/>
        </w:rPr>
        <w:t>第4包：蒙城局最高限价52万元。</w:t>
      </w:r>
    </w:p>
    <w:p w14:paraId="04AE4349">
      <w:pPr>
        <w:spacing w:line="360" w:lineRule="auto"/>
        <w:ind w:firstLine="435"/>
        <w:rPr>
          <w:rFonts w:hint="default" w:cstheme="minorBidi"/>
          <w:b/>
          <w:bCs/>
          <w:color w:val="auto"/>
          <w:sz w:val="24"/>
          <w:szCs w:val="18"/>
          <w:highlight w:val="none"/>
          <w:u w:val="single"/>
          <w:lang w:val="en-US" w:eastAsia="zh-CN" w:bidi="ar-SA"/>
        </w:rPr>
      </w:pPr>
      <w:r>
        <w:rPr>
          <w:rFonts w:hint="default" w:cstheme="minorBidi"/>
          <w:b/>
          <w:bCs/>
          <w:color w:val="auto"/>
          <w:sz w:val="24"/>
          <w:szCs w:val="18"/>
          <w:highlight w:val="none"/>
          <w:u w:val="single"/>
          <w:lang w:val="en-US" w:eastAsia="zh-CN" w:bidi="ar-SA"/>
        </w:rPr>
        <w:t>第5包：潘集局最高限价43.3万元。</w:t>
      </w:r>
    </w:p>
    <w:p w14:paraId="10AAC1B7">
      <w:pPr>
        <w:spacing w:line="360" w:lineRule="auto"/>
        <w:ind w:firstLine="435"/>
        <w:rPr>
          <w:rFonts w:hint="default" w:cstheme="minorBidi"/>
          <w:b/>
          <w:bCs/>
          <w:color w:val="auto"/>
          <w:sz w:val="24"/>
          <w:szCs w:val="18"/>
          <w:highlight w:val="none"/>
          <w:u w:val="single"/>
          <w:lang w:val="en-US" w:eastAsia="zh-CN" w:bidi="ar-SA"/>
        </w:rPr>
      </w:pPr>
      <w:r>
        <w:rPr>
          <w:rFonts w:hint="default" w:cstheme="minorBidi"/>
          <w:b/>
          <w:bCs/>
          <w:color w:val="auto"/>
          <w:sz w:val="24"/>
          <w:szCs w:val="18"/>
          <w:highlight w:val="none"/>
          <w:u w:val="single"/>
          <w:lang w:val="en-US" w:eastAsia="zh-CN" w:bidi="ar-SA"/>
        </w:rPr>
        <w:t>第6包：颍东局最高限价40.2万元。</w:t>
      </w:r>
    </w:p>
    <w:p w14:paraId="452AF44E">
      <w:pPr>
        <w:spacing w:line="360" w:lineRule="auto"/>
        <w:ind w:firstLine="435"/>
        <w:rPr>
          <w:rFonts w:hint="default" w:cstheme="minorBidi"/>
          <w:b/>
          <w:bCs/>
          <w:color w:val="auto"/>
          <w:sz w:val="24"/>
          <w:szCs w:val="18"/>
          <w:highlight w:val="none"/>
          <w:u w:val="single"/>
          <w:lang w:val="en-US" w:eastAsia="zh-CN" w:bidi="ar-SA"/>
        </w:rPr>
      </w:pPr>
      <w:r>
        <w:rPr>
          <w:rFonts w:hint="default" w:cstheme="minorBidi"/>
          <w:b/>
          <w:bCs/>
          <w:color w:val="auto"/>
          <w:sz w:val="24"/>
          <w:szCs w:val="18"/>
          <w:highlight w:val="none"/>
          <w:u w:val="single"/>
          <w:lang w:val="en-US" w:eastAsia="zh-CN" w:bidi="ar-SA"/>
        </w:rPr>
        <w:t>第7包：颍上局最高限价39万元。</w:t>
      </w:r>
    </w:p>
    <w:p w14:paraId="18C1A752">
      <w:pPr>
        <w:spacing w:line="360" w:lineRule="auto"/>
        <w:ind w:firstLine="435"/>
        <w:rPr>
          <w:rFonts w:hint="default" w:cstheme="minorBidi"/>
          <w:b/>
          <w:bCs/>
          <w:color w:val="auto"/>
          <w:sz w:val="24"/>
          <w:szCs w:val="18"/>
          <w:highlight w:val="none"/>
          <w:u w:val="single"/>
          <w:lang w:val="en-US" w:eastAsia="zh-CN" w:bidi="ar-SA"/>
        </w:rPr>
      </w:pPr>
      <w:r>
        <w:rPr>
          <w:rFonts w:hint="default" w:cstheme="minorBidi"/>
          <w:b/>
          <w:bCs/>
          <w:color w:val="auto"/>
          <w:sz w:val="24"/>
          <w:szCs w:val="18"/>
          <w:highlight w:val="none"/>
          <w:u w:val="single"/>
          <w:lang w:val="en-US" w:eastAsia="zh-CN" w:bidi="ar-SA"/>
        </w:rPr>
        <w:t>第8包：明光局最高限价28.3万元。</w:t>
      </w:r>
    </w:p>
    <w:p w14:paraId="78FF86D0">
      <w:pPr>
        <w:spacing w:line="360" w:lineRule="auto"/>
        <w:ind w:firstLine="435"/>
        <w:rPr>
          <w:rFonts w:hint="default" w:asciiTheme="minorEastAsia" w:hAnsiTheme="minorEastAsia" w:eastAsiaTheme="minorEastAsia"/>
          <w:color w:val="auto"/>
          <w:sz w:val="24"/>
          <w:highlight w:val="none"/>
          <w:u w:val="single"/>
          <w:lang w:val="en-US" w:eastAsia="zh-CN"/>
        </w:rPr>
      </w:pPr>
      <w:r>
        <w:rPr>
          <w:rFonts w:hint="eastAsia" w:asciiTheme="minorEastAsia" w:hAnsiTheme="minorEastAsia" w:eastAsiaTheme="minorEastAsia"/>
          <w:color w:val="auto"/>
          <w:sz w:val="24"/>
          <w:highlight w:val="none"/>
        </w:rPr>
        <w:t>5.采购需求：</w:t>
      </w:r>
      <w:r>
        <w:rPr>
          <w:rFonts w:hint="eastAsia" w:ascii="宋体" w:hAnsi="宋体" w:eastAsia="宋体" w:cs="宋体"/>
          <w:bCs/>
          <w:color w:val="auto"/>
          <w:sz w:val="24"/>
          <w:szCs w:val="24"/>
          <w:highlight w:val="none"/>
          <w:lang w:val="en-US" w:eastAsia="zh-CN"/>
        </w:rPr>
        <w:t>2026年省淮河局堤防日常维护项目主要内容为</w:t>
      </w:r>
      <w:r>
        <w:rPr>
          <w:rFonts w:hint="eastAsia" w:ascii="宋体" w:hAnsi="宋体" w:eastAsia="宋体" w:cs="宋体"/>
          <w:b w:val="0"/>
          <w:bCs/>
          <w:color w:val="auto"/>
          <w:sz w:val="24"/>
          <w:szCs w:val="24"/>
          <w:highlight w:val="none"/>
          <w:u w:val="none"/>
          <w:lang w:val="en-US" w:eastAsia="zh-CN"/>
        </w:rPr>
        <w:t>颍上局、颍东局、潘集局、怀远局、蒙城局、五河局、凤台局及明光局</w:t>
      </w:r>
      <w:r>
        <w:rPr>
          <w:rFonts w:hint="eastAsia" w:ascii="宋体" w:hAnsi="宋体" w:eastAsia="宋体" w:cs="宋体"/>
          <w:bCs/>
          <w:color w:val="auto"/>
          <w:sz w:val="24"/>
          <w:szCs w:val="24"/>
          <w:highlight w:val="none"/>
          <w:lang w:val="en-US" w:eastAsia="zh-CN"/>
        </w:rPr>
        <w:t>等8个单位</w:t>
      </w:r>
      <w:r>
        <w:rPr>
          <w:rFonts w:hint="eastAsia" w:cs="宋体"/>
          <w:bCs/>
          <w:color w:val="auto"/>
          <w:sz w:val="24"/>
          <w:szCs w:val="24"/>
          <w:highlight w:val="none"/>
          <w:lang w:val="en-US" w:eastAsia="zh-CN"/>
        </w:rPr>
        <w:t>水利工程</w:t>
      </w:r>
      <w:r>
        <w:rPr>
          <w:rFonts w:hint="eastAsia" w:ascii="宋体" w:hAnsi="宋体" w:eastAsia="宋体" w:cs="宋体"/>
          <w:bCs/>
          <w:color w:val="auto"/>
          <w:sz w:val="24"/>
          <w:szCs w:val="24"/>
          <w:highlight w:val="none"/>
          <w:lang w:val="en-US" w:eastAsia="zh-CN"/>
        </w:rPr>
        <w:t>日常养护和定期养护、</w:t>
      </w:r>
      <w:r>
        <w:rPr>
          <w:rFonts w:hint="eastAsia" w:ascii="宋体" w:hAnsi="宋体" w:eastAsia="宋体" w:cs="宋体"/>
          <w:b w:val="0"/>
          <w:bCs/>
          <w:color w:val="auto"/>
          <w:sz w:val="24"/>
          <w:szCs w:val="24"/>
          <w:highlight w:val="none"/>
          <w:u w:val="none"/>
          <w:lang w:val="en-US" w:eastAsia="zh-CN"/>
        </w:rPr>
        <w:t>垃圾围闸治理、</w:t>
      </w:r>
      <w:r>
        <w:rPr>
          <w:rFonts w:hint="eastAsia" w:ascii="宋体" w:hAnsi="宋体" w:eastAsia="宋体" w:cs="宋体"/>
          <w:b w:val="0"/>
          <w:bCs/>
          <w:color w:val="auto"/>
          <w:sz w:val="24"/>
          <w:szCs w:val="24"/>
          <w:highlight w:val="none"/>
          <w:u w:val="none"/>
          <w:lang w:val="en-US" w:eastAsia="zh-CN" w:bidi="ar-SA"/>
        </w:rPr>
        <w:t>水闸工程维修及管理设施等维修改造，</w:t>
      </w:r>
      <w:r>
        <w:rPr>
          <w:rFonts w:hint="eastAsia" w:asciiTheme="minorEastAsia" w:hAnsiTheme="minorEastAsia" w:eastAsiaTheme="minorEastAsia"/>
          <w:color w:val="auto"/>
          <w:sz w:val="24"/>
          <w:highlight w:val="none"/>
          <w:lang w:val="en-US" w:eastAsia="zh-CN"/>
        </w:rPr>
        <w:t>具体详见工程量清单。</w:t>
      </w:r>
    </w:p>
    <w:p w14:paraId="266A32D5">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b/>
          <w:bCs/>
          <w:color w:val="auto"/>
          <w:sz w:val="24"/>
          <w:highlight w:val="none"/>
          <w:u w:val="single"/>
        </w:rPr>
      </w:pPr>
      <w:r>
        <w:rPr>
          <w:rFonts w:hint="eastAsia" w:ascii="宋体" w:hAnsi="宋体" w:eastAsia="宋体" w:cs="宋体"/>
          <w:b/>
          <w:bCs/>
          <w:color w:val="auto"/>
          <w:sz w:val="24"/>
          <w:szCs w:val="24"/>
          <w:highlight w:val="none"/>
          <w:lang w:val="en-US" w:eastAsia="zh-CN"/>
        </w:rPr>
        <w:t>本项目为统采分签项目。由安徽省淮河河道管理局作为采购人统一组织采购，成交人成交后</w:t>
      </w:r>
      <w:r>
        <w:rPr>
          <w:rFonts w:hint="eastAsia" w:cs="宋体"/>
          <w:b/>
          <w:bCs/>
          <w:color w:val="auto"/>
          <w:sz w:val="24"/>
          <w:szCs w:val="24"/>
          <w:highlight w:val="none"/>
          <w:lang w:val="en-US" w:eastAsia="zh-CN"/>
        </w:rPr>
        <w:t>分别与各单位</w:t>
      </w:r>
      <w:r>
        <w:rPr>
          <w:rFonts w:hint="eastAsia" w:ascii="宋体" w:hAnsi="宋体" w:eastAsia="宋体" w:cs="宋体"/>
          <w:b/>
          <w:bCs/>
          <w:color w:val="auto"/>
          <w:sz w:val="24"/>
          <w:szCs w:val="24"/>
          <w:highlight w:val="none"/>
          <w:lang w:val="en-US" w:eastAsia="zh-CN"/>
        </w:rPr>
        <w:t>签订合同。</w:t>
      </w:r>
    </w:p>
    <w:p w14:paraId="123055FF">
      <w:pPr>
        <w:spacing w:line="360" w:lineRule="auto"/>
        <w:ind w:firstLine="435"/>
        <w:rPr>
          <w:rFonts w:hint="eastAsia"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6.合同履行期限：</w:t>
      </w: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p w14:paraId="014FA7E1">
      <w:pPr>
        <w:spacing w:line="360" w:lineRule="auto"/>
        <w:ind w:firstLine="435"/>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7.本项目（</w:t>
      </w:r>
      <w:r>
        <w:rPr>
          <w:rFonts w:hint="eastAsia" w:asciiTheme="minorEastAsia" w:hAnsiTheme="minorEastAsia" w:eastAsiaTheme="minorEastAsia"/>
          <w:color w:val="auto"/>
          <w:sz w:val="24"/>
          <w:highlight w:val="none"/>
          <w:lang w:val="en-US" w:eastAsia="zh-CN"/>
        </w:rPr>
        <w:t>否</w:t>
      </w:r>
      <w:r>
        <w:rPr>
          <w:rFonts w:hint="eastAsia" w:asciiTheme="minorEastAsia" w:hAnsiTheme="minorEastAsia" w:eastAsiaTheme="minorEastAsia"/>
          <w:color w:val="auto"/>
          <w:sz w:val="24"/>
          <w:highlight w:val="none"/>
        </w:rPr>
        <w:t>）接受联合体。</w:t>
      </w:r>
    </w:p>
    <w:p w14:paraId="3342F041">
      <w:pPr>
        <w:spacing w:line="360" w:lineRule="auto"/>
        <w:ind w:firstLine="435"/>
        <w:outlineLvl w:val="1"/>
        <w:rPr>
          <w:rFonts w:hint="eastAsia" w:eastAsia="宋体"/>
          <w:b/>
          <w:bCs/>
          <w:color w:val="auto"/>
          <w:sz w:val="24"/>
          <w:szCs w:val="18"/>
          <w:highlight w:val="none"/>
          <w:lang w:val="en-US" w:eastAsia="zh-CN"/>
        </w:rPr>
      </w:pPr>
      <w:bookmarkStart w:id="5" w:name="_Toc27595"/>
      <w:r>
        <w:rPr>
          <w:rFonts w:hint="eastAsia"/>
          <w:b/>
          <w:bCs/>
          <w:color w:val="auto"/>
          <w:sz w:val="24"/>
          <w:szCs w:val="18"/>
          <w:highlight w:val="none"/>
        </w:rPr>
        <w:t>二</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申请人的</w:t>
      </w:r>
      <w:r>
        <w:rPr>
          <w:rFonts w:hint="eastAsia"/>
          <w:b/>
          <w:bCs/>
          <w:color w:val="auto"/>
          <w:sz w:val="24"/>
          <w:szCs w:val="18"/>
          <w:highlight w:val="none"/>
        </w:rPr>
        <w:t>资格</w:t>
      </w:r>
      <w:bookmarkEnd w:id="4"/>
      <w:r>
        <w:rPr>
          <w:rFonts w:hint="eastAsia"/>
          <w:b/>
          <w:bCs/>
          <w:color w:val="auto"/>
          <w:sz w:val="24"/>
          <w:szCs w:val="18"/>
          <w:highlight w:val="none"/>
          <w:lang w:val="en-US" w:eastAsia="zh-CN"/>
        </w:rPr>
        <w:t>要求</w:t>
      </w:r>
      <w:bookmarkEnd w:id="5"/>
    </w:p>
    <w:p w14:paraId="152F0B41">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bookmarkStart w:id="6" w:name="_Toc4065"/>
      <w:r>
        <w:rPr>
          <w:rFonts w:hint="eastAsia" w:asciiTheme="minorEastAsia" w:hAnsiTheme="minorEastAsia" w:eastAsiaTheme="minorEastAsia"/>
          <w:color w:val="auto"/>
          <w:sz w:val="24"/>
          <w:highlight w:val="none"/>
          <w:lang w:val="en-US" w:eastAsia="zh-CN"/>
        </w:rPr>
        <w:t>1.满足《中华人民共和国政府采购法》第二十二条规定；</w:t>
      </w:r>
    </w:p>
    <w:p w14:paraId="307F2E8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2.落实政府采购政策需满足的资格要求：</w:t>
      </w:r>
    </w:p>
    <w:p w14:paraId="5C1B2BE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2.1中小企业政策</w:t>
      </w:r>
    </w:p>
    <w:p w14:paraId="3C419065">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2.1.1□本项目不专门面向中小企业预留采购份额。</w:t>
      </w:r>
    </w:p>
    <w:p w14:paraId="02E4F42B">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2.1.2☑本项目专门面向</w:t>
      </w:r>
      <w:r>
        <w:rPr>
          <w:rFonts w:hint="eastAsia" w:asciiTheme="minorEastAsia" w:hAnsiTheme="minorEastAsia" w:eastAsiaTheme="minorEastAsia"/>
          <w:color w:val="auto"/>
          <w:sz w:val="24"/>
          <w:highlight w:val="none"/>
          <w:u w:val="single"/>
          <w:lang w:val="en-US" w:eastAsia="zh-CN"/>
        </w:rPr>
        <w:t xml:space="preserve"> 中小企业 </w:t>
      </w:r>
      <w:r>
        <w:rPr>
          <w:rFonts w:hint="eastAsia" w:asciiTheme="minorEastAsia" w:hAnsiTheme="minorEastAsia" w:eastAsiaTheme="minorEastAsia"/>
          <w:color w:val="auto"/>
          <w:sz w:val="24"/>
          <w:highlight w:val="none"/>
          <w:lang w:val="en-US" w:eastAsia="zh-CN"/>
        </w:rPr>
        <w:t>采购。</w:t>
      </w:r>
    </w:p>
    <w:p w14:paraId="55B8E913">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2.1.3□本项目预留部分采购项目预算专门面向中小企业采购。对于预留份额，提供的货物由符合政策要求的中小企业制造。预留份额通过以下措施进行：/。</w:t>
      </w:r>
    </w:p>
    <w:p w14:paraId="11532198">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default" w:asciiTheme="minorEastAsia" w:hAnsiTheme="minorEastAsia" w:eastAsiaTheme="minorEastAsia"/>
          <w:color w:val="auto"/>
          <w:sz w:val="24"/>
          <w:highlight w:val="none"/>
          <w:lang w:val="en-US" w:eastAsia="zh-CN"/>
        </w:rPr>
        <w:t>2.2</w:t>
      </w:r>
      <w:r>
        <w:rPr>
          <w:rFonts w:hint="eastAsia" w:asciiTheme="minorEastAsia" w:hAnsiTheme="minorEastAsia" w:eastAsiaTheme="minorEastAsia"/>
          <w:color w:val="auto"/>
          <w:sz w:val="24"/>
          <w:highlight w:val="none"/>
          <w:lang w:val="en-US" w:eastAsia="zh-CN"/>
        </w:rPr>
        <w:t>其它落实政府采购政策的资格要求（如有）：/。</w:t>
      </w:r>
    </w:p>
    <w:p w14:paraId="77312A7E">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3.本项目的特定资格要求：</w:t>
      </w:r>
    </w:p>
    <w:p w14:paraId="16E1270D">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（1）具有有效的水利水电工程施工总承包三级及以上资质；</w:t>
      </w:r>
    </w:p>
    <w:p w14:paraId="699398E4">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（2）具有有效的安全生产许可证；</w:t>
      </w:r>
    </w:p>
    <w:p w14:paraId="46DABB32">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（3）项目经理具有有效的水利水电工程专业二级及以上建造师注册证书，且持有水行政主管部门颁发的B类安全生产考核合格证书。</w:t>
      </w:r>
    </w:p>
    <w:p w14:paraId="75EBD271">
      <w:pPr>
        <w:spacing w:line="360" w:lineRule="auto"/>
        <w:ind w:firstLine="435"/>
        <w:outlineLvl w:val="1"/>
        <w:rPr>
          <w:rFonts w:hint="eastAsia"/>
          <w:b/>
          <w:bCs/>
          <w:color w:val="auto"/>
          <w:sz w:val="24"/>
          <w:highlight w:val="none"/>
        </w:rPr>
      </w:pPr>
      <w:bookmarkStart w:id="7" w:name="_Toc2855"/>
      <w:r>
        <w:rPr>
          <w:rFonts w:hint="eastAsia"/>
          <w:b/>
          <w:bCs/>
          <w:color w:val="auto"/>
          <w:sz w:val="24"/>
          <w:highlight w:val="none"/>
        </w:rPr>
        <w:t>三、</w:t>
      </w:r>
      <w:bookmarkEnd w:id="6"/>
      <w:r>
        <w:rPr>
          <w:rFonts w:hint="eastAsia"/>
          <w:b/>
          <w:bCs/>
          <w:color w:val="auto"/>
          <w:sz w:val="24"/>
          <w:highlight w:val="none"/>
        </w:rPr>
        <w:t>获取采购文件</w:t>
      </w:r>
      <w:bookmarkEnd w:id="7"/>
    </w:p>
    <w:p w14:paraId="4FE82712">
      <w:pPr>
        <w:adjustRightInd w:val="0"/>
        <w:snapToGrid w:val="0"/>
        <w:spacing w:line="560" w:lineRule="exact"/>
        <w:ind w:firstLine="480" w:firstLineChars="200"/>
        <w:jc w:val="left"/>
        <w:rPr>
          <w:rFonts w:hint="eastAsia" w:cs="宋体"/>
          <w:color w:val="auto"/>
          <w:sz w:val="24"/>
          <w:szCs w:val="24"/>
          <w:highlight w:val="none"/>
          <w:lang w:eastAsia="zh-CN"/>
        </w:rPr>
      </w:pPr>
      <w:bookmarkStart w:id="8" w:name="_Toc16910"/>
      <w:bookmarkStart w:id="9" w:name="_Toc1322"/>
      <w:r>
        <w:rPr>
          <w:rFonts w:hint="eastAsia" w:ascii="宋体" w:hAnsi="宋体" w:eastAsia="宋体" w:cs="宋体"/>
          <w:color w:val="auto"/>
          <w:sz w:val="24"/>
          <w:szCs w:val="24"/>
          <w:highlight w:val="none"/>
        </w:rPr>
        <w:t>时间</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cs="宋体"/>
          <w:b/>
          <w:bCs/>
          <w:color w:val="000000" w:themeColor="text1"/>
          <w:sz w:val="24"/>
          <w:szCs w:val="24"/>
          <w:highlight w:val="none"/>
          <w:lang w:eastAsia="zh-CN"/>
          <w14:textFill>
            <w14:solidFill>
              <w14:schemeClr w14:val="tx1"/>
            </w14:solidFill>
          </w14:textFill>
        </w:rPr>
        <w:t>（</w:t>
      </w:r>
      <w:r>
        <w:rPr>
          <w:rFonts w:hint="eastAsia" w:cs="宋体"/>
          <w:b/>
          <w:bCs/>
          <w:color w:val="000000" w:themeColor="text1"/>
          <w:sz w:val="24"/>
          <w:szCs w:val="24"/>
          <w:highlight w:val="none"/>
          <w:lang w:val="en-US" w:eastAsia="zh-CN"/>
          <w14:textFill>
            <w14:solidFill>
              <w14:schemeClr w14:val="tx1"/>
            </w14:solidFill>
          </w14:textFill>
        </w:rPr>
        <w:t>1）</w:t>
      </w:r>
      <w:r>
        <w:rPr>
          <w:rFonts w:hint="eastAsia" w:cs="宋体"/>
          <w:b/>
          <w:bCs/>
          <w:color w:val="FF0000"/>
          <w:sz w:val="24"/>
          <w:szCs w:val="24"/>
          <w:highlight w:val="none"/>
          <w:lang w:val="en-US" w:eastAsia="zh-CN"/>
        </w:rPr>
        <w:t>第1包-第4包：</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b/>
          <w:bCs/>
          <w:color w:val="FF0000"/>
          <w:sz w:val="24"/>
          <w:szCs w:val="24"/>
          <w:highlight w:val="none"/>
          <w:u w:val="single"/>
          <w:lang w:val="en-US" w:eastAsia="zh-CN"/>
        </w:rPr>
        <w:t>1</w:t>
      </w:r>
      <w:r>
        <w:rPr>
          <w:rFonts w:hint="eastAsia" w:ascii="宋体" w:hAnsi="宋体" w:eastAsia="宋体" w:cs="宋体"/>
          <w:b/>
          <w:bCs/>
          <w:color w:val="FF0000"/>
          <w:sz w:val="24"/>
          <w:szCs w:val="24"/>
          <w:highlight w:val="none"/>
          <w:u w:val="single"/>
        </w:rPr>
        <w:t>月</w:t>
      </w:r>
      <w:r>
        <w:rPr>
          <w:rFonts w:hint="eastAsia" w:cs="宋体"/>
          <w:b/>
          <w:bCs/>
          <w:color w:val="FF0000"/>
          <w:sz w:val="24"/>
          <w:szCs w:val="24"/>
          <w:highlight w:val="none"/>
          <w:u w:val="single"/>
          <w:lang w:val="en-US" w:eastAsia="zh-CN"/>
        </w:rPr>
        <w:t>15</w:t>
      </w:r>
      <w:r>
        <w:rPr>
          <w:rFonts w:hint="eastAsia" w:ascii="宋体" w:hAnsi="宋体" w:eastAsia="宋体" w:cs="宋体"/>
          <w:b/>
          <w:bCs/>
          <w:color w:val="FF0000"/>
          <w:sz w:val="24"/>
          <w:szCs w:val="24"/>
          <w:highlight w:val="none"/>
          <w:u w:val="single"/>
        </w:rPr>
        <w:t>日至202</w:t>
      </w:r>
      <w:r>
        <w:rPr>
          <w:rFonts w:hint="eastAsia" w:ascii="宋体" w:hAnsi="宋体" w:eastAsia="宋体" w:cs="宋体"/>
          <w:b/>
          <w:bCs/>
          <w:color w:val="FF0000"/>
          <w:sz w:val="24"/>
          <w:szCs w:val="24"/>
          <w:highlight w:val="none"/>
          <w:u w:val="single"/>
          <w:lang w:val="en-US" w:eastAsia="zh-CN"/>
        </w:rPr>
        <w:t>6</w:t>
      </w:r>
      <w:r>
        <w:rPr>
          <w:rFonts w:hint="eastAsia" w:ascii="宋体" w:hAnsi="宋体" w:eastAsia="宋体" w:cs="宋体"/>
          <w:b/>
          <w:bCs/>
          <w:color w:val="FF0000"/>
          <w:sz w:val="24"/>
          <w:szCs w:val="24"/>
          <w:highlight w:val="none"/>
          <w:u w:val="single"/>
        </w:rPr>
        <w:t>年</w:t>
      </w:r>
      <w:r>
        <w:rPr>
          <w:rFonts w:hint="eastAsia" w:cs="宋体"/>
          <w:b/>
          <w:bCs/>
          <w:color w:val="FF0000"/>
          <w:sz w:val="24"/>
          <w:szCs w:val="24"/>
          <w:highlight w:val="none"/>
          <w:u w:val="single"/>
          <w:lang w:val="en-US" w:eastAsia="zh-CN"/>
        </w:rPr>
        <w:t>1</w:t>
      </w:r>
      <w:r>
        <w:rPr>
          <w:rFonts w:hint="eastAsia" w:ascii="宋体" w:hAnsi="宋体" w:eastAsia="宋体" w:cs="宋体"/>
          <w:b/>
          <w:bCs/>
          <w:color w:val="FF0000"/>
          <w:sz w:val="24"/>
          <w:szCs w:val="24"/>
          <w:highlight w:val="none"/>
          <w:u w:val="single"/>
        </w:rPr>
        <w:t>月</w:t>
      </w:r>
      <w:r>
        <w:rPr>
          <w:rFonts w:hint="eastAsia" w:cs="宋体"/>
          <w:b/>
          <w:bCs/>
          <w:color w:val="FF0000"/>
          <w:sz w:val="24"/>
          <w:szCs w:val="24"/>
          <w:highlight w:val="none"/>
          <w:u w:val="single"/>
          <w:lang w:val="en-US" w:eastAsia="zh-CN"/>
        </w:rPr>
        <w:t>27</w:t>
      </w:r>
      <w:r>
        <w:rPr>
          <w:rFonts w:hint="eastAsia" w:ascii="宋体" w:hAnsi="宋体" w:eastAsia="宋体" w:cs="宋体"/>
          <w:b/>
          <w:bCs/>
          <w:color w:val="FF0000"/>
          <w:sz w:val="24"/>
          <w:szCs w:val="24"/>
          <w:highlight w:val="none"/>
          <w:u w:val="single"/>
        </w:rPr>
        <w:t>日</w:t>
      </w:r>
      <w:r>
        <w:rPr>
          <w:rFonts w:hint="eastAsia" w:ascii="宋体" w:hAnsi="宋体" w:eastAsia="宋体" w:cs="宋体"/>
          <w:color w:val="auto"/>
          <w:sz w:val="24"/>
          <w:szCs w:val="24"/>
          <w:highlight w:val="none"/>
        </w:rPr>
        <w:t>，每天上午00:00至12:00，下午12:00至23:59（北京时间，法定节假日除外）</w:t>
      </w:r>
      <w:r>
        <w:rPr>
          <w:rFonts w:hint="eastAsia" w:cs="宋体"/>
          <w:color w:val="auto"/>
          <w:sz w:val="24"/>
          <w:szCs w:val="24"/>
          <w:highlight w:val="none"/>
          <w:lang w:eastAsia="zh-CN"/>
        </w:rPr>
        <w:t>；</w:t>
      </w:r>
    </w:p>
    <w:p w14:paraId="5CB53C96">
      <w:pPr>
        <w:adjustRightInd w:val="0"/>
        <w:snapToGrid w:val="0"/>
        <w:spacing w:line="560" w:lineRule="exact"/>
        <w:ind w:firstLine="482" w:firstLineChars="200"/>
        <w:jc w:val="left"/>
        <w:rPr>
          <w:rFonts w:hint="eastAsia"/>
          <w:lang w:eastAsia="zh-CN"/>
        </w:rPr>
      </w:pPr>
      <w:r>
        <w:rPr>
          <w:rFonts w:hint="eastAsia" w:cs="宋体"/>
          <w:b/>
          <w:bCs/>
          <w:color w:val="000000" w:themeColor="text1"/>
          <w:sz w:val="24"/>
          <w:szCs w:val="24"/>
          <w:highlight w:val="none"/>
          <w:lang w:eastAsia="zh-CN"/>
          <w14:textFill>
            <w14:solidFill>
              <w14:schemeClr w14:val="tx1"/>
            </w14:solidFill>
          </w14:textFill>
        </w:rPr>
        <w:t>（</w:t>
      </w:r>
      <w:r>
        <w:rPr>
          <w:rFonts w:hint="eastAsia" w:cs="宋体"/>
          <w:b/>
          <w:bCs/>
          <w:color w:val="000000" w:themeColor="text1"/>
          <w:sz w:val="24"/>
          <w:szCs w:val="24"/>
          <w:highlight w:val="none"/>
          <w:lang w:val="en-US" w:eastAsia="zh-CN"/>
          <w14:textFill>
            <w14:solidFill>
              <w14:schemeClr w14:val="tx1"/>
            </w14:solidFill>
          </w14:textFill>
        </w:rPr>
        <w:t>2）</w:t>
      </w:r>
      <w:r>
        <w:rPr>
          <w:rFonts w:hint="eastAsia" w:cs="宋体"/>
          <w:b/>
          <w:bCs/>
          <w:color w:val="FF0000"/>
          <w:sz w:val="24"/>
          <w:szCs w:val="24"/>
          <w:highlight w:val="none"/>
          <w:lang w:val="en-US" w:eastAsia="zh-CN"/>
        </w:rPr>
        <w:t>第5包-第8包：</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b/>
          <w:bCs/>
          <w:color w:val="FF0000"/>
          <w:sz w:val="24"/>
          <w:szCs w:val="24"/>
          <w:highlight w:val="none"/>
          <w:u w:val="single"/>
          <w:lang w:val="en-US" w:eastAsia="zh-CN"/>
        </w:rPr>
        <w:t>1</w:t>
      </w:r>
      <w:r>
        <w:rPr>
          <w:rFonts w:hint="eastAsia" w:ascii="宋体" w:hAnsi="宋体" w:eastAsia="宋体" w:cs="宋体"/>
          <w:b/>
          <w:bCs/>
          <w:color w:val="FF0000"/>
          <w:sz w:val="24"/>
          <w:szCs w:val="24"/>
          <w:highlight w:val="none"/>
          <w:u w:val="single"/>
        </w:rPr>
        <w:t>月</w:t>
      </w:r>
      <w:r>
        <w:rPr>
          <w:rFonts w:hint="eastAsia" w:cs="宋体"/>
          <w:b/>
          <w:bCs/>
          <w:color w:val="FF0000"/>
          <w:sz w:val="24"/>
          <w:szCs w:val="24"/>
          <w:highlight w:val="none"/>
          <w:u w:val="single"/>
          <w:lang w:val="en-US" w:eastAsia="zh-CN"/>
        </w:rPr>
        <w:t>15</w:t>
      </w:r>
      <w:r>
        <w:rPr>
          <w:rFonts w:hint="eastAsia" w:ascii="宋体" w:hAnsi="宋体" w:eastAsia="宋体" w:cs="宋体"/>
          <w:b/>
          <w:bCs/>
          <w:color w:val="FF0000"/>
          <w:sz w:val="24"/>
          <w:szCs w:val="24"/>
          <w:highlight w:val="none"/>
          <w:u w:val="single"/>
        </w:rPr>
        <w:t>日至202</w:t>
      </w:r>
      <w:r>
        <w:rPr>
          <w:rFonts w:hint="eastAsia" w:ascii="宋体" w:hAnsi="宋体" w:eastAsia="宋体" w:cs="宋体"/>
          <w:b/>
          <w:bCs/>
          <w:color w:val="FF0000"/>
          <w:sz w:val="24"/>
          <w:szCs w:val="24"/>
          <w:highlight w:val="none"/>
          <w:u w:val="single"/>
          <w:lang w:val="en-US" w:eastAsia="zh-CN"/>
        </w:rPr>
        <w:t>6</w:t>
      </w:r>
      <w:r>
        <w:rPr>
          <w:rFonts w:hint="eastAsia" w:ascii="宋体" w:hAnsi="宋体" w:eastAsia="宋体" w:cs="宋体"/>
          <w:b/>
          <w:bCs/>
          <w:color w:val="FF0000"/>
          <w:sz w:val="24"/>
          <w:szCs w:val="24"/>
          <w:highlight w:val="none"/>
          <w:u w:val="single"/>
        </w:rPr>
        <w:t>年</w:t>
      </w:r>
      <w:r>
        <w:rPr>
          <w:rFonts w:hint="eastAsia" w:cs="宋体"/>
          <w:b/>
          <w:bCs/>
          <w:color w:val="FF0000"/>
          <w:sz w:val="24"/>
          <w:szCs w:val="24"/>
          <w:highlight w:val="none"/>
          <w:u w:val="single"/>
          <w:lang w:val="en-US" w:eastAsia="zh-CN"/>
        </w:rPr>
        <w:t>1</w:t>
      </w:r>
      <w:r>
        <w:rPr>
          <w:rFonts w:hint="eastAsia" w:ascii="宋体" w:hAnsi="宋体" w:eastAsia="宋体" w:cs="宋体"/>
          <w:b/>
          <w:bCs/>
          <w:color w:val="FF0000"/>
          <w:sz w:val="24"/>
          <w:szCs w:val="24"/>
          <w:highlight w:val="none"/>
          <w:u w:val="single"/>
        </w:rPr>
        <w:t>月</w:t>
      </w:r>
      <w:r>
        <w:rPr>
          <w:rFonts w:hint="eastAsia" w:cs="宋体"/>
          <w:b/>
          <w:bCs/>
          <w:color w:val="FF0000"/>
          <w:sz w:val="24"/>
          <w:szCs w:val="24"/>
          <w:highlight w:val="none"/>
          <w:u w:val="single"/>
          <w:lang w:val="en-US" w:eastAsia="zh-CN"/>
        </w:rPr>
        <w:t>28</w:t>
      </w:r>
      <w:r>
        <w:rPr>
          <w:rFonts w:hint="eastAsia" w:ascii="宋体" w:hAnsi="宋体" w:eastAsia="宋体" w:cs="宋体"/>
          <w:b/>
          <w:bCs/>
          <w:color w:val="FF0000"/>
          <w:sz w:val="24"/>
          <w:szCs w:val="24"/>
          <w:highlight w:val="none"/>
          <w:u w:val="single"/>
        </w:rPr>
        <w:t>日</w:t>
      </w:r>
      <w:r>
        <w:rPr>
          <w:rFonts w:hint="eastAsia" w:ascii="宋体" w:hAnsi="宋体" w:eastAsia="宋体" w:cs="宋体"/>
          <w:color w:val="auto"/>
          <w:sz w:val="24"/>
          <w:szCs w:val="24"/>
          <w:highlight w:val="none"/>
        </w:rPr>
        <w:t>，每天上午00:00至12:00，下午12:00至23:59（北京时间，法定节假日除外）</w:t>
      </w:r>
      <w:r>
        <w:rPr>
          <w:rFonts w:hint="eastAsia" w:cs="宋体"/>
          <w:color w:val="auto"/>
          <w:sz w:val="24"/>
          <w:szCs w:val="24"/>
          <w:highlight w:val="none"/>
          <w:lang w:eastAsia="zh-CN"/>
        </w:rPr>
        <w:t>；</w:t>
      </w:r>
    </w:p>
    <w:p w14:paraId="3199B193">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地点：“徽采云”电子交易系统 </w:t>
      </w:r>
    </w:p>
    <w:p w14:paraId="2DD49FEF">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方式：供应商登录“徽采云”电子交易系统在线获取采购文件</w:t>
      </w:r>
    </w:p>
    <w:p w14:paraId="365BC846">
      <w:pPr>
        <w:adjustRightInd w:val="0"/>
        <w:snapToGrid w:val="0"/>
        <w:spacing w:line="560" w:lineRule="exact"/>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bookmarkEnd w:id="8"/>
    <w:bookmarkEnd w:id="9"/>
    <w:p w14:paraId="6DFB14EB">
      <w:pPr>
        <w:adjustRightInd w:val="0"/>
        <w:snapToGrid w:val="0"/>
        <w:spacing w:line="560" w:lineRule="exact"/>
        <w:jc w:val="left"/>
        <w:rPr>
          <w:rFonts w:ascii="宋体" w:hAnsi="宋体" w:eastAsia="宋体" w:cs="宋体"/>
          <w:b/>
          <w:bCs/>
          <w:color w:val="auto"/>
          <w:sz w:val="24"/>
          <w:szCs w:val="24"/>
          <w:highlight w:val="none"/>
        </w:rPr>
      </w:pPr>
      <w:bookmarkStart w:id="10" w:name="_Toc35393795"/>
      <w:bookmarkStart w:id="11" w:name="_Toc35393626"/>
      <w:bookmarkStart w:id="12" w:name="_Toc22198"/>
      <w:bookmarkStart w:id="13" w:name="_Toc7722"/>
      <w:r>
        <w:rPr>
          <w:rFonts w:hint="eastAsia" w:ascii="宋体" w:hAnsi="宋体" w:eastAsia="宋体" w:cs="宋体"/>
          <w:b/>
          <w:bCs/>
          <w:color w:val="auto"/>
          <w:sz w:val="24"/>
          <w:szCs w:val="24"/>
          <w:highlight w:val="none"/>
        </w:rPr>
        <w:t>四、响应文件提交</w:t>
      </w:r>
    </w:p>
    <w:p w14:paraId="049850F7">
      <w:pPr>
        <w:adjustRightInd w:val="0"/>
        <w:snapToGrid w:val="0"/>
        <w:spacing w:line="560" w:lineRule="exact"/>
        <w:ind w:firstLine="480" w:firstLineChars="200"/>
        <w:jc w:val="left"/>
        <w:rPr>
          <w:rFonts w:hint="eastAsia" w:ascii="宋体" w:hAnsi="宋体" w:eastAsia="宋体" w:cs="宋体"/>
          <w:color w:val="auto"/>
          <w:sz w:val="24"/>
          <w:szCs w:val="24"/>
          <w:highlight w:val="none"/>
          <w:u w:val="single"/>
        </w:rPr>
      </w:pPr>
      <w:bookmarkStart w:id="14" w:name="_Toc28359093"/>
      <w:bookmarkStart w:id="15" w:name="_Toc35393633"/>
      <w:bookmarkStart w:id="16" w:name="_Toc32658"/>
      <w:bookmarkStart w:id="17" w:name="_Toc28359016"/>
      <w:bookmarkStart w:id="18" w:name="_Toc35393802"/>
      <w:r>
        <w:rPr>
          <w:rFonts w:hint="eastAsia" w:ascii="宋体" w:hAnsi="宋体" w:eastAsia="宋体" w:cs="宋体"/>
          <w:color w:val="auto"/>
          <w:sz w:val="24"/>
          <w:szCs w:val="24"/>
          <w:highlight w:val="none"/>
        </w:rPr>
        <w:t>截止时间：</w:t>
      </w:r>
      <w:r>
        <w:rPr>
          <w:rFonts w:hint="eastAsia" w:cs="宋体"/>
          <w:b/>
          <w:bCs/>
          <w:color w:val="000000" w:themeColor="text1"/>
          <w:sz w:val="24"/>
          <w:szCs w:val="24"/>
          <w:highlight w:val="none"/>
          <w:lang w:eastAsia="zh-CN"/>
          <w14:textFill>
            <w14:solidFill>
              <w14:schemeClr w14:val="tx1"/>
            </w14:solidFill>
          </w14:textFill>
        </w:rPr>
        <w:t>（</w:t>
      </w:r>
      <w:r>
        <w:rPr>
          <w:rFonts w:hint="eastAsia" w:cs="宋体"/>
          <w:b/>
          <w:bCs/>
          <w:color w:val="000000" w:themeColor="text1"/>
          <w:sz w:val="24"/>
          <w:szCs w:val="24"/>
          <w:highlight w:val="none"/>
          <w:lang w:val="en-US" w:eastAsia="zh-CN"/>
          <w14:textFill>
            <w14:solidFill>
              <w14:schemeClr w14:val="tx1"/>
            </w14:solidFill>
          </w14:textFill>
        </w:rPr>
        <w:t>1）</w:t>
      </w:r>
      <w:r>
        <w:rPr>
          <w:rFonts w:hint="eastAsia" w:cs="宋体"/>
          <w:b/>
          <w:bCs/>
          <w:color w:val="FF0000"/>
          <w:sz w:val="24"/>
          <w:szCs w:val="24"/>
          <w:highlight w:val="none"/>
          <w:lang w:val="en-US" w:eastAsia="zh-CN"/>
        </w:rPr>
        <w:t>第1包-第4包：</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b/>
          <w:bCs/>
          <w:color w:val="FF0000"/>
          <w:sz w:val="24"/>
          <w:szCs w:val="24"/>
          <w:highlight w:val="none"/>
          <w:u w:val="single"/>
          <w:lang w:val="en-US" w:eastAsia="zh-CN"/>
        </w:rPr>
        <w:t>1</w:t>
      </w:r>
      <w:r>
        <w:rPr>
          <w:rFonts w:hint="eastAsia" w:ascii="宋体" w:hAnsi="宋体" w:eastAsia="宋体" w:cs="宋体"/>
          <w:b/>
          <w:bCs/>
          <w:color w:val="FF0000"/>
          <w:sz w:val="24"/>
          <w:szCs w:val="24"/>
          <w:highlight w:val="none"/>
          <w:u w:val="single"/>
        </w:rPr>
        <w:t>月</w:t>
      </w:r>
      <w:r>
        <w:rPr>
          <w:rFonts w:hint="eastAsia" w:cs="宋体"/>
          <w:b/>
          <w:bCs/>
          <w:color w:val="FF0000"/>
          <w:sz w:val="24"/>
          <w:szCs w:val="24"/>
          <w:highlight w:val="none"/>
          <w:u w:val="single"/>
          <w:lang w:val="en-US" w:eastAsia="zh-CN"/>
        </w:rPr>
        <w:t>27</w:t>
      </w:r>
      <w:r>
        <w:rPr>
          <w:rFonts w:hint="eastAsia" w:ascii="宋体" w:hAnsi="宋体" w:eastAsia="宋体" w:cs="宋体"/>
          <w:b/>
          <w:bCs/>
          <w:color w:val="FF0000"/>
          <w:sz w:val="24"/>
          <w:szCs w:val="24"/>
          <w:highlight w:val="none"/>
          <w:u w:val="single"/>
        </w:rPr>
        <w:t>日</w:t>
      </w:r>
      <w:r>
        <w:rPr>
          <w:rFonts w:hint="eastAsia" w:cs="宋体"/>
          <w:b/>
          <w:bCs/>
          <w:color w:val="FF0000"/>
          <w:sz w:val="24"/>
          <w:szCs w:val="24"/>
          <w:highlight w:val="none"/>
          <w:u w:val="single"/>
          <w:lang w:val="en-US" w:eastAsia="zh-CN"/>
        </w:rPr>
        <w:t>9</w:t>
      </w:r>
      <w:r>
        <w:rPr>
          <w:rFonts w:hint="eastAsia" w:ascii="宋体" w:hAnsi="宋体" w:eastAsia="宋体" w:cs="宋体"/>
          <w:b/>
          <w:bCs/>
          <w:color w:val="FF0000"/>
          <w:sz w:val="24"/>
          <w:szCs w:val="24"/>
          <w:highlight w:val="none"/>
          <w:u w:val="single"/>
        </w:rPr>
        <w:t>点</w:t>
      </w:r>
      <w:r>
        <w:rPr>
          <w:rFonts w:hint="eastAsia" w:cs="宋体"/>
          <w:b/>
          <w:bCs/>
          <w:color w:val="FF0000"/>
          <w:sz w:val="24"/>
          <w:szCs w:val="24"/>
          <w:highlight w:val="none"/>
          <w:u w:val="single"/>
          <w:lang w:val="en-US" w:eastAsia="zh-CN"/>
        </w:rPr>
        <w:t>30</w:t>
      </w:r>
      <w:r>
        <w:rPr>
          <w:rFonts w:hint="eastAsia" w:ascii="宋体" w:hAnsi="宋体" w:eastAsia="宋体" w:cs="宋体"/>
          <w:b/>
          <w:bCs/>
          <w:color w:val="FF0000"/>
          <w:sz w:val="24"/>
          <w:szCs w:val="24"/>
          <w:highlight w:val="none"/>
          <w:u w:val="single"/>
        </w:rPr>
        <w:t>分</w:t>
      </w:r>
      <w:r>
        <w:rPr>
          <w:rFonts w:hint="eastAsia" w:ascii="宋体" w:hAnsi="宋体" w:eastAsia="宋体" w:cs="宋体"/>
          <w:color w:val="auto"/>
          <w:sz w:val="24"/>
          <w:szCs w:val="24"/>
          <w:highlight w:val="none"/>
          <w:u w:val="single"/>
        </w:rPr>
        <w:t>（北京时间）</w:t>
      </w:r>
    </w:p>
    <w:p w14:paraId="4B71C206">
      <w:pPr>
        <w:adjustRightInd w:val="0"/>
        <w:snapToGrid w:val="0"/>
        <w:spacing w:line="560" w:lineRule="exact"/>
        <w:ind w:firstLine="482" w:firstLineChars="200"/>
        <w:jc w:val="left"/>
        <w:rPr>
          <w:rFonts w:hint="eastAsia" w:cs="宋体"/>
          <w:b/>
          <w:bCs/>
          <w:color w:val="FF0000"/>
          <w:sz w:val="24"/>
          <w:szCs w:val="24"/>
          <w:highlight w:val="none"/>
          <w:lang w:val="en-US" w:eastAsia="zh-CN"/>
        </w:rPr>
      </w:pPr>
      <w:r>
        <w:rPr>
          <w:rFonts w:hint="eastAsia" w:cs="宋体"/>
          <w:b/>
          <w:bCs/>
          <w:color w:val="000000" w:themeColor="text1"/>
          <w:sz w:val="24"/>
          <w:szCs w:val="24"/>
          <w:highlight w:val="none"/>
          <w:lang w:eastAsia="zh-CN"/>
          <w14:textFill>
            <w14:solidFill>
              <w14:schemeClr w14:val="tx1"/>
            </w14:solidFill>
          </w14:textFill>
        </w:rPr>
        <w:t>（</w:t>
      </w:r>
      <w:r>
        <w:rPr>
          <w:rFonts w:hint="eastAsia" w:cs="宋体"/>
          <w:b/>
          <w:bCs/>
          <w:color w:val="000000" w:themeColor="text1"/>
          <w:sz w:val="24"/>
          <w:szCs w:val="24"/>
          <w:highlight w:val="none"/>
          <w:lang w:val="en-US" w:eastAsia="zh-CN"/>
          <w14:textFill>
            <w14:solidFill>
              <w14:schemeClr w14:val="tx1"/>
            </w14:solidFill>
          </w14:textFill>
        </w:rPr>
        <w:t>2）</w:t>
      </w:r>
      <w:r>
        <w:rPr>
          <w:rFonts w:hint="eastAsia" w:cs="宋体"/>
          <w:b/>
          <w:bCs/>
          <w:color w:val="FF0000"/>
          <w:sz w:val="24"/>
          <w:szCs w:val="24"/>
          <w:highlight w:val="none"/>
          <w:lang w:val="en-US" w:eastAsia="zh-CN"/>
        </w:rPr>
        <w:t>第5包-第8包：</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b/>
          <w:bCs/>
          <w:color w:val="FF0000"/>
          <w:sz w:val="24"/>
          <w:szCs w:val="24"/>
          <w:highlight w:val="none"/>
          <w:u w:val="single"/>
          <w:lang w:val="en-US" w:eastAsia="zh-CN"/>
        </w:rPr>
        <w:t>1</w:t>
      </w:r>
      <w:r>
        <w:rPr>
          <w:rFonts w:hint="eastAsia" w:ascii="宋体" w:hAnsi="宋体" w:eastAsia="宋体" w:cs="宋体"/>
          <w:b/>
          <w:bCs/>
          <w:color w:val="FF0000"/>
          <w:sz w:val="24"/>
          <w:szCs w:val="24"/>
          <w:highlight w:val="none"/>
          <w:u w:val="single"/>
        </w:rPr>
        <w:t>月</w:t>
      </w:r>
      <w:r>
        <w:rPr>
          <w:rFonts w:hint="eastAsia" w:cs="宋体"/>
          <w:b/>
          <w:bCs/>
          <w:color w:val="FF0000"/>
          <w:sz w:val="24"/>
          <w:szCs w:val="24"/>
          <w:highlight w:val="none"/>
          <w:u w:val="single"/>
          <w:lang w:val="en-US" w:eastAsia="zh-CN"/>
        </w:rPr>
        <w:t>28</w:t>
      </w:r>
      <w:r>
        <w:rPr>
          <w:rFonts w:hint="eastAsia" w:ascii="宋体" w:hAnsi="宋体" w:eastAsia="宋体" w:cs="宋体"/>
          <w:b/>
          <w:bCs/>
          <w:color w:val="FF0000"/>
          <w:sz w:val="24"/>
          <w:szCs w:val="24"/>
          <w:highlight w:val="none"/>
          <w:u w:val="single"/>
        </w:rPr>
        <w:t>日</w:t>
      </w:r>
      <w:r>
        <w:rPr>
          <w:rFonts w:hint="eastAsia" w:cs="宋体"/>
          <w:b/>
          <w:bCs/>
          <w:color w:val="FF0000"/>
          <w:sz w:val="24"/>
          <w:szCs w:val="24"/>
          <w:highlight w:val="none"/>
          <w:u w:val="single"/>
          <w:lang w:val="en-US" w:eastAsia="zh-CN"/>
        </w:rPr>
        <w:t>9</w:t>
      </w:r>
      <w:r>
        <w:rPr>
          <w:rFonts w:hint="eastAsia" w:ascii="宋体" w:hAnsi="宋体" w:eastAsia="宋体" w:cs="宋体"/>
          <w:b/>
          <w:bCs/>
          <w:color w:val="FF0000"/>
          <w:sz w:val="24"/>
          <w:szCs w:val="24"/>
          <w:highlight w:val="none"/>
          <w:u w:val="single"/>
        </w:rPr>
        <w:t>点</w:t>
      </w:r>
      <w:r>
        <w:rPr>
          <w:rFonts w:hint="eastAsia" w:cs="宋体"/>
          <w:b/>
          <w:bCs/>
          <w:color w:val="FF0000"/>
          <w:sz w:val="24"/>
          <w:szCs w:val="24"/>
          <w:highlight w:val="none"/>
          <w:u w:val="single"/>
          <w:lang w:val="en-US" w:eastAsia="zh-CN"/>
        </w:rPr>
        <w:t>30</w:t>
      </w:r>
      <w:r>
        <w:rPr>
          <w:rFonts w:hint="eastAsia" w:ascii="宋体" w:hAnsi="宋体" w:eastAsia="宋体" w:cs="宋体"/>
          <w:b/>
          <w:bCs/>
          <w:color w:val="FF0000"/>
          <w:sz w:val="24"/>
          <w:szCs w:val="24"/>
          <w:highlight w:val="none"/>
          <w:u w:val="single"/>
        </w:rPr>
        <w:t>分</w:t>
      </w:r>
      <w:r>
        <w:rPr>
          <w:rFonts w:hint="eastAsia" w:ascii="宋体" w:hAnsi="宋体" w:eastAsia="宋体" w:cs="宋体"/>
          <w:color w:val="auto"/>
          <w:sz w:val="24"/>
          <w:szCs w:val="24"/>
          <w:highlight w:val="none"/>
          <w:u w:val="single"/>
        </w:rPr>
        <w:t>（北京时间）</w:t>
      </w:r>
    </w:p>
    <w:p w14:paraId="1EFE0B9F">
      <w:pPr>
        <w:adjustRightInd w:val="0"/>
        <w:snapToGrid w:val="0"/>
        <w:spacing w:before="0" w:after="0" w:line="560" w:lineRule="exact"/>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kern w:val="0"/>
          <w:sz w:val="24"/>
          <w:szCs w:val="24"/>
          <w:highlight w:val="none"/>
          <w:lang w:val="en-US" w:eastAsia="zh-CN" w:bidi="ar-SA"/>
        </w:rPr>
        <w:t>地点：</w:t>
      </w:r>
      <w:r>
        <w:rPr>
          <w:rFonts w:hint="eastAsia" w:ascii="宋体" w:hAnsi="宋体" w:eastAsia="宋体" w:cs="宋体"/>
          <w:color w:val="auto"/>
          <w:sz w:val="24"/>
          <w:szCs w:val="24"/>
          <w:highlight w:val="none"/>
        </w:rPr>
        <w:t>“徽采云”电子交易系统</w:t>
      </w:r>
    </w:p>
    <w:p w14:paraId="2F34506F">
      <w:pPr>
        <w:pStyle w:val="4"/>
        <w:adjustRightInd w:val="0"/>
        <w:snapToGrid w:val="0"/>
        <w:spacing w:before="0" w:after="0" w:line="560" w:lineRule="exact"/>
        <w:jc w:val="left"/>
        <w:rPr>
          <w:rFonts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五、开启</w:t>
      </w:r>
      <w:bookmarkEnd w:id="14"/>
      <w:bookmarkEnd w:id="15"/>
      <w:bookmarkEnd w:id="16"/>
      <w:bookmarkEnd w:id="17"/>
      <w:bookmarkEnd w:id="18"/>
    </w:p>
    <w:p w14:paraId="3AEEBECB">
      <w:pPr>
        <w:adjustRightInd w:val="0"/>
        <w:snapToGrid w:val="0"/>
        <w:spacing w:line="56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时间：</w:t>
      </w:r>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1）</w:t>
      </w:r>
      <w:r>
        <w:rPr>
          <w:rFonts w:hint="eastAsia" w:cs="宋体"/>
          <w:b/>
          <w:bCs/>
          <w:color w:val="FF0000"/>
          <w:sz w:val="24"/>
          <w:szCs w:val="24"/>
          <w:highlight w:val="none"/>
          <w:lang w:val="en-US" w:eastAsia="zh-CN"/>
        </w:rPr>
        <w:t>第1包-第4包：</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b/>
          <w:bCs/>
          <w:color w:val="FF0000"/>
          <w:sz w:val="24"/>
          <w:szCs w:val="24"/>
          <w:highlight w:val="none"/>
          <w:u w:val="single"/>
          <w:lang w:val="en-US" w:eastAsia="zh-CN"/>
        </w:rPr>
        <w:t>1</w:t>
      </w:r>
      <w:r>
        <w:rPr>
          <w:rFonts w:hint="eastAsia" w:ascii="宋体" w:hAnsi="宋体" w:eastAsia="宋体" w:cs="宋体"/>
          <w:b/>
          <w:bCs/>
          <w:color w:val="FF0000"/>
          <w:sz w:val="24"/>
          <w:szCs w:val="24"/>
          <w:highlight w:val="none"/>
          <w:u w:val="single"/>
        </w:rPr>
        <w:t>月</w:t>
      </w:r>
      <w:r>
        <w:rPr>
          <w:rFonts w:hint="eastAsia" w:cs="宋体"/>
          <w:b/>
          <w:bCs/>
          <w:color w:val="FF0000"/>
          <w:sz w:val="24"/>
          <w:szCs w:val="24"/>
          <w:highlight w:val="none"/>
          <w:u w:val="single"/>
          <w:lang w:val="en-US" w:eastAsia="zh-CN"/>
        </w:rPr>
        <w:t>27</w:t>
      </w:r>
      <w:r>
        <w:rPr>
          <w:rFonts w:hint="eastAsia" w:ascii="宋体" w:hAnsi="宋体" w:eastAsia="宋体" w:cs="宋体"/>
          <w:b/>
          <w:bCs/>
          <w:color w:val="FF0000"/>
          <w:sz w:val="24"/>
          <w:szCs w:val="24"/>
          <w:highlight w:val="none"/>
          <w:u w:val="single"/>
        </w:rPr>
        <w:t>日</w:t>
      </w:r>
      <w:r>
        <w:rPr>
          <w:rFonts w:hint="eastAsia" w:cs="宋体"/>
          <w:b/>
          <w:bCs/>
          <w:color w:val="FF0000"/>
          <w:sz w:val="24"/>
          <w:szCs w:val="24"/>
          <w:highlight w:val="none"/>
          <w:u w:val="single"/>
          <w:lang w:val="en-US" w:eastAsia="zh-CN"/>
        </w:rPr>
        <w:t>9</w:t>
      </w:r>
      <w:r>
        <w:rPr>
          <w:rFonts w:hint="eastAsia" w:ascii="宋体" w:hAnsi="宋体" w:eastAsia="宋体" w:cs="宋体"/>
          <w:b/>
          <w:bCs/>
          <w:color w:val="FF0000"/>
          <w:sz w:val="24"/>
          <w:szCs w:val="24"/>
          <w:highlight w:val="none"/>
          <w:u w:val="single"/>
        </w:rPr>
        <w:t>点</w:t>
      </w:r>
      <w:r>
        <w:rPr>
          <w:rFonts w:hint="eastAsia" w:cs="宋体"/>
          <w:b/>
          <w:bCs/>
          <w:color w:val="FF0000"/>
          <w:sz w:val="24"/>
          <w:szCs w:val="24"/>
          <w:highlight w:val="none"/>
          <w:u w:val="single"/>
          <w:lang w:val="en-US" w:eastAsia="zh-CN"/>
        </w:rPr>
        <w:t>30</w:t>
      </w:r>
      <w:r>
        <w:rPr>
          <w:rFonts w:hint="eastAsia" w:ascii="宋体" w:hAnsi="宋体" w:eastAsia="宋体" w:cs="宋体"/>
          <w:b/>
          <w:bCs/>
          <w:color w:val="FF0000"/>
          <w:sz w:val="24"/>
          <w:szCs w:val="24"/>
          <w:highlight w:val="none"/>
          <w:u w:val="single"/>
        </w:rPr>
        <w:t>分</w:t>
      </w:r>
      <w:r>
        <w:rPr>
          <w:rFonts w:hint="eastAsia" w:ascii="宋体" w:hAnsi="宋体" w:eastAsia="宋体" w:cs="宋体"/>
          <w:color w:val="auto"/>
          <w:sz w:val="24"/>
          <w:szCs w:val="24"/>
          <w:highlight w:val="none"/>
          <w:u w:val="single"/>
        </w:rPr>
        <w:t>（北京时间）</w:t>
      </w:r>
    </w:p>
    <w:p w14:paraId="4D46E41A">
      <w:pPr>
        <w:adjustRightInd w:val="0"/>
        <w:snapToGrid w:val="0"/>
        <w:spacing w:line="560" w:lineRule="exact"/>
        <w:ind w:firstLine="482" w:firstLineChars="200"/>
        <w:jc w:val="left"/>
      </w:pPr>
      <w:r>
        <w:rPr>
          <w:rFonts w:hint="eastAsia" w:cs="宋体"/>
          <w:b/>
          <w:bCs/>
          <w:color w:val="000000" w:themeColor="text1"/>
          <w:sz w:val="24"/>
          <w:szCs w:val="24"/>
          <w:highlight w:val="none"/>
          <w:lang w:eastAsia="zh-CN"/>
          <w14:textFill>
            <w14:solidFill>
              <w14:schemeClr w14:val="tx1"/>
            </w14:solidFill>
          </w14:textFill>
        </w:rPr>
        <w:t>（</w:t>
      </w:r>
      <w:r>
        <w:rPr>
          <w:rFonts w:hint="eastAsia" w:cs="宋体"/>
          <w:b/>
          <w:bCs/>
          <w:color w:val="000000" w:themeColor="text1"/>
          <w:sz w:val="24"/>
          <w:szCs w:val="24"/>
          <w:highlight w:val="none"/>
          <w:lang w:val="en-US" w:eastAsia="zh-CN"/>
          <w14:textFill>
            <w14:solidFill>
              <w14:schemeClr w14:val="tx1"/>
            </w14:solidFill>
          </w14:textFill>
        </w:rPr>
        <w:t>2）</w:t>
      </w:r>
      <w:r>
        <w:rPr>
          <w:rFonts w:hint="eastAsia" w:cs="宋体"/>
          <w:b/>
          <w:bCs/>
          <w:color w:val="FF0000"/>
          <w:sz w:val="24"/>
          <w:szCs w:val="24"/>
          <w:highlight w:val="none"/>
          <w:lang w:val="en-US" w:eastAsia="zh-CN"/>
        </w:rPr>
        <w:t>第5包-第8包：</w:t>
      </w:r>
      <w:r>
        <w:rPr>
          <w:rFonts w:hint="eastAsia" w:ascii="宋体" w:hAnsi="宋体" w:eastAsia="宋体" w:cs="宋体"/>
          <w:color w:val="auto"/>
          <w:sz w:val="24"/>
          <w:szCs w:val="24"/>
          <w:highlight w:val="none"/>
          <w:u w:val="single"/>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年</w:t>
      </w:r>
      <w:r>
        <w:rPr>
          <w:rFonts w:hint="eastAsia" w:cs="宋体"/>
          <w:b/>
          <w:bCs/>
          <w:color w:val="FF0000"/>
          <w:sz w:val="24"/>
          <w:szCs w:val="24"/>
          <w:highlight w:val="none"/>
          <w:u w:val="single"/>
          <w:lang w:val="en-US" w:eastAsia="zh-CN"/>
        </w:rPr>
        <w:t>1</w:t>
      </w:r>
      <w:r>
        <w:rPr>
          <w:rFonts w:hint="eastAsia" w:ascii="宋体" w:hAnsi="宋体" w:eastAsia="宋体" w:cs="宋体"/>
          <w:b/>
          <w:bCs/>
          <w:color w:val="FF0000"/>
          <w:sz w:val="24"/>
          <w:szCs w:val="24"/>
          <w:highlight w:val="none"/>
          <w:u w:val="single"/>
        </w:rPr>
        <w:t>月</w:t>
      </w:r>
      <w:r>
        <w:rPr>
          <w:rFonts w:hint="eastAsia" w:cs="宋体"/>
          <w:b/>
          <w:bCs/>
          <w:color w:val="FF0000"/>
          <w:sz w:val="24"/>
          <w:szCs w:val="24"/>
          <w:highlight w:val="none"/>
          <w:u w:val="single"/>
          <w:lang w:val="en-US" w:eastAsia="zh-CN"/>
        </w:rPr>
        <w:t>28</w:t>
      </w:r>
      <w:r>
        <w:rPr>
          <w:rFonts w:hint="eastAsia" w:ascii="宋体" w:hAnsi="宋体" w:eastAsia="宋体" w:cs="宋体"/>
          <w:b/>
          <w:bCs/>
          <w:color w:val="FF0000"/>
          <w:sz w:val="24"/>
          <w:szCs w:val="24"/>
          <w:highlight w:val="none"/>
          <w:u w:val="single"/>
        </w:rPr>
        <w:t>日</w:t>
      </w:r>
      <w:r>
        <w:rPr>
          <w:rFonts w:hint="eastAsia" w:cs="宋体"/>
          <w:b/>
          <w:bCs/>
          <w:color w:val="FF0000"/>
          <w:sz w:val="24"/>
          <w:szCs w:val="24"/>
          <w:highlight w:val="none"/>
          <w:u w:val="single"/>
          <w:lang w:val="en-US" w:eastAsia="zh-CN"/>
        </w:rPr>
        <w:t>9</w:t>
      </w:r>
      <w:r>
        <w:rPr>
          <w:rFonts w:hint="eastAsia" w:ascii="宋体" w:hAnsi="宋体" w:eastAsia="宋体" w:cs="宋体"/>
          <w:b/>
          <w:bCs/>
          <w:color w:val="FF0000"/>
          <w:sz w:val="24"/>
          <w:szCs w:val="24"/>
          <w:highlight w:val="none"/>
          <w:u w:val="single"/>
        </w:rPr>
        <w:t>点</w:t>
      </w:r>
      <w:r>
        <w:rPr>
          <w:rFonts w:hint="eastAsia" w:cs="宋体"/>
          <w:b/>
          <w:bCs/>
          <w:color w:val="FF0000"/>
          <w:sz w:val="24"/>
          <w:szCs w:val="24"/>
          <w:highlight w:val="none"/>
          <w:u w:val="single"/>
          <w:lang w:val="en-US" w:eastAsia="zh-CN"/>
        </w:rPr>
        <w:t>30</w:t>
      </w:r>
      <w:r>
        <w:rPr>
          <w:rFonts w:hint="eastAsia" w:ascii="宋体" w:hAnsi="宋体" w:eastAsia="宋体" w:cs="宋体"/>
          <w:b/>
          <w:bCs/>
          <w:color w:val="FF0000"/>
          <w:sz w:val="24"/>
          <w:szCs w:val="24"/>
          <w:highlight w:val="none"/>
          <w:u w:val="single"/>
        </w:rPr>
        <w:t>分</w:t>
      </w:r>
      <w:r>
        <w:rPr>
          <w:rFonts w:hint="eastAsia" w:ascii="宋体" w:hAnsi="宋体" w:eastAsia="宋体" w:cs="宋体"/>
          <w:color w:val="auto"/>
          <w:sz w:val="24"/>
          <w:szCs w:val="24"/>
          <w:highlight w:val="none"/>
          <w:u w:val="single"/>
        </w:rPr>
        <w:t>（北京时间）</w:t>
      </w:r>
    </w:p>
    <w:p w14:paraId="71389232">
      <w:pPr>
        <w:adjustRightInd w:val="0"/>
        <w:snapToGrid w:val="0"/>
        <w:spacing w:line="560" w:lineRule="exact"/>
        <w:ind w:firstLine="480" w:firstLineChars="200"/>
        <w:jc w:val="left"/>
        <w:rPr>
          <w:rFonts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地点：“徽采云”电子交易系统</w:t>
      </w:r>
    </w:p>
    <w:p w14:paraId="72E3B29B">
      <w:pPr>
        <w:pStyle w:val="4"/>
        <w:adjustRightInd w:val="0"/>
        <w:snapToGrid w:val="0"/>
        <w:spacing w:before="0" w:after="0" w:line="560" w:lineRule="exact"/>
        <w:jc w:val="left"/>
        <w:rPr>
          <w:rFonts w:ascii="宋体" w:hAnsi="宋体" w:eastAsia="宋体" w:cs="宋体"/>
          <w:bCs w:val="0"/>
          <w:color w:val="auto"/>
          <w:sz w:val="24"/>
          <w:szCs w:val="24"/>
          <w:highlight w:val="none"/>
        </w:rPr>
      </w:pPr>
      <w:bookmarkStart w:id="19" w:name="_Toc35393803"/>
      <w:bookmarkStart w:id="20" w:name="_Toc6935"/>
      <w:bookmarkStart w:id="21" w:name="_Toc28359017"/>
      <w:bookmarkStart w:id="22" w:name="_Toc28359094"/>
      <w:bookmarkStart w:id="23" w:name="_Toc35393634"/>
      <w:r>
        <w:rPr>
          <w:rFonts w:hint="eastAsia" w:ascii="宋体" w:hAnsi="宋体" w:eastAsia="宋体" w:cs="宋体"/>
          <w:bCs w:val="0"/>
          <w:color w:val="auto"/>
          <w:sz w:val="24"/>
          <w:szCs w:val="24"/>
          <w:highlight w:val="none"/>
        </w:rPr>
        <w:t>六、公告期限</w:t>
      </w:r>
      <w:bookmarkEnd w:id="19"/>
      <w:bookmarkEnd w:id="20"/>
      <w:bookmarkEnd w:id="21"/>
      <w:bookmarkEnd w:id="22"/>
      <w:bookmarkEnd w:id="23"/>
    </w:p>
    <w:p w14:paraId="66C689ED">
      <w:pPr>
        <w:adjustRightInd w:val="0"/>
        <w:snapToGrid w:val="0"/>
        <w:spacing w:line="560" w:lineRule="exact"/>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自本公告发布之日起3个工作日。</w:t>
      </w:r>
    </w:p>
    <w:p w14:paraId="6B1B866F">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b/>
          <w:bCs/>
          <w:color w:val="auto"/>
          <w:sz w:val="24"/>
          <w:szCs w:val="18"/>
          <w:highlight w:val="none"/>
        </w:rPr>
      </w:pPr>
      <w:r>
        <w:rPr>
          <w:rFonts w:hint="eastAsia"/>
          <w:b/>
          <w:bCs/>
          <w:color w:val="auto"/>
          <w:sz w:val="24"/>
          <w:szCs w:val="18"/>
          <w:highlight w:val="none"/>
          <w:lang w:val="en-US" w:eastAsia="zh-CN"/>
        </w:rPr>
        <w:t>七</w:t>
      </w:r>
      <w:r>
        <w:rPr>
          <w:rFonts w:hint="eastAsia" w:ascii="宋体" w:hAnsi="宋体" w:eastAsia="宋体"/>
          <w:b/>
          <w:bCs/>
          <w:color w:val="auto"/>
          <w:sz w:val="24"/>
          <w:szCs w:val="18"/>
          <w:highlight w:val="none"/>
        </w:rPr>
        <w:t>、其他补充事宜</w:t>
      </w:r>
      <w:bookmarkEnd w:id="10"/>
      <w:bookmarkEnd w:id="11"/>
      <w:bookmarkEnd w:id="12"/>
    </w:p>
    <w:p w14:paraId="440A4B21">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项目采用全流程电子化采购方式，相关操作说明如下：供应商登录“徽采云”电子交易系统（https://login.anhui.zcygov.cn/user-login/#/login）在线申请获取采购文件（进入“项目采购”应用，在获取采购文件菜单中选择项目，申请获取采购文件）。登录须持有电子交易系统兼容的数字证书，详情参见“安徽省政府采购网－徽采学院－电子交易系统学习专题－供应商－操作手册”。</w:t>
      </w:r>
    </w:p>
    <w:p w14:paraId="3B7083A5">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2.本项目落实节能环保、中小微型企业扶持等相关政府采购政策。</w:t>
      </w:r>
    </w:p>
    <w:p w14:paraId="3BAFB6CA">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3.本次招标公告同时在安徽省政府采购网、安徽省淮河河道管理局网站上发布。</w:t>
      </w:r>
    </w:p>
    <w:p w14:paraId="65133F93">
      <w:pPr>
        <w:pStyle w:val="20"/>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潜在供应商应合理安排采购文件获取时间，特别是网络速度慢的地区防止在系统关闭前网络拥堵无法操作。如果因计算机及网络故障造成无法完成采购文件获取，责任自负。采购文件获取过程中有任何疑问，请在工作时间（09：00-17:30，节假日休息）拨打技术支持热线（非项目咨询）：95763。项目咨询请拨打代理机构项目联系人电话：0552-3092287。</w:t>
      </w:r>
    </w:p>
    <w:p w14:paraId="23B9E5E2">
      <w:pPr>
        <w:keepNext w:val="0"/>
        <w:keepLines w:val="0"/>
        <w:pageBreakBefore w:val="0"/>
        <w:widowControl w:val="0"/>
        <w:kinsoku/>
        <w:wordWrap/>
        <w:overflowPunct/>
        <w:topLinePunct w:val="0"/>
        <w:autoSpaceDE/>
        <w:autoSpaceDN/>
        <w:bidi w:val="0"/>
        <w:spacing w:line="360" w:lineRule="auto"/>
        <w:ind w:firstLine="435"/>
        <w:textAlignment w:val="auto"/>
        <w:outlineLvl w:val="9"/>
        <w:rPr>
          <w:rFonts w:hint="eastAsia" w:asciiTheme="minorEastAsia" w:hAnsiTheme="minorEastAsia" w:eastAsiaTheme="minorEastAsia"/>
          <w:color w:val="auto"/>
          <w:sz w:val="24"/>
          <w:highlight w:val="none"/>
          <w:lang w:val="en-US" w:eastAsia="zh-CN"/>
        </w:rPr>
      </w:pPr>
      <w:r>
        <w:rPr>
          <w:rFonts w:hint="eastAsia" w:ascii="宋体" w:hAnsi="宋体" w:eastAsia="宋体" w:cs="宋体"/>
          <w:color w:val="auto"/>
          <w:sz w:val="24"/>
          <w:szCs w:val="24"/>
          <w:highlight w:val="none"/>
          <w:lang w:val="en-US" w:eastAsia="zh-CN" w:bidi="ar-SA"/>
        </w:rPr>
        <w:t>5.</w:t>
      </w:r>
      <w:r>
        <w:rPr>
          <w:rFonts w:hint="eastAsia" w:asciiTheme="minorEastAsia" w:hAnsiTheme="minorEastAsia" w:eastAsiaTheme="minorEastAsia"/>
          <w:color w:val="auto"/>
          <w:sz w:val="24"/>
          <w:highlight w:val="none"/>
          <w:lang w:val="en-US" w:eastAsia="zh-CN"/>
        </w:rPr>
        <w:t>按照财政部、工业和信息化部制定的《政府采购促进中小企业发展管理办法》，本项目为专门面向中小企业采购项目。企业划型标准按照《关于印发中小企业划型标准规定的通知》（工信部联企业〔2011〕300号）规定执行。响应文件中须提供中小企业声明函。</w:t>
      </w:r>
    </w:p>
    <w:p w14:paraId="1997E6A6">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6.供应商参加多个包磋商的成交包数规定：</w:t>
      </w:r>
    </w:p>
    <w:p w14:paraId="239A295D">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6.1各供应商均可就本采购项目的</w:t>
      </w:r>
      <w:r>
        <w:rPr>
          <w:rFonts w:hint="eastAsia" w:cs="宋体"/>
          <w:b/>
          <w:bCs/>
          <w:color w:val="auto"/>
          <w:sz w:val="24"/>
          <w:szCs w:val="24"/>
          <w:highlight w:val="none"/>
          <w:lang w:val="en-US" w:eastAsia="zh-CN"/>
        </w:rPr>
        <w:t>所有</w:t>
      </w:r>
      <w:r>
        <w:rPr>
          <w:rFonts w:hint="eastAsia" w:cs="宋体"/>
          <w:b/>
          <w:bCs/>
          <w:color w:val="auto"/>
          <w:sz w:val="24"/>
          <w:szCs w:val="24"/>
          <w:highlight w:val="none"/>
        </w:rPr>
        <w:t>包别递交响应文件，</w:t>
      </w:r>
      <w:r>
        <w:rPr>
          <w:rFonts w:hint="eastAsia" w:cs="宋体"/>
          <w:b/>
          <w:bCs/>
          <w:color w:val="auto"/>
          <w:sz w:val="24"/>
          <w:szCs w:val="24"/>
          <w:highlight w:val="none"/>
          <w:lang w:val="en-US" w:eastAsia="zh-CN"/>
        </w:rPr>
        <w:t>因</w:t>
      </w:r>
      <w:r>
        <w:rPr>
          <w:rFonts w:hint="eastAsia" w:cs="宋体"/>
          <w:b/>
          <w:bCs/>
          <w:color w:val="auto"/>
          <w:sz w:val="24"/>
          <w:szCs w:val="24"/>
          <w:highlight w:val="none"/>
        </w:rPr>
        <w:t>各包别项目施工所在区域距离较远，为保证施工质量，供应商同时投本项目</w:t>
      </w:r>
      <w:r>
        <w:rPr>
          <w:rFonts w:hint="eastAsia" w:cs="宋体"/>
          <w:b/>
          <w:bCs/>
          <w:color w:val="auto"/>
          <w:sz w:val="24"/>
          <w:szCs w:val="24"/>
          <w:highlight w:val="none"/>
          <w:lang w:val="en-US" w:eastAsia="zh-CN"/>
        </w:rPr>
        <w:t>所有</w:t>
      </w:r>
      <w:r>
        <w:rPr>
          <w:rFonts w:cs="宋体"/>
          <w:b/>
          <w:bCs/>
          <w:color w:val="auto"/>
          <w:sz w:val="24"/>
          <w:szCs w:val="24"/>
          <w:highlight w:val="none"/>
        </w:rPr>
        <w:t>包别的，响应文件中使用相同项目经理进行投标的，最多只能中1个</w:t>
      </w:r>
      <w:r>
        <w:rPr>
          <w:rFonts w:hint="eastAsia" w:cs="宋体"/>
          <w:b/>
          <w:bCs/>
          <w:color w:val="auto"/>
          <w:sz w:val="24"/>
          <w:szCs w:val="24"/>
          <w:highlight w:val="none"/>
          <w:lang w:val="en-US" w:eastAsia="zh-CN"/>
        </w:rPr>
        <w:t>包别</w:t>
      </w:r>
      <w:r>
        <w:rPr>
          <w:rFonts w:hint="eastAsia" w:cs="宋体"/>
          <w:b/>
          <w:bCs/>
          <w:color w:val="auto"/>
          <w:sz w:val="24"/>
          <w:szCs w:val="24"/>
          <w:highlight w:val="none"/>
          <w:lang w:eastAsia="zh-CN"/>
        </w:rPr>
        <w:t>，</w:t>
      </w:r>
      <w:r>
        <w:rPr>
          <w:rFonts w:hint="eastAsia" w:cs="宋体"/>
          <w:b/>
          <w:bCs/>
          <w:color w:val="auto"/>
          <w:sz w:val="24"/>
          <w:szCs w:val="24"/>
          <w:highlight w:val="none"/>
          <w:lang w:val="en-US" w:eastAsia="zh-CN"/>
        </w:rPr>
        <w:t>已在前面包别被推荐为第一成交候选供应商的</w:t>
      </w:r>
      <w:r>
        <w:rPr>
          <w:rFonts w:cs="宋体"/>
          <w:b/>
          <w:bCs/>
          <w:color w:val="auto"/>
          <w:sz w:val="24"/>
          <w:szCs w:val="24"/>
          <w:highlight w:val="none"/>
        </w:rPr>
        <w:t>使用相同项目经理进行投标的</w:t>
      </w:r>
      <w:r>
        <w:rPr>
          <w:rFonts w:hint="eastAsia" w:cs="宋体"/>
          <w:b/>
          <w:bCs/>
          <w:color w:val="auto"/>
          <w:sz w:val="24"/>
          <w:szCs w:val="24"/>
          <w:highlight w:val="none"/>
          <w:lang w:val="en-US" w:eastAsia="zh-CN"/>
        </w:rPr>
        <w:t>后续包别不再推荐为成交候选供应商</w:t>
      </w:r>
      <w:r>
        <w:rPr>
          <w:rFonts w:cs="宋体"/>
          <w:b/>
          <w:bCs/>
          <w:color w:val="auto"/>
          <w:sz w:val="24"/>
          <w:szCs w:val="24"/>
          <w:highlight w:val="none"/>
        </w:rPr>
        <w:t>。</w:t>
      </w:r>
    </w:p>
    <w:p w14:paraId="7686E090">
      <w:pPr>
        <w:adjustRightInd w:val="0"/>
        <w:snapToGrid w:val="0"/>
        <w:spacing w:line="560" w:lineRule="exact"/>
        <w:ind w:firstLine="482" w:firstLineChars="200"/>
        <w:jc w:val="left"/>
        <w:rPr>
          <w:rFonts w:cs="宋体"/>
          <w:b/>
          <w:bCs/>
          <w:color w:val="auto"/>
          <w:sz w:val="24"/>
          <w:szCs w:val="24"/>
          <w:highlight w:val="none"/>
        </w:rPr>
      </w:pPr>
      <w:r>
        <w:rPr>
          <w:rFonts w:hint="eastAsia" w:cs="宋体"/>
          <w:b/>
          <w:bCs/>
          <w:color w:val="auto"/>
          <w:sz w:val="24"/>
          <w:szCs w:val="24"/>
          <w:highlight w:val="none"/>
        </w:rPr>
        <w:t>6.2评审顺序：第1包→</w:t>
      </w:r>
      <w:r>
        <w:rPr>
          <w:rFonts w:hint="eastAsia" w:cs="宋体"/>
          <w:b/>
          <w:bCs/>
          <w:color w:val="auto"/>
          <w:sz w:val="24"/>
          <w:szCs w:val="24"/>
          <w:highlight w:val="none"/>
          <w:lang w:eastAsia="zh-CN"/>
        </w:rPr>
        <w:t>第</w:t>
      </w:r>
      <w:r>
        <w:rPr>
          <w:rFonts w:hint="eastAsia" w:cs="宋体"/>
          <w:b/>
          <w:bCs/>
          <w:color w:val="auto"/>
          <w:sz w:val="24"/>
          <w:szCs w:val="24"/>
          <w:highlight w:val="none"/>
          <w:lang w:val="en-US" w:eastAsia="zh-CN"/>
        </w:rPr>
        <w:t>2</w:t>
      </w:r>
      <w:r>
        <w:rPr>
          <w:rFonts w:hint="eastAsia" w:cs="宋体"/>
          <w:b/>
          <w:bCs/>
          <w:color w:val="auto"/>
          <w:sz w:val="24"/>
          <w:szCs w:val="24"/>
          <w:highlight w:val="none"/>
          <w:lang w:eastAsia="zh-CN"/>
        </w:rPr>
        <w:t>包</w:t>
      </w:r>
      <w:r>
        <w:rPr>
          <w:rFonts w:hint="eastAsia" w:cs="宋体"/>
          <w:b/>
          <w:bCs/>
          <w:color w:val="auto"/>
          <w:sz w:val="24"/>
          <w:szCs w:val="24"/>
          <w:highlight w:val="none"/>
        </w:rPr>
        <w:t>→第3包→第4包→第5包→第</w:t>
      </w:r>
      <w:r>
        <w:rPr>
          <w:rFonts w:hint="eastAsia" w:cs="宋体"/>
          <w:b/>
          <w:bCs/>
          <w:color w:val="auto"/>
          <w:sz w:val="24"/>
          <w:szCs w:val="24"/>
          <w:highlight w:val="none"/>
          <w:lang w:val="en-US" w:eastAsia="zh-CN"/>
        </w:rPr>
        <w:t>6</w:t>
      </w:r>
      <w:r>
        <w:rPr>
          <w:rFonts w:hint="eastAsia" w:cs="宋体"/>
          <w:b/>
          <w:bCs/>
          <w:color w:val="auto"/>
          <w:sz w:val="24"/>
          <w:szCs w:val="24"/>
          <w:highlight w:val="none"/>
        </w:rPr>
        <w:t>包→第</w:t>
      </w:r>
      <w:r>
        <w:rPr>
          <w:rFonts w:hint="eastAsia" w:cs="宋体"/>
          <w:b/>
          <w:bCs/>
          <w:color w:val="auto"/>
          <w:sz w:val="24"/>
          <w:szCs w:val="24"/>
          <w:highlight w:val="none"/>
          <w:lang w:val="en-US" w:eastAsia="zh-CN"/>
        </w:rPr>
        <w:t>7</w:t>
      </w:r>
      <w:r>
        <w:rPr>
          <w:rFonts w:hint="eastAsia" w:cs="宋体"/>
          <w:b/>
          <w:bCs/>
          <w:color w:val="auto"/>
          <w:sz w:val="24"/>
          <w:szCs w:val="24"/>
          <w:highlight w:val="none"/>
        </w:rPr>
        <w:t>包→第</w:t>
      </w:r>
      <w:r>
        <w:rPr>
          <w:rFonts w:hint="eastAsia" w:cs="宋体"/>
          <w:b/>
          <w:bCs/>
          <w:color w:val="auto"/>
          <w:sz w:val="24"/>
          <w:szCs w:val="24"/>
          <w:highlight w:val="none"/>
          <w:lang w:val="en-US" w:eastAsia="zh-CN"/>
        </w:rPr>
        <w:t>8</w:t>
      </w:r>
      <w:r>
        <w:rPr>
          <w:rFonts w:hint="eastAsia" w:cs="宋体"/>
          <w:b/>
          <w:bCs/>
          <w:color w:val="auto"/>
          <w:sz w:val="24"/>
          <w:szCs w:val="24"/>
          <w:highlight w:val="none"/>
        </w:rPr>
        <w:t>包。</w:t>
      </w:r>
    </w:p>
    <w:p w14:paraId="50FDC2B1">
      <w:pPr>
        <w:adjustRightInd w:val="0"/>
        <w:snapToGrid w:val="0"/>
        <w:spacing w:line="560" w:lineRule="exact"/>
        <w:ind w:firstLine="482" w:firstLineChars="200"/>
        <w:jc w:val="left"/>
        <w:rPr>
          <w:rFonts w:hint="default" w:cs="宋体"/>
          <w:b/>
          <w:bCs/>
          <w:color w:val="auto"/>
          <w:sz w:val="24"/>
          <w:szCs w:val="24"/>
          <w:highlight w:val="none"/>
          <w:lang w:val="en-US" w:eastAsia="zh-CN"/>
        </w:rPr>
      </w:pPr>
      <w:r>
        <w:rPr>
          <w:rFonts w:hint="eastAsia" w:cs="宋体"/>
          <w:b/>
          <w:bCs/>
          <w:color w:val="auto"/>
          <w:sz w:val="24"/>
          <w:szCs w:val="24"/>
          <w:highlight w:val="none"/>
        </w:rPr>
        <w:t>6.3推荐成交候选人的先后顺序：按照评审顺序进行推荐，即第1包→</w:t>
      </w:r>
      <w:r>
        <w:rPr>
          <w:rFonts w:hint="eastAsia" w:cs="宋体"/>
          <w:b/>
          <w:bCs/>
          <w:color w:val="auto"/>
          <w:sz w:val="24"/>
          <w:szCs w:val="24"/>
          <w:highlight w:val="none"/>
          <w:lang w:eastAsia="zh-CN"/>
        </w:rPr>
        <w:t>第</w:t>
      </w:r>
      <w:r>
        <w:rPr>
          <w:rFonts w:hint="eastAsia" w:cs="宋体"/>
          <w:b/>
          <w:bCs/>
          <w:color w:val="auto"/>
          <w:sz w:val="24"/>
          <w:szCs w:val="24"/>
          <w:highlight w:val="none"/>
          <w:lang w:val="en-US" w:eastAsia="zh-CN"/>
        </w:rPr>
        <w:t>2</w:t>
      </w:r>
      <w:r>
        <w:rPr>
          <w:rFonts w:hint="eastAsia" w:cs="宋体"/>
          <w:b/>
          <w:bCs/>
          <w:color w:val="auto"/>
          <w:sz w:val="24"/>
          <w:szCs w:val="24"/>
          <w:highlight w:val="none"/>
          <w:lang w:eastAsia="zh-CN"/>
        </w:rPr>
        <w:t>包</w:t>
      </w:r>
      <w:r>
        <w:rPr>
          <w:rFonts w:hint="eastAsia" w:cs="宋体"/>
          <w:b/>
          <w:bCs/>
          <w:color w:val="auto"/>
          <w:sz w:val="24"/>
          <w:szCs w:val="24"/>
          <w:highlight w:val="none"/>
        </w:rPr>
        <w:t>→第3包→第4包→第5包→第</w:t>
      </w:r>
      <w:r>
        <w:rPr>
          <w:rFonts w:hint="eastAsia" w:cs="宋体"/>
          <w:b/>
          <w:bCs/>
          <w:color w:val="auto"/>
          <w:sz w:val="24"/>
          <w:szCs w:val="24"/>
          <w:highlight w:val="none"/>
          <w:lang w:val="en-US" w:eastAsia="zh-CN"/>
        </w:rPr>
        <w:t>6</w:t>
      </w:r>
      <w:r>
        <w:rPr>
          <w:rFonts w:hint="eastAsia" w:cs="宋体"/>
          <w:b/>
          <w:bCs/>
          <w:color w:val="auto"/>
          <w:sz w:val="24"/>
          <w:szCs w:val="24"/>
          <w:highlight w:val="none"/>
        </w:rPr>
        <w:t>包→第</w:t>
      </w:r>
      <w:r>
        <w:rPr>
          <w:rFonts w:hint="eastAsia" w:cs="宋体"/>
          <w:b/>
          <w:bCs/>
          <w:color w:val="auto"/>
          <w:sz w:val="24"/>
          <w:szCs w:val="24"/>
          <w:highlight w:val="none"/>
          <w:lang w:val="en-US" w:eastAsia="zh-CN"/>
        </w:rPr>
        <w:t>7</w:t>
      </w:r>
      <w:r>
        <w:rPr>
          <w:rFonts w:hint="eastAsia" w:cs="宋体"/>
          <w:b/>
          <w:bCs/>
          <w:color w:val="auto"/>
          <w:sz w:val="24"/>
          <w:szCs w:val="24"/>
          <w:highlight w:val="none"/>
        </w:rPr>
        <w:t>包→第</w:t>
      </w:r>
      <w:r>
        <w:rPr>
          <w:rFonts w:hint="eastAsia" w:cs="宋体"/>
          <w:b/>
          <w:bCs/>
          <w:color w:val="auto"/>
          <w:sz w:val="24"/>
          <w:szCs w:val="24"/>
          <w:highlight w:val="none"/>
          <w:lang w:val="en-US" w:eastAsia="zh-CN"/>
        </w:rPr>
        <w:t>8</w:t>
      </w:r>
      <w:r>
        <w:rPr>
          <w:rFonts w:hint="eastAsia" w:cs="宋体"/>
          <w:b/>
          <w:bCs/>
          <w:color w:val="auto"/>
          <w:sz w:val="24"/>
          <w:szCs w:val="24"/>
          <w:highlight w:val="none"/>
        </w:rPr>
        <w:t>包。</w:t>
      </w:r>
    </w:p>
    <w:p w14:paraId="0D5CBEB9">
      <w:pPr>
        <w:adjustRightInd w:val="0"/>
        <w:snapToGrid w:val="0"/>
        <w:spacing w:line="560" w:lineRule="exact"/>
        <w:ind w:firstLine="482" w:firstLineChars="200"/>
        <w:jc w:val="left"/>
        <w:rPr>
          <w:rFonts w:cs="宋体"/>
          <w:b/>
          <w:bCs/>
          <w:color w:val="auto"/>
          <w:sz w:val="24"/>
          <w:szCs w:val="24"/>
          <w:highlight w:val="none"/>
        </w:rPr>
      </w:pPr>
      <w:bookmarkStart w:id="24" w:name="_Toc25763"/>
      <w:r>
        <w:rPr>
          <w:rFonts w:hint="eastAsia" w:cs="宋体"/>
          <w:b/>
          <w:bCs/>
          <w:color w:val="auto"/>
          <w:sz w:val="24"/>
          <w:szCs w:val="24"/>
          <w:highlight w:val="none"/>
          <w:lang w:val="en-US" w:eastAsia="zh-CN"/>
        </w:rPr>
        <w:t>八</w:t>
      </w:r>
      <w:r>
        <w:rPr>
          <w:rFonts w:hint="eastAsia" w:cs="宋体"/>
          <w:b/>
          <w:bCs/>
          <w:color w:val="auto"/>
          <w:sz w:val="24"/>
          <w:szCs w:val="24"/>
          <w:highlight w:val="none"/>
        </w:rPr>
        <w:t>、</w:t>
      </w:r>
      <w:bookmarkEnd w:id="13"/>
      <w:r>
        <w:rPr>
          <w:rFonts w:hint="eastAsia" w:cs="宋体"/>
          <w:b/>
          <w:bCs/>
          <w:color w:val="auto"/>
          <w:sz w:val="24"/>
          <w:szCs w:val="24"/>
          <w:highlight w:val="none"/>
        </w:rPr>
        <w:t>对本次招标提出询问，请按以下方式联系</w:t>
      </w:r>
      <w:bookmarkEnd w:id="24"/>
    </w:p>
    <w:p w14:paraId="71DE5074">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25" w:name="_Toc29915"/>
      <w:bookmarkStart w:id="26" w:name="_Toc35393806"/>
      <w:bookmarkStart w:id="27" w:name="_Toc35393637"/>
      <w:bookmarkStart w:id="28" w:name="_Toc28359019"/>
      <w:bookmarkStart w:id="29" w:name="_Toc28359096"/>
      <w:r>
        <w:rPr>
          <w:rFonts w:hint="eastAsia" w:ascii="宋体" w:hAnsi="宋体" w:eastAsia="宋体" w:cs="宋体"/>
          <w:color w:val="auto"/>
          <w:sz w:val="24"/>
          <w:szCs w:val="24"/>
          <w:highlight w:val="none"/>
        </w:rPr>
        <w:t>1.采购人信息</w:t>
      </w:r>
      <w:bookmarkEnd w:id="25"/>
      <w:bookmarkEnd w:id="26"/>
      <w:bookmarkEnd w:id="27"/>
      <w:bookmarkEnd w:id="28"/>
      <w:bookmarkEnd w:id="29"/>
    </w:p>
    <w:p w14:paraId="3443573D">
      <w:pPr>
        <w:adjustRightInd w:val="0"/>
        <w:snapToGrid w:val="0"/>
        <w:spacing w:line="560" w:lineRule="exact"/>
        <w:ind w:firstLine="480" w:firstLineChars="200"/>
        <w:jc w:val="left"/>
        <w:rPr>
          <w:rFonts w:ascii="宋体" w:hAnsi="宋体" w:eastAsia="宋体"/>
          <w:color w:val="auto"/>
          <w:sz w:val="24"/>
          <w:szCs w:val="24"/>
          <w:highlight w:val="none"/>
        </w:rPr>
      </w:pPr>
      <w:bookmarkStart w:id="30" w:name="_Toc28359097"/>
      <w:bookmarkStart w:id="31" w:name="_Toc28359020"/>
      <w:bookmarkStart w:id="32" w:name="_Toc35393807"/>
      <w:bookmarkStart w:id="33" w:name="_Toc35393638"/>
      <w:r>
        <w:rPr>
          <w:rFonts w:hint="eastAsia" w:ascii="宋体" w:hAnsi="宋体" w:eastAsia="宋体" w:cs="宋体"/>
          <w:color w:val="auto"/>
          <w:sz w:val="24"/>
          <w:szCs w:val="24"/>
          <w:highlight w:val="none"/>
        </w:rPr>
        <w:t>名  称</w:t>
      </w:r>
      <w:r>
        <w:rPr>
          <w:rFonts w:hint="eastAsia" w:ascii="宋体" w:hAnsi="宋体" w:eastAsia="宋体"/>
          <w:color w:val="auto"/>
          <w:sz w:val="24"/>
          <w:szCs w:val="24"/>
          <w:highlight w:val="none"/>
        </w:rPr>
        <w:t>：安徽省淮河河道管理局</w:t>
      </w:r>
    </w:p>
    <w:p w14:paraId="0A723B77">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地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址：安徽省蚌埠市解放一路116号</w:t>
      </w:r>
    </w:p>
    <w:p w14:paraId="746F1E8B">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联系方式：0552-3918027</w:t>
      </w:r>
    </w:p>
    <w:p w14:paraId="66AF5592">
      <w:pPr>
        <w:adjustRightInd w:val="0"/>
        <w:snapToGrid w:val="0"/>
        <w:spacing w:line="560" w:lineRule="exact"/>
        <w:ind w:firstLine="480" w:firstLineChars="200"/>
        <w:jc w:val="left"/>
        <w:rPr>
          <w:rFonts w:ascii="宋体" w:hAnsi="宋体" w:eastAsia="宋体" w:cs="宋体"/>
          <w:color w:val="auto"/>
          <w:sz w:val="24"/>
          <w:szCs w:val="24"/>
          <w:highlight w:val="none"/>
        </w:rPr>
      </w:pPr>
      <w:bookmarkStart w:id="34" w:name="_Toc15577"/>
      <w:r>
        <w:rPr>
          <w:rFonts w:hint="eastAsia" w:ascii="宋体" w:hAnsi="宋体" w:eastAsia="宋体" w:cs="宋体"/>
          <w:color w:val="auto"/>
          <w:sz w:val="24"/>
          <w:szCs w:val="24"/>
          <w:highlight w:val="none"/>
        </w:rPr>
        <w:t>2.采购代理机构信息</w:t>
      </w:r>
      <w:bookmarkEnd w:id="30"/>
      <w:bookmarkEnd w:id="31"/>
      <w:bookmarkEnd w:id="32"/>
      <w:bookmarkEnd w:id="33"/>
      <w:bookmarkEnd w:id="34"/>
    </w:p>
    <w:p w14:paraId="03FBBADF">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名  称：</w:t>
      </w:r>
      <w:r>
        <w:rPr>
          <w:rFonts w:hint="eastAsia"/>
          <w:bCs/>
          <w:color w:val="auto"/>
          <w:sz w:val="24"/>
          <w:szCs w:val="24"/>
          <w:highlight w:val="none"/>
          <w:lang w:val="en-US" w:eastAsia="zh-CN"/>
        </w:rPr>
        <w:t>安徽安兆工程技术咨询服务有限公司</w:t>
      </w:r>
    </w:p>
    <w:p w14:paraId="0FE71A2B">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地  址：</w:t>
      </w:r>
      <w:r>
        <w:rPr>
          <w:rFonts w:hint="eastAsia"/>
          <w:bCs/>
          <w:color w:val="auto"/>
          <w:sz w:val="24"/>
          <w:szCs w:val="24"/>
          <w:highlight w:val="none"/>
          <w:lang w:val="en-US" w:eastAsia="zh-CN"/>
        </w:rPr>
        <w:t>蚌埠市凤阳西路41号</w:t>
      </w:r>
    </w:p>
    <w:p w14:paraId="7EAFBE28">
      <w:pPr>
        <w:adjustRightInd w:val="0"/>
        <w:snapToGrid w:val="0"/>
        <w:spacing w:line="560" w:lineRule="exact"/>
        <w:ind w:firstLine="480" w:firstLineChars="200"/>
        <w:jc w:val="left"/>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rPr>
        <w:t>联系人：</w:t>
      </w:r>
      <w:r>
        <w:rPr>
          <w:rFonts w:hint="eastAsia"/>
          <w:bCs/>
          <w:color w:val="auto"/>
          <w:sz w:val="24"/>
          <w:szCs w:val="24"/>
          <w:highlight w:val="none"/>
          <w:lang w:val="en-US" w:eastAsia="zh-CN"/>
        </w:rPr>
        <w:t>薛一唯</w:t>
      </w:r>
    </w:p>
    <w:p w14:paraId="41177E0E">
      <w:pPr>
        <w:adjustRightInd w:val="0"/>
        <w:snapToGrid w:val="0"/>
        <w:spacing w:line="560" w:lineRule="exact"/>
        <w:ind w:firstLine="480" w:firstLineChars="200"/>
        <w:jc w:val="left"/>
        <w:rPr>
          <w:rFonts w:hint="default" w:eastAsia="宋体"/>
          <w:bCs/>
          <w:color w:val="auto"/>
          <w:sz w:val="24"/>
          <w:szCs w:val="24"/>
          <w:highlight w:val="none"/>
          <w:lang w:val="en-US" w:eastAsia="zh-CN"/>
        </w:rPr>
      </w:pPr>
      <w:r>
        <w:rPr>
          <w:rFonts w:hint="eastAsia" w:ascii="宋体" w:hAnsi="宋体" w:eastAsia="宋体"/>
          <w:bCs/>
          <w:color w:val="auto"/>
          <w:sz w:val="24"/>
          <w:szCs w:val="24"/>
          <w:highlight w:val="none"/>
        </w:rPr>
        <w:t>联系方式：</w:t>
      </w:r>
      <w:r>
        <w:rPr>
          <w:rFonts w:hint="eastAsia"/>
          <w:bCs/>
          <w:color w:val="auto"/>
          <w:sz w:val="24"/>
          <w:szCs w:val="24"/>
          <w:highlight w:val="none"/>
          <w:lang w:val="en-US" w:eastAsia="zh-CN"/>
        </w:rPr>
        <w:t>0552-3092287</w:t>
      </w:r>
    </w:p>
    <w:p w14:paraId="2403234D">
      <w:pPr>
        <w:adjustRightInd w:val="0"/>
        <w:snapToGrid w:val="0"/>
        <w:spacing w:line="560" w:lineRule="exact"/>
        <w:ind w:firstLine="480" w:firstLineChars="200"/>
        <w:jc w:val="left"/>
        <w:rPr>
          <w:rFonts w:ascii="宋体" w:hAnsi="宋体" w:eastAsia="宋体"/>
          <w:b/>
          <w:color w:val="auto"/>
          <w:sz w:val="24"/>
          <w:szCs w:val="24"/>
          <w:highlight w:val="none"/>
        </w:rPr>
      </w:pPr>
      <w:r>
        <w:rPr>
          <w:rFonts w:hint="eastAsia" w:ascii="宋体" w:hAnsi="宋体" w:eastAsia="宋体"/>
          <w:bCs/>
          <w:color w:val="auto"/>
          <w:sz w:val="24"/>
          <w:szCs w:val="24"/>
          <w:highlight w:val="none"/>
        </w:rPr>
        <w:t>3</w:t>
      </w:r>
      <w:r>
        <w:rPr>
          <w:rFonts w:hint="eastAsia" w:ascii="宋体" w:hAnsi="宋体" w:eastAsia="宋体"/>
          <w:b/>
          <w:color w:val="auto"/>
          <w:sz w:val="24"/>
          <w:szCs w:val="24"/>
          <w:highlight w:val="none"/>
        </w:rPr>
        <w:t>.</w:t>
      </w:r>
      <w:r>
        <w:rPr>
          <w:rFonts w:hint="eastAsia" w:ascii="宋体" w:hAnsi="宋体" w:eastAsia="宋体"/>
          <w:color w:val="auto"/>
          <w:sz w:val="24"/>
          <w:szCs w:val="24"/>
          <w:highlight w:val="none"/>
        </w:rPr>
        <w:t>政府采购监督管理部门信息</w:t>
      </w:r>
    </w:p>
    <w:p w14:paraId="5091BF73">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名  称：安徽省财政厅</w:t>
      </w:r>
    </w:p>
    <w:p w14:paraId="140AF865">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地  址：合肥市阜南西路238号</w:t>
      </w:r>
    </w:p>
    <w:p w14:paraId="2F92CAE2">
      <w:pPr>
        <w:adjustRightInd w:val="0"/>
        <w:snapToGrid w:val="0"/>
        <w:spacing w:line="560" w:lineRule="exact"/>
        <w:ind w:firstLine="480" w:firstLineChars="200"/>
        <w:jc w:val="left"/>
        <w:rPr>
          <w:rFonts w:ascii="宋体" w:hAnsi="宋体" w:eastAsia="宋体"/>
          <w:color w:val="auto"/>
          <w:sz w:val="24"/>
          <w:szCs w:val="24"/>
          <w:highlight w:val="none"/>
        </w:rPr>
      </w:pPr>
      <w:r>
        <w:rPr>
          <w:rFonts w:hint="eastAsia" w:ascii="宋体" w:hAnsi="宋体" w:eastAsia="宋体"/>
          <w:color w:val="auto"/>
          <w:sz w:val="24"/>
          <w:szCs w:val="24"/>
          <w:highlight w:val="none"/>
        </w:rPr>
        <w:t>联系方式：0551-68150413</w:t>
      </w:r>
    </w:p>
    <w:p w14:paraId="41502FB0">
      <w:pPr>
        <w:spacing w:line="360" w:lineRule="auto"/>
        <w:ind w:firstLine="435"/>
        <w:rPr>
          <w:color w:val="auto"/>
          <w:sz w:val="24"/>
          <w:szCs w:val="18"/>
          <w:highlight w:val="none"/>
        </w:rPr>
      </w:pPr>
      <w:r>
        <w:rPr>
          <w:color w:val="auto"/>
          <w:sz w:val="24"/>
          <w:szCs w:val="18"/>
          <w:highlight w:val="none"/>
        </w:rPr>
        <w:br w:type="page"/>
      </w:r>
    </w:p>
    <w:p w14:paraId="73D971E8">
      <w:pPr>
        <w:spacing w:line="360" w:lineRule="auto"/>
        <w:jc w:val="center"/>
        <w:outlineLvl w:val="0"/>
        <w:rPr>
          <w:rFonts w:asciiTheme="minorEastAsia" w:hAnsiTheme="minorEastAsia" w:eastAsiaTheme="minorEastAsia"/>
          <w:b/>
          <w:color w:val="auto"/>
          <w:sz w:val="28"/>
          <w:highlight w:val="none"/>
        </w:rPr>
      </w:pPr>
      <w:bookmarkStart w:id="35" w:name="_Toc28080"/>
      <w:r>
        <w:rPr>
          <w:rFonts w:hint="eastAsia" w:asciiTheme="minorEastAsia" w:hAnsiTheme="minorEastAsia" w:eastAsiaTheme="minorEastAsia"/>
          <w:b/>
          <w:color w:val="auto"/>
          <w:sz w:val="28"/>
          <w:highlight w:val="none"/>
        </w:rPr>
        <w:t>第二章</w:t>
      </w:r>
      <w:r>
        <w:rPr>
          <w:rFonts w:asciiTheme="minorEastAsia" w:hAnsiTheme="minorEastAsia" w:eastAsiaTheme="minorEastAsia"/>
          <w:b/>
          <w:color w:val="auto"/>
          <w:sz w:val="28"/>
          <w:highlight w:val="none"/>
        </w:rPr>
        <w:t xml:space="preserve"> </w:t>
      </w:r>
      <w:r>
        <w:rPr>
          <w:rFonts w:hint="eastAsia" w:asciiTheme="minorEastAsia" w:hAnsiTheme="minorEastAsia" w:eastAsiaTheme="minorEastAsia"/>
          <w:b/>
          <w:color w:val="auto"/>
          <w:sz w:val="28"/>
          <w:highlight w:val="none"/>
        </w:rPr>
        <w:t xml:space="preserve"> 供应商</w:t>
      </w:r>
      <w:r>
        <w:rPr>
          <w:rFonts w:asciiTheme="minorEastAsia" w:hAnsiTheme="minorEastAsia" w:eastAsiaTheme="minorEastAsia"/>
          <w:b/>
          <w:color w:val="auto"/>
          <w:sz w:val="28"/>
          <w:highlight w:val="none"/>
        </w:rPr>
        <w:t>须知</w:t>
      </w:r>
      <w:bookmarkEnd w:id="35"/>
    </w:p>
    <w:p w14:paraId="016D0AEB">
      <w:pPr>
        <w:spacing w:line="360" w:lineRule="auto"/>
        <w:jc w:val="center"/>
        <w:outlineLvl w:val="1"/>
        <w:rPr>
          <w:rFonts w:asciiTheme="minorEastAsia" w:hAnsiTheme="minorEastAsia" w:eastAsiaTheme="minorEastAsia"/>
          <w:b/>
          <w:color w:val="auto"/>
          <w:sz w:val="24"/>
          <w:highlight w:val="none"/>
        </w:rPr>
      </w:pPr>
      <w:bookmarkStart w:id="36" w:name="_Toc12027"/>
      <w:bookmarkStart w:id="37" w:name="_Toc18621"/>
      <w:r>
        <w:rPr>
          <w:rFonts w:hint="eastAsia" w:asciiTheme="minorEastAsia" w:hAnsiTheme="minorEastAsia" w:eastAsiaTheme="minorEastAsia"/>
          <w:b/>
          <w:color w:val="auto"/>
          <w:sz w:val="24"/>
          <w:highlight w:val="none"/>
        </w:rPr>
        <w:t>一、供应商</w:t>
      </w:r>
      <w:r>
        <w:rPr>
          <w:rFonts w:asciiTheme="minorEastAsia" w:hAnsiTheme="minorEastAsia" w:eastAsiaTheme="minorEastAsia"/>
          <w:b/>
          <w:color w:val="auto"/>
          <w:sz w:val="24"/>
          <w:highlight w:val="none"/>
        </w:rPr>
        <w:t>须知前附表</w:t>
      </w:r>
      <w:bookmarkEnd w:id="36"/>
      <w:bookmarkEnd w:id="37"/>
    </w:p>
    <w:p w14:paraId="5FA3DD74">
      <w:pPr>
        <w:spacing w:line="360" w:lineRule="auto"/>
        <w:ind w:firstLine="435"/>
        <w:rPr>
          <w:color w:val="auto"/>
          <w:sz w:val="24"/>
          <w:szCs w:val="18"/>
          <w:highlight w:val="none"/>
        </w:rPr>
      </w:pPr>
      <w:r>
        <w:rPr>
          <w:rFonts w:hint="eastAsia"/>
          <w:b/>
          <w:bCs/>
          <w:color w:val="auto"/>
          <w:sz w:val="24"/>
          <w:szCs w:val="18"/>
          <w:highlight w:val="none"/>
        </w:rPr>
        <w:t>注：</w:t>
      </w:r>
      <w:r>
        <w:rPr>
          <w:rFonts w:hint="eastAsia"/>
          <w:color w:val="auto"/>
          <w:sz w:val="24"/>
          <w:szCs w:val="18"/>
          <w:highlight w:val="none"/>
        </w:rPr>
        <w:t>本表是本项目的具体要求，是对供应商须知的具体补充和修改，如有不一致，以本表为准。</w:t>
      </w:r>
    </w:p>
    <w:tbl>
      <w:tblPr>
        <w:tblStyle w:val="56"/>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797"/>
        <w:gridCol w:w="6540"/>
      </w:tblGrid>
      <w:tr w14:paraId="44ED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56406FE1">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条款号</w:t>
            </w:r>
          </w:p>
        </w:tc>
        <w:tc>
          <w:tcPr>
            <w:tcW w:w="977" w:type="pct"/>
            <w:vAlign w:val="center"/>
          </w:tcPr>
          <w:p w14:paraId="63DA30E3">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条款名称</w:t>
            </w:r>
          </w:p>
        </w:tc>
        <w:tc>
          <w:tcPr>
            <w:tcW w:w="3556" w:type="pct"/>
            <w:vAlign w:val="center"/>
          </w:tcPr>
          <w:p w14:paraId="7BB5DDCC">
            <w:pPr>
              <w:pStyle w:val="69"/>
              <w:widowControl w:val="0"/>
              <w:spacing w:before="0" w:beforeAutospacing="0" w:after="0" w:afterAutospacing="0" w:line="360" w:lineRule="auto"/>
              <w:rPr>
                <w:bCs w:val="0"/>
                <w:color w:val="auto"/>
                <w:kern w:val="2"/>
                <w:sz w:val="24"/>
                <w:szCs w:val="20"/>
                <w:highlight w:val="none"/>
              </w:rPr>
            </w:pPr>
            <w:r>
              <w:rPr>
                <w:rFonts w:hint="eastAsia"/>
                <w:bCs w:val="0"/>
                <w:color w:val="auto"/>
                <w:kern w:val="2"/>
                <w:sz w:val="24"/>
                <w:szCs w:val="20"/>
                <w:highlight w:val="none"/>
              </w:rPr>
              <w:t>内容、说明与要求</w:t>
            </w:r>
          </w:p>
        </w:tc>
      </w:tr>
      <w:tr w14:paraId="4EBC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150FD913">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ascii="宋体" w:hAnsi="宋体" w:eastAsia="宋体"/>
                <w:bCs/>
                <w:color w:val="auto"/>
                <w:kern w:val="2"/>
                <w:highlight w:val="none"/>
                <w:lang w:val="en-US" w:eastAsia="zh-CN"/>
              </w:rPr>
              <w:t>5</w:t>
            </w:r>
            <w:r>
              <w:rPr>
                <w:rFonts w:ascii="宋体" w:hAnsi="宋体" w:eastAsia="宋体"/>
                <w:bCs/>
                <w:color w:val="auto"/>
                <w:kern w:val="2"/>
                <w:highlight w:val="none"/>
              </w:rPr>
              <w:t>.</w:t>
            </w:r>
            <w:r>
              <w:rPr>
                <w:rFonts w:hint="eastAsia" w:ascii="宋体" w:hAnsi="宋体" w:eastAsia="宋体"/>
                <w:bCs/>
                <w:color w:val="auto"/>
                <w:kern w:val="2"/>
                <w:highlight w:val="none"/>
                <w:lang w:val="en-US" w:eastAsia="zh-CN"/>
              </w:rPr>
              <w:t>2</w:t>
            </w:r>
          </w:p>
        </w:tc>
        <w:tc>
          <w:tcPr>
            <w:tcW w:w="1711" w:type="dxa"/>
            <w:vAlign w:val="center"/>
          </w:tcPr>
          <w:p w14:paraId="55987662">
            <w:pPr>
              <w:pStyle w:val="69"/>
              <w:widowControl w:val="0"/>
              <w:spacing w:before="0" w:beforeAutospacing="0" w:after="0" w:afterAutospacing="0" w:line="360" w:lineRule="auto"/>
              <w:jc w:val="left"/>
              <w:rPr>
                <w:b w:val="0"/>
                <w:color w:val="auto"/>
                <w:sz w:val="24"/>
                <w:highlight w:val="none"/>
              </w:rPr>
            </w:pPr>
            <w:r>
              <w:rPr>
                <w:rFonts w:hint="eastAsia" w:ascii="宋体" w:hAnsi="宋体" w:eastAsia="宋体"/>
                <w:b w:val="0"/>
                <w:color w:val="auto"/>
                <w:sz w:val="24"/>
                <w:highlight w:val="none"/>
              </w:rPr>
              <w:t>现场考察</w:t>
            </w:r>
            <w:r>
              <w:rPr>
                <w:rFonts w:hint="eastAsia" w:ascii="宋体" w:hAnsi="宋体" w:eastAsia="宋体"/>
                <w:b w:val="0"/>
                <w:color w:val="auto"/>
                <w:sz w:val="24"/>
                <w:highlight w:val="none"/>
                <w:lang w:val="en-US" w:eastAsia="zh-CN"/>
              </w:rPr>
              <w:t>或标前答疑会</w:t>
            </w:r>
          </w:p>
        </w:tc>
        <w:tc>
          <w:tcPr>
            <w:tcW w:w="6229" w:type="dxa"/>
            <w:vAlign w:val="center"/>
          </w:tcPr>
          <w:p w14:paraId="17C7B0C9">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bCs/>
                <w:color w:val="auto"/>
                <w:sz w:val="24"/>
                <w:highlight w:val="none"/>
              </w:rPr>
            </w:pPr>
            <w:r>
              <w:rPr>
                <w:rFonts w:hint="eastAsia"/>
                <w:bCs/>
                <w:color w:val="auto"/>
                <w:sz w:val="24"/>
                <w:szCs w:val="24"/>
                <w:highlight w:val="none"/>
                <w:lang w:eastAsia="zh-CN"/>
              </w:rPr>
              <w:t>☑</w:t>
            </w:r>
            <w:r>
              <w:rPr>
                <w:rFonts w:hint="eastAsia" w:ascii="宋体" w:hAnsi="宋体" w:eastAsia="宋体"/>
                <w:color w:val="auto"/>
                <w:sz w:val="24"/>
                <w:highlight w:val="none"/>
              </w:rPr>
              <w:t>不组织</w:t>
            </w:r>
            <w:r>
              <w:rPr>
                <w:rFonts w:hint="eastAsia" w:ascii="宋体" w:hAnsi="宋体" w:eastAsia="宋体"/>
                <w:color w:val="auto"/>
                <w:sz w:val="24"/>
                <w:highlight w:val="none"/>
                <w:lang w:val="en-US" w:eastAsia="zh-CN"/>
              </w:rPr>
              <w:t>或不召开</w:t>
            </w:r>
          </w:p>
          <w:p w14:paraId="682BC9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lang w:eastAsia="zh-CN"/>
              </w:rPr>
            </w:pPr>
            <w:r>
              <w:rPr>
                <w:rFonts w:hint="eastAsia" w:ascii="宋体" w:hAnsi="宋体" w:eastAsia="宋体"/>
                <w:color w:val="auto"/>
                <w:sz w:val="24"/>
                <w:highlight w:val="none"/>
              </w:rPr>
              <w:t>□</w:t>
            </w:r>
            <w:r>
              <w:rPr>
                <w:rFonts w:hint="eastAsia" w:ascii="宋体" w:hAnsi="宋体" w:eastAsia="宋体"/>
                <w:bCs/>
                <w:color w:val="auto"/>
                <w:sz w:val="24"/>
                <w:highlight w:val="none"/>
              </w:rPr>
              <w:t>统一组织</w:t>
            </w:r>
            <w:r>
              <w:rPr>
                <w:rFonts w:hint="eastAsia" w:ascii="宋体" w:hAnsi="宋体" w:eastAsia="宋体"/>
                <w:bCs/>
                <w:color w:val="auto"/>
                <w:sz w:val="24"/>
                <w:highlight w:val="none"/>
                <w:lang w:val="en-US" w:eastAsia="zh-CN"/>
              </w:rPr>
              <w:t>或统一召开</w:t>
            </w:r>
          </w:p>
          <w:p w14:paraId="1A7439B9">
            <w:pPr>
              <w:spacing w:line="360" w:lineRule="auto"/>
              <w:rPr>
                <w:rFonts w:hint="eastAsia" w:ascii="宋体" w:hAnsi="宋体" w:eastAsia="宋体"/>
                <w:bCs/>
                <w:color w:val="auto"/>
                <w:sz w:val="24"/>
                <w:highlight w:val="none"/>
                <w:u w:val="single"/>
                <w:lang w:eastAsia="zh-CN"/>
              </w:rPr>
            </w:pPr>
            <w:r>
              <w:rPr>
                <w:rFonts w:hint="eastAsia" w:ascii="宋体" w:hAnsi="宋体" w:eastAsia="宋体"/>
                <w:bCs/>
                <w:color w:val="auto"/>
                <w:sz w:val="24"/>
                <w:highlight w:val="none"/>
              </w:rPr>
              <w:t>时间：</w:t>
            </w:r>
            <w:r>
              <w:rPr>
                <w:rFonts w:hint="eastAsia"/>
                <w:bCs/>
                <w:color w:val="auto"/>
                <w:sz w:val="24"/>
                <w:highlight w:val="none"/>
                <w:u w:val="single"/>
                <w:lang w:val="en-US" w:eastAsia="zh-CN"/>
              </w:rPr>
              <w:t>/</w:t>
            </w:r>
          </w:p>
          <w:p w14:paraId="6287CD12">
            <w:pPr>
              <w:spacing w:line="360" w:lineRule="auto"/>
              <w:rPr>
                <w:rFonts w:hint="eastAsia" w:ascii="宋体" w:hAnsi="宋体" w:eastAsia="宋体"/>
                <w:bCs/>
                <w:color w:val="auto"/>
                <w:sz w:val="24"/>
                <w:highlight w:val="none"/>
                <w:u w:val="single"/>
                <w:lang w:eastAsia="zh-CN"/>
              </w:rPr>
            </w:pPr>
            <w:r>
              <w:rPr>
                <w:rFonts w:hint="eastAsia" w:ascii="宋体" w:hAnsi="宋体" w:eastAsia="宋体"/>
                <w:bCs/>
                <w:color w:val="auto"/>
                <w:sz w:val="24"/>
                <w:highlight w:val="none"/>
              </w:rPr>
              <w:t>地点：</w:t>
            </w:r>
            <w:r>
              <w:rPr>
                <w:rFonts w:hint="eastAsia"/>
                <w:bCs/>
                <w:color w:val="auto"/>
                <w:sz w:val="24"/>
                <w:highlight w:val="none"/>
                <w:u w:val="single"/>
                <w:lang w:val="en-US" w:eastAsia="zh-CN"/>
              </w:rPr>
              <w:t>/</w:t>
            </w:r>
          </w:p>
          <w:p w14:paraId="7E358B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bCs/>
                <w:color w:val="auto"/>
                <w:sz w:val="24"/>
                <w:highlight w:val="none"/>
                <w:u w:val="single"/>
                <w:lang w:val="en-US" w:eastAsia="zh-CN"/>
              </w:rPr>
            </w:pPr>
            <w:r>
              <w:rPr>
                <w:rFonts w:hint="eastAsia" w:ascii="宋体" w:hAnsi="宋体" w:eastAsia="宋体"/>
                <w:bCs/>
                <w:color w:val="auto"/>
                <w:sz w:val="24"/>
                <w:highlight w:val="none"/>
              </w:rPr>
              <w:t>联系人及联系电话：</w:t>
            </w:r>
            <w:r>
              <w:rPr>
                <w:rFonts w:hint="eastAsia"/>
                <w:bCs/>
                <w:color w:val="auto"/>
                <w:sz w:val="24"/>
                <w:highlight w:val="none"/>
                <w:u w:val="single"/>
                <w:lang w:val="en-US" w:eastAsia="zh-CN"/>
              </w:rPr>
              <w:t>/</w:t>
            </w:r>
          </w:p>
          <w:p w14:paraId="3D1B631C">
            <w:pPr>
              <w:pStyle w:val="6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color w:val="auto"/>
                <w:sz w:val="24"/>
                <w:highlight w:val="none"/>
              </w:rPr>
            </w:pPr>
            <w:r>
              <w:rPr>
                <w:rFonts w:hint="eastAsia" w:ascii="宋体" w:hAnsi="宋体" w:eastAsia="宋体"/>
                <w:bCs w:val="0"/>
                <w:color w:val="auto"/>
                <w:sz w:val="24"/>
                <w:highlight w:val="none"/>
                <w:lang w:eastAsia="zh-CN"/>
              </w:rPr>
              <w:t>注：</w:t>
            </w:r>
            <w:r>
              <w:rPr>
                <w:rFonts w:hint="eastAsia" w:ascii="宋体" w:hAnsi="宋体" w:eastAsia="宋体"/>
                <w:bCs w:val="0"/>
                <w:color w:val="auto"/>
                <w:sz w:val="24"/>
                <w:highlight w:val="none"/>
              </w:rPr>
              <w:t>如</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未参加采购人统一组织的现场考察</w:t>
            </w:r>
            <w:r>
              <w:rPr>
                <w:rFonts w:hint="eastAsia" w:ascii="宋体" w:hAnsi="宋体" w:eastAsia="宋体"/>
                <w:bCs w:val="0"/>
                <w:color w:val="auto"/>
                <w:sz w:val="24"/>
                <w:highlight w:val="none"/>
                <w:lang w:val="en-US" w:eastAsia="zh-CN"/>
              </w:rPr>
              <w:t>或采购人统一召开的标前答疑会</w:t>
            </w:r>
            <w:r>
              <w:rPr>
                <w:rFonts w:hint="eastAsia" w:ascii="宋体" w:hAnsi="宋体" w:eastAsia="宋体"/>
                <w:bCs w:val="0"/>
                <w:color w:val="auto"/>
                <w:sz w:val="24"/>
                <w:highlight w:val="none"/>
              </w:rPr>
              <w:t>，视同放弃现场考察</w:t>
            </w:r>
            <w:r>
              <w:rPr>
                <w:rFonts w:hint="eastAsia" w:ascii="宋体" w:hAnsi="宋体" w:eastAsia="宋体"/>
                <w:bCs w:val="0"/>
                <w:color w:val="auto"/>
                <w:sz w:val="24"/>
                <w:highlight w:val="none"/>
                <w:lang w:val="en-US" w:eastAsia="zh-CN"/>
              </w:rPr>
              <w:t>或标前答疑会</w:t>
            </w:r>
            <w:r>
              <w:rPr>
                <w:rFonts w:hint="eastAsia" w:ascii="宋体" w:hAnsi="宋体" w:eastAsia="宋体"/>
                <w:bCs w:val="0"/>
                <w:color w:val="auto"/>
                <w:sz w:val="24"/>
                <w:highlight w:val="none"/>
              </w:rPr>
              <w:t>，由此引起的一切责任由</w:t>
            </w:r>
            <w:r>
              <w:rPr>
                <w:rFonts w:hint="eastAsia" w:ascii="宋体" w:hAnsi="宋体" w:eastAsia="宋体"/>
                <w:bCs w:val="0"/>
                <w:color w:val="auto"/>
                <w:sz w:val="24"/>
                <w:highlight w:val="none"/>
                <w:lang w:val="en-US" w:eastAsia="zh-CN"/>
              </w:rPr>
              <w:t>供应商</w:t>
            </w:r>
            <w:r>
              <w:rPr>
                <w:rFonts w:hint="eastAsia" w:ascii="宋体" w:hAnsi="宋体" w:eastAsia="宋体"/>
                <w:bCs w:val="0"/>
                <w:color w:val="auto"/>
                <w:sz w:val="24"/>
                <w:highlight w:val="none"/>
              </w:rPr>
              <w:t>自行承担。</w:t>
            </w:r>
          </w:p>
        </w:tc>
      </w:tr>
      <w:tr w14:paraId="794A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0E726CB6">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6</w:t>
            </w:r>
            <w:r>
              <w:rPr>
                <w:bCs/>
                <w:color w:val="auto"/>
                <w:kern w:val="2"/>
                <w:highlight w:val="none"/>
              </w:rPr>
              <w:t>.1</w:t>
            </w:r>
          </w:p>
        </w:tc>
        <w:tc>
          <w:tcPr>
            <w:tcW w:w="977" w:type="pct"/>
            <w:vAlign w:val="center"/>
          </w:tcPr>
          <w:p w14:paraId="4F1280AF">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网上询问截止时间</w:t>
            </w:r>
          </w:p>
        </w:tc>
        <w:tc>
          <w:tcPr>
            <w:tcW w:w="3556" w:type="pct"/>
            <w:vAlign w:val="center"/>
          </w:tcPr>
          <w:p w14:paraId="1DF0721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single"/>
                <w:lang w:val="en-US" w:eastAsia="zh-CN"/>
              </w:rPr>
              <w:t>2026</w:t>
            </w:r>
            <w:r>
              <w:rPr>
                <w:b w:val="0"/>
                <w:color w:val="auto"/>
                <w:sz w:val="24"/>
                <w:highlight w:val="none"/>
              </w:rPr>
              <w:t>年</w:t>
            </w:r>
            <w:r>
              <w:rPr>
                <w:b w:val="0"/>
                <w:color w:val="auto"/>
                <w:sz w:val="24"/>
                <w:highlight w:val="none"/>
                <w:u w:val="single"/>
              </w:rPr>
              <w:t xml:space="preserve"> </w:t>
            </w:r>
            <w:r>
              <w:rPr>
                <w:rFonts w:hint="eastAsia"/>
                <w:b w:val="0"/>
                <w:color w:val="auto"/>
                <w:sz w:val="24"/>
                <w:highlight w:val="none"/>
                <w:u w:val="single"/>
                <w:lang w:val="en-US" w:eastAsia="zh-CN"/>
              </w:rPr>
              <w:t>1</w:t>
            </w:r>
            <w:r>
              <w:rPr>
                <w:b w:val="0"/>
                <w:color w:val="auto"/>
                <w:sz w:val="24"/>
                <w:highlight w:val="none"/>
                <w:u w:val="single"/>
              </w:rPr>
              <w:t xml:space="preserve"> </w:t>
            </w:r>
            <w:r>
              <w:rPr>
                <w:b w:val="0"/>
                <w:color w:val="auto"/>
                <w:sz w:val="24"/>
                <w:highlight w:val="none"/>
              </w:rPr>
              <w:t>月</w:t>
            </w:r>
            <w:r>
              <w:rPr>
                <w:b w:val="0"/>
                <w:color w:val="auto"/>
                <w:sz w:val="24"/>
                <w:highlight w:val="none"/>
                <w:u w:val="single"/>
              </w:rPr>
              <w:t xml:space="preserve"> </w:t>
            </w:r>
            <w:r>
              <w:rPr>
                <w:rFonts w:hint="eastAsia"/>
                <w:b w:val="0"/>
                <w:color w:val="auto"/>
                <w:sz w:val="24"/>
                <w:highlight w:val="none"/>
                <w:u w:val="single"/>
                <w:lang w:val="en-US" w:eastAsia="zh-CN"/>
              </w:rPr>
              <w:t>19</w:t>
            </w:r>
            <w:r>
              <w:rPr>
                <w:b w:val="0"/>
                <w:color w:val="auto"/>
                <w:sz w:val="24"/>
                <w:highlight w:val="none"/>
                <w:u w:val="single"/>
              </w:rPr>
              <w:t xml:space="preserve"> </w:t>
            </w:r>
            <w:r>
              <w:rPr>
                <w:b w:val="0"/>
                <w:color w:val="auto"/>
                <w:sz w:val="24"/>
                <w:highlight w:val="none"/>
              </w:rPr>
              <w:t>日</w:t>
            </w:r>
            <w:r>
              <w:rPr>
                <w:rFonts w:hint="eastAsia"/>
                <w:b w:val="0"/>
                <w:color w:val="auto"/>
                <w:sz w:val="24"/>
                <w:highlight w:val="none"/>
                <w:u w:val="single"/>
                <w:lang w:val="en-US" w:eastAsia="zh-CN"/>
              </w:rPr>
              <w:t>17</w:t>
            </w:r>
            <w:r>
              <w:rPr>
                <w:b w:val="0"/>
                <w:color w:val="auto"/>
                <w:sz w:val="24"/>
                <w:highlight w:val="none"/>
              </w:rPr>
              <w:t>时</w:t>
            </w:r>
            <w:r>
              <w:rPr>
                <w:rFonts w:hint="eastAsia"/>
                <w:b w:val="0"/>
                <w:color w:val="auto"/>
                <w:sz w:val="24"/>
                <w:highlight w:val="none"/>
                <w:u w:val="single"/>
                <w:lang w:val="en-US" w:eastAsia="zh-CN"/>
              </w:rPr>
              <w:t>00</w:t>
            </w:r>
            <w:r>
              <w:rPr>
                <w:rFonts w:hint="eastAsia"/>
                <w:b w:val="0"/>
                <w:color w:val="auto"/>
                <w:sz w:val="24"/>
                <w:highlight w:val="none"/>
              </w:rPr>
              <w:t>分</w:t>
            </w:r>
          </w:p>
        </w:tc>
      </w:tr>
      <w:tr w14:paraId="5837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52D34804">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7</w:t>
            </w:r>
            <w:r>
              <w:rPr>
                <w:bCs/>
                <w:color w:val="auto"/>
                <w:kern w:val="2"/>
                <w:highlight w:val="none"/>
              </w:rPr>
              <w:t>.1</w:t>
            </w:r>
          </w:p>
        </w:tc>
        <w:tc>
          <w:tcPr>
            <w:tcW w:w="977" w:type="pct"/>
            <w:vAlign w:val="center"/>
          </w:tcPr>
          <w:p w14:paraId="20944684">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包别划分</w:t>
            </w:r>
          </w:p>
        </w:tc>
        <w:tc>
          <w:tcPr>
            <w:tcW w:w="3556" w:type="pct"/>
            <w:vAlign w:val="center"/>
          </w:tcPr>
          <w:p w14:paraId="19F1778A">
            <w:pPr>
              <w:pStyle w:val="69"/>
              <w:widowControl w:val="0"/>
              <w:spacing w:before="0" w:beforeAutospacing="0" w:after="0" w:afterAutospacing="0" w:line="360" w:lineRule="auto"/>
              <w:jc w:val="both"/>
              <w:rPr>
                <w:b/>
                <w:bCs w:val="0"/>
                <w:color w:val="auto"/>
                <w:sz w:val="24"/>
                <w:highlight w:val="none"/>
              </w:rPr>
            </w:pPr>
            <w:r>
              <w:rPr>
                <w:rFonts w:hint="eastAsia"/>
                <w:b w:val="0"/>
                <w:bCs w:val="0"/>
                <w:color w:val="auto"/>
                <w:sz w:val="24"/>
                <w:szCs w:val="24"/>
                <w:highlight w:val="none"/>
                <w:lang w:eastAsia="zh-CN"/>
              </w:rPr>
              <w:t>□</w:t>
            </w:r>
            <w:r>
              <w:rPr>
                <w:b w:val="0"/>
                <w:color w:val="auto"/>
                <w:sz w:val="24"/>
                <w:highlight w:val="none"/>
              </w:rPr>
              <w:t xml:space="preserve">不分包    </w:t>
            </w:r>
            <w:r>
              <w:rPr>
                <w:b/>
                <w:bCs w:val="0"/>
                <w:color w:val="auto"/>
                <w:sz w:val="24"/>
                <w:highlight w:val="none"/>
              </w:rPr>
              <w:t xml:space="preserve"> </w:t>
            </w:r>
            <w:r>
              <w:rPr>
                <w:rFonts w:hint="eastAsia"/>
                <w:b/>
                <w:bCs w:val="0"/>
                <w:color w:val="auto"/>
                <w:sz w:val="24"/>
                <w:highlight w:val="none"/>
                <w:lang w:eastAsia="zh-CN"/>
              </w:rPr>
              <w:t>☑</w:t>
            </w:r>
            <w:r>
              <w:rPr>
                <w:b/>
                <w:bCs w:val="0"/>
                <w:color w:val="auto"/>
                <w:sz w:val="24"/>
                <w:highlight w:val="none"/>
              </w:rPr>
              <w:t>分为</w:t>
            </w:r>
            <w:r>
              <w:rPr>
                <w:rFonts w:hint="eastAsia"/>
                <w:b/>
                <w:bCs w:val="0"/>
                <w:color w:val="auto"/>
                <w:sz w:val="24"/>
                <w:highlight w:val="none"/>
                <w:lang w:val="en-US" w:eastAsia="zh-CN"/>
              </w:rPr>
              <w:t>8</w:t>
            </w:r>
            <w:r>
              <w:rPr>
                <w:b/>
                <w:bCs w:val="0"/>
                <w:color w:val="auto"/>
                <w:sz w:val="24"/>
                <w:highlight w:val="none"/>
              </w:rPr>
              <w:t>个包</w:t>
            </w:r>
          </w:p>
          <w:p w14:paraId="7FD68E3E">
            <w:pPr>
              <w:pStyle w:val="69"/>
              <w:widowControl w:val="0"/>
              <w:spacing w:before="0" w:beforeAutospacing="0" w:after="0" w:afterAutospacing="0" w:line="360" w:lineRule="auto"/>
              <w:jc w:val="both"/>
              <w:rPr>
                <w:b w:val="0"/>
                <w:color w:val="auto"/>
                <w:sz w:val="24"/>
                <w:highlight w:val="none"/>
              </w:rPr>
            </w:pPr>
            <w:r>
              <w:rPr>
                <w:rFonts w:hint="eastAsia"/>
                <w:b/>
                <w:bCs w:val="0"/>
                <w:color w:val="auto"/>
                <w:sz w:val="24"/>
                <w:szCs w:val="24"/>
                <w:highlight w:val="none"/>
              </w:rPr>
              <w:t>供应商参加多个包磋商的成交</w:t>
            </w:r>
            <w:r>
              <w:rPr>
                <w:b/>
                <w:bCs w:val="0"/>
                <w:color w:val="auto"/>
                <w:sz w:val="24"/>
                <w:szCs w:val="24"/>
                <w:highlight w:val="none"/>
              </w:rPr>
              <w:t>包</w:t>
            </w:r>
            <w:r>
              <w:rPr>
                <w:rFonts w:hint="eastAsia"/>
                <w:b/>
                <w:bCs w:val="0"/>
                <w:color w:val="auto"/>
                <w:sz w:val="24"/>
                <w:szCs w:val="24"/>
                <w:highlight w:val="none"/>
              </w:rPr>
              <w:t>数规定：</w:t>
            </w:r>
            <w:r>
              <w:rPr>
                <w:rFonts w:hint="eastAsia"/>
                <w:b/>
                <w:bCs w:val="0"/>
                <w:color w:val="auto"/>
                <w:sz w:val="24"/>
                <w:szCs w:val="18"/>
                <w:highlight w:val="none"/>
                <w:u w:val="single"/>
              </w:rPr>
              <w:t xml:space="preserve"> </w:t>
            </w:r>
            <w:r>
              <w:rPr>
                <w:rFonts w:hint="eastAsia"/>
                <w:b/>
                <w:bCs w:val="0"/>
                <w:color w:val="auto"/>
                <w:sz w:val="24"/>
                <w:szCs w:val="18"/>
                <w:highlight w:val="none"/>
                <w:u w:val="single"/>
                <w:lang w:val="en-US" w:eastAsia="zh-CN"/>
              </w:rPr>
              <w:t>详见磋商公告</w:t>
            </w:r>
            <w:r>
              <w:rPr>
                <w:b w:val="0"/>
                <w:bCs w:val="0"/>
                <w:color w:val="auto"/>
                <w:sz w:val="24"/>
                <w:szCs w:val="18"/>
                <w:highlight w:val="none"/>
                <w:u w:val="single"/>
              </w:rPr>
              <w:t xml:space="preserve"> </w:t>
            </w:r>
          </w:p>
        </w:tc>
      </w:tr>
      <w:tr w14:paraId="0374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569A8C4B">
            <w:pPr>
              <w:pStyle w:val="70"/>
              <w:pBdr>
                <w:bottom w:val="none" w:color="auto" w:sz="0" w:space="0"/>
              </w:pBdr>
              <w:tabs>
                <w:tab w:val="clear" w:pos="4153"/>
                <w:tab w:val="clear" w:pos="8306"/>
              </w:tabs>
              <w:adjustRightInd/>
              <w:spacing w:line="360" w:lineRule="auto"/>
              <w:textAlignment w:val="auto"/>
              <w:rPr>
                <w:rFonts w:hint="eastAsia"/>
                <w:bCs/>
                <w:color w:val="auto"/>
                <w:kern w:val="2"/>
                <w:highlight w:val="none"/>
                <w:lang w:val="en-US" w:eastAsia="zh-CN"/>
              </w:rPr>
            </w:pPr>
            <w:r>
              <w:rPr>
                <w:rFonts w:hint="eastAsia"/>
                <w:b/>
                <w:bCs w:val="0"/>
                <w:color w:val="auto"/>
                <w:kern w:val="2"/>
                <w:highlight w:val="none"/>
                <w:lang w:val="en-US" w:eastAsia="zh-CN"/>
              </w:rPr>
              <w:t>8.1</w:t>
            </w:r>
          </w:p>
        </w:tc>
        <w:tc>
          <w:tcPr>
            <w:tcW w:w="1888" w:type="dxa"/>
            <w:vAlign w:val="center"/>
          </w:tcPr>
          <w:p w14:paraId="795D0AAE">
            <w:pPr>
              <w:pStyle w:val="69"/>
              <w:widowControl w:val="0"/>
              <w:spacing w:before="0" w:beforeAutospacing="0" w:after="0" w:afterAutospacing="0" w:line="360" w:lineRule="auto"/>
              <w:jc w:val="left"/>
              <w:rPr>
                <w:rFonts w:hint="eastAsia"/>
                <w:b w:val="0"/>
                <w:color w:val="auto"/>
                <w:sz w:val="24"/>
                <w:highlight w:val="none"/>
              </w:rPr>
            </w:pPr>
            <w:r>
              <w:rPr>
                <w:rFonts w:hint="eastAsia"/>
                <w:b/>
                <w:bCs w:val="0"/>
                <w:color w:val="auto"/>
                <w:sz w:val="24"/>
                <w:highlight w:val="none"/>
                <w:lang w:val="en-US" w:eastAsia="zh-CN"/>
              </w:rPr>
              <w:t>响应文件要求</w:t>
            </w:r>
          </w:p>
        </w:tc>
        <w:tc>
          <w:tcPr>
            <w:tcW w:w="6872" w:type="dxa"/>
            <w:vAlign w:val="center"/>
          </w:tcPr>
          <w:p w14:paraId="756BF4B8">
            <w:pPr>
              <w:pStyle w:val="69"/>
              <w:widowControl w:val="0"/>
              <w:numPr>
                <w:ilvl w:val="0"/>
                <w:numId w:val="0"/>
              </w:numPr>
              <w:spacing w:before="0" w:beforeAutospacing="0" w:after="0" w:afterAutospacing="0" w:line="360" w:lineRule="auto"/>
              <w:jc w:val="both"/>
              <w:rPr>
                <w:rFonts w:hint="eastAsia" w:eastAsiaTheme="minorEastAsia"/>
                <w:b/>
                <w:bCs/>
                <w:color w:val="FF0000"/>
                <w:sz w:val="24"/>
                <w:lang w:val="en-US" w:eastAsia="zh-CN"/>
              </w:rPr>
            </w:pPr>
            <w:r>
              <w:rPr>
                <w:rFonts w:hint="eastAsia"/>
                <w:b/>
                <w:bCs w:val="0"/>
                <w:color w:val="auto"/>
                <w:sz w:val="24"/>
                <w:highlight w:val="none"/>
                <w:lang w:val="en-US" w:eastAsia="zh-CN"/>
              </w:rPr>
              <w:t>（1）响应文件页面数量：</w:t>
            </w:r>
            <w:r>
              <w:rPr>
                <w:rFonts w:hint="eastAsia" w:asciiTheme="minorEastAsia" w:hAnsiTheme="minorEastAsia" w:eastAsiaTheme="minorEastAsia" w:cstheme="minorEastAsia"/>
                <w:b/>
                <w:bCs/>
                <w:color w:val="FF0000"/>
                <w:sz w:val="24"/>
              </w:rPr>
              <w:t>不超过</w:t>
            </w:r>
            <w:r>
              <w:rPr>
                <w:rFonts w:hint="eastAsia" w:asciiTheme="minorEastAsia" w:hAnsiTheme="minorEastAsia" w:eastAsiaTheme="minorEastAsia" w:cstheme="minorEastAsia"/>
                <w:b/>
                <w:bCs/>
                <w:color w:val="FF0000"/>
                <w:sz w:val="24"/>
                <w:lang w:val="en-US" w:eastAsia="zh-CN"/>
              </w:rPr>
              <w:t>300</w:t>
            </w:r>
            <w:r>
              <w:rPr>
                <w:rFonts w:hint="eastAsia" w:eastAsiaTheme="minorEastAsia"/>
                <w:b/>
                <w:bCs/>
                <w:color w:val="FF0000"/>
                <w:sz w:val="24"/>
              </w:rPr>
              <w:t>页</w:t>
            </w:r>
            <w:r>
              <w:rPr>
                <w:rFonts w:hint="eastAsia" w:eastAsiaTheme="minorEastAsia"/>
                <w:b/>
                <w:bCs/>
                <w:color w:val="FF0000"/>
                <w:sz w:val="24"/>
                <w:lang w:val="en-US" w:eastAsia="zh-CN"/>
              </w:rPr>
              <w:t>;</w:t>
            </w:r>
          </w:p>
          <w:p w14:paraId="5C0BD4EA">
            <w:pPr>
              <w:pStyle w:val="69"/>
              <w:widowControl w:val="0"/>
              <w:numPr>
                <w:ilvl w:val="0"/>
                <w:numId w:val="0"/>
              </w:numPr>
              <w:spacing w:before="0" w:beforeAutospacing="0" w:after="0" w:afterAutospacing="0" w:line="360" w:lineRule="auto"/>
              <w:jc w:val="both"/>
              <w:rPr>
                <w:rFonts w:hint="eastAsia"/>
                <w:b/>
                <w:bCs w:val="0"/>
                <w:color w:val="auto"/>
                <w:sz w:val="24"/>
                <w:szCs w:val="24"/>
                <w:highlight w:val="none"/>
              </w:rPr>
            </w:pPr>
            <w:r>
              <w:rPr>
                <w:rFonts w:hint="eastAsia" w:eastAsiaTheme="minorEastAsia"/>
                <w:b/>
                <w:bCs/>
                <w:color w:val="auto"/>
                <w:sz w:val="24"/>
                <w:lang w:val="en-US" w:eastAsia="zh-CN"/>
              </w:rPr>
              <w:t>（2）成交后成交人须向采购人提供2份纸质响应文件。</w:t>
            </w:r>
          </w:p>
        </w:tc>
      </w:tr>
      <w:tr w14:paraId="0760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16" w:type="dxa"/>
            <w:vAlign w:val="center"/>
          </w:tcPr>
          <w:p w14:paraId="0D8BACB0">
            <w:pPr>
              <w:pStyle w:val="70"/>
              <w:pBdr>
                <w:bottom w:val="none" w:color="auto" w:sz="0" w:space="0"/>
              </w:pBdr>
              <w:tabs>
                <w:tab w:val="clear" w:pos="4153"/>
                <w:tab w:val="clear" w:pos="8306"/>
              </w:tabs>
              <w:adjustRightInd/>
              <w:spacing w:line="360" w:lineRule="auto"/>
              <w:textAlignment w:val="auto"/>
              <w:rPr>
                <w:rFonts w:hint="default"/>
                <w:bCs/>
                <w:color w:val="auto"/>
                <w:kern w:val="2"/>
                <w:highlight w:val="none"/>
                <w:lang w:val="en-US" w:eastAsia="zh-CN"/>
              </w:rPr>
            </w:pPr>
            <w:r>
              <w:rPr>
                <w:rFonts w:hint="eastAsia"/>
                <w:bCs/>
                <w:color w:val="auto"/>
                <w:kern w:val="2"/>
                <w:highlight w:val="none"/>
                <w:lang w:val="en-US" w:eastAsia="zh-CN"/>
              </w:rPr>
              <w:t>9.1</w:t>
            </w:r>
          </w:p>
        </w:tc>
        <w:tc>
          <w:tcPr>
            <w:tcW w:w="977" w:type="pct"/>
            <w:vAlign w:val="center"/>
          </w:tcPr>
          <w:p w14:paraId="66549FDD">
            <w:pPr>
              <w:pStyle w:val="69"/>
              <w:widowControl w:val="0"/>
              <w:spacing w:before="0" w:beforeAutospacing="0" w:after="0" w:afterAutospacing="0" w:line="360" w:lineRule="auto"/>
              <w:jc w:val="left"/>
              <w:rPr>
                <w:rFonts w:hint="eastAsia" w:eastAsia="宋体"/>
                <w:b w:val="0"/>
                <w:color w:val="auto"/>
                <w:sz w:val="24"/>
                <w:highlight w:val="none"/>
                <w:lang w:val="en-US" w:eastAsia="zh-CN"/>
              </w:rPr>
            </w:pPr>
            <w:r>
              <w:rPr>
                <w:rFonts w:hint="eastAsia"/>
                <w:b w:val="0"/>
                <w:color w:val="auto"/>
                <w:sz w:val="24"/>
                <w:highlight w:val="none"/>
                <w:lang w:val="en-US" w:eastAsia="zh-CN"/>
              </w:rPr>
              <w:t>投标报价</w:t>
            </w:r>
          </w:p>
        </w:tc>
        <w:tc>
          <w:tcPr>
            <w:tcW w:w="3556" w:type="pct"/>
            <w:vAlign w:val="center"/>
          </w:tcPr>
          <w:p w14:paraId="2C841E14">
            <w:pPr>
              <w:widowControl w:val="0"/>
              <w:numPr>
                <w:ilvl w:val="0"/>
                <w:numId w:val="2"/>
              </w:numPr>
              <w:spacing w:line="360" w:lineRule="auto"/>
              <w:jc w:val="both"/>
              <w:rPr>
                <w:rFonts w:hint="eastAsia"/>
                <w:b/>
                <w:bCs/>
                <w:color w:val="FF0000"/>
                <w:sz w:val="24"/>
                <w:szCs w:val="18"/>
                <w:highlight w:val="none"/>
                <w:u w:val="single"/>
                <w:lang w:val="en-US" w:eastAsia="zh-CN"/>
              </w:rPr>
            </w:pPr>
            <w:r>
              <w:rPr>
                <w:rFonts w:hint="eastAsia"/>
                <w:b/>
                <w:bCs/>
                <w:color w:val="FF0000"/>
                <w:sz w:val="24"/>
                <w:szCs w:val="18"/>
                <w:highlight w:val="none"/>
                <w:u w:val="single"/>
                <w:lang w:val="en-US" w:eastAsia="zh-CN"/>
              </w:rPr>
              <w:t>投标报价采用总价报价方式，潜在供应商投标时无需对工程量清单进行分项报价。</w:t>
            </w:r>
          </w:p>
          <w:p w14:paraId="2EA7553C">
            <w:pPr>
              <w:widowControl w:val="0"/>
              <w:spacing w:line="360" w:lineRule="auto"/>
              <w:jc w:val="both"/>
              <w:rPr>
                <w:rFonts w:hint="eastAsia"/>
                <w:b/>
                <w:bCs w:val="0"/>
                <w:color w:val="auto"/>
                <w:sz w:val="24"/>
                <w:szCs w:val="24"/>
                <w:highlight w:val="none"/>
              </w:rPr>
            </w:pPr>
            <w:r>
              <w:rPr>
                <w:rFonts w:hint="eastAsia"/>
                <w:b/>
                <w:bCs/>
                <w:color w:val="FF0000"/>
                <w:sz w:val="24"/>
                <w:szCs w:val="18"/>
                <w:highlight w:val="none"/>
                <w:u w:val="single"/>
                <w:lang w:val="en-US" w:eastAsia="zh-CN"/>
              </w:rPr>
              <w:t>（2）后期工程结算过程中利用采购人发布的工程量清单及最高投标限价的综合单价作为结算依据。</w:t>
            </w:r>
          </w:p>
        </w:tc>
      </w:tr>
      <w:tr w14:paraId="6290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16" w:type="dxa"/>
            <w:vAlign w:val="center"/>
          </w:tcPr>
          <w:p w14:paraId="4CF25EB5">
            <w:pPr>
              <w:pStyle w:val="70"/>
              <w:pBdr>
                <w:bottom w:val="none" w:color="auto" w:sz="0" w:space="0"/>
              </w:pBdr>
              <w:tabs>
                <w:tab w:val="clear" w:pos="4153"/>
                <w:tab w:val="clear" w:pos="8306"/>
              </w:tabs>
              <w:adjustRightInd/>
              <w:spacing w:line="360" w:lineRule="auto"/>
              <w:textAlignment w:val="auto"/>
              <w:rPr>
                <w:rFonts w:hint="default"/>
                <w:bCs/>
                <w:color w:val="FF0000"/>
                <w:kern w:val="2"/>
                <w:highlight w:val="none"/>
                <w:lang w:val="en-US" w:eastAsia="zh-CN"/>
              </w:rPr>
            </w:pPr>
            <w:r>
              <w:rPr>
                <w:rFonts w:hint="eastAsia"/>
                <w:bCs/>
                <w:color w:val="FF0000"/>
                <w:kern w:val="2"/>
                <w:highlight w:val="none"/>
                <w:lang w:val="en-US" w:eastAsia="zh-CN"/>
              </w:rPr>
              <w:t>9.2</w:t>
            </w:r>
          </w:p>
        </w:tc>
        <w:tc>
          <w:tcPr>
            <w:tcW w:w="1711" w:type="dxa"/>
            <w:vAlign w:val="center"/>
          </w:tcPr>
          <w:p w14:paraId="4C5A5312">
            <w:pPr>
              <w:pStyle w:val="69"/>
              <w:widowControl w:val="0"/>
              <w:spacing w:before="0" w:beforeAutospacing="0" w:after="0" w:afterAutospacing="0" w:line="360" w:lineRule="auto"/>
              <w:jc w:val="left"/>
              <w:rPr>
                <w:rFonts w:hint="eastAsia"/>
                <w:b w:val="0"/>
                <w:color w:val="FF0000"/>
                <w:sz w:val="24"/>
                <w:highlight w:val="none"/>
              </w:rPr>
            </w:pPr>
            <w:r>
              <w:rPr>
                <w:rFonts w:hint="eastAsia" w:ascii="宋体" w:hAnsi="宋体" w:eastAsia="宋体"/>
                <w:b w:val="0"/>
                <w:color w:val="FF0000"/>
                <w:sz w:val="24"/>
                <w:szCs w:val="24"/>
                <w:highlight w:val="none"/>
              </w:rPr>
              <w:t>最高限价</w:t>
            </w:r>
          </w:p>
        </w:tc>
        <w:tc>
          <w:tcPr>
            <w:tcW w:w="6229" w:type="dxa"/>
            <w:vAlign w:val="center"/>
          </w:tcPr>
          <w:p w14:paraId="156BFE2E">
            <w:pPr>
              <w:widowControl w:val="0"/>
              <w:spacing w:line="360" w:lineRule="auto"/>
              <w:jc w:val="both"/>
              <w:rPr>
                <w:rFonts w:hint="eastAsia"/>
                <w:b/>
                <w:bCs/>
                <w:color w:val="FF0000"/>
                <w:sz w:val="24"/>
                <w:szCs w:val="18"/>
                <w:highlight w:val="none"/>
                <w:u w:val="single"/>
                <w:lang w:val="en-US" w:eastAsia="zh-CN"/>
              </w:rPr>
            </w:pPr>
            <w:r>
              <w:rPr>
                <w:rFonts w:hint="eastAsia"/>
                <w:b/>
                <w:bCs/>
                <w:color w:val="FF0000"/>
                <w:sz w:val="24"/>
                <w:szCs w:val="18"/>
                <w:highlight w:val="none"/>
                <w:u w:val="single"/>
                <w:lang w:val="en-US" w:eastAsia="zh-CN"/>
              </w:rPr>
              <w:t>本项目最高限价为399万元。</w:t>
            </w:r>
          </w:p>
          <w:p w14:paraId="17D3AC4C">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cstheme="minorBidi"/>
                <w:b/>
                <w:bCs/>
                <w:color w:val="FF0000"/>
                <w:sz w:val="24"/>
                <w:szCs w:val="18"/>
                <w:highlight w:val="none"/>
                <w:u w:val="single"/>
                <w:lang w:val="en-US" w:eastAsia="zh-CN" w:bidi="ar-SA"/>
              </w:rPr>
              <w:t>第1包：</w:t>
            </w:r>
            <w:r>
              <w:rPr>
                <w:rFonts w:hint="default" w:ascii="宋体" w:hAnsi="宋体" w:eastAsia="宋体" w:cstheme="minorBidi"/>
                <w:b/>
                <w:bCs/>
                <w:color w:val="FF0000"/>
                <w:sz w:val="24"/>
                <w:szCs w:val="18"/>
                <w:highlight w:val="none"/>
                <w:u w:val="single"/>
                <w:lang w:val="en-US" w:eastAsia="zh-CN" w:bidi="ar-SA"/>
              </w:rPr>
              <w:t>五河局</w:t>
            </w:r>
            <w:r>
              <w:rPr>
                <w:rFonts w:hint="eastAsia" w:cstheme="minorBidi"/>
                <w:b/>
                <w:bCs/>
                <w:color w:val="FF0000"/>
                <w:sz w:val="24"/>
                <w:szCs w:val="18"/>
                <w:highlight w:val="none"/>
                <w:u w:val="single"/>
                <w:lang w:val="en-US" w:eastAsia="zh-CN" w:bidi="ar-SA"/>
              </w:rPr>
              <w:t>最高限价</w:t>
            </w:r>
            <w:r>
              <w:rPr>
                <w:rFonts w:hint="default" w:ascii="宋体" w:hAnsi="宋体" w:eastAsia="宋体" w:cstheme="minorBidi"/>
                <w:b/>
                <w:bCs/>
                <w:color w:val="FF0000"/>
                <w:sz w:val="24"/>
                <w:szCs w:val="18"/>
                <w:highlight w:val="none"/>
                <w:u w:val="single"/>
                <w:lang w:val="en-US" w:eastAsia="zh-CN" w:bidi="ar-SA"/>
              </w:rPr>
              <w:t>70.2</w:t>
            </w:r>
            <w:r>
              <w:rPr>
                <w:rFonts w:hint="eastAsia" w:cstheme="minorBidi"/>
                <w:b/>
                <w:bCs/>
                <w:color w:val="FF0000"/>
                <w:sz w:val="24"/>
                <w:szCs w:val="18"/>
                <w:highlight w:val="none"/>
                <w:u w:val="single"/>
                <w:lang w:val="en-US" w:eastAsia="zh-CN" w:bidi="ar-SA"/>
              </w:rPr>
              <w:t>万元。</w:t>
            </w:r>
          </w:p>
          <w:p w14:paraId="45C67BAA">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cstheme="minorBidi"/>
                <w:b/>
                <w:bCs/>
                <w:color w:val="FF0000"/>
                <w:sz w:val="24"/>
                <w:szCs w:val="18"/>
                <w:highlight w:val="none"/>
                <w:u w:val="single"/>
                <w:lang w:val="en-US" w:eastAsia="zh-CN" w:bidi="ar-SA"/>
              </w:rPr>
              <w:t>第2包：</w:t>
            </w:r>
            <w:r>
              <w:rPr>
                <w:rFonts w:hint="default" w:ascii="宋体" w:hAnsi="宋体" w:eastAsia="宋体" w:cstheme="minorBidi"/>
                <w:b/>
                <w:bCs/>
                <w:color w:val="FF0000"/>
                <w:sz w:val="24"/>
                <w:szCs w:val="18"/>
                <w:highlight w:val="none"/>
                <w:u w:val="single"/>
                <w:lang w:val="en-US" w:eastAsia="zh-CN" w:bidi="ar-SA"/>
              </w:rPr>
              <w:t>凤台局</w:t>
            </w:r>
            <w:r>
              <w:rPr>
                <w:rFonts w:hint="eastAsia" w:cstheme="minorBidi"/>
                <w:b/>
                <w:bCs/>
                <w:color w:val="FF0000"/>
                <w:sz w:val="24"/>
                <w:szCs w:val="18"/>
                <w:highlight w:val="none"/>
                <w:u w:val="single"/>
                <w:lang w:val="en-US" w:eastAsia="zh-CN" w:bidi="ar-SA"/>
              </w:rPr>
              <w:t>最高限价</w:t>
            </w:r>
            <w:r>
              <w:rPr>
                <w:rFonts w:hint="default" w:ascii="宋体" w:hAnsi="宋体" w:eastAsia="宋体" w:cstheme="minorBidi"/>
                <w:b/>
                <w:bCs/>
                <w:color w:val="FF0000"/>
                <w:sz w:val="24"/>
                <w:szCs w:val="18"/>
                <w:highlight w:val="none"/>
                <w:u w:val="single"/>
                <w:lang w:val="en-US" w:eastAsia="zh-CN" w:bidi="ar-SA"/>
              </w:rPr>
              <w:t>64.6</w:t>
            </w:r>
            <w:r>
              <w:rPr>
                <w:rFonts w:hint="eastAsia" w:cstheme="minorBidi"/>
                <w:b/>
                <w:bCs/>
                <w:color w:val="FF0000"/>
                <w:sz w:val="24"/>
                <w:szCs w:val="18"/>
                <w:highlight w:val="none"/>
                <w:u w:val="single"/>
                <w:lang w:val="en-US" w:eastAsia="zh-CN" w:bidi="ar-SA"/>
              </w:rPr>
              <w:t>万元。</w:t>
            </w:r>
          </w:p>
          <w:p w14:paraId="4454E09C">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cstheme="minorBidi"/>
                <w:b/>
                <w:bCs/>
                <w:color w:val="FF0000"/>
                <w:sz w:val="24"/>
                <w:szCs w:val="18"/>
                <w:highlight w:val="none"/>
                <w:u w:val="single"/>
                <w:lang w:val="en-US" w:eastAsia="zh-CN" w:bidi="ar-SA"/>
              </w:rPr>
              <w:t>第3包：</w:t>
            </w:r>
            <w:r>
              <w:rPr>
                <w:rFonts w:hint="default" w:ascii="宋体" w:hAnsi="宋体" w:eastAsia="宋体" w:cstheme="minorBidi"/>
                <w:b/>
                <w:bCs/>
                <w:color w:val="FF0000"/>
                <w:sz w:val="24"/>
                <w:szCs w:val="18"/>
                <w:highlight w:val="none"/>
                <w:u w:val="single"/>
                <w:lang w:val="en-US" w:eastAsia="zh-CN" w:bidi="ar-SA"/>
              </w:rPr>
              <w:t>怀远局</w:t>
            </w:r>
            <w:r>
              <w:rPr>
                <w:rFonts w:hint="eastAsia" w:cstheme="minorBidi"/>
                <w:b/>
                <w:bCs/>
                <w:color w:val="FF0000"/>
                <w:sz w:val="24"/>
                <w:szCs w:val="18"/>
                <w:highlight w:val="none"/>
                <w:u w:val="single"/>
                <w:lang w:val="en-US" w:eastAsia="zh-CN" w:bidi="ar-SA"/>
              </w:rPr>
              <w:t>最高限价</w:t>
            </w:r>
            <w:r>
              <w:rPr>
                <w:rFonts w:hint="default" w:ascii="宋体" w:hAnsi="宋体" w:eastAsia="宋体" w:cstheme="minorBidi"/>
                <w:b/>
                <w:bCs/>
                <w:color w:val="FF0000"/>
                <w:sz w:val="24"/>
                <w:szCs w:val="18"/>
                <w:highlight w:val="none"/>
                <w:u w:val="single"/>
                <w:lang w:val="en-US" w:eastAsia="zh-CN" w:bidi="ar-SA"/>
              </w:rPr>
              <w:t>61.4</w:t>
            </w:r>
            <w:r>
              <w:rPr>
                <w:rFonts w:hint="eastAsia" w:cstheme="minorBidi"/>
                <w:b/>
                <w:bCs/>
                <w:color w:val="FF0000"/>
                <w:sz w:val="24"/>
                <w:szCs w:val="18"/>
                <w:highlight w:val="none"/>
                <w:u w:val="single"/>
                <w:lang w:val="en-US" w:eastAsia="zh-CN" w:bidi="ar-SA"/>
              </w:rPr>
              <w:t>万元。</w:t>
            </w:r>
          </w:p>
          <w:p w14:paraId="4106A910">
            <w:pPr>
              <w:widowControl w:val="0"/>
              <w:spacing w:line="360" w:lineRule="auto"/>
              <w:ind w:leftChars="0" w:firstLine="435" w:firstLineChars="0"/>
              <w:jc w:val="both"/>
              <w:rPr>
                <w:rFonts w:hint="default" w:cstheme="minorBidi"/>
                <w:b/>
                <w:bCs/>
                <w:color w:val="FF0000"/>
                <w:sz w:val="24"/>
                <w:szCs w:val="18"/>
                <w:highlight w:val="none"/>
                <w:u w:val="single"/>
                <w:lang w:val="en-US" w:eastAsia="zh-CN" w:bidi="ar-SA"/>
              </w:rPr>
            </w:pPr>
            <w:r>
              <w:rPr>
                <w:rFonts w:hint="eastAsia" w:cstheme="minorBidi"/>
                <w:b/>
                <w:bCs/>
                <w:color w:val="FF0000"/>
                <w:sz w:val="24"/>
                <w:szCs w:val="18"/>
                <w:highlight w:val="none"/>
                <w:u w:val="single"/>
                <w:lang w:val="en-US" w:eastAsia="zh-CN" w:bidi="ar-SA"/>
              </w:rPr>
              <w:t>第4包：</w:t>
            </w:r>
            <w:r>
              <w:rPr>
                <w:rFonts w:hint="default" w:ascii="宋体" w:hAnsi="宋体" w:eastAsia="宋体" w:cstheme="minorBidi"/>
                <w:b/>
                <w:bCs/>
                <w:color w:val="FF0000"/>
                <w:sz w:val="24"/>
                <w:szCs w:val="18"/>
                <w:highlight w:val="none"/>
                <w:u w:val="single"/>
                <w:lang w:val="en-US" w:eastAsia="zh-CN" w:bidi="ar-SA"/>
              </w:rPr>
              <w:t>蒙城局</w:t>
            </w:r>
            <w:r>
              <w:rPr>
                <w:rFonts w:hint="eastAsia" w:cstheme="minorBidi"/>
                <w:b/>
                <w:bCs/>
                <w:color w:val="FF0000"/>
                <w:sz w:val="24"/>
                <w:szCs w:val="18"/>
                <w:highlight w:val="none"/>
                <w:u w:val="single"/>
                <w:lang w:val="en-US" w:eastAsia="zh-CN" w:bidi="ar-SA"/>
              </w:rPr>
              <w:t>最高限价</w:t>
            </w:r>
            <w:r>
              <w:rPr>
                <w:rFonts w:hint="default" w:ascii="宋体" w:hAnsi="宋体" w:eastAsia="宋体" w:cstheme="minorBidi"/>
                <w:b/>
                <w:bCs/>
                <w:color w:val="FF0000"/>
                <w:sz w:val="24"/>
                <w:szCs w:val="18"/>
                <w:highlight w:val="none"/>
                <w:u w:val="single"/>
                <w:lang w:val="en-US" w:eastAsia="zh-CN" w:bidi="ar-SA"/>
              </w:rPr>
              <w:t>52</w:t>
            </w:r>
            <w:r>
              <w:rPr>
                <w:rFonts w:hint="eastAsia" w:cstheme="minorBidi"/>
                <w:b/>
                <w:bCs/>
                <w:color w:val="FF0000"/>
                <w:sz w:val="24"/>
                <w:szCs w:val="18"/>
                <w:highlight w:val="none"/>
                <w:u w:val="single"/>
                <w:lang w:val="en-US" w:eastAsia="zh-CN" w:bidi="ar-SA"/>
              </w:rPr>
              <w:t>万元。</w:t>
            </w:r>
          </w:p>
          <w:p w14:paraId="0C968C24">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cstheme="minorBidi"/>
                <w:b/>
                <w:bCs/>
                <w:color w:val="FF0000"/>
                <w:sz w:val="24"/>
                <w:szCs w:val="18"/>
                <w:highlight w:val="none"/>
                <w:u w:val="single"/>
                <w:lang w:val="en-US" w:eastAsia="zh-CN" w:bidi="ar-SA"/>
              </w:rPr>
              <w:t>第5包：</w:t>
            </w:r>
            <w:r>
              <w:rPr>
                <w:rFonts w:hint="default" w:ascii="宋体" w:hAnsi="宋体" w:eastAsia="宋体" w:cstheme="minorBidi"/>
                <w:b/>
                <w:bCs/>
                <w:color w:val="FF0000"/>
                <w:sz w:val="24"/>
                <w:szCs w:val="18"/>
                <w:highlight w:val="none"/>
                <w:u w:val="single"/>
                <w:lang w:val="en-US" w:eastAsia="zh-CN" w:bidi="ar-SA"/>
              </w:rPr>
              <w:t>潘集局</w:t>
            </w:r>
            <w:r>
              <w:rPr>
                <w:rFonts w:hint="eastAsia" w:cstheme="minorBidi"/>
                <w:b/>
                <w:bCs/>
                <w:color w:val="FF0000"/>
                <w:sz w:val="24"/>
                <w:szCs w:val="18"/>
                <w:highlight w:val="none"/>
                <w:u w:val="single"/>
                <w:lang w:val="en-US" w:eastAsia="zh-CN" w:bidi="ar-SA"/>
              </w:rPr>
              <w:t>最高限价</w:t>
            </w:r>
            <w:r>
              <w:rPr>
                <w:rFonts w:hint="default" w:ascii="宋体" w:hAnsi="宋体" w:eastAsia="宋体" w:cstheme="minorBidi"/>
                <w:b/>
                <w:bCs/>
                <w:color w:val="FF0000"/>
                <w:sz w:val="24"/>
                <w:szCs w:val="18"/>
                <w:highlight w:val="none"/>
                <w:u w:val="single"/>
                <w:lang w:val="en-US" w:eastAsia="zh-CN" w:bidi="ar-SA"/>
              </w:rPr>
              <w:t>43.3</w:t>
            </w:r>
            <w:r>
              <w:rPr>
                <w:rFonts w:hint="eastAsia" w:cstheme="minorBidi"/>
                <w:b/>
                <w:bCs/>
                <w:color w:val="FF0000"/>
                <w:sz w:val="24"/>
                <w:szCs w:val="18"/>
                <w:highlight w:val="none"/>
                <w:u w:val="single"/>
                <w:lang w:val="en-US" w:eastAsia="zh-CN" w:bidi="ar-SA"/>
              </w:rPr>
              <w:t>万元。</w:t>
            </w:r>
          </w:p>
          <w:p w14:paraId="64F3046C">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cstheme="minorBidi"/>
                <w:b/>
                <w:bCs/>
                <w:color w:val="FF0000"/>
                <w:sz w:val="24"/>
                <w:szCs w:val="18"/>
                <w:highlight w:val="none"/>
                <w:u w:val="single"/>
                <w:lang w:val="en-US" w:eastAsia="zh-CN" w:bidi="ar-SA"/>
              </w:rPr>
              <w:t>第6包：</w:t>
            </w:r>
            <w:r>
              <w:rPr>
                <w:rFonts w:hint="default" w:ascii="宋体" w:hAnsi="宋体" w:eastAsia="宋体" w:cstheme="minorBidi"/>
                <w:b/>
                <w:bCs/>
                <w:color w:val="FF0000"/>
                <w:sz w:val="24"/>
                <w:szCs w:val="18"/>
                <w:highlight w:val="none"/>
                <w:u w:val="single"/>
                <w:lang w:val="en-US" w:eastAsia="zh-CN" w:bidi="ar-SA"/>
              </w:rPr>
              <w:t>颍东局</w:t>
            </w:r>
            <w:r>
              <w:rPr>
                <w:rFonts w:hint="eastAsia" w:cstheme="minorBidi"/>
                <w:b/>
                <w:bCs/>
                <w:color w:val="FF0000"/>
                <w:sz w:val="24"/>
                <w:szCs w:val="18"/>
                <w:highlight w:val="none"/>
                <w:u w:val="single"/>
                <w:lang w:val="en-US" w:eastAsia="zh-CN" w:bidi="ar-SA"/>
              </w:rPr>
              <w:t>最高限价</w:t>
            </w:r>
            <w:r>
              <w:rPr>
                <w:rFonts w:hint="default" w:ascii="宋体" w:hAnsi="宋体" w:eastAsia="宋体" w:cstheme="minorBidi"/>
                <w:b/>
                <w:bCs/>
                <w:color w:val="FF0000"/>
                <w:sz w:val="24"/>
                <w:szCs w:val="18"/>
                <w:highlight w:val="none"/>
                <w:u w:val="single"/>
                <w:lang w:val="en-US" w:eastAsia="zh-CN" w:bidi="ar-SA"/>
              </w:rPr>
              <w:t>40.2</w:t>
            </w:r>
            <w:r>
              <w:rPr>
                <w:rFonts w:hint="eastAsia" w:cstheme="minorBidi"/>
                <w:b/>
                <w:bCs/>
                <w:color w:val="FF0000"/>
                <w:sz w:val="24"/>
                <w:szCs w:val="18"/>
                <w:highlight w:val="none"/>
                <w:u w:val="single"/>
                <w:lang w:val="en-US" w:eastAsia="zh-CN" w:bidi="ar-SA"/>
              </w:rPr>
              <w:t>万元。</w:t>
            </w:r>
          </w:p>
          <w:p w14:paraId="0C5ADFC6">
            <w:pPr>
              <w:widowControl w:val="0"/>
              <w:spacing w:line="360" w:lineRule="auto"/>
              <w:ind w:leftChars="0" w:firstLine="435" w:firstLineChars="0"/>
              <w:jc w:val="both"/>
              <w:rPr>
                <w:rFonts w:hint="default" w:cstheme="minorBidi"/>
                <w:color w:val="FF0000"/>
                <w:sz w:val="24"/>
                <w:szCs w:val="18"/>
                <w:highlight w:val="none"/>
                <w:u w:val="single"/>
                <w:lang w:val="en-US" w:eastAsia="zh-CN" w:bidi="ar-SA"/>
              </w:rPr>
            </w:pPr>
            <w:r>
              <w:rPr>
                <w:rFonts w:hint="eastAsia" w:cstheme="minorBidi"/>
                <w:b/>
                <w:bCs/>
                <w:color w:val="FF0000"/>
                <w:sz w:val="24"/>
                <w:szCs w:val="18"/>
                <w:highlight w:val="none"/>
                <w:u w:val="single"/>
                <w:lang w:val="en-US" w:eastAsia="zh-CN" w:bidi="ar-SA"/>
              </w:rPr>
              <w:t>第7包：</w:t>
            </w:r>
            <w:r>
              <w:rPr>
                <w:rFonts w:hint="default" w:ascii="宋体" w:hAnsi="宋体" w:eastAsia="宋体" w:cstheme="minorBidi"/>
                <w:b/>
                <w:bCs/>
                <w:color w:val="FF0000"/>
                <w:sz w:val="24"/>
                <w:szCs w:val="18"/>
                <w:highlight w:val="none"/>
                <w:u w:val="single"/>
                <w:lang w:val="en-US" w:eastAsia="zh-CN" w:bidi="ar-SA"/>
              </w:rPr>
              <w:t>颍上局</w:t>
            </w:r>
            <w:r>
              <w:rPr>
                <w:rFonts w:hint="eastAsia" w:cstheme="minorBidi"/>
                <w:b/>
                <w:bCs/>
                <w:color w:val="FF0000"/>
                <w:sz w:val="24"/>
                <w:szCs w:val="18"/>
                <w:highlight w:val="none"/>
                <w:u w:val="single"/>
                <w:lang w:val="en-US" w:eastAsia="zh-CN" w:bidi="ar-SA"/>
              </w:rPr>
              <w:t>最高限价</w:t>
            </w:r>
            <w:r>
              <w:rPr>
                <w:rFonts w:hint="default" w:ascii="宋体" w:hAnsi="宋体" w:eastAsia="宋体" w:cstheme="minorBidi"/>
                <w:b/>
                <w:bCs/>
                <w:color w:val="FF0000"/>
                <w:sz w:val="24"/>
                <w:szCs w:val="18"/>
                <w:highlight w:val="none"/>
                <w:u w:val="single"/>
                <w:lang w:val="en-US" w:eastAsia="zh-CN" w:bidi="ar-SA"/>
              </w:rPr>
              <w:t>39</w:t>
            </w:r>
            <w:r>
              <w:rPr>
                <w:rFonts w:hint="eastAsia" w:cstheme="minorBidi"/>
                <w:b/>
                <w:bCs/>
                <w:color w:val="FF0000"/>
                <w:sz w:val="24"/>
                <w:szCs w:val="18"/>
                <w:highlight w:val="none"/>
                <w:u w:val="single"/>
                <w:lang w:val="en-US" w:eastAsia="zh-CN" w:bidi="ar-SA"/>
              </w:rPr>
              <w:t>万元。</w:t>
            </w:r>
          </w:p>
          <w:p w14:paraId="141EC936">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cstheme="minorBidi"/>
                <w:b/>
                <w:bCs/>
                <w:color w:val="FF0000"/>
                <w:sz w:val="24"/>
                <w:szCs w:val="18"/>
                <w:highlight w:val="none"/>
                <w:u w:val="single"/>
                <w:lang w:val="en-US" w:eastAsia="zh-CN" w:bidi="ar-SA"/>
              </w:rPr>
              <w:t>第8包：</w:t>
            </w:r>
            <w:r>
              <w:rPr>
                <w:rFonts w:hint="default" w:ascii="宋体" w:hAnsi="宋体" w:eastAsia="宋体" w:cstheme="minorBidi"/>
                <w:b/>
                <w:bCs/>
                <w:color w:val="FF0000"/>
                <w:sz w:val="24"/>
                <w:szCs w:val="18"/>
                <w:highlight w:val="none"/>
                <w:u w:val="single"/>
                <w:lang w:val="en-US" w:eastAsia="zh-CN" w:bidi="ar-SA"/>
              </w:rPr>
              <w:t>明光局</w:t>
            </w:r>
            <w:r>
              <w:rPr>
                <w:rFonts w:hint="eastAsia" w:cstheme="minorBidi"/>
                <w:b/>
                <w:bCs/>
                <w:color w:val="FF0000"/>
                <w:sz w:val="24"/>
                <w:szCs w:val="18"/>
                <w:highlight w:val="none"/>
                <w:u w:val="single"/>
                <w:lang w:val="en-US" w:eastAsia="zh-CN" w:bidi="ar-SA"/>
              </w:rPr>
              <w:t>最高限价</w:t>
            </w:r>
            <w:r>
              <w:rPr>
                <w:rFonts w:hint="default" w:ascii="宋体" w:hAnsi="宋体" w:eastAsia="宋体" w:cstheme="minorBidi"/>
                <w:b/>
                <w:bCs/>
                <w:color w:val="FF0000"/>
                <w:sz w:val="24"/>
                <w:szCs w:val="18"/>
                <w:highlight w:val="none"/>
                <w:u w:val="single"/>
                <w:lang w:val="en-US" w:eastAsia="zh-CN" w:bidi="ar-SA"/>
              </w:rPr>
              <w:t>28.3</w:t>
            </w:r>
            <w:r>
              <w:rPr>
                <w:rFonts w:hint="eastAsia" w:cstheme="minorBidi"/>
                <w:b/>
                <w:bCs/>
                <w:color w:val="FF0000"/>
                <w:sz w:val="24"/>
                <w:szCs w:val="18"/>
                <w:highlight w:val="none"/>
                <w:u w:val="single"/>
                <w:lang w:val="en-US" w:eastAsia="zh-CN" w:bidi="ar-SA"/>
              </w:rPr>
              <w:t>万元。</w:t>
            </w:r>
          </w:p>
          <w:p w14:paraId="6B798F93">
            <w:pPr>
              <w:widowControl w:val="0"/>
              <w:spacing w:line="360" w:lineRule="auto"/>
              <w:ind w:leftChars="0" w:firstLine="435" w:firstLineChars="0"/>
              <w:jc w:val="both"/>
              <w:rPr>
                <w:rFonts w:hint="eastAsia" w:cstheme="minorBidi"/>
                <w:b/>
                <w:bCs/>
                <w:color w:val="FF0000"/>
                <w:sz w:val="24"/>
                <w:szCs w:val="18"/>
                <w:highlight w:val="none"/>
                <w:u w:val="single"/>
                <w:lang w:val="en-US" w:eastAsia="zh-CN" w:bidi="ar-SA"/>
              </w:rPr>
            </w:pPr>
            <w:r>
              <w:rPr>
                <w:rFonts w:hint="eastAsia"/>
                <w:b/>
                <w:bCs/>
                <w:color w:val="FF0000"/>
                <w:sz w:val="24"/>
                <w:szCs w:val="24"/>
                <w:highlight w:val="none"/>
                <w:lang w:val="en-US" w:eastAsia="zh-CN"/>
              </w:rPr>
              <w:t>各包</w:t>
            </w:r>
            <w:r>
              <w:rPr>
                <w:rFonts w:hint="eastAsia"/>
                <w:b/>
                <w:bCs/>
                <w:color w:val="FF0000"/>
                <w:sz w:val="24"/>
                <w:szCs w:val="24"/>
                <w:highlight w:val="none"/>
              </w:rPr>
              <w:t>供应商的</w:t>
            </w:r>
            <w:r>
              <w:rPr>
                <w:rFonts w:hint="eastAsia"/>
                <w:b/>
                <w:bCs/>
                <w:color w:val="FF0000"/>
                <w:sz w:val="24"/>
                <w:szCs w:val="24"/>
                <w:highlight w:val="none"/>
                <w:lang w:val="en-US" w:eastAsia="zh-CN"/>
              </w:rPr>
              <w:t>投标</w:t>
            </w:r>
            <w:r>
              <w:rPr>
                <w:rFonts w:hint="eastAsia"/>
                <w:b/>
                <w:bCs/>
                <w:color w:val="FF0000"/>
                <w:sz w:val="24"/>
                <w:szCs w:val="24"/>
                <w:highlight w:val="none"/>
              </w:rPr>
              <w:t>报价不得超过</w:t>
            </w:r>
            <w:r>
              <w:rPr>
                <w:rFonts w:hint="eastAsia"/>
                <w:b/>
                <w:bCs/>
                <w:color w:val="FF0000"/>
                <w:sz w:val="24"/>
                <w:szCs w:val="24"/>
                <w:highlight w:val="none"/>
                <w:lang w:val="en-US" w:eastAsia="zh-CN"/>
              </w:rPr>
              <w:t>各包</w:t>
            </w:r>
            <w:r>
              <w:rPr>
                <w:rFonts w:hint="eastAsia"/>
                <w:b/>
                <w:bCs/>
                <w:color w:val="FF0000"/>
                <w:sz w:val="24"/>
                <w:szCs w:val="24"/>
                <w:highlight w:val="none"/>
              </w:rPr>
              <w:t>采购人公</w:t>
            </w:r>
            <w:r>
              <w:rPr>
                <w:b/>
                <w:bCs/>
                <w:color w:val="FF0000"/>
                <w:sz w:val="24"/>
                <w:szCs w:val="24"/>
                <w:highlight w:val="none"/>
              </w:rPr>
              <w:t>布的最高限价，否则其响应文件按照无效处理。</w:t>
            </w:r>
          </w:p>
        </w:tc>
      </w:tr>
      <w:tr w14:paraId="33FF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16" w:type="dxa"/>
            <w:vAlign w:val="center"/>
          </w:tcPr>
          <w:p w14:paraId="6CD6A423">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0</w:t>
            </w:r>
            <w:r>
              <w:rPr>
                <w:bCs/>
                <w:color w:val="auto"/>
                <w:kern w:val="2"/>
                <w:highlight w:val="none"/>
              </w:rPr>
              <w:t>.1</w:t>
            </w:r>
          </w:p>
        </w:tc>
        <w:tc>
          <w:tcPr>
            <w:tcW w:w="977" w:type="pct"/>
            <w:vAlign w:val="center"/>
          </w:tcPr>
          <w:p w14:paraId="3D4B789B">
            <w:pPr>
              <w:pStyle w:val="69"/>
              <w:widowControl w:val="0"/>
              <w:spacing w:before="0" w:beforeAutospacing="0" w:after="0" w:afterAutospacing="0" w:line="360" w:lineRule="auto"/>
              <w:jc w:val="left"/>
              <w:rPr>
                <w:b w:val="0"/>
                <w:color w:val="auto"/>
                <w:sz w:val="24"/>
                <w:highlight w:val="none"/>
              </w:rPr>
            </w:pPr>
            <w:r>
              <w:rPr>
                <w:rFonts w:hint="eastAsia"/>
                <w:b w:val="0"/>
                <w:color w:val="auto"/>
                <w:sz w:val="24"/>
                <w:highlight w:val="none"/>
              </w:rPr>
              <w:t>磋商保证金</w:t>
            </w:r>
          </w:p>
        </w:tc>
        <w:tc>
          <w:tcPr>
            <w:tcW w:w="3556" w:type="pct"/>
            <w:vAlign w:val="center"/>
          </w:tcPr>
          <w:p w14:paraId="7B97CC4F">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不收取</w:t>
            </w:r>
          </w:p>
        </w:tc>
      </w:tr>
      <w:tr w14:paraId="63A5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E645D54">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1</w:t>
            </w:r>
            <w:r>
              <w:rPr>
                <w:bCs/>
                <w:color w:val="auto"/>
                <w:kern w:val="2"/>
                <w:highlight w:val="none"/>
              </w:rPr>
              <w:t>.1</w:t>
            </w:r>
          </w:p>
        </w:tc>
        <w:tc>
          <w:tcPr>
            <w:tcW w:w="977" w:type="pct"/>
            <w:vAlign w:val="center"/>
          </w:tcPr>
          <w:p w14:paraId="34E62884">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磋商有效期</w:t>
            </w:r>
          </w:p>
        </w:tc>
        <w:tc>
          <w:tcPr>
            <w:tcW w:w="3556" w:type="pct"/>
            <w:vAlign w:val="center"/>
          </w:tcPr>
          <w:p w14:paraId="213439D9">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single"/>
                <w:lang w:val="en-US" w:eastAsia="zh-CN"/>
              </w:rPr>
              <w:t>90</w:t>
            </w:r>
            <w:r>
              <w:rPr>
                <w:rFonts w:hint="eastAsia"/>
                <w:b w:val="0"/>
                <w:color w:val="auto"/>
                <w:sz w:val="24"/>
                <w:highlight w:val="none"/>
              </w:rPr>
              <w:t>日历日</w:t>
            </w:r>
          </w:p>
        </w:tc>
      </w:tr>
      <w:tr w14:paraId="7FBA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54439FF6">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2</w:t>
            </w:r>
            <w:r>
              <w:rPr>
                <w:bCs/>
                <w:color w:val="auto"/>
                <w:kern w:val="2"/>
                <w:highlight w:val="none"/>
              </w:rPr>
              <w:t>.3</w:t>
            </w:r>
          </w:p>
        </w:tc>
        <w:tc>
          <w:tcPr>
            <w:tcW w:w="977" w:type="pct"/>
            <w:vAlign w:val="center"/>
          </w:tcPr>
          <w:p w14:paraId="00FF1EE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响应文件解密时间</w:t>
            </w:r>
          </w:p>
        </w:tc>
        <w:tc>
          <w:tcPr>
            <w:tcW w:w="3556" w:type="pct"/>
            <w:vAlign w:val="center"/>
          </w:tcPr>
          <w:p w14:paraId="3A2BAE7E">
            <w:pPr>
              <w:pStyle w:val="69"/>
              <w:widowControl w:val="0"/>
              <w:spacing w:before="0" w:beforeAutospacing="0" w:after="0" w:afterAutospacing="0" w:line="360" w:lineRule="auto"/>
              <w:jc w:val="both"/>
              <w:rPr>
                <w:b w:val="0"/>
                <w:color w:val="auto"/>
                <w:sz w:val="24"/>
                <w:highlight w:val="none"/>
                <w:u w:val="single"/>
              </w:rPr>
            </w:pPr>
            <w:r>
              <w:rPr>
                <w:rFonts w:hint="eastAsia"/>
                <w:b w:val="0"/>
                <w:color w:val="auto"/>
                <w:sz w:val="24"/>
                <w:highlight w:val="none"/>
                <w:u w:val="none"/>
              </w:rPr>
              <w:t>响应文件提交截止时间后</w:t>
            </w:r>
            <w:r>
              <w:rPr>
                <w:rFonts w:hint="eastAsia"/>
                <w:b w:val="0"/>
                <w:color w:val="auto"/>
                <w:sz w:val="24"/>
                <w:highlight w:val="none"/>
                <w:u w:val="single"/>
                <w:lang w:val="en-US" w:eastAsia="zh-CN"/>
              </w:rPr>
              <w:t>60</w:t>
            </w:r>
            <w:r>
              <w:rPr>
                <w:rFonts w:hint="eastAsia"/>
                <w:b w:val="0"/>
                <w:color w:val="auto"/>
                <w:sz w:val="24"/>
                <w:highlight w:val="none"/>
                <w:u w:val="none"/>
              </w:rPr>
              <w:t>分钟内</w:t>
            </w:r>
          </w:p>
        </w:tc>
      </w:tr>
      <w:tr w14:paraId="43DA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4DA08F7">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rPr>
              <w:t>1</w:t>
            </w:r>
            <w:r>
              <w:rPr>
                <w:rFonts w:hint="eastAsia"/>
                <w:bCs/>
                <w:color w:val="auto"/>
                <w:kern w:val="2"/>
                <w:highlight w:val="none"/>
                <w:lang w:val="en-US" w:eastAsia="zh-CN"/>
              </w:rPr>
              <w:t>4</w:t>
            </w:r>
            <w:r>
              <w:rPr>
                <w:rFonts w:hint="eastAsia"/>
                <w:bCs/>
                <w:color w:val="auto"/>
                <w:kern w:val="2"/>
                <w:highlight w:val="none"/>
              </w:rPr>
              <w:t>.3</w:t>
            </w:r>
          </w:p>
        </w:tc>
        <w:tc>
          <w:tcPr>
            <w:tcW w:w="977" w:type="pct"/>
            <w:vAlign w:val="center"/>
          </w:tcPr>
          <w:p w14:paraId="4457C2CE">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评审方法</w:t>
            </w:r>
          </w:p>
        </w:tc>
        <w:tc>
          <w:tcPr>
            <w:tcW w:w="3556" w:type="pct"/>
            <w:vAlign w:val="center"/>
          </w:tcPr>
          <w:p w14:paraId="418A12CA">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u w:val="none"/>
              </w:rPr>
              <w:t>综合评分法</w:t>
            </w:r>
          </w:p>
        </w:tc>
      </w:tr>
      <w:tr w14:paraId="62AF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00BA7D37">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17</w:t>
            </w:r>
            <w:r>
              <w:rPr>
                <w:bCs/>
                <w:color w:val="auto"/>
                <w:kern w:val="2"/>
                <w:highlight w:val="none"/>
              </w:rPr>
              <w:t>.</w:t>
            </w:r>
            <w:r>
              <w:rPr>
                <w:rFonts w:hint="eastAsia"/>
                <w:bCs/>
                <w:color w:val="auto"/>
                <w:kern w:val="2"/>
                <w:highlight w:val="none"/>
              </w:rPr>
              <w:t>4</w:t>
            </w:r>
          </w:p>
        </w:tc>
        <w:tc>
          <w:tcPr>
            <w:tcW w:w="977" w:type="pct"/>
            <w:vAlign w:val="center"/>
          </w:tcPr>
          <w:p w14:paraId="65A19DF9">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最后报价扣除</w:t>
            </w:r>
          </w:p>
          <w:p w14:paraId="2C63B818">
            <w:pPr>
              <w:pStyle w:val="69"/>
              <w:widowControl w:val="0"/>
              <w:spacing w:before="0" w:beforeAutospacing="0" w:after="0" w:afterAutospacing="0" w:line="360" w:lineRule="auto"/>
              <w:jc w:val="both"/>
              <w:rPr>
                <w:b w:val="0"/>
                <w:color w:val="auto"/>
                <w:sz w:val="24"/>
                <w:highlight w:val="none"/>
              </w:rPr>
            </w:pPr>
            <w:r>
              <w:rPr>
                <w:rFonts w:hint="eastAsia"/>
                <w:b w:val="0"/>
                <w:i/>
                <w:color w:val="auto"/>
                <w:sz w:val="24"/>
                <w:highlight w:val="none"/>
              </w:rPr>
              <w:t>（非专门面向中小企业采购项目适用）</w:t>
            </w:r>
          </w:p>
        </w:tc>
        <w:tc>
          <w:tcPr>
            <w:tcW w:w="3556" w:type="pct"/>
            <w:vAlign w:val="center"/>
          </w:tcPr>
          <w:p w14:paraId="62642F61">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（1）</w:t>
            </w:r>
            <w:r>
              <w:rPr>
                <w:rFonts w:ascii="宋体" w:hAnsi="宋体" w:eastAsia="宋体"/>
                <w:b w:val="0"/>
                <w:color w:val="auto"/>
                <w:sz w:val="24"/>
                <w:highlight w:val="none"/>
              </w:rPr>
              <w:t>小型和微型</w:t>
            </w:r>
            <w:r>
              <w:rPr>
                <w:rFonts w:hint="eastAsia" w:ascii="宋体" w:hAnsi="宋体" w:eastAsia="宋体"/>
                <w:b w:val="0"/>
                <w:color w:val="auto"/>
                <w:sz w:val="24"/>
                <w:highlight w:val="none"/>
              </w:rPr>
              <w:t>企业价格扣除：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p>
          <w:p w14:paraId="7A03460E">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（2）监狱企业价格扣除：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2F264467">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（3）残疾人福利性单位价格扣除：</w:t>
            </w:r>
            <w:r>
              <w:rPr>
                <w:rFonts w:hint="eastAsia" w:ascii="宋体" w:hAnsi="宋体" w:eastAsia="宋体"/>
                <w:b w:val="0"/>
                <w:color w:val="auto"/>
                <w:sz w:val="24"/>
                <w:highlight w:val="none"/>
                <w:u w:val="none"/>
              </w:rPr>
              <w:t>同</w:t>
            </w:r>
            <w:r>
              <w:rPr>
                <w:rFonts w:ascii="宋体" w:hAnsi="宋体" w:eastAsia="宋体"/>
                <w:b w:val="0"/>
                <w:color w:val="auto"/>
                <w:sz w:val="24"/>
                <w:highlight w:val="none"/>
                <w:u w:val="none"/>
              </w:rPr>
              <w:t>小型和微型企业</w:t>
            </w:r>
            <w:r>
              <w:rPr>
                <w:rFonts w:hint="eastAsia" w:ascii="宋体" w:hAnsi="宋体" w:eastAsia="宋体"/>
                <w:b w:val="0"/>
                <w:color w:val="auto"/>
                <w:sz w:val="24"/>
                <w:highlight w:val="none"/>
              </w:rPr>
              <w:t>。</w:t>
            </w:r>
          </w:p>
          <w:p w14:paraId="24ABE2B3">
            <w:pPr>
              <w:pStyle w:val="69"/>
              <w:widowControl w:val="0"/>
              <w:spacing w:before="0" w:beforeAutospacing="0" w:after="0" w:afterAutospacing="0" w:line="360" w:lineRule="auto"/>
              <w:jc w:val="both"/>
              <w:rPr>
                <w:rFonts w:ascii="宋体" w:hAnsi="宋体" w:eastAsia="宋体"/>
                <w:b w:val="0"/>
                <w:color w:val="auto"/>
                <w:sz w:val="24"/>
                <w:highlight w:val="none"/>
              </w:rPr>
            </w:pPr>
            <w:r>
              <w:rPr>
                <w:rFonts w:hint="eastAsia" w:ascii="宋体" w:hAnsi="宋体" w:eastAsia="宋体"/>
                <w:b w:val="0"/>
                <w:color w:val="auto"/>
                <w:sz w:val="24"/>
                <w:highlight w:val="none"/>
              </w:rPr>
              <w:t>（4）符合条件的联合体价格扣除：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p>
          <w:p w14:paraId="607324ED">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highlight w:val="none"/>
              </w:rPr>
              <w:t>（5）符合条件的向小微企业分包的大中型企业价格扣除：</w:t>
            </w:r>
            <w:r>
              <w:rPr>
                <w:rFonts w:hint="eastAsia"/>
                <w:b w:val="0"/>
                <w:color w:val="auto"/>
                <w:sz w:val="24"/>
                <w:highlight w:val="none"/>
                <w:u w:val="single"/>
                <w:lang w:val="en-US" w:eastAsia="zh-CN"/>
              </w:rPr>
              <w:t>/</w:t>
            </w:r>
            <w:r>
              <w:rPr>
                <w:rFonts w:hint="eastAsia" w:ascii="宋体" w:hAnsi="宋体" w:eastAsia="宋体"/>
                <w:b w:val="0"/>
                <w:color w:val="auto"/>
                <w:sz w:val="24"/>
                <w:highlight w:val="none"/>
              </w:rPr>
              <w:t>。</w:t>
            </w:r>
            <w:r>
              <w:rPr>
                <w:rFonts w:hint="eastAsia" w:ascii="宋体" w:hAnsi="宋体" w:eastAsia="宋体"/>
                <w:b w:val="0"/>
                <w:i/>
                <w:color w:val="auto"/>
                <w:sz w:val="24"/>
                <w:highlight w:val="none"/>
              </w:rPr>
              <w:t>（允许大中型企业向小微企业分包的项目适用）</w:t>
            </w:r>
          </w:p>
        </w:tc>
      </w:tr>
      <w:tr w14:paraId="1A12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Merge w:val="restart"/>
            <w:vAlign w:val="center"/>
          </w:tcPr>
          <w:p w14:paraId="662D8029">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19</w:t>
            </w:r>
            <w:r>
              <w:rPr>
                <w:bCs/>
                <w:color w:val="auto"/>
                <w:kern w:val="2"/>
                <w:highlight w:val="none"/>
              </w:rPr>
              <w:t>.</w:t>
            </w:r>
            <w:r>
              <w:rPr>
                <w:rFonts w:hint="eastAsia"/>
                <w:bCs/>
                <w:color w:val="auto"/>
                <w:kern w:val="2"/>
                <w:highlight w:val="none"/>
              </w:rPr>
              <w:t>1</w:t>
            </w:r>
          </w:p>
        </w:tc>
        <w:tc>
          <w:tcPr>
            <w:tcW w:w="977" w:type="pct"/>
            <w:vMerge w:val="restart"/>
            <w:vAlign w:val="center"/>
          </w:tcPr>
          <w:p w14:paraId="7E6D4AB5">
            <w:pPr>
              <w:pStyle w:val="69"/>
              <w:widowControl w:val="0"/>
              <w:spacing w:before="0" w:beforeAutospacing="0" w:after="0" w:afterAutospacing="0" w:line="360" w:lineRule="auto"/>
              <w:jc w:val="both"/>
              <w:rPr>
                <w:b w:val="0"/>
                <w:color w:val="auto"/>
                <w:sz w:val="24"/>
                <w:highlight w:val="none"/>
              </w:rPr>
            </w:pPr>
            <w:r>
              <w:rPr>
                <w:rFonts w:hint="eastAsia" w:asciiTheme="minorEastAsia" w:hAnsiTheme="minorEastAsia" w:eastAsiaTheme="minorEastAsia"/>
                <w:b w:val="0"/>
                <w:color w:val="auto"/>
                <w:sz w:val="24"/>
                <w:highlight w:val="none"/>
              </w:rPr>
              <w:t>确定成交候选供应商和成交供应商</w:t>
            </w:r>
          </w:p>
        </w:tc>
        <w:tc>
          <w:tcPr>
            <w:tcW w:w="3556" w:type="pct"/>
            <w:vAlign w:val="center"/>
          </w:tcPr>
          <w:p w14:paraId="5206676F">
            <w:pPr>
              <w:pStyle w:val="69"/>
              <w:widowControl w:val="0"/>
              <w:spacing w:before="0" w:beforeAutospacing="0" w:after="0" w:afterAutospacing="0" w:line="360" w:lineRule="auto"/>
              <w:jc w:val="both"/>
              <w:rPr>
                <w:rFonts w:hint="eastAsia" w:ascii="宋体" w:hAnsi="宋体" w:eastAsia="宋体"/>
                <w:b w:val="0"/>
                <w:color w:val="auto"/>
                <w:sz w:val="24"/>
                <w:highlight w:val="none"/>
                <w:lang w:val="en-US" w:eastAsia="zh-CN"/>
              </w:rPr>
            </w:pPr>
            <w:r>
              <w:rPr>
                <w:rFonts w:hint="eastAsia"/>
                <w:b w:val="0"/>
                <w:color w:val="auto"/>
                <w:sz w:val="24"/>
                <w:highlight w:val="none"/>
              </w:rPr>
              <w:t>磋商小组推荐成交</w:t>
            </w:r>
            <w:r>
              <w:rPr>
                <w:b w:val="0"/>
                <w:color w:val="auto"/>
                <w:sz w:val="24"/>
                <w:highlight w:val="none"/>
              </w:rPr>
              <w:t>候选</w:t>
            </w:r>
            <w:r>
              <w:rPr>
                <w:rFonts w:hint="eastAsia"/>
                <w:b w:val="0"/>
                <w:color w:val="auto"/>
                <w:sz w:val="24"/>
                <w:highlight w:val="none"/>
              </w:rPr>
              <w:t>供应商的</w:t>
            </w:r>
            <w:r>
              <w:rPr>
                <w:b w:val="0"/>
                <w:color w:val="auto"/>
                <w:sz w:val="24"/>
                <w:highlight w:val="none"/>
              </w:rPr>
              <w:t>数量</w:t>
            </w:r>
            <w:r>
              <w:rPr>
                <w:rFonts w:hint="eastAsia"/>
                <w:b w:val="0"/>
                <w:color w:val="auto"/>
                <w:sz w:val="24"/>
                <w:highlight w:val="none"/>
              </w:rPr>
              <w:t>：</w:t>
            </w:r>
            <w:r>
              <w:rPr>
                <w:rFonts w:hint="eastAsia" w:ascii="宋体" w:hAnsi="宋体" w:eastAsia="宋体"/>
                <w:b w:val="0"/>
                <w:color w:val="auto"/>
                <w:sz w:val="24"/>
                <w:highlight w:val="none"/>
              </w:rPr>
              <w:t>3家</w:t>
            </w:r>
            <w:r>
              <w:rPr>
                <w:rFonts w:hint="eastAsia" w:ascii="宋体" w:hAnsi="宋体" w:eastAsia="宋体"/>
                <w:b w:val="0"/>
                <w:color w:val="auto"/>
                <w:sz w:val="24"/>
                <w:highlight w:val="none"/>
                <w:lang w:val="en-US" w:eastAsia="zh-CN"/>
              </w:rPr>
              <w:t>以上</w:t>
            </w:r>
          </w:p>
          <w:p w14:paraId="1EEBAE98">
            <w:pPr>
              <w:pStyle w:val="69"/>
              <w:widowControl w:val="0"/>
              <w:spacing w:before="0" w:beforeAutospacing="0" w:after="0" w:afterAutospacing="0" w:line="360" w:lineRule="auto"/>
              <w:jc w:val="both"/>
              <w:rPr>
                <w:b w:val="0"/>
                <w:color w:val="auto"/>
                <w:sz w:val="24"/>
                <w:highlight w:val="none"/>
                <w:u w:val="single"/>
              </w:rPr>
            </w:pPr>
            <w:r>
              <w:rPr>
                <w:rFonts w:hint="eastAsia" w:ascii="宋体" w:hAnsi="宋体" w:eastAsia="宋体"/>
                <w:b w:val="0"/>
                <w:color w:val="auto"/>
                <w:sz w:val="24"/>
                <w:highlight w:val="none"/>
                <w:lang w:val="en-US" w:eastAsia="zh-CN"/>
              </w:rPr>
              <w:t>注：法律、法规另有规定的，从其规定</w:t>
            </w:r>
          </w:p>
        </w:tc>
      </w:tr>
      <w:tr w14:paraId="4708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Merge w:val="continue"/>
            <w:vAlign w:val="center"/>
          </w:tcPr>
          <w:p w14:paraId="4D22848D">
            <w:pPr>
              <w:pStyle w:val="70"/>
              <w:pBdr>
                <w:bottom w:val="none" w:color="auto" w:sz="0" w:space="0"/>
              </w:pBdr>
              <w:tabs>
                <w:tab w:val="clear" w:pos="4153"/>
                <w:tab w:val="clear" w:pos="8306"/>
              </w:tabs>
              <w:adjustRightInd/>
              <w:spacing w:line="360" w:lineRule="auto"/>
              <w:textAlignment w:val="auto"/>
              <w:rPr>
                <w:bCs/>
                <w:color w:val="auto"/>
                <w:kern w:val="2"/>
                <w:highlight w:val="none"/>
              </w:rPr>
            </w:pPr>
          </w:p>
        </w:tc>
        <w:tc>
          <w:tcPr>
            <w:tcW w:w="977" w:type="pct"/>
            <w:vMerge w:val="continue"/>
            <w:vAlign w:val="center"/>
          </w:tcPr>
          <w:p w14:paraId="1249A41A">
            <w:pPr>
              <w:pStyle w:val="69"/>
              <w:widowControl w:val="0"/>
              <w:spacing w:before="0" w:beforeAutospacing="0" w:after="0" w:afterAutospacing="0" w:line="360" w:lineRule="auto"/>
              <w:jc w:val="both"/>
              <w:rPr>
                <w:b w:val="0"/>
                <w:color w:val="auto"/>
                <w:sz w:val="24"/>
                <w:highlight w:val="none"/>
              </w:rPr>
            </w:pPr>
          </w:p>
        </w:tc>
        <w:tc>
          <w:tcPr>
            <w:tcW w:w="3556" w:type="pct"/>
            <w:vAlign w:val="center"/>
          </w:tcPr>
          <w:p w14:paraId="60E3A15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确定成交供应商：</w:t>
            </w:r>
          </w:p>
          <w:p w14:paraId="364ACE0F">
            <w:pPr>
              <w:pStyle w:val="69"/>
              <w:widowControl w:val="0"/>
              <w:spacing w:before="0" w:beforeAutospacing="0" w:after="0" w:afterAutospacing="0" w:line="360" w:lineRule="auto"/>
              <w:jc w:val="both"/>
              <w:rPr>
                <w:b w:val="0"/>
                <w:color w:val="auto"/>
                <w:sz w:val="24"/>
                <w:highlight w:val="none"/>
              </w:rPr>
            </w:pPr>
            <w:r>
              <w:rPr>
                <w:rFonts w:hint="eastAsia" w:asciiTheme="minorEastAsia" w:hAnsiTheme="minorEastAsia"/>
                <w:b w:val="0"/>
                <w:color w:val="auto"/>
                <w:sz w:val="24"/>
                <w:szCs w:val="24"/>
                <w:highlight w:val="none"/>
              </w:rPr>
              <w:sym w:font="Wingdings" w:char="00A8"/>
            </w:r>
            <w:r>
              <w:rPr>
                <w:rFonts w:hint="eastAsia"/>
                <w:b w:val="0"/>
                <w:color w:val="auto"/>
                <w:sz w:val="24"/>
                <w:highlight w:val="none"/>
              </w:rPr>
              <w:t xml:space="preserve">采购人委托磋商小组确定 </w:t>
            </w:r>
            <w:r>
              <w:rPr>
                <w:b w:val="0"/>
                <w:color w:val="auto"/>
                <w:sz w:val="24"/>
                <w:highlight w:val="none"/>
              </w:rPr>
              <w:t xml:space="preserve">   </w:t>
            </w:r>
            <w:r>
              <w:rPr>
                <w:rFonts w:hint="eastAsia"/>
                <w:b w:val="0"/>
                <w:color w:val="auto"/>
                <w:sz w:val="24"/>
                <w:highlight w:val="none"/>
              </w:rPr>
              <w:t xml:space="preserve"> </w:t>
            </w:r>
            <w:r>
              <w:rPr>
                <w:rFonts w:hint="eastAsia"/>
                <w:b w:val="0"/>
                <w:color w:val="auto"/>
                <w:sz w:val="24"/>
                <w:highlight w:val="none"/>
                <w:lang w:eastAsia="zh-CN"/>
              </w:rPr>
              <w:t>☑</w:t>
            </w:r>
            <w:r>
              <w:rPr>
                <w:rFonts w:hint="eastAsia"/>
                <w:b w:val="0"/>
                <w:color w:val="auto"/>
                <w:sz w:val="24"/>
                <w:highlight w:val="none"/>
              </w:rPr>
              <w:t>采购人确定</w:t>
            </w:r>
          </w:p>
        </w:tc>
      </w:tr>
      <w:tr w14:paraId="718F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4487441F">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2</w:t>
            </w:r>
            <w:r>
              <w:rPr>
                <w:rFonts w:hint="eastAsia"/>
                <w:bCs/>
                <w:color w:val="auto"/>
                <w:kern w:val="2"/>
                <w:highlight w:val="none"/>
                <w:lang w:val="en-US" w:eastAsia="zh-CN"/>
              </w:rPr>
              <w:t>2</w:t>
            </w:r>
            <w:r>
              <w:rPr>
                <w:bCs/>
                <w:color w:val="auto"/>
                <w:kern w:val="2"/>
                <w:highlight w:val="none"/>
              </w:rPr>
              <w:t>.</w:t>
            </w:r>
            <w:r>
              <w:rPr>
                <w:rFonts w:hint="eastAsia"/>
                <w:bCs/>
                <w:color w:val="auto"/>
                <w:kern w:val="2"/>
                <w:highlight w:val="none"/>
              </w:rPr>
              <w:t>2</w:t>
            </w:r>
          </w:p>
        </w:tc>
        <w:tc>
          <w:tcPr>
            <w:tcW w:w="977" w:type="pct"/>
            <w:vAlign w:val="center"/>
          </w:tcPr>
          <w:p w14:paraId="750FC2D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随成交结果公告同时公告的内容</w:t>
            </w:r>
          </w:p>
        </w:tc>
        <w:tc>
          <w:tcPr>
            <w:tcW w:w="3556" w:type="pct"/>
            <w:vAlign w:val="center"/>
          </w:tcPr>
          <w:p w14:paraId="2E2DEB76">
            <w:pPr>
              <w:pStyle w:val="69"/>
              <w:widowControl w:val="0"/>
              <w:spacing w:before="0" w:beforeAutospacing="0" w:after="0" w:afterAutospacing="0" w:line="360" w:lineRule="auto"/>
              <w:jc w:val="both"/>
              <w:rPr>
                <w:rFonts w:ascii="宋体" w:hAnsi="宋体" w:eastAsia="宋体"/>
                <w:b w:val="0"/>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1</w:t>
            </w:r>
            <w:r>
              <w:rPr>
                <w:rFonts w:hint="eastAsia" w:ascii="宋体" w:hAnsi="宋体" w:eastAsia="宋体"/>
                <w:b w:val="0"/>
                <w:color w:val="auto"/>
                <w:sz w:val="24"/>
                <w:highlight w:val="none"/>
                <w:u w:val="none"/>
              </w:rPr>
              <w:t>）中小企业声明函；</w:t>
            </w:r>
          </w:p>
          <w:p w14:paraId="303AC4D3">
            <w:pPr>
              <w:pStyle w:val="69"/>
              <w:widowControl w:val="0"/>
              <w:spacing w:before="0" w:beforeAutospacing="0" w:after="0" w:afterAutospacing="0" w:line="360" w:lineRule="auto"/>
              <w:jc w:val="both"/>
              <w:rPr>
                <w:rFonts w:ascii="宋体" w:hAnsi="宋体" w:eastAsia="宋体"/>
                <w:b w:val="0"/>
                <w:i/>
                <w:color w:val="auto"/>
                <w:sz w:val="24"/>
                <w:highlight w:val="none"/>
                <w:u w:val="none"/>
              </w:rPr>
            </w:pPr>
            <w:r>
              <w:rPr>
                <w:rFonts w:hint="eastAsia" w:ascii="宋体" w:hAnsi="宋体" w:eastAsia="宋体"/>
                <w:b w:val="0"/>
                <w:color w:val="auto"/>
                <w:sz w:val="24"/>
                <w:highlight w:val="none"/>
                <w:u w:val="none"/>
              </w:rPr>
              <w:t>（</w:t>
            </w:r>
            <w:r>
              <w:rPr>
                <w:rFonts w:hint="eastAsia" w:ascii="宋体" w:hAnsi="宋体" w:eastAsia="宋体"/>
                <w:b w:val="0"/>
                <w:color w:val="auto"/>
                <w:sz w:val="24"/>
                <w:highlight w:val="none"/>
                <w:u w:val="none"/>
                <w:lang w:val="en-US" w:eastAsia="zh-CN"/>
              </w:rPr>
              <w:t>2）</w:t>
            </w:r>
            <w:r>
              <w:rPr>
                <w:rFonts w:hint="eastAsia" w:ascii="宋体" w:hAnsi="宋体" w:eastAsia="宋体"/>
                <w:b w:val="0"/>
                <w:color w:val="auto"/>
                <w:sz w:val="24"/>
                <w:highlight w:val="none"/>
                <w:u w:val="none"/>
              </w:rPr>
              <w:t>残疾人福利性单位声明函；</w:t>
            </w:r>
            <w:r>
              <w:rPr>
                <w:rFonts w:hint="eastAsia" w:ascii="宋体" w:hAnsi="宋体" w:eastAsia="宋体"/>
                <w:b w:val="0"/>
                <w:i/>
                <w:iCs/>
                <w:color w:val="auto"/>
                <w:sz w:val="24"/>
                <w:highlight w:val="none"/>
                <w:u w:val="none"/>
              </w:rPr>
              <w:t>（如有）</w:t>
            </w:r>
          </w:p>
          <w:p w14:paraId="4975FE4F">
            <w:pPr>
              <w:pStyle w:val="69"/>
              <w:widowControl w:val="0"/>
              <w:spacing w:before="0" w:beforeAutospacing="0" w:after="0" w:afterAutospacing="0" w:line="360" w:lineRule="auto"/>
              <w:jc w:val="both"/>
              <w:rPr>
                <w:b w:val="0"/>
                <w:bCs w:val="0"/>
                <w:color w:val="auto"/>
                <w:sz w:val="24"/>
                <w:szCs w:val="24"/>
                <w:highlight w:val="none"/>
              </w:rPr>
            </w:pPr>
            <w:r>
              <w:rPr>
                <w:rFonts w:hint="eastAsia" w:ascii="宋体" w:hAnsi="宋体" w:eastAsia="宋体"/>
                <w:b w:val="0"/>
                <w:color w:val="auto"/>
                <w:sz w:val="24"/>
                <w:highlight w:val="none"/>
                <w:u w:val="none"/>
                <w:lang w:eastAsia="zh-CN"/>
              </w:rPr>
              <w:t>（</w:t>
            </w:r>
            <w:r>
              <w:rPr>
                <w:rFonts w:hint="eastAsia"/>
                <w:b w:val="0"/>
                <w:color w:val="auto"/>
                <w:sz w:val="24"/>
                <w:highlight w:val="none"/>
                <w:u w:val="none"/>
                <w:lang w:val="en-US" w:eastAsia="zh-CN"/>
              </w:rPr>
              <w:t>3</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中标</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成交</w:t>
            </w:r>
            <w:r>
              <w:rPr>
                <w:rFonts w:hint="eastAsia" w:ascii="宋体" w:hAnsi="宋体" w:eastAsia="宋体"/>
                <w:b w:val="0"/>
                <w:color w:val="auto"/>
                <w:sz w:val="24"/>
                <w:highlight w:val="none"/>
                <w:u w:val="none"/>
                <w:lang w:eastAsia="zh-CN"/>
              </w:rPr>
              <w:t>）</w:t>
            </w:r>
            <w:r>
              <w:rPr>
                <w:rFonts w:hint="eastAsia" w:ascii="宋体" w:hAnsi="宋体" w:eastAsia="宋体"/>
                <w:b w:val="0"/>
                <w:color w:val="auto"/>
                <w:sz w:val="24"/>
                <w:highlight w:val="none"/>
                <w:u w:val="none"/>
              </w:rPr>
              <w:t>供应商的评审总得分</w:t>
            </w:r>
          </w:p>
        </w:tc>
      </w:tr>
      <w:tr w14:paraId="503C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71FDE3BD">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bCs/>
                <w:color w:val="auto"/>
                <w:kern w:val="2"/>
                <w:highlight w:val="none"/>
              </w:rPr>
              <w:t>2</w:t>
            </w:r>
            <w:r>
              <w:rPr>
                <w:rFonts w:hint="eastAsia"/>
                <w:bCs/>
                <w:color w:val="auto"/>
                <w:kern w:val="2"/>
                <w:highlight w:val="none"/>
                <w:lang w:val="en-US" w:eastAsia="zh-CN"/>
              </w:rPr>
              <w:t>3</w:t>
            </w:r>
            <w:r>
              <w:rPr>
                <w:bCs/>
                <w:color w:val="auto"/>
                <w:kern w:val="2"/>
                <w:highlight w:val="none"/>
              </w:rPr>
              <w:t>.1</w:t>
            </w:r>
          </w:p>
        </w:tc>
        <w:tc>
          <w:tcPr>
            <w:tcW w:w="977" w:type="pct"/>
            <w:vAlign w:val="center"/>
          </w:tcPr>
          <w:p w14:paraId="694E40CE">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成交通知书发出的形式</w:t>
            </w:r>
          </w:p>
        </w:tc>
        <w:tc>
          <w:tcPr>
            <w:tcW w:w="3556" w:type="pct"/>
            <w:vAlign w:val="center"/>
          </w:tcPr>
          <w:p w14:paraId="0B1DA28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 xml:space="preserve">□书面 </w:t>
            </w:r>
            <w:r>
              <w:rPr>
                <w:b w:val="0"/>
                <w:color w:val="auto"/>
                <w:sz w:val="24"/>
                <w:highlight w:val="none"/>
              </w:rPr>
              <w:t xml:space="preserve">    </w:t>
            </w:r>
            <w:r>
              <w:rPr>
                <w:rFonts w:hint="eastAsia"/>
                <w:b w:val="0"/>
                <w:bCs w:val="0"/>
                <w:color w:val="auto"/>
                <w:sz w:val="24"/>
                <w:szCs w:val="24"/>
                <w:highlight w:val="none"/>
              </w:rPr>
              <w:sym w:font="Wingdings" w:char="00FE"/>
            </w:r>
            <w:r>
              <w:rPr>
                <w:rFonts w:hint="eastAsia"/>
                <w:b w:val="0"/>
                <w:color w:val="auto"/>
                <w:sz w:val="24"/>
                <w:highlight w:val="none"/>
              </w:rPr>
              <w:t>数据电文</w:t>
            </w:r>
          </w:p>
        </w:tc>
      </w:tr>
      <w:tr w14:paraId="2C2F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20A24DC6">
            <w:pPr>
              <w:pStyle w:val="70"/>
              <w:pBdr>
                <w:bottom w:val="none" w:color="auto" w:sz="0" w:space="0"/>
              </w:pBdr>
              <w:tabs>
                <w:tab w:val="clear" w:pos="4153"/>
                <w:tab w:val="clear" w:pos="8306"/>
              </w:tabs>
              <w:adjustRightInd/>
              <w:spacing w:line="240" w:lineRule="auto"/>
              <w:textAlignment w:val="auto"/>
              <w:rPr>
                <w:bCs/>
                <w:color w:val="auto"/>
                <w:kern w:val="2"/>
                <w:highlight w:val="none"/>
              </w:rPr>
            </w:pPr>
            <w:r>
              <w:rPr>
                <w:rFonts w:hint="eastAsia" w:ascii="宋体" w:hAnsi="宋体" w:eastAsia="宋体" w:cs="宋体"/>
                <w:b w:val="0"/>
                <w:bCs/>
                <w:color w:val="auto"/>
                <w:sz w:val="24"/>
                <w:szCs w:val="24"/>
                <w:lang w:val="en-US" w:eastAsia="zh-CN"/>
              </w:rPr>
              <w:t>2</w:t>
            </w:r>
            <w:r>
              <w:rPr>
                <w:rFonts w:hint="eastAsia" w:cs="宋体"/>
                <w:b w:val="0"/>
                <w:bCs/>
                <w:color w:val="auto"/>
                <w:sz w:val="24"/>
                <w:szCs w:val="24"/>
                <w:lang w:val="en-US" w:eastAsia="zh-CN"/>
              </w:rPr>
              <w:t>4</w:t>
            </w:r>
            <w:r>
              <w:rPr>
                <w:rFonts w:hint="eastAsia" w:ascii="宋体" w:hAnsi="宋体" w:eastAsia="宋体" w:cs="宋体"/>
                <w:b w:val="0"/>
                <w:bCs/>
                <w:color w:val="auto"/>
                <w:sz w:val="24"/>
                <w:szCs w:val="24"/>
                <w:lang w:val="en-US" w:eastAsia="zh-CN"/>
              </w:rPr>
              <w:t>.1</w:t>
            </w:r>
          </w:p>
        </w:tc>
        <w:tc>
          <w:tcPr>
            <w:tcW w:w="977" w:type="pct"/>
            <w:vAlign w:val="center"/>
          </w:tcPr>
          <w:p w14:paraId="65C54C0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告知磋商结果的形式</w:t>
            </w:r>
          </w:p>
        </w:tc>
        <w:tc>
          <w:tcPr>
            <w:tcW w:w="3556" w:type="pct"/>
            <w:vAlign w:val="center"/>
          </w:tcPr>
          <w:p w14:paraId="2D2E81C2">
            <w:pPr>
              <w:pStyle w:val="69"/>
              <w:widowControl w:val="0"/>
              <w:spacing w:before="0" w:beforeAutospacing="0" w:after="0" w:afterAutospacing="0" w:line="360" w:lineRule="auto"/>
              <w:jc w:val="both"/>
              <w:rPr>
                <w:b w:val="0"/>
                <w:bCs w:val="0"/>
                <w:color w:val="auto"/>
                <w:sz w:val="24"/>
                <w:szCs w:val="24"/>
                <w:highlight w:val="none"/>
              </w:rPr>
            </w:pPr>
            <w:r>
              <w:rPr>
                <w:rFonts w:hint="eastAsia" w:asciiTheme="minorEastAsia" w:hAnsiTheme="minorEastAsia"/>
                <w:b w:val="0"/>
                <w:color w:val="auto"/>
                <w:sz w:val="24"/>
                <w:szCs w:val="24"/>
                <w:highlight w:val="none"/>
              </w:rPr>
              <w:sym w:font="Wingdings" w:char="00FE"/>
            </w:r>
            <w:r>
              <w:rPr>
                <w:rFonts w:hint="eastAsia"/>
                <w:b w:val="0"/>
                <w:bCs w:val="0"/>
                <w:color w:val="auto"/>
                <w:sz w:val="24"/>
                <w:szCs w:val="24"/>
                <w:highlight w:val="none"/>
              </w:rPr>
              <w:t>供应商自行登录电子</w:t>
            </w:r>
            <w:r>
              <w:rPr>
                <w:rFonts w:hint="eastAsia" w:ascii="宋体" w:hAnsi="宋体" w:eastAsia="宋体" w:cs="宋体"/>
                <w:b w:val="0"/>
                <w:bCs w:val="0"/>
                <w:color w:val="auto"/>
                <w:sz w:val="24"/>
                <w:szCs w:val="24"/>
                <w:highlight w:val="none"/>
                <w:lang w:val="en-US" w:eastAsia="zh-CN"/>
              </w:rPr>
              <w:t>交易</w:t>
            </w:r>
            <w:r>
              <w:rPr>
                <w:rFonts w:hint="eastAsia"/>
                <w:b w:val="0"/>
                <w:bCs w:val="0"/>
                <w:color w:val="auto"/>
                <w:sz w:val="24"/>
                <w:szCs w:val="24"/>
                <w:highlight w:val="none"/>
              </w:rPr>
              <w:t>系统查看</w:t>
            </w:r>
          </w:p>
          <w:p w14:paraId="332AF3A3">
            <w:pPr>
              <w:pStyle w:val="69"/>
              <w:widowControl w:val="0"/>
              <w:spacing w:before="0" w:beforeAutospacing="0" w:after="0" w:afterAutospacing="0" w:line="360" w:lineRule="auto"/>
              <w:jc w:val="both"/>
              <w:rPr>
                <w:rFonts w:hint="eastAsia"/>
                <w:b w:val="0"/>
                <w:color w:val="auto"/>
                <w:sz w:val="24"/>
                <w:highlight w:val="none"/>
              </w:rPr>
            </w:pPr>
            <w:r>
              <w:rPr>
                <w:rFonts w:hint="eastAsia"/>
                <w:b w:val="0"/>
                <w:color w:val="auto"/>
                <w:sz w:val="24"/>
                <w:highlight w:val="none"/>
              </w:rPr>
              <w:t>□磋商现场告知</w:t>
            </w:r>
          </w:p>
        </w:tc>
      </w:tr>
      <w:tr w14:paraId="3C5E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4DC515EF">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25</w:t>
            </w:r>
            <w:r>
              <w:rPr>
                <w:bCs/>
                <w:color w:val="auto"/>
                <w:kern w:val="2"/>
                <w:highlight w:val="none"/>
              </w:rPr>
              <w:t>.1</w:t>
            </w:r>
          </w:p>
        </w:tc>
        <w:tc>
          <w:tcPr>
            <w:tcW w:w="977" w:type="pct"/>
            <w:vAlign w:val="center"/>
          </w:tcPr>
          <w:p w14:paraId="18F08EF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履约保证金</w:t>
            </w:r>
          </w:p>
        </w:tc>
        <w:tc>
          <w:tcPr>
            <w:tcW w:w="3556" w:type="pct"/>
          </w:tcPr>
          <w:p w14:paraId="26F4EAFE">
            <w:pPr>
              <w:spacing w:line="360" w:lineRule="auto"/>
              <w:rPr>
                <w:bCs/>
                <w:color w:val="auto"/>
                <w:sz w:val="24"/>
                <w:szCs w:val="28"/>
                <w:highlight w:val="none"/>
              </w:rPr>
            </w:pPr>
            <w:r>
              <w:rPr>
                <w:rFonts w:hint="eastAsia"/>
                <w:bCs/>
                <w:color w:val="auto"/>
                <w:sz w:val="24"/>
                <w:szCs w:val="28"/>
                <w:highlight w:val="none"/>
              </w:rPr>
              <w:t>（1）金额：</w:t>
            </w:r>
          </w:p>
          <w:p w14:paraId="68D037C4">
            <w:pPr>
              <w:spacing w:line="360" w:lineRule="auto"/>
              <w:rPr>
                <w:bCs/>
                <w:color w:val="auto"/>
                <w:sz w:val="24"/>
                <w:szCs w:val="28"/>
                <w:highlight w:val="none"/>
              </w:rPr>
            </w:pPr>
            <w:r>
              <w:rPr>
                <w:bCs/>
                <w:color w:val="auto"/>
                <w:sz w:val="24"/>
                <w:szCs w:val="28"/>
                <w:highlight w:val="none"/>
              </w:rPr>
              <w:t>□</w:t>
            </w:r>
            <w:r>
              <w:rPr>
                <w:rFonts w:hint="eastAsia"/>
                <w:bCs/>
                <w:color w:val="auto"/>
                <w:sz w:val="24"/>
                <w:szCs w:val="28"/>
                <w:highlight w:val="none"/>
              </w:rPr>
              <w:t>免收</w:t>
            </w:r>
          </w:p>
          <w:p w14:paraId="4492A165">
            <w:pPr>
              <w:spacing w:line="360" w:lineRule="auto"/>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合同价的</w:t>
            </w:r>
            <w:r>
              <w:rPr>
                <w:rFonts w:hint="eastAsia"/>
                <w:bCs/>
                <w:color w:val="auto"/>
                <w:sz w:val="24"/>
                <w:szCs w:val="28"/>
                <w:highlight w:val="none"/>
                <w:u w:val="single"/>
                <w:lang w:val="en-US" w:eastAsia="zh-CN"/>
              </w:rPr>
              <w:t>2.5</w:t>
            </w:r>
            <w:r>
              <w:rPr>
                <w:bCs/>
                <w:color w:val="auto"/>
                <w:sz w:val="24"/>
                <w:szCs w:val="28"/>
                <w:highlight w:val="none"/>
              </w:rPr>
              <w:t>%</w:t>
            </w:r>
          </w:p>
          <w:p w14:paraId="36C3D974">
            <w:pPr>
              <w:spacing w:line="360" w:lineRule="auto"/>
              <w:rPr>
                <w:bCs/>
                <w:color w:val="auto"/>
                <w:sz w:val="24"/>
                <w:szCs w:val="28"/>
                <w:highlight w:val="none"/>
              </w:rPr>
            </w:pPr>
            <w:r>
              <w:rPr>
                <w:bCs/>
                <w:color w:val="auto"/>
                <w:sz w:val="24"/>
                <w:szCs w:val="28"/>
                <w:highlight w:val="none"/>
              </w:rPr>
              <w:t>□</w:t>
            </w:r>
            <w:r>
              <w:rPr>
                <w:rFonts w:hint="eastAsia"/>
                <w:bCs/>
                <w:color w:val="auto"/>
                <w:sz w:val="24"/>
                <w:szCs w:val="28"/>
                <w:highlight w:val="none"/>
              </w:rPr>
              <w:t>定额收取：人民币</w:t>
            </w:r>
            <w:r>
              <w:rPr>
                <w:rFonts w:hint="eastAsia"/>
                <w:bCs/>
                <w:color w:val="auto"/>
                <w:sz w:val="24"/>
                <w:szCs w:val="28"/>
                <w:highlight w:val="none"/>
                <w:lang w:val="en-US" w:eastAsia="zh-CN"/>
              </w:rPr>
              <w:t>/</w:t>
            </w:r>
            <w:r>
              <w:rPr>
                <w:rFonts w:hint="eastAsia"/>
                <w:bCs/>
                <w:color w:val="auto"/>
                <w:sz w:val="24"/>
                <w:szCs w:val="28"/>
                <w:highlight w:val="none"/>
              </w:rPr>
              <w:t>元</w:t>
            </w:r>
          </w:p>
          <w:p w14:paraId="77DDAB00">
            <w:pPr>
              <w:spacing w:line="360" w:lineRule="auto"/>
              <w:rPr>
                <w:bCs/>
                <w:color w:val="auto"/>
                <w:sz w:val="24"/>
                <w:szCs w:val="28"/>
                <w:highlight w:val="none"/>
              </w:rPr>
            </w:pPr>
            <w:r>
              <w:rPr>
                <w:rFonts w:hint="eastAsia"/>
                <w:bCs/>
                <w:color w:val="auto"/>
                <w:sz w:val="24"/>
                <w:szCs w:val="28"/>
                <w:highlight w:val="none"/>
              </w:rPr>
              <w:t>（2）支付方式：</w:t>
            </w:r>
          </w:p>
          <w:p w14:paraId="38D24250">
            <w:pPr>
              <w:spacing w:line="360" w:lineRule="auto"/>
              <w:rPr>
                <w:bCs/>
                <w:color w:val="auto"/>
                <w:sz w:val="24"/>
                <w:szCs w:val="28"/>
                <w:highlight w:val="none"/>
              </w:rPr>
            </w:pPr>
            <w:r>
              <w:rPr>
                <w:rFonts w:hint="eastAsia"/>
                <w:bCs/>
                <w:color w:val="auto"/>
                <w:sz w:val="24"/>
                <w:szCs w:val="28"/>
                <w:highlight w:val="none"/>
              </w:rPr>
              <w:sym w:font="Wingdings" w:char="00FE"/>
            </w:r>
            <w:r>
              <w:rPr>
                <w:bCs/>
                <w:color w:val="auto"/>
                <w:sz w:val="24"/>
                <w:szCs w:val="28"/>
                <w:highlight w:val="none"/>
              </w:rPr>
              <w:t>转账/电汇</w:t>
            </w:r>
            <w:r>
              <w:rPr>
                <w:rFonts w:hint="eastAsia"/>
                <w:bCs/>
                <w:color w:val="auto"/>
                <w:sz w:val="24"/>
                <w:szCs w:val="28"/>
                <w:highlight w:val="none"/>
              </w:rPr>
              <w:t xml:space="preserve"> </w:t>
            </w:r>
            <w:r>
              <w:rPr>
                <w:rFonts w:hint="eastAsia"/>
                <w:bCs/>
                <w:color w:val="auto"/>
                <w:sz w:val="24"/>
                <w:szCs w:val="28"/>
                <w:highlight w:val="none"/>
              </w:rPr>
              <w:sym w:font="Wingdings" w:char="00FE"/>
            </w:r>
            <w:r>
              <w:rPr>
                <w:bCs/>
                <w:color w:val="auto"/>
                <w:sz w:val="24"/>
                <w:szCs w:val="28"/>
                <w:highlight w:val="none"/>
              </w:rPr>
              <w:t xml:space="preserve">支票 </w:t>
            </w:r>
            <w:r>
              <w:rPr>
                <w:rFonts w:hint="eastAsia"/>
                <w:bCs/>
                <w:color w:val="auto"/>
                <w:sz w:val="24"/>
                <w:szCs w:val="28"/>
                <w:highlight w:val="none"/>
              </w:rPr>
              <w:sym w:font="Wingdings" w:char="00FE"/>
            </w:r>
            <w:r>
              <w:rPr>
                <w:bCs/>
                <w:color w:val="auto"/>
                <w:sz w:val="24"/>
                <w:szCs w:val="28"/>
                <w:highlight w:val="none"/>
              </w:rPr>
              <w:t>汇票</w:t>
            </w:r>
            <w:r>
              <w:rPr>
                <w:rFonts w:hint="eastAsia"/>
                <w:bCs/>
                <w:color w:val="auto"/>
                <w:sz w:val="24"/>
                <w:szCs w:val="28"/>
                <w:highlight w:val="none"/>
              </w:rPr>
              <w:t xml:space="preserve"> </w:t>
            </w:r>
            <w:r>
              <w:rPr>
                <w:rFonts w:hint="eastAsia"/>
                <w:bCs/>
                <w:color w:val="auto"/>
                <w:sz w:val="24"/>
                <w:szCs w:val="28"/>
                <w:highlight w:val="none"/>
              </w:rPr>
              <w:sym w:font="Wingdings" w:char="00FE"/>
            </w:r>
            <w:r>
              <w:rPr>
                <w:rFonts w:hint="eastAsia"/>
                <w:bCs/>
                <w:color w:val="auto"/>
                <w:sz w:val="24"/>
                <w:szCs w:val="28"/>
                <w:highlight w:val="none"/>
              </w:rPr>
              <w:t xml:space="preserve">本票 </w:t>
            </w:r>
            <w:r>
              <w:rPr>
                <w:rFonts w:hint="eastAsia"/>
                <w:bCs/>
                <w:color w:val="auto"/>
                <w:sz w:val="24"/>
                <w:szCs w:val="28"/>
                <w:highlight w:val="none"/>
              </w:rPr>
              <w:sym w:font="Wingdings" w:char="00FE"/>
            </w:r>
            <w:r>
              <w:rPr>
                <w:bCs/>
                <w:color w:val="auto"/>
                <w:sz w:val="24"/>
                <w:szCs w:val="28"/>
                <w:highlight w:val="none"/>
              </w:rPr>
              <w:t>保</w:t>
            </w:r>
            <w:r>
              <w:rPr>
                <w:rFonts w:hint="eastAsia"/>
                <w:bCs/>
                <w:color w:val="auto"/>
                <w:sz w:val="24"/>
                <w:szCs w:val="28"/>
                <w:highlight w:val="none"/>
              </w:rPr>
              <w:t xml:space="preserve">险 </w:t>
            </w:r>
            <w:r>
              <w:rPr>
                <w:rFonts w:hint="eastAsia"/>
                <w:bCs/>
                <w:color w:val="auto"/>
                <w:sz w:val="24"/>
                <w:szCs w:val="28"/>
                <w:highlight w:val="none"/>
              </w:rPr>
              <w:sym w:font="Wingdings" w:char="00FE"/>
            </w:r>
            <w:r>
              <w:rPr>
                <w:rFonts w:hint="eastAsia"/>
                <w:bCs/>
                <w:color w:val="auto"/>
                <w:sz w:val="24"/>
                <w:szCs w:val="28"/>
                <w:highlight w:val="none"/>
              </w:rPr>
              <w:t>保</w:t>
            </w:r>
            <w:r>
              <w:rPr>
                <w:bCs/>
                <w:color w:val="auto"/>
                <w:sz w:val="24"/>
                <w:szCs w:val="28"/>
                <w:highlight w:val="none"/>
              </w:rPr>
              <w:t>函</w:t>
            </w:r>
          </w:p>
          <w:p w14:paraId="0B5D3F9C">
            <w:pPr>
              <w:spacing w:line="360" w:lineRule="auto"/>
              <w:rPr>
                <w:rFonts w:hint="default"/>
                <w:b/>
                <w:color w:val="auto"/>
                <w:sz w:val="24"/>
                <w:szCs w:val="24"/>
                <w:highlight w:val="none"/>
                <w:u w:val="single"/>
                <w:lang w:val="en-US" w:eastAsia="zh-CN"/>
              </w:rPr>
            </w:pPr>
            <w:r>
              <w:rPr>
                <w:rFonts w:hint="eastAsia" w:ascii="宋体" w:hAnsi="宋体" w:eastAsia="宋体"/>
                <w:bCs/>
                <w:color w:val="auto"/>
                <w:kern w:val="0"/>
                <w:sz w:val="24"/>
                <w:szCs w:val="24"/>
                <w:highlight w:val="none"/>
                <w:lang w:eastAsia="zh-CN"/>
              </w:rPr>
              <w:t>（</w:t>
            </w:r>
            <w:r>
              <w:rPr>
                <w:rFonts w:hint="eastAsia" w:ascii="宋体" w:hAnsi="宋体" w:eastAsia="宋体"/>
                <w:bCs/>
                <w:color w:val="auto"/>
                <w:kern w:val="0"/>
                <w:sz w:val="24"/>
                <w:szCs w:val="24"/>
                <w:highlight w:val="none"/>
              </w:rPr>
              <w:t>3）收取单位：</w:t>
            </w:r>
            <w:r>
              <w:rPr>
                <w:rFonts w:hint="eastAsia" w:cs="宋体"/>
                <w:bCs/>
                <w:color w:val="auto"/>
                <w:kern w:val="2"/>
                <w:sz w:val="24"/>
                <w:szCs w:val="24"/>
                <w:highlight w:val="none"/>
                <w:u w:val="single"/>
                <w:lang w:val="en-US" w:eastAsia="zh-CN"/>
              </w:rPr>
              <w:t>各包合同甲方</w:t>
            </w:r>
          </w:p>
          <w:p w14:paraId="5F2AA9AD">
            <w:pPr>
              <w:spacing w:line="360" w:lineRule="auto"/>
              <w:rPr>
                <w:rFonts w:ascii="宋体" w:hAnsi="宋体" w:eastAsia="宋体"/>
                <w:bCs/>
                <w:color w:val="auto"/>
                <w:kern w:val="0"/>
                <w:sz w:val="24"/>
                <w:szCs w:val="24"/>
                <w:highlight w:val="none"/>
              </w:rPr>
            </w:pPr>
            <w:r>
              <w:rPr>
                <w:rFonts w:hint="eastAsia" w:ascii="宋体" w:hAnsi="宋体" w:eastAsia="宋体"/>
                <w:bCs/>
                <w:color w:val="auto"/>
                <w:kern w:val="0"/>
                <w:sz w:val="24"/>
                <w:szCs w:val="24"/>
                <w:highlight w:val="none"/>
              </w:rPr>
              <w:t>（4）收取账号：</w:t>
            </w:r>
            <w:r>
              <w:rPr>
                <w:rFonts w:hint="eastAsia" w:ascii="宋体" w:hAnsi="宋体" w:eastAsia="宋体"/>
                <w:bCs/>
                <w:color w:val="auto"/>
                <w:kern w:val="0"/>
                <w:sz w:val="24"/>
                <w:szCs w:val="24"/>
                <w:highlight w:val="none"/>
                <w:u w:val="single"/>
              </w:rPr>
              <w:t>成交后提供</w:t>
            </w:r>
          </w:p>
          <w:p w14:paraId="348F58E9">
            <w:pPr>
              <w:spacing w:line="360" w:lineRule="auto"/>
              <w:rPr>
                <w:rFonts w:hint="eastAsia" w:ascii="Times New Roman" w:hAnsi="Times New Roman" w:eastAsia="宋体" w:cs="Times New Roman"/>
                <w:color w:val="auto"/>
                <w:sz w:val="24"/>
                <w:szCs w:val="24"/>
                <w:highlight w:val="none"/>
                <w:u w:val="single"/>
                <w:lang w:eastAsia="zh-CN"/>
              </w:rPr>
            </w:pPr>
            <w:r>
              <w:rPr>
                <w:rFonts w:hint="eastAsia" w:ascii="宋体" w:hAnsi="宋体" w:eastAsia="宋体"/>
                <w:bCs/>
                <w:color w:val="auto"/>
                <w:kern w:val="0"/>
                <w:sz w:val="24"/>
                <w:szCs w:val="24"/>
                <w:highlight w:val="none"/>
              </w:rPr>
              <w:t>（5）</w:t>
            </w:r>
            <w:r>
              <w:rPr>
                <w:rFonts w:hint="eastAsia" w:ascii="宋体" w:hAnsi="宋体" w:eastAsia="宋体"/>
                <w:color w:val="auto"/>
                <w:sz w:val="24"/>
                <w:szCs w:val="24"/>
                <w:highlight w:val="none"/>
              </w:rPr>
              <w:t>退还时间：</w:t>
            </w:r>
            <w:r>
              <w:rPr>
                <w:rFonts w:hint="eastAsia" w:ascii="Times New Roman" w:hAnsi="Times New Roman" w:cs="Times New Roman"/>
                <w:color w:val="auto"/>
                <w:sz w:val="24"/>
                <w:szCs w:val="24"/>
                <w:highlight w:val="none"/>
                <w:u w:val="single"/>
                <w:lang w:eastAsia="zh-CN"/>
              </w:rPr>
              <w:t>履约保证金在合同生效之日起至项目验收合格前一直有效，验收</w:t>
            </w:r>
            <w:r>
              <w:rPr>
                <w:rFonts w:hint="eastAsia" w:ascii="Times New Roman" w:hAnsi="Times New Roman" w:cs="Times New Roman"/>
                <w:color w:val="auto"/>
                <w:sz w:val="24"/>
                <w:szCs w:val="24"/>
                <w:highlight w:val="none"/>
                <w:u w:val="single"/>
                <w:lang w:val="en-US" w:eastAsia="zh-CN"/>
              </w:rPr>
              <w:t>合格</w:t>
            </w:r>
            <w:r>
              <w:rPr>
                <w:rFonts w:hint="eastAsia" w:ascii="Times New Roman" w:hAnsi="Times New Roman" w:cs="Times New Roman"/>
                <w:color w:val="auto"/>
                <w:sz w:val="24"/>
                <w:szCs w:val="24"/>
                <w:highlight w:val="none"/>
                <w:u w:val="single"/>
                <w:lang w:eastAsia="zh-CN"/>
              </w:rPr>
              <w:t>后经乙方申请，</w:t>
            </w:r>
            <w:r>
              <w:rPr>
                <w:rFonts w:hint="eastAsia" w:ascii="Times New Roman" w:hAnsi="Times New Roman" w:cs="Times New Roman"/>
                <w:color w:val="auto"/>
                <w:sz w:val="24"/>
                <w:szCs w:val="24"/>
                <w:highlight w:val="none"/>
                <w:u w:val="single"/>
                <w:lang w:val="en-US" w:eastAsia="zh-CN"/>
              </w:rPr>
              <w:t>合同</w:t>
            </w:r>
            <w:r>
              <w:rPr>
                <w:rFonts w:hint="eastAsia" w:ascii="Times New Roman" w:hAnsi="Times New Roman" w:cs="Times New Roman"/>
                <w:color w:val="auto"/>
                <w:sz w:val="24"/>
                <w:szCs w:val="24"/>
                <w:highlight w:val="none"/>
                <w:u w:val="single"/>
                <w:lang w:eastAsia="zh-CN"/>
              </w:rPr>
              <w:t>甲方确认后按规定及时将履约保证金款项退还给乙方或者解除履约担保。</w:t>
            </w:r>
          </w:p>
          <w:p w14:paraId="60FCC1C4">
            <w:pPr>
              <w:spacing w:line="360" w:lineRule="auto"/>
              <w:rPr>
                <w:rFonts w:ascii="宋体" w:hAnsi="宋体" w:eastAsia="宋体"/>
                <w:color w:val="auto"/>
                <w:sz w:val="24"/>
                <w:szCs w:val="24"/>
                <w:highlight w:val="none"/>
              </w:rPr>
            </w:pPr>
            <w:r>
              <w:rPr>
                <w:rFonts w:hint="eastAsia" w:ascii="宋体" w:hAnsi="宋体" w:eastAsia="宋体" w:cs="宋体"/>
                <w:b/>
                <w:color w:val="auto"/>
                <w:sz w:val="24"/>
                <w:szCs w:val="24"/>
                <w:highlight w:val="none"/>
              </w:rPr>
              <w:t>如果</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不履行合同，履约保证金不予退还；如果</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未能按合同约定全面履行义务，合同</w:t>
            </w:r>
            <w:r>
              <w:rPr>
                <w:rFonts w:hint="eastAsia" w:cs="宋体"/>
                <w:b/>
                <w:color w:val="auto"/>
                <w:sz w:val="24"/>
                <w:szCs w:val="24"/>
                <w:highlight w:val="none"/>
                <w:lang w:eastAsia="zh-CN"/>
              </w:rPr>
              <w:t>甲方</w:t>
            </w:r>
            <w:r>
              <w:rPr>
                <w:rFonts w:hint="eastAsia" w:ascii="宋体" w:hAnsi="宋体" w:eastAsia="宋体" w:cs="宋体"/>
                <w:b/>
                <w:color w:val="auto"/>
                <w:sz w:val="24"/>
                <w:szCs w:val="24"/>
                <w:highlight w:val="none"/>
              </w:rPr>
              <w:t>有权从履约保证金中取得补偿或赔偿，同时不影响</w:t>
            </w:r>
            <w:r>
              <w:rPr>
                <w:rFonts w:hint="eastAsia" w:cs="宋体"/>
                <w:b/>
                <w:color w:val="auto"/>
                <w:sz w:val="24"/>
                <w:szCs w:val="24"/>
                <w:highlight w:val="none"/>
                <w:lang w:eastAsia="zh-CN"/>
              </w:rPr>
              <w:t>甲方</w:t>
            </w:r>
            <w:r>
              <w:rPr>
                <w:rFonts w:hint="eastAsia" w:ascii="宋体" w:hAnsi="宋体" w:eastAsia="宋体" w:cs="宋体"/>
                <w:b/>
                <w:color w:val="auto"/>
                <w:sz w:val="24"/>
                <w:szCs w:val="24"/>
                <w:highlight w:val="none"/>
              </w:rPr>
              <w:t>要求</w:t>
            </w:r>
            <w:r>
              <w:rPr>
                <w:rFonts w:hint="eastAsia" w:cs="宋体"/>
                <w:b/>
                <w:color w:val="auto"/>
                <w:sz w:val="24"/>
                <w:szCs w:val="24"/>
                <w:highlight w:val="none"/>
                <w:lang w:eastAsia="zh-CN"/>
              </w:rPr>
              <w:t>乙方</w:t>
            </w:r>
            <w:r>
              <w:rPr>
                <w:rFonts w:hint="eastAsia" w:ascii="宋体" w:hAnsi="宋体" w:eastAsia="宋体" w:cs="宋体"/>
                <w:b/>
                <w:color w:val="auto"/>
                <w:sz w:val="24"/>
                <w:szCs w:val="24"/>
                <w:highlight w:val="none"/>
              </w:rPr>
              <w:t>承担合同约定的超过履约保证金的违约责任的权利。</w:t>
            </w:r>
          </w:p>
          <w:p w14:paraId="4E04771F">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注意事项：</w:t>
            </w:r>
          </w:p>
          <w:p w14:paraId="3CAC5A34">
            <w:pPr>
              <w:spacing w:line="360" w:lineRule="auto"/>
              <w:rPr>
                <w:rFonts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（1）以上各类机构出具的以担保函、保证保险承担责任的方式均须满足无条件见索即付条件。</w:t>
            </w:r>
          </w:p>
          <w:p w14:paraId="563CEC3B">
            <w:pPr>
              <w:pStyle w:val="69"/>
              <w:widowControl w:val="0"/>
              <w:spacing w:before="0" w:beforeAutospacing="0" w:after="0" w:afterAutospacing="0" w:line="360" w:lineRule="auto"/>
              <w:jc w:val="both"/>
              <w:rPr>
                <w:color w:val="auto"/>
                <w:sz w:val="24"/>
                <w:highlight w:val="none"/>
              </w:rPr>
            </w:pPr>
            <w:r>
              <w:rPr>
                <w:rFonts w:hint="eastAsia" w:ascii="宋体" w:hAnsi="宋体" w:eastAsia="宋体"/>
                <w:bCs w:val="0"/>
                <w:color w:val="auto"/>
                <w:sz w:val="24"/>
                <w:szCs w:val="24"/>
                <w:highlight w:val="none"/>
              </w:rPr>
              <w:t>（2）以担保函、保证保险形式缴纳履约保证金的，受益人和收取单位须为</w:t>
            </w:r>
            <w:r>
              <w:rPr>
                <w:rFonts w:hint="eastAsia"/>
                <w:bCs w:val="0"/>
                <w:color w:val="auto"/>
                <w:sz w:val="24"/>
                <w:szCs w:val="24"/>
                <w:highlight w:val="none"/>
                <w:lang w:eastAsia="zh-CN"/>
              </w:rPr>
              <w:t>合同甲方</w:t>
            </w:r>
            <w:r>
              <w:rPr>
                <w:rFonts w:hint="eastAsia" w:ascii="宋体" w:hAnsi="宋体" w:eastAsia="宋体"/>
                <w:bCs w:val="0"/>
                <w:color w:val="auto"/>
                <w:sz w:val="24"/>
                <w:szCs w:val="24"/>
                <w:highlight w:val="none"/>
              </w:rPr>
              <w:t>。</w:t>
            </w:r>
          </w:p>
        </w:tc>
      </w:tr>
      <w:tr w14:paraId="5E30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5C591883">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rFonts w:hint="eastAsia"/>
                <w:bCs/>
                <w:color w:val="auto"/>
                <w:kern w:val="2"/>
                <w:highlight w:val="none"/>
                <w:lang w:val="en-US" w:eastAsia="zh-CN"/>
              </w:rPr>
              <w:t>26.1</w:t>
            </w:r>
          </w:p>
        </w:tc>
        <w:tc>
          <w:tcPr>
            <w:tcW w:w="977" w:type="pct"/>
            <w:vAlign w:val="center"/>
          </w:tcPr>
          <w:p w14:paraId="4D16F491">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highlight w:val="none"/>
                <w:lang w:val="en-US" w:eastAsia="zh-CN"/>
              </w:rPr>
              <w:t>代理费用</w:t>
            </w:r>
          </w:p>
        </w:tc>
        <w:tc>
          <w:tcPr>
            <w:tcW w:w="3556" w:type="pct"/>
            <w:vAlign w:val="center"/>
          </w:tcPr>
          <w:p w14:paraId="16ED902F">
            <w:pPr>
              <w:spacing w:before="39" w:line="360" w:lineRule="auto"/>
              <w:ind w:firstLine="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（1）</w:t>
            </w:r>
            <w:r>
              <w:rPr>
                <w:rFonts w:ascii="宋体" w:hAnsi="宋体" w:eastAsia="宋体"/>
                <w:bCs/>
                <w:color w:val="000000" w:themeColor="text1"/>
                <w:kern w:val="0"/>
                <w:sz w:val="24"/>
                <w:szCs w:val="28"/>
                <w:highlight w:val="none"/>
                <w14:textFill>
                  <w14:solidFill>
                    <w14:schemeClr w14:val="tx1"/>
                  </w14:solidFill>
                </w14:textFill>
              </w:rPr>
              <w:t>收费对象</w:t>
            </w:r>
            <w:r>
              <w:rPr>
                <w:rFonts w:ascii="宋体" w:hAnsi="宋体" w:eastAsia="宋体" w:cs="宋体"/>
                <w:color w:val="000000" w:themeColor="text1"/>
                <w:spacing w:val="-12"/>
                <w:sz w:val="24"/>
                <w:szCs w:val="24"/>
                <w:highlight w:val="none"/>
                <w14:textFill>
                  <w14:solidFill>
                    <w14:schemeClr w14:val="tx1"/>
                  </w14:solidFill>
                </w14:textFill>
              </w:rPr>
              <w:t>：</w:t>
            </w:r>
            <w:r>
              <w:rPr>
                <w:rFonts w:hint="eastAsia" w:ascii="宋体" w:hAnsi="宋体" w:eastAsia="宋体" w:cs="宋体"/>
                <w:color w:val="000000" w:themeColor="text1"/>
                <w:spacing w:val="14"/>
                <w:sz w:val="24"/>
                <w:szCs w:val="24"/>
                <w:highlight w:val="none"/>
                <w14:textFill>
                  <w14:solidFill>
                    <w14:schemeClr w14:val="tx1"/>
                  </w14:solidFill>
                </w14:textFill>
              </w:rPr>
              <w:t>成交供应商</w:t>
            </w:r>
          </w:p>
          <w:p w14:paraId="5853AAB6">
            <w:pPr>
              <w:spacing w:before="24" w:line="360" w:lineRule="auto"/>
              <w:ind w:firstLine="0"/>
              <w:rPr>
                <w:rFonts w:hint="eastAsia" w:ascii="宋体" w:hAnsi="宋体" w:eastAsia="宋体"/>
                <w:bCs/>
                <w:color w:val="000000" w:themeColor="text1"/>
                <w:kern w:val="0"/>
                <w:sz w:val="24"/>
                <w:szCs w:val="28"/>
                <w:highlight w:val="none"/>
                <w14:textFill>
                  <w14:solidFill>
                    <w14:schemeClr w14:val="tx1"/>
                  </w14:solidFill>
                </w14:textFill>
              </w:rPr>
            </w:pPr>
            <w:r>
              <w:rPr>
                <w:rFonts w:hint="eastAsia" w:ascii="宋体" w:hAnsi="宋体" w:eastAsia="宋体"/>
                <w:bCs/>
                <w:color w:val="000000" w:themeColor="text1"/>
                <w:kern w:val="0"/>
                <w:sz w:val="24"/>
                <w:szCs w:val="28"/>
                <w:highlight w:val="none"/>
                <w14:textFill>
                  <w14:solidFill>
                    <w14:schemeClr w14:val="tx1"/>
                  </w14:solidFill>
                </w14:textFill>
              </w:rPr>
              <w:t>（2）</w:t>
            </w:r>
            <w:r>
              <w:rPr>
                <w:rFonts w:ascii="宋体" w:hAnsi="宋体" w:eastAsia="宋体"/>
                <w:bCs/>
                <w:color w:val="000000" w:themeColor="text1"/>
                <w:kern w:val="0"/>
                <w:sz w:val="24"/>
                <w:szCs w:val="28"/>
                <w:highlight w:val="none"/>
                <w14:textFill>
                  <w14:solidFill>
                    <w14:schemeClr w14:val="tx1"/>
                  </w14:solidFill>
                </w14:textFill>
              </w:rPr>
              <w:t>收取方式</w:t>
            </w:r>
            <w:r>
              <w:rPr>
                <w:rFonts w:ascii="宋体" w:hAnsi="宋体" w:eastAsia="宋体" w:cs="宋体"/>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bCs/>
                <w:color w:val="000000" w:themeColor="text1"/>
                <w:kern w:val="0"/>
                <w:sz w:val="24"/>
                <w:szCs w:val="24"/>
                <w:highlight w:val="none"/>
                <w14:textFill>
                  <w14:solidFill>
                    <w14:schemeClr w14:val="tx1"/>
                  </w14:solidFill>
                </w14:textFill>
              </w:rPr>
              <w:t>转账/电汇</w:t>
            </w:r>
          </w:p>
          <w:p w14:paraId="646ED58C">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（3）收费标准：项目代理费分包支付，</w:t>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第1包为柒仟元整</w:t>
            </w:r>
            <w:r>
              <w:rPr>
                <w:rFonts w:hint="eastAsia" w:asciiTheme="minorEastAsia" w:hAnsiTheme="minorEastAsia" w:eastAsiaTheme="minorEastAsia" w:cstheme="minorEastAsia"/>
                <w:b w:val="0"/>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第2包为陆仟肆佰元整；第3包为陆仟壹佰元整；第4包为伍仟贰佰元整；第5包为伍仟元整；第6包为伍仟元整；第7包为伍仟元整；第8包为伍仟元整。</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由各包成交供应商支付。包含在各包成交供应商投标报价的单价与合价中，不单独列项。</w:t>
            </w:r>
          </w:p>
          <w:p w14:paraId="702C0F7F">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（4）支付时间：成交供应商在领取成交通知书前一次性支付。</w:t>
            </w:r>
          </w:p>
          <w:p w14:paraId="3C821E4D">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（5）收取单位：安徽安兆工程技术咨询服务有限公司纳税人识别号：913403007647962135</w:t>
            </w:r>
          </w:p>
          <w:p w14:paraId="5BA78299">
            <w:pPr>
              <w:numPr>
                <w:ilvl w:val="0"/>
                <w:numId w:val="3"/>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缴费账号：合肥徽商银行成都路支行520819931701000002</w:t>
            </w:r>
          </w:p>
          <w:p w14:paraId="0EE55981">
            <w:pPr>
              <w:numPr>
                <w:ilvl w:val="0"/>
                <w:numId w:val="0"/>
              </w:numPr>
              <w:spacing w:line="360" w:lineRule="auto"/>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kern w:val="0"/>
                <w:sz w:val="24"/>
                <w:szCs w:val="24"/>
                <w:highlight w:val="none"/>
                <w:lang w:val="en-US" w:eastAsia="zh-CN"/>
                <w14:textFill>
                  <w14:solidFill>
                    <w14:schemeClr w14:val="tx1"/>
                  </w14:solidFill>
                </w14:textFill>
              </w:rPr>
              <w:t>注：①代理费请公对公转帐，个人缴纳不予受理；</w:t>
            </w:r>
          </w:p>
          <w:p w14:paraId="7025A32B">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②代理费转账截图发送至邮箱（</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t>ahaz888@163.com</w:t>
            </w:r>
            <w:r>
              <w:rPr>
                <w:rFonts w:hint="eastAsia" w:asciiTheme="minorEastAsia" w:hAnsiTheme="minorEastAsia" w:eastAsiaTheme="minorEastAsia" w:cstheme="minorEastAsia"/>
                <w:b w:val="0"/>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val="0"/>
                <w:color w:val="000000" w:themeColor="text1"/>
                <w:sz w:val="24"/>
                <w:szCs w:val="24"/>
                <w:highlight w:val="none"/>
                <w14:textFill>
                  <w14:solidFill>
                    <w14:schemeClr w14:val="tx1"/>
                  </w14:solidFill>
                </w14:textFill>
              </w:rPr>
              <w:br w:type="textWrapping"/>
            </w:r>
            <w:r>
              <w:rPr>
                <w:rFonts w:hint="eastAsia" w:asciiTheme="minorEastAsia" w:hAnsiTheme="minorEastAsia" w:eastAsiaTheme="minorEastAsia" w:cstheme="minorEastAsia"/>
                <w:b w:val="0"/>
                <w:color w:val="000000" w:themeColor="text1"/>
                <w:sz w:val="24"/>
                <w:szCs w:val="24"/>
                <w:highlight w:val="none"/>
                <w:lang w:val="en-US" w:eastAsia="zh-CN"/>
                <w14:textFill>
                  <w14:solidFill>
                    <w14:schemeClr w14:val="tx1"/>
                  </w14:solidFill>
                </w14:textFill>
              </w:rPr>
              <w:t>后</w:t>
            </w: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领取成交通知书电子版，截图请备注项目及包别名称。</w:t>
            </w:r>
          </w:p>
          <w:p w14:paraId="3D3F0F96">
            <w:pPr>
              <w:pStyle w:val="69"/>
              <w:widowControl w:val="0"/>
              <w:spacing w:before="0" w:beforeAutospacing="0" w:after="0" w:afterAutospacing="0" w:line="360" w:lineRule="auto"/>
              <w:ind w:firstLine="0"/>
              <w:jc w:val="both"/>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③成交通知书领取及代理费缴纳拨打0552-3092287</w:t>
            </w:r>
          </w:p>
          <w:p w14:paraId="775B3B49">
            <w:pPr>
              <w:pStyle w:val="6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both"/>
              <w:textAlignment w:val="auto"/>
              <w:rPr>
                <w:bCs/>
                <w:color w:val="auto"/>
                <w:sz w:val="24"/>
                <w:szCs w:val="28"/>
                <w:highlight w:val="none"/>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发票开具请拨打0551-65707977，0551-65707344。</w:t>
            </w:r>
          </w:p>
        </w:tc>
      </w:tr>
      <w:tr w14:paraId="2685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3538A44E">
            <w:pPr>
              <w:pStyle w:val="70"/>
              <w:pBdr>
                <w:bottom w:val="none" w:color="auto" w:sz="0" w:space="0"/>
              </w:pBdr>
              <w:tabs>
                <w:tab w:val="clear" w:pos="4153"/>
                <w:tab w:val="clear" w:pos="8306"/>
              </w:tabs>
              <w:adjustRightInd/>
              <w:spacing w:line="360" w:lineRule="auto"/>
              <w:textAlignment w:val="auto"/>
              <w:rPr>
                <w:rFonts w:hint="eastAsia" w:ascii="宋体" w:hAnsi="宋体" w:eastAsia="宋体" w:cs="@仿宋_GB2312"/>
                <w:bCs/>
                <w:color w:val="auto"/>
                <w:kern w:val="2"/>
                <w:sz w:val="24"/>
                <w:szCs w:val="20"/>
                <w:highlight w:val="none"/>
                <w:lang w:val="en-US" w:eastAsia="zh-CN" w:bidi="ar-SA"/>
              </w:rPr>
            </w:pPr>
            <w:r>
              <w:rPr>
                <w:rFonts w:hint="eastAsia"/>
                <w:bCs/>
                <w:color w:val="auto"/>
                <w:kern w:val="2"/>
                <w:highlight w:val="none"/>
                <w:lang w:val="en-US" w:eastAsia="zh-CN"/>
              </w:rPr>
              <w:t>27.1</w:t>
            </w:r>
          </w:p>
        </w:tc>
        <w:tc>
          <w:tcPr>
            <w:tcW w:w="977" w:type="pct"/>
            <w:vAlign w:val="center"/>
          </w:tcPr>
          <w:p w14:paraId="5956F7E1">
            <w:pPr>
              <w:pStyle w:val="69"/>
              <w:widowControl w:val="0"/>
              <w:spacing w:before="0" w:beforeAutospacing="0" w:after="0" w:afterAutospacing="0" w:line="360" w:lineRule="auto"/>
              <w:jc w:val="both"/>
              <w:rPr>
                <w:rFonts w:hint="eastAsia" w:ascii="宋体" w:hAnsi="宋体" w:eastAsia="宋体" w:cs="@仿宋_GB2312"/>
                <w:b w:val="0"/>
                <w:bCs/>
                <w:color w:val="auto"/>
                <w:kern w:val="0"/>
                <w:sz w:val="24"/>
                <w:szCs w:val="28"/>
                <w:highlight w:val="none"/>
                <w:lang w:val="en-US" w:eastAsia="zh-CN" w:bidi="ar-SA"/>
              </w:rPr>
            </w:pPr>
            <w:r>
              <w:rPr>
                <w:rFonts w:hint="eastAsia" w:ascii="宋体" w:hAnsi="宋体" w:eastAsia="宋体"/>
                <w:b w:val="0"/>
                <w:color w:val="auto"/>
                <w:sz w:val="24"/>
                <w:highlight w:val="none"/>
                <w:lang w:val="en-US" w:eastAsia="zh-CN"/>
              </w:rPr>
              <w:t>签订合同和合同公告时间</w:t>
            </w:r>
          </w:p>
        </w:tc>
        <w:tc>
          <w:tcPr>
            <w:tcW w:w="3556" w:type="pct"/>
            <w:vAlign w:val="center"/>
          </w:tcPr>
          <w:p w14:paraId="0ACD6BE3">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（1）采购人与成交供应商应当自发出</w:t>
            </w:r>
            <w:r>
              <w:rPr>
                <w:rFonts w:hint="eastAsia" w:cs="宋体"/>
                <w:b w:val="0"/>
                <w:bCs w:val="0"/>
                <w:color w:val="auto"/>
                <w:sz w:val="24"/>
                <w:szCs w:val="24"/>
                <w:highlight w:val="none"/>
                <w:lang w:val="en-US" w:eastAsia="zh-CN"/>
              </w:rPr>
              <w:t>成交</w:t>
            </w:r>
            <w:r>
              <w:rPr>
                <w:rFonts w:hint="eastAsia" w:ascii="宋体" w:hAnsi="宋体" w:eastAsia="宋体" w:cs="宋体"/>
                <w:b w:val="0"/>
                <w:bCs w:val="0"/>
                <w:color w:val="auto"/>
                <w:sz w:val="24"/>
                <w:szCs w:val="24"/>
                <w:highlight w:val="none"/>
                <w:lang w:val="en-US" w:eastAsia="zh-CN"/>
              </w:rPr>
              <w:t>通知书之日起7个工作日内签订合同，采购合同签订之日起2个工作日内完成政府采购合同公开。</w:t>
            </w:r>
          </w:p>
          <w:p w14:paraId="4A44ACE9">
            <w:pPr>
              <w:pStyle w:val="69"/>
              <w:widowControl w:val="0"/>
              <w:spacing w:before="0" w:beforeAutospacing="0" w:after="0" w:afterAutospacing="0" w:line="360" w:lineRule="auto"/>
              <w:jc w:val="both"/>
              <w:rPr>
                <w:rFonts w:hint="eastAsia" w:ascii="宋体" w:hAnsi="宋体" w:eastAsia="宋体" w:cs="@仿宋_GB2312"/>
                <w:b w:val="0"/>
                <w:bCs/>
                <w:color w:val="auto"/>
                <w:kern w:val="0"/>
                <w:sz w:val="24"/>
                <w:szCs w:val="28"/>
                <w:highlight w:val="none"/>
                <w:lang w:val="en-US" w:eastAsia="zh-CN" w:bidi="ar-SA"/>
              </w:rPr>
            </w:pPr>
            <w:r>
              <w:rPr>
                <w:rFonts w:hint="eastAsia" w:ascii="宋体" w:hAnsi="宋体" w:eastAsia="宋体" w:cs="宋体"/>
                <w:b w:val="0"/>
                <w:bCs w:val="0"/>
                <w:color w:val="auto"/>
                <w:sz w:val="24"/>
                <w:szCs w:val="24"/>
                <w:highlight w:val="none"/>
                <w:lang w:val="en-US" w:eastAsia="zh-CN"/>
              </w:rPr>
              <w:t>（2）采购人与成交供应商</w:t>
            </w:r>
            <w:r>
              <w:rPr>
                <w:rFonts w:hint="default" w:ascii="宋体" w:hAnsi="宋体" w:eastAsia="宋体" w:cs="宋体"/>
                <w:b w:val="0"/>
                <w:bCs w:val="0"/>
                <w:color w:val="auto"/>
                <w:sz w:val="24"/>
                <w:szCs w:val="24"/>
                <w:highlight w:val="none"/>
                <w:lang w:val="en-US" w:eastAsia="zh-CN"/>
              </w:rPr>
              <w:t>不得擅自变更合同，依照政府采购法确需变更政府采购合同内容的，采购人应当自合同变更之日起2个工作日内</w:t>
            </w:r>
            <w:r>
              <w:rPr>
                <w:rFonts w:hint="eastAsia" w:ascii="宋体" w:hAnsi="宋体" w:eastAsia="宋体" w:cs="宋体"/>
                <w:b w:val="0"/>
                <w:bCs w:val="0"/>
                <w:color w:val="auto"/>
                <w:sz w:val="24"/>
                <w:szCs w:val="24"/>
                <w:highlight w:val="none"/>
                <w:lang w:val="en-US" w:eastAsia="zh-CN"/>
              </w:rPr>
              <w:t>在安徽省政府采购网</w:t>
            </w:r>
            <w:r>
              <w:rPr>
                <w:rFonts w:hint="default" w:ascii="宋体" w:hAnsi="宋体" w:eastAsia="宋体" w:cs="宋体"/>
                <w:b w:val="0"/>
                <w:bCs w:val="0"/>
                <w:color w:val="auto"/>
                <w:sz w:val="24"/>
                <w:szCs w:val="24"/>
                <w:highlight w:val="none"/>
                <w:lang w:val="en-US" w:eastAsia="zh-CN"/>
              </w:rPr>
              <w:t>发布政府采购合同变更公告</w:t>
            </w:r>
            <w:r>
              <w:rPr>
                <w:rFonts w:hint="eastAsia" w:ascii="宋体" w:hAnsi="宋体" w:eastAsia="宋体" w:cs="宋体"/>
                <w:b w:val="0"/>
                <w:bCs w:val="0"/>
                <w:color w:val="auto"/>
                <w:sz w:val="24"/>
                <w:szCs w:val="24"/>
                <w:highlight w:val="none"/>
                <w:lang w:val="en-US" w:eastAsia="zh-CN"/>
              </w:rPr>
              <w:t>，</w:t>
            </w:r>
            <w:r>
              <w:rPr>
                <w:rFonts w:hint="default" w:ascii="宋体" w:hAnsi="宋体" w:eastAsia="宋体" w:cs="宋体"/>
                <w:b w:val="0"/>
                <w:bCs w:val="0"/>
                <w:color w:val="auto"/>
                <w:sz w:val="24"/>
                <w:szCs w:val="24"/>
                <w:highlight w:val="none"/>
                <w:lang w:val="en-US" w:eastAsia="zh-CN"/>
              </w:rPr>
              <w:t>但涉及国家秘密、商业秘密的信息和其他依法不得公开的信息除外。</w:t>
            </w:r>
          </w:p>
        </w:tc>
      </w:tr>
      <w:tr w14:paraId="1FEC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816" w:type="dxa"/>
            <w:vAlign w:val="center"/>
          </w:tcPr>
          <w:p w14:paraId="1EA7E19A">
            <w:pPr>
              <w:pStyle w:val="70"/>
              <w:pBdr>
                <w:bottom w:val="none" w:color="auto" w:sz="0" w:space="0"/>
              </w:pBdr>
              <w:tabs>
                <w:tab w:val="clear" w:pos="4153"/>
                <w:tab w:val="clear" w:pos="8306"/>
              </w:tabs>
              <w:adjustRightInd/>
              <w:spacing w:line="360" w:lineRule="auto"/>
              <w:textAlignment w:val="auto"/>
              <w:rPr>
                <w:rFonts w:hint="default" w:eastAsia="宋体"/>
                <w:bCs/>
                <w:color w:val="auto"/>
                <w:kern w:val="2"/>
                <w:highlight w:val="none"/>
                <w:lang w:val="en-US" w:eastAsia="zh-CN"/>
              </w:rPr>
            </w:pPr>
            <w:r>
              <w:rPr>
                <w:rFonts w:hint="eastAsia"/>
                <w:bCs/>
                <w:color w:val="auto"/>
                <w:kern w:val="2"/>
                <w:highlight w:val="none"/>
                <w:lang w:val="en-US" w:eastAsia="zh-CN"/>
              </w:rPr>
              <w:t>29.3</w:t>
            </w:r>
          </w:p>
        </w:tc>
        <w:tc>
          <w:tcPr>
            <w:tcW w:w="977" w:type="pct"/>
            <w:vAlign w:val="center"/>
          </w:tcPr>
          <w:p w14:paraId="19DB6F6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质疑函递交方式、接收部门、联系电话和通讯地址</w:t>
            </w:r>
          </w:p>
        </w:tc>
        <w:tc>
          <w:tcPr>
            <w:tcW w:w="3556" w:type="pct"/>
            <w:vAlign w:val="center"/>
          </w:tcPr>
          <w:p w14:paraId="3C591085">
            <w:pPr>
              <w:pStyle w:val="69"/>
              <w:widowControl w:val="0"/>
              <w:spacing w:before="0" w:beforeAutospacing="0" w:after="0" w:afterAutospacing="0" w:line="360" w:lineRule="auto"/>
              <w:jc w:val="both"/>
              <w:rPr>
                <w:rFonts w:ascii="宋体" w:hAnsi="宋体" w:eastAsia="宋体"/>
                <w:b w:val="0"/>
                <w:color w:val="auto"/>
                <w:sz w:val="24"/>
                <w:szCs w:val="24"/>
                <w:highlight w:val="none"/>
              </w:rPr>
            </w:pPr>
            <w:r>
              <w:rPr>
                <w:rFonts w:hint="eastAsia" w:ascii="宋体" w:hAnsi="宋体" w:eastAsia="宋体"/>
                <w:b w:val="0"/>
                <w:color w:val="auto"/>
                <w:sz w:val="24"/>
                <w:szCs w:val="24"/>
                <w:highlight w:val="none"/>
              </w:rPr>
              <w:t>递交方式：“徽采云”电子交易系统</w:t>
            </w:r>
          </w:p>
          <w:p w14:paraId="19AD49B4">
            <w:pPr>
              <w:pStyle w:val="69"/>
              <w:widowControl w:val="0"/>
              <w:spacing w:before="0" w:beforeAutospacing="0" w:after="0" w:afterAutospacing="0" w:line="360" w:lineRule="auto"/>
              <w:jc w:val="both"/>
              <w:rPr>
                <w:rFonts w:ascii="宋体" w:hAnsi="宋体" w:eastAsia="宋体"/>
                <w:b w:val="0"/>
                <w:color w:val="auto"/>
                <w:sz w:val="24"/>
                <w:szCs w:val="24"/>
                <w:highlight w:val="none"/>
              </w:rPr>
            </w:pPr>
            <w:r>
              <w:rPr>
                <w:rFonts w:hint="eastAsia" w:ascii="宋体" w:hAnsi="宋体" w:eastAsia="宋体"/>
                <w:b w:val="0"/>
                <w:color w:val="auto"/>
                <w:sz w:val="24"/>
                <w:szCs w:val="24"/>
                <w:highlight w:val="none"/>
              </w:rPr>
              <w:t>接收部门：安徽省淮河河道管理局</w:t>
            </w:r>
          </w:p>
          <w:p w14:paraId="1FA0B053">
            <w:pPr>
              <w:pStyle w:val="69"/>
              <w:widowControl w:val="0"/>
              <w:spacing w:before="0" w:beforeAutospacing="0" w:after="0" w:afterAutospacing="0" w:line="360" w:lineRule="auto"/>
              <w:jc w:val="both"/>
              <w:rPr>
                <w:rFonts w:hint="default" w:ascii="宋体" w:hAnsi="宋体" w:eastAsia="宋体"/>
                <w:b w:val="0"/>
                <w:color w:val="auto"/>
                <w:sz w:val="24"/>
                <w:szCs w:val="24"/>
                <w:highlight w:val="none"/>
                <w:lang w:val="en-US" w:eastAsia="zh-CN"/>
              </w:rPr>
            </w:pPr>
            <w:r>
              <w:rPr>
                <w:rFonts w:ascii="宋体" w:hAnsi="宋体" w:eastAsia="宋体"/>
                <w:b w:val="0"/>
                <w:color w:val="auto"/>
                <w:sz w:val="24"/>
                <w:szCs w:val="24"/>
                <w:highlight w:val="none"/>
              </w:rPr>
              <w:t>联系电话：</w:t>
            </w:r>
            <w:r>
              <w:rPr>
                <w:rFonts w:hint="eastAsia" w:ascii="宋体" w:hAnsi="宋体" w:eastAsia="宋体"/>
                <w:b w:val="0"/>
                <w:color w:val="auto"/>
                <w:sz w:val="24"/>
                <w:szCs w:val="24"/>
                <w:highlight w:val="none"/>
              </w:rPr>
              <w:t>0552-3918027</w:t>
            </w:r>
          </w:p>
          <w:p w14:paraId="064FF712">
            <w:pPr>
              <w:pStyle w:val="69"/>
              <w:widowControl w:val="0"/>
              <w:spacing w:before="0" w:beforeAutospacing="0" w:after="0" w:afterAutospacing="0" w:line="360" w:lineRule="auto"/>
              <w:jc w:val="both"/>
              <w:rPr>
                <w:b w:val="0"/>
                <w:color w:val="auto"/>
                <w:sz w:val="24"/>
                <w:highlight w:val="none"/>
              </w:rPr>
            </w:pPr>
            <w:r>
              <w:rPr>
                <w:rFonts w:hint="eastAsia" w:ascii="宋体" w:hAnsi="宋体" w:eastAsia="宋体"/>
                <w:b w:val="0"/>
                <w:color w:val="auto"/>
                <w:sz w:val="24"/>
                <w:szCs w:val="24"/>
                <w:highlight w:val="none"/>
              </w:rPr>
              <w:t>通讯地址：安徽省蚌埠市解放一路116号</w:t>
            </w:r>
          </w:p>
        </w:tc>
      </w:tr>
      <w:tr w14:paraId="69F5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816861E">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rFonts w:hint="eastAsia"/>
                <w:bCs/>
                <w:color w:val="auto"/>
                <w:kern w:val="2"/>
                <w:highlight w:val="none"/>
              </w:rPr>
              <w:t>3</w:t>
            </w:r>
            <w:r>
              <w:rPr>
                <w:rFonts w:hint="eastAsia"/>
                <w:bCs/>
                <w:color w:val="auto"/>
                <w:kern w:val="2"/>
                <w:highlight w:val="none"/>
                <w:lang w:val="en-US" w:eastAsia="zh-CN"/>
              </w:rPr>
              <w:t>0</w:t>
            </w:r>
          </w:p>
        </w:tc>
        <w:tc>
          <w:tcPr>
            <w:tcW w:w="977" w:type="pct"/>
            <w:vAlign w:val="center"/>
          </w:tcPr>
          <w:p w14:paraId="06E64AA3">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其他内容</w:t>
            </w:r>
          </w:p>
        </w:tc>
        <w:tc>
          <w:tcPr>
            <w:tcW w:w="3556" w:type="pct"/>
            <w:vAlign w:val="center"/>
          </w:tcPr>
          <w:p w14:paraId="7548D206">
            <w:pPr>
              <w:pStyle w:val="69"/>
              <w:widowControl w:val="0"/>
              <w:spacing w:before="0" w:beforeAutospacing="0" w:after="0" w:afterAutospacing="0" w:line="360" w:lineRule="auto"/>
              <w:jc w:val="both"/>
              <w:rPr>
                <w:b w:val="0"/>
                <w:color w:val="auto"/>
                <w:sz w:val="24"/>
                <w:highlight w:val="none"/>
              </w:rPr>
            </w:pPr>
          </w:p>
        </w:tc>
      </w:tr>
      <w:tr w14:paraId="299C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4E5B990E">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1</w:t>
            </w:r>
          </w:p>
        </w:tc>
        <w:tc>
          <w:tcPr>
            <w:tcW w:w="977" w:type="pct"/>
            <w:vAlign w:val="center"/>
          </w:tcPr>
          <w:p w14:paraId="03549C07">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承包方式</w:t>
            </w:r>
          </w:p>
        </w:tc>
        <w:tc>
          <w:tcPr>
            <w:tcW w:w="3556" w:type="pct"/>
            <w:vAlign w:val="center"/>
          </w:tcPr>
          <w:p w14:paraId="1063FB6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施工总承包  □专业承包</w:t>
            </w:r>
          </w:p>
        </w:tc>
      </w:tr>
      <w:tr w14:paraId="7E6C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14D1A61C">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2</w:t>
            </w:r>
          </w:p>
        </w:tc>
        <w:tc>
          <w:tcPr>
            <w:tcW w:w="977" w:type="pct"/>
            <w:vAlign w:val="center"/>
          </w:tcPr>
          <w:p w14:paraId="29423E7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计价方式</w:t>
            </w:r>
          </w:p>
        </w:tc>
        <w:tc>
          <w:tcPr>
            <w:tcW w:w="3556" w:type="pct"/>
            <w:vAlign w:val="center"/>
          </w:tcPr>
          <w:p w14:paraId="48DD28A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工程量清单综合单价报价法</w:t>
            </w:r>
          </w:p>
          <w:p w14:paraId="0263F026">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lang w:eastAsia="zh-CN"/>
              </w:rPr>
              <w:t>☑</w:t>
            </w:r>
            <w:r>
              <w:rPr>
                <w:rFonts w:hint="eastAsia"/>
                <w:b w:val="0"/>
                <w:color w:val="auto"/>
                <w:sz w:val="24"/>
                <w:highlight w:val="none"/>
              </w:rPr>
              <w:t>全费用综合单价报价法</w:t>
            </w:r>
          </w:p>
        </w:tc>
      </w:tr>
      <w:tr w14:paraId="56EB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40D77625">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3</w:t>
            </w:r>
          </w:p>
        </w:tc>
        <w:tc>
          <w:tcPr>
            <w:tcW w:w="977" w:type="pct"/>
            <w:vAlign w:val="center"/>
          </w:tcPr>
          <w:p w14:paraId="31AB29DC">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计划</w:t>
            </w:r>
            <w:r>
              <w:rPr>
                <w:b w:val="0"/>
                <w:color w:val="auto"/>
                <w:sz w:val="24"/>
                <w:highlight w:val="none"/>
              </w:rPr>
              <w:t>工期</w:t>
            </w:r>
          </w:p>
        </w:tc>
        <w:tc>
          <w:tcPr>
            <w:tcW w:w="3556" w:type="pct"/>
            <w:vAlign w:val="center"/>
          </w:tcPr>
          <w:p w14:paraId="0A535CC1">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计划</w:t>
            </w:r>
            <w:r>
              <w:rPr>
                <w:b w:val="0"/>
                <w:color w:val="auto"/>
                <w:sz w:val="24"/>
                <w:highlight w:val="none"/>
              </w:rPr>
              <w:t>工期：</w:t>
            </w:r>
            <w:r>
              <w:rPr>
                <w:rFonts w:hint="eastAsia"/>
                <w:b w:val="0"/>
                <w:color w:val="auto"/>
                <w:sz w:val="24"/>
                <w:highlight w:val="none"/>
                <w:u w:val="single"/>
                <w:lang w:eastAsia="zh-CN"/>
              </w:rPr>
              <w:t>（</w:t>
            </w:r>
            <w:r>
              <w:rPr>
                <w:rFonts w:hint="eastAsia"/>
                <w:b w:val="0"/>
                <w:color w:val="auto"/>
                <w:sz w:val="24"/>
                <w:highlight w:val="none"/>
                <w:u w:val="single"/>
                <w:lang w:val="en-US" w:eastAsia="zh-CN"/>
              </w:rPr>
              <w:t>详见磋商公告）</w:t>
            </w:r>
            <w:r>
              <w:rPr>
                <w:b w:val="0"/>
                <w:color w:val="auto"/>
                <w:sz w:val="24"/>
                <w:highlight w:val="none"/>
                <w:u w:val="single"/>
              </w:rPr>
              <w:t xml:space="preserve"> </w:t>
            </w:r>
            <w:r>
              <w:rPr>
                <w:b w:val="0"/>
                <w:color w:val="auto"/>
                <w:sz w:val="24"/>
                <w:highlight w:val="none"/>
              </w:rPr>
              <w:t>日历天</w:t>
            </w:r>
          </w:p>
          <w:p w14:paraId="492E706F">
            <w:pPr>
              <w:pStyle w:val="69"/>
              <w:widowControl w:val="0"/>
              <w:spacing w:before="0" w:beforeAutospacing="0" w:after="0" w:afterAutospacing="0" w:line="360" w:lineRule="auto"/>
              <w:jc w:val="both"/>
              <w:rPr>
                <w:b w:val="0"/>
                <w:color w:val="auto"/>
                <w:sz w:val="24"/>
                <w:highlight w:val="none"/>
              </w:rPr>
            </w:pPr>
            <w:r>
              <w:rPr>
                <w:b w:val="0"/>
                <w:color w:val="auto"/>
                <w:sz w:val="24"/>
                <w:highlight w:val="none"/>
              </w:rPr>
              <w:t>计划开工日期：</w:t>
            </w:r>
            <w:r>
              <w:rPr>
                <w:rFonts w:hint="eastAsia"/>
                <w:b w:val="0"/>
                <w:color w:val="auto"/>
                <w:sz w:val="24"/>
                <w:highlight w:val="none"/>
                <w:u w:val="single"/>
                <w:lang w:val="en-US" w:eastAsia="zh-CN"/>
              </w:rPr>
              <w:t>/</w:t>
            </w:r>
            <w:r>
              <w:rPr>
                <w:b w:val="0"/>
                <w:color w:val="auto"/>
                <w:sz w:val="24"/>
                <w:highlight w:val="none"/>
              </w:rPr>
              <w:t>年</w:t>
            </w:r>
            <w:r>
              <w:rPr>
                <w:rFonts w:hint="eastAsia"/>
                <w:b w:val="0"/>
                <w:color w:val="auto"/>
                <w:sz w:val="24"/>
                <w:highlight w:val="none"/>
                <w:u w:val="single"/>
                <w:lang w:val="en-US" w:eastAsia="zh-CN"/>
              </w:rPr>
              <w:t>/</w:t>
            </w:r>
            <w:r>
              <w:rPr>
                <w:b w:val="0"/>
                <w:color w:val="auto"/>
                <w:sz w:val="24"/>
                <w:highlight w:val="none"/>
              </w:rPr>
              <w:t>月</w:t>
            </w:r>
            <w:r>
              <w:rPr>
                <w:rFonts w:hint="eastAsia"/>
                <w:b w:val="0"/>
                <w:color w:val="auto"/>
                <w:sz w:val="24"/>
                <w:highlight w:val="none"/>
                <w:u w:val="single"/>
                <w:lang w:val="en-US" w:eastAsia="zh-CN"/>
              </w:rPr>
              <w:t>/</w:t>
            </w:r>
            <w:r>
              <w:rPr>
                <w:b w:val="0"/>
                <w:color w:val="auto"/>
                <w:sz w:val="24"/>
                <w:highlight w:val="none"/>
              </w:rPr>
              <w:t>日</w:t>
            </w:r>
            <w:r>
              <w:rPr>
                <w:rFonts w:hint="eastAsia"/>
                <w:b w:val="0"/>
                <w:color w:val="auto"/>
                <w:sz w:val="24"/>
                <w:highlight w:val="none"/>
              </w:rPr>
              <w:t>，</w:t>
            </w:r>
            <w:bookmarkStart w:id="38" w:name="EB2a2e1a22d449405a860670c095486ab8"/>
            <w:r>
              <w:rPr>
                <w:rFonts w:hint="eastAsia"/>
                <w:b w:val="0"/>
                <w:color w:val="auto"/>
                <w:sz w:val="24"/>
                <w:highlight w:val="none"/>
              </w:rPr>
              <w:t>具体开工时间以开工令为准。</w:t>
            </w:r>
            <w:bookmarkEnd w:id="38"/>
          </w:p>
        </w:tc>
      </w:tr>
      <w:tr w14:paraId="76EA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05289852">
            <w:pPr>
              <w:pStyle w:val="70"/>
              <w:pBdr>
                <w:bottom w:val="none" w:color="auto" w:sz="0" w:space="0"/>
              </w:pBdr>
              <w:tabs>
                <w:tab w:val="clear" w:pos="4153"/>
                <w:tab w:val="clear" w:pos="8306"/>
              </w:tabs>
              <w:adjustRightInd/>
              <w:spacing w:line="360" w:lineRule="auto"/>
              <w:textAlignment w:val="auto"/>
              <w:rPr>
                <w:bCs/>
                <w:color w:val="auto"/>
                <w:kern w:val="2"/>
                <w:highlight w:val="none"/>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rPr>
              <w:t>4</w:t>
            </w:r>
          </w:p>
        </w:tc>
        <w:tc>
          <w:tcPr>
            <w:tcW w:w="977" w:type="pct"/>
            <w:vAlign w:val="center"/>
          </w:tcPr>
          <w:p w14:paraId="701FD904">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质量标准要求</w:t>
            </w:r>
          </w:p>
        </w:tc>
        <w:tc>
          <w:tcPr>
            <w:tcW w:w="3556" w:type="pct"/>
            <w:vAlign w:val="center"/>
          </w:tcPr>
          <w:p w14:paraId="7E71997E">
            <w:pPr>
              <w:pStyle w:val="96"/>
              <w:tabs>
                <w:tab w:val="left" w:pos="1152"/>
              </w:tabs>
              <w:spacing w:before="0" w:beforeAutospacing="0" w:after="0" w:afterAutospacing="0" w:line="360" w:lineRule="auto"/>
              <w:rPr>
                <w:b/>
                <w:color w:val="auto"/>
                <w:highlight w:val="none"/>
              </w:rPr>
            </w:pPr>
            <w:r>
              <w:rPr>
                <w:rFonts w:hint="eastAsia" w:cs="@仿宋_GB2312"/>
                <w:bCs/>
                <w:color w:val="auto"/>
                <w:szCs w:val="28"/>
                <w:highlight w:val="none"/>
              </w:rPr>
              <w:t>质量标准：合格</w:t>
            </w:r>
          </w:p>
        </w:tc>
      </w:tr>
      <w:tr w14:paraId="1209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1D7586C0">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5</w:t>
            </w:r>
          </w:p>
        </w:tc>
        <w:tc>
          <w:tcPr>
            <w:tcW w:w="977" w:type="pct"/>
            <w:vAlign w:val="center"/>
          </w:tcPr>
          <w:p w14:paraId="1AE25AFA">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安全文明要求</w:t>
            </w:r>
          </w:p>
        </w:tc>
        <w:tc>
          <w:tcPr>
            <w:tcW w:w="3556" w:type="pct"/>
            <w:vAlign w:val="center"/>
          </w:tcPr>
          <w:p w14:paraId="0A87E8CE">
            <w:pPr>
              <w:pStyle w:val="69"/>
              <w:widowControl w:val="0"/>
              <w:spacing w:before="0" w:beforeAutospacing="0" w:after="0" w:afterAutospacing="0" w:line="360" w:lineRule="auto"/>
              <w:jc w:val="both"/>
              <w:rPr>
                <w:b w:val="0"/>
                <w:bCs w:val="0"/>
                <w:color w:val="auto"/>
                <w:sz w:val="24"/>
                <w:highlight w:val="none"/>
              </w:rPr>
            </w:pPr>
            <w:r>
              <w:rPr>
                <w:rFonts w:hint="eastAsia"/>
                <w:b w:val="0"/>
                <w:bCs w:val="0"/>
                <w:color w:val="auto"/>
                <w:sz w:val="24"/>
                <w:highlight w:val="none"/>
              </w:rPr>
              <w:t>必须确保安全文明施工，符合国家和项目所在地现行相关规定</w:t>
            </w:r>
          </w:p>
        </w:tc>
      </w:tr>
      <w:tr w14:paraId="18AE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609EA463">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6</w:t>
            </w:r>
          </w:p>
        </w:tc>
        <w:tc>
          <w:tcPr>
            <w:tcW w:w="977" w:type="pct"/>
            <w:vAlign w:val="center"/>
          </w:tcPr>
          <w:p w14:paraId="0BEC524D">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总包及分包规定</w:t>
            </w:r>
          </w:p>
        </w:tc>
        <w:tc>
          <w:tcPr>
            <w:tcW w:w="3556" w:type="pct"/>
            <w:vAlign w:val="center"/>
          </w:tcPr>
          <w:p w14:paraId="3B8CA641">
            <w:pPr>
              <w:spacing w:line="360" w:lineRule="auto"/>
              <w:rPr>
                <w:rFonts w:ascii="Calibri" w:hAnsi="Calibri" w:cs="Times New Roman"/>
                <w:b w:val="0"/>
                <w:bCs w:val="0"/>
                <w:color w:val="auto"/>
                <w:kern w:val="2"/>
                <w:sz w:val="24"/>
                <w:szCs w:val="28"/>
                <w:highlight w:val="none"/>
              </w:rPr>
            </w:pPr>
            <w:r>
              <w:rPr>
                <w:rFonts w:hint="eastAsia" w:ascii="Calibri" w:hAnsi="Calibri" w:cs="Times New Roman"/>
                <w:b w:val="0"/>
                <w:bCs w:val="0"/>
                <w:color w:val="auto"/>
                <w:kern w:val="2"/>
                <w:sz w:val="24"/>
                <w:szCs w:val="28"/>
                <w:highlight w:val="none"/>
              </w:rPr>
              <w:t>供应商不得在成交后将工程转包给其它施工单位。</w:t>
            </w:r>
          </w:p>
          <w:p w14:paraId="5F6074CC">
            <w:pPr>
              <w:spacing w:line="360" w:lineRule="auto"/>
              <w:jc w:val="left"/>
              <w:rPr>
                <w:rFonts w:cs="Times New Roman"/>
                <w:b w:val="0"/>
                <w:bCs w:val="0"/>
                <w:color w:val="auto"/>
                <w:kern w:val="2"/>
                <w:sz w:val="24"/>
                <w:szCs w:val="22"/>
                <w:highlight w:val="none"/>
              </w:rPr>
            </w:pPr>
            <w:r>
              <w:rPr>
                <w:rFonts w:hint="eastAsia" w:cs="Times New Roman"/>
                <w:b w:val="0"/>
                <w:bCs w:val="0"/>
                <w:color w:val="auto"/>
                <w:kern w:val="2"/>
                <w:sz w:val="24"/>
                <w:szCs w:val="22"/>
                <w:highlight w:val="none"/>
              </w:rPr>
              <w:t>分包情况</w:t>
            </w:r>
          </w:p>
          <w:p w14:paraId="2101B1DE">
            <w:pPr>
              <w:spacing w:line="360" w:lineRule="auto"/>
              <w:jc w:val="left"/>
              <w:rPr>
                <w:rFonts w:cs="Times New Roman"/>
                <w:b w:val="0"/>
                <w:bCs w:val="0"/>
                <w:color w:val="auto"/>
                <w:kern w:val="2"/>
                <w:sz w:val="24"/>
                <w:szCs w:val="22"/>
                <w:highlight w:val="none"/>
              </w:rPr>
            </w:pPr>
            <w:r>
              <w:rPr>
                <w:rFonts w:hint="eastAsia" w:cs="Times New Roman"/>
                <w:b w:val="0"/>
                <w:bCs w:val="0"/>
                <w:color w:val="auto"/>
                <w:kern w:val="2"/>
                <w:sz w:val="24"/>
                <w:szCs w:val="22"/>
                <w:highlight w:val="none"/>
              </w:rPr>
              <w:t>□允许专业分包，</w:t>
            </w:r>
            <w:r>
              <w:rPr>
                <w:rFonts w:hint="eastAsia" w:ascii="Calibri" w:hAnsi="Calibri" w:cs="Times New Roman"/>
                <w:b w:val="0"/>
                <w:bCs w:val="0"/>
                <w:color w:val="auto"/>
                <w:kern w:val="2"/>
                <w:sz w:val="24"/>
                <w:szCs w:val="22"/>
                <w:highlight w:val="none"/>
              </w:rPr>
              <w:t>分包项目、内容及分包商须经采购人及监理单位同意和认可</w:t>
            </w:r>
          </w:p>
          <w:p w14:paraId="48763D6A">
            <w:pPr>
              <w:pStyle w:val="69"/>
              <w:widowControl w:val="0"/>
              <w:spacing w:before="0" w:beforeAutospacing="0" w:after="0" w:afterAutospacing="0" w:line="360" w:lineRule="auto"/>
              <w:jc w:val="both"/>
              <w:rPr>
                <w:b w:val="0"/>
                <w:bCs w:val="0"/>
                <w:color w:val="auto"/>
                <w:sz w:val="24"/>
                <w:highlight w:val="none"/>
              </w:rPr>
            </w:pPr>
            <w:r>
              <w:rPr>
                <w:rFonts w:hint="eastAsia" w:cs="Times New Roman"/>
                <w:b w:val="0"/>
                <w:bCs w:val="0"/>
                <w:color w:val="auto"/>
                <w:kern w:val="2"/>
                <w:sz w:val="24"/>
                <w:szCs w:val="22"/>
                <w:highlight w:val="none"/>
                <w:lang w:eastAsia="zh-CN"/>
              </w:rPr>
              <w:t>☑</w:t>
            </w:r>
            <w:r>
              <w:rPr>
                <w:rFonts w:hint="eastAsia" w:cs="Times New Roman"/>
                <w:b w:val="0"/>
                <w:bCs w:val="0"/>
                <w:color w:val="auto"/>
                <w:kern w:val="2"/>
                <w:sz w:val="24"/>
                <w:szCs w:val="22"/>
                <w:highlight w:val="none"/>
              </w:rPr>
              <w:t>不允许</w:t>
            </w:r>
          </w:p>
        </w:tc>
      </w:tr>
      <w:tr w14:paraId="3CE7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667F9CF">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7</w:t>
            </w:r>
          </w:p>
        </w:tc>
        <w:tc>
          <w:tcPr>
            <w:tcW w:w="977" w:type="pct"/>
            <w:vAlign w:val="center"/>
          </w:tcPr>
          <w:p w14:paraId="15D164D0">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现场条件</w:t>
            </w:r>
          </w:p>
        </w:tc>
        <w:tc>
          <w:tcPr>
            <w:tcW w:w="3556" w:type="pct"/>
            <w:vAlign w:val="center"/>
          </w:tcPr>
          <w:p w14:paraId="10D000E4">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具备开工条件</w:t>
            </w:r>
          </w:p>
        </w:tc>
      </w:tr>
      <w:tr w14:paraId="2AF7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534E1D23">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w:t>
            </w:r>
            <w:r>
              <w:rPr>
                <w:rFonts w:hint="eastAsia"/>
                <w:bCs/>
                <w:color w:val="auto"/>
                <w:kern w:val="2"/>
                <w:highlight w:val="none"/>
                <w:lang w:val="en-US" w:eastAsia="zh-CN"/>
              </w:rPr>
              <w:t>8</w:t>
            </w:r>
          </w:p>
        </w:tc>
        <w:tc>
          <w:tcPr>
            <w:tcW w:w="977" w:type="pct"/>
            <w:vAlign w:val="center"/>
          </w:tcPr>
          <w:p w14:paraId="69E6FD75">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采购人提供的资料</w:t>
            </w:r>
          </w:p>
        </w:tc>
        <w:tc>
          <w:tcPr>
            <w:tcW w:w="3556" w:type="pct"/>
            <w:vAlign w:val="center"/>
          </w:tcPr>
          <w:p w14:paraId="58E06078">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磋商文件</w:t>
            </w:r>
          </w:p>
          <w:p w14:paraId="585EC43A">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工程量清单</w:t>
            </w:r>
          </w:p>
          <w:p w14:paraId="7643BCA8">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最高投标限价</w:t>
            </w:r>
          </w:p>
          <w:p w14:paraId="5105FC0C">
            <w:pPr>
              <w:adjustRightInd w:val="0"/>
              <w:snapToGrid w:val="0"/>
              <w:spacing w:line="360" w:lineRule="auto"/>
              <w:jc w:val="left"/>
              <w:rPr>
                <w:bCs/>
                <w:color w:val="auto"/>
                <w:sz w:val="24"/>
                <w:szCs w:val="28"/>
                <w:highlight w:val="none"/>
              </w:rPr>
            </w:pPr>
            <w:r>
              <w:rPr>
                <w:rFonts w:hint="eastAsia"/>
                <w:bCs/>
                <w:color w:val="auto"/>
                <w:sz w:val="24"/>
                <w:szCs w:val="28"/>
                <w:highlight w:val="none"/>
                <w:lang w:eastAsia="zh-CN"/>
              </w:rPr>
              <w:t>□</w:t>
            </w:r>
            <w:r>
              <w:rPr>
                <w:rFonts w:hint="eastAsia"/>
                <w:bCs/>
                <w:color w:val="auto"/>
                <w:sz w:val="24"/>
                <w:szCs w:val="28"/>
                <w:highlight w:val="none"/>
              </w:rPr>
              <w:t>电子版图纸</w:t>
            </w:r>
          </w:p>
          <w:p w14:paraId="76BDDD74">
            <w:pPr>
              <w:adjustRightInd w:val="0"/>
              <w:snapToGrid w:val="0"/>
              <w:spacing w:line="360" w:lineRule="auto"/>
              <w:jc w:val="left"/>
              <w:rPr>
                <w:bCs/>
                <w:color w:val="auto"/>
                <w:sz w:val="24"/>
                <w:szCs w:val="28"/>
                <w:highlight w:val="none"/>
              </w:rPr>
            </w:pPr>
            <w:r>
              <w:rPr>
                <w:rFonts w:hint="eastAsia"/>
                <w:bCs/>
                <w:color w:val="auto"/>
                <w:sz w:val="24"/>
                <w:szCs w:val="28"/>
                <w:highlight w:val="none"/>
              </w:rPr>
              <w:t>获得方式：</w:t>
            </w:r>
          </w:p>
          <w:p w14:paraId="6D12603C">
            <w:pPr>
              <w:pStyle w:val="69"/>
              <w:widowControl w:val="0"/>
              <w:spacing w:before="0" w:beforeAutospacing="0" w:after="0" w:afterAutospacing="0" w:line="360" w:lineRule="auto"/>
              <w:jc w:val="both"/>
              <w:rPr>
                <w:b w:val="0"/>
                <w:color w:val="auto"/>
                <w:sz w:val="24"/>
                <w:highlight w:val="none"/>
              </w:rPr>
            </w:pPr>
            <w:r>
              <w:rPr>
                <w:rFonts w:hint="eastAsia"/>
                <w:color w:val="auto"/>
                <w:sz w:val="24"/>
                <w:highlight w:val="none"/>
              </w:rPr>
              <w:t>上述资料请供应商在获取磋商文件后，自行登录电子交易系统下载本项目附件。</w:t>
            </w:r>
          </w:p>
        </w:tc>
      </w:tr>
      <w:tr w14:paraId="06E7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7CBB45A4">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rFonts w:hint="eastAsia"/>
                <w:bCs/>
                <w:color w:val="auto"/>
                <w:kern w:val="2"/>
                <w:highlight w:val="none"/>
                <w:lang w:val="en-US" w:eastAsia="zh-CN"/>
              </w:rPr>
              <w:t>30</w:t>
            </w:r>
            <w:r>
              <w:rPr>
                <w:bCs/>
                <w:color w:val="auto"/>
                <w:kern w:val="2"/>
                <w:highlight w:val="none"/>
              </w:rPr>
              <w:t>.</w:t>
            </w:r>
            <w:r>
              <w:rPr>
                <w:rFonts w:hint="eastAsia"/>
                <w:bCs/>
                <w:color w:val="auto"/>
                <w:kern w:val="2"/>
                <w:highlight w:val="none"/>
                <w:lang w:val="en-US" w:eastAsia="zh-CN"/>
              </w:rPr>
              <w:t>9</w:t>
            </w:r>
          </w:p>
        </w:tc>
        <w:tc>
          <w:tcPr>
            <w:tcW w:w="977" w:type="pct"/>
            <w:vAlign w:val="center"/>
          </w:tcPr>
          <w:p w14:paraId="331D99E9">
            <w:pPr>
              <w:pStyle w:val="69"/>
              <w:widowControl w:val="0"/>
              <w:spacing w:before="0" w:beforeAutospacing="0" w:after="0" w:afterAutospacing="0" w:line="360" w:lineRule="auto"/>
              <w:jc w:val="both"/>
              <w:rPr>
                <w:b w:val="0"/>
                <w:color w:val="auto"/>
                <w:sz w:val="24"/>
                <w:highlight w:val="none"/>
              </w:rPr>
            </w:pPr>
            <w:r>
              <w:rPr>
                <w:rFonts w:hint="eastAsia"/>
                <w:b w:val="0"/>
                <w:bCs w:val="0"/>
                <w:color w:val="auto"/>
                <w:sz w:val="24"/>
                <w:highlight w:val="none"/>
              </w:rPr>
              <w:t>工程量清单和最高投标限价编制费</w:t>
            </w:r>
          </w:p>
        </w:tc>
        <w:tc>
          <w:tcPr>
            <w:tcW w:w="3556" w:type="pct"/>
            <w:vAlign w:val="center"/>
          </w:tcPr>
          <w:p w14:paraId="6610EA68">
            <w:pPr>
              <w:numPr>
                <w:ilvl w:val="0"/>
                <w:numId w:val="0"/>
              </w:numPr>
              <w:spacing w:line="360" w:lineRule="auto"/>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（1）</w:t>
            </w:r>
            <w:r>
              <w:rPr>
                <w:rFonts w:hint="default" w:ascii="宋体" w:hAnsi="宋体" w:eastAsia="宋体"/>
                <w:bCs/>
                <w:color w:val="auto"/>
                <w:sz w:val="24"/>
                <w:szCs w:val="24"/>
                <w:highlight w:val="none"/>
                <w:lang w:val="en-US" w:eastAsia="zh-CN"/>
              </w:rPr>
              <w:t>收费对象</w:t>
            </w:r>
            <w:r>
              <w:rPr>
                <w:rFonts w:hint="eastAsia" w:ascii="宋体" w:hAnsi="宋体" w:eastAsia="宋体"/>
                <w:bCs/>
                <w:color w:val="auto"/>
                <w:sz w:val="24"/>
                <w:szCs w:val="24"/>
                <w:highlight w:val="none"/>
                <w:lang w:val="en-US" w:eastAsia="zh-CN"/>
              </w:rPr>
              <w:t>：成交供应商</w:t>
            </w:r>
          </w:p>
          <w:p w14:paraId="08FC1882">
            <w:pPr>
              <w:numPr>
                <w:ilvl w:val="0"/>
                <w:numId w:val="0"/>
              </w:numPr>
              <w:spacing w:line="360" w:lineRule="auto"/>
              <w:rPr>
                <w:rFonts w:hint="eastAsia"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（2）</w:t>
            </w:r>
            <w:r>
              <w:rPr>
                <w:rFonts w:hint="default" w:ascii="宋体" w:hAnsi="宋体" w:eastAsia="宋体"/>
                <w:bCs/>
                <w:color w:val="auto"/>
                <w:sz w:val="24"/>
                <w:szCs w:val="24"/>
                <w:highlight w:val="none"/>
                <w:lang w:val="en-US" w:eastAsia="zh-CN"/>
              </w:rPr>
              <w:t>收取方式</w:t>
            </w:r>
            <w:r>
              <w:rPr>
                <w:rFonts w:hint="eastAsia" w:ascii="宋体" w:hAnsi="宋体" w:eastAsia="宋体"/>
                <w:bCs/>
                <w:color w:val="auto"/>
                <w:sz w:val="24"/>
                <w:szCs w:val="24"/>
                <w:highlight w:val="none"/>
                <w:lang w:val="en-US" w:eastAsia="zh-CN"/>
              </w:rPr>
              <w:t>：转账/电汇</w:t>
            </w:r>
          </w:p>
          <w:p w14:paraId="38CE9FDF">
            <w:pPr>
              <w:numPr>
                <w:ilvl w:val="0"/>
                <w:numId w:val="0"/>
              </w:numPr>
              <w:spacing w:line="360" w:lineRule="auto"/>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（3）</w:t>
            </w:r>
            <w:r>
              <w:rPr>
                <w:rFonts w:hint="default" w:ascii="宋体" w:hAnsi="宋体" w:eastAsia="宋体"/>
                <w:bCs/>
                <w:color w:val="auto"/>
                <w:sz w:val="24"/>
                <w:szCs w:val="24"/>
                <w:highlight w:val="none"/>
                <w:lang w:val="en-US" w:eastAsia="zh-CN"/>
              </w:rPr>
              <w:t>收费标准：</w:t>
            </w:r>
            <w:r>
              <w:rPr>
                <w:rFonts w:hint="eastAsia" w:ascii="宋体" w:hAnsi="宋体" w:eastAsia="宋体"/>
                <w:bCs/>
                <w:color w:val="auto"/>
                <w:sz w:val="24"/>
                <w:szCs w:val="24"/>
                <w:highlight w:val="none"/>
                <w:lang w:val="en-US" w:eastAsia="zh-CN"/>
              </w:rPr>
              <w:t>项目造价费分包支付，第1包为肆仟柒佰元整；第2包为肆仟叁佰元整；第3包为肆仟壹佰元整；第4包为叁仟伍佰元整；第5包为叁仟元整；第6包为叁仟元整；</w:t>
            </w:r>
          </w:p>
          <w:p w14:paraId="79BA22D9">
            <w:pPr>
              <w:numPr>
                <w:ilvl w:val="0"/>
                <w:numId w:val="0"/>
              </w:numPr>
              <w:spacing w:line="360" w:lineRule="auto"/>
              <w:rPr>
                <w:rFonts w:hint="eastAsia"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第7包为叁仟元整；第8包为叁仟元整。由各包成交供应商支付。包含在各包成交供应商投标报价的单价与合价中，不单独列项。</w:t>
            </w:r>
          </w:p>
          <w:p w14:paraId="1E7458BD">
            <w:pPr>
              <w:pStyle w:val="69"/>
              <w:widowControl w:val="0"/>
              <w:spacing w:before="0" w:beforeAutospacing="0" w:after="0" w:afterAutospacing="0" w:line="360" w:lineRule="auto"/>
              <w:jc w:val="both"/>
              <w:rPr>
                <w:rFonts w:hint="eastAsia" w:eastAsia="宋体"/>
                <w:b w:val="0"/>
                <w:color w:val="auto"/>
                <w:sz w:val="24"/>
                <w:highlight w:val="none"/>
                <w:lang w:eastAsia="zh-CN"/>
              </w:rPr>
            </w:pPr>
            <w:r>
              <w:rPr>
                <w:rFonts w:hint="eastAsia" w:ascii="宋体" w:hAnsi="宋体" w:eastAsia="宋体"/>
                <w:b w:val="0"/>
                <w:bCs w:val="0"/>
                <w:color w:val="auto"/>
                <w:sz w:val="24"/>
                <w:szCs w:val="24"/>
                <w:highlight w:val="none"/>
                <w:lang w:val="en-US" w:eastAsia="zh-CN"/>
              </w:rPr>
              <w:t>（4）支付时间：各包成交供应商在领取成交通知书前一次性支付</w:t>
            </w:r>
            <w:r>
              <w:rPr>
                <w:rFonts w:hint="eastAsia"/>
                <w:b w:val="0"/>
                <w:bCs w:val="0"/>
                <w:color w:val="auto"/>
                <w:sz w:val="24"/>
                <w:szCs w:val="24"/>
                <w:highlight w:val="none"/>
                <w:lang w:val="en-US" w:eastAsia="zh-CN"/>
              </w:rPr>
              <w:t>（参考代理费）</w:t>
            </w:r>
            <w:r>
              <w:rPr>
                <w:rFonts w:hint="eastAsia" w:ascii="宋体" w:hAnsi="宋体" w:eastAsia="宋体"/>
                <w:b w:val="0"/>
                <w:bCs w:val="0"/>
                <w:color w:val="auto"/>
                <w:sz w:val="24"/>
                <w:szCs w:val="24"/>
                <w:highlight w:val="none"/>
                <w:lang w:val="en-US" w:eastAsia="zh-CN"/>
              </w:rPr>
              <w:t>。</w:t>
            </w:r>
          </w:p>
        </w:tc>
      </w:tr>
      <w:tr w14:paraId="7959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077393EF">
            <w:pPr>
              <w:pStyle w:val="70"/>
              <w:pBdr>
                <w:bottom w:val="none" w:color="auto" w:sz="0" w:space="0"/>
              </w:pBdr>
              <w:tabs>
                <w:tab w:val="clear" w:pos="4153"/>
                <w:tab w:val="clear" w:pos="8306"/>
              </w:tabs>
              <w:adjustRightInd/>
              <w:spacing w:line="360" w:lineRule="auto"/>
              <w:textAlignment w:val="auto"/>
              <w:rPr>
                <w:rFonts w:hint="eastAsia" w:eastAsia="宋体"/>
                <w:bCs/>
                <w:color w:val="auto"/>
                <w:kern w:val="2"/>
                <w:highlight w:val="none"/>
                <w:lang w:val="en-US" w:eastAsia="zh-CN"/>
              </w:rPr>
            </w:pPr>
            <w:r>
              <w:rPr>
                <w:bCs/>
                <w:color w:val="auto"/>
                <w:kern w:val="2"/>
                <w:highlight w:val="none"/>
              </w:rPr>
              <w:t>3</w:t>
            </w:r>
            <w:r>
              <w:rPr>
                <w:rFonts w:hint="eastAsia"/>
                <w:bCs/>
                <w:color w:val="auto"/>
                <w:kern w:val="2"/>
                <w:highlight w:val="none"/>
                <w:lang w:val="en-US" w:eastAsia="zh-CN"/>
              </w:rPr>
              <w:t>0</w:t>
            </w:r>
            <w:r>
              <w:rPr>
                <w:bCs/>
                <w:color w:val="auto"/>
                <w:kern w:val="2"/>
                <w:highlight w:val="none"/>
              </w:rPr>
              <w:t>.1</w:t>
            </w:r>
            <w:r>
              <w:rPr>
                <w:rFonts w:hint="eastAsia"/>
                <w:bCs/>
                <w:color w:val="auto"/>
                <w:kern w:val="2"/>
                <w:highlight w:val="none"/>
                <w:lang w:val="en-US" w:eastAsia="zh-CN"/>
              </w:rPr>
              <w:t>0</w:t>
            </w:r>
          </w:p>
        </w:tc>
        <w:tc>
          <w:tcPr>
            <w:tcW w:w="977" w:type="pct"/>
            <w:vAlign w:val="center"/>
          </w:tcPr>
          <w:p w14:paraId="180741C5">
            <w:pPr>
              <w:pStyle w:val="69"/>
              <w:widowControl w:val="0"/>
              <w:spacing w:before="0" w:beforeAutospacing="0" w:after="0" w:afterAutospacing="0" w:line="360" w:lineRule="auto"/>
              <w:jc w:val="both"/>
              <w:rPr>
                <w:b w:val="0"/>
                <w:color w:val="auto"/>
                <w:sz w:val="24"/>
                <w:highlight w:val="none"/>
              </w:rPr>
            </w:pPr>
            <w:r>
              <w:rPr>
                <w:rFonts w:hint="eastAsia"/>
                <w:b w:val="0"/>
                <w:color w:val="auto"/>
                <w:sz w:val="24"/>
                <w:highlight w:val="none"/>
              </w:rPr>
              <w:t>其他补充说明</w:t>
            </w:r>
          </w:p>
        </w:tc>
        <w:tc>
          <w:tcPr>
            <w:tcW w:w="3556" w:type="pct"/>
            <w:vAlign w:val="center"/>
          </w:tcPr>
          <w:p w14:paraId="3644C69E">
            <w:pPr>
              <w:numPr>
                <w:ilvl w:val="0"/>
                <w:numId w:val="0"/>
              </w:numPr>
              <w:spacing w:line="360" w:lineRule="auto"/>
              <w:rPr>
                <w:rFonts w:hint="eastAsia" w:asciiTheme="minorEastAsia" w:hAnsiTheme="minorEastAsia" w:eastAsiaTheme="minorEastAsia"/>
                <w:bCs/>
                <w:color w:val="auto"/>
                <w:sz w:val="24"/>
                <w:szCs w:val="24"/>
                <w:highlight w:val="none"/>
                <w:lang w:val="en-US" w:eastAsia="zh-CN"/>
              </w:rPr>
            </w:pPr>
            <w:r>
              <w:rPr>
                <w:rFonts w:hint="eastAsia" w:asciiTheme="minorEastAsia" w:hAnsiTheme="minorEastAsia" w:eastAsiaTheme="minorEastAsia"/>
                <w:bCs/>
                <w:color w:val="auto"/>
                <w:sz w:val="24"/>
                <w:szCs w:val="24"/>
                <w:highlight w:val="none"/>
                <w:lang w:val="en-US" w:eastAsia="zh-CN"/>
              </w:rPr>
              <w:t>1.解释权：</w:t>
            </w:r>
          </w:p>
          <w:p w14:paraId="4D3F680E">
            <w:pPr>
              <w:numPr>
                <w:ilvl w:val="0"/>
                <w:numId w:val="0"/>
              </w:num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w:t>
            </w:r>
            <w:r>
              <w:rPr>
                <w:rFonts w:asciiTheme="minorEastAsia" w:hAnsiTheme="minorEastAsia" w:eastAsiaTheme="minorEastAsia"/>
                <w:bCs/>
                <w:color w:val="auto"/>
                <w:sz w:val="24"/>
                <w:szCs w:val="24"/>
                <w:highlight w:val="none"/>
              </w:rPr>
              <w:t>构成本</w:t>
            </w:r>
            <w:r>
              <w:rPr>
                <w:rFonts w:hint="eastAsia" w:asciiTheme="minorEastAsia" w:hAnsiTheme="minorEastAsia" w:eastAsiaTheme="minorEastAsia"/>
                <w:bCs/>
                <w:color w:val="auto"/>
                <w:sz w:val="24"/>
                <w:szCs w:val="24"/>
                <w:highlight w:val="none"/>
              </w:rPr>
              <w:t>磋商</w:t>
            </w:r>
            <w:r>
              <w:rPr>
                <w:rFonts w:asciiTheme="minorEastAsia" w:hAnsiTheme="minorEastAsia" w:eastAsiaTheme="minorEastAsia"/>
                <w:bCs/>
                <w:color w:val="auto"/>
                <w:sz w:val="24"/>
                <w:szCs w:val="24"/>
                <w:highlight w:val="none"/>
              </w:rPr>
              <w:t>文件的各个组成文件应互为解释，互为说明；</w:t>
            </w:r>
          </w:p>
          <w:p w14:paraId="501A2B6C">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w:t>
            </w:r>
            <w:r>
              <w:rPr>
                <w:rFonts w:asciiTheme="minorEastAsia" w:hAnsiTheme="minorEastAsia" w:eastAsiaTheme="minorEastAsia"/>
                <w:bCs/>
                <w:color w:val="auto"/>
                <w:sz w:val="24"/>
                <w:szCs w:val="24"/>
                <w:highlight w:val="none"/>
              </w:rPr>
              <w:t>同一组成文件中就同一事项的规定或约定不一致的，以编排顺序在后者为准；</w:t>
            </w:r>
          </w:p>
          <w:p w14:paraId="1C524AB9">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（3）</w:t>
            </w:r>
            <w:r>
              <w:rPr>
                <w:rFonts w:asciiTheme="minorEastAsia" w:hAnsiTheme="minorEastAsia" w:eastAsiaTheme="minorEastAsia"/>
                <w:bCs/>
                <w:color w:val="auto"/>
                <w:sz w:val="24"/>
                <w:szCs w:val="24"/>
                <w:highlight w:val="none"/>
              </w:rPr>
              <w:t>如有不明确或不一致，构成合同文件组成内容的，以合同文件约定内容为准，且以专用合同条款约定的合同文件优先顺序解释；</w:t>
            </w:r>
          </w:p>
          <w:p w14:paraId="7BDC8D53">
            <w:pPr>
              <w:spacing w:line="360" w:lineRule="auto"/>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（4）</w:t>
            </w:r>
            <w:r>
              <w:rPr>
                <w:rFonts w:asciiTheme="minorEastAsia" w:hAnsiTheme="minorEastAsia" w:eastAsiaTheme="minorEastAsia"/>
                <w:bCs/>
                <w:color w:val="auto"/>
                <w:sz w:val="24"/>
                <w:szCs w:val="24"/>
                <w:highlight w:val="none"/>
              </w:rPr>
              <w:t>除</w:t>
            </w:r>
            <w:r>
              <w:rPr>
                <w:rFonts w:hint="eastAsia" w:asciiTheme="minorEastAsia" w:hAnsiTheme="minorEastAsia" w:eastAsiaTheme="minorEastAsia"/>
                <w:bCs/>
                <w:color w:val="auto"/>
                <w:sz w:val="24"/>
                <w:szCs w:val="24"/>
                <w:highlight w:val="none"/>
              </w:rPr>
              <w:t>磋商</w:t>
            </w:r>
            <w:r>
              <w:rPr>
                <w:rFonts w:asciiTheme="minorEastAsia" w:hAnsiTheme="minorEastAsia" w:eastAsiaTheme="minorEastAsia"/>
                <w:bCs/>
                <w:color w:val="auto"/>
                <w:sz w:val="24"/>
                <w:szCs w:val="24"/>
                <w:highlight w:val="none"/>
              </w:rPr>
              <w:t>文件中有特别规定外，仅适用于</w:t>
            </w:r>
            <w:r>
              <w:rPr>
                <w:rFonts w:hint="eastAsia" w:asciiTheme="minorEastAsia" w:hAnsiTheme="minorEastAsia" w:eastAsiaTheme="minorEastAsia"/>
                <w:bCs/>
                <w:color w:val="auto"/>
                <w:sz w:val="24"/>
                <w:szCs w:val="24"/>
                <w:highlight w:val="none"/>
              </w:rPr>
              <w:t>磋商及响应文件提交</w:t>
            </w:r>
            <w:r>
              <w:rPr>
                <w:rFonts w:asciiTheme="minorEastAsia" w:hAnsiTheme="minorEastAsia" w:eastAsiaTheme="minorEastAsia"/>
                <w:bCs/>
                <w:color w:val="auto"/>
                <w:sz w:val="24"/>
                <w:szCs w:val="24"/>
                <w:highlight w:val="none"/>
              </w:rPr>
              <w:t>阶段的规定，按</w:t>
            </w:r>
            <w:r>
              <w:rPr>
                <w:rFonts w:hint="eastAsia" w:asciiTheme="minorEastAsia" w:hAnsiTheme="minorEastAsia" w:eastAsiaTheme="minorEastAsia"/>
                <w:bCs/>
                <w:color w:val="auto"/>
                <w:sz w:val="24"/>
                <w:szCs w:val="24"/>
                <w:highlight w:val="none"/>
              </w:rPr>
              <w:t>竞争性磋商</w:t>
            </w:r>
            <w:r>
              <w:rPr>
                <w:rFonts w:asciiTheme="minorEastAsia" w:hAnsiTheme="minorEastAsia" w:eastAsiaTheme="minorEastAsia"/>
                <w:bCs/>
                <w:color w:val="auto"/>
                <w:sz w:val="24"/>
                <w:szCs w:val="24"/>
                <w:highlight w:val="none"/>
              </w:rPr>
              <w:t>公告、</w:t>
            </w:r>
            <w:r>
              <w:rPr>
                <w:rFonts w:hint="eastAsia" w:asciiTheme="minorEastAsia" w:hAnsiTheme="minorEastAsia" w:eastAsiaTheme="minorEastAsia"/>
                <w:bCs/>
                <w:color w:val="auto"/>
                <w:sz w:val="24"/>
                <w:szCs w:val="24"/>
                <w:highlight w:val="none"/>
              </w:rPr>
              <w:t>磋商邀请、供应商</w:t>
            </w:r>
            <w:r>
              <w:rPr>
                <w:rFonts w:asciiTheme="minorEastAsia" w:hAnsiTheme="minorEastAsia" w:eastAsiaTheme="minorEastAsia"/>
                <w:bCs/>
                <w:color w:val="auto"/>
                <w:sz w:val="24"/>
                <w:szCs w:val="24"/>
                <w:highlight w:val="none"/>
              </w:rPr>
              <w:t>须知、评</w:t>
            </w:r>
            <w:r>
              <w:rPr>
                <w:rFonts w:hint="eastAsia" w:asciiTheme="minorEastAsia" w:hAnsiTheme="minorEastAsia" w:eastAsiaTheme="minorEastAsia"/>
                <w:bCs/>
                <w:color w:val="auto"/>
                <w:sz w:val="24"/>
                <w:szCs w:val="24"/>
                <w:highlight w:val="none"/>
              </w:rPr>
              <w:t>审方</w:t>
            </w:r>
            <w:r>
              <w:rPr>
                <w:rFonts w:asciiTheme="minorEastAsia" w:hAnsiTheme="minorEastAsia" w:eastAsiaTheme="minorEastAsia"/>
                <w:bCs/>
                <w:color w:val="auto"/>
                <w:sz w:val="24"/>
                <w:szCs w:val="24"/>
                <w:highlight w:val="none"/>
              </w:rPr>
              <w:t>法</w:t>
            </w:r>
            <w:r>
              <w:rPr>
                <w:rFonts w:hint="eastAsia" w:asciiTheme="minorEastAsia" w:hAnsiTheme="minorEastAsia" w:eastAsiaTheme="minorEastAsia"/>
                <w:bCs/>
                <w:color w:val="auto"/>
                <w:sz w:val="24"/>
                <w:szCs w:val="24"/>
                <w:highlight w:val="none"/>
              </w:rPr>
              <w:t>和标准</w:t>
            </w:r>
            <w:r>
              <w:rPr>
                <w:rFonts w:asciiTheme="minorEastAsia" w:hAnsiTheme="minorEastAsia" w:eastAsiaTheme="minorEastAsia"/>
                <w:bCs/>
                <w:color w:val="auto"/>
                <w:sz w:val="24"/>
                <w:szCs w:val="24"/>
                <w:highlight w:val="none"/>
              </w:rPr>
              <w:t>、</w:t>
            </w:r>
            <w:r>
              <w:rPr>
                <w:rFonts w:hint="eastAsia" w:asciiTheme="minorEastAsia" w:hAnsiTheme="minorEastAsia" w:eastAsiaTheme="minorEastAsia"/>
                <w:bCs/>
                <w:color w:val="auto"/>
                <w:sz w:val="24"/>
                <w:szCs w:val="24"/>
                <w:highlight w:val="none"/>
              </w:rPr>
              <w:t>响应</w:t>
            </w:r>
            <w:r>
              <w:rPr>
                <w:rFonts w:asciiTheme="minorEastAsia" w:hAnsiTheme="minorEastAsia" w:eastAsiaTheme="minorEastAsia"/>
                <w:bCs/>
                <w:color w:val="auto"/>
                <w:sz w:val="24"/>
                <w:szCs w:val="24"/>
                <w:highlight w:val="none"/>
              </w:rPr>
              <w:t>文件格式的先后顺序解释；</w:t>
            </w:r>
          </w:p>
          <w:p w14:paraId="758FB405">
            <w:pPr>
              <w:pStyle w:val="69"/>
              <w:widowControl w:val="0"/>
              <w:spacing w:before="0" w:beforeAutospacing="0" w:after="0" w:afterAutospacing="0" w:line="360" w:lineRule="auto"/>
              <w:jc w:val="both"/>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（5）</w:t>
            </w:r>
            <w:r>
              <w:rPr>
                <w:rFonts w:asciiTheme="minorEastAsia" w:hAnsiTheme="minorEastAsia" w:eastAsiaTheme="minorEastAsia"/>
                <w:b w:val="0"/>
                <w:color w:val="auto"/>
                <w:sz w:val="24"/>
                <w:szCs w:val="24"/>
                <w:highlight w:val="none"/>
              </w:rPr>
              <w:t>按本款前述规定仍不能形成结论的，由</w:t>
            </w:r>
            <w:r>
              <w:rPr>
                <w:rFonts w:hint="eastAsia" w:asciiTheme="minorEastAsia" w:hAnsiTheme="minorEastAsia" w:eastAsiaTheme="minorEastAsia"/>
                <w:b w:val="0"/>
                <w:color w:val="auto"/>
                <w:sz w:val="24"/>
                <w:szCs w:val="24"/>
                <w:highlight w:val="none"/>
              </w:rPr>
              <w:t>采购</w:t>
            </w:r>
            <w:r>
              <w:rPr>
                <w:rFonts w:asciiTheme="minorEastAsia" w:hAnsiTheme="minorEastAsia" w:eastAsiaTheme="minorEastAsia"/>
                <w:b w:val="0"/>
                <w:color w:val="auto"/>
                <w:sz w:val="24"/>
                <w:szCs w:val="24"/>
                <w:highlight w:val="none"/>
              </w:rPr>
              <w:t>人负责解释。</w:t>
            </w:r>
          </w:p>
          <w:p w14:paraId="6F0BABA3">
            <w:pPr>
              <w:pStyle w:val="69"/>
              <w:widowControl w:val="0"/>
              <w:spacing w:before="0" w:beforeAutospacing="0" w:after="0" w:afterAutospacing="0" w:line="360" w:lineRule="auto"/>
              <w:jc w:val="both"/>
              <w:rPr>
                <w:rFonts w:hint="eastAsia" w:asciiTheme="minorEastAsia" w:hAnsiTheme="minorEastAsia" w:eastAsiaTheme="minorEastAsia" w:cstheme="minorBidi"/>
                <w:b w:val="0"/>
                <w:bCs/>
                <w:color w:val="auto"/>
                <w:sz w:val="24"/>
                <w:szCs w:val="24"/>
                <w:highlight w:val="none"/>
                <w:lang w:val="en-US" w:eastAsia="zh-CN" w:bidi="ar-SA"/>
              </w:rPr>
            </w:pPr>
            <w:r>
              <w:rPr>
                <w:rFonts w:hint="eastAsia" w:asciiTheme="minorEastAsia" w:hAnsiTheme="minorEastAsia" w:eastAsiaTheme="minorEastAsia" w:cstheme="minorBidi"/>
                <w:b w:val="0"/>
                <w:bCs/>
                <w:color w:val="auto"/>
                <w:sz w:val="24"/>
                <w:szCs w:val="24"/>
                <w:highlight w:val="none"/>
                <w:lang w:val="en-US" w:eastAsia="zh-CN" w:bidi="ar-SA"/>
              </w:rPr>
              <w:t>2.“政采贷”融资指引：有融资需求的供应商在取得政府采购中标或成交通知书后，可访问安徽省政府采购网“政采贷”栏目，查看和联系第三方平台或者金融机构，商洽融资事项，确定融资意向。供应商签署政府采购中标（成交）合同后，登录“徽采云”金融服务模块，选择意向产品进行申请，并填写相关信息，“徽采云”金融服务模块将中标人融资申请信息推送第三方平台、意向金融机构。</w:t>
            </w:r>
          </w:p>
          <w:p w14:paraId="22D8E755">
            <w:pPr>
              <w:pStyle w:val="69"/>
              <w:widowControl w:val="0"/>
              <w:spacing w:before="0" w:beforeAutospacing="0" w:after="0" w:afterAutospacing="0" w:line="360" w:lineRule="auto"/>
              <w:jc w:val="both"/>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cstheme="minorBidi"/>
                <w:b w:val="0"/>
                <w:bCs/>
                <w:color w:val="auto"/>
                <w:sz w:val="24"/>
                <w:szCs w:val="24"/>
                <w:highlight w:val="none"/>
                <w:lang w:val="en-US" w:eastAsia="zh-CN" w:bidi="ar-SA"/>
              </w:rPr>
              <w:t>3、电子保函指引：成交供应商可访问安徽省政府采购网“融资/保函”栏目，申请办理电子保函（包括：履约保函、预付款保函）。</w:t>
            </w:r>
          </w:p>
        </w:tc>
      </w:tr>
      <w:tr w14:paraId="2A3E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5" w:type="pct"/>
            <w:vAlign w:val="center"/>
          </w:tcPr>
          <w:p w14:paraId="39F69AF8">
            <w:pPr>
              <w:pStyle w:val="70"/>
              <w:pBdr>
                <w:bottom w:val="none" w:color="auto" w:sz="0" w:space="0"/>
              </w:pBdr>
              <w:tabs>
                <w:tab w:val="clear" w:pos="4153"/>
                <w:tab w:val="clear" w:pos="8306"/>
              </w:tabs>
              <w:adjustRightInd/>
              <w:spacing w:line="360" w:lineRule="auto"/>
              <w:textAlignment w:val="auto"/>
              <w:rPr>
                <w:rFonts w:hint="default" w:eastAsia="宋体"/>
                <w:bCs/>
                <w:color w:val="auto"/>
                <w:kern w:val="2"/>
                <w:highlight w:val="none"/>
                <w:lang w:val="en-US" w:eastAsia="zh-CN"/>
              </w:rPr>
            </w:pPr>
            <w:r>
              <w:rPr>
                <w:rFonts w:hint="eastAsia"/>
                <w:bCs/>
                <w:color w:val="auto"/>
                <w:kern w:val="2"/>
                <w:highlight w:val="none"/>
                <w:lang w:val="en-US" w:eastAsia="zh-CN"/>
              </w:rPr>
              <w:t>30.11</w:t>
            </w:r>
          </w:p>
        </w:tc>
        <w:tc>
          <w:tcPr>
            <w:tcW w:w="977" w:type="pct"/>
            <w:vAlign w:val="center"/>
          </w:tcPr>
          <w:p w14:paraId="0F9C538F">
            <w:pPr>
              <w:pStyle w:val="69"/>
              <w:widowControl w:val="0"/>
              <w:spacing w:before="0" w:beforeAutospacing="0" w:after="0" w:afterAutospacing="0" w:line="360" w:lineRule="auto"/>
              <w:jc w:val="both"/>
              <w:rPr>
                <w:rFonts w:hint="eastAsia"/>
                <w:b w:val="0"/>
                <w:color w:val="auto"/>
                <w:sz w:val="24"/>
                <w:highlight w:val="none"/>
              </w:rPr>
            </w:pPr>
            <w:r>
              <w:rPr>
                <w:rFonts w:ascii="宋体" w:hAnsi="宋体" w:eastAsia="宋体" w:cs="宋体"/>
                <w:sz w:val="24"/>
                <w:szCs w:val="24"/>
              </w:rPr>
              <w:t>重要提示</w:t>
            </w:r>
          </w:p>
        </w:tc>
        <w:tc>
          <w:tcPr>
            <w:tcW w:w="3556" w:type="pct"/>
            <w:vAlign w:val="center"/>
          </w:tcPr>
          <w:p w14:paraId="7F9B90F7">
            <w:pPr>
              <w:pStyle w:val="69"/>
              <w:widowControl w:val="0"/>
              <w:numPr>
                <w:ilvl w:val="0"/>
                <w:numId w:val="4"/>
              </w:numPr>
              <w:spacing w:before="0" w:beforeAutospacing="0" w:after="0" w:afterAutospacing="0" w:line="360" w:lineRule="auto"/>
              <w:jc w:val="both"/>
              <w:rPr>
                <w:rFonts w:ascii="宋体" w:hAnsi="宋体" w:eastAsia="宋体" w:cs="宋体"/>
                <w:sz w:val="24"/>
                <w:szCs w:val="24"/>
              </w:rPr>
            </w:pPr>
            <w:r>
              <w:rPr>
                <w:rFonts w:ascii="宋体" w:hAnsi="宋体" w:eastAsia="宋体" w:cs="宋体"/>
                <w:sz w:val="24"/>
                <w:szCs w:val="24"/>
              </w:rPr>
              <w:t>成交供应商应在规定期限内提交履约担保并与采购人签订合同，若成交供应商未能在规定期限内提交履约担保或签订合同，采购人有权取消成交供应商成交资格，并将相关违约行为报送监管部门，实施信用惩戒；</w:t>
            </w:r>
          </w:p>
          <w:p w14:paraId="2B4A3A9D">
            <w:pPr>
              <w:pStyle w:val="69"/>
              <w:widowControl w:val="0"/>
              <w:numPr>
                <w:ilvl w:val="0"/>
                <w:numId w:val="4"/>
              </w:numPr>
              <w:spacing w:before="0" w:beforeAutospacing="0" w:after="0" w:afterAutospacing="0" w:line="360" w:lineRule="auto"/>
              <w:ind w:left="0" w:leftChars="0" w:firstLine="0" w:firstLineChars="0"/>
              <w:jc w:val="both"/>
              <w:rPr>
                <w:rFonts w:ascii="宋体" w:hAnsi="宋体" w:eastAsia="宋体" w:cs="宋体"/>
                <w:sz w:val="24"/>
                <w:szCs w:val="24"/>
              </w:rPr>
            </w:pPr>
            <w:r>
              <w:rPr>
                <w:rFonts w:ascii="宋体" w:hAnsi="宋体" w:eastAsia="宋体" w:cs="宋体"/>
                <w:sz w:val="24"/>
                <w:szCs w:val="24"/>
              </w:rPr>
              <w:t>合同签订后，成交供应商存在规定时间内不组织人员进场开工，不履行合同义务等情况，采购人有权解除合同，并追究违约责任，同时将相关违约行为报送监管部门，记不良行为记录，实施信用惩戒；</w:t>
            </w:r>
          </w:p>
          <w:p w14:paraId="351B682C">
            <w:pPr>
              <w:pStyle w:val="69"/>
              <w:widowControl w:val="0"/>
              <w:numPr>
                <w:ilvl w:val="0"/>
                <w:numId w:val="4"/>
              </w:numPr>
              <w:spacing w:before="0" w:beforeAutospacing="0" w:after="0" w:afterAutospacing="0" w:line="360" w:lineRule="auto"/>
              <w:ind w:left="0" w:leftChars="0" w:firstLine="0" w:firstLineChars="0"/>
              <w:jc w:val="both"/>
              <w:rPr>
                <w:rFonts w:ascii="宋体" w:hAnsi="宋体" w:eastAsia="宋体" w:cs="宋体"/>
                <w:sz w:val="24"/>
                <w:szCs w:val="24"/>
              </w:rPr>
            </w:pPr>
            <w:r>
              <w:rPr>
                <w:rFonts w:ascii="宋体" w:hAnsi="宋体" w:eastAsia="宋体" w:cs="宋体"/>
                <w:sz w:val="24"/>
                <w:szCs w:val="24"/>
              </w:rPr>
              <w:t>成交供应商成交后被监管部门查实存在违法行为，不满足成交条件的，由采购人取消其成交资格，并做好项目后续工作；</w:t>
            </w:r>
          </w:p>
          <w:p w14:paraId="3916D69E">
            <w:pPr>
              <w:pStyle w:val="69"/>
              <w:widowControl w:val="0"/>
              <w:numPr>
                <w:ilvl w:val="0"/>
                <w:numId w:val="0"/>
              </w:numPr>
              <w:spacing w:before="0" w:beforeAutospacing="0" w:after="0" w:afterAutospacing="0" w:line="360" w:lineRule="auto"/>
              <w:ind w:leftChars="0"/>
              <w:jc w:val="both"/>
              <w:rPr>
                <w:rFonts w:hint="eastAsia" w:asciiTheme="minorEastAsia" w:hAnsiTheme="minorEastAsia" w:eastAsiaTheme="minorEastAsia" w:cstheme="minorBidi"/>
                <w:b w:val="0"/>
                <w:bCs/>
                <w:color w:val="auto"/>
                <w:sz w:val="24"/>
                <w:szCs w:val="24"/>
                <w:highlight w:val="none"/>
                <w:lang w:val="en-US" w:eastAsia="zh-CN" w:bidi="ar-SA"/>
              </w:rPr>
            </w:pPr>
            <w:r>
              <w:rPr>
                <w:rFonts w:ascii="宋体" w:hAnsi="宋体" w:eastAsia="宋体" w:cs="宋体"/>
                <w:sz w:val="24"/>
                <w:szCs w:val="24"/>
              </w:rPr>
              <w:t>（4）成交供应商在成交项目发生投诉、信访举报案件、履约存在争议时，拒绝协助配合执法部门调查案件的，采购人可以取消其成交资格或解除合同，并追究其违约责任。</w:t>
            </w:r>
          </w:p>
        </w:tc>
      </w:tr>
    </w:tbl>
    <w:p w14:paraId="2AE26238">
      <w:pPr>
        <w:spacing w:line="360" w:lineRule="auto"/>
        <w:jc w:val="center"/>
        <w:outlineLvl w:val="1"/>
        <w:rPr>
          <w:rFonts w:asciiTheme="minorEastAsia" w:hAnsiTheme="minorEastAsia" w:eastAsiaTheme="minorEastAsia"/>
          <w:b/>
          <w:color w:val="auto"/>
          <w:sz w:val="24"/>
          <w:highlight w:val="none"/>
        </w:rPr>
      </w:pPr>
      <w:r>
        <w:rPr>
          <w:rFonts w:asciiTheme="minorEastAsia" w:hAnsiTheme="minorEastAsia" w:eastAsiaTheme="minorEastAsia"/>
          <w:b/>
          <w:color w:val="auto"/>
          <w:sz w:val="28"/>
          <w:highlight w:val="none"/>
        </w:rPr>
        <w:br w:type="page"/>
      </w:r>
      <w:bookmarkStart w:id="39" w:name="_Toc18784"/>
      <w:bookmarkStart w:id="40" w:name="_Toc26858"/>
      <w:r>
        <w:rPr>
          <w:rFonts w:hint="eastAsia" w:asciiTheme="minorEastAsia" w:hAnsiTheme="minorEastAsia" w:eastAsiaTheme="minorEastAsia"/>
          <w:b/>
          <w:color w:val="auto"/>
          <w:sz w:val="24"/>
          <w:highlight w:val="none"/>
        </w:rPr>
        <w:t>二、供应商</w:t>
      </w:r>
      <w:r>
        <w:rPr>
          <w:rFonts w:asciiTheme="minorEastAsia" w:hAnsiTheme="minorEastAsia" w:eastAsiaTheme="minorEastAsia"/>
          <w:b/>
          <w:color w:val="auto"/>
          <w:sz w:val="24"/>
          <w:highlight w:val="none"/>
        </w:rPr>
        <w:t>须知</w:t>
      </w:r>
      <w:r>
        <w:rPr>
          <w:rFonts w:hint="eastAsia" w:asciiTheme="minorEastAsia" w:hAnsiTheme="minorEastAsia" w:eastAsiaTheme="minorEastAsia"/>
          <w:b/>
          <w:color w:val="auto"/>
          <w:sz w:val="24"/>
          <w:highlight w:val="none"/>
        </w:rPr>
        <w:t>正文</w:t>
      </w:r>
      <w:bookmarkEnd w:id="39"/>
      <w:bookmarkEnd w:id="40"/>
    </w:p>
    <w:p w14:paraId="0EAA225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采购人、采购代理机构及供应商</w:t>
      </w:r>
    </w:p>
    <w:p w14:paraId="3EE6AB3F">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.1采购人：是指依法开展政府采购活动的国家机关、事业单位、团体组织。</w:t>
      </w:r>
    </w:p>
    <w:p w14:paraId="4922A7DE">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.3政府采购监督管理部门：</w:t>
      </w:r>
      <w:r>
        <w:rPr>
          <w:rFonts w:hint="eastAsia"/>
          <w:color w:val="auto"/>
          <w:sz w:val="24"/>
          <w:highlight w:val="none"/>
        </w:rPr>
        <w:t>各级人民政府指定的有关部门依法履行与政府采购活动有关的监督管理职责。</w:t>
      </w:r>
    </w:p>
    <w:p w14:paraId="0CC6D621">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rPr>
        <w:t>供应商</w:t>
      </w:r>
      <w:r>
        <w:rPr>
          <w:color w:val="auto"/>
          <w:sz w:val="24"/>
          <w:highlight w:val="none"/>
        </w:rPr>
        <w:t>：是指向采购人提供货物、工程或者服务的法人、</w:t>
      </w:r>
      <w:r>
        <w:rPr>
          <w:rFonts w:hint="eastAsia"/>
          <w:color w:val="auto"/>
          <w:sz w:val="24"/>
          <w:highlight w:val="none"/>
          <w:lang w:val="en-US" w:eastAsia="zh-CN"/>
        </w:rPr>
        <w:t>其他</w:t>
      </w:r>
      <w:r>
        <w:rPr>
          <w:color w:val="auto"/>
          <w:sz w:val="24"/>
          <w:highlight w:val="none"/>
        </w:rPr>
        <w:t>组织或者自然人。</w:t>
      </w:r>
      <w:r>
        <w:rPr>
          <w:rFonts w:hint="eastAsia"/>
          <w:color w:val="auto"/>
          <w:sz w:val="24"/>
          <w:highlight w:val="none"/>
        </w:rPr>
        <w:t>分支机构不得参加政府采购活动，但银行、保险、石油石化、电力、电信等特殊行业除外。</w:t>
      </w:r>
      <w:r>
        <w:rPr>
          <w:color w:val="auto"/>
          <w:sz w:val="24"/>
          <w:highlight w:val="none"/>
        </w:rPr>
        <w:t>本项目的</w:t>
      </w:r>
      <w:r>
        <w:rPr>
          <w:rFonts w:hint="eastAsia"/>
          <w:color w:val="auto"/>
          <w:sz w:val="24"/>
          <w:highlight w:val="none"/>
        </w:rPr>
        <w:t>供应商</w:t>
      </w:r>
      <w:r>
        <w:rPr>
          <w:color w:val="auto"/>
          <w:sz w:val="24"/>
          <w:highlight w:val="none"/>
        </w:rPr>
        <w:t>须满足以下条件：</w:t>
      </w:r>
    </w:p>
    <w:p w14:paraId="5D9C9A78">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lang w:val="en-US" w:eastAsia="zh-CN"/>
        </w:rPr>
        <w:t>1</w:t>
      </w:r>
      <w:r>
        <w:rPr>
          <w:color w:val="auto"/>
          <w:sz w:val="24"/>
          <w:highlight w:val="none"/>
        </w:rPr>
        <w:t>具备《中华人民共和国政府采购法》第二十二条关于供应商条件的规定，遵守本项目采购人本级和上级财政部门政府采购的有关规定。</w:t>
      </w:r>
    </w:p>
    <w:p w14:paraId="217BCBC7">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.4.</w:t>
      </w:r>
      <w:r>
        <w:rPr>
          <w:rFonts w:hint="eastAsia"/>
          <w:color w:val="auto"/>
          <w:sz w:val="24"/>
          <w:highlight w:val="none"/>
          <w:lang w:val="en-US" w:eastAsia="zh-CN"/>
        </w:rPr>
        <w:t>2</w:t>
      </w:r>
      <w:r>
        <w:rPr>
          <w:color w:val="auto"/>
          <w:sz w:val="24"/>
          <w:highlight w:val="none"/>
        </w:rPr>
        <w:t>以采购代理机构认可的方式获得了本项目的</w:t>
      </w:r>
      <w:r>
        <w:rPr>
          <w:rFonts w:hint="eastAsia"/>
          <w:color w:val="auto"/>
          <w:sz w:val="24"/>
          <w:highlight w:val="none"/>
        </w:rPr>
        <w:t>磋商</w:t>
      </w:r>
      <w:r>
        <w:rPr>
          <w:color w:val="auto"/>
          <w:sz w:val="24"/>
          <w:highlight w:val="none"/>
        </w:rPr>
        <w:t>文件。</w:t>
      </w:r>
    </w:p>
    <w:p w14:paraId="5B18DE9C">
      <w:pPr>
        <w:spacing w:line="360" w:lineRule="auto"/>
        <w:ind w:firstLine="435"/>
        <w:rPr>
          <w:color w:val="auto"/>
          <w:sz w:val="24"/>
          <w:highlight w:val="none"/>
        </w:rPr>
      </w:pPr>
      <w:r>
        <w:rPr>
          <w:rFonts w:hint="eastAsia"/>
          <w:bCs/>
          <w:color w:val="auto"/>
          <w:sz w:val="24"/>
          <w:szCs w:val="28"/>
          <w:highlight w:val="none"/>
          <w:lang w:val="en-US" w:eastAsia="zh-CN"/>
        </w:rPr>
        <w:t>1</w:t>
      </w:r>
      <w:r>
        <w:rPr>
          <w:bCs/>
          <w:color w:val="auto"/>
          <w:sz w:val="24"/>
          <w:szCs w:val="28"/>
          <w:highlight w:val="none"/>
        </w:rPr>
        <w:t>.5</w:t>
      </w:r>
      <w:r>
        <w:rPr>
          <w:rFonts w:hint="eastAsia"/>
          <w:bCs/>
          <w:color w:val="auto"/>
          <w:sz w:val="24"/>
          <w:szCs w:val="28"/>
          <w:highlight w:val="none"/>
        </w:rPr>
        <w:t>若竞争性磋商公告</w:t>
      </w:r>
      <w:r>
        <w:rPr>
          <w:bCs/>
          <w:color w:val="auto"/>
          <w:sz w:val="24"/>
          <w:szCs w:val="28"/>
          <w:highlight w:val="none"/>
        </w:rPr>
        <w:t>中允许联合体</w:t>
      </w:r>
      <w:r>
        <w:rPr>
          <w:rFonts w:hint="eastAsia"/>
          <w:bCs/>
          <w:color w:val="auto"/>
          <w:sz w:val="24"/>
          <w:szCs w:val="28"/>
          <w:highlight w:val="none"/>
        </w:rPr>
        <w:t>参加磋商</w:t>
      </w:r>
      <w:r>
        <w:rPr>
          <w:bCs/>
          <w:color w:val="auto"/>
          <w:sz w:val="24"/>
          <w:szCs w:val="28"/>
          <w:highlight w:val="none"/>
        </w:rPr>
        <w:t>，对联合体规定如下：</w:t>
      </w:r>
    </w:p>
    <w:p w14:paraId="473D5EFF">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.1</w:t>
      </w:r>
      <w:r>
        <w:rPr>
          <w:rFonts w:hint="eastAsia"/>
          <w:color w:val="auto"/>
          <w:sz w:val="24"/>
          <w:highlight w:val="none"/>
        </w:rPr>
        <w:t>两个以上供应商可以组成一个磋商联合体，以一个供应商的身份磋商</w:t>
      </w:r>
      <w:r>
        <w:rPr>
          <w:color w:val="auto"/>
          <w:sz w:val="24"/>
          <w:highlight w:val="none"/>
        </w:rPr>
        <w:t>。</w:t>
      </w:r>
      <w:r>
        <w:rPr>
          <w:b w:val="0"/>
          <w:sz w:val="24"/>
        </w:rPr>
        <w:t>联合体参加磋商的，</w:t>
      </w:r>
      <w:r>
        <w:rPr>
          <w:rFonts w:hint="eastAsia"/>
          <w:b w:val="0"/>
          <w:sz w:val="24"/>
        </w:rPr>
        <w:t>磋商文件获取</w:t>
      </w:r>
      <w:r>
        <w:rPr>
          <w:b w:val="0"/>
          <w:sz w:val="24"/>
        </w:rPr>
        <w:t>手续由联合体</w:t>
      </w:r>
      <w:r>
        <w:rPr>
          <w:rFonts w:hint="eastAsia"/>
          <w:b w:val="0"/>
          <w:sz w:val="24"/>
        </w:rPr>
        <w:t>中</w:t>
      </w:r>
      <w:r>
        <w:rPr>
          <w:b w:val="0"/>
          <w:sz w:val="24"/>
        </w:rPr>
        <w:t>任一</w:t>
      </w:r>
      <w:r>
        <w:rPr>
          <w:rFonts w:hint="eastAsia"/>
          <w:b w:val="0"/>
          <w:sz w:val="24"/>
        </w:rPr>
        <w:t>成员单位</w:t>
      </w:r>
      <w:r>
        <w:rPr>
          <w:b w:val="0"/>
          <w:sz w:val="24"/>
        </w:rPr>
        <w:t>办理均可。</w:t>
      </w:r>
    </w:p>
    <w:p w14:paraId="77560B56">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.2联合体各方均应符合《中华人民共和国政府采购法》第二十二条规定的条件。</w:t>
      </w:r>
    </w:p>
    <w:p w14:paraId="5E7A166B">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.3采购人根据采购项目对</w:t>
      </w:r>
      <w:r>
        <w:rPr>
          <w:rFonts w:hint="eastAsia"/>
          <w:color w:val="auto"/>
          <w:sz w:val="24"/>
          <w:highlight w:val="none"/>
        </w:rPr>
        <w:t>供应商</w:t>
      </w:r>
      <w:r>
        <w:rPr>
          <w:color w:val="auto"/>
          <w:sz w:val="24"/>
          <w:highlight w:val="none"/>
        </w:rPr>
        <w:t>的特殊要求，联合体中至少应当有一方符合相关规定。</w:t>
      </w:r>
    </w:p>
    <w:p w14:paraId="560E5A46">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.4联合体各方应签订</w:t>
      </w:r>
      <w:r>
        <w:rPr>
          <w:rFonts w:hint="eastAsia"/>
          <w:color w:val="auto"/>
          <w:sz w:val="24"/>
          <w:highlight w:val="none"/>
        </w:rPr>
        <w:t>联合协议</w:t>
      </w:r>
      <w:r>
        <w:rPr>
          <w:color w:val="auto"/>
          <w:sz w:val="24"/>
          <w:highlight w:val="none"/>
        </w:rPr>
        <w:t>，明确约定联合体各方承担的工作和相应的责任，并将</w:t>
      </w:r>
      <w:r>
        <w:rPr>
          <w:rFonts w:hint="eastAsia"/>
          <w:color w:val="auto"/>
          <w:sz w:val="24"/>
          <w:highlight w:val="none"/>
        </w:rPr>
        <w:t>联合协议</w:t>
      </w:r>
      <w:r>
        <w:rPr>
          <w:color w:val="auto"/>
          <w:sz w:val="24"/>
          <w:highlight w:val="none"/>
        </w:rPr>
        <w:t>作为</w:t>
      </w:r>
      <w:r>
        <w:rPr>
          <w:rFonts w:hint="eastAsia"/>
          <w:color w:val="auto"/>
          <w:sz w:val="24"/>
          <w:highlight w:val="none"/>
        </w:rPr>
        <w:t>响应</w:t>
      </w:r>
      <w:r>
        <w:rPr>
          <w:color w:val="auto"/>
          <w:sz w:val="24"/>
          <w:highlight w:val="none"/>
        </w:rPr>
        <w:t>文件</w:t>
      </w:r>
      <w:r>
        <w:rPr>
          <w:rFonts w:hint="eastAsia"/>
          <w:color w:val="auto"/>
          <w:sz w:val="24"/>
          <w:highlight w:val="none"/>
        </w:rPr>
        <w:t>的</w:t>
      </w:r>
      <w:r>
        <w:rPr>
          <w:color w:val="auto"/>
          <w:sz w:val="24"/>
          <w:highlight w:val="none"/>
        </w:rPr>
        <w:t>一部分提交。</w:t>
      </w:r>
    </w:p>
    <w:p w14:paraId="4CFDC659">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.5大中型企业、其他自然人、法人或者非法人组织与小型、微型企业组成联合体共同参加</w:t>
      </w:r>
      <w:r>
        <w:rPr>
          <w:rFonts w:hint="eastAsia"/>
          <w:color w:val="auto"/>
          <w:sz w:val="24"/>
          <w:highlight w:val="none"/>
        </w:rPr>
        <w:t>磋商</w:t>
      </w:r>
      <w:r>
        <w:rPr>
          <w:color w:val="auto"/>
          <w:sz w:val="24"/>
          <w:highlight w:val="none"/>
        </w:rPr>
        <w:t>，</w:t>
      </w:r>
      <w:r>
        <w:rPr>
          <w:rFonts w:hint="eastAsia"/>
          <w:color w:val="auto"/>
          <w:sz w:val="24"/>
          <w:highlight w:val="none"/>
        </w:rPr>
        <w:t>联合协议中</w:t>
      </w:r>
      <w:r>
        <w:rPr>
          <w:color w:val="auto"/>
          <w:sz w:val="24"/>
          <w:highlight w:val="none"/>
        </w:rPr>
        <w:t>应写明小型、微型企业的协议合同金额占到</w:t>
      </w:r>
      <w:r>
        <w:rPr>
          <w:rFonts w:hint="eastAsia"/>
          <w:color w:val="auto"/>
          <w:sz w:val="24"/>
          <w:highlight w:val="none"/>
        </w:rPr>
        <w:t>联合协议合同</w:t>
      </w:r>
      <w:r>
        <w:rPr>
          <w:color w:val="auto"/>
          <w:sz w:val="24"/>
          <w:highlight w:val="none"/>
        </w:rPr>
        <w:t>总金额的比例。</w:t>
      </w:r>
    </w:p>
    <w:p w14:paraId="0F2214A1">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.5.6</w:t>
      </w:r>
      <w:r>
        <w:rPr>
          <w:rFonts w:hint="eastAsia"/>
          <w:color w:val="auto"/>
          <w:sz w:val="24"/>
          <w:highlight w:val="none"/>
        </w:rPr>
        <w:t>联合体中有同类资质的供应商按照联合体分工承担相同工作的，</w:t>
      </w:r>
      <w:r>
        <w:rPr>
          <w:color w:val="auto"/>
          <w:sz w:val="24"/>
          <w:highlight w:val="none"/>
        </w:rPr>
        <w:t>应当按照</w:t>
      </w:r>
      <w:r>
        <w:rPr>
          <w:rFonts w:hint="eastAsia"/>
          <w:color w:val="auto"/>
          <w:sz w:val="24"/>
          <w:highlight w:val="none"/>
        </w:rPr>
        <w:t>资质等级较低的供应商确定资质等级。</w:t>
      </w:r>
    </w:p>
    <w:p w14:paraId="4092E8B9">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.7以联合体形式参加政府采购活动的，联合体各方不得再单独参加或者与其他供应商另外组成联合体参加本项目</w:t>
      </w:r>
      <w:r>
        <w:rPr>
          <w:rFonts w:hint="eastAsia"/>
          <w:color w:val="auto"/>
          <w:sz w:val="24"/>
          <w:highlight w:val="none"/>
        </w:rPr>
        <w:t>磋商</w:t>
      </w:r>
      <w:r>
        <w:rPr>
          <w:color w:val="auto"/>
          <w:sz w:val="24"/>
          <w:highlight w:val="none"/>
        </w:rPr>
        <w:t>，否则相关</w:t>
      </w:r>
      <w:r>
        <w:rPr>
          <w:rFonts w:hint="eastAsia"/>
          <w:color w:val="auto"/>
          <w:sz w:val="24"/>
          <w:highlight w:val="none"/>
        </w:rPr>
        <w:t>响应文件将被认定为</w:t>
      </w:r>
      <w:r>
        <w:rPr>
          <w:rFonts w:hint="eastAsia"/>
          <w:b/>
          <w:color w:val="auto"/>
          <w:sz w:val="24"/>
          <w:highlight w:val="none"/>
        </w:rPr>
        <w:t>响应无效</w:t>
      </w:r>
      <w:r>
        <w:rPr>
          <w:color w:val="auto"/>
          <w:sz w:val="24"/>
          <w:highlight w:val="none"/>
        </w:rPr>
        <w:t>。</w:t>
      </w:r>
    </w:p>
    <w:p w14:paraId="7D0127B2">
      <w:pPr>
        <w:spacing w:line="360" w:lineRule="auto"/>
        <w:ind w:firstLine="435"/>
        <w:rPr>
          <w:color w:val="auto"/>
          <w:sz w:val="24"/>
          <w:highlight w:val="none"/>
        </w:rPr>
      </w:pPr>
      <w:r>
        <w:rPr>
          <w:rFonts w:hint="eastAsia"/>
          <w:color w:val="auto"/>
          <w:sz w:val="24"/>
          <w:highlight w:val="none"/>
          <w:lang w:val="en-US" w:eastAsia="zh-CN"/>
        </w:rPr>
        <w:t>1</w:t>
      </w:r>
      <w:r>
        <w:rPr>
          <w:color w:val="auto"/>
          <w:sz w:val="24"/>
          <w:highlight w:val="none"/>
        </w:rPr>
        <w:t>.</w:t>
      </w:r>
      <w:r>
        <w:rPr>
          <w:rFonts w:hint="eastAsia"/>
          <w:color w:val="auto"/>
          <w:sz w:val="24"/>
          <w:highlight w:val="none"/>
        </w:rPr>
        <w:t>5</w:t>
      </w:r>
      <w:r>
        <w:rPr>
          <w:color w:val="auto"/>
          <w:sz w:val="24"/>
          <w:highlight w:val="none"/>
        </w:rPr>
        <w:t>.8对联合体参加磋商的其他资格要求见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color w:val="auto"/>
          <w:sz w:val="24"/>
          <w:highlight w:val="none"/>
        </w:rPr>
        <w:t>。</w:t>
      </w:r>
    </w:p>
    <w:p w14:paraId="21A97C7E">
      <w:pPr>
        <w:spacing w:line="360" w:lineRule="auto"/>
        <w:ind w:firstLine="437"/>
        <w:outlineLvl w:val="2"/>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资金</w:t>
      </w:r>
      <w:r>
        <w:rPr>
          <w:rFonts w:hint="eastAsia" w:asciiTheme="minorEastAsia" w:hAnsiTheme="minorEastAsia" w:eastAsiaTheme="minorEastAsia"/>
          <w:b/>
          <w:color w:val="auto"/>
          <w:sz w:val="24"/>
          <w:highlight w:val="none"/>
          <w:lang w:val="en-US" w:eastAsia="zh-CN"/>
        </w:rPr>
        <w:t>落实情况</w:t>
      </w:r>
    </w:p>
    <w:p w14:paraId="5BD2B25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.1本项目的采购人已获得足以支付本次磋商后所签订的合同项下的资金。</w:t>
      </w:r>
    </w:p>
    <w:p w14:paraId="5419ADA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磋商费用</w:t>
      </w:r>
    </w:p>
    <w:p w14:paraId="270E7467">
      <w:pPr>
        <w:spacing w:line="360" w:lineRule="auto"/>
        <w:ind w:firstLine="437"/>
        <w:rPr>
          <w:color w:val="auto"/>
          <w:sz w:val="24"/>
          <w:highlight w:val="none"/>
        </w:rPr>
      </w:pPr>
      <w:r>
        <w:rPr>
          <w:rFonts w:hint="eastAsia"/>
          <w:color w:val="auto"/>
          <w:sz w:val="24"/>
          <w:highlight w:val="none"/>
        </w:rPr>
        <w:t>不论磋商的结果如何，供应商应承担其所有与准备和参加磋商有关的费用。</w:t>
      </w:r>
    </w:p>
    <w:p w14:paraId="74B52BD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适用法律</w:t>
      </w:r>
    </w:p>
    <w:p w14:paraId="5B82A67E">
      <w:pPr>
        <w:spacing w:line="360" w:lineRule="auto"/>
        <w:ind w:firstLine="435"/>
        <w:rPr>
          <w:rFonts w:asciiTheme="minorEastAsia" w:hAnsiTheme="minorEastAsia" w:eastAsiaTheme="minorEastAsia"/>
          <w:color w:val="auto"/>
          <w:sz w:val="24"/>
          <w:highlight w:val="none"/>
        </w:rPr>
      </w:pPr>
      <w:r>
        <w:rPr>
          <w:rFonts w:hint="eastAsia"/>
          <w:color w:val="auto"/>
          <w:sz w:val="24"/>
          <w:highlight w:val="none"/>
        </w:rPr>
        <w:t>本项目采购人、采购代理机构、供应商、磋商小组的相关行为均受《中华人民共和国政府采购法》、《中华人民共和国政府采购法实施条例》及本项目本级和上级财政部门、政府采购监督管理部门的政府采购有关规定的约束，其权利受到上述法律法规的保护。</w:t>
      </w:r>
    </w:p>
    <w:p w14:paraId="1ABA4AFC">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5</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磋商文件构成</w:t>
      </w:r>
    </w:p>
    <w:p w14:paraId="0AF6262E">
      <w:pPr>
        <w:spacing w:line="360" w:lineRule="auto"/>
        <w:ind w:firstLine="435"/>
        <w:rPr>
          <w:color w:val="auto"/>
          <w:sz w:val="24"/>
          <w:highlight w:val="none"/>
        </w:rPr>
      </w:pPr>
      <w:r>
        <w:rPr>
          <w:rFonts w:hint="eastAsia"/>
          <w:color w:val="auto"/>
          <w:sz w:val="24"/>
          <w:highlight w:val="none"/>
          <w:lang w:val="en-US" w:eastAsia="zh-CN"/>
        </w:rPr>
        <w:t>5</w:t>
      </w:r>
      <w:r>
        <w:rPr>
          <w:rFonts w:hint="eastAsia"/>
          <w:color w:val="auto"/>
          <w:sz w:val="24"/>
          <w:highlight w:val="none"/>
        </w:rPr>
        <w:t>.1磋商文件包括下列内容：</w:t>
      </w:r>
    </w:p>
    <w:p w14:paraId="40A0FA78">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第一章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磋商邀请</w:t>
      </w:r>
    </w:p>
    <w:p w14:paraId="52ED565E">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第二章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须知</w:t>
      </w:r>
    </w:p>
    <w:p w14:paraId="7F9B77F6">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第三章</w:t>
      </w:r>
      <w:r>
        <w:rPr>
          <w:rFonts w:asciiTheme="minorEastAsia" w:hAnsiTheme="minorEastAsia" w:eastAsiaTheme="minorEastAsia"/>
          <w:color w:val="auto"/>
          <w:sz w:val="24"/>
          <w:highlight w:val="none"/>
        </w:rPr>
        <w:t xml:space="preserve">  采购需求</w:t>
      </w:r>
    </w:p>
    <w:p w14:paraId="4354EF53">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第四章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评审方法</w:t>
      </w:r>
      <w:r>
        <w:rPr>
          <w:rFonts w:asciiTheme="minorEastAsia" w:hAnsiTheme="minorEastAsia" w:eastAsiaTheme="minorEastAsia"/>
          <w:color w:val="auto"/>
          <w:sz w:val="24"/>
          <w:highlight w:val="none"/>
        </w:rPr>
        <w:t>和标准</w:t>
      </w:r>
    </w:p>
    <w:p w14:paraId="7C00E46F">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第五章</w:t>
      </w:r>
      <w:r>
        <w:rPr>
          <w:rFonts w:asciiTheme="minorEastAsia" w:hAnsiTheme="minorEastAsia" w:eastAsiaTheme="minorEastAsia"/>
          <w:color w:val="auto"/>
          <w:sz w:val="24"/>
          <w:highlight w:val="none"/>
        </w:rPr>
        <w:t xml:space="preserve">  政府采购合同</w:t>
      </w:r>
    </w:p>
    <w:p w14:paraId="44D83E2D">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第六章</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文件格式</w:t>
      </w:r>
    </w:p>
    <w:p w14:paraId="4F8EEEEF">
      <w:pPr>
        <w:spacing w:line="360" w:lineRule="auto"/>
        <w:ind w:firstLine="840" w:firstLineChars="35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第</w:t>
      </w:r>
      <w:r>
        <w:rPr>
          <w:rFonts w:hint="eastAsia" w:asciiTheme="minorEastAsia" w:hAnsiTheme="minorEastAsia" w:eastAsiaTheme="minorEastAsia"/>
          <w:color w:val="auto"/>
          <w:sz w:val="24"/>
          <w:highlight w:val="none"/>
          <w:lang w:val="en-US" w:eastAsia="zh-CN"/>
        </w:rPr>
        <w:t>七</w:t>
      </w:r>
      <w:r>
        <w:rPr>
          <w:rFonts w:hint="eastAsia" w:asciiTheme="minorEastAsia" w:hAnsiTheme="minorEastAsia" w:eastAsiaTheme="minorEastAsia"/>
          <w:color w:val="auto"/>
          <w:sz w:val="24"/>
          <w:highlight w:val="none"/>
        </w:rPr>
        <w:t>章</w:t>
      </w:r>
      <w:r>
        <w:rPr>
          <w:rFonts w:asciiTheme="minorEastAsia" w:hAnsiTheme="minorEastAsia" w:eastAsiaTheme="minorEastAsia"/>
          <w:color w:val="auto"/>
          <w:sz w:val="24"/>
          <w:highlight w:val="none"/>
        </w:rPr>
        <w:t xml:space="preserve">  政府采购供应商</w:t>
      </w:r>
      <w:r>
        <w:rPr>
          <w:rFonts w:hint="eastAsia" w:asciiTheme="minorEastAsia" w:hAnsiTheme="minorEastAsia" w:eastAsiaTheme="minorEastAsia"/>
          <w:color w:val="auto"/>
          <w:sz w:val="24"/>
          <w:highlight w:val="none"/>
        </w:rPr>
        <w:t>询问函和</w:t>
      </w:r>
      <w:r>
        <w:rPr>
          <w:rFonts w:asciiTheme="minorEastAsia" w:hAnsiTheme="minorEastAsia" w:eastAsiaTheme="minorEastAsia"/>
          <w:color w:val="auto"/>
          <w:sz w:val="24"/>
          <w:highlight w:val="none"/>
        </w:rPr>
        <w:t>质疑函范本</w:t>
      </w:r>
    </w:p>
    <w:p w14:paraId="3A0332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现场</w:t>
      </w:r>
      <w:r>
        <w:rPr>
          <w:rFonts w:hint="eastAsia" w:asciiTheme="minorEastAsia" w:hAnsiTheme="minorEastAsia" w:eastAsiaTheme="minorEastAsia"/>
          <w:color w:val="auto"/>
          <w:sz w:val="24"/>
          <w:highlight w:val="none"/>
        </w:rPr>
        <w:t>考察</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标前答疑会</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及相关事项见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02677E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应认真阅读</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文件所有的事项、格式、条款和技术规范等。</w:t>
      </w:r>
    </w:p>
    <w:p w14:paraId="7FB38C6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6</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磋商文件的澄清与修改</w:t>
      </w:r>
    </w:p>
    <w:p w14:paraId="67A5F96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1供应商</w:t>
      </w:r>
      <w:r>
        <w:rPr>
          <w:rFonts w:asciiTheme="minorEastAsia" w:hAnsiTheme="minorEastAsia" w:eastAsiaTheme="minorEastAsia"/>
          <w:color w:val="auto"/>
          <w:sz w:val="24"/>
          <w:highlight w:val="none"/>
        </w:rPr>
        <w:t>如对</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文件内容有疑问，必须在</w:t>
      </w:r>
      <w:r>
        <w:rPr>
          <w:color w:val="auto"/>
          <w:sz w:val="24"/>
          <w:highlight w:val="none"/>
          <w:u w:val="single"/>
        </w:rPr>
        <w:t>供应商须知前附表</w:t>
      </w:r>
      <w:r>
        <w:rPr>
          <w:rFonts w:asciiTheme="minorEastAsia" w:hAnsiTheme="minorEastAsia" w:eastAsiaTheme="minorEastAsia"/>
          <w:color w:val="auto"/>
          <w:sz w:val="24"/>
          <w:highlight w:val="none"/>
        </w:rPr>
        <w:t>规定的</w:t>
      </w:r>
      <w:r>
        <w:rPr>
          <w:rFonts w:hint="eastAsia" w:asciiTheme="minorEastAsia" w:hAnsiTheme="minorEastAsia" w:eastAsiaTheme="minorEastAsia"/>
          <w:color w:val="auto"/>
          <w:sz w:val="24"/>
          <w:highlight w:val="none"/>
        </w:rPr>
        <w:t>网上询问</w:t>
      </w:r>
      <w:r>
        <w:rPr>
          <w:rFonts w:asciiTheme="minorEastAsia" w:hAnsiTheme="minorEastAsia" w:eastAsiaTheme="minorEastAsia"/>
          <w:color w:val="auto"/>
          <w:sz w:val="24"/>
          <w:highlight w:val="none"/>
        </w:rPr>
        <w:t>截止时间前以网上提问形式</w:t>
      </w:r>
      <w:r>
        <w:rPr>
          <w:rFonts w:hint="eastAsia" w:asciiTheme="minorEastAsia" w:hAnsiTheme="minorEastAsia" w:eastAsiaTheme="minorEastAsia"/>
          <w:color w:val="auto"/>
          <w:sz w:val="24"/>
          <w:highlight w:val="none"/>
        </w:rPr>
        <w:t>（电子交易系统）</w:t>
      </w:r>
      <w:r>
        <w:rPr>
          <w:rFonts w:asciiTheme="minorEastAsia" w:hAnsiTheme="minorEastAsia" w:eastAsiaTheme="minorEastAsia"/>
          <w:color w:val="auto"/>
          <w:sz w:val="24"/>
          <w:highlight w:val="none"/>
        </w:rPr>
        <w:t>提交给采购代理机构。</w:t>
      </w:r>
    </w:p>
    <w:p w14:paraId="6607ADF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2采购人可主动地或在</w:t>
      </w:r>
      <w:r>
        <w:rPr>
          <w:rFonts w:hint="eastAsia" w:asciiTheme="minorEastAsia" w:hAnsiTheme="minorEastAsia" w:eastAsiaTheme="minorEastAsia"/>
          <w:color w:val="auto"/>
          <w:sz w:val="24"/>
          <w:highlight w:val="none"/>
          <w:lang w:val="en-US" w:eastAsia="zh-CN"/>
        </w:rPr>
        <w:t>答复供应商</w:t>
      </w:r>
      <w:r>
        <w:rPr>
          <w:rFonts w:hint="eastAsia" w:asciiTheme="minorEastAsia" w:hAnsiTheme="minorEastAsia" w:eastAsiaTheme="minorEastAsia"/>
          <w:color w:val="auto"/>
          <w:sz w:val="24"/>
          <w:highlight w:val="none"/>
        </w:rPr>
        <w:t>提出的</w:t>
      </w:r>
      <w:r>
        <w:rPr>
          <w:rFonts w:hint="eastAsia" w:asciiTheme="minorEastAsia" w:hAnsiTheme="minorEastAsia" w:eastAsiaTheme="minorEastAsia"/>
          <w:color w:val="auto"/>
          <w:sz w:val="24"/>
          <w:highlight w:val="none"/>
          <w:lang w:val="en-US" w:eastAsia="zh-CN"/>
        </w:rPr>
        <w:t>询问</w:t>
      </w:r>
      <w:r>
        <w:rPr>
          <w:rFonts w:hint="eastAsia" w:asciiTheme="minorEastAsia" w:hAnsiTheme="minorEastAsia" w:eastAsiaTheme="minorEastAsia"/>
          <w:color w:val="auto"/>
          <w:sz w:val="24"/>
          <w:highlight w:val="none"/>
        </w:rPr>
        <w:t>时对</w:t>
      </w:r>
      <w:r>
        <w:rPr>
          <w:rFonts w:hint="eastAsia" w:asciiTheme="minorEastAsia" w:hAnsiTheme="minorEastAsia" w:eastAsiaTheme="minorEastAsia"/>
          <w:color w:val="auto"/>
          <w:sz w:val="24"/>
          <w:highlight w:val="none"/>
          <w:lang w:val="en-US" w:eastAsia="zh-CN"/>
        </w:rPr>
        <w:t>磋商</w:t>
      </w:r>
      <w:r>
        <w:rPr>
          <w:rFonts w:hint="eastAsia" w:asciiTheme="minorEastAsia" w:hAnsiTheme="minorEastAsia" w:eastAsiaTheme="minorEastAsia"/>
          <w:color w:val="auto"/>
          <w:sz w:val="24"/>
          <w:highlight w:val="none"/>
        </w:rPr>
        <w:t>文件进行澄清与修改。</w:t>
      </w:r>
      <w:r>
        <w:rPr>
          <w:rFonts w:asciiTheme="minorEastAsia" w:hAnsiTheme="minorEastAsia" w:eastAsiaTheme="minorEastAsia"/>
          <w:color w:val="auto"/>
          <w:sz w:val="24"/>
          <w:highlight w:val="none"/>
        </w:rPr>
        <w:t>采购代理机构将</w:t>
      </w:r>
      <w:r>
        <w:rPr>
          <w:rFonts w:hint="eastAsia" w:asciiTheme="minorEastAsia" w:hAnsiTheme="minorEastAsia" w:eastAsiaTheme="minorEastAsia"/>
          <w:color w:val="auto"/>
          <w:sz w:val="24"/>
          <w:highlight w:val="none"/>
        </w:rPr>
        <w:t>在</w:t>
      </w:r>
      <w:bookmarkStart w:id="41" w:name="_Hlk16458572"/>
      <w:r>
        <w:rPr>
          <w:rFonts w:hint="eastAsia"/>
          <w:color w:val="auto"/>
          <w:sz w:val="24"/>
          <w:szCs w:val="18"/>
          <w:highlight w:val="none"/>
        </w:rPr>
        <w:t>安徽省政府采购网</w:t>
      </w:r>
      <w:bookmarkEnd w:id="41"/>
      <w:r>
        <w:rPr>
          <w:rFonts w:hint="eastAsia" w:asciiTheme="minorEastAsia" w:hAnsiTheme="minorEastAsia" w:eastAsiaTheme="minorEastAsia"/>
          <w:color w:val="auto"/>
          <w:sz w:val="24"/>
          <w:highlight w:val="none"/>
        </w:rPr>
        <w:t>发布更正公告的方式澄清或者修改磋商文件，更正公告的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color w:val="auto"/>
          <w:sz w:val="24"/>
          <w:highlight w:val="none"/>
        </w:rPr>
        <w:t>作</w:t>
      </w:r>
      <w:r>
        <w:rPr>
          <w:rFonts w:asciiTheme="minorEastAsia" w:hAnsiTheme="minorEastAsia" w:eastAsiaTheme="minorEastAsia"/>
          <w:color w:val="auto"/>
          <w:sz w:val="24"/>
          <w:highlight w:val="none"/>
        </w:rPr>
        <w:t>为</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组成部分，对</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起约束作用</w:t>
      </w:r>
      <w:r>
        <w:rPr>
          <w:rFonts w:hint="eastAsia" w:asciiTheme="minorEastAsia" w:hAnsiTheme="minorEastAsia" w:eastAsiaTheme="minorEastAsia"/>
          <w:color w:val="auto"/>
          <w:sz w:val="24"/>
          <w:highlight w:val="none"/>
        </w:rPr>
        <w:t>。供应商应主动上网查询。采购代理机构不承担供应商未及时关注相关信息引发的相关责任。</w:t>
      </w:r>
    </w:p>
    <w:p w14:paraId="63147E9F">
      <w:pPr>
        <w:spacing w:line="360" w:lineRule="auto"/>
        <w:ind w:firstLine="435"/>
        <w:rPr>
          <w:color w:val="auto"/>
          <w:sz w:val="24"/>
          <w:highlight w:val="none"/>
        </w:rPr>
      </w:pPr>
      <w:r>
        <w:rPr>
          <w:rFonts w:hint="eastAsia"/>
          <w:color w:val="auto"/>
          <w:sz w:val="24"/>
          <w:highlight w:val="none"/>
          <w:lang w:val="en-US" w:eastAsia="zh-CN"/>
        </w:rPr>
        <w:t>6</w:t>
      </w:r>
      <w:r>
        <w:rPr>
          <w:rFonts w:hint="eastAsia"/>
          <w:color w:val="auto"/>
          <w:sz w:val="24"/>
          <w:highlight w:val="none"/>
        </w:rPr>
        <w:t>.3任何人或任何组织向供应商提供的任何书面或口头资料，未经采购代理机构在网上发布或书面通知，均作无效处理，不得作为磋商文件的组成部分。采购代理机构对供应商由此而做出的推论、理解和结论概不负责。</w:t>
      </w:r>
    </w:p>
    <w:p w14:paraId="73BBEFA4">
      <w:pPr>
        <w:spacing w:line="360" w:lineRule="auto"/>
        <w:ind w:firstLine="435"/>
        <w:rPr>
          <w:rFonts w:asciiTheme="minorEastAsia" w:hAnsiTheme="minorEastAsia" w:eastAsiaTheme="minorEastAsia"/>
          <w:iCs/>
          <w:color w:val="auto"/>
          <w:sz w:val="24"/>
          <w:highlight w:val="none"/>
        </w:rPr>
      </w:pPr>
      <w:r>
        <w:rPr>
          <w:rFonts w:hint="eastAsia" w:asciiTheme="minorEastAsia" w:hAnsiTheme="minorEastAsia" w:eastAsiaTheme="minorEastAsia"/>
          <w:color w:val="auto"/>
          <w:sz w:val="24"/>
          <w:highlight w:val="none"/>
          <w:lang w:val="en-US" w:eastAsia="zh-CN"/>
        </w:rPr>
        <w:t>6</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对于</w:t>
      </w:r>
      <w:r>
        <w:rPr>
          <w:color w:val="auto"/>
          <w:sz w:val="24"/>
          <w:highlight w:val="none"/>
        </w:rPr>
        <w:t>没有</w:t>
      </w:r>
      <w:r>
        <w:rPr>
          <w:rFonts w:asciiTheme="minorEastAsia" w:hAnsiTheme="minorEastAsia" w:eastAsiaTheme="minorEastAsia"/>
          <w:color w:val="auto"/>
          <w:sz w:val="24"/>
          <w:highlight w:val="none"/>
        </w:rPr>
        <w:t>提出</w:t>
      </w:r>
      <w:r>
        <w:rPr>
          <w:rFonts w:hint="eastAsia" w:asciiTheme="minorEastAsia" w:hAnsiTheme="minorEastAsia" w:eastAsiaTheme="minorEastAsia"/>
          <w:color w:val="auto"/>
          <w:sz w:val="24"/>
          <w:highlight w:val="none"/>
        </w:rPr>
        <w:t>询问</w:t>
      </w:r>
      <w:r>
        <w:rPr>
          <w:rFonts w:asciiTheme="minorEastAsia" w:hAnsiTheme="minorEastAsia" w:eastAsiaTheme="minorEastAsia"/>
          <w:color w:val="auto"/>
          <w:sz w:val="24"/>
          <w:highlight w:val="none"/>
        </w:rPr>
        <w:t>又参与了</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将被视为完全认同</w:t>
      </w:r>
      <w:r>
        <w:rPr>
          <w:rFonts w:hint="eastAsia" w:asciiTheme="minorEastAsia" w:hAnsiTheme="minorEastAsia" w:eastAsiaTheme="minorEastAsia"/>
          <w:color w:val="auto"/>
          <w:sz w:val="24"/>
          <w:highlight w:val="none"/>
        </w:rPr>
        <w:t>本磋商</w:t>
      </w:r>
      <w:r>
        <w:rPr>
          <w:rFonts w:asciiTheme="minorEastAsia" w:hAnsiTheme="minorEastAsia" w:eastAsiaTheme="minorEastAsia"/>
          <w:color w:val="auto"/>
          <w:sz w:val="24"/>
          <w:highlight w:val="none"/>
        </w:rPr>
        <w:t>文件（含</w:t>
      </w:r>
      <w:r>
        <w:rPr>
          <w:rFonts w:hint="eastAsia" w:asciiTheme="minorEastAsia" w:hAnsiTheme="minorEastAsia" w:eastAsiaTheme="minorEastAsia"/>
          <w:color w:val="auto"/>
          <w:sz w:val="24"/>
          <w:highlight w:val="none"/>
        </w:rPr>
        <w:t>更正公告的</w:t>
      </w:r>
      <w:r>
        <w:rPr>
          <w:rFonts w:asciiTheme="minorEastAsia" w:hAnsiTheme="minorEastAsia" w:eastAsiaTheme="minorEastAsia"/>
          <w:color w:val="auto"/>
          <w:sz w:val="24"/>
          <w:highlight w:val="none"/>
        </w:rPr>
        <w:t>内容）</w:t>
      </w:r>
      <w:r>
        <w:rPr>
          <w:rFonts w:hint="eastAsia" w:asciiTheme="minorEastAsia" w:hAnsiTheme="minorEastAsia" w:eastAsiaTheme="minorEastAsia"/>
          <w:i/>
          <w:color w:val="auto"/>
          <w:sz w:val="24"/>
          <w:highlight w:val="none"/>
        </w:rPr>
        <w:t>。</w:t>
      </w:r>
    </w:p>
    <w:p w14:paraId="35204975">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7</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磋商范围及响应文件中标准和计量单位的使用</w:t>
      </w:r>
    </w:p>
    <w:p w14:paraId="2295DE9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.1项目有分包的，供应商可</w:t>
      </w:r>
      <w:r>
        <w:rPr>
          <w:rFonts w:hint="eastAsia" w:asciiTheme="minorEastAsia" w:hAnsiTheme="minorEastAsia" w:eastAsiaTheme="minorEastAsia"/>
          <w:color w:val="auto"/>
          <w:sz w:val="24"/>
          <w:highlight w:val="none"/>
        </w:rPr>
        <w:t>参与</w:t>
      </w:r>
      <w:r>
        <w:rPr>
          <w:rFonts w:asciiTheme="minorEastAsia" w:hAnsiTheme="minorEastAsia" w:eastAsiaTheme="minorEastAsia"/>
          <w:color w:val="auto"/>
          <w:sz w:val="24"/>
          <w:highlight w:val="none"/>
        </w:rPr>
        <w:t>其中某一个或</w:t>
      </w:r>
      <w:r>
        <w:rPr>
          <w:rFonts w:hint="eastAsia" w:asciiTheme="minorEastAsia" w:hAnsiTheme="minorEastAsia" w:eastAsiaTheme="minorEastAsia"/>
          <w:color w:val="auto"/>
          <w:sz w:val="24"/>
          <w:highlight w:val="none"/>
        </w:rPr>
        <w:t>多</w:t>
      </w:r>
      <w:r>
        <w:rPr>
          <w:rFonts w:asciiTheme="minorEastAsia" w:hAnsiTheme="minorEastAsia" w:eastAsiaTheme="minorEastAsia"/>
          <w:color w:val="auto"/>
          <w:sz w:val="24"/>
          <w:highlight w:val="none"/>
        </w:rPr>
        <w:t>个分包</w:t>
      </w:r>
      <w:r>
        <w:rPr>
          <w:rFonts w:hint="eastAsia" w:asciiTheme="minorEastAsia" w:hAnsiTheme="minorEastAsia" w:eastAsiaTheme="minorEastAsia"/>
          <w:color w:val="auto"/>
          <w:sz w:val="24"/>
          <w:highlight w:val="none"/>
        </w:rPr>
        <w:t>的磋商</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成交包数详见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中规定。</w:t>
      </w:r>
    </w:p>
    <w:p w14:paraId="1B24886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无论磋商文件中是否要求，供应商所</w:t>
      </w:r>
      <w:r>
        <w:rPr>
          <w:rFonts w:hint="eastAsia" w:asciiTheme="minorEastAsia" w:hAnsiTheme="minorEastAsia" w:eastAsiaTheme="minorEastAsia"/>
          <w:color w:val="auto"/>
          <w:sz w:val="24"/>
          <w:highlight w:val="none"/>
        </w:rPr>
        <w:t>承担</w:t>
      </w:r>
      <w:r>
        <w:rPr>
          <w:rFonts w:asciiTheme="minorEastAsia" w:hAnsiTheme="minorEastAsia" w:eastAsiaTheme="minorEastAsia"/>
          <w:color w:val="auto"/>
          <w:sz w:val="24"/>
          <w:highlight w:val="none"/>
        </w:rPr>
        <w:t>工程及伴随的货物和</w:t>
      </w:r>
      <w:r>
        <w:rPr>
          <w:rFonts w:hint="eastAsia" w:asciiTheme="minorEastAsia" w:hAnsiTheme="minorEastAsia" w:eastAsiaTheme="minorEastAsia"/>
          <w:color w:val="auto"/>
          <w:sz w:val="24"/>
          <w:highlight w:val="none"/>
        </w:rPr>
        <w:t>服务</w:t>
      </w:r>
      <w:r>
        <w:rPr>
          <w:rFonts w:asciiTheme="minorEastAsia" w:hAnsiTheme="minorEastAsia" w:eastAsiaTheme="minorEastAsia"/>
          <w:color w:val="auto"/>
          <w:sz w:val="24"/>
          <w:highlight w:val="none"/>
        </w:rPr>
        <w:t>均应符合国家强制性标准。</w:t>
      </w:r>
    </w:p>
    <w:p w14:paraId="2173337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供应商与采购代理机构之间与磋商有关的所有往来通知、函件和响应文件均用中文表述。供应商随响应文件提供的证明文件和资料可以为其他语言，但必须附中文译文。翻译的中文资料与外文资料如果出现差异时，以中文为准。</w:t>
      </w:r>
    </w:p>
    <w:p w14:paraId="7E73FD7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7</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除磋商文件中有特殊要求外，响应文件中所使用的计量单位，应采用中华人民共和国法定计量单位。</w:t>
      </w:r>
    </w:p>
    <w:p w14:paraId="4DAE86B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响应文件构成</w:t>
      </w:r>
    </w:p>
    <w:p w14:paraId="1AA5990D">
      <w:pPr>
        <w:spacing w:line="360" w:lineRule="auto"/>
        <w:ind w:firstLine="437"/>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.1供应商应完整地按磋商文件提供的响应文件格式及要求编写响应文件，具体内容详见第六章响应文件格式的相关内容。</w:t>
      </w:r>
    </w:p>
    <w:p w14:paraId="4659D659">
      <w:pPr>
        <w:spacing w:line="360" w:lineRule="auto"/>
        <w:ind w:firstLine="435"/>
        <w:rPr>
          <w:rFonts w:asciiTheme="minorEastAsia" w:hAnsiTheme="minorEastAsia" w:eastAsiaTheme="minorEastAsia"/>
          <w:color w:val="auto"/>
          <w:sz w:val="24"/>
          <w:highlight w:val="none"/>
        </w:rPr>
      </w:pPr>
      <w:r>
        <w:rPr>
          <w:rFonts w:hint="eastAsia"/>
          <w:color w:val="auto"/>
          <w:sz w:val="24"/>
          <w:highlight w:val="none"/>
          <w:lang w:val="en-US" w:eastAsia="zh-CN"/>
        </w:rPr>
        <w:t>8.2</w:t>
      </w:r>
      <w:r>
        <w:rPr>
          <w:rFonts w:hint="eastAsia"/>
          <w:color w:val="auto"/>
          <w:sz w:val="24"/>
          <w:highlight w:val="none"/>
        </w:rPr>
        <w:t>供应商应提交磋商文件要求的证明文件，证明其响应内容符合磋商文件规定。该证明文件是响应文件的一部分</w:t>
      </w:r>
      <w:r>
        <w:rPr>
          <w:rFonts w:asciiTheme="minorEastAsia" w:hAnsiTheme="minorEastAsia" w:eastAsiaTheme="minorEastAsia"/>
          <w:color w:val="auto"/>
          <w:sz w:val="24"/>
          <w:highlight w:val="none"/>
        </w:rPr>
        <w:t>。证明文件</w:t>
      </w:r>
      <w:r>
        <w:rPr>
          <w:rFonts w:hint="eastAsia" w:asciiTheme="minorEastAsia" w:hAnsiTheme="minorEastAsia" w:eastAsiaTheme="minorEastAsia"/>
          <w:color w:val="auto"/>
          <w:sz w:val="24"/>
          <w:highlight w:val="none"/>
          <w:lang w:val="en-US" w:eastAsia="zh-CN"/>
        </w:rPr>
        <w:t>形式</w:t>
      </w:r>
      <w:r>
        <w:rPr>
          <w:rFonts w:asciiTheme="minorEastAsia" w:hAnsiTheme="minorEastAsia" w:eastAsiaTheme="minorEastAsia"/>
          <w:color w:val="auto"/>
          <w:sz w:val="24"/>
          <w:highlight w:val="none"/>
        </w:rPr>
        <w:t>可以是文字资料、图纸和数据</w:t>
      </w:r>
      <w:bookmarkStart w:id="42" w:name="_Hlk11703583"/>
      <w:r>
        <w:rPr>
          <w:rFonts w:hint="eastAsia" w:asciiTheme="minorEastAsia" w:hAnsiTheme="minorEastAsia" w:eastAsiaTheme="minorEastAsia"/>
          <w:color w:val="auto"/>
          <w:sz w:val="24"/>
          <w:highlight w:val="none"/>
        </w:rPr>
        <w:t>。</w:t>
      </w:r>
      <w:bookmarkEnd w:id="42"/>
    </w:p>
    <w:p w14:paraId="0D15C5E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为保证</w:t>
      </w:r>
      <w:r>
        <w:rPr>
          <w:color w:val="auto"/>
          <w:sz w:val="24"/>
          <w:highlight w:val="none"/>
        </w:rPr>
        <w:t>公平</w:t>
      </w:r>
      <w:r>
        <w:rPr>
          <w:rFonts w:asciiTheme="minorEastAsia" w:hAnsiTheme="minorEastAsia" w:eastAsiaTheme="minorEastAsia"/>
          <w:color w:val="auto"/>
          <w:sz w:val="24"/>
          <w:highlight w:val="none"/>
        </w:rPr>
        <w:t>公正，除非磋商文件另有规定或说明，</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对同一项目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时，不得同时提供</w:t>
      </w:r>
      <w:r>
        <w:rPr>
          <w:rFonts w:hint="eastAsia" w:asciiTheme="minorEastAsia" w:hAnsiTheme="minorEastAsia" w:eastAsiaTheme="minorEastAsia"/>
          <w:color w:val="auto"/>
          <w:sz w:val="24"/>
          <w:highlight w:val="none"/>
        </w:rPr>
        <w:t>备选磋商</w:t>
      </w:r>
      <w:r>
        <w:rPr>
          <w:rFonts w:asciiTheme="minorEastAsia" w:hAnsiTheme="minorEastAsia" w:eastAsiaTheme="minorEastAsia"/>
          <w:color w:val="auto"/>
          <w:sz w:val="24"/>
          <w:highlight w:val="none"/>
        </w:rPr>
        <w:t>方案。</w:t>
      </w:r>
    </w:p>
    <w:p w14:paraId="657385A7">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报价</w:t>
      </w:r>
    </w:p>
    <w:p w14:paraId="2BAD3D1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的报价应当包括满足本次</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全部</w:t>
      </w:r>
      <w:r>
        <w:rPr>
          <w:rFonts w:hint="eastAsia" w:asciiTheme="minorEastAsia" w:hAnsiTheme="minorEastAsia" w:eastAsiaTheme="minorEastAsia"/>
          <w:color w:val="auto"/>
          <w:sz w:val="24"/>
          <w:highlight w:val="none"/>
        </w:rPr>
        <w:t>内容。所有报价均应以人民币报价，供应商的磋商报价应遵守《中华人民共和国价格法》。</w:t>
      </w:r>
    </w:p>
    <w:p w14:paraId="36A1D5E6">
      <w:pPr>
        <w:spacing w:line="360" w:lineRule="auto"/>
        <w:ind w:firstLine="435"/>
        <w:rPr>
          <w:rFonts w:asciiTheme="minorEastAsia" w:hAnsiTheme="minorEastAsia" w:eastAsiaTheme="minorEastAsia"/>
          <w:color w:val="FF0000"/>
          <w:sz w:val="24"/>
          <w:highlight w:val="none"/>
        </w:rPr>
      </w:pPr>
      <w:r>
        <w:rPr>
          <w:rFonts w:hint="eastAsia" w:asciiTheme="minorEastAsia" w:hAnsiTheme="minorEastAsia" w:eastAsiaTheme="minorEastAsia"/>
          <w:color w:val="FF0000"/>
          <w:sz w:val="24"/>
          <w:highlight w:val="none"/>
          <w:lang w:val="en-US" w:eastAsia="zh-CN"/>
        </w:rPr>
        <w:t>9</w:t>
      </w:r>
      <w:r>
        <w:rPr>
          <w:rFonts w:asciiTheme="minorEastAsia" w:hAnsiTheme="minorEastAsia" w:eastAsiaTheme="minorEastAsia"/>
          <w:color w:val="FF0000"/>
          <w:sz w:val="24"/>
          <w:highlight w:val="none"/>
        </w:rPr>
        <w:t>.</w:t>
      </w:r>
      <w:r>
        <w:rPr>
          <w:rFonts w:hint="eastAsia" w:asciiTheme="minorEastAsia" w:hAnsiTheme="minorEastAsia" w:eastAsiaTheme="minorEastAsia"/>
          <w:color w:val="FF0000"/>
          <w:sz w:val="24"/>
          <w:highlight w:val="none"/>
          <w:lang w:val="en-US" w:eastAsia="zh-CN"/>
        </w:rPr>
        <w:t>2</w:t>
      </w:r>
      <w:r>
        <w:rPr>
          <w:rFonts w:asciiTheme="minorEastAsia" w:hAnsiTheme="minorEastAsia" w:eastAsiaTheme="minorEastAsia"/>
          <w:color w:val="FF0000"/>
          <w:sz w:val="24"/>
          <w:highlight w:val="none"/>
        </w:rPr>
        <w:t>最后报价均不得高于磋商文件（公告）列明的项目预算</w:t>
      </w:r>
      <w:r>
        <w:rPr>
          <w:rFonts w:hint="eastAsia" w:asciiTheme="minorEastAsia" w:hAnsiTheme="minorEastAsia" w:eastAsiaTheme="minorEastAsia"/>
          <w:color w:val="FF0000"/>
          <w:sz w:val="24"/>
          <w:highlight w:val="none"/>
        </w:rPr>
        <w:t>、最高投标限价</w:t>
      </w:r>
      <w:r>
        <w:rPr>
          <w:rFonts w:asciiTheme="minorEastAsia" w:hAnsiTheme="minorEastAsia" w:eastAsiaTheme="minorEastAsia"/>
          <w:color w:val="FF0000"/>
          <w:sz w:val="24"/>
          <w:highlight w:val="none"/>
        </w:rPr>
        <w:t>，否则其响应文件将被认定为</w:t>
      </w:r>
      <w:r>
        <w:rPr>
          <w:rFonts w:asciiTheme="minorEastAsia" w:hAnsiTheme="minorEastAsia" w:eastAsiaTheme="minorEastAsia"/>
          <w:b/>
          <w:color w:val="FF0000"/>
          <w:sz w:val="24"/>
          <w:highlight w:val="none"/>
        </w:rPr>
        <w:t>响应无效</w:t>
      </w:r>
      <w:r>
        <w:rPr>
          <w:rFonts w:asciiTheme="minorEastAsia" w:hAnsiTheme="minorEastAsia" w:eastAsiaTheme="minorEastAsia"/>
          <w:color w:val="FF0000"/>
          <w:sz w:val="24"/>
          <w:highlight w:val="none"/>
        </w:rPr>
        <w:t>。</w:t>
      </w:r>
    </w:p>
    <w:p w14:paraId="4CF86BCF">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报价</w:t>
      </w:r>
      <w:r>
        <w:rPr>
          <w:rFonts w:asciiTheme="minorEastAsia" w:hAnsiTheme="minorEastAsia" w:eastAsiaTheme="minorEastAsia"/>
          <w:color w:val="auto"/>
          <w:sz w:val="24"/>
          <w:highlight w:val="none"/>
        </w:rPr>
        <w:t>在合同履行过程中是固定不变的，不得以任何理由予以变更。任何包含价格调整要求的</w:t>
      </w:r>
      <w:r>
        <w:rPr>
          <w:rFonts w:hint="eastAsia" w:asciiTheme="minorEastAsia" w:hAnsiTheme="minorEastAsia" w:eastAsiaTheme="minorEastAsia"/>
          <w:color w:val="auto"/>
          <w:sz w:val="24"/>
          <w:highlight w:val="none"/>
        </w:rPr>
        <w:t>报价</w:t>
      </w:r>
      <w:r>
        <w:rPr>
          <w:rFonts w:asciiTheme="minorEastAsia" w:hAnsiTheme="minorEastAsia" w:eastAsiaTheme="minorEastAsia"/>
          <w:color w:val="auto"/>
          <w:sz w:val="24"/>
          <w:highlight w:val="none"/>
        </w:rPr>
        <w:t>，其</w:t>
      </w:r>
      <w:r>
        <w:rPr>
          <w:rFonts w:hint="eastAsia" w:asciiTheme="minorEastAsia" w:hAnsiTheme="minorEastAsia" w:eastAsiaTheme="minorEastAsia"/>
          <w:color w:val="auto"/>
          <w:sz w:val="24"/>
          <w:highlight w:val="none"/>
        </w:rPr>
        <w:t>响应文件将被认定为</w:t>
      </w:r>
      <w:r>
        <w:rPr>
          <w:rFonts w:hint="eastAsia" w:asciiTheme="minorEastAsia" w:hAnsiTheme="minorEastAsia" w:eastAsiaTheme="minorEastAsia"/>
          <w:b/>
          <w:color w:val="auto"/>
          <w:sz w:val="24"/>
          <w:highlight w:val="none"/>
        </w:rPr>
        <w:t>响应无效</w:t>
      </w:r>
      <w:r>
        <w:rPr>
          <w:rFonts w:asciiTheme="minorEastAsia" w:hAnsiTheme="minorEastAsia" w:eastAsiaTheme="minorEastAsia"/>
          <w:color w:val="auto"/>
          <w:sz w:val="24"/>
          <w:highlight w:val="none"/>
        </w:rPr>
        <w:t>。</w:t>
      </w:r>
    </w:p>
    <w:p w14:paraId="30B957F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9</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采购人不接受具有附加条件的报价。</w:t>
      </w:r>
    </w:p>
    <w:p w14:paraId="1EEA9521">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10</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磋商保证金</w:t>
      </w:r>
    </w:p>
    <w:p w14:paraId="11875C7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10</w:t>
      </w:r>
      <w:r>
        <w:rPr>
          <w:rFonts w:asciiTheme="minorEastAsia" w:hAnsiTheme="minorEastAsia" w:eastAsiaTheme="minorEastAsia"/>
          <w:color w:val="auto"/>
          <w:sz w:val="24"/>
          <w:highlight w:val="none"/>
        </w:rPr>
        <w:t>.1本项目不收取磋商保证金。</w:t>
      </w:r>
    </w:p>
    <w:p w14:paraId="0981289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磋商有效期</w:t>
      </w:r>
    </w:p>
    <w:p w14:paraId="5C30175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.1磋商有效期为从响应文件提交截止之日算起的日历天数，磋商有效期详见</w:t>
      </w:r>
      <w:r>
        <w:rPr>
          <w:rFonts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w:t>
      </w:r>
    </w:p>
    <w:p w14:paraId="023E47C7">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.2在磋商有效期内，供应商的磋商保持有效，供应商不得要求撤销或修改其响应文件。磋商有效期不满足要求的响应，其响应文件将被认定为</w:t>
      </w:r>
      <w:r>
        <w:rPr>
          <w:rFonts w:asciiTheme="minorEastAsia" w:hAnsiTheme="minorEastAsia" w:eastAsiaTheme="minorEastAsia"/>
          <w:b/>
          <w:color w:val="auto"/>
          <w:sz w:val="24"/>
          <w:highlight w:val="none"/>
        </w:rPr>
        <w:t>响应无效</w:t>
      </w:r>
      <w:r>
        <w:rPr>
          <w:rFonts w:asciiTheme="minorEastAsia" w:hAnsiTheme="minorEastAsia" w:eastAsiaTheme="minorEastAsia"/>
          <w:color w:val="auto"/>
          <w:sz w:val="24"/>
          <w:highlight w:val="none"/>
        </w:rPr>
        <w:t>。</w:t>
      </w:r>
    </w:p>
    <w:p w14:paraId="6D081824">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1</w:t>
      </w:r>
      <w:r>
        <w:rPr>
          <w:rFonts w:asciiTheme="minorEastAsia" w:hAnsiTheme="minorEastAsia" w:eastAsiaTheme="minorEastAsia"/>
          <w:color w:val="auto"/>
          <w:sz w:val="24"/>
          <w:highlight w:val="none"/>
        </w:rPr>
        <w:t>.3为保证有充分时间签订合同，采购人或采购代理机构可根据实际情况，在原磋商有效期截止之前，要求供应商延长磋商有效期。接受该要求的供应商将不会被要求和允许修正其响应文件。供应商可以拒绝延长磋商有效期的要求，且不承担任何责任。上述要求和答复都应以书面形式提交。</w:t>
      </w:r>
    </w:p>
    <w:p w14:paraId="12426BBE">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响应文件的提交、修改与撤回</w:t>
      </w:r>
    </w:p>
    <w:p w14:paraId="780D9CBB">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.1供应商应当在</w:t>
      </w:r>
      <w:r>
        <w:rPr>
          <w:rFonts w:hint="eastAsia" w:asciiTheme="minorEastAsia" w:hAnsiTheme="minorEastAsia" w:eastAsiaTheme="minorEastAsia"/>
          <w:color w:val="auto"/>
          <w:sz w:val="24"/>
          <w:highlight w:val="none"/>
          <w:lang w:val="en-US" w:eastAsia="zh-CN"/>
        </w:rPr>
        <w:t>竞争性磋商公告</w:t>
      </w:r>
      <w:r>
        <w:rPr>
          <w:rFonts w:hint="eastAsia" w:asciiTheme="minorEastAsia" w:hAnsiTheme="minorEastAsia" w:eastAsiaTheme="minorEastAsia"/>
          <w:color w:val="auto"/>
          <w:sz w:val="24"/>
          <w:highlight w:val="none"/>
        </w:rPr>
        <w:t>规定的响应文件提交截止时间前</w:t>
      </w:r>
      <w:r>
        <w:rPr>
          <w:rFonts w:asciiTheme="minorEastAsia" w:hAnsiTheme="minorEastAsia" w:eastAsiaTheme="minorEastAsia"/>
          <w:color w:val="auto"/>
          <w:sz w:val="24"/>
          <w:highlight w:val="none"/>
        </w:rPr>
        <w:t>，将加密的</w:t>
      </w:r>
      <w:r>
        <w:rPr>
          <w:rFonts w:hint="eastAsia" w:asciiTheme="minorEastAsia" w:hAnsiTheme="minorEastAsia" w:eastAsiaTheme="minorEastAsia"/>
          <w:color w:val="auto"/>
          <w:sz w:val="24"/>
          <w:highlight w:val="none"/>
        </w:rPr>
        <w:t>响应</w:t>
      </w:r>
      <w:r>
        <w:rPr>
          <w:rFonts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rPr>
        <w:t>在电子交易系统</w:t>
      </w:r>
      <w:r>
        <w:rPr>
          <w:rFonts w:asciiTheme="minorEastAsia" w:hAnsiTheme="minorEastAsia" w:eastAsiaTheme="minorEastAsia"/>
          <w:color w:val="auto"/>
          <w:sz w:val="24"/>
          <w:highlight w:val="none"/>
        </w:rPr>
        <w:t>上传。</w:t>
      </w:r>
    </w:p>
    <w:p w14:paraId="2E7F72D4">
      <w:pPr>
        <w:spacing w:line="360" w:lineRule="auto"/>
        <w:ind w:firstLine="435"/>
        <w:rPr>
          <w:rFonts w:hint="eastAsia"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2供应商应当在响应文件提交截止时间前完成响应文件的传输提交（以接收到电子签收凭证为准），并可以补充、修改或者撤回响应文件。响应文件提交截止时间前未完成响应文件传输的，视为撤回响应文件。未按规定加密或响应文件提交截止时间后送达的响应文件，电子交易系统应当拒收。</w:t>
      </w:r>
    </w:p>
    <w:p w14:paraId="6DBE95A2">
      <w:pPr>
        <w:spacing w:line="360" w:lineRule="auto"/>
        <w:ind w:firstLine="435"/>
        <w:rPr>
          <w:rFonts w:hint="eastAsia" w:asciiTheme="minorEastAsia" w:hAnsiTheme="minorEastAsia" w:eastAsiaTheme="minorEastAsia"/>
          <w:color w:val="auto"/>
          <w:sz w:val="24"/>
          <w:highlight w:val="none"/>
          <w:lang w:eastAsia="zh-CN"/>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供应商应在</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规定的解密时间前对</w:t>
      </w:r>
      <w:r>
        <w:rPr>
          <w:rFonts w:hint="eastAsia" w:asciiTheme="minorEastAsia" w:hAnsiTheme="minorEastAsia" w:eastAsiaTheme="minorEastAsia"/>
          <w:color w:val="auto"/>
          <w:sz w:val="24"/>
          <w:highlight w:val="none"/>
          <w:lang w:val="en-US" w:eastAsia="zh-CN"/>
        </w:rPr>
        <w:t>其</w:t>
      </w:r>
      <w:r>
        <w:rPr>
          <w:rFonts w:hint="eastAsia" w:asciiTheme="minorEastAsia" w:hAnsiTheme="minorEastAsia" w:eastAsiaTheme="minorEastAsia"/>
          <w:color w:val="auto"/>
          <w:sz w:val="24"/>
          <w:highlight w:val="none"/>
        </w:rPr>
        <w:t>响应文件进行解密</w:t>
      </w:r>
      <w:r>
        <w:rPr>
          <w:rFonts w:hint="eastAsia" w:asciiTheme="minorEastAsia" w:hAnsiTheme="minorEastAsia" w:eastAsiaTheme="minorEastAsia"/>
          <w:color w:val="auto"/>
          <w:sz w:val="24"/>
          <w:highlight w:val="none"/>
          <w:lang w:eastAsia="zh-CN"/>
        </w:rPr>
        <w:t>，</w:t>
      </w:r>
      <w:r>
        <w:rPr>
          <w:rFonts w:asciiTheme="minorEastAsia" w:hAnsiTheme="minorEastAsia" w:eastAsiaTheme="minorEastAsia"/>
          <w:color w:val="auto"/>
          <w:sz w:val="24"/>
          <w:highlight w:val="none"/>
        </w:rPr>
        <w:t>未在规定时间内进行解密的，</w:t>
      </w:r>
      <w:r>
        <w:rPr>
          <w:rFonts w:hint="eastAsia" w:asciiTheme="minorEastAsia" w:hAnsiTheme="minorEastAsia" w:eastAsiaTheme="minorEastAsia"/>
          <w:b/>
          <w:color w:val="auto"/>
          <w:sz w:val="24"/>
          <w:highlight w:val="none"/>
        </w:rPr>
        <w:t>响应无效</w:t>
      </w:r>
      <w:r>
        <w:rPr>
          <w:rFonts w:hint="eastAsia" w:asciiTheme="minorEastAsia" w:hAnsiTheme="minorEastAsia" w:eastAsiaTheme="minorEastAsia"/>
          <w:b/>
          <w:color w:val="auto"/>
          <w:sz w:val="24"/>
          <w:highlight w:val="none"/>
          <w:lang w:eastAsia="zh-CN"/>
        </w:rPr>
        <w:t>。</w:t>
      </w:r>
    </w:p>
    <w:p w14:paraId="0D91213C">
      <w:pPr>
        <w:spacing w:line="360" w:lineRule="auto"/>
        <w:ind w:firstLine="435"/>
        <w:rPr>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.4在响应文件提交截止时间之后，供应商不得对其响应文件做任何修改。</w:t>
      </w:r>
      <w:r>
        <w:rPr>
          <w:rFonts w:hint="eastAsia"/>
          <w:color w:val="auto"/>
          <w:sz w:val="24"/>
          <w:highlight w:val="none"/>
        </w:rPr>
        <w:t>但属于磋商小组在评审中发现的计算错误并进行核实的修改、按照磋商文件的变动情况和磋商小组的要求重新提交响应文件的，不在此列。</w:t>
      </w:r>
    </w:p>
    <w:p w14:paraId="06D4D74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13</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磋商小组</w:t>
      </w:r>
    </w:p>
    <w:p w14:paraId="12D3302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.1本项目将依法组建磋商小组，磋商小组成员由3人以上单数组成，磋商小组及其成员应当依照政府采购的有关规定履行相关职责和义务。</w:t>
      </w:r>
    </w:p>
    <w:p w14:paraId="6543CA4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.2磋商小组依法对响应文件进行评审，并根据磋商文件规定的程序、评定成交的标准等事项与实质性响应磋商文件要求的供应商进行磋商。</w:t>
      </w:r>
    </w:p>
    <w:p w14:paraId="43C3693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3</w:t>
      </w:r>
      <w:r>
        <w:rPr>
          <w:rFonts w:asciiTheme="minorEastAsia" w:hAnsiTheme="minorEastAsia" w:eastAsiaTheme="minorEastAsia"/>
          <w:color w:val="auto"/>
          <w:sz w:val="24"/>
          <w:highlight w:val="none"/>
        </w:rPr>
        <w:t>.3磋商小组应当从质量和服务均能满足磋商文件实质性响应要求的供应商中，按照评审</w:t>
      </w:r>
      <w:r>
        <w:rPr>
          <w:rFonts w:hint="eastAsia" w:asciiTheme="minorEastAsia" w:hAnsiTheme="minorEastAsia" w:eastAsiaTheme="minorEastAsia"/>
          <w:color w:val="auto"/>
          <w:sz w:val="24"/>
          <w:highlight w:val="none"/>
        </w:rPr>
        <w:t>方</w:t>
      </w:r>
      <w:r>
        <w:rPr>
          <w:rFonts w:asciiTheme="minorEastAsia" w:hAnsiTheme="minorEastAsia" w:eastAsiaTheme="minorEastAsia"/>
          <w:color w:val="auto"/>
          <w:sz w:val="24"/>
          <w:highlight w:val="none"/>
        </w:rPr>
        <w:t>法</w:t>
      </w:r>
      <w:r>
        <w:rPr>
          <w:rFonts w:hint="eastAsia" w:asciiTheme="minorEastAsia" w:hAnsiTheme="minorEastAsia" w:eastAsiaTheme="minorEastAsia"/>
          <w:color w:val="auto"/>
          <w:sz w:val="24"/>
          <w:highlight w:val="none"/>
        </w:rPr>
        <w:t>和标准推荐</w:t>
      </w:r>
      <w:r>
        <w:rPr>
          <w:rFonts w:asciiTheme="minorEastAsia" w:hAnsiTheme="minorEastAsia" w:eastAsiaTheme="minorEastAsia"/>
          <w:color w:val="auto"/>
          <w:sz w:val="24"/>
          <w:highlight w:val="none"/>
        </w:rPr>
        <w:t>成交候选供应商，并编写</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报告。</w:t>
      </w:r>
    </w:p>
    <w:p w14:paraId="262DDADC">
      <w:pPr>
        <w:spacing w:line="360" w:lineRule="auto"/>
        <w:ind w:firstLine="437"/>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1</w:t>
      </w:r>
      <w:r>
        <w:rPr>
          <w:rFonts w:hint="eastAsia" w:asciiTheme="minorEastAsia" w:hAnsiTheme="minorEastAsia" w:eastAsiaTheme="minorEastAsia"/>
          <w:b/>
          <w:color w:val="auto"/>
          <w:sz w:val="24"/>
          <w:highlight w:val="none"/>
          <w:lang w:val="en-US" w:eastAsia="zh-CN"/>
        </w:rPr>
        <w:t>4</w:t>
      </w:r>
      <w:r>
        <w:rPr>
          <w:rFonts w:asciiTheme="minorEastAsia" w:hAnsiTheme="minorEastAsia" w:eastAsiaTheme="minorEastAsia"/>
          <w:b/>
          <w:color w:val="auto"/>
          <w:sz w:val="24"/>
          <w:highlight w:val="none"/>
        </w:rPr>
        <w:t>.响应文件的评审与磋商</w:t>
      </w:r>
    </w:p>
    <w:p w14:paraId="2486C82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1采购人和采购代理机构将在</w:t>
      </w:r>
      <w:r>
        <w:rPr>
          <w:rFonts w:hint="eastAsia" w:cs="@仿宋_GB2312" w:asciiTheme="minorEastAsia" w:hAnsiTheme="minorEastAsia" w:eastAsiaTheme="minorEastAsia"/>
          <w:color w:val="auto"/>
          <w:kern w:val="2"/>
          <w:sz w:val="24"/>
          <w:highlight w:val="none"/>
          <w:u w:val="none"/>
          <w:lang w:val="en-US" w:eastAsia="zh-CN"/>
        </w:rPr>
        <w:t>竞争性磋商公告</w:t>
      </w:r>
      <w:r>
        <w:rPr>
          <w:rFonts w:hint="eastAsia" w:asciiTheme="minorEastAsia" w:hAnsiTheme="minorEastAsia" w:eastAsiaTheme="minorEastAsia"/>
          <w:color w:val="auto"/>
          <w:sz w:val="24"/>
          <w:highlight w:val="none"/>
        </w:rPr>
        <w:t>规定的时间和地点组织磋商。</w:t>
      </w:r>
    </w:p>
    <w:p w14:paraId="3450004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.2竞争性磋商活动采用综合评分法评审。</w:t>
      </w:r>
    </w:p>
    <w:p w14:paraId="011E373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综合评分法，是指响应文件满足磋商文件全部实质性要求且按评审因素的量化指标评审得分最高的供应商为成交候选供应商的评审方法。</w:t>
      </w:r>
    </w:p>
    <w:p w14:paraId="7185633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.3磋商小组将按照磋商文件规定的</w:t>
      </w:r>
      <w:r>
        <w:rPr>
          <w:rFonts w:asciiTheme="minorEastAsia" w:hAnsiTheme="minorEastAsia" w:eastAsiaTheme="minorEastAsia"/>
          <w:color w:val="auto"/>
          <w:sz w:val="24"/>
          <w:highlight w:val="none"/>
        </w:rPr>
        <w:t>评审</w:t>
      </w:r>
      <w:r>
        <w:rPr>
          <w:rFonts w:hint="eastAsia" w:asciiTheme="minorEastAsia" w:hAnsiTheme="minorEastAsia" w:eastAsiaTheme="minorEastAsia"/>
          <w:color w:val="auto"/>
          <w:sz w:val="24"/>
          <w:highlight w:val="none"/>
        </w:rPr>
        <w:t>方</w:t>
      </w:r>
      <w:r>
        <w:rPr>
          <w:rFonts w:asciiTheme="minorEastAsia" w:hAnsiTheme="minorEastAsia" w:eastAsiaTheme="minorEastAsia"/>
          <w:color w:val="auto"/>
          <w:sz w:val="24"/>
          <w:highlight w:val="none"/>
        </w:rPr>
        <w:t>法</w:t>
      </w:r>
      <w:r>
        <w:rPr>
          <w:rFonts w:hint="eastAsia" w:asciiTheme="minorEastAsia" w:hAnsiTheme="minorEastAsia" w:eastAsiaTheme="minorEastAsia"/>
          <w:color w:val="auto"/>
          <w:sz w:val="24"/>
          <w:highlight w:val="none"/>
        </w:rPr>
        <w:t>和标准对供应商独立进行评审。评审程序如下：</w:t>
      </w:r>
    </w:p>
    <w:p w14:paraId="1ACF049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.3.1</w:t>
      </w:r>
      <w:r>
        <w:rPr>
          <w:rFonts w:hint="eastAsia" w:asciiTheme="minorEastAsia" w:hAnsiTheme="minorEastAsia" w:eastAsiaTheme="minorEastAsia"/>
          <w:b/>
          <w:color w:val="auto"/>
          <w:sz w:val="24"/>
          <w:highlight w:val="none"/>
        </w:rPr>
        <w:t>初审</w:t>
      </w:r>
      <w:r>
        <w:rPr>
          <w:rFonts w:hint="eastAsia" w:asciiTheme="minorEastAsia" w:hAnsiTheme="minorEastAsia" w:eastAsiaTheme="minorEastAsia"/>
          <w:color w:val="auto"/>
          <w:sz w:val="24"/>
          <w:highlight w:val="none"/>
        </w:rPr>
        <w:t>。磋商小组对供应商必须满足和实质性响应的内容进行评审，供应商未实质性响应磋商文件要求导致响应无效的，磋商小组将以书面询标的方式告知有关供应商。</w:t>
      </w:r>
    </w:p>
    <w:p w14:paraId="2811E47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采购人或采购代理机构将在响应文件提交截止时间后至评审结束前通过“信用中国”网站(www.creditchina.gov.cn)、中国政府采购网(www.ccgp.gov.cn)查询相关</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用记录，并对供应商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响应文件将被认定为</w:t>
      </w:r>
      <w:r>
        <w:rPr>
          <w:rFonts w:hint="eastAsia" w:ascii="宋体" w:hAnsi="宋体" w:eastAsia="宋体" w:cs="宋体"/>
          <w:b/>
          <w:color w:val="auto"/>
          <w:sz w:val="24"/>
          <w:szCs w:val="24"/>
          <w:highlight w:val="none"/>
        </w:rPr>
        <w:t>响应无效</w:t>
      </w:r>
      <w:r>
        <w:rPr>
          <w:rFonts w:hint="eastAsia" w:ascii="宋体" w:hAnsi="宋体" w:eastAsia="宋体" w:cs="宋体"/>
          <w:color w:val="auto"/>
          <w:sz w:val="24"/>
          <w:szCs w:val="24"/>
          <w:highlight w:val="none"/>
        </w:rPr>
        <w:t>。</w:t>
      </w:r>
    </w:p>
    <w:p w14:paraId="3B738115">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的，联合体成员存在以上不良信用记录的，联合体</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将被认定为</w:t>
      </w:r>
      <w:r>
        <w:rPr>
          <w:rFonts w:hint="eastAsia" w:ascii="宋体" w:hAnsi="宋体" w:eastAsia="宋体" w:cs="宋体"/>
          <w:b/>
          <w:color w:val="auto"/>
          <w:sz w:val="24"/>
          <w:szCs w:val="24"/>
          <w:highlight w:val="none"/>
          <w:lang w:val="en-US" w:eastAsia="zh-CN"/>
        </w:rPr>
        <w:t>响应</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3F288922">
      <w:pPr>
        <w:spacing w:line="360" w:lineRule="auto"/>
        <w:ind w:firstLine="435"/>
        <w:rPr>
          <w:rFonts w:asciiTheme="minorEastAsia" w:hAnsiTheme="minorEastAsia" w:eastAsiaTheme="minorEastAsia"/>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不良信用记录以采购人或采购代理机构查询结果为准。在本</w:t>
      </w:r>
      <w:r>
        <w:rPr>
          <w:rFonts w:hint="eastAsia" w:cs="宋体"/>
          <w:color w:val="auto"/>
          <w:sz w:val="24"/>
          <w:szCs w:val="24"/>
          <w:highlight w:val="none"/>
          <w:lang w:val="en-US" w:eastAsia="zh-CN"/>
        </w:rPr>
        <w:t>采购</w:t>
      </w:r>
      <w:r>
        <w:rPr>
          <w:rFonts w:hint="eastAsia" w:ascii="宋体" w:hAnsi="宋体" w:eastAsia="宋体" w:cs="宋体"/>
          <w:color w:val="auto"/>
          <w:sz w:val="24"/>
          <w:szCs w:val="24"/>
          <w:highlight w:val="none"/>
        </w:rPr>
        <w:t>文件规定的查询时间之外，网站信息发生的任何变更均不作为初审依据。</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自行提供的与网站信息不一致的其他证明材料亦不作为</w:t>
      </w:r>
      <w:r>
        <w:rPr>
          <w:rFonts w:hint="eastAsia" w:ascii="宋体" w:hAnsi="宋体" w:eastAsia="宋体" w:cs="宋体"/>
          <w:color w:val="auto"/>
          <w:sz w:val="24"/>
          <w:szCs w:val="24"/>
          <w:highlight w:val="none"/>
          <w:lang w:val="en-US" w:eastAsia="zh-CN"/>
        </w:rPr>
        <w:t>初审</w:t>
      </w:r>
      <w:r>
        <w:rPr>
          <w:rFonts w:hint="eastAsia" w:ascii="宋体" w:hAnsi="宋体" w:eastAsia="宋体" w:cs="宋体"/>
          <w:color w:val="auto"/>
          <w:sz w:val="24"/>
          <w:szCs w:val="24"/>
          <w:highlight w:val="none"/>
        </w:rPr>
        <w:t>依据。</w:t>
      </w:r>
    </w:p>
    <w:p w14:paraId="36CE13A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.3.2</w:t>
      </w:r>
      <w:r>
        <w:rPr>
          <w:rFonts w:hint="eastAsia" w:asciiTheme="minorEastAsia" w:hAnsiTheme="minorEastAsia" w:eastAsiaTheme="minorEastAsia"/>
          <w:b/>
          <w:color w:val="auto"/>
          <w:sz w:val="24"/>
          <w:highlight w:val="none"/>
        </w:rPr>
        <w:t>磋商</w:t>
      </w:r>
      <w:r>
        <w:rPr>
          <w:rFonts w:hint="eastAsia" w:asciiTheme="minorEastAsia" w:hAnsiTheme="minorEastAsia" w:eastAsiaTheme="minorEastAsia"/>
          <w:color w:val="auto"/>
          <w:sz w:val="24"/>
          <w:highlight w:val="none"/>
        </w:rPr>
        <w:t>。初审合格后，磋商小组将按网上加密电子响应文件提交顺序集中与单一供应商分别进行磋商，并给予所有参加磋商的供应商平等的磋商机会。</w:t>
      </w:r>
    </w:p>
    <w:p w14:paraId="2BDCFBE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.3.3</w:t>
      </w:r>
      <w:r>
        <w:rPr>
          <w:rFonts w:asciiTheme="minorEastAsia" w:hAnsiTheme="minorEastAsia" w:eastAsiaTheme="minorEastAsia"/>
          <w:b/>
          <w:color w:val="auto"/>
          <w:sz w:val="24"/>
          <w:highlight w:val="none"/>
        </w:rPr>
        <w:t>报价</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磋商结束后，磋商小组应当要求所有</w:t>
      </w:r>
      <w:r>
        <w:rPr>
          <w:rFonts w:hint="eastAsia" w:asciiTheme="minorEastAsia" w:hAnsiTheme="minorEastAsia" w:eastAsiaTheme="minorEastAsia"/>
          <w:color w:val="auto"/>
          <w:sz w:val="24"/>
          <w:highlight w:val="none"/>
        </w:rPr>
        <w:t>实质性响应</w:t>
      </w:r>
      <w:r>
        <w:rPr>
          <w:rFonts w:asciiTheme="minorEastAsia" w:hAnsiTheme="minorEastAsia" w:eastAsiaTheme="minorEastAsia"/>
          <w:color w:val="auto"/>
          <w:sz w:val="24"/>
          <w:highlight w:val="none"/>
        </w:rPr>
        <w:t>的供应商在规定时间内提交最后报价</w:t>
      </w:r>
      <w:r>
        <w:rPr>
          <w:rFonts w:hint="eastAsia"/>
          <w:color w:val="auto"/>
          <w:sz w:val="24"/>
          <w:highlight w:val="none"/>
        </w:rPr>
        <w:t>。</w:t>
      </w:r>
    </w:p>
    <w:p w14:paraId="6CC3778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.3.4</w:t>
      </w:r>
      <w:r>
        <w:rPr>
          <w:rFonts w:hint="eastAsia" w:asciiTheme="minorEastAsia" w:hAnsiTheme="minorEastAsia" w:eastAsiaTheme="minorEastAsia"/>
          <w:b/>
          <w:color w:val="auto"/>
          <w:sz w:val="24"/>
          <w:highlight w:val="none"/>
        </w:rPr>
        <w:t>综合评分</w:t>
      </w:r>
      <w:r>
        <w:rPr>
          <w:rFonts w:hint="eastAsia" w:asciiTheme="minorEastAsia" w:hAnsiTheme="minorEastAsia" w:eastAsiaTheme="minorEastAsia"/>
          <w:color w:val="auto"/>
          <w:sz w:val="24"/>
          <w:highlight w:val="none"/>
        </w:rPr>
        <w:t>。磋商小组只对通过初审，实质上响应磋商文件要求的响应文件进行综合评分。经磋商确定最终采购需求和提交最后报价的供应商后，由磋商小组采用综合评分法对提交最后报价的供应商的响应文件和最后报价进行综合评分。</w:t>
      </w:r>
    </w:p>
    <w:p w14:paraId="7A7D1BB2">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.4相关说明。</w:t>
      </w:r>
    </w:p>
    <w:p w14:paraId="5340091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 xml:space="preserve">.4.1为保证磋商活动顺利进行，供应商可派相关技术人员进行网上答疑； </w:t>
      </w:r>
    </w:p>
    <w:p w14:paraId="31EB228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.4.2磋</w:t>
      </w:r>
      <w:r>
        <w:rPr>
          <w:rFonts w:asciiTheme="minorEastAsia" w:hAnsiTheme="minorEastAsia" w:eastAsiaTheme="minorEastAsia"/>
          <w:color w:val="auto"/>
          <w:sz w:val="24"/>
          <w:highlight w:val="none"/>
        </w:rPr>
        <w:t>商小组根据与</w:t>
      </w:r>
      <w:r>
        <w:rPr>
          <w:rFonts w:hint="eastAsia" w:asciiTheme="minorEastAsia" w:hAnsiTheme="minorEastAsia" w:eastAsiaTheme="minorEastAsia"/>
          <w:color w:val="auto"/>
          <w:sz w:val="24"/>
          <w:highlight w:val="none"/>
        </w:rPr>
        <w:t>供应商</w:t>
      </w:r>
      <w:r>
        <w:rPr>
          <w:rFonts w:asciiTheme="minorEastAsia" w:hAnsiTheme="minorEastAsia" w:eastAsiaTheme="minorEastAsia"/>
          <w:color w:val="auto"/>
          <w:sz w:val="24"/>
          <w:highlight w:val="none"/>
        </w:rPr>
        <w:t>磋商情况可能实质性变动</w:t>
      </w:r>
      <w:r>
        <w:rPr>
          <w:rFonts w:hint="eastAsia" w:asciiTheme="minorEastAsia" w:hAnsiTheme="minorEastAsia" w:eastAsiaTheme="minorEastAsia"/>
          <w:color w:val="auto"/>
          <w:sz w:val="24"/>
          <w:highlight w:val="none"/>
        </w:rPr>
        <w:t>磋商文件</w:t>
      </w:r>
      <w:r>
        <w:rPr>
          <w:rFonts w:asciiTheme="minorEastAsia" w:hAnsiTheme="minorEastAsia" w:eastAsiaTheme="minorEastAsia"/>
          <w:color w:val="auto"/>
          <w:sz w:val="24"/>
          <w:highlight w:val="none"/>
        </w:rPr>
        <w:t>的内容，包括采购需求中的技术、服务要求以及合同草案条款。磋商文件有实质性变动的，</w:t>
      </w:r>
      <w:r>
        <w:rPr>
          <w:rFonts w:hint="eastAsia" w:asciiTheme="minorEastAsia" w:hAnsiTheme="minorEastAsia" w:eastAsiaTheme="minorEastAsia"/>
          <w:color w:val="auto"/>
          <w:sz w:val="24"/>
          <w:highlight w:val="none"/>
        </w:rPr>
        <w:t>经采购人代表确认作为磋商文件的有效组成部分，</w:t>
      </w:r>
      <w:r>
        <w:rPr>
          <w:rFonts w:asciiTheme="minorEastAsia" w:hAnsiTheme="minorEastAsia" w:eastAsiaTheme="minorEastAsia"/>
          <w:color w:val="auto"/>
          <w:sz w:val="24"/>
          <w:highlight w:val="none"/>
        </w:rPr>
        <w:t>磋商小组</w:t>
      </w:r>
      <w:r>
        <w:rPr>
          <w:rFonts w:hint="eastAsia" w:asciiTheme="minorEastAsia" w:hAnsiTheme="minorEastAsia" w:eastAsiaTheme="minorEastAsia"/>
          <w:color w:val="auto"/>
          <w:sz w:val="24"/>
          <w:highlight w:val="none"/>
        </w:rPr>
        <w:t>将</w:t>
      </w:r>
      <w:r>
        <w:rPr>
          <w:rFonts w:asciiTheme="minorEastAsia" w:hAnsiTheme="minorEastAsia" w:eastAsiaTheme="minorEastAsia"/>
          <w:color w:val="auto"/>
          <w:sz w:val="24"/>
          <w:highlight w:val="none"/>
        </w:rPr>
        <w:t>以书面形式通知所有参加磋商的供应商。</w:t>
      </w:r>
    </w:p>
    <w:p w14:paraId="0DE0812F">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4.3磋商小组发现供应商的报价或者某些分项报价明显低于其他通过初审的供应商的报价，有可能影响产品质量和不能诚信履约的，应当要求其在合理的时间内提供书面说明，必要时提交相关证明材料；供应商不能证明其报价合理性的，其响应文件将被认定为</w:t>
      </w:r>
      <w:r>
        <w:rPr>
          <w:rFonts w:asciiTheme="minorEastAsia" w:hAnsiTheme="minorEastAsia" w:eastAsiaTheme="minorEastAsia"/>
          <w:b/>
          <w:color w:val="auto"/>
          <w:sz w:val="24"/>
          <w:highlight w:val="none"/>
        </w:rPr>
        <w:t>响应无效。</w:t>
      </w:r>
    </w:p>
    <w:p w14:paraId="4D007A1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.4.4</w:t>
      </w:r>
      <w:r>
        <w:rPr>
          <w:rFonts w:asciiTheme="minorEastAsia" w:hAnsiTheme="minorEastAsia" w:eastAsiaTheme="minorEastAsia"/>
          <w:color w:val="auto"/>
          <w:sz w:val="24"/>
          <w:highlight w:val="none"/>
        </w:rPr>
        <w:t>无论何种原因，即使供应商</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时携带了证书材料的原件，但响应文件中未提供与之内容完全一致的</w:t>
      </w:r>
      <w:r>
        <w:rPr>
          <w:rFonts w:hint="eastAsia" w:asciiTheme="minorEastAsia" w:hAnsiTheme="minorEastAsia" w:eastAsiaTheme="minorEastAsia"/>
          <w:color w:val="auto"/>
          <w:sz w:val="24"/>
          <w:highlight w:val="none"/>
        </w:rPr>
        <w:t>扫描件</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小组可以视同其未提供。</w:t>
      </w:r>
    </w:p>
    <w:p w14:paraId="5D65B55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.4.5磋商</w:t>
      </w:r>
      <w:r>
        <w:rPr>
          <w:rFonts w:asciiTheme="minorEastAsia" w:hAnsiTheme="minorEastAsia" w:eastAsiaTheme="minorEastAsia"/>
          <w:color w:val="auto"/>
          <w:sz w:val="24"/>
          <w:highlight w:val="none"/>
        </w:rPr>
        <w:t>小组决定响应文件的响应性及符合性只根据响应文件本身的内容，而不寻求其他外部证据。</w:t>
      </w:r>
    </w:p>
    <w:p w14:paraId="5E6E99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lang w:val="en-US" w:eastAsia="zh-CN"/>
        </w:rPr>
        <w:t>4</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供应商</w:t>
      </w:r>
      <w:r>
        <w:rPr>
          <w:rFonts w:hint="eastAsia" w:asciiTheme="minorEastAsia" w:hAnsiTheme="minorEastAsia" w:eastAsiaTheme="minorEastAsia"/>
          <w:color w:val="auto"/>
          <w:sz w:val="24"/>
          <w:highlight w:val="none"/>
        </w:rPr>
        <w:t>授权</w:t>
      </w:r>
      <w:r>
        <w:rPr>
          <w:rFonts w:asciiTheme="minorEastAsia" w:hAnsiTheme="minorEastAsia" w:eastAsiaTheme="minorEastAsia"/>
          <w:color w:val="auto"/>
          <w:sz w:val="24"/>
          <w:highlight w:val="none"/>
        </w:rPr>
        <w:t>代表对</w:t>
      </w:r>
      <w:r>
        <w:rPr>
          <w:rFonts w:hint="eastAsia" w:asciiTheme="minorEastAsia" w:hAnsiTheme="minorEastAsia" w:eastAsiaTheme="minorEastAsia"/>
          <w:color w:val="auto"/>
          <w:sz w:val="24"/>
          <w:highlight w:val="none"/>
        </w:rPr>
        <w:t>磋商过程</w:t>
      </w:r>
      <w:r>
        <w:rPr>
          <w:rFonts w:asciiTheme="minorEastAsia" w:hAnsiTheme="minorEastAsia" w:eastAsiaTheme="minorEastAsia"/>
          <w:color w:val="auto"/>
          <w:sz w:val="24"/>
          <w:highlight w:val="none"/>
        </w:rPr>
        <w:t>有疑义，以及认为采购人、采购代理机构相关工作人员有需要回避的情形的，应当场提出询问或者回避申请</w:t>
      </w:r>
      <w:r>
        <w:rPr>
          <w:rFonts w:hint="eastAsia" w:asciiTheme="minorEastAsia" w:hAnsiTheme="minorEastAsia" w:eastAsiaTheme="minorEastAsia"/>
          <w:color w:val="auto"/>
          <w:sz w:val="24"/>
          <w:highlight w:val="none"/>
        </w:rPr>
        <w:t>，并说明理由。</w:t>
      </w:r>
      <w:r>
        <w:rPr>
          <w:rFonts w:asciiTheme="minorEastAsia" w:hAnsiTheme="minorEastAsia" w:eastAsiaTheme="minorEastAsia"/>
          <w:color w:val="auto"/>
          <w:sz w:val="24"/>
          <w:highlight w:val="none"/>
        </w:rPr>
        <w:t xml:space="preserve"> </w:t>
      </w:r>
    </w:p>
    <w:p w14:paraId="35505352">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15</w:t>
      </w:r>
      <w:r>
        <w:rPr>
          <w:rFonts w:asciiTheme="minorEastAsia" w:hAnsiTheme="minorEastAsia" w:eastAsiaTheme="minorEastAsia"/>
          <w:b/>
          <w:color w:val="auto"/>
          <w:sz w:val="24"/>
          <w:highlight w:val="none"/>
        </w:rPr>
        <w:t>.终止竞争性磋商</w:t>
      </w:r>
    </w:p>
    <w:p w14:paraId="2764E0B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15</w:t>
      </w:r>
      <w:r>
        <w:rPr>
          <w:rFonts w:hint="eastAsia" w:asciiTheme="minorEastAsia" w:hAnsiTheme="minorEastAsia" w:eastAsiaTheme="minorEastAsia"/>
          <w:color w:val="auto"/>
          <w:sz w:val="24"/>
          <w:highlight w:val="none"/>
        </w:rPr>
        <w:t>.1出现下列情况之一时，采购人和采购代理机构有权宣布终止竞争性磋商采购，并将理由通知所有供应商：</w:t>
      </w:r>
    </w:p>
    <w:p w14:paraId="23DB7B0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（1）有效供应商数量不足，导致本次磋商缺乏竞争的；</w:t>
      </w:r>
    </w:p>
    <w:p w14:paraId="52F0D0B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（2）出现影响采购公正的违法、违规行为的；</w:t>
      </w:r>
    </w:p>
    <w:p w14:paraId="36976BA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（3）因重大变故，采购任务取消的；</w:t>
      </w:r>
    </w:p>
    <w:p w14:paraId="365A855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（4）政府采购法律法规规定的其他情形。</w:t>
      </w:r>
    </w:p>
    <w:p w14:paraId="232E8689">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16</w:t>
      </w:r>
      <w:r>
        <w:rPr>
          <w:rFonts w:asciiTheme="minorEastAsia" w:hAnsiTheme="minorEastAsia" w:eastAsiaTheme="minorEastAsia"/>
          <w:b/>
          <w:color w:val="auto"/>
          <w:sz w:val="24"/>
          <w:highlight w:val="none"/>
        </w:rPr>
        <w:t>.响应文件的澄清、说明或</w:t>
      </w:r>
      <w:r>
        <w:rPr>
          <w:rFonts w:hint="eastAsia" w:asciiTheme="minorEastAsia" w:hAnsiTheme="minorEastAsia" w:eastAsiaTheme="minorEastAsia"/>
          <w:b/>
          <w:color w:val="auto"/>
          <w:sz w:val="24"/>
          <w:highlight w:val="none"/>
        </w:rPr>
        <w:t>更正</w:t>
      </w:r>
    </w:p>
    <w:p w14:paraId="1D54F17E">
      <w:pPr>
        <w:spacing w:line="360" w:lineRule="auto"/>
        <w:ind w:firstLine="470" w:firstLineChars="196"/>
        <w:rPr>
          <w:color w:val="auto"/>
          <w:sz w:val="24"/>
          <w:highlight w:val="none"/>
        </w:rPr>
      </w:pPr>
      <w:r>
        <w:rPr>
          <w:rFonts w:hint="eastAsia"/>
          <w:color w:val="auto"/>
          <w:sz w:val="24"/>
          <w:highlight w:val="none"/>
          <w:lang w:val="en-US" w:eastAsia="zh-CN"/>
        </w:rPr>
        <w:t>16</w:t>
      </w:r>
      <w:r>
        <w:rPr>
          <w:rFonts w:hint="eastAsia"/>
          <w:color w:val="auto"/>
          <w:sz w:val="24"/>
          <w:highlight w:val="none"/>
        </w:rPr>
        <w:t>.1磋商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14:paraId="2FF848BC">
      <w:pPr>
        <w:spacing w:line="360" w:lineRule="auto"/>
        <w:ind w:firstLine="470" w:firstLineChars="196"/>
        <w:rPr>
          <w:color w:val="auto"/>
          <w:sz w:val="24"/>
          <w:highlight w:val="none"/>
        </w:rPr>
      </w:pPr>
      <w:r>
        <w:rPr>
          <w:rFonts w:hint="eastAsia"/>
          <w:color w:val="auto"/>
          <w:sz w:val="24"/>
          <w:highlight w:val="none"/>
          <w:lang w:val="en-US" w:eastAsia="zh-CN"/>
        </w:rPr>
        <w:t>16</w:t>
      </w:r>
      <w:r>
        <w:rPr>
          <w:rFonts w:hint="eastAsia"/>
          <w:color w:val="auto"/>
          <w:sz w:val="24"/>
          <w:highlight w:val="none"/>
        </w:rPr>
        <w:t>.2磋商小组要求供应商澄清、说明或者更正响应文件应当以书面形式（询标）作出。供应商的澄清、说明或者更正应当由法定代表人或其授权代表签字或者加盖公章</w:t>
      </w:r>
      <w:r>
        <w:rPr>
          <w:rFonts w:hint="eastAsia"/>
          <w:color w:val="auto"/>
          <w:sz w:val="24"/>
          <w:highlight w:val="none"/>
          <w:lang w:eastAsia="zh-CN"/>
        </w:rPr>
        <w:t>（</w:t>
      </w:r>
      <w:r>
        <w:rPr>
          <w:rFonts w:hint="eastAsia"/>
          <w:color w:val="auto"/>
          <w:sz w:val="24"/>
          <w:highlight w:val="none"/>
          <w:lang w:val="en-US" w:eastAsia="zh-CN"/>
        </w:rPr>
        <w:t>电子签章</w:t>
      </w:r>
      <w:r>
        <w:rPr>
          <w:rFonts w:hint="eastAsia"/>
          <w:color w:val="auto"/>
          <w:sz w:val="24"/>
          <w:highlight w:val="none"/>
          <w:lang w:eastAsia="zh-CN"/>
        </w:rPr>
        <w:t>）</w:t>
      </w:r>
      <w:r>
        <w:rPr>
          <w:rFonts w:hint="eastAsia"/>
          <w:color w:val="auto"/>
          <w:sz w:val="24"/>
          <w:highlight w:val="none"/>
        </w:rPr>
        <w:t>。</w:t>
      </w:r>
    </w:p>
    <w:p w14:paraId="39887891">
      <w:pPr>
        <w:spacing w:line="360" w:lineRule="auto"/>
        <w:ind w:firstLine="435"/>
        <w:rPr>
          <w:color w:val="auto"/>
          <w:sz w:val="24"/>
          <w:highlight w:val="none"/>
        </w:rPr>
      </w:pPr>
      <w:r>
        <w:rPr>
          <w:rFonts w:hint="eastAsia"/>
          <w:b/>
          <w:color w:val="auto"/>
          <w:sz w:val="24"/>
          <w:highlight w:val="none"/>
        </w:rPr>
        <w:t>如有询标，授权代表（或法定代表人）可通过远程登录的方式接受网上询标，也可凭本人有效身份证明参加询标。因授权代表联系不上</w:t>
      </w:r>
      <w:r>
        <w:rPr>
          <w:rFonts w:hint="eastAsia"/>
          <w:b/>
          <w:bCs/>
          <w:color w:val="auto"/>
          <w:sz w:val="24"/>
          <w:highlight w:val="none"/>
        </w:rPr>
        <w:t>、没有及时登录系统等情形</w:t>
      </w:r>
      <w:r>
        <w:rPr>
          <w:rFonts w:hint="eastAsia"/>
          <w:b/>
          <w:color w:val="auto"/>
          <w:sz w:val="24"/>
          <w:highlight w:val="none"/>
        </w:rPr>
        <w:t>而无法接受磋商小组询标的，供应商自行承担相关风险。</w:t>
      </w:r>
    </w:p>
    <w:p w14:paraId="3CE8FFAA">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17</w:t>
      </w:r>
      <w:r>
        <w:rPr>
          <w:rFonts w:asciiTheme="minorEastAsia" w:hAnsiTheme="minorEastAsia" w:eastAsiaTheme="minorEastAsia"/>
          <w:b/>
          <w:color w:val="auto"/>
          <w:sz w:val="24"/>
          <w:highlight w:val="none"/>
        </w:rPr>
        <w:t>.最后报价</w:t>
      </w:r>
    </w:p>
    <w:p w14:paraId="0A3C6D3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磋商并不限定只进行二轮报价，如果磋商小组认为有必要，可以要求供应商进行多轮报价。</w:t>
      </w:r>
    </w:p>
    <w:p w14:paraId="40F7991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在磋商内容不做实质性变更或重大调整的前提下，供应商下轮报价不得高于上一轮报价</w:t>
      </w:r>
      <w:r>
        <w:rPr>
          <w:rFonts w:hint="eastAsia" w:asciiTheme="minorEastAsia" w:hAnsiTheme="minorEastAsia" w:eastAsiaTheme="minorEastAsia"/>
          <w:color w:val="auto"/>
          <w:sz w:val="24"/>
          <w:highlight w:val="none"/>
        </w:rPr>
        <w:t>。</w:t>
      </w:r>
    </w:p>
    <w:p w14:paraId="0276BB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17</w:t>
      </w: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最后报价是供应商响应文件的有效组成部分，最后报价也是签订合同的依据。</w:t>
      </w:r>
    </w:p>
    <w:p w14:paraId="17CD3A31">
      <w:pPr>
        <w:spacing w:line="360" w:lineRule="auto"/>
        <w:ind w:firstLine="435"/>
        <w:rPr>
          <w:rFonts w:asciiTheme="majorEastAsia" w:hAnsiTheme="majorEastAsia" w:eastAsiaTheme="majorEastAsia"/>
          <w:color w:val="auto"/>
          <w:sz w:val="24"/>
          <w:highlight w:val="none"/>
        </w:rPr>
      </w:pPr>
      <w:bookmarkStart w:id="43" w:name="_Hlk60607655"/>
      <w:r>
        <w:rPr>
          <w:rFonts w:hint="eastAsia" w:asciiTheme="majorEastAsia" w:hAnsiTheme="majorEastAsia" w:eastAsiaTheme="majorEastAsia"/>
          <w:color w:val="auto"/>
          <w:sz w:val="24"/>
          <w:highlight w:val="none"/>
          <w:lang w:val="en-US" w:eastAsia="zh-CN"/>
        </w:rPr>
        <w:t>17</w:t>
      </w: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4</w:t>
      </w:r>
      <w:r>
        <w:rPr>
          <w:rFonts w:hint="eastAsia" w:asciiTheme="majorEastAsia" w:hAnsiTheme="majorEastAsia" w:eastAsiaTheme="majorEastAsia"/>
          <w:color w:val="auto"/>
          <w:sz w:val="24"/>
          <w:highlight w:val="none"/>
        </w:rPr>
        <w:t>根据《政府采购促进中小企业发展管理办法》（财库〔</w:t>
      </w:r>
      <w:r>
        <w:rPr>
          <w:rFonts w:asciiTheme="majorEastAsia" w:hAnsiTheme="majorEastAsia" w:eastAsiaTheme="majorEastAsia"/>
          <w:color w:val="auto"/>
          <w:sz w:val="24"/>
          <w:highlight w:val="none"/>
        </w:rPr>
        <w:t>2020〕46号</w:t>
      </w:r>
      <w:r>
        <w:rPr>
          <w:rFonts w:hint="eastAsia" w:asciiTheme="majorEastAsia" w:hAnsiTheme="majorEastAsia" w:eastAsiaTheme="majorEastAsia"/>
          <w:color w:val="auto"/>
          <w:sz w:val="24"/>
          <w:highlight w:val="none"/>
        </w:rPr>
        <w:t>）、《三部门联合发布关于促进残疾人就业政府采购政策的通知》（财库〔2017〕141号）和《</w:t>
      </w:r>
      <w:r>
        <w:rPr>
          <w:rFonts w:asciiTheme="majorEastAsia" w:hAnsiTheme="majorEastAsia" w:eastAsiaTheme="majorEastAsia"/>
          <w:color w:val="auto"/>
          <w:sz w:val="24"/>
          <w:highlight w:val="none"/>
        </w:rPr>
        <w:t>财政部司法部关于政府采购支持监狱企业发展有关问题的通知</w:t>
      </w:r>
      <w:r>
        <w:rPr>
          <w:rFonts w:hint="eastAsia" w:asciiTheme="majorEastAsia" w:hAnsiTheme="majorEastAsia" w:eastAsiaTheme="majorEastAsia"/>
          <w:color w:val="auto"/>
          <w:sz w:val="24"/>
          <w:highlight w:val="none"/>
        </w:rPr>
        <w:t>》（财库〔2014〕68号）的规定，对满足价格扣除条件且在响应文件中提交了</w:t>
      </w:r>
      <w:r>
        <w:rPr>
          <w:rFonts w:asciiTheme="majorEastAsia" w:hAnsiTheme="majorEastAsia" w:eastAsiaTheme="majorEastAsia"/>
          <w:color w:val="auto"/>
          <w:sz w:val="24"/>
          <w:highlight w:val="none"/>
        </w:rPr>
        <w:t>《中小企业声明函》</w:t>
      </w:r>
      <w:r>
        <w:rPr>
          <w:rFonts w:hint="eastAsia" w:asciiTheme="majorEastAsia" w:hAnsiTheme="majorEastAsia" w:eastAsiaTheme="majorEastAsia"/>
          <w:color w:val="auto"/>
          <w:sz w:val="24"/>
          <w:highlight w:val="none"/>
        </w:rPr>
        <w:t>、</w:t>
      </w:r>
      <w:r>
        <w:rPr>
          <w:rFonts w:asciiTheme="majorEastAsia" w:hAnsiTheme="majorEastAsia" w:eastAsiaTheme="majorEastAsia"/>
          <w:color w:val="auto"/>
          <w:sz w:val="24"/>
          <w:highlight w:val="none"/>
        </w:rPr>
        <w:t>《残疾人福利性单位声明函》</w:t>
      </w:r>
      <w:r>
        <w:rPr>
          <w:rFonts w:hint="eastAsia" w:asciiTheme="majorEastAsia" w:hAnsiTheme="majorEastAsia" w:eastAsiaTheme="majorEastAsia"/>
          <w:color w:val="auto"/>
          <w:sz w:val="24"/>
          <w:highlight w:val="none"/>
        </w:rPr>
        <w:t>或省级以上监狱管理局、戒毒管理局（含新疆生产建设兵团）出具的属于监狱企业的证明文件的供应商，其最后报价按照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中规定的标准扣除后的价格参与评审。对于同时属于小微企业、监狱企业或残疾人福利性单位的，不重复进行最后报价扣除。</w:t>
      </w:r>
    </w:p>
    <w:p w14:paraId="10582690">
      <w:pPr>
        <w:spacing w:line="360" w:lineRule="auto"/>
        <w:ind w:firstLine="435"/>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Theme="majorEastAsia" w:hAnsiTheme="majorEastAsia" w:eastAsiaTheme="majorEastAsia"/>
          <w:color w:val="auto"/>
          <w:sz w:val="24"/>
          <w:highlight w:val="none"/>
        </w:rPr>
        <w:t>30%以上的，可给予联合体或者大中型企业的</w:t>
      </w:r>
      <w:r>
        <w:rPr>
          <w:rFonts w:hint="eastAsia" w:asciiTheme="majorEastAsia" w:hAnsiTheme="majorEastAsia" w:eastAsiaTheme="majorEastAsia"/>
          <w:color w:val="auto"/>
          <w:sz w:val="24"/>
          <w:highlight w:val="none"/>
        </w:rPr>
        <w:t>最后报价按照</w:t>
      </w:r>
      <w:r>
        <w:rPr>
          <w:rFonts w:hint="eastAsia" w:asciiTheme="majorEastAsia" w:hAnsiTheme="majorEastAsia" w:eastAsiaTheme="majorEastAsia"/>
          <w:color w:val="auto"/>
          <w:sz w:val="24"/>
          <w:highlight w:val="none"/>
          <w:u w:val="single"/>
        </w:rPr>
        <w:t>供应商须知前附表</w:t>
      </w:r>
      <w:r>
        <w:rPr>
          <w:rFonts w:hint="eastAsia" w:asciiTheme="majorEastAsia" w:hAnsiTheme="majorEastAsia" w:eastAsiaTheme="majorEastAsia"/>
          <w:color w:val="auto"/>
          <w:sz w:val="24"/>
          <w:highlight w:val="none"/>
        </w:rPr>
        <w:t>中规定的标准扣除后的价格参与评审</w:t>
      </w:r>
      <w:r>
        <w:rPr>
          <w:rFonts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组成联合体或者接受分包的小微企业与联合体内其他企业、分包企业之间存在直接控股、管理关系的，不享受价格扣除优惠政策。</w:t>
      </w:r>
    </w:p>
    <w:p w14:paraId="5209B945">
      <w:pPr>
        <w:spacing w:line="360" w:lineRule="auto"/>
        <w:ind w:firstLine="435"/>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以联合体形式参加政府采购活动，联合体各方均为中小企业的，联合体视同中小企业。其中，联合体各方均为小微企业的，联合体视同小微企业。</w:t>
      </w:r>
      <w:bookmarkEnd w:id="43"/>
    </w:p>
    <w:p w14:paraId="59CAAEBC">
      <w:pPr>
        <w:spacing w:line="360" w:lineRule="auto"/>
        <w:ind w:firstLine="435"/>
        <w:rPr>
          <w:rFonts w:cs="@仿宋_GB2312"/>
          <w:color w:val="auto"/>
          <w:kern w:val="2"/>
          <w:sz w:val="24"/>
          <w:szCs w:val="22"/>
          <w:highlight w:val="none"/>
        </w:rPr>
      </w:pPr>
      <w:r>
        <w:rPr>
          <w:rFonts w:hint="eastAsia" w:cs="@仿宋_GB2312"/>
          <w:color w:val="auto"/>
          <w:kern w:val="2"/>
          <w:sz w:val="24"/>
          <w:szCs w:val="22"/>
          <w:highlight w:val="none"/>
          <w:lang w:val="en-US" w:eastAsia="zh-CN"/>
        </w:rPr>
        <w:t>17</w:t>
      </w:r>
      <w:r>
        <w:rPr>
          <w:rFonts w:hint="eastAsia" w:cs="@仿宋_GB2312"/>
          <w:color w:val="auto"/>
          <w:kern w:val="2"/>
          <w:sz w:val="24"/>
          <w:szCs w:val="22"/>
          <w:highlight w:val="none"/>
        </w:rPr>
        <w:t>.</w:t>
      </w:r>
      <w:r>
        <w:rPr>
          <w:rFonts w:hint="eastAsia" w:cs="@仿宋_GB2312"/>
          <w:color w:val="auto"/>
          <w:kern w:val="2"/>
          <w:sz w:val="24"/>
          <w:szCs w:val="22"/>
          <w:highlight w:val="none"/>
          <w:lang w:val="en-US" w:eastAsia="zh-CN"/>
        </w:rPr>
        <w:t>5</w:t>
      </w:r>
      <w:r>
        <w:rPr>
          <w:rFonts w:hint="eastAsia" w:cs="@仿宋_GB2312"/>
          <w:color w:val="auto"/>
          <w:kern w:val="2"/>
          <w:sz w:val="24"/>
          <w:szCs w:val="22"/>
          <w:highlight w:val="none"/>
        </w:rPr>
        <w:t>供应商应当按照企业定额或项目所在地最新建设工程计价依据以及材料市场价格信息等，结合自身实力、施工经验、现场环境以及磋商文件的要求自主报价。</w:t>
      </w:r>
    </w:p>
    <w:p w14:paraId="252F1A5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hint="eastAsia"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6</w:t>
      </w:r>
      <w:r>
        <w:rPr>
          <w:rFonts w:hint="eastAsia" w:cs="@仿宋_GB2312" w:asciiTheme="minorEastAsia" w:hAnsiTheme="minorEastAsia" w:eastAsiaTheme="minorEastAsia"/>
          <w:color w:val="auto"/>
          <w:kern w:val="2"/>
          <w:sz w:val="24"/>
          <w:highlight w:val="none"/>
        </w:rPr>
        <w:t>除非采购人对磋商文件予以澄清、修改，否则供应商应按采购人提供的工程量清单中列出的工程项目和工程量逐项填报综合单价和合价。供应商不得在工程量清单中任意增删、修改清单项目与工程量及项目排列顺序。</w:t>
      </w:r>
    </w:p>
    <w:p w14:paraId="0A5555CF">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7</w:t>
      </w:r>
      <w:r>
        <w:rPr>
          <w:rFonts w:hint="eastAsia" w:cs="@仿宋_GB2312" w:asciiTheme="minorEastAsia" w:hAnsiTheme="minorEastAsia" w:eastAsiaTheme="minorEastAsia"/>
          <w:color w:val="auto"/>
          <w:kern w:val="2"/>
          <w:sz w:val="24"/>
          <w:highlight w:val="none"/>
        </w:rPr>
        <w:t>除非合同中另有规定，供应商在工程量清单报价书中所报的价格包括完成磋商文件规定的全部工程内容及为达到质量和工期目标、安全文明、环境保护等要求的分部分项工程费，措施项目费，不可竞争费，其他项目费，税金等所有费用。为满足工程建设标准和技术规范要求所发生的费用应包括在报价中。报价为供应商在响应文件中提出的各项支付金额的总和。每一清单项目只允许有一个报价，任何有选择的报价将不予接受。供应商未填综合单价或合价的清单项目，将被视为该项费用已包括在其他有价款的综合单价或合价以及总价内，供应商必须按合同要求完成工程量清单中未填综合单价或合价的工程项目，任何与未填综合单价或合价的工程项目有关的工程价款，采购人将不再另行支付。</w:t>
      </w:r>
    </w:p>
    <w:p w14:paraId="5F26D236">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w:t>
      </w:r>
      <w:r>
        <w:rPr>
          <w:rFonts w:hint="eastAsia"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8</w:t>
      </w:r>
      <w:r>
        <w:rPr>
          <w:rFonts w:hint="eastAsia" w:cs="@仿宋_GB2312" w:asciiTheme="minorEastAsia" w:hAnsiTheme="minorEastAsia" w:eastAsiaTheme="minorEastAsia"/>
          <w:color w:val="auto"/>
          <w:kern w:val="2"/>
          <w:sz w:val="24"/>
          <w:highlight w:val="none"/>
        </w:rPr>
        <w:t>本项目的施工地点为本须知前附表所述，供应商可到施工现场踏勘以充分了解工地位置、情况、道路、储存空间、装卸限制及任何其它足以影响磋商报价的情况，任何因忽视或误解施工场地情况而导致的索赔或工期延长申请将不被批准。对于受施工现场场地限制，如需要另外寻找场地解决临时住宿、材料及设备堆放，由此所产生的费用应包含在磋商报价范围内，采购人不再承担该费用。</w:t>
      </w:r>
    </w:p>
    <w:p w14:paraId="54A0C790">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工程造价的确定与控制</w:t>
      </w:r>
    </w:p>
    <w:p w14:paraId="23EA16E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.1本工程确定成交供应商后，工程总造价在磋商范围内包定，除经批准的设计变更、经济签证外，其它工程造价增减均不予签证计价。</w:t>
      </w:r>
    </w:p>
    <w:p w14:paraId="02096CF1">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hint="eastAsia" w:cs="@仿宋_GB2312" w:asciiTheme="minorEastAsia" w:hAnsiTheme="minorEastAsia" w:eastAsiaTheme="minorEastAsia"/>
          <w:color w:val="auto"/>
          <w:kern w:val="2"/>
          <w:sz w:val="24"/>
          <w:highlight w:val="none"/>
        </w:rPr>
        <w:t>.2磋商前，供应商应认真对照施工设计图纸等文件核对采购人提供的工程量清单，发现工程量存在项目划分误差、计量单位误差、数量误差、遗漏项目的，必须在网上询问截止时间前向采购人提出疑问，否则采购人可不予答复。</w:t>
      </w:r>
    </w:p>
    <w:p w14:paraId="71A57EAD">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3</w:t>
      </w:r>
      <w:r>
        <w:rPr>
          <w:rFonts w:hint="eastAsia" w:ascii="宋体" w:hAnsi="宋体" w:eastAsia="宋体" w:cs="宋体"/>
          <w:b w:val="0"/>
          <w:bCs w:val="0"/>
          <w:color w:val="auto"/>
          <w:kern w:val="2"/>
          <w:sz w:val="24"/>
          <w:szCs w:val="24"/>
          <w:highlight w:val="none"/>
        </w:rPr>
        <w:t>采购人对疑问应进行核实，确认工程量单项子目误差在±3%（含±3%）以内的，采购人可不予调整工程量，供应商应将其误差考虑在综合单价内；若有遗漏项目或单项子目工程量误差超过±3%的，采购人应进行修正并重新公布准确的工程量清单。</w:t>
      </w:r>
    </w:p>
    <w:p w14:paraId="47EAB672">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17.9</w:t>
      </w:r>
      <w:r>
        <w:rPr>
          <w:rFonts w:cs="@仿宋_GB2312" w:asciiTheme="minorEastAsia" w:hAnsiTheme="minorEastAsia" w:eastAsiaTheme="minorEastAsia"/>
          <w:color w:val="auto"/>
          <w:kern w:val="2"/>
          <w:sz w:val="24"/>
          <w:highlight w:val="none"/>
        </w:rPr>
        <w:t>.</w:t>
      </w:r>
      <w:r>
        <w:rPr>
          <w:rFonts w:hint="eastAsia" w:cs="@仿宋_GB2312" w:asciiTheme="minorEastAsia" w:hAnsiTheme="minorEastAsia" w:eastAsiaTheme="minorEastAsia"/>
          <w:color w:val="auto"/>
          <w:kern w:val="2"/>
          <w:sz w:val="24"/>
          <w:highlight w:val="none"/>
          <w:lang w:val="en-US" w:eastAsia="zh-CN"/>
        </w:rPr>
        <w:t>4</w:t>
      </w:r>
      <w:r>
        <w:rPr>
          <w:rFonts w:hint="eastAsia" w:cs="@仿宋_GB2312" w:asciiTheme="minorEastAsia" w:hAnsiTheme="minorEastAsia" w:eastAsiaTheme="minorEastAsia"/>
          <w:color w:val="auto"/>
          <w:kern w:val="2"/>
          <w:sz w:val="24"/>
          <w:highlight w:val="none"/>
        </w:rPr>
        <w:t>供应商在规定时间内未对工程量清单提出疑问的，成交后，采购人不再对工程量清单的项目和数量进行校对调整。供应商必须按其报价完成竞争性磋商文件规定范围内的设计图纸规定的所有工程项目。</w:t>
      </w:r>
    </w:p>
    <w:p w14:paraId="6D38B869">
      <w:pPr>
        <w:spacing w:line="360" w:lineRule="auto"/>
        <w:ind w:firstLine="435"/>
        <w:rPr>
          <w:rFonts w:cs="@仿宋_GB2312" w:asciiTheme="minorEastAsia" w:hAnsiTheme="minorEastAsia" w:eastAsiaTheme="minorEastAsia"/>
          <w:color w:val="auto"/>
          <w:kern w:val="2"/>
          <w:sz w:val="24"/>
          <w:highlight w:val="none"/>
        </w:rPr>
      </w:pPr>
      <w:r>
        <w:rPr>
          <w:rFonts w:hint="eastAsia" w:cs="@仿宋_GB2312" w:asciiTheme="minorEastAsia" w:hAnsiTheme="minorEastAsia" w:eastAsiaTheme="minorEastAsia"/>
          <w:color w:val="auto"/>
          <w:kern w:val="2"/>
          <w:sz w:val="24"/>
          <w:highlight w:val="none"/>
          <w:lang w:val="en-US" w:eastAsia="zh-CN"/>
        </w:rPr>
        <w:t>17.10</w:t>
      </w:r>
      <w:r>
        <w:rPr>
          <w:rFonts w:hint="eastAsia" w:cs="@仿宋_GB2312" w:asciiTheme="minorEastAsia" w:hAnsiTheme="minorEastAsia" w:eastAsiaTheme="minorEastAsia"/>
          <w:color w:val="auto"/>
          <w:kern w:val="2"/>
          <w:sz w:val="24"/>
          <w:highlight w:val="none"/>
        </w:rPr>
        <w:t>成交供应商在工程量清单报价书中所报的综合单价一律不予调整。</w:t>
      </w:r>
    </w:p>
    <w:p w14:paraId="024D3752">
      <w:pPr>
        <w:spacing w:line="360" w:lineRule="auto"/>
        <w:ind w:firstLine="435"/>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2"/>
          <w:sz w:val="24"/>
          <w:highlight w:val="none"/>
          <w:lang w:val="en-US" w:eastAsia="zh-CN"/>
        </w:rPr>
        <w:t>17.11</w:t>
      </w:r>
      <w:r>
        <w:rPr>
          <w:rFonts w:hint="eastAsia" w:cs="@仿宋_GB2312" w:asciiTheme="minorEastAsia" w:hAnsiTheme="minorEastAsia" w:eastAsiaTheme="minorEastAsia"/>
          <w:color w:val="auto"/>
          <w:kern w:val="2"/>
          <w:sz w:val="24"/>
          <w:highlight w:val="none"/>
        </w:rPr>
        <w:t>本工程不接受恶意不平衡报价，不保证最低价成交。</w:t>
      </w:r>
    </w:p>
    <w:p w14:paraId="04BCB066">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18</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成交候选供应商的推荐原则及标准</w:t>
      </w:r>
    </w:p>
    <w:p w14:paraId="40EBA71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18</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磋商小组</w:t>
      </w:r>
      <w:r>
        <w:rPr>
          <w:rFonts w:asciiTheme="minorEastAsia" w:hAnsiTheme="minorEastAsia" w:eastAsiaTheme="minorEastAsia"/>
          <w:color w:val="auto"/>
          <w:sz w:val="24"/>
          <w:highlight w:val="none"/>
        </w:rPr>
        <w:t>依据本项目</w:t>
      </w:r>
      <w:r>
        <w:rPr>
          <w:rFonts w:hint="eastAsia" w:asciiTheme="minorEastAsia" w:hAnsiTheme="minorEastAsia" w:eastAsiaTheme="minorEastAsia"/>
          <w:color w:val="auto"/>
          <w:sz w:val="24"/>
          <w:highlight w:val="none"/>
        </w:rPr>
        <w:t>磋商</w:t>
      </w:r>
      <w:r>
        <w:rPr>
          <w:rFonts w:asciiTheme="minorEastAsia" w:hAnsiTheme="minorEastAsia" w:eastAsiaTheme="minorEastAsia"/>
          <w:color w:val="auto"/>
          <w:sz w:val="24"/>
          <w:highlight w:val="none"/>
        </w:rPr>
        <w:t>文件所约定的</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方法</w:t>
      </w:r>
      <w:r>
        <w:rPr>
          <w:rFonts w:hint="eastAsia" w:asciiTheme="minorEastAsia" w:hAnsiTheme="minorEastAsia" w:eastAsiaTheme="minorEastAsia"/>
          <w:color w:val="auto"/>
          <w:sz w:val="24"/>
          <w:highlight w:val="none"/>
        </w:rPr>
        <w:t>和标准</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按照有效供应商综合总得分由高到低依次推荐成交候选供应商。综合总得分出现两家或两家以上相同者，按最后报价由低到高排序推荐成交候选供应商；综合总得分且最后报价均相同的，由磋商小组按照技术指标优劣顺序推荐成交候选供应商。</w:t>
      </w:r>
    </w:p>
    <w:p w14:paraId="24F9A07F">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19</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确定成交候选供应商和成交供应商</w:t>
      </w:r>
    </w:p>
    <w:p w14:paraId="3D040253">
      <w:pPr>
        <w:spacing w:line="360" w:lineRule="auto"/>
        <w:ind w:firstLine="470" w:firstLineChars="196"/>
        <w:rPr>
          <w:color w:val="auto"/>
          <w:sz w:val="24"/>
          <w:highlight w:val="none"/>
        </w:rPr>
      </w:pPr>
      <w:r>
        <w:rPr>
          <w:rFonts w:hint="eastAsia"/>
          <w:color w:val="auto"/>
          <w:sz w:val="24"/>
          <w:highlight w:val="none"/>
          <w:lang w:val="en-US" w:eastAsia="zh-CN"/>
        </w:rPr>
        <w:t>19</w:t>
      </w:r>
      <w:r>
        <w:rPr>
          <w:rFonts w:hint="eastAsia"/>
          <w:color w:val="auto"/>
          <w:sz w:val="24"/>
          <w:highlight w:val="none"/>
        </w:rPr>
        <w:t>.1磋商小组根据综合评分的结果和</w:t>
      </w:r>
      <w:r>
        <w:rPr>
          <w:rFonts w:hint="eastAsia" w:asciiTheme="minorEastAsia" w:hAnsiTheme="minorEastAsia" w:eastAsiaTheme="minorEastAsia"/>
          <w:color w:val="auto"/>
          <w:sz w:val="24"/>
          <w:highlight w:val="none"/>
          <w:u w:val="single"/>
        </w:rPr>
        <w:t>供应商</w:t>
      </w:r>
      <w:r>
        <w:rPr>
          <w:rFonts w:asciiTheme="minorEastAsia" w:hAnsiTheme="minorEastAsia" w:eastAsiaTheme="minorEastAsia"/>
          <w:color w:val="auto"/>
          <w:sz w:val="24"/>
          <w:highlight w:val="none"/>
          <w:u w:val="single"/>
        </w:rPr>
        <w:t>须知前附表</w:t>
      </w:r>
      <w:r>
        <w:rPr>
          <w:rFonts w:asciiTheme="minorEastAsia" w:hAnsiTheme="minorEastAsia" w:eastAsiaTheme="minorEastAsia"/>
          <w:color w:val="auto"/>
          <w:sz w:val="24"/>
          <w:highlight w:val="none"/>
        </w:rPr>
        <w:t>中规定</w:t>
      </w:r>
      <w:r>
        <w:rPr>
          <w:rFonts w:hint="eastAsia"/>
          <w:color w:val="auto"/>
          <w:sz w:val="24"/>
          <w:highlight w:val="none"/>
        </w:rPr>
        <w:t>确定成交候选供应商，并标明排列顺序。</w:t>
      </w:r>
      <w:r>
        <w:rPr>
          <w:rFonts w:hint="eastAsia" w:asciiTheme="minorEastAsia" w:hAnsiTheme="minorEastAsia" w:eastAsiaTheme="minorEastAsia"/>
          <w:color w:val="auto"/>
          <w:sz w:val="24"/>
          <w:highlight w:val="none"/>
        </w:rPr>
        <w:t>按</w:t>
      </w:r>
      <w:r>
        <w:rPr>
          <w:rFonts w:hint="eastAsia" w:asciiTheme="minorEastAsia" w:hAnsiTheme="minorEastAsia" w:eastAsiaTheme="minorEastAsia"/>
          <w:color w:val="auto"/>
          <w:sz w:val="24"/>
          <w:highlight w:val="none"/>
          <w:u w:val="single"/>
          <w:lang w:val="en-US" w:eastAsia="zh-CN"/>
        </w:rPr>
        <w:t>供应商</w:t>
      </w:r>
      <w:r>
        <w:rPr>
          <w:rFonts w:asciiTheme="minorEastAsia" w:hAnsiTheme="minorEastAsia" w:eastAsiaTheme="minorEastAsia"/>
          <w:color w:val="auto"/>
          <w:sz w:val="24"/>
          <w:highlight w:val="none"/>
          <w:u w:val="single"/>
        </w:rPr>
        <w:t>须知前附表</w:t>
      </w:r>
      <w:r>
        <w:rPr>
          <w:rFonts w:hint="eastAsia" w:asciiTheme="minorEastAsia" w:hAnsiTheme="minorEastAsia" w:eastAsiaTheme="minorEastAsia"/>
          <w:color w:val="auto"/>
          <w:sz w:val="24"/>
          <w:highlight w:val="none"/>
        </w:rPr>
        <w:t>中规定，</w:t>
      </w:r>
      <w:r>
        <w:rPr>
          <w:rFonts w:asciiTheme="minorEastAsia" w:hAnsiTheme="minorEastAsia" w:eastAsiaTheme="minorEastAsia"/>
          <w:color w:val="auto"/>
          <w:sz w:val="24"/>
          <w:highlight w:val="none"/>
        </w:rPr>
        <w:t>由</w:t>
      </w:r>
      <w:r>
        <w:rPr>
          <w:rFonts w:hint="eastAsia" w:asciiTheme="minorEastAsia" w:hAnsiTheme="minorEastAsia" w:eastAsiaTheme="minorEastAsia"/>
          <w:color w:val="auto"/>
          <w:sz w:val="24"/>
          <w:highlight w:val="none"/>
          <w:lang w:val="en-US" w:eastAsia="zh-CN"/>
        </w:rPr>
        <w:t>磋商小组</w:t>
      </w:r>
      <w:r>
        <w:rPr>
          <w:rFonts w:asciiTheme="minorEastAsia" w:hAnsiTheme="minorEastAsia" w:eastAsiaTheme="minorEastAsia"/>
          <w:color w:val="auto"/>
          <w:sz w:val="24"/>
          <w:highlight w:val="none"/>
        </w:rPr>
        <w:t>或采购人确定</w:t>
      </w:r>
      <w:r>
        <w:rPr>
          <w:rFonts w:hint="eastAsia" w:asciiTheme="minorEastAsia" w:hAnsiTheme="minorEastAsia" w:eastAsiaTheme="minorEastAsia"/>
          <w:color w:val="auto"/>
          <w:sz w:val="24"/>
          <w:highlight w:val="none"/>
          <w:lang w:val="en-US" w:eastAsia="zh-CN"/>
        </w:rPr>
        <w:t>成交供应商</w:t>
      </w:r>
      <w:r>
        <w:rPr>
          <w:rFonts w:asciiTheme="minorEastAsia" w:hAnsiTheme="minorEastAsia" w:eastAsiaTheme="minorEastAsia"/>
          <w:color w:val="auto"/>
          <w:sz w:val="24"/>
          <w:highlight w:val="none"/>
        </w:rPr>
        <w:t>。</w:t>
      </w:r>
    </w:p>
    <w:p w14:paraId="46785F73">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20</w:t>
      </w:r>
      <w:r>
        <w:rPr>
          <w:rFonts w:asciiTheme="minorEastAsia" w:hAnsiTheme="minorEastAsia" w:eastAsiaTheme="minorEastAsia"/>
          <w:b/>
          <w:color w:val="auto"/>
          <w:sz w:val="24"/>
          <w:highlight w:val="none"/>
        </w:rPr>
        <w:t>.编写评审报告</w:t>
      </w:r>
    </w:p>
    <w:p w14:paraId="3A394EB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20</w:t>
      </w:r>
      <w:r>
        <w:rPr>
          <w:rFonts w:hint="eastAsia" w:asciiTheme="minorEastAsia" w:hAnsiTheme="minorEastAsia" w:eastAsiaTheme="minorEastAsia"/>
          <w:color w:val="auto"/>
          <w:sz w:val="24"/>
          <w:highlight w:val="none"/>
        </w:rPr>
        <w:t>.1评审报告是根据全体磋商小组成员签字的原始评审记录和评审结果编写的报告，评审报告由磋商小组全体成员签字。对评审结论持有异议的磋商小组成员可以书面方式阐述其不同意见和理由。磋商小组成员拒绝在评审报告上签字且不陈述其不同意见和理由的，视为同意评审结论。</w:t>
      </w:r>
    </w:p>
    <w:p w14:paraId="4095E4CB">
      <w:pPr>
        <w:spacing w:line="360" w:lineRule="auto"/>
        <w:ind w:firstLine="437"/>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1</w:t>
      </w:r>
      <w:r>
        <w:rPr>
          <w:rFonts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rPr>
        <w:t>保密要求</w:t>
      </w:r>
    </w:p>
    <w:p w14:paraId="5EA1015B">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1</w:t>
      </w:r>
      <w:r>
        <w:rPr>
          <w:rFonts w:hint="eastAsia"/>
          <w:color w:val="auto"/>
          <w:sz w:val="24"/>
          <w:highlight w:val="none"/>
        </w:rPr>
        <w:t>.1评审将在严格保密的情况下进行。</w:t>
      </w:r>
    </w:p>
    <w:p w14:paraId="53E17968">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1</w:t>
      </w:r>
      <w:r>
        <w:rPr>
          <w:rFonts w:hint="eastAsia"/>
          <w:color w:val="auto"/>
          <w:sz w:val="24"/>
          <w:highlight w:val="none"/>
        </w:rPr>
        <w:t>.2有关人员</w:t>
      </w:r>
      <w:r>
        <w:rPr>
          <w:color w:val="auto"/>
          <w:sz w:val="24"/>
          <w:highlight w:val="none"/>
        </w:rPr>
        <w:t>应当</w:t>
      </w:r>
      <w:r>
        <w:rPr>
          <w:rFonts w:hint="eastAsia"/>
          <w:color w:val="auto"/>
          <w:sz w:val="24"/>
          <w:highlight w:val="none"/>
        </w:rPr>
        <w:t>遵</w:t>
      </w:r>
      <w:r>
        <w:rPr>
          <w:color w:val="auto"/>
          <w:sz w:val="24"/>
          <w:highlight w:val="none"/>
        </w:rPr>
        <w:t>守</w:t>
      </w:r>
      <w:r>
        <w:rPr>
          <w:rFonts w:hint="eastAsia"/>
          <w:color w:val="auto"/>
          <w:sz w:val="24"/>
          <w:highlight w:val="none"/>
        </w:rPr>
        <w:t>评审</w:t>
      </w:r>
      <w:r>
        <w:rPr>
          <w:color w:val="auto"/>
          <w:sz w:val="24"/>
          <w:highlight w:val="none"/>
        </w:rPr>
        <w:t>工作纪律，不得</w:t>
      </w:r>
      <w:r>
        <w:rPr>
          <w:rFonts w:hint="eastAsia"/>
          <w:color w:val="auto"/>
          <w:sz w:val="24"/>
          <w:highlight w:val="none"/>
        </w:rPr>
        <w:t>泄露评审文件</w:t>
      </w:r>
      <w:r>
        <w:rPr>
          <w:color w:val="auto"/>
          <w:sz w:val="24"/>
          <w:highlight w:val="none"/>
        </w:rPr>
        <w:t>、</w:t>
      </w:r>
      <w:r>
        <w:rPr>
          <w:rFonts w:hint="eastAsia"/>
          <w:color w:val="auto"/>
          <w:sz w:val="24"/>
          <w:highlight w:val="none"/>
        </w:rPr>
        <w:t>评审</w:t>
      </w:r>
      <w:r>
        <w:rPr>
          <w:color w:val="auto"/>
          <w:sz w:val="24"/>
          <w:highlight w:val="none"/>
        </w:rPr>
        <w:t>情况和</w:t>
      </w:r>
      <w:r>
        <w:rPr>
          <w:rFonts w:hint="eastAsia"/>
          <w:color w:val="auto"/>
          <w:sz w:val="24"/>
          <w:highlight w:val="none"/>
        </w:rPr>
        <w:t>评审</w:t>
      </w:r>
      <w:r>
        <w:rPr>
          <w:color w:val="auto"/>
          <w:sz w:val="24"/>
          <w:highlight w:val="none"/>
        </w:rPr>
        <w:t>中获悉的</w:t>
      </w:r>
      <w:r>
        <w:rPr>
          <w:rFonts w:hint="eastAsia"/>
          <w:color w:val="auto"/>
          <w:sz w:val="24"/>
          <w:highlight w:val="none"/>
        </w:rPr>
        <w:t>国家秘密、</w:t>
      </w:r>
      <w:r>
        <w:rPr>
          <w:color w:val="auto"/>
          <w:sz w:val="24"/>
          <w:highlight w:val="none"/>
        </w:rPr>
        <w:t>商业秘密。</w:t>
      </w:r>
    </w:p>
    <w:p w14:paraId="3B146C16">
      <w:pPr>
        <w:spacing w:line="360" w:lineRule="auto"/>
        <w:ind w:firstLine="437"/>
        <w:outlineLvl w:val="2"/>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2</w:t>
      </w:r>
      <w:r>
        <w:rPr>
          <w:rFonts w:hint="eastAsia" w:asciiTheme="minorEastAsia" w:hAnsiTheme="minorEastAsia" w:eastAsiaTheme="minorEastAsia"/>
          <w:b/>
          <w:color w:val="auto"/>
          <w:sz w:val="24"/>
          <w:highlight w:val="none"/>
          <w:lang w:val="en-US" w:eastAsia="zh-CN"/>
        </w:rPr>
        <w:t>2</w:t>
      </w:r>
      <w:r>
        <w:rPr>
          <w:rFonts w:asciiTheme="minorEastAsia" w:hAnsiTheme="minorEastAsia" w:eastAsiaTheme="minorEastAsia"/>
          <w:b/>
          <w:color w:val="auto"/>
          <w:sz w:val="24"/>
          <w:highlight w:val="none"/>
        </w:rPr>
        <w:t>.成交结果公告</w:t>
      </w:r>
    </w:p>
    <w:p w14:paraId="7E9915F3">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.1为体现“公开、公平、公正”的原则，磋商结束后，</w:t>
      </w:r>
      <w:r>
        <w:rPr>
          <w:rFonts w:hint="eastAsia" w:asciiTheme="minorEastAsia" w:hAnsiTheme="minorEastAsia" w:eastAsiaTheme="minorEastAsia"/>
          <w:color w:val="auto"/>
          <w:sz w:val="24"/>
          <w:highlight w:val="none"/>
        </w:rPr>
        <w:t>采购代理机构将</w:t>
      </w:r>
      <w:r>
        <w:rPr>
          <w:rFonts w:hint="eastAsia"/>
          <w:color w:val="auto"/>
          <w:sz w:val="24"/>
          <w:szCs w:val="18"/>
          <w:highlight w:val="none"/>
        </w:rPr>
        <w:t>在安徽省政府采购网（www.ccgp-anhui.gov.cn）上</w:t>
      </w:r>
      <w:r>
        <w:rPr>
          <w:rFonts w:asciiTheme="minorEastAsia" w:hAnsiTheme="minorEastAsia" w:eastAsiaTheme="minorEastAsia"/>
          <w:color w:val="auto"/>
          <w:sz w:val="24"/>
          <w:highlight w:val="none"/>
        </w:rPr>
        <w:t>发布成交结果公告。</w:t>
      </w:r>
    </w:p>
    <w:p w14:paraId="4987082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lang w:val="en-US" w:eastAsia="zh-CN"/>
        </w:rPr>
        <w:t>2</w:t>
      </w:r>
      <w:r>
        <w:rPr>
          <w:rFonts w:asciiTheme="minorEastAsia" w:hAnsiTheme="minorEastAsia" w:eastAsiaTheme="minorEastAsia"/>
          <w:color w:val="auto"/>
          <w:sz w:val="24"/>
          <w:highlight w:val="none"/>
        </w:rPr>
        <w:t>.2成交结果公告内容应当包括采购人及其委托的采购代理机构的名称、地址、联系方式，项目名称和项目编号，成交供应商名称、地址和成交金额，主要成交标的的名称、规格型号、数量、单价、服务要求，成交结果公告期限、评审专家名单以及</w:t>
      </w:r>
      <w:r>
        <w:rPr>
          <w:rFonts w:hint="eastAsia" w:asciiTheme="minorEastAsia" w:hAnsiTheme="minorEastAsia" w:eastAsiaTheme="minorEastAsia"/>
          <w:color w:val="auto"/>
          <w:sz w:val="24"/>
          <w:highlight w:val="none"/>
          <w:u w:val="single"/>
        </w:rPr>
        <w:t>供应商须知前附表</w:t>
      </w:r>
      <w:r>
        <w:rPr>
          <w:rFonts w:asciiTheme="minorEastAsia" w:hAnsiTheme="minorEastAsia" w:eastAsiaTheme="minorEastAsia"/>
          <w:color w:val="auto"/>
          <w:sz w:val="24"/>
          <w:highlight w:val="none"/>
        </w:rPr>
        <w:t>中约定进行公告的内容。</w:t>
      </w:r>
    </w:p>
    <w:p w14:paraId="1E88A414">
      <w:pPr>
        <w:spacing w:line="360" w:lineRule="auto"/>
        <w:ind w:firstLine="437"/>
        <w:outlineLvl w:val="2"/>
        <w:rPr>
          <w:b/>
          <w:color w:val="auto"/>
          <w:sz w:val="24"/>
          <w:highlight w:val="none"/>
        </w:rPr>
      </w:pPr>
      <w:r>
        <w:rPr>
          <w:rFonts w:hint="eastAsia"/>
          <w:b/>
          <w:color w:val="auto"/>
          <w:sz w:val="24"/>
          <w:highlight w:val="none"/>
          <w:lang w:val="en-US" w:eastAsia="zh-CN"/>
        </w:rPr>
        <w:t>23</w:t>
      </w:r>
      <w:r>
        <w:rPr>
          <w:b/>
          <w:color w:val="auto"/>
          <w:sz w:val="24"/>
          <w:highlight w:val="none"/>
        </w:rPr>
        <w:t>.成交通知书</w:t>
      </w:r>
    </w:p>
    <w:p w14:paraId="17B83F5E">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.1采购代理机构发布成交结果公告的同时</w:t>
      </w:r>
      <w:r>
        <w:rPr>
          <w:rFonts w:asciiTheme="minorEastAsia" w:hAnsiTheme="minorEastAsia" w:eastAsiaTheme="minorEastAsia"/>
          <w:color w:val="auto"/>
          <w:sz w:val="24"/>
          <w:highlight w:val="none"/>
        </w:rPr>
        <w:t>以</w:t>
      </w:r>
      <w:r>
        <w:rPr>
          <w:rFonts w:hint="eastAsia" w:asciiTheme="minorEastAsia" w:hAnsiTheme="minorEastAsia" w:eastAsiaTheme="minorEastAsia"/>
          <w:color w:val="auto"/>
          <w:sz w:val="24"/>
          <w:highlight w:val="none"/>
          <w:u w:val="single"/>
        </w:rPr>
        <w:t>供应商须知前附表</w:t>
      </w:r>
      <w:r>
        <w:rPr>
          <w:rFonts w:hint="eastAsia" w:asciiTheme="minorEastAsia" w:hAnsiTheme="minorEastAsia" w:eastAsiaTheme="minorEastAsia"/>
          <w:color w:val="auto"/>
          <w:sz w:val="24"/>
          <w:highlight w:val="none"/>
        </w:rPr>
        <w:t>规定的</w:t>
      </w:r>
      <w:r>
        <w:rPr>
          <w:rFonts w:asciiTheme="minorEastAsia" w:hAnsiTheme="minorEastAsia" w:eastAsiaTheme="minorEastAsia"/>
          <w:color w:val="auto"/>
          <w:sz w:val="24"/>
          <w:highlight w:val="none"/>
        </w:rPr>
        <w:t>形式</w:t>
      </w:r>
      <w:r>
        <w:rPr>
          <w:color w:val="auto"/>
          <w:sz w:val="24"/>
          <w:highlight w:val="none"/>
        </w:rPr>
        <w:t>向成交供应商发出成交通知书。</w:t>
      </w:r>
    </w:p>
    <w:p w14:paraId="644EFA42">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.2成交通知书对采购人和成交供应商具有同等法律效力。成交通知书发出以后，采购人改变成交结果或者成交供应商放弃成交资格，应当承担相应的法律责任。</w:t>
      </w:r>
    </w:p>
    <w:p w14:paraId="01B66B3B">
      <w:pPr>
        <w:spacing w:line="360" w:lineRule="auto"/>
        <w:ind w:firstLine="435"/>
        <w:rPr>
          <w:color w:val="auto"/>
          <w:sz w:val="24"/>
          <w:highlight w:val="none"/>
        </w:rPr>
      </w:pPr>
      <w:r>
        <w:rPr>
          <w:color w:val="auto"/>
          <w:sz w:val="24"/>
          <w:highlight w:val="none"/>
        </w:rPr>
        <w:t>2</w:t>
      </w:r>
      <w:r>
        <w:rPr>
          <w:rFonts w:hint="eastAsia"/>
          <w:color w:val="auto"/>
          <w:sz w:val="24"/>
          <w:highlight w:val="none"/>
          <w:lang w:val="en-US" w:eastAsia="zh-CN"/>
        </w:rPr>
        <w:t>3</w:t>
      </w:r>
      <w:r>
        <w:rPr>
          <w:color w:val="auto"/>
          <w:sz w:val="24"/>
          <w:highlight w:val="none"/>
        </w:rPr>
        <w:t>.3成交通知书是合同的组成部分。</w:t>
      </w:r>
    </w:p>
    <w:p w14:paraId="14709219">
      <w:pPr>
        <w:spacing w:line="360" w:lineRule="auto"/>
        <w:ind w:firstLine="437"/>
        <w:outlineLvl w:val="2"/>
        <w:rPr>
          <w:b/>
          <w:color w:val="auto"/>
          <w:sz w:val="24"/>
          <w:highlight w:val="none"/>
        </w:rPr>
      </w:pPr>
      <w:r>
        <w:rPr>
          <w:rFonts w:hint="eastAsia"/>
          <w:b/>
          <w:color w:val="auto"/>
          <w:sz w:val="24"/>
          <w:highlight w:val="none"/>
        </w:rPr>
        <w:t>2</w:t>
      </w:r>
      <w:r>
        <w:rPr>
          <w:rFonts w:hint="eastAsia"/>
          <w:b/>
          <w:color w:val="auto"/>
          <w:sz w:val="24"/>
          <w:highlight w:val="none"/>
          <w:lang w:val="en-US" w:eastAsia="zh-CN"/>
        </w:rPr>
        <w:t>4</w:t>
      </w:r>
      <w:r>
        <w:rPr>
          <w:b/>
          <w:color w:val="auto"/>
          <w:sz w:val="24"/>
          <w:highlight w:val="none"/>
        </w:rPr>
        <w:t>.告知</w:t>
      </w:r>
      <w:r>
        <w:rPr>
          <w:rFonts w:hint="eastAsia" w:asciiTheme="minorEastAsia" w:hAnsiTheme="minorEastAsia" w:eastAsiaTheme="minorEastAsia"/>
          <w:b/>
          <w:color w:val="auto"/>
          <w:sz w:val="24"/>
          <w:highlight w:val="none"/>
        </w:rPr>
        <w:t>磋商</w:t>
      </w:r>
      <w:r>
        <w:rPr>
          <w:b/>
          <w:color w:val="auto"/>
          <w:sz w:val="24"/>
          <w:highlight w:val="none"/>
        </w:rPr>
        <w:t>结果</w:t>
      </w:r>
    </w:p>
    <w:p w14:paraId="0A586319">
      <w:pPr>
        <w:spacing w:line="360" w:lineRule="auto"/>
        <w:ind w:firstLine="435"/>
        <w:rPr>
          <w:color w:val="auto"/>
          <w:sz w:val="24"/>
          <w:highlight w:val="none"/>
        </w:rPr>
      </w:pPr>
      <w:r>
        <w:rPr>
          <w:rFonts w:hint="eastAsia"/>
          <w:color w:val="auto"/>
          <w:sz w:val="24"/>
          <w:highlight w:val="none"/>
        </w:rPr>
        <w:t>2</w:t>
      </w:r>
      <w:r>
        <w:rPr>
          <w:rFonts w:hint="eastAsia"/>
          <w:color w:val="auto"/>
          <w:sz w:val="24"/>
          <w:highlight w:val="none"/>
          <w:lang w:val="en-US" w:eastAsia="zh-CN"/>
        </w:rPr>
        <w:t>4</w:t>
      </w:r>
      <w:r>
        <w:rPr>
          <w:color w:val="auto"/>
          <w:sz w:val="24"/>
          <w:highlight w:val="none"/>
        </w:rPr>
        <w:t>.1在公告</w:t>
      </w:r>
      <w:r>
        <w:rPr>
          <w:rFonts w:hint="eastAsia"/>
          <w:color w:val="auto"/>
          <w:sz w:val="24"/>
          <w:highlight w:val="none"/>
        </w:rPr>
        <w:t>成交</w:t>
      </w:r>
      <w:r>
        <w:rPr>
          <w:color w:val="auto"/>
          <w:sz w:val="24"/>
          <w:highlight w:val="none"/>
        </w:rPr>
        <w:t>结果的同时，采购代理机构同时以</w:t>
      </w:r>
      <w:r>
        <w:rPr>
          <w:rFonts w:hint="eastAsia"/>
          <w:color w:val="auto"/>
          <w:sz w:val="24"/>
          <w:highlight w:val="none"/>
          <w:u w:val="single"/>
        </w:rPr>
        <w:t>供应商</w:t>
      </w:r>
      <w:r>
        <w:rPr>
          <w:color w:val="auto"/>
          <w:sz w:val="24"/>
          <w:highlight w:val="none"/>
          <w:u w:val="single"/>
        </w:rPr>
        <w:t>须知前附表</w:t>
      </w:r>
      <w:r>
        <w:rPr>
          <w:color w:val="auto"/>
          <w:sz w:val="24"/>
          <w:highlight w:val="none"/>
        </w:rPr>
        <w:t>规定的形式告知未</w:t>
      </w:r>
      <w:r>
        <w:rPr>
          <w:rFonts w:hint="eastAsia"/>
          <w:color w:val="auto"/>
          <w:sz w:val="24"/>
          <w:highlight w:val="none"/>
        </w:rPr>
        <w:t>成交供应商</w:t>
      </w:r>
      <w:r>
        <w:rPr>
          <w:color w:val="auto"/>
          <w:sz w:val="24"/>
          <w:highlight w:val="none"/>
        </w:rPr>
        <w:t>本人的评审得分和排序。</w:t>
      </w:r>
    </w:p>
    <w:p w14:paraId="60BC4FA8">
      <w:pPr>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lang w:val="en-US" w:eastAsia="zh-CN"/>
        </w:rPr>
        <w:t>4</w:t>
      </w:r>
      <w:r>
        <w:rPr>
          <w:color w:val="auto"/>
          <w:sz w:val="24"/>
          <w:highlight w:val="none"/>
        </w:rPr>
        <w:t>.</w:t>
      </w:r>
      <w:r>
        <w:rPr>
          <w:rFonts w:hint="eastAsia"/>
          <w:color w:val="auto"/>
          <w:sz w:val="24"/>
          <w:highlight w:val="none"/>
        </w:rPr>
        <w:t>2</w:t>
      </w:r>
      <w:r>
        <w:rPr>
          <w:color w:val="auto"/>
          <w:sz w:val="24"/>
          <w:highlight w:val="none"/>
        </w:rPr>
        <w:t>采购代理机构对未成交的供应商不做未成交原因的解释。</w:t>
      </w:r>
    </w:p>
    <w:p w14:paraId="07F5F1F7">
      <w:pPr>
        <w:spacing w:line="360" w:lineRule="auto"/>
        <w:ind w:firstLine="437"/>
        <w:outlineLvl w:val="2"/>
        <w:rPr>
          <w:b/>
          <w:color w:val="auto"/>
          <w:sz w:val="24"/>
          <w:highlight w:val="none"/>
        </w:rPr>
      </w:pPr>
      <w:r>
        <w:rPr>
          <w:rFonts w:hint="eastAsia"/>
          <w:b/>
          <w:color w:val="auto"/>
          <w:sz w:val="24"/>
          <w:highlight w:val="none"/>
          <w:lang w:val="en-US" w:eastAsia="zh-CN"/>
        </w:rPr>
        <w:t>25</w:t>
      </w:r>
      <w:r>
        <w:rPr>
          <w:b/>
          <w:color w:val="auto"/>
          <w:sz w:val="24"/>
          <w:highlight w:val="none"/>
        </w:rPr>
        <w:t>.履约</w:t>
      </w:r>
      <w:r>
        <w:rPr>
          <w:rFonts w:asciiTheme="minorEastAsia" w:hAnsiTheme="minorEastAsia" w:eastAsiaTheme="minorEastAsia"/>
          <w:b/>
          <w:color w:val="auto"/>
          <w:sz w:val="24"/>
          <w:highlight w:val="none"/>
        </w:rPr>
        <w:t>保证金</w:t>
      </w:r>
    </w:p>
    <w:p w14:paraId="2F18DD0F">
      <w:pPr>
        <w:spacing w:line="360" w:lineRule="auto"/>
        <w:ind w:firstLine="435"/>
        <w:rPr>
          <w:color w:val="auto"/>
          <w:sz w:val="24"/>
          <w:highlight w:val="none"/>
        </w:rPr>
      </w:pPr>
      <w:r>
        <w:rPr>
          <w:rFonts w:hint="eastAsia"/>
          <w:color w:val="auto"/>
          <w:sz w:val="24"/>
          <w:highlight w:val="none"/>
          <w:lang w:val="en-US" w:eastAsia="zh-CN"/>
        </w:rPr>
        <w:t>25</w:t>
      </w:r>
      <w:r>
        <w:rPr>
          <w:color w:val="auto"/>
          <w:sz w:val="24"/>
          <w:highlight w:val="none"/>
        </w:rPr>
        <w:t>.1成交供应商应按照</w:t>
      </w:r>
      <w:r>
        <w:rPr>
          <w:color w:val="auto"/>
          <w:sz w:val="24"/>
          <w:highlight w:val="none"/>
          <w:u w:val="single"/>
        </w:rPr>
        <w:t>供应商须知前附表</w:t>
      </w:r>
      <w:r>
        <w:rPr>
          <w:color w:val="auto"/>
          <w:sz w:val="24"/>
          <w:highlight w:val="none"/>
        </w:rPr>
        <w:t>规定</w:t>
      </w:r>
      <w:r>
        <w:rPr>
          <w:rFonts w:hint="eastAsia"/>
          <w:color w:val="auto"/>
          <w:sz w:val="24"/>
          <w:highlight w:val="none"/>
        </w:rPr>
        <w:t>缴纳</w:t>
      </w:r>
      <w:r>
        <w:rPr>
          <w:color w:val="auto"/>
          <w:sz w:val="24"/>
          <w:highlight w:val="none"/>
        </w:rPr>
        <w:t>履约保证金。</w:t>
      </w:r>
    </w:p>
    <w:p w14:paraId="51AA2CAF">
      <w:pPr>
        <w:spacing w:line="360" w:lineRule="auto"/>
        <w:ind w:firstLine="435"/>
        <w:rPr>
          <w:color w:val="auto"/>
          <w:sz w:val="24"/>
          <w:highlight w:val="none"/>
        </w:rPr>
      </w:pPr>
      <w:r>
        <w:rPr>
          <w:rFonts w:hint="eastAsia"/>
          <w:color w:val="auto"/>
          <w:sz w:val="24"/>
          <w:highlight w:val="none"/>
          <w:lang w:val="en-US" w:eastAsia="zh-CN"/>
        </w:rPr>
        <w:t>25</w:t>
      </w:r>
      <w:r>
        <w:rPr>
          <w:color w:val="auto"/>
          <w:sz w:val="24"/>
          <w:highlight w:val="none"/>
        </w:rPr>
        <w:t>.2如果成交供应商没有按照上述履约保证金的规定执行，将视为放弃成交资格。在此情况下，采购人可确定下一成交候选供应商为成交供应商，也可以重新开展采购活动。</w:t>
      </w:r>
    </w:p>
    <w:p w14:paraId="1F3BE38D">
      <w:pPr>
        <w:spacing w:line="360" w:lineRule="auto"/>
        <w:ind w:firstLine="437"/>
        <w:outlineLvl w:val="2"/>
        <w:rPr>
          <w:rFonts w:hint="default" w:eastAsia="宋体"/>
          <w:b/>
          <w:color w:val="auto"/>
          <w:sz w:val="24"/>
          <w:highlight w:val="none"/>
          <w:lang w:val="en-US" w:eastAsia="zh-CN"/>
        </w:rPr>
      </w:pPr>
      <w:r>
        <w:rPr>
          <w:rFonts w:hint="eastAsia"/>
          <w:b/>
          <w:color w:val="auto"/>
          <w:sz w:val="24"/>
          <w:highlight w:val="none"/>
          <w:lang w:val="en-US" w:eastAsia="zh-CN"/>
        </w:rPr>
        <w:t>26</w:t>
      </w:r>
      <w:r>
        <w:rPr>
          <w:b/>
          <w:color w:val="auto"/>
          <w:sz w:val="24"/>
          <w:highlight w:val="none"/>
        </w:rPr>
        <w:t>.</w:t>
      </w:r>
      <w:r>
        <w:rPr>
          <w:rFonts w:hint="eastAsia"/>
          <w:b/>
          <w:color w:val="auto"/>
          <w:sz w:val="24"/>
          <w:highlight w:val="none"/>
          <w:lang w:val="en-US" w:eastAsia="zh-CN"/>
        </w:rPr>
        <w:t>代理费用</w:t>
      </w:r>
    </w:p>
    <w:p w14:paraId="31D35EC6">
      <w:pPr>
        <w:spacing w:line="360" w:lineRule="auto"/>
        <w:ind w:firstLine="435"/>
        <w:rPr>
          <w:color w:val="auto"/>
          <w:sz w:val="24"/>
          <w:highlight w:val="none"/>
        </w:rPr>
      </w:pPr>
      <w:r>
        <w:rPr>
          <w:rFonts w:hint="eastAsia"/>
          <w:color w:val="auto"/>
          <w:sz w:val="24"/>
          <w:highlight w:val="none"/>
          <w:lang w:val="en-US" w:eastAsia="zh-CN"/>
        </w:rPr>
        <w:t>26</w:t>
      </w:r>
      <w:r>
        <w:rPr>
          <w:color w:val="auto"/>
          <w:sz w:val="24"/>
          <w:highlight w:val="none"/>
        </w:rPr>
        <w:t>.1本项目</w:t>
      </w:r>
      <w:r>
        <w:rPr>
          <w:rFonts w:hint="eastAsia"/>
          <w:color w:val="auto"/>
          <w:sz w:val="24"/>
          <w:highlight w:val="none"/>
          <w:lang w:val="en-US" w:eastAsia="zh-CN"/>
        </w:rPr>
        <w:t>代理费用</w:t>
      </w:r>
      <w:r>
        <w:rPr>
          <w:color w:val="auto"/>
          <w:sz w:val="24"/>
          <w:highlight w:val="none"/>
        </w:rPr>
        <w:t>的收取按</w:t>
      </w:r>
      <w:r>
        <w:rPr>
          <w:rFonts w:hint="eastAsia"/>
          <w:color w:val="auto"/>
          <w:sz w:val="24"/>
          <w:highlight w:val="none"/>
          <w:u w:val="single"/>
        </w:rPr>
        <w:t>供应商</w:t>
      </w:r>
      <w:r>
        <w:rPr>
          <w:color w:val="auto"/>
          <w:sz w:val="24"/>
          <w:highlight w:val="none"/>
          <w:u w:val="single"/>
        </w:rPr>
        <w:t>须知前附表</w:t>
      </w:r>
      <w:r>
        <w:rPr>
          <w:color w:val="auto"/>
          <w:sz w:val="24"/>
          <w:highlight w:val="none"/>
        </w:rPr>
        <w:t>的规定执行。</w:t>
      </w:r>
    </w:p>
    <w:p w14:paraId="0DAB6CF6">
      <w:pPr>
        <w:spacing w:line="360" w:lineRule="auto"/>
        <w:ind w:firstLine="437"/>
        <w:outlineLvl w:val="2"/>
        <w:rPr>
          <w:b/>
          <w:color w:val="auto"/>
          <w:sz w:val="24"/>
          <w:highlight w:val="none"/>
        </w:rPr>
      </w:pPr>
      <w:r>
        <w:rPr>
          <w:rFonts w:hint="eastAsia"/>
          <w:b/>
          <w:color w:val="auto"/>
          <w:sz w:val="24"/>
          <w:highlight w:val="none"/>
          <w:lang w:val="en-US" w:eastAsia="zh-CN"/>
        </w:rPr>
        <w:t>27</w:t>
      </w:r>
      <w:r>
        <w:rPr>
          <w:b/>
          <w:color w:val="auto"/>
          <w:sz w:val="24"/>
          <w:highlight w:val="none"/>
        </w:rPr>
        <w:t>.签订</w:t>
      </w:r>
      <w:r>
        <w:rPr>
          <w:rFonts w:asciiTheme="minorEastAsia" w:hAnsiTheme="minorEastAsia" w:eastAsiaTheme="minorEastAsia"/>
          <w:b/>
          <w:color w:val="auto"/>
          <w:sz w:val="24"/>
          <w:highlight w:val="none"/>
        </w:rPr>
        <w:t>合同</w:t>
      </w:r>
    </w:p>
    <w:p w14:paraId="211E2AB9">
      <w:pPr>
        <w:spacing w:line="360" w:lineRule="auto"/>
        <w:ind w:firstLine="435"/>
        <w:rPr>
          <w:color w:val="auto"/>
          <w:sz w:val="24"/>
          <w:highlight w:val="none"/>
        </w:rPr>
      </w:pPr>
      <w:r>
        <w:rPr>
          <w:rFonts w:hint="eastAsia"/>
          <w:color w:val="auto"/>
          <w:sz w:val="24"/>
          <w:highlight w:val="none"/>
          <w:lang w:val="en-US" w:eastAsia="zh-CN"/>
        </w:rPr>
        <w:t>27</w:t>
      </w:r>
      <w:r>
        <w:rPr>
          <w:color w:val="auto"/>
          <w:sz w:val="24"/>
          <w:highlight w:val="none"/>
        </w:rPr>
        <w:t>.1</w:t>
      </w:r>
      <w:r>
        <w:rPr>
          <w:rFonts w:hint="eastAsia" w:ascii="宋体" w:hAnsi="宋体" w:eastAsia="宋体" w:cs="宋体"/>
          <w:color w:val="auto"/>
          <w:sz w:val="24"/>
          <w:szCs w:val="24"/>
          <w:highlight w:val="none"/>
          <w:u w:val="none"/>
          <w:lang w:val="en-US" w:eastAsia="zh-CN"/>
        </w:rPr>
        <w:t>采购人与成交供应商应当按照</w:t>
      </w:r>
      <w:r>
        <w:rPr>
          <w:rFonts w:hint="eastAsia" w:ascii="宋体" w:hAnsi="宋体" w:eastAsia="宋体" w:cs="宋体"/>
          <w:color w:val="auto"/>
          <w:sz w:val="24"/>
          <w:szCs w:val="24"/>
          <w:highlight w:val="none"/>
          <w:u w:val="single"/>
          <w:lang w:val="en-US" w:eastAsia="zh-CN"/>
        </w:rPr>
        <w:t>供应商</w:t>
      </w:r>
      <w:r>
        <w:rPr>
          <w:rFonts w:hint="eastAsia" w:ascii="宋体" w:hAnsi="宋体" w:eastAsia="宋体" w:cs="宋体"/>
          <w:color w:val="auto"/>
          <w:sz w:val="24"/>
          <w:szCs w:val="24"/>
          <w:highlight w:val="none"/>
          <w:u w:val="single"/>
        </w:rPr>
        <w:t>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7AD34144">
      <w:pPr>
        <w:spacing w:line="360" w:lineRule="auto"/>
        <w:ind w:firstLine="435"/>
        <w:rPr>
          <w:color w:val="auto"/>
          <w:sz w:val="24"/>
          <w:highlight w:val="none"/>
        </w:rPr>
      </w:pPr>
      <w:r>
        <w:rPr>
          <w:rFonts w:hint="eastAsia"/>
          <w:color w:val="auto"/>
          <w:sz w:val="24"/>
          <w:highlight w:val="none"/>
          <w:lang w:val="en-US" w:eastAsia="zh-CN"/>
        </w:rPr>
        <w:t>27</w:t>
      </w:r>
      <w:r>
        <w:rPr>
          <w:color w:val="auto"/>
          <w:sz w:val="24"/>
          <w:highlight w:val="none"/>
        </w:rPr>
        <w:t>.2磋商文件、成交供应商的响应文件及其澄清文件等，均为签订合同的依据。</w:t>
      </w:r>
    </w:p>
    <w:p w14:paraId="45FC4717">
      <w:pPr>
        <w:spacing w:line="360" w:lineRule="auto"/>
        <w:ind w:firstLine="470" w:firstLineChars="196"/>
        <w:rPr>
          <w:color w:val="auto"/>
          <w:sz w:val="24"/>
          <w:highlight w:val="none"/>
        </w:rPr>
      </w:pPr>
      <w:r>
        <w:rPr>
          <w:rFonts w:hint="eastAsia"/>
          <w:color w:val="auto"/>
          <w:sz w:val="24"/>
          <w:highlight w:val="none"/>
          <w:lang w:val="en-US" w:eastAsia="zh-CN"/>
        </w:rPr>
        <w:t>27</w:t>
      </w:r>
      <w:r>
        <w:rPr>
          <w:color w:val="auto"/>
          <w:sz w:val="24"/>
          <w:highlight w:val="none"/>
        </w:rPr>
        <w:t>.3成交供应商拒绝与采购人签订合同的，采购人可以按照评审报告推荐的成交候选供应商名单排序，确定下一成交候选供应商为成交供应商，也可以重新开展采购活动。</w:t>
      </w:r>
      <w:r>
        <w:rPr>
          <w:rFonts w:hint="eastAsia"/>
          <w:color w:val="auto"/>
          <w:sz w:val="24"/>
          <w:highlight w:val="none"/>
        </w:rPr>
        <w:t>成交供应商拒绝签订政府采购合同的不得参加对该项目重新开展的采购活动。</w:t>
      </w:r>
    </w:p>
    <w:p w14:paraId="5F6CEE25">
      <w:pPr>
        <w:spacing w:line="360" w:lineRule="auto"/>
        <w:ind w:firstLine="470" w:firstLineChars="196"/>
        <w:rPr>
          <w:color w:val="auto"/>
          <w:sz w:val="24"/>
          <w:highlight w:val="none"/>
        </w:rPr>
      </w:pPr>
      <w:bookmarkStart w:id="44" w:name="_Hlk60264926"/>
      <w:r>
        <w:rPr>
          <w:rFonts w:hint="eastAsia"/>
          <w:color w:val="auto"/>
          <w:sz w:val="24"/>
          <w:highlight w:val="none"/>
          <w:lang w:val="en-US" w:eastAsia="zh-CN"/>
        </w:rPr>
        <w:t>27.4</w:t>
      </w:r>
      <w:r>
        <w:rPr>
          <w:rFonts w:hint="eastAsia"/>
          <w:color w:val="auto"/>
          <w:sz w:val="24"/>
          <w:highlight w:val="none"/>
        </w:rPr>
        <w:t>依据《政府采购促进中小企业发展管理办法》（财库〔</w:t>
      </w:r>
      <w:r>
        <w:rPr>
          <w:color w:val="auto"/>
          <w:sz w:val="24"/>
          <w:highlight w:val="none"/>
        </w:rPr>
        <w:t>2020〕46号</w:t>
      </w:r>
      <w:r>
        <w:rPr>
          <w:rFonts w:hint="eastAsia"/>
          <w:color w:val="auto"/>
          <w:sz w:val="24"/>
          <w:highlight w:val="none"/>
        </w:rPr>
        <w:t>）规定享受扶持政策获得政府采购合同的，小微企业不得将合同分包给大中型企业，中型企业不得将合同分包给大型企业。</w:t>
      </w:r>
      <w:bookmarkEnd w:id="44"/>
    </w:p>
    <w:p w14:paraId="0CDE32BB">
      <w:pPr>
        <w:spacing w:line="360" w:lineRule="auto"/>
        <w:ind w:firstLine="437"/>
        <w:outlineLvl w:val="2"/>
        <w:rPr>
          <w:b/>
          <w:color w:val="auto"/>
          <w:sz w:val="24"/>
          <w:highlight w:val="none"/>
        </w:rPr>
      </w:pPr>
      <w:r>
        <w:rPr>
          <w:rFonts w:hint="eastAsia"/>
          <w:b/>
          <w:color w:val="auto"/>
          <w:sz w:val="24"/>
          <w:highlight w:val="none"/>
          <w:lang w:val="en-US" w:eastAsia="zh-CN"/>
        </w:rPr>
        <w:t>28</w:t>
      </w:r>
      <w:r>
        <w:rPr>
          <w:b/>
          <w:color w:val="auto"/>
          <w:sz w:val="24"/>
          <w:highlight w:val="none"/>
        </w:rPr>
        <w:t>.廉洁</w:t>
      </w:r>
      <w:r>
        <w:rPr>
          <w:rFonts w:asciiTheme="minorEastAsia" w:hAnsiTheme="minorEastAsia" w:eastAsiaTheme="minorEastAsia"/>
          <w:b/>
          <w:color w:val="auto"/>
          <w:sz w:val="24"/>
          <w:highlight w:val="none"/>
        </w:rPr>
        <w:t>自律</w:t>
      </w:r>
      <w:r>
        <w:rPr>
          <w:b/>
          <w:color w:val="auto"/>
          <w:sz w:val="24"/>
          <w:highlight w:val="none"/>
        </w:rPr>
        <w:t>规定</w:t>
      </w:r>
    </w:p>
    <w:p w14:paraId="2EDE2D15">
      <w:pPr>
        <w:spacing w:line="360" w:lineRule="auto"/>
        <w:ind w:firstLine="435"/>
        <w:rPr>
          <w:color w:val="auto"/>
          <w:sz w:val="24"/>
          <w:highlight w:val="none"/>
        </w:rPr>
      </w:pPr>
      <w:r>
        <w:rPr>
          <w:rFonts w:hint="eastAsia"/>
          <w:color w:val="auto"/>
          <w:sz w:val="24"/>
          <w:highlight w:val="none"/>
          <w:lang w:val="en-US" w:eastAsia="zh-CN"/>
        </w:rPr>
        <w:t>28</w:t>
      </w:r>
      <w:r>
        <w:rPr>
          <w:color w:val="auto"/>
          <w:sz w:val="24"/>
          <w:highlight w:val="none"/>
        </w:rPr>
        <w:t>.1采购代理机构工作人员不得以不正当手段获取政府采购代理业务，不得与采购人、供应商恶意串通。</w:t>
      </w:r>
    </w:p>
    <w:p w14:paraId="3F42DA83">
      <w:pPr>
        <w:spacing w:line="360" w:lineRule="auto"/>
        <w:ind w:firstLine="435"/>
        <w:rPr>
          <w:color w:val="auto"/>
          <w:sz w:val="24"/>
          <w:highlight w:val="none"/>
        </w:rPr>
      </w:pPr>
      <w:r>
        <w:rPr>
          <w:rFonts w:hint="eastAsia"/>
          <w:color w:val="auto"/>
          <w:sz w:val="24"/>
          <w:highlight w:val="none"/>
          <w:lang w:val="en-US" w:eastAsia="zh-CN"/>
        </w:rPr>
        <w:t>28</w:t>
      </w:r>
      <w:r>
        <w:rPr>
          <w:color w:val="auto"/>
          <w:sz w:val="24"/>
          <w:highlight w:val="none"/>
        </w:rPr>
        <w:t>.2采购代理机构工作人员不得接受采购人或者供应商组织的宴请、旅游、娱乐，不得收受礼品、现金、有价证券等，不得向采购人或者供应商报销应当由个人承担的费用。</w:t>
      </w:r>
    </w:p>
    <w:p w14:paraId="5573304E">
      <w:pPr>
        <w:spacing w:line="360" w:lineRule="auto"/>
        <w:ind w:firstLine="437"/>
        <w:outlineLvl w:val="2"/>
        <w:rPr>
          <w:b/>
          <w:color w:val="auto"/>
          <w:sz w:val="24"/>
          <w:highlight w:val="none"/>
        </w:rPr>
      </w:pPr>
      <w:r>
        <w:rPr>
          <w:rFonts w:hint="eastAsia"/>
          <w:b/>
          <w:color w:val="auto"/>
          <w:sz w:val="24"/>
          <w:highlight w:val="none"/>
          <w:lang w:val="en-US" w:eastAsia="zh-CN"/>
        </w:rPr>
        <w:t>29</w:t>
      </w:r>
      <w:r>
        <w:rPr>
          <w:b/>
          <w:color w:val="auto"/>
          <w:sz w:val="24"/>
          <w:highlight w:val="none"/>
        </w:rPr>
        <w:t>.质疑的提出与接收</w:t>
      </w:r>
    </w:p>
    <w:p w14:paraId="304C7524">
      <w:pPr>
        <w:spacing w:line="360" w:lineRule="auto"/>
        <w:ind w:firstLine="435"/>
        <w:rPr>
          <w:color w:val="auto"/>
          <w:sz w:val="24"/>
          <w:highlight w:val="none"/>
        </w:rPr>
      </w:pPr>
      <w:r>
        <w:rPr>
          <w:rFonts w:hint="eastAsia"/>
          <w:color w:val="auto"/>
          <w:sz w:val="24"/>
          <w:highlight w:val="none"/>
          <w:lang w:val="en-US" w:eastAsia="zh-CN"/>
        </w:rPr>
        <w:t>29</w:t>
      </w:r>
      <w:r>
        <w:rPr>
          <w:rFonts w:hint="eastAsia"/>
          <w:color w:val="auto"/>
          <w:sz w:val="24"/>
          <w:highlight w:val="none"/>
        </w:rPr>
        <w:t>.1供应商认为磋商文件、采购过程和成交结果使自己的权益受到损害的，可以在知道或者应知其权益受到损害之日起七个工作日内，以书面形式向采购人或其委托的采购代理机构提出质疑。</w:t>
      </w:r>
    </w:p>
    <w:p w14:paraId="24E9912C">
      <w:pPr>
        <w:spacing w:line="360" w:lineRule="auto"/>
        <w:ind w:firstLine="435"/>
        <w:rPr>
          <w:color w:val="auto"/>
          <w:sz w:val="24"/>
          <w:highlight w:val="none"/>
        </w:rPr>
      </w:pPr>
      <w:r>
        <w:rPr>
          <w:rFonts w:hint="eastAsia"/>
          <w:color w:val="auto"/>
          <w:sz w:val="24"/>
          <w:highlight w:val="none"/>
          <w:lang w:val="en-US" w:eastAsia="zh-CN"/>
        </w:rPr>
        <w:t>29</w:t>
      </w:r>
      <w:r>
        <w:rPr>
          <w:rFonts w:hint="eastAsia"/>
          <w:color w:val="auto"/>
          <w:sz w:val="24"/>
          <w:highlight w:val="none"/>
        </w:rPr>
        <w:t>.</w:t>
      </w:r>
      <w:r>
        <w:rPr>
          <w:rFonts w:hint="eastAsia"/>
          <w:color w:val="auto"/>
          <w:sz w:val="24"/>
          <w:highlight w:val="none"/>
          <w:lang w:val="en-US" w:eastAsia="zh-CN"/>
        </w:rPr>
        <w:t>2</w:t>
      </w:r>
      <w:r>
        <w:rPr>
          <w:rFonts w:hint="eastAsia"/>
          <w:color w:val="auto"/>
          <w:sz w:val="24"/>
          <w:highlight w:val="none"/>
        </w:rPr>
        <w:t>质疑供应商应按照财政部制定的《政府采购质疑函范本》格式（详见磋商文件第八章）和《政府采购质疑和投诉办法》的要求，在法定质疑期内以书面形式提出质疑，超出法定质疑期提交的质疑将被拒绝。针对同一采购程序环节的质疑应一次性提出。</w:t>
      </w:r>
    </w:p>
    <w:p w14:paraId="4C95817E">
      <w:pPr>
        <w:spacing w:line="360" w:lineRule="auto"/>
        <w:ind w:firstLine="435"/>
        <w:rPr>
          <w:rFonts w:hint="eastAsia"/>
          <w:color w:val="auto"/>
          <w:sz w:val="24"/>
          <w:highlight w:val="none"/>
        </w:rPr>
      </w:pPr>
      <w:r>
        <w:rPr>
          <w:rFonts w:hint="eastAsia"/>
          <w:color w:val="auto"/>
          <w:sz w:val="24"/>
          <w:highlight w:val="none"/>
          <w:lang w:val="en-US" w:eastAsia="zh-CN"/>
        </w:rPr>
        <w:t>29</w:t>
      </w:r>
      <w:r>
        <w:rPr>
          <w:rFonts w:hint="eastAsia"/>
          <w:color w:val="auto"/>
          <w:sz w:val="24"/>
          <w:highlight w:val="none"/>
        </w:rPr>
        <w:t>.</w:t>
      </w:r>
      <w:r>
        <w:rPr>
          <w:rFonts w:hint="eastAsia"/>
          <w:color w:val="auto"/>
          <w:sz w:val="24"/>
          <w:highlight w:val="none"/>
          <w:lang w:val="en-US" w:eastAsia="zh-CN"/>
        </w:rPr>
        <w:t>3</w:t>
      </w:r>
      <w:r>
        <w:rPr>
          <w:rFonts w:hint="eastAsia"/>
          <w:color w:val="auto"/>
          <w:sz w:val="24"/>
          <w:highlight w:val="none"/>
        </w:rPr>
        <w:t>采购代理机构质疑函接收部门、联系电话和通讯地址，见</w:t>
      </w:r>
      <w:r>
        <w:rPr>
          <w:rFonts w:hint="eastAsia"/>
          <w:color w:val="auto"/>
          <w:sz w:val="24"/>
          <w:highlight w:val="none"/>
          <w:u w:val="single"/>
        </w:rPr>
        <w:t>供应商须知前附表</w:t>
      </w:r>
      <w:r>
        <w:rPr>
          <w:rFonts w:hint="eastAsia"/>
          <w:color w:val="auto"/>
          <w:sz w:val="24"/>
          <w:highlight w:val="none"/>
        </w:rPr>
        <w:t>。</w:t>
      </w:r>
    </w:p>
    <w:p w14:paraId="531E0749">
      <w:pPr>
        <w:spacing w:line="360" w:lineRule="auto"/>
        <w:ind w:firstLine="435"/>
        <w:rPr>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195DA685">
      <w:pPr>
        <w:spacing w:line="360" w:lineRule="auto"/>
        <w:ind w:firstLine="437"/>
        <w:outlineLvl w:val="2"/>
        <w:rPr>
          <w:b/>
          <w:color w:val="auto"/>
          <w:sz w:val="24"/>
          <w:highlight w:val="none"/>
        </w:rPr>
      </w:pPr>
      <w:r>
        <w:rPr>
          <w:b/>
          <w:color w:val="auto"/>
          <w:sz w:val="24"/>
          <w:highlight w:val="none"/>
        </w:rPr>
        <w:t>3</w:t>
      </w:r>
      <w:r>
        <w:rPr>
          <w:rFonts w:hint="eastAsia"/>
          <w:b/>
          <w:color w:val="auto"/>
          <w:sz w:val="24"/>
          <w:highlight w:val="none"/>
          <w:lang w:val="en-US" w:eastAsia="zh-CN"/>
        </w:rPr>
        <w:t>0</w:t>
      </w:r>
      <w:r>
        <w:rPr>
          <w:b/>
          <w:color w:val="auto"/>
          <w:sz w:val="24"/>
          <w:highlight w:val="none"/>
        </w:rPr>
        <w:t>.需要补充的其他内容</w:t>
      </w:r>
    </w:p>
    <w:p w14:paraId="594064C6">
      <w:pPr>
        <w:spacing w:line="360" w:lineRule="auto"/>
        <w:ind w:firstLine="435"/>
        <w:rPr>
          <w:color w:val="auto"/>
          <w:sz w:val="24"/>
          <w:highlight w:val="none"/>
        </w:rPr>
      </w:pPr>
      <w:r>
        <w:rPr>
          <w:rFonts w:hint="eastAsia"/>
          <w:color w:val="auto"/>
          <w:sz w:val="24"/>
          <w:highlight w:val="none"/>
        </w:rPr>
        <w:t>需要补充的其他内容，见</w:t>
      </w:r>
      <w:r>
        <w:rPr>
          <w:rFonts w:hint="eastAsia"/>
          <w:color w:val="auto"/>
          <w:sz w:val="24"/>
          <w:highlight w:val="none"/>
          <w:u w:val="single"/>
        </w:rPr>
        <w:t>供应商须知前附表</w:t>
      </w:r>
      <w:r>
        <w:rPr>
          <w:rFonts w:hint="eastAsia"/>
          <w:color w:val="auto"/>
          <w:sz w:val="24"/>
          <w:highlight w:val="none"/>
        </w:rPr>
        <w:t>。</w:t>
      </w:r>
    </w:p>
    <w:p w14:paraId="7E2DE72C">
      <w:pPr>
        <w:widowControl/>
        <w:jc w:val="left"/>
        <w:rPr>
          <w:rFonts w:asciiTheme="minorEastAsia" w:hAnsiTheme="minorEastAsia" w:eastAsiaTheme="minorEastAsia"/>
          <w:b/>
          <w:color w:val="auto"/>
          <w:sz w:val="28"/>
          <w:highlight w:val="none"/>
        </w:rPr>
      </w:pPr>
      <w:r>
        <w:rPr>
          <w:rFonts w:asciiTheme="minorEastAsia" w:hAnsiTheme="minorEastAsia" w:eastAsiaTheme="minorEastAsia"/>
          <w:color w:val="auto"/>
          <w:sz w:val="24"/>
          <w:highlight w:val="none"/>
        </w:rPr>
        <w:br w:type="page"/>
      </w:r>
    </w:p>
    <w:p w14:paraId="60B972BD">
      <w:pPr>
        <w:spacing w:line="360" w:lineRule="auto"/>
        <w:jc w:val="center"/>
        <w:outlineLvl w:val="0"/>
        <w:rPr>
          <w:rFonts w:asciiTheme="minorEastAsia" w:hAnsiTheme="minorEastAsia" w:eastAsiaTheme="minorEastAsia"/>
          <w:b/>
          <w:color w:val="auto"/>
          <w:sz w:val="28"/>
          <w:highlight w:val="none"/>
        </w:rPr>
      </w:pPr>
      <w:bookmarkStart w:id="45" w:name="_Toc30873"/>
      <w:r>
        <w:rPr>
          <w:rFonts w:hint="eastAsia" w:asciiTheme="minorEastAsia" w:hAnsiTheme="minorEastAsia" w:eastAsiaTheme="minorEastAsia"/>
          <w:b/>
          <w:color w:val="auto"/>
          <w:sz w:val="28"/>
          <w:highlight w:val="none"/>
        </w:rPr>
        <w:t>第三章  采购需求</w:t>
      </w:r>
      <w:bookmarkEnd w:id="45"/>
    </w:p>
    <w:tbl>
      <w:tblPr>
        <w:tblStyle w:val="9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341"/>
        <w:gridCol w:w="6601"/>
      </w:tblGrid>
      <w:tr w14:paraId="6A51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pct"/>
            <w:vAlign w:val="center"/>
          </w:tcPr>
          <w:p w14:paraId="06A6CEBA">
            <w:pPr>
              <w:spacing w:line="360" w:lineRule="auto"/>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序号</w:t>
            </w:r>
          </w:p>
        </w:tc>
        <w:tc>
          <w:tcPr>
            <w:tcW w:w="749" w:type="pct"/>
            <w:vAlign w:val="center"/>
          </w:tcPr>
          <w:p w14:paraId="7E80BA24">
            <w:pPr>
              <w:spacing w:line="360" w:lineRule="auto"/>
              <w:ind w:firstLine="435"/>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内容</w:t>
            </w:r>
          </w:p>
        </w:tc>
        <w:tc>
          <w:tcPr>
            <w:tcW w:w="3688" w:type="pct"/>
            <w:vAlign w:val="center"/>
          </w:tcPr>
          <w:p w14:paraId="5314F29C">
            <w:pPr>
              <w:spacing w:line="360" w:lineRule="auto"/>
              <w:ind w:firstLine="435"/>
              <w:jc w:val="center"/>
              <w:rPr>
                <w:rFonts w:cs="@仿宋_GB2312" w:asciiTheme="minorEastAsia" w:hAnsiTheme="minorEastAsia" w:eastAsiaTheme="minorEastAsia"/>
                <w:b/>
                <w:color w:val="auto"/>
                <w:kern w:val="2"/>
                <w:sz w:val="24"/>
                <w:szCs w:val="22"/>
                <w:highlight w:val="none"/>
              </w:rPr>
            </w:pPr>
            <w:r>
              <w:rPr>
                <w:rFonts w:hint="eastAsia" w:cs="@仿宋_GB2312" w:asciiTheme="minorEastAsia" w:hAnsiTheme="minorEastAsia" w:eastAsiaTheme="minorEastAsia"/>
                <w:b/>
                <w:color w:val="auto"/>
                <w:kern w:val="2"/>
                <w:sz w:val="24"/>
                <w:szCs w:val="22"/>
                <w:highlight w:val="none"/>
              </w:rPr>
              <w:t>说明和要求</w:t>
            </w:r>
          </w:p>
        </w:tc>
      </w:tr>
      <w:tr w14:paraId="34E3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17FA2C4">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1</w:t>
            </w:r>
          </w:p>
        </w:tc>
        <w:tc>
          <w:tcPr>
            <w:tcW w:w="749" w:type="pct"/>
            <w:vAlign w:val="center"/>
          </w:tcPr>
          <w:p w14:paraId="0D8F0161">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人员到岗及履约要求</w:t>
            </w:r>
          </w:p>
        </w:tc>
        <w:tc>
          <w:tcPr>
            <w:tcW w:w="3688" w:type="pct"/>
            <w:vAlign w:val="center"/>
          </w:tcPr>
          <w:p w14:paraId="7197D3AA">
            <w:pPr>
              <w:spacing w:line="360" w:lineRule="auto"/>
              <w:rPr>
                <w:rFonts w:ascii="宋体" w:hAnsi="宋体" w:eastAsia="宋体" w:cs="@仿宋_GB2312"/>
                <w:color w:val="000000" w:themeColor="text1"/>
                <w:kern w:val="2"/>
                <w:sz w:val="24"/>
                <w:szCs w:val="24"/>
                <w:highlight w:val="none"/>
                <w14:textFill>
                  <w14:solidFill>
                    <w14:schemeClr w14:val="tx1"/>
                  </w14:solidFill>
                </w14:textFill>
              </w:rPr>
            </w:pPr>
            <w:r>
              <w:rPr>
                <w:rFonts w:hint="eastAsia" w:ascii="宋体" w:hAnsi="宋体" w:eastAsia="宋体" w:cs="@仿宋_GB2312"/>
                <w:color w:val="000000" w:themeColor="text1"/>
                <w:kern w:val="2"/>
                <w:sz w:val="24"/>
                <w:szCs w:val="24"/>
                <w:highlight w:val="none"/>
                <w14:textFill>
                  <w14:solidFill>
                    <w14:schemeClr w14:val="tx1"/>
                  </w14:solidFill>
                </w14:textFill>
              </w:rPr>
              <w:t>（1）供应商一旦成交，磋商时所报的本项目的项目经理</w:t>
            </w:r>
            <w:r>
              <w:rPr>
                <w:rFonts w:hint="eastAsia" w:cs="宋体"/>
                <w:bCs/>
                <w:color w:val="000000" w:themeColor="text1"/>
                <w:kern w:val="2"/>
                <w:sz w:val="24"/>
                <w:szCs w:val="24"/>
                <w:highlight w:val="none"/>
                <w14:textFill>
                  <w14:solidFill>
                    <w14:schemeClr w14:val="tx1"/>
                  </w14:solidFill>
                </w14:textFill>
              </w:rPr>
              <w:t>每月在施工现场的时间：驻场时间每月不少于</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u w:val="single"/>
                <w:lang w:val="en-US" w:eastAsia="zh-CN"/>
                <w14:textFill>
                  <w14:solidFill>
                    <w14:schemeClr w14:val="tx1"/>
                  </w14:solidFill>
                </w14:textFill>
              </w:rPr>
              <w:t>22</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14:textFill>
                  <w14:solidFill>
                    <w14:schemeClr w14:val="tx1"/>
                  </w14:solidFill>
                </w14:textFill>
              </w:rPr>
              <w:t>天，每天在岗工作时间不得少于</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u w:val="single"/>
                <w:lang w:val="en-US" w:eastAsia="zh-CN"/>
                <w14:textFill>
                  <w14:solidFill>
                    <w14:schemeClr w14:val="tx1"/>
                  </w14:solidFill>
                </w14:textFill>
              </w:rPr>
              <w:t>8</w:t>
            </w:r>
            <w:r>
              <w:rPr>
                <w:rFonts w:hint="eastAsia" w:cs="宋体"/>
                <w:bCs/>
                <w:color w:val="000000" w:themeColor="text1"/>
                <w:kern w:val="2"/>
                <w:sz w:val="24"/>
                <w:szCs w:val="24"/>
                <w:highlight w:val="none"/>
                <w:u w:val="single"/>
                <w14:textFill>
                  <w14:solidFill>
                    <w14:schemeClr w14:val="tx1"/>
                  </w14:solidFill>
                </w14:textFill>
              </w:rPr>
              <w:t xml:space="preserve"> </w:t>
            </w:r>
            <w:r>
              <w:rPr>
                <w:rFonts w:hint="eastAsia" w:cs="宋体"/>
                <w:bCs/>
                <w:color w:val="000000" w:themeColor="text1"/>
                <w:kern w:val="2"/>
                <w:sz w:val="24"/>
                <w:szCs w:val="24"/>
                <w:highlight w:val="none"/>
                <w14:textFill>
                  <w14:solidFill>
                    <w14:schemeClr w14:val="tx1"/>
                  </w14:solidFill>
                </w14:textFill>
              </w:rPr>
              <w:t>小时</w:t>
            </w:r>
            <w:r>
              <w:rPr>
                <w:rFonts w:hint="eastAsia" w:ascii="宋体" w:hAnsi="宋体" w:eastAsia="宋体" w:cs="@仿宋_GB2312"/>
                <w:color w:val="000000" w:themeColor="text1"/>
                <w:kern w:val="2"/>
                <w:sz w:val="24"/>
                <w:szCs w:val="24"/>
                <w:highlight w:val="none"/>
                <w14:textFill>
                  <w14:solidFill>
                    <w14:schemeClr w14:val="tx1"/>
                  </w14:solidFill>
                </w14:textFill>
              </w:rPr>
              <w:t>，</w:t>
            </w:r>
            <w:r>
              <w:rPr>
                <w:rFonts w:ascii="宋体" w:hAnsi="宋体" w:eastAsia="宋体" w:cs="宋体"/>
                <w:kern w:val="2"/>
                <w:sz w:val="24"/>
                <w:szCs w:val="24"/>
              </w:rPr>
              <w:t>施工现场技术负责人、各专业负责工程师及施工机械等在整个项目施工期内必须在位，否则采购人有权终止合同</w:t>
            </w:r>
            <w:r>
              <w:rPr>
                <w:rFonts w:hint="eastAsia" w:ascii="宋体" w:hAnsi="宋体" w:eastAsia="宋体" w:cs="@仿宋_GB2312"/>
                <w:color w:val="000000" w:themeColor="text1"/>
                <w:kern w:val="2"/>
                <w:sz w:val="24"/>
                <w:szCs w:val="24"/>
                <w:highlight w:val="none"/>
                <w14:textFill>
                  <w14:solidFill>
                    <w14:schemeClr w14:val="tx1"/>
                  </w14:solidFill>
                </w14:textFill>
              </w:rPr>
              <w:t>，成交供应商自行承担并赔偿可能给采购人造成的损失。</w:t>
            </w:r>
          </w:p>
          <w:p w14:paraId="267AF654">
            <w:pPr>
              <w:spacing w:line="360" w:lineRule="auto"/>
              <w:rPr>
                <w:rFonts w:ascii="宋体" w:hAnsi="宋体" w:eastAsia="宋体" w:cs="@仿宋_GB2312"/>
                <w:color w:val="000000" w:themeColor="text1"/>
                <w:kern w:val="2"/>
                <w:sz w:val="24"/>
                <w:szCs w:val="24"/>
                <w:highlight w:val="none"/>
                <w14:textFill>
                  <w14:solidFill>
                    <w14:schemeClr w14:val="tx1"/>
                  </w14:solidFill>
                </w14:textFill>
              </w:rPr>
            </w:pPr>
            <w:r>
              <w:rPr>
                <w:rFonts w:hint="eastAsia" w:ascii="宋体" w:hAnsi="宋体" w:eastAsia="宋体" w:cs="@仿宋_GB2312"/>
                <w:color w:val="000000" w:themeColor="text1"/>
                <w:kern w:val="2"/>
                <w:sz w:val="24"/>
                <w:szCs w:val="24"/>
                <w:highlight w:val="none"/>
                <w14:textFill>
                  <w14:solidFill>
                    <w14:schemeClr w14:val="tx1"/>
                  </w14:solidFill>
                </w14:textFill>
              </w:rPr>
              <w:t>（2）成交供应商不得擅自更换磋商时所报项目经理及项目部主要管理人员。确需更换时，须报采购人同意，更换后人员不得低于成交供应商磋商时所报人员资质和技术水平。采购人如认为有必要，可要求对上述人员中的部分人员作出更好的调整。</w:t>
            </w:r>
          </w:p>
          <w:p w14:paraId="3E653738">
            <w:pPr>
              <w:spacing w:line="360" w:lineRule="auto"/>
              <w:rPr>
                <w:rFonts w:cs="@仿宋_GB2312" w:asciiTheme="minorEastAsia" w:hAnsiTheme="minorEastAsia" w:eastAsiaTheme="minorEastAsia"/>
                <w:color w:val="auto"/>
                <w:kern w:val="2"/>
                <w:sz w:val="24"/>
                <w:szCs w:val="22"/>
                <w:highlight w:val="none"/>
              </w:rPr>
            </w:pPr>
            <w:r>
              <w:rPr>
                <w:rFonts w:hint="eastAsia" w:ascii="宋体" w:hAnsi="宋体" w:eastAsia="宋体" w:cs="@仿宋_GB2312"/>
                <w:color w:val="000000" w:themeColor="text1"/>
                <w:kern w:val="2"/>
                <w:sz w:val="24"/>
                <w:szCs w:val="24"/>
                <w:highlight w:val="none"/>
                <w14:textFill>
                  <w14:solidFill>
                    <w14:schemeClr w14:val="tx1"/>
                  </w14:solidFill>
                </w14:textFill>
              </w:rPr>
              <w:t>（3）成交供应商未能按照承诺到岗尽职的，采购人将视情况严重程度对其作出相应处理，给予警告并发出整改通知。如仍未及时整改，采购人有权责令其停工整改、直至终止合同，引进新的</w:t>
            </w:r>
            <w:r>
              <w:rPr>
                <w:rFonts w:hint="eastAsia" w:cs="@仿宋_GB2312"/>
                <w:color w:val="000000" w:themeColor="text1"/>
                <w:kern w:val="2"/>
                <w:sz w:val="24"/>
                <w:szCs w:val="24"/>
                <w:highlight w:val="none"/>
                <w:lang w:eastAsia="zh-CN"/>
                <w14:textFill>
                  <w14:solidFill>
                    <w14:schemeClr w14:val="tx1"/>
                  </w14:solidFill>
                </w14:textFill>
              </w:rPr>
              <w:t>乙方</w:t>
            </w:r>
            <w:r>
              <w:rPr>
                <w:rFonts w:hint="eastAsia" w:ascii="宋体" w:hAnsi="宋体" w:eastAsia="宋体" w:cs="@仿宋_GB2312"/>
                <w:color w:val="000000" w:themeColor="text1"/>
                <w:kern w:val="2"/>
                <w:sz w:val="24"/>
                <w:szCs w:val="24"/>
                <w:highlight w:val="none"/>
                <w14:textFill>
                  <w14:solidFill>
                    <w14:schemeClr w14:val="tx1"/>
                  </w14:solidFill>
                </w14:textFill>
              </w:rPr>
              <w:t>。采购人还将停止支付工程款项，扣留任何未付的工程进度款项补偿建设单位的有关损失或工期延误的损失，并就此向</w:t>
            </w:r>
            <w:r>
              <w:rPr>
                <w:rFonts w:hint="eastAsia" w:cs="@仿宋_GB2312"/>
                <w:color w:val="000000" w:themeColor="text1"/>
                <w:kern w:val="2"/>
                <w:sz w:val="24"/>
                <w:szCs w:val="24"/>
                <w:highlight w:val="none"/>
                <w:lang w:val="en-US" w:eastAsia="zh-CN"/>
                <w14:textFill>
                  <w14:solidFill>
                    <w14:schemeClr w14:val="tx1"/>
                  </w14:solidFill>
                </w14:textFill>
              </w:rPr>
              <w:t>供应商</w:t>
            </w:r>
            <w:r>
              <w:rPr>
                <w:rFonts w:hint="eastAsia" w:ascii="宋体" w:hAnsi="宋体" w:eastAsia="宋体" w:cs="@仿宋_GB2312"/>
                <w:color w:val="000000" w:themeColor="text1"/>
                <w:kern w:val="2"/>
                <w:sz w:val="24"/>
                <w:szCs w:val="24"/>
                <w:highlight w:val="none"/>
                <w14:textFill>
                  <w14:solidFill>
                    <w14:schemeClr w14:val="tx1"/>
                  </w14:solidFill>
                </w14:textFill>
              </w:rPr>
              <w:t>索赔。</w:t>
            </w:r>
          </w:p>
        </w:tc>
      </w:tr>
      <w:tr w14:paraId="41FE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79D4F97">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2</w:t>
            </w:r>
          </w:p>
        </w:tc>
        <w:tc>
          <w:tcPr>
            <w:tcW w:w="749" w:type="pct"/>
            <w:vAlign w:val="center"/>
          </w:tcPr>
          <w:p w14:paraId="59460F45">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材料要求</w:t>
            </w:r>
          </w:p>
        </w:tc>
        <w:tc>
          <w:tcPr>
            <w:tcW w:w="3688" w:type="pct"/>
            <w:vAlign w:val="center"/>
          </w:tcPr>
          <w:p w14:paraId="1C9B89F4">
            <w:pPr>
              <w:spacing w:line="360" w:lineRule="auto"/>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质量合格，满足国家和行业规范标准。</w:t>
            </w:r>
          </w:p>
          <w:p w14:paraId="1A664310">
            <w:pPr>
              <w:spacing w:line="360" w:lineRule="auto"/>
              <w:rPr>
                <w:rFonts w:cs="@仿宋_GB2312" w:asciiTheme="minorEastAsia" w:hAnsiTheme="minorEastAsia" w:eastAsiaTheme="minorEastAsia"/>
                <w:color w:val="auto"/>
                <w:kern w:val="2"/>
                <w:sz w:val="24"/>
                <w:szCs w:val="22"/>
                <w:highlight w:val="none"/>
              </w:rPr>
            </w:pPr>
            <w:r>
              <w:rPr>
                <w:rFonts w:hint="eastAsia" w:ascii="宋体" w:hAnsi="宋体" w:eastAsia="宋体" w:cs="@仿宋_GB2312"/>
                <w:color w:val="000000" w:themeColor="text1"/>
                <w:kern w:val="2"/>
                <w:sz w:val="24"/>
                <w:szCs w:val="24"/>
                <w:highlight w:val="none"/>
                <w:lang w:val="en-US" w:eastAsia="zh-CN"/>
                <w14:textFill>
                  <w14:solidFill>
                    <w14:schemeClr w14:val="tx1"/>
                  </w14:solidFill>
                </w14:textFill>
              </w:rPr>
              <w:t>注：成交供应商自行采购的材料应满足设计和规范要求的质量等级，并须按有关技术规范要求对材料质量进行检验。成交供应商选定的材料供应厂家和价格须经采购人认可。如采购人对某种或某些材料的质量有异议，有权提出停止使用的要求，成交供应商必须服从该要求。若该材料经检验部门鉴定确有质量问题，由此而发生的一切费用由成交供应商自负。因成交供应商自行采购的材料质量引起的工程质量问题由成交供应商承担所造成的一切损失。</w:t>
            </w:r>
          </w:p>
        </w:tc>
      </w:tr>
      <w:tr w14:paraId="6CA0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7587C6AF">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3</w:t>
            </w:r>
          </w:p>
        </w:tc>
        <w:tc>
          <w:tcPr>
            <w:tcW w:w="749" w:type="pct"/>
            <w:vAlign w:val="center"/>
          </w:tcPr>
          <w:p w14:paraId="5AA381F0">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工程施工重点难点</w:t>
            </w:r>
          </w:p>
        </w:tc>
        <w:tc>
          <w:tcPr>
            <w:tcW w:w="3688" w:type="pct"/>
            <w:vAlign w:val="center"/>
          </w:tcPr>
          <w:p w14:paraId="7B51A44B">
            <w:pPr>
              <w:spacing w:line="360" w:lineRule="auto"/>
              <w:rPr>
                <w:rFonts w:hint="eastAsia" w:cs="@仿宋_GB2312" w:asciiTheme="minorEastAsia" w:hAnsiTheme="minorEastAsia" w:eastAsiaTheme="minorEastAsia"/>
                <w:color w:val="auto"/>
                <w:kern w:val="2"/>
                <w:sz w:val="24"/>
                <w:szCs w:val="22"/>
                <w:highlight w:val="none"/>
                <w:lang w:eastAsia="zh-CN"/>
              </w:rPr>
            </w:pPr>
            <w:r>
              <w:rPr>
                <w:rFonts w:hint="eastAsia" w:cs="@仿宋_GB2312" w:asciiTheme="minorEastAsia" w:hAnsiTheme="minorEastAsia" w:eastAsiaTheme="minorEastAsia"/>
                <w:color w:val="auto"/>
                <w:kern w:val="2"/>
                <w:sz w:val="24"/>
                <w:szCs w:val="22"/>
                <w:highlight w:val="none"/>
                <w:lang w:val="en-US" w:eastAsia="zh-CN"/>
              </w:rPr>
              <w:t>/</w:t>
            </w:r>
          </w:p>
        </w:tc>
      </w:tr>
      <w:tr w14:paraId="3BC9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4F36B8C">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4</w:t>
            </w:r>
          </w:p>
        </w:tc>
        <w:tc>
          <w:tcPr>
            <w:tcW w:w="749" w:type="pct"/>
            <w:vAlign w:val="center"/>
          </w:tcPr>
          <w:p w14:paraId="59F57371">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报价须知</w:t>
            </w:r>
          </w:p>
        </w:tc>
        <w:tc>
          <w:tcPr>
            <w:tcW w:w="3688" w:type="pct"/>
            <w:vAlign w:val="center"/>
          </w:tcPr>
          <w:p w14:paraId="4E47258F">
            <w:pPr>
              <w:numPr>
                <w:ilvl w:val="0"/>
                <w:numId w:val="0"/>
              </w:numPr>
              <w:spacing w:line="360" w:lineRule="auto"/>
              <w:rPr>
                <w:rFonts w:hint="eastAsia"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lang w:val="en-US" w:eastAsia="zh-CN"/>
              </w:rPr>
              <w:t>（1）</w:t>
            </w:r>
            <w:r>
              <w:rPr>
                <w:rFonts w:hint="eastAsia" w:cs="@仿宋_GB2312" w:asciiTheme="minorEastAsia" w:hAnsiTheme="minorEastAsia" w:eastAsiaTheme="minorEastAsia"/>
                <w:color w:val="auto"/>
                <w:kern w:val="2"/>
                <w:sz w:val="24"/>
                <w:szCs w:val="22"/>
                <w:highlight w:val="none"/>
              </w:rPr>
              <w:t>供应商最后报价均不得高于磋商文件（公告）列明的项目预算、最高投标限价，否则其响应文件将被认定为响应无效。</w:t>
            </w:r>
          </w:p>
          <w:p w14:paraId="69BA0FB9">
            <w:pPr>
              <w:pStyle w:val="69"/>
              <w:widowControl w:val="0"/>
              <w:spacing w:before="0" w:beforeAutospacing="0" w:after="0" w:afterAutospacing="0" w:line="360" w:lineRule="auto"/>
              <w:jc w:val="both"/>
              <w:rPr>
                <w:rFonts w:hint="eastAsia" w:cs="@仿宋_GB2312" w:asciiTheme="minorEastAsia" w:hAnsiTheme="minorEastAsia" w:eastAsiaTheme="minorEastAsia"/>
                <w:color w:val="FF0000"/>
                <w:kern w:val="2"/>
                <w:sz w:val="24"/>
                <w:highlight w:val="none"/>
                <w:lang w:eastAsia="zh-CN"/>
              </w:rPr>
            </w:pPr>
            <w:r>
              <w:rPr>
                <w:rFonts w:hint="eastAsia" w:cs="Times New Roman"/>
                <w:color w:val="FF0000"/>
                <w:kern w:val="2"/>
                <w:sz w:val="24"/>
                <w:szCs w:val="24"/>
                <w:highlight w:val="none"/>
                <w:lang w:eastAsia="zh-CN"/>
              </w:rPr>
              <w:t>（</w:t>
            </w:r>
            <w:r>
              <w:rPr>
                <w:rFonts w:hint="eastAsia" w:cs="Times New Roman"/>
                <w:color w:val="FF0000"/>
                <w:kern w:val="2"/>
                <w:sz w:val="24"/>
                <w:szCs w:val="24"/>
                <w:highlight w:val="none"/>
                <w:lang w:val="en-US" w:eastAsia="zh-CN"/>
              </w:rPr>
              <w:t>2）</w:t>
            </w:r>
            <w:r>
              <w:rPr>
                <w:rFonts w:hint="eastAsia" w:ascii="宋体" w:hAnsi="宋体" w:eastAsia="宋体" w:cs="@仿宋_GB2312"/>
                <w:bCs/>
                <w:color w:val="FF0000"/>
                <w:kern w:val="2"/>
                <w:sz w:val="24"/>
                <w:szCs w:val="24"/>
                <w:highlight w:val="none"/>
              </w:rPr>
              <w:t>安全生产费用</w:t>
            </w:r>
            <w:r>
              <w:rPr>
                <w:rFonts w:hint="eastAsia" w:ascii="宋体" w:hAnsi="宋体" w:eastAsia="宋体" w:cs="@仿宋_GB2312"/>
                <w:bCs/>
                <w:color w:val="FF0000"/>
                <w:kern w:val="2"/>
                <w:sz w:val="24"/>
                <w:szCs w:val="24"/>
                <w:highlight w:val="none"/>
                <w:lang w:eastAsia="zh-CN"/>
              </w:rPr>
              <w:t>：此费用为</w:t>
            </w:r>
            <w:r>
              <w:rPr>
                <w:rFonts w:hint="eastAsia" w:ascii="宋体" w:hAnsi="宋体" w:eastAsia="宋体" w:cs="@仿宋_GB2312"/>
                <w:bCs/>
                <w:color w:val="FF0000"/>
                <w:kern w:val="2"/>
                <w:sz w:val="24"/>
                <w:szCs w:val="24"/>
                <w:highlight w:val="none"/>
                <w:lang w:val="en-US" w:eastAsia="zh-CN"/>
              </w:rPr>
              <w:t>固定价格，</w:t>
            </w:r>
            <w:r>
              <w:rPr>
                <w:rFonts w:hint="eastAsia" w:ascii="宋体" w:hAnsi="宋体" w:eastAsia="宋体" w:cs="@仿宋_GB2312"/>
                <w:bCs/>
                <w:color w:val="FF0000"/>
                <w:kern w:val="2"/>
                <w:sz w:val="24"/>
                <w:szCs w:val="24"/>
                <w:highlight w:val="none"/>
                <w:lang w:eastAsia="zh-CN"/>
              </w:rPr>
              <w:t>不得修改、删减、二次报价不</w:t>
            </w:r>
            <w:r>
              <w:rPr>
                <w:rFonts w:hint="eastAsia" w:ascii="宋体" w:hAnsi="宋体" w:eastAsia="宋体" w:cs="@仿宋_GB2312"/>
                <w:bCs/>
                <w:color w:val="FF0000"/>
                <w:kern w:val="2"/>
                <w:sz w:val="24"/>
                <w:szCs w:val="24"/>
                <w:highlight w:val="none"/>
                <w:lang w:val="en-US" w:eastAsia="zh-CN"/>
              </w:rPr>
              <w:t>进行</w:t>
            </w:r>
            <w:r>
              <w:rPr>
                <w:rFonts w:hint="eastAsia" w:ascii="宋体" w:hAnsi="宋体" w:eastAsia="宋体" w:cs="@仿宋_GB2312"/>
                <w:bCs/>
                <w:color w:val="FF0000"/>
                <w:kern w:val="2"/>
                <w:sz w:val="24"/>
                <w:szCs w:val="24"/>
                <w:highlight w:val="none"/>
                <w:lang w:eastAsia="zh-CN"/>
              </w:rPr>
              <w:t>下浮</w:t>
            </w:r>
            <w:r>
              <w:rPr>
                <w:rFonts w:hint="eastAsia" w:cs="@仿宋_GB2312"/>
                <w:bCs/>
                <w:color w:val="FF0000"/>
                <w:kern w:val="2"/>
                <w:sz w:val="24"/>
                <w:szCs w:val="24"/>
                <w:highlight w:val="none"/>
                <w:lang w:eastAsia="zh-CN"/>
              </w:rPr>
              <w:t>，</w:t>
            </w:r>
            <w:r>
              <w:rPr>
                <w:rFonts w:hint="eastAsia" w:ascii="宋体" w:hAnsi="宋体" w:eastAsia="宋体" w:cs="@仿宋_GB2312"/>
                <w:bCs/>
                <w:color w:val="FF0000"/>
                <w:kern w:val="2"/>
                <w:sz w:val="24"/>
                <w:szCs w:val="24"/>
                <w:highlight w:val="none"/>
                <w:lang w:eastAsia="zh-CN"/>
              </w:rPr>
              <w:t>否则其响应文件将被认定为响应无效。</w:t>
            </w:r>
            <w:r>
              <w:rPr>
                <w:rFonts w:hint="eastAsia" w:cs="@仿宋_GB2312" w:asciiTheme="minorEastAsia" w:hAnsiTheme="minorEastAsia" w:eastAsiaTheme="minorEastAsia"/>
                <w:color w:val="FF0000"/>
                <w:kern w:val="2"/>
                <w:sz w:val="24"/>
                <w:highlight w:val="none"/>
              </w:rPr>
              <w:t>专款专用，开工前报具体的措施方案，经合同甲方审核同意后实施，据实结算</w:t>
            </w:r>
            <w:r>
              <w:rPr>
                <w:rFonts w:hint="eastAsia" w:cs="@仿宋_GB2312" w:asciiTheme="minorEastAsia" w:hAnsiTheme="minorEastAsia" w:eastAsiaTheme="minorEastAsia"/>
                <w:color w:val="FF0000"/>
                <w:kern w:val="2"/>
                <w:sz w:val="24"/>
                <w:highlight w:val="none"/>
                <w:lang w:eastAsia="zh-CN"/>
              </w:rPr>
              <w:t>。</w:t>
            </w:r>
          </w:p>
          <w:p w14:paraId="0D9120F7">
            <w:pPr>
              <w:pStyle w:val="69"/>
              <w:widowControl w:val="0"/>
              <w:spacing w:before="0" w:beforeAutospacing="0" w:after="0" w:afterAutospacing="0" w:line="360" w:lineRule="auto"/>
              <w:jc w:val="both"/>
              <w:rPr>
                <w:rFonts w:hint="eastAsia" w:cs="@仿宋_GB2312" w:asciiTheme="minorEastAsia" w:hAnsiTheme="minorEastAsia" w:eastAsiaTheme="minorEastAsia"/>
                <w:color w:val="FF0000"/>
                <w:kern w:val="2"/>
                <w:sz w:val="24"/>
                <w:highlight w:val="none"/>
                <w:lang w:eastAsia="zh-CN"/>
              </w:rPr>
            </w:pPr>
            <w:r>
              <w:rPr>
                <w:rFonts w:hint="eastAsia" w:cs="Times New Roman"/>
                <w:color w:val="FF0000"/>
                <w:kern w:val="2"/>
                <w:sz w:val="24"/>
                <w:szCs w:val="24"/>
                <w:highlight w:val="none"/>
                <w:lang w:eastAsia="zh-CN"/>
              </w:rPr>
              <w:t>（</w:t>
            </w:r>
            <w:r>
              <w:rPr>
                <w:rFonts w:hint="eastAsia" w:cs="Times New Roman"/>
                <w:color w:val="FF0000"/>
                <w:kern w:val="2"/>
                <w:sz w:val="24"/>
                <w:szCs w:val="24"/>
                <w:highlight w:val="none"/>
                <w:lang w:val="en-US" w:eastAsia="zh-CN"/>
              </w:rPr>
              <w:t>3）</w:t>
            </w:r>
            <w:r>
              <w:rPr>
                <w:rFonts w:hint="eastAsia" w:cs="Times New Roman"/>
                <w:color w:val="FF0000"/>
                <w:kern w:val="2"/>
                <w:sz w:val="24"/>
                <w:szCs w:val="24"/>
                <w:highlight w:val="none"/>
              </w:rPr>
              <w:t>除</w:t>
            </w:r>
            <w:r>
              <w:rPr>
                <w:rFonts w:hint="eastAsia" w:cs="Times New Roman"/>
                <w:color w:val="FF0000"/>
                <w:kern w:val="2"/>
                <w:sz w:val="24"/>
                <w:szCs w:val="24"/>
                <w:highlight w:val="none"/>
                <w:lang w:val="en-US" w:eastAsia="zh-CN"/>
              </w:rPr>
              <w:t>磋商</w:t>
            </w:r>
            <w:r>
              <w:rPr>
                <w:rFonts w:hint="eastAsia" w:cs="Times New Roman"/>
                <w:color w:val="FF0000"/>
                <w:kern w:val="2"/>
                <w:sz w:val="24"/>
                <w:szCs w:val="24"/>
                <w:highlight w:val="none"/>
              </w:rPr>
              <w:t>文件另有规定外,</w:t>
            </w:r>
            <w:r>
              <w:rPr>
                <w:rFonts w:hint="eastAsia" w:cs="Times New Roman"/>
                <w:color w:val="FF0000"/>
                <w:kern w:val="2"/>
                <w:sz w:val="24"/>
                <w:szCs w:val="24"/>
                <w:highlight w:val="none"/>
                <w:lang w:val="en-US" w:eastAsia="zh-CN"/>
              </w:rPr>
              <w:t>供应商</w:t>
            </w:r>
            <w:r>
              <w:rPr>
                <w:rFonts w:hint="eastAsia" w:cs="Times New Roman"/>
                <w:color w:val="FF0000"/>
                <w:kern w:val="2"/>
                <w:sz w:val="24"/>
                <w:szCs w:val="24"/>
                <w:highlight w:val="none"/>
              </w:rPr>
              <w:t>不得随意增加、删除或涂改</w:t>
            </w:r>
            <w:r>
              <w:rPr>
                <w:rFonts w:hint="eastAsia" w:cs="Times New Roman"/>
                <w:color w:val="FF0000"/>
                <w:kern w:val="2"/>
                <w:sz w:val="24"/>
                <w:szCs w:val="24"/>
                <w:highlight w:val="none"/>
                <w:lang w:val="en-US" w:eastAsia="zh-CN"/>
              </w:rPr>
              <w:t>磋商</w:t>
            </w:r>
            <w:r>
              <w:rPr>
                <w:rFonts w:hint="eastAsia" w:cs="Times New Roman"/>
                <w:color w:val="FF0000"/>
                <w:kern w:val="2"/>
                <w:sz w:val="24"/>
                <w:szCs w:val="24"/>
                <w:highlight w:val="none"/>
              </w:rPr>
              <w:t>文件工程量清单</w:t>
            </w:r>
            <w:r>
              <w:rPr>
                <w:rFonts w:hint="eastAsia" w:cs="Times New Roman"/>
                <w:color w:val="FF0000"/>
                <w:kern w:val="2"/>
                <w:sz w:val="24"/>
                <w:szCs w:val="24"/>
                <w:highlight w:val="none"/>
                <w:lang w:val="en-US" w:eastAsia="zh-CN"/>
              </w:rPr>
              <w:t>及最高投标限价</w:t>
            </w:r>
            <w:r>
              <w:rPr>
                <w:rFonts w:hint="eastAsia" w:cs="Times New Roman"/>
                <w:color w:val="FF0000"/>
                <w:kern w:val="2"/>
                <w:sz w:val="24"/>
                <w:szCs w:val="24"/>
                <w:highlight w:val="none"/>
              </w:rPr>
              <w:t>中的任何内容</w:t>
            </w:r>
            <w:r>
              <w:rPr>
                <w:rFonts w:hint="eastAsia" w:cs="宋体"/>
                <w:b/>
                <w:color w:val="FF0000"/>
                <w:kern w:val="2"/>
                <w:sz w:val="24"/>
                <w:szCs w:val="24"/>
                <w:highlight w:val="none"/>
                <w:lang w:eastAsia="zh-CN"/>
              </w:rPr>
              <w:t>，</w:t>
            </w:r>
            <w:r>
              <w:rPr>
                <w:rFonts w:ascii="宋体" w:hAnsi="宋体" w:eastAsia="宋体" w:cs="@仿宋_GB2312"/>
                <w:bCs/>
                <w:color w:val="FF0000"/>
                <w:kern w:val="2"/>
                <w:sz w:val="24"/>
                <w:szCs w:val="24"/>
                <w:highlight w:val="none"/>
              </w:rPr>
              <w:t>否则其响应文件将被认定为</w:t>
            </w:r>
            <w:r>
              <w:rPr>
                <w:rFonts w:ascii="宋体" w:hAnsi="宋体" w:eastAsia="宋体" w:cs="@仿宋_GB2312"/>
                <w:b/>
                <w:color w:val="FF0000"/>
                <w:kern w:val="2"/>
                <w:sz w:val="24"/>
                <w:szCs w:val="24"/>
                <w:highlight w:val="none"/>
              </w:rPr>
              <w:t>响应无效</w:t>
            </w:r>
            <w:r>
              <w:rPr>
                <w:rFonts w:hint="eastAsia" w:ascii="宋体" w:hAnsi="宋体" w:eastAsia="宋体" w:cs="@仿宋_GB2312"/>
                <w:color w:val="FF0000"/>
                <w:kern w:val="2"/>
                <w:sz w:val="24"/>
                <w:szCs w:val="24"/>
                <w:highlight w:val="none"/>
              </w:rPr>
              <w:t>。</w:t>
            </w:r>
          </w:p>
        </w:tc>
      </w:tr>
      <w:tr w14:paraId="2C21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E5572F4">
            <w:pPr>
              <w:spacing w:line="360" w:lineRule="auto"/>
              <w:jc w:val="center"/>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5</w:t>
            </w:r>
          </w:p>
        </w:tc>
        <w:tc>
          <w:tcPr>
            <w:tcW w:w="749" w:type="pct"/>
            <w:vAlign w:val="center"/>
          </w:tcPr>
          <w:p w14:paraId="4D74F8CE">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重要说明</w:t>
            </w:r>
          </w:p>
        </w:tc>
        <w:tc>
          <w:tcPr>
            <w:tcW w:w="3688" w:type="pct"/>
            <w:vAlign w:val="center"/>
          </w:tcPr>
          <w:p w14:paraId="252772A3">
            <w:pPr>
              <w:spacing w:line="360" w:lineRule="auto"/>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（1）本项目的磋商文件、工程量清单、</w:t>
            </w:r>
            <w:r>
              <w:rPr>
                <w:rFonts w:hint="eastAsia" w:cs="@仿宋_GB2312"/>
                <w:color w:val="auto"/>
                <w:kern w:val="2"/>
                <w:sz w:val="24"/>
                <w:szCs w:val="24"/>
                <w:highlight w:val="none"/>
                <w:lang w:val="en-US" w:eastAsia="zh-CN"/>
              </w:rPr>
              <w:t>最高投标限价、</w:t>
            </w:r>
            <w:r>
              <w:rPr>
                <w:rFonts w:hint="eastAsia" w:ascii="宋体" w:hAnsi="宋体" w:eastAsia="宋体" w:cs="@仿宋_GB2312"/>
                <w:color w:val="auto"/>
                <w:kern w:val="2"/>
                <w:sz w:val="24"/>
                <w:szCs w:val="24"/>
                <w:highlight w:val="none"/>
              </w:rPr>
              <w:t>澄清、修改、补充等相关资料均通过电子服务系统发布，请供应商自行从网上下载，供应商应当及时查看有无相关澄清、修改、补充等内容。</w:t>
            </w:r>
          </w:p>
          <w:p w14:paraId="150597D6">
            <w:pPr>
              <w:spacing w:line="360" w:lineRule="auto"/>
              <w:rPr>
                <w:rFonts w:hint="eastAsia" w:cs="@仿宋_GB2312"/>
                <w:b/>
                <w:bCs/>
                <w:color w:val="auto"/>
                <w:kern w:val="2"/>
                <w:sz w:val="24"/>
                <w:szCs w:val="24"/>
                <w:highlight w:val="none"/>
                <w:lang w:eastAsia="zh-CN"/>
              </w:rPr>
            </w:pPr>
            <w:r>
              <w:rPr>
                <w:rFonts w:hint="eastAsia" w:eastAsia="宋体" w:cs="Times New Roman"/>
                <w:b/>
                <w:bCs/>
                <w:color w:val="auto"/>
                <w:kern w:val="2"/>
                <w:sz w:val="24"/>
                <w:szCs w:val="24"/>
                <w:highlight w:val="none"/>
              </w:rPr>
              <w:t>（</w:t>
            </w:r>
            <w:r>
              <w:rPr>
                <w:rFonts w:hint="eastAsia" w:cs="Times New Roman"/>
                <w:b/>
                <w:bCs/>
                <w:color w:val="auto"/>
                <w:kern w:val="2"/>
                <w:sz w:val="24"/>
                <w:szCs w:val="24"/>
                <w:highlight w:val="none"/>
                <w:lang w:val="en-US" w:eastAsia="zh-CN"/>
              </w:rPr>
              <w:t>2</w:t>
            </w:r>
            <w:r>
              <w:rPr>
                <w:rFonts w:hint="eastAsia" w:eastAsia="宋体" w:cs="Times New Roman"/>
                <w:b/>
                <w:bCs/>
                <w:color w:val="auto"/>
                <w:kern w:val="2"/>
                <w:sz w:val="24"/>
                <w:szCs w:val="24"/>
                <w:highlight w:val="none"/>
              </w:rPr>
              <w:t>）</w:t>
            </w:r>
            <w:r>
              <w:rPr>
                <w:rFonts w:hint="eastAsia" w:ascii="宋体" w:hAnsi="宋体" w:eastAsia="宋体" w:cs="@仿宋_GB2312"/>
                <w:b/>
                <w:bCs/>
                <w:color w:val="auto"/>
                <w:kern w:val="2"/>
                <w:sz w:val="24"/>
                <w:szCs w:val="24"/>
                <w:highlight w:val="none"/>
              </w:rPr>
              <w:t>供应商在工程实施过程中用工行为，必须严格执行国家及地方政府的有关规定，依法签订劳动合同，并按规定及时足额支付工资</w:t>
            </w:r>
            <w:r>
              <w:rPr>
                <w:rFonts w:hint="eastAsia" w:ascii="宋体" w:hAnsi="宋体" w:eastAsia="宋体" w:cs="@仿宋_GB2312"/>
                <w:b/>
                <w:bCs/>
                <w:color w:val="auto"/>
                <w:kern w:val="2"/>
                <w:sz w:val="24"/>
                <w:szCs w:val="24"/>
                <w:highlight w:val="none"/>
                <w:lang w:eastAsia="zh-CN"/>
              </w:rPr>
              <w:t>；</w:t>
            </w:r>
            <w:r>
              <w:rPr>
                <w:rFonts w:hint="eastAsia" w:ascii="宋体" w:hAnsi="宋体" w:eastAsia="宋体" w:cs="@仿宋_GB2312"/>
                <w:b/>
                <w:bCs/>
                <w:color w:val="auto"/>
                <w:kern w:val="2"/>
                <w:sz w:val="24"/>
                <w:szCs w:val="24"/>
                <w:highlight w:val="none"/>
              </w:rPr>
              <w:t>合同履约期间，作业人员突发疾病、意外等造成的人员伤亡及财产损失均由</w:t>
            </w:r>
            <w:r>
              <w:rPr>
                <w:rFonts w:hint="eastAsia" w:cs="@仿宋_GB2312"/>
                <w:b/>
                <w:bCs/>
                <w:color w:val="auto"/>
                <w:kern w:val="2"/>
                <w:sz w:val="24"/>
                <w:szCs w:val="24"/>
                <w:highlight w:val="none"/>
                <w:lang w:val="en-US" w:eastAsia="zh-CN"/>
              </w:rPr>
              <w:t>供应商</w:t>
            </w:r>
            <w:r>
              <w:rPr>
                <w:rFonts w:hint="eastAsia" w:ascii="宋体" w:hAnsi="宋体" w:eastAsia="宋体" w:cs="@仿宋_GB2312"/>
                <w:b/>
                <w:bCs/>
                <w:color w:val="auto"/>
                <w:kern w:val="2"/>
                <w:sz w:val="24"/>
                <w:szCs w:val="24"/>
                <w:highlight w:val="none"/>
              </w:rPr>
              <w:t>负责</w:t>
            </w:r>
            <w:r>
              <w:rPr>
                <w:rFonts w:hint="eastAsia" w:cs="@仿宋_GB2312"/>
                <w:b/>
                <w:bCs/>
                <w:color w:val="auto"/>
                <w:kern w:val="2"/>
                <w:sz w:val="24"/>
                <w:szCs w:val="24"/>
                <w:highlight w:val="none"/>
                <w:lang w:eastAsia="zh-CN"/>
              </w:rPr>
              <w:t>。</w:t>
            </w:r>
          </w:p>
          <w:p w14:paraId="2C9B4089">
            <w:pPr>
              <w:spacing w:line="360" w:lineRule="auto"/>
              <w:rPr>
                <w:rFonts w:ascii="宋体" w:hAnsi="宋体" w:eastAsia="宋体" w:cs="宋体"/>
                <w:kern w:val="2"/>
                <w:sz w:val="24"/>
                <w:szCs w:val="24"/>
              </w:rPr>
            </w:pPr>
            <w:r>
              <w:rPr>
                <w:rFonts w:ascii="宋体" w:hAnsi="宋体" w:eastAsia="宋体" w:cs="宋体"/>
                <w:kern w:val="2"/>
                <w:sz w:val="24"/>
                <w:szCs w:val="24"/>
              </w:rPr>
              <w:t>（</w:t>
            </w:r>
            <w:r>
              <w:rPr>
                <w:rFonts w:hint="eastAsia" w:ascii="宋体" w:hAnsi="宋体" w:eastAsia="宋体" w:cs="宋体"/>
                <w:kern w:val="2"/>
                <w:sz w:val="24"/>
                <w:szCs w:val="24"/>
                <w:lang w:val="en-US" w:eastAsia="zh-CN"/>
              </w:rPr>
              <w:t>3</w:t>
            </w:r>
            <w:r>
              <w:rPr>
                <w:rFonts w:ascii="宋体" w:hAnsi="宋体" w:eastAsia="宋体" w:cs="宋体"/>
                <w:kern w:val="2"/>
                <w:sz w:val="24"/>
                <w:szCs w:val="24"/>
              </w:rPr>
              <w:t>）采购需求中：</w:t>
            </w:r>
          </w:p>
          <w:p w14:paraId="76ED3C3B">
            <w:pPr>
              <w:spacing w:line="360" w:lineRule="auto"/>
              <w:rPr>
                <w:rFonts w:hint="eastAsia" w:eastAsia="宋体" w:cs="@仿宋_GB2312"/>
                <w:b/>
                <w:bCs/>
                <w:color w:val="auto"/>
                <w:kern w:val="2"/>
                <w:sz w:val="24"/>
                <w:szCs w:val="24"/>
                <w:highlight w:val="none"/>
                <w:lang w:val="en-US" w:eastAsia="zh-CN"/>
              </w:rPr>
            </w:pPr>
            <w:r>
              <w:rPr>
                <w:rFonts w:ascii="宋体" w:hAnsi="宋体" w:eastAsia="宋体" w:cs="宋体"/>
                <w:kern w:val="2"/>
                <w:sz w:val="24"/>
                <w:szCs w:val="24"/>
              </w:rPr>
              <w:t>（</w:t>
            </w:r>
            <w:r>
              <w:rPr>
                <w:rFonts w:hint="eastAsia" w:ascii="宋体" w:hAnsi="宋体" w:eastAsia="宋体" w:cs="宋体"/>
                <w:kern w:val="2"/>
                <w:sz w:val="24"/>
                <w:szCs w:val="24"/>
                <w:lang w:val="en-US" w:eastAsia="zh-CN"/>
              </w:rPr>
              <w:t>3</w:t>
            </w:r>
            <w:r>
              <w:rPr>
                <w:rFonts w:ascii="宋体" w:hAnsi="宋体" w:eastAsia="宋体" w:cs="宋体"/>
                <w:kern w:val="2"/>
                <w:sz w:val="24"/>
                <w:szCs w:val="24"/>
              </w:rPr>
              <w:t>.1）如属于《节能产品政府采购品目清单》中政府强制采购的节能产品，则供应商所投产品须具有市场监管总局公布的《参与实施政府采购节能产品认证机构目录》中的认证机构出具的、处于有效期内的节能产品认证证书。（</w:t>
            </w:r>
            <w:r>
              <w:rPr>
                <w:rFonts w:hint="eastAsia" w:ascii="宋体" w:hAnsi="宋体" w:eastAsia="宋体" w:cs="宋体"/>
                <w:kern w:val="2"/>
                <w:sz w:val="24"/>
                <w:szCs w:val="24"/>
                <w:lang w:val="en-US" w:eastAsia="zh-CN"/>
              </w:rPr>
              <w:t>3</w:t>
            </w:r>
            <w:r>
              <w:rPr>
                <w:rFonts w:ascii="宋体" w:hAnsi="宋体" w:eastAsia="宋体" w:cs="宋体"/>
                <w:kern w:val="2"/>
                <w:sz w:val="24"/>
                <w:szCs w:val="24"/>
              </w:rPr>
              <w:t>.2）如涉及商品包装和快递包装，供应商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r>
              <w:rPr>
                <w:rFonts w:hint="eastAsia" w:ascii="宋体" w:hAnsi="宋体" w:eastAsia="宋体" w:cs="宋体"/>
                <w:kern w:val="2"/>
                <w:sz w:val="24"/>
                <w:szCs w:val="24"/>
                <w:lang w:eastAsia="zh-CN"/>
              </w:rPr>
              <w:t>。</w:t>
            </w:r>
          </w:p>
        </w:tc>
      </w:tr>
      <w:tr w14:paraId="473D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2A9DB2C4">
            <w:pPr>
              <w:spacing w:line="360" w:lineRule="auto"/>
              <w:jc w:val="center"/>
              <w:rPr>
                <w:rFonts w:cs="@仿宋_GB2312" w:asciiTheme="minorEastAsia" w:hAnsiTheme="minorEastAsia" w:eastAsiaTheme="minorEastAsia"/>
                <w:color w:val="auto"/>
                <w:kern w:val="2"/>
                <w:sz w:val="24"/>
                <w:szCs w:val="22"/>
                <w:highlight w:val="none"/>
              </w:rPr>
            </w:pPr>
            <w:r>
              <w:rPr>
                <w:rFonts w:cs="@仿宋_GB2312" w:asciiTheme="minorEastAsia" w:hAnsiTheme="minorEastAsia" w:eastAsiaTheme="minorEastAsia"/>
                <w:color w:val="auto"/>
                <w:kern w:val="2"/>
                <w:sz w:val="24"/>
                <w:szCs w:val="22"/>
                <w:highlight w:val="none"/>
              </w:rPr>
              <w:t>6</w:t>
            </w:r>
          </w:p>
        </w:tc>
        <w:tc>
          <w:tcPr>
            <w:tcW w:w="749" w:type="pct"/>
            <w:vAlign w:val="center"/>
          </w:tcPr>
          <w:p w14:paraId="08EF31FB">
            <w:pPr>
              <w:spacing w:line="360" w:lineRule="auto"/>
              <w:rPr>
                <w:rFonts w:cs="@仿宋_GB2312" w:asciiTheme="minorEastAsia" w:hAnsiTheme="minorEastAsia" w:eastAsiaTheme="minorEastAsia"/>
                <w:color w:val="auto"/>
                <w:kern w:val="2"/>
                <w:sz w:val="24"/>
                <w:szCs w:val="22"/>
                <w:highlight w:val="none"/>
              </w:rPr>
            </w:pPr>
            <w:r>
              <w:rPr>
                <w:rFonts w:hint="eastAsia" w:cs="@仿宋_GB2312" w:asciiTheme="minorEastAsia" w:hAnsiTheme="minorEastAsia" w:eastAsiaTheme="minorEastAsia"/>
                <w:color w:val="auto"/>
                <w:kern w:val="2"/>
                <w:sz w:val="24"/>
                <w:szCs w:val="22"/>
                <w:highlight w:val="none"/>
              </w:rPr>
              <w:t>项目经理</w:t>
            </w:r>
          </w:p>
        </w:tc>
        <w:tc>
          <w:tcPr>
            <w:tcW w:w="3688" w:type="pct"/>
            <w:vAlign w:val="center"/>
          </w:tcPr>
          <w:p w14:paraId="3BB644A3">
            <w:pPr>
              <w:spacing w:line="360" w:lineRule="auto"/>
              <w:rPr>
                <w:rFonts w:hint="default" w:ascii="宋体" w:hAnsi="宋体" w:eastAsia="宋体" w:cs="@仿宋_GB2312"/>
                <w:b/>
                <w:bCs/>
                <w:color w:val="auto"/>
                <w:kern w:val="2"/>
                <w:sz w:val="24"/>
                <w:szCs w:val="24"/>
                <w:highlight w:val="none"/>
                <w:lang w:val="en-US" w:eastAsia="zh-CN"/>
              </w:rPr>
            </w:pPr>
            <w:r>
              <w:rPr>
                <w:rFonts w:hint="eastAsia" w:ascii="宋体" w:hAnsi="宋体" w:eastAsia="宋体" w:cs="@仿宋_GB2312"/>
                <w:b/>
                <w:bCs/>
                <w:color w:val="auto"/>
                <w:kern w:val="2"/>
                <w:sz w:val="24"/>
                <w:szCs w:val="24"/>
                <w:highlight w:val="none"/>
                <w:lang w:val="en-US" w:eastAsia="zh-CN"/>
              </w:rPr>
              <w:t>（1）项目经理资质要求：供应商拟委任的项目经理须具有符合</w:t>
            </w:r>
            <w:r>
              <w:rPr>
                <w:rFonts w:hint="eastAsia" w:cs="@仿宋_GB2312"/>
                <w:b/>
                <w:bCs/>
                <w:color w:val="auto"/>
                <w:kern w:val="2"/>
                <w:sz w:val="24"/>
                <w:szCs w:val="24"/>
                <w:highlight w:val="none"/>
                <w:lang w:val="en-US" w:eastAsia="zh-CN"/>
              </w:rPr>
              <w:t>磋商公告中</w:t>
            </w:r>
            <w:r>
              <w:rPr>
                <w:rFonts w:hint="eastAsia" w:ascii="宋体" w:hAnsi="宋体" w:eastAsia="宋体" w:cs="@仿宋_GB2312"/>
                <w:b/>
                <w:bCs/>
                <w:color w:val="auto"/>
                <w:kern w:val="2"/>
                <w:sz w:val="24"/>
                <w:szCs w:val="24"/>
                <w:highlight w:val="none"/>
                <w:lang w:val="en-US" w:eastAsia="zh-CN"/>
              </w:rPr>
              <w:t>资质要求的注册建造师证书和有效的安全生产考核合格证（B证），注册单位必须是供应商本单位</w:t>
            </w:r>
            <w:r>
              <w:rPr>
                <w:rFonts w:hint="eastAsia" w:cs="@仿宋_GB2312"/>
                <w:b/>
                <w:bCs/>
                <w:color w:val="auto"/>
                <w:kern w:val="2"/>
                <w:sz w:val="24"/>
                <w:szCs w:val="24"/>
                <w:highlight w:val="none"/>
                <w:lang w:val="en-US" w:eastAsia="zh-CN"/>
              </w:rPr>
              <w:t>。</w:t>
            </w:r>
          </w:p>
          <w:p w14:paraId="33547F4E">
            <w:pPr>
              <w:spacing w:line="360" w:lineRule="auto"/>
              <w:rPr>
                <w:rFonts w:hint="eastAsia" w:ascii="宋体" w:hAnsi="宋体" w:eastAsia="宋体" w:cs="@仿宋_GB2312"/>
                <w:b/>
                <w:bCs/>
                <w:color w:val="auto"/>
                <w:kern w:val="2"/>
                <w:sz w:val="24"/>
                <w:szCs w:val="24"/>
                <w:highlight w:val="none"/>
                <w:lang w:val="en-US" w:eastAsia="zh-CN"/>
              </w:rPr>
            </w:pPr>
            <w:r>
              <w:rPr>
                <w:rFonts w:hint="eastAsia" w:ascii="宋体" w:hAnsi="宋体" w:eastAsia="宋体" w:cs="@仿宋_GB2312"/>
                <w:b/>
                <w:bCs/>
                <w:color w:val="auto"/>
                <w:kern w:val="2"/>
                <w:sz w:val="24"/>
                <w:szCs w:val="24"/>
                <w:highlight w:val="none"/>
                <w:lang w:val="en-US" w:eastAsia="zh-CN"/>
              </w:rPr>
              <w:t>（2）项目经理</w:t>
            </w:r>
            <w:r>
              <w:rPr>
                <w:rFonts w:hint="eastAsia" w:cs="@仿宋_GB2312"/>
                <w:b/>
                <w:bCs/>
                <w:color w:val="auto"/>
                <w:kern w:val="2"/>
                <w:sz w:val="24"/>
                <w:szCs w:val="24"/>
                <w:highlight w:val="none"/>
                <w:lang w:val="en-US" w:eastAsia="zh-CN"/>
              </w:rPr>
              <w:t>社保</w:t>
            </w:r>
            <w:r>
              <w:rPr>
                <w:rFonts w:hint="eastAsia" w:ascii="宋体" w:hAnsi="宋体" w:eastAsia="宋体" w:cs="@仿宋_GB2312"/>
                <w:b/>
                <w:bCs/>
                <w:color w:val="auto"/>
                <w:kern w:val="2"/>
                <w:sz w:val="24"/>
                <w:szCs w:val="24"/>
                <w:highlight w:val="none"/>
                <w:lang w:val="en-US" w:eastAsia="zh-CN"/>
              </w:rPr>
              <w:t>：供应商为</w:t>
            </w:r>
            <w:r>
              <w:rPr>
                <w:rFonts w:hint="eastAsia" w:cs="@仿宋_GB2312"/>
                <w:b/>
                <w:bCs/>
                <w:color w:val="auto"/>
                <w:kern w:val="2"/>
                <w:sz w:val="24"/>
                <w:szCs w:val="24"/>
                <w:highlight w:val="none"/>
                <w:lang w:val="en-US" w:eastAsia="zh-CN"/>
              </w:rPr>
              <w:t>项目经理</w:t>
            </w:r>
            <w:r>
              <w:rPr>
                <w:rFonts w:hint="eastAsia" w:ascii="宋体" w:hAnsi="宋体" w:eastAsia="宋体" w:cs="@仿宋_GB2312"/>
                <w:b/>
                <w:bCs/>
                <w:color w:val="auto"/>
                <w:kern w:val="2"/>
                <w:sz w:val="24"/>
                <w:szCs w:val="24"/>
                <w:highlight w:val="none"/>
                <w:lang w:val="en-US" w:eastAsia="zh-CN"/>
              </w:rPr>
              <w:t>缴纳的2025年</w:t>
            </w:r>
            <w:r>
              <w:rPr>
                <w:rFonts w:hint="eastAsia" w:cs="@仿宋_GB2312"/>
                <w:b/>
                <w:bCs/>
                <w:color w:val="auto"/>
                <w:kern w:val="2"/>
                <w:sz w:val="24"/>
                <w:szCs w:val="24"/>
                <w:highlight w:val="none"/>
                <w:lang w:val="en-US" w:eastAsia="zh-CN"/>
              </w:rPr>
              <w:t>1</w:t>
            </w:r>
            <w:r>
              <w:rPr>
                <w:rFonts w:hint="eastAsia" w:ascii="宋体" w:hAnsi="宋体" w:eastAsia="宋体" w:cs="@仿宋_GB2312"/>
                <w:b/>
                <w:bCs/>
                <w:color w:val="auto"/>
                <w:kern w:val="2"/>
                <w:sz w:val="24"/>
                <w:szCs w:val="24"/>
                <w:highlight w:val="none"/>
                <w:lang w:val="en-US" w:eastAsia="zh-CN"/>
              </w:rPr>
              <w:t>月以来任意一个月的社保证明材料（</w:t>
            </w:r>
            <w:r>
              <w:rPr>
                <w:rFonts w:hint="eastAsia" w:cs="@仿宋_GB2312"/>
                <w:b/>
                <w:bCs/>
                <w:color w:val="auto"/>
                <w:kern w:val="2"/>
                <w:sz w:val="24"/>
                <w:szCs w:val="24"/>
                <w:highlight w:val="none"/>
                <w:lang w:val="en-US" w:eastAsia="zh-CN"/>
              </w:rPr>
              <w:t>至少包含养老保险</w:t>
            </w:r>
            <w:r>
              <w:rPr>
                <w:rFonts w:hint="eastAsia" w:ascii="宋体" w:hAnsi="宋体" w:eastAsia="宋体" w:cs="@仿宋_GB2312"/>
                <w:b/>
                <w:bCs/>
                <w:color w:val="auto"/>
                <w:kern w:val="2"/>
                <w:sz w:val="24"/>
                <w:szCs w:val="24"/>
                <w:highlight w:val="none"/>
                <w:lang w:val="en-US" w:eastAsia="zh-CN"/>
              </w:rPr>
              <w:t>）。项目经理的社会保险的缴纳单位应当是供应商或者供应商不具备独立法人资格的分支机构</w:t>
            </w:r>
            <w:r>
              <w:rPr>
                <w:rFonts w:hint="eastAsia" w:cs="@仿宋_GB2312"/>
                <w:b/>
                <w:bCs/>
                <w:color w:val="auto"/>
                <w:kern w:val="2"/>
                <w:sz w:val="24"/>
                <w:szCs w:val="24"/>
                <w:highlight w:val="none"/>
                <w:lang w:val="en-US" w:eastAsia="zh-CN"/>
              </w:rPr>
              <w:t>。</w:t>
            </w:r>
          </w:p>
          <w:p w14:paraId="79345AEB">
            <w:pPr>
              <w:spacing w:line="360" w:lineRule="auto"/>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（3）项目经理不得同时担任两个及以上建设工程施工项目负责人，法定情形除外。</w:t>
            </w:r>
          </w:p>
          <w:p w14:paraId="28FE680D">
            <w:pPr>
              <w:spacing w:line="360" w:lineRule="auto"/>
              <w:rPr>
                <w:rFonts w:hint="eastAsia" w:ascii="宋体" w:hAnsi="宋体" w:eastAsia="宋体" w:cs="@仿宋_GB2312"/>
                <w:color w:val="auto"/>
                <w:kern w:val="2"/>
                <w:sz w:val="24"/>
                <w:szCs w:val="24"/>
                <w:highlight w:val="none"/>
                <w:lang w:val="en-US" w:eastAsia="zh-CN"/>
              </w:rPr>
            </w:pPr>
            <w:r>
              <w:rPr>
                <w:rFonts w:hint="eastAsia" w:ascii="宋体" w:hAnsi="宋体" w:eastAsia="宋体" w:cs="@仿宋_GB2312"/>
                <w:color w:val="auto"/>
                <w:kern w:val="2"/>
                <w:sz w:val="24"/>
                <w:szCs w:val="24"/>
                <w:highlight w:val="none"/>
                <w:lang w:val="en-US" w:eastAsia="zh-CN"/>
              </w:rPr>
              <w:t>（4）成交后若项目经理在其他项目上担任项目经理岗位，导致该项目经理无法进场履约的，采购人可取消其成交资格。供应商因此原因被取消成交资格的，视为无正当理由放弃成交资格。</w:t>
            </w:r>
          </w:p>
          <w:p w14:paraId="65CB97A9">
            <w:pPr>
              <w:spacing w:line="360" w:lineRule="auto"/>
              <w:rPr>
                <w:rFonts w:hint="eastAsia" w:cs="@仿宋_GB2312"/>
                <w:b/>
                <w:bCs/>
                <w:color w:val="FF0000"/>
                <w:kern w:val="2"/>
                <w:sz w:val="24"/>
                <w:szCs w:val="24"/>
                <w:highlight w:val="none"/>
                <w:lang w:val="en-US" w:eastAsia="zh-CN"/>
              </w:rPr>
            </w:pPr>
            <w:r>
              <w:rPr>
                <w:rFonts w:hint="eastAsia" w:cs="@仿宋_GB2312"/>
                <w:b/>
                <w:bCs/>
                <w:color w:val="FF0000"/>
                <w:kern w:val="2"/>
                <w:sz w:val="24"/>
                <w:szCs w:val="24"/>
                <w:highlight w:val="none"/>
                <w:lang w:val="en-US" w:eastAsia="zh-CN"/>
              </w:rPr>
              <w:t>（5）项目经理不接受退休人员及返聘人员担任（响应文件中须提供项目经理身份证）。</w:t>
            </w:r>
          </w:p>
          <w:p w14:paraId="1108337C">
            <w:pPr>
              <w:spacing w:line="360" w:lineRule="auto"/>
              <w:rPr>
                <w:rFonts w:ascii="宋体" w:hAnsi="宋体" w:eastAsia="宋体" w:cs="宋体"/>
                <w:kern w:val="2"/>
                <w:sz w:val="24"/>
                <w:szCs w:val="24"/>
              </w:rPr>
            </w:pPr>
            <w:r>
              <w:rPr>
                <w:rFonts w:ascii="宋体" w:hAnsi="宋体" w:eastAsia="宋体" w:cs="宋体"/>
                <w:kern w:val="2"/>
                <w:sz w:val="24"/>
                <w:szCs w:val="24"/>
              </w:rPr>
              <w:t>（</w:t>
            </w:r>
            <w:r>
              <w:rPr>
                <w:rFonts w:hint="eastAsia" w:ascii="宋体" w:hAnsi="宋体" w:eastAsia="宋体" w:cs="宋体"/>
                <w:kern w:val="2"/>
                <w:sz w:val="24"/>
                <w:szCs w:val="24"/>
                <w:lang w:val="en-US" w:eastAsia="zh-CN"/>
              </w:rPr>
              <w:t>6</w:t>
            </w:r>
            <w:r>
              <w:rPr>
                <w:rFonts w:ascii="宋体" w:hAnsi="宋体" w:eastAsia="宋体" w:cs="宋体"/>
                <w:kern w:val="2"/>
                <w:sz w:val="24"/>
                <w:szCs w:val="24"/>
              </w:rPr>
              <w:t>）自2022年1月1日起，一级建造师统一使用电子证书，纸质注册证书作废。拟委任项目经理为一级注册建造师的，须执行《住房和城乡建设部办公厅关于全面实行一级建造师电子注册证书的通知》中电子证书的有关使用要求，一级建造师打印电子证书后，应在个人签名处手写本人签名，未手写签名或与签名图像笔迹不一致的，该电子证书无效。</w:t>
            </w:r>
          </w:p>
          <w:p w14:paraId="41090FF3">
            <w:pPr>
              <w:spacing w:line="360" w:lineRule="auto"/>
              <w:rPr>
                <w:rFonts w:hint="default" w:cs="@仿宋_GB2312"/>
                <w:b/>
                <w:bCs/>
                <w:color w:val="auto"/>
                <w:kern w:val="2"/>
                <w:sz w:val="24"/>
                <w:szCs w:val="24"/>
                <w:highlight w:val="none"/>
                <w:lang w:val="en-US" w:eastAsia="zh-CN"/>
              </w:rPr>
            </w:pPr>
            <w:r>
              <w:rPr>
                <w:rFonts w:ascii="宋体" w:hAnsi="宋体" w:eastAsia="宋体" w:cs="宋体"/>
                <w:kern w:val="2"/>
                <w:sz w:val="24"/>
                <w:szCs w:val="24"/>
              </w:rPr>
              <w:t>（</w:t>
            </w:r>
            <w:r>
              <w:rPr>
                <w:rFonts w:hint="eastAsia" w:ascii="宋体" w:hAnsi="宋体" w:eastAsia="宋体" w:cs="宋体"/>
                <w:kern w:val="2"/>
                <w:sz w:val="24"/>
                <w:szCs w:val="24"/>
                <w:lang w:val="en-US" w:eastAsia="zh-CN"/>
              </w:rPr>
              <w:t>7</w:t>
            </w:r>
            <w:r>
              <w:rPr>
                <w:rFonts w:ascii="宋体" w:hAnsi="宋体" w:eastAsia="宋体" w:cs="宋体"/>
                <w:kern w:val="2"/>
                <w:sz w:val="24"/>
                <w:szCs w:val="24"/>
              </w:rPr>
              <w:t>）拟委任项目经理为二级注册建造师的，</w:t>
            </w:r>
            <w:r>
              <w:rPr>
                <w:rFonts w:hint="eastAsia" w:ascii="宋体" w:hAnsi="宋体" w:eastAsia="宋体" w:cs="宋体"/>
                <w:kern w:val="2"/>
                <w:sz w:val="24"/>
                <w:szCs w:val="24"/>
                <w:lang w:val="en-US" w:eastAsia="zh-CN"/>
              </w:rPr>
              <w:t>响应文件</w:t>
            </w:r>
            <w:r>
              <w:rPr>
                <w:rFonts w:ascii="宋体" w:hAnsi="宋体" w:eastAsia="宋体" w:cs="宋体"/>
                <w:kern w:val="2"/>
                <w:sz w:val="24"/>
                <w:szCs w:val="24"/>
              </w:rPr>
              <w:t>提供的安徽省新版二级建造师电子注册证书纸质版需在安徽省住房和城乡建设执业资格注册管理系统中打印，打印后应由二级建造师本人在证书的个人签名处手写本人签名，或在新版二级建造师电子注册证书纸质版后附其本人知情承诺（视为个人签名处的手写本人签名），格式自拟。未手写个人签名或未提供二级建造师本人知情承诺的，个人签名或知情承诺签字与签名图片笔迹不一致，此证书无效。对于其他省份颁发的二级建造师注册证书使用要求，证书颁发单位另有规定的按其规定执行。</w:t>
            </w:r>
          </w:p>
        </w:tc>
      </w:tr>
      <w:tr w14:paraId="4DDA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48FBD88">
            <w:pPr>
              <w:spacing w:line="360" w:lineRule="auto"/>
              <w:jc w:val="center"/>
              <w:rPr>
                <w:rFonts w:hint="eastAsia" w:cs="@仿宋_GB2312" w:asciiTheme="minorEastAsia" w:hAnsiTheme="minorEastAsia" w:eastAsiaTheme="minorEastAsia"/>
                <w:color w:val="auto"/>
                <w:kern w:val="2"/>
                <w:sz w:val="24"/>
                <w:szCs w:val="22"/>
                <w:highlight w:val="none"/>
                <w:lang w:val="en-US" w:eastAsia="zh-CN"/>
              </w:rPr>
            </w:pPr>
            <w:r>
              <w:rPr>
                <w:rFonts w:hint="eastAsia" w:cs="@仿宋_GB2312" w:asciiTheme="minorEastAsia" w:hAnsiTheme="minorEastAsia" w:eastAsiaTheme="minorEastAsia"/>
                <w:color w:val="auto"/>
                <w:kern w:val="2"/>
                <w:sz w:val="24"/>
                <w:szCs w:val="22"/>
                <w:highlight w:val="none"/>
                <w:lang w:val="en-US" w:eastAsia="zh-CN"/>
              </w:rPr>
              <w:t>7</w:t>
            </w:r>
          </w:p>
        </w:tc>
        <w:tc>
          <w:tcPr>
            <w:tcW w:w="749" w:type="pct"/>
            <w:vAlign w:val="center"/>
          </w:tcPr>
          <w:p w14:paraId="76D8329B">
            <w:pPr>
              <w:pStyle w:val="69"/>
              <w:widowControl w:val="0"/>
              <w:spacing w:before="0" w:beforeAutospacing="0" w:after="0" w:afterAutospacing="0" w:line="360" w:lineRule="auto"/>
              <w:rPr>
                <w:rFonts w:cs="@仿宋_GB2312" w:asciiTheme="minorEastAsia" w:hAnsiTheme="minorEastAsia" w:eastAsiaTheme="minorEastAsia"/>
                <w:color w:val="auto"/>
                <w:kern w:val="2"/>
                <w:sz w:val="24"/>
                <w:highlight w:val="none"/>
              </w:rPr>
            </w:pPr>
            <w:r>
              <w:rPr>
                <w:rFonts w:hint="eastAsia" w:asciiTheme="minorHAnsi" w:hAnsiTheme="minorHAnsi" w:eastAsiaTheme="minorEastAsia"/>
                <w:b w:val="0"/>
                <w:color w:val="auto"/>
                <w:kern w:val="2"/>
                <w:sz w:val="24"/>
                <w:highlight w:val="none"/>
              </w:rPr>
              <w:t>本项目采购标的名称及所属行业</w:t>
            </w:r>
          </w:p>
        </w:tc>
        <w:tc>
          <w:tcPr>
            <w:tcW w:w="3688" w:type="pct"/>
            <w:vAlign w:val="center"/>
          </w:tcPr>
          <w:p w14:paraId="4822CEE6">
            <w:pPr>
              <w:spacing w:line="360" w:lineRule="auto"/>
              <w:jc w:val="left"/>
              <w:rPr>
                <w:rFonts w:asciiTheme="minorEastAsia" w:hAnsiTheme="minorEastAsia" w:eastAsiaTheme="minorEastAsia"/>
                <w:color w:val="auto"/>
                <w:kern w:val="2"/>
                <w:sz w:val="24"/>
                <w:szCs w:val="22"/>
                <w:highlight w:val="none"/>
              </w:rPr>
            </w:pPr>
            <w:r>
              <w:rPr>
                <w:rFonts w:hint="eastAsia" w:asciiTheme="minorEastAsia" w:hAnsiTheme="minorEastAsia" w:eastAsiaTheme="minorEastAsia"/>
                <w:color w:val="auto"/>
                <w:kern w:val="2"/>
                <w:sz w:val="24"/>
                <w:szCs w:val="22"/>
                <w:highlight w:val="none"/>
              </w:rPr>
              <w:t>标的名称：</w:t>
            </w:r>
            <w:r>
              <w:rPr>
                <w:rFonts w:hint="eastAsia" w:asciiTheme="minorEastAsia" w:hAnsiTheme="minorEastAsia" w:eastAsiaTheme="minorEastAsia"/>
                <w:color w:val="auto"/>
                <w:kern w:val="2"/>
                <w:sz w:val="24"/>
                <w:szCs w:val="22"/>
                <w:highlight w:val="none"/>
                <w:u w:val="single"/>
                <w:lang w:eastAsia="zh-CN"/>
              </w:rPr>
              <w:t>2026年省淮河局堤防日常维护项目</w:t>
            </w:r>
          </w:p>
          <w:p w14:paraId="4F4B9E7A">
            <w:pPr>
              <w:rPr>
                <w:rFonts w:hint="eastAsia" w:asciiTheme="minorHAnsi" w:hAnsiTheme="minorHAnsi" w:eastAsiaTheme="minorEastAsia"/>
                <w:color w:val="auto"/>
                <w:kern w:val="2"/>
                <w:sz w:val="24"/>
                <w:szCs w:val="22"/>
                <w:highlight w:val="none"/>
                <w:lang w:val="en-US" w:eastAsia="zh-CN"/>
              </w:rPr>
            </w:pPr>
            <w:r>
              <w:rPr>
                <w:rFonts w:hint="eastAsia" w:asciiTheme="minorEastAsia" w:hAnsiTheme="minorEastAsia" w:eastAsiaTheme="minorEastAsia"/>
                <w:color w:val="auto"/>
                <w:kern w:val="2"/>
                <w:sz w:val="24"/>
                <w:szCs w:val="22"/>
                <w:highlight w:val="none"/>
              </w:rPr>
              <w:t>所属行业：</w:t>
            </w:r>
            <w:r>
              <w:rPr>
                <w:rFonts w:hint="eastAsia" w:asciiTheme="minorEastAsia" w:hAnsiTheme="minorEastAsia" w:eastAsiaTheme="minorEastAsia"/>
                <w:color w:val="auto"/>
                <w:kern w:val="2"/>
                <w:sz w:val="24"/>
                <w:szCs w:val="22"/>
                <w:highlight w:val="none"/>
                <w:u w:val="single"/>
                <w:lang w:val="en-US" w:eastAsia="zh-CN"/>
              </w:rPr>
              <w:t>建筑业</w:t>
            </w:r>
          </w:p>
        </w:tc>
      </w:tr>
    </w:tbl>
    <w:p w14:paraId="67AD6F97">
      <w:pPr>
        <w:rPr>
          <w:rFonts w:hint="eastAsia" w:asciiTheme="minorEastAsia" w:hAnsiTheme="minorEastAsia" w:eastAsiaTheme="minorEastAsia"/>
          <w:b/>
          <w:color w:val="auto"/>
          <w:sz w:val="28"/>
          <w:highlight w:val="none"/>
        </w:rPr>
      </w:pPr>
      <w:bookmarkStart w:id="46" w:name="_Toc11353"/>
    </w:p>
    <w:p w14:paraId="112EAC19">
      <w:pPr>
        <w:keepNext/>
        <w:keepLines/>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1"/>
        <w:rPr>
          <w:rFonts w:hint="eastAsia" w:ascii="Times New Roman" w:hAnsi="Times New Roman" w:eastAsia="宋体" w:cs="Times New Roman"/>
          <w:bCs/>
          <w:color w:val="auto"/>
          <w:sz w:val="24"/>
          <w:szCs w:val="24"/>
          <w:highlight w:val="none"/>
          <w:lang w:val="en-US" w:eastAsia="zh-CN"/>
        </w:rPr>
      </w:pPr>
      <w:r>
        <w:rPr>
          <w:rFonts w:hint="eastAsia" w:ascii="黑体" w:hAnsi="黑体" w:eastAsia="黑体" w:cs="黑体"/>
          <w:b w:val="0"/>
          <w:bCs w:val="0"/>
          <w:color w:val="auto"/>
          <w:kern w:val="2"/>
          <w:sz w:val="32"/>
          <w:szCs w:val="32"/>
          <w:highlight w:val="none"/>
          <w:lang w:val="en-US" w:eastAsia="zh-CN" w:bidi="ar-SA"/>
        </w:rPr>
        <w:t>一、项目概况</w:t>
      </w:r>
    </w:p>
    <w:p w14:paraId="26F0FA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2026年省淮河局堤防日常维护项目主要内容为</w:t>
      </w:r>
      <w:r>
        <w:rPr>
          <w:rFonts w:hint="eastAsia" w:ascii="仿宋_GB2312" w:hAnsi="仿宋_GB2312" w:eastAsia="仿宋_GB2312" w:cs="仿宋_GB2312"/>
          <w:b w:val="0"/>
          <w:bCs/>
          <w:color w:val="auto"/>
          <w:sz w:val="32"/>
          <w:szCs w:val="32"/>
          <w:highlight w:val="none"/>
          <w:u w:val="none"/>
          <w:lang w:val="en-US" w:eastAsia="zh-CN"/>
        </w:rPr>
        <w:t>颍上局、颍东局、潘集局、怀远局、蒙城局、五河局、凤台局及明光局</w:t>
      </w:r>
      <w:r>
        <w:rPr>
          <w:rFonts w:hint="eastAsia" w:ascii="仿宋_GB2312" w:hAnsi="仿宋_GB2312" w:eastAsia="仿宋_GB2312" w:cs="仿宋_GB2312"/>
          <w:bCs/>
          <w:color w:val="auto"/>
          <w:sz w:val="32"/>
          <w:szCs w:val="32"/>
          <w:highlight w:val="none"/>
          <w:lang w:val="en-US" w:eastAsia="zh-CN"/>
        </w:rPr>
        <w:t>等8个单位水闸日常养护和定期养护、</w:t>
      </w:r>
      <w:r>
        <w:rPr>
          <w:rFonts w:hint="eastAsia" w:ascii="仿宋_GB2312" w:hAnsi="仿宋_GB2312" w:eastAsia="仿宋_GB2312" w:cs="仿宋_GB2312"/>
          <w:b w:val="0"/>
          <w:bCs/>
          <w:color w:val="auto"/>
          <w:sz w:val="32"/>
          <w:szCs w:val="32"/>
          <w:highlight w:val="none"/>
          <w:u w:val="none"/>
          <w:lang w:val="en-US" w:eastAsia="zh-CN"/>
        </w:rPr>
        <w:t>垃圾围闸治理、</w:t>
      </w:r>
      <w:r>
        <w:rPr>
          <w:rFonts w:hint="eastAsia" w:ascii="仿宋_GB2312" w:hAnsi="仿宋_GB2312" w:eastAsia="仿宋_GB2312" w:cs="仿宋_GB2312"/>
          <w:b w:val="0"/>
          <w:bCs/>
          <w:color w:val="auto"/>
          <w:sz w:val="32"/>
          <w:szCs w:val="32"/>
          <w:highlight w:val="none"/>
          <w:u w:val="none"/>
          <w:lang w:val="en-US" w:eastAsia="zh-CN" w:bidi="ar-SA"/>
        </w:rPr>
        <w:t>水闸工程维修及管理设施等维修改造，</w:t>
      </w:r>
      <w:r>
        <w:rPr>
          <w:rFonts w:hint="eastAsia" w:ascii="仿宋_GB2312" w:hAnsi="仿宋_GB2312" w:eastAsia="仿宋_GB2312" w:cs="仿宋_GB2312"/>
          <w:bCs/>
          <w:color w:val="auto"/>
          <w:sz w:val="32"/>
          <w:szCs w:val="32"/>
          <w:highlight w:val="none"/>
          <w:lang w:val="en-US" w:eastAsia="zh-CN"/>
        </w:rPr>
        <w:t>为保障堤防日常维护项目顺利完成，特制定以下实施方案。</w:t>
      </w:r>
    </w:p>
    <w:p w14:paraId="4F277C83">
      <w:pPr>
        <w:spacing w:line="560" w:lineRule="exact"/>
        <w:ind w:firstLine="640" w:firstLineChars="200"/>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二、实施内容</w:t>
      </w:r>
    </w:p>
    <w:p w14:paraId="0FEA4F10">
      <w:pPr>
        <w:spacing w:line="560" w:lineRule="exact"/>
        <w:ind w:firstLine="643"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（一）</w:t>
      </w:r>
      <w:r>
        <w:rPr>
          <w:rFonts w:hint="default" w:ascii="Times New Roman" w:hAnsi="Times New Roman" w:eastAsia="楷体_GB2312" w:cs="Times New Roman"/>
          <w:b/>
          <w:bCs/>
          <w:color w:val="auto"/>
          <w:sz w:val="32"/>
          <w:szCs w:val="32"/>
          <w:lang w:val="en-US" w:eastAsia="zh-CN"/>
        </w:rPr>
        <w:t>五河局</w:t>
      </w:r>
    </w:p>
    <w:p w14:paraId="6A48B135">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1.水闸保养保洁</w:t>
      </w:r>
    </w:p>
    <w:p w14:paraId="2FA1EC57">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bCs/>
          <w:color w:val="auto"/>
          <w:sz w:val="32"/>
          <w:szCs w:val="32"/>
          <w:highlight w:val="none"/>
        </w:rPr>
        <w:t>对</w:t>
      </w:r>
      <w:r>
        <w:rPr>
          <w:rFonts w:hint="eastAsia" w:ascii="Times New Roman" w:hAnsi="Times New Roman" w:eastAsia="仿宋_GB2312" w:cs="Times New Roman"/>
          <w:color w:val="auto"/>
          <w:sz w:val="32"/>
          <w:szCs w:val="32"/>
          <w:lang w:val="en-US" w:eastAsia="zh-CN"/>
        </w:rPr>
        <w:t>2座中型</w:t>
      </w:r>
      <w:r>
        <w:rPr>
          <w:rFonts w:hint="eastAsia" w:ascii="仿宋_GB2312" w:hAnsi="仿宋_GB2312" w:eastAsia="仿宋_GB2312" w:cs="仿宋_GB2312"/>
          <w:bCs/>
          <w:color w:val="auto"/>
          <w:sz w:val="32"/>
          <w:szCs w:val="32"/>
          <w:highlight w:val="none"/>
        </w:rPr>
        <w:t>水闸</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五河分洪闸、北淝闸</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启闭机房、桥头堡、中控室、高低压配电房、交通桥、检修便桥、排架柱等日常保洁及水闸金属结构、机电设备等日常养护</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以及</w:t>
      </w:r>
      <w:r>
        <w:rPr>
          <w:rFonts w:hint="eastAsia" w:ascii="Times New Roman" w:hAnsi="Times New Roman" w:eastAsia="仿宋_GB2312" w:cs="Times New Roman"/>
          <w:color w:val="auto"/>
          <w:sz w:val="32"/>
          <w:szCs w:val="32"/>
          <w:lang w:val="en-US" w:eastAsia="zh-CN"/>
        </w:rPr>
        <w:t>2座中型</w:t>
      </w:r>
      <w:r>
        <w:rPr>
          <w:rFonts w:hint="eastAsia" w:ascii="仿宋_GB2312" w:hAnsi="仿宋_GB2312" w:eastAsia="仿宋_GB2312" w:cs="仿宋_GB2312"/>
          <w:b w:val="0"/>
          <w:bCs/>
          <w:color w:val="auto"/>
          <w:sz w:val="32"/>
          <w:szCs w:val="32"/>
          <w:highlight w:val="none"/>
          <w:lang w:val="en-US" w:eastAsia="zh-CN"/>
        </w:rPr>
        <w:t>水闸汛前、汛后定期养护，包含启闭机、闸门、门槽埋件、检修行车等设施设备。</w:t>
      </w:r>
    </w:p>
    <w:p w14:paraId="2DF663DD">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2.工程管理区绿化</w:t>
      </w:r>
    </w:p>
    <w:p w14:paraId="627D863F">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对管理范围内栽植的柳树、女贞、高杆红叶石楠等修枝打杈、林木涂白以及对管理范围内非拍租地块的杨树和景观树等进行病虫害防治，栽植高杆红叶石楠935棵（胸径8cm以上）、</w:t>
      </w:r>
    </w:p>
    <w:p w14:paraId="4364FCAA">
      <w:pPr>
        <w:pageBreakBefore w:val="0"/>
        <w:widowControl w:val="0"/>
        <w:numPr>
          <w:ilvl w:val="0"/>
          <w:numId w:val="0"/>
        </w:numPr>
        <w:kinsoku/>
        <w:wordWrap/>
        <w:overflowPunct/>
        <w:topLinePunct w:val="0"/>
        <w:bidi w:val="0"/>
        <w:spacing w:line="560" w:lineRule="exact"/>
        <w:textAlignment w:val="auto"/>
        <w:outlineLvl w:val="9"/>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红叶石楠球300棵（高度1m、冠幅1m）、栽植樱花200棵（胸</w:t>
      </w:r>
    </w:p>
    <w:p w14:paraId="13032087">
      <w:pPr>
        <w:pageBreakBefore w:val="0"/>
        <w:widowControl w:val="0"/>
        <w:numPr>
          <w:ilvl w:val="0"/>
          <w:numId w:val="0"/>
        </w:numPr>
        <w:kinsoku/>
        <w:wordWrap/>
        <w:overflowPunct/>
        <w:topLinePunct w:val="0"/>
        <w:bidi w:val="0"/>
        <w:spacing w:line="560" w:lineRule="exact"/>
        <w:textAlignment w:val="auto"/>
        <w:outlineLvl w:val="9"/>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Cs/>
          <w:color w:val="auto"/>
          <w:sz w:val="32"/>
          <w:szCs w:val="32"/>
          <w:highlight w:val="none"/>
          <w:lang w:val="en-US" w:eastAsia="zh-CN"/>
        </w:rPr>
        <w:t>径8cm以上）等。</w:t>
      </w:r>
    </w:p>
    <w:p w14:paraId="2F7FBD5C">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3.垃圾围闸治理</w:t>
      </w:r>
    </w:p>
    <w:p w14:paraId="6E9F2170">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对2座中型</w:t>
      </w:r>
      <w:r>
        <w:rPr>
          <w:rFonts w:hint="eastAsia" w:ascii="仿宋_GB2312" w:hAnsi="仿宋_GB2312" w:eastAsia="仿宋_GB2312" w:cs="仿宋_GB2312"/>
          <w:bCs/>
          <w:color w:val="auto"/>
          <w:sz w:val="32"/>
          <w:szCs w:val="32"/>
          <w:highlight w:val="none"/>
        </w:rPr>
        <w:t>水闸上游、下游管理范围内的水域及岸边清洁</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打捞并清运水域内的垃圾、漂浮物及水生植物，清理岸边杂物杂草，日常保持水域无垃圾、漂浮物及水生植物等。</w:t>
      </w:r>
    </w:p>
    <w:p w14:paraId="31E07669">
      <w:pPr>
        <w:numPr>
          <w:ilvl w:val="0"/>
          <w:numId w:val="0"/>
        </w:numPr>
        <w:spacing w:line="56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kern w:val="2"/>
          <w:sz w:val="32"/>
          <w:szCs w:val="32"/>
          <w:lang w:val="en-US" w:eastAsia="zh-CN" w:bidi="ar-SA"/>
        </w:rPr>
        <w:t>4.</w:t>
      </w:r>
      <w:r>
        <w:rPr>
          <w:rFonts w:hint="eastAsia" w:ascii="Times New Roman" w:hAnsi="Times New Roman" w:eastAsia="仿宋_GB2312" w:cs="Times New Roman"/>
          <w:color w:val="auto"/>
          <w:sz w:val="32"/>
          <w:szCs w:val="32"/>
        </w:rPr>
        <w:t>管理设施等维修改造</w:t>
      </w:r>
    </w:p>
    <w:p w14:paraId="237B821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eastAsia" w:ascii="Times New Roman" w:hAnsi="Times New Roman" w:eastAsia="仿宋_GB2312" w:cs="Times New Roman"/>
          <w:color w:val="auto"/>
          <w:sz w:val="32"/>
          <w:szCs w:val="32"/>
        </w:rPr>
      </w:pPr>
      <w:r>
        <w:rPr>
          <w:rFonts w:hint="eastAsia" w:ascii="仿宋_GB2312" w:hAnsi="仿宋_GB2312" w:eastAsia="仿宋_GB2312" w:cs="仿宋_GB2312"/>
          <w:color w:val="auto"/>
          <w:sz w:val="32"/>
          <w:szCs w:val="32"/>
        </w:rPr>
        <w:t>砼面板拆除重铺（新集段、头铺段）</w:t>
      </w:r>
      <w:r>
        <w:rPr>
          <w:rFonts w:hint="eastAsia" w:ascii="仿宋_GB2312" w:hAnsi="仿宋_GB2312" w:eastAsia="仿宋_GB2312" w:cs="仿宋_GB2312"/>
          <w:color w:val="auto"/>
          <w:sz w:val="32"/>
          <w:szCs w:val="32"/>
          <w:lang w:eastAsia="zh-CN"/>
        </w:rPr>
        <w:t>、块石护坡整修（新集段、新集渡口、头铺段）、块石护坡勒脚浇筑（新集渡口）、砼护坡整修（头铺段72+240）、沫河口</w:t>
      </w:r>
      <w:r>
        <w:rPr>
          <w:rFonts w:hint="eastAsia" w:ascii="仿宋_GB2312" w:hAnsi="仿宋_GB2312" w:eastAsia="仿宋_GB2312" w:cs="仿宋_GB2312"/>
          <w:color w:val="auto"/>
          <w:sz w:val="32"/>
          <w:szCs w:val="32"/>
          <w:lang w:val="en-US" w:eastAsia="zh-CN"/>
        </w:rPr>
        <w:t>段及新集段设置</w:t>
      </w:r>
      <w:r>
        <w:rPr>
          <w:rFonts w:hint="eastAsia" w:ascii="仿宋_GB2312" w:hAnsi="仿宋_GB2312" w:eastAsia="仿宋_GB2312" w:cs="仿宋_GB2312"/>
          <w:color w:val="auto"/>
          <w:sz w:val="32"/>
          <w:szCs w:val="32"/>
          <w:lang w:eastAsia="zh-CN"/>
        </w:rPr>
        <w:t>隔离网</w:t>
      </w:r>
      <w:r>
        <w:rPr>
          <w:rFonts w:hint="eastAsia" w:ascii="仿宋_GB2312" w:hAnsi="仿宋_GB2312" w:eastAsia="仿宋_GB2312" w:cs="仿宋_GB2312"/>
          <w:color w:val="auto"/>
          <w:sz w:val="32"/>
          <w:szCs w:val="32"/>
          <w:lang w:val="en-US" w:eastAsia="zh-CN"/>
        </w:rPr>
        <w:t>等</w:t>
      </w:r>
      <w:r>
        <w:rPr>
          <w:rFonts w:hint="eastAsia" w:ascii="仿宋_GB2312" w:hAnsi="仿宋_GB2312" w:eastAsia="仿宋_GB2312" w:cs="仿宋_GB2312"/>
          <w:color w:val="auto"/>
          <w:sz w:val="32"/>
          <w:szCs w:val="32"/>
          <w:lang w:eastAsia="zh-CN"/>
        </w:rPr>
        <w:t>。</w:t>
      </w:r>
    </w:p>
    <w:p w14:paraId="2BE39B5F">
      <w:pPr>
        <w:spacing w:line="560" w:lineRule="exact"/>
        <w:ind w:firstLine="643"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（二）</w:t>
      </w:r>
      <w:r>
        <w:rPr>
          <w:rFonts w:hint="default" w:ascii="Times New Roman" w:hAnsi="Times New Roman" w:eastAsia="楷体_GB2312" w:cs="Times New Roman"/>
          <w:b/>
          <w:bCs/>
          <w:color w:val="auto"/>
          <w:sz w:val="32"/>
          <w:szCs w:val="32"/>
          <w:lang w:val="en-US" w:eastAsia="zh-CN"/>
        </w:rPr>
        <w:t>凤台局</w:t>
      </w:r>
    </w:p>
    <w:p w14:paraId="444B0375">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1.水闸保养保洁</w:t>
      </w:r>
    </w:p>
    <w:p w14:paraId="5D6BFA66">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bCs/>
          <w:color w:val="auto"/>
          <w:sz w:val="32"/>
          <w:szCs w:val="32"/>
          <w:highlight w:val="none"/>
        </w:rPr>
        <w:t>对</w:t>
      </w:r>
      <w:r>
        <w:rPr>
          <w:rFonts w:hint="eastAsia" w:ascii="Times New Roman" w:hAnsi="Times New Roman" w:eastAsia="仿宋_GB2312" w:cs="Times New Roman"/>
          <w:color w:val="auto"/>
          <w:sz w:val="32"/>
          <w:szCs w:val="32"/>
          <w:lang w:val="en-US" w:eastAsia="zh-CN"/>
        </w:rPr>
        <w:t>3座中型</w:t>
      </w:r>
      <w:r>
        <w:rPr>
          <w:rFonts w:hint="eastAsia" w:ascii="仿宋_GB2312" w:hAnsi="仿宋_GB2312" w:eastAsia="仿宋_GB2312" w:cs="仿宋_GB2312"/>
          <w:bCs/>
          <w:color w:val="auto"/>
          <w:sz w:val="32"/>
          <w:szCs w:val="32"/>
          <w:highlight w:val="none"/>
        </w:rPr>
        <w:t>水闸</w:t>
      </w:r>
      <w:r>
        <w:rPr>
          <w:rFonts w:hint="eastAsia" w:ascii="仿宋_GB2312" w:hAnsi="仿宋_GB2312" w:eastAsia="仿宋_GB2312" w:cs="仿宋_GB2312"/>
          <w:bCs/>
          <w:color w:val="auto"/>
          <w:sz w:val="32"/>
          <w:szCs w:val="32"/>
          <w:highlight w:val="none"/>
          <w:lang w:eastAsia="zh-CN"/>
        </w:rPr>
        <w:t>（焦岗闸、新西淝闸、新港河闸）</w:t>
      </w:r>
      <w:r>
        <w:rPr>
          <w:rFonts w:hint="eastAsia" w:ascii="仿宋_GB2312" w:hAnsi="仿宋_GB2312" w:eastAsia="仿宋_GB2312" w:cs="仿宋_GB2312"/>
          <w:bCs/>
          <w:color w:val="auto"/>
          <w:sz w:val="32"/>
          <w:szCs w:val="32"/>
          <w:highlight w:val="none"/>
        </w:rPr>
        <w:t>启闭机房、桥头堡、中控室、高低压配电房、交通桥、检修便桥、排架柱等日常保洁及水闸金属结构、机电设备等日常养护</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以及</w:t>
      </w:r>
      <w:r>
        <w:rPr>
          <w:rFonts w:hint="eastAsia" w:ascii="Times New Roman" w:hAnsi="Times New Roman" w:eastAsia="仿宋_GB2312" w:cs="Times New Roman"/>
          <w:color w:val="auto"/>
          <w:sz w:val="32"/>
          <w:szCs w:val="32"/>
          <w:lang w:val="en-US" w:eastAsia="zh-CN"/>
        </w:rPr>
        <w:t>3座中型、</w:t>
      </w:r>
      <w:r>
        <w:rPr>
          <w:rFonts w:hint="eastAsia" w:ascii="仿宋_GB2312" w:hAnsi="仿宋_GB2312" w:eastAsia="仿宋_GB2312" w:cs="仿宋_GB2312"/>
          <w:bCs/>
          <w:color w:val="auto"/>
          <w:sz w:val="32"/>
          <w:szCs w:val="32"/>
          <w:highlight w:val="none"/>
          <w:lang w:val="en-US" w:eastAsia="zh-CN"/>
        </w:rPr>
        <w:t>7座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 w:val="0"/>
          <w:bCs/>
          <w:color w:val="auto"/>
          <w:sz w:val="32"/>
          <w:szCs w:val="32"/>
          <w:highlight w:val="none"/>
          <w:lang w:val="en-US" w:eastAsia="zh-CN"/>
        </w:rPr>
        <w:t>水闸（新沟涵、庙沟涵、邵沟涵、店集涵、桂西涵、临淝涵、农场涵）汛前、汛后定期养护，包含启闭机、闸门、门槽埋件、检修行车等设施设备。</w:t>
      </w:r>
    </w:p>
    <w:p w14:paraId="3A25C6E5">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2.工程管理区绿化</w:t>
      </w:r>
    </w:p>
    <w:p w14:paraId="390D2F54">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绿化栽植：</w:t>
      </w:r>
      <w:r>
        <w:rPr>
          <w:rFonts w:hint="eastAsia" w:ascii="Times New Roman" w:hAnsi="Times New Roman" w:eastAsia="仿宋_GB2312" w:cs="Times New Roman"/>
          <w:color w:val="auto"/>
          <w:sz w:val="32"/>
          <w:szCs w:val="32"/>
        </w:rPr>
        <w:t>无絮杨、大叶女贞</w:t>
      </w:r>
      <w:r>
        <w:rPr>
          <w:rFonts w:ascii="Times New Roman" w:hAnsi="Times New Roman" w:eastAsia="仿宋_GB2312" w:cs="Times New Roman"/>
          <w:color w:val="auto"/>
          <w:sz w:val="32"/>
          <w:szCs w:val="32"/>
        </w:rPr>
        <w:t>等。</w:t>
      </w:r>
    </w:p>
    <w:p w14:paraId="13E51A4F">
      <w:pPr>
        <w:spacing w:line="560" w:lineRule="exact"/>
        <w:ind w:firstLine="640" w:firstLineChars="200"/>
        <w:rPr>
          <w:rFonts w:hint="eastAsia" w:ascii="Times New Roman" w:hAnsi="Times New Roman" w:eastAsia="仿宋_GB2312" w:cs="Times New Roman"/>
          <w:color w:val="auto"/>
          <w:sz w:val="32"/>
          <w:szCs w:val="32"/>
          <w:lang w:val="en-US" w:eastAsia="zh-CN"/>
        </w:rPr>
      </w:pPr>
      <w:r>
        <w:rPr>
          <w:rFonts w:ascii="Times New Roman" w:hAnsi="Times New Roman" w:eastAsia="仿宋_GB2312" w:cs="Times New Roman"/>
          <w:color w:val="auto"/>
          <w:sz w:val="32"/>
          <w:szCs w:val="32"/>
        </w:rPr>
        <w:t>绿化养护：</w:t>
      </w:r>
      <w:r>
        <w:rPr>
          <w:rFonts w:hint="eastAsia" w:ascii="Times New Roman" w:hAnsi="Times New Roman" w:eastAsia="仿宋_GB2312" w:cs="Times New Roman"/>
          <w:color w:val="auto"/>
          <w:sz w:val="32"/>
          <w:szCs w:val="32"/>
        </w:rPr>
        <w:t>对</w:t>
      </w:r>
      <w:r>
        <w:rPr>
          <w:rFonts w:hint="eastAsia" w:ascii="Times New Roman" w:hAnsi="Times New Roman" w:eastAsia="仿宋_GB2312" w:cs="Times New Roman"/>
          <w:color w:val="auto"/>
          <w:sz w:val="32"/>
          <w:szCs w:val="32"/>
          <w:lang w:val="en-US" w:eastAsia="zh-CN"/>
        </w:rPr>
        <w:t>堤防</w:t>
      </w:r>
      <w:r>
        <w:rPr>
          <w:rFonts w:hint="eastAsia" w:ascii="Times New Roman" w:hAnsi="Times New Roman" w:eastAsia="仿宋_GB2312" w:cs="Times New Roman"/>
          <w:color w:val="auto"/>
          <w:sz w:val="32"/>
          <w:szCs w:val="32"/>
        </w:rPr>
        <w:t>管理</w:t>
      </w:r>
      <w:r>
        <w:rPr>
          <w:rFonts w:hint="eastAsia" w:ascii="Times New Roman" w:hAnsi="Times New Roman" w:eastAsia="仿宋_GB2312" w:cs="Times New Roman"/>
          <w:color w:val="auto"/>
          <w:sz w:val="32"/>
          <w:szCs w:val="32"/>
          <w:lang w:val="en-US" w:eastAsia="zh-CN"/>
        </w:rPr>
        <w:t>范围内</w:t>
      </w:r>
      <w:r>
        <w:rPr>
          <w:rFonts w:hint="eastAsia" w:ascii="Times New Roman" w:hAnsi="Times New Roman" w:eastAsia="仿宋_GB2312" w:cs="Times New Roman"/>
          <w:color w:val="auto"/>
          <w:sz w:val="32"/>
          <w:szCs w:val="32"/>
        </w:rPr>
        <w:t>原有</w:t>
      </w:r>
      <w:r>
        <w:rPr>
          <w:rFonts w:hint="eastAsia" w:ascii="Times New Roman" w:hAnsi="Times New Roman" w:eastAsia="仿宋_GB2312" w:cs="Times New Roman"/>
          <w:color w:val="auto"/>
          <w:sz w:val="32"/>
          <w:szCs w:val="32"/>
          <w:lang w:val="en-US" w:eastAsia="zh-CN"/>
        </w:rPr>
        <w:t>林木</w:t>
      </w:r>
      <w:r>
        <w:rPr>
          <w:rFonts w:hint="eastAsia" w:ascii="Times New Roman" w:hAnsi="Times New Roman" w:eastAsia="仿宋_GB2312" w:cs="Times New Roman"/>
          <w:color w:val="auto"/>
          <w:sz w:val="32"/>
          <w:szCs w:val="32"/>
        </w:rPr>
        <w:t>进行</w:t>
      </w:r>
      <w:r>
        <w:rPr>
          <w:rFonts w:hint="eastAsia" w:ascii="Times New Roman" w:hAnsi="Times New Roman" w:eastAsia="仿宋_GB2312" w:cs="Times New Roman"/>
          <w:color w:val="auto"/>
          <w:sz w:val="32"/>
          <w:szCs w:val="32"/>
          <w:lang w:val="en-US" w:eastAsia="zh-CN"/>
        </w:rPr>
        <w:t>修枝打杈、涂白、病虫害防治。</w:t>
      </w:r>
    </w:p>
    <w:p w14:paraId="30527F9F">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3.垃圾围闸治理</w:t>
      </w:r>
    </w:p>
    <w:p w14:paraId="3A7CA45A">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对</w:t>
      </w:r>
      <w:r>
        <w:rPr>
          <w:rFonts w:hint="eastAsia" w:ascii="Times New Roman" w:hAnsi="Times New Roman" w:eastAsia="仿宋_GB2312" w:cs="Times New Roman"/>
          <w:color w:val="auto"/>
          <w:sz w:val="32"/>
          <w:szCs w:val="32"/>
          <w:lang w:val="en-US" w:eastAsia="zh-CN"/>
        </w:rPr>
        <w:t>3座中型、</w:t>
      </w:r>
      <w:r>
        <w:rPr>
          <w:rFonts w:hint="eastAsia" w:ascii="仿宋_GB2312" w:hAnsi="仿宋_GB2312" w:eastAsia="仿宋_GB2312" w:cs="仿宋_GB2312"/>
          <w:bCs/>
          <w:color w:val="auto"/>
          <w:sz w:val="32"/>
          <w:szCs w:val="32"/>
          <w:highlight w:val="none"/>
          <w:lang w:val="en-US" w:eastAsia="zh-CN"/>
        </w:rPr>
        <w:t>7座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 w:val="0"/>
          <w:bCs/>
          <w:color w:val="auto"/>
          <w:sz w:val="32"/>
          <w:szCs w:val="32"/>
          <w:highlight w:val="none"/>
          <w:lang w:val="en-US" w:eastAsia="zh-CN"/>
        </w:rPr>
        <w:t>水闸</w:t>
      </w:r>
      <w:r>
        <w:rPr>
          <w:rFonts w:hint="eastAsia" w:ascii="仿宋_GB2312" w:hAnsi="仿宋_GB2312" w:eastAsia="仿宋_GB2312" w:cs="仿宋_GB2312"/>
          <w:bCs/>
          <w:color w:val="auto"/>
          <w:sz w:val="32"/>
          <w:szCs w:val="32"/>
          <w:highlight w:val="none"/>
        </w:rPr>
        <w:t>上游、下游管理范围内的水域及岸边清洁</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打捞并清运水域内的垃圾、漂浮物及水生植物，清理岸边杂物杂草，日常保持水域无垃圾、漂浮物及水生植物等。</w:t>
      </w:r>
    </w:p>
    <w:p w14:paraId="1C8A0AC7">
      <w:pPr>
        <w:spacing w:line="560" w:lineRule="exact"/>
        <w:ind w:firstLine="643"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（三）</w:t>
      </w:r>
      <w:r>
        <w:rPr>
          <w:rFonts w:hint="default" w:ascii="Times New Roman" w:hAnsi="Times New Roman" w:eastAsia="楷体_GB2312" w:cs="Times New Roman"/>
          <w:b/>
          <w:bCs/>
          <w:color w:val="auto"/>
          <w:sz w:val="32"/>
          <w:szCs w:val="32"/>
          <w:lang w:val="en-US" w:eastAsia="zh-CN"/>
        </w:rPr>
        <w:t>怀远局</w:t>
      </w:r>
    </w:p>
    <w:p w14:paraId="6A674BF3">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1.水闸保养保洁</w:t>
      </w:r>
    </w:p>
    <w:p w14:paraId="6D15D693">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bCs/>
          <w:color w:val="auto"/>
          <w:sz w:val="32"/>
          <w:szCs w:val="32"/>
          <w:highlight w:val="none"/>
        </w:rPr>
        <w:t>对</w:t>
      </w:r>
      <w:r>
        <w:rPr>
          <w:rFonts w:hint="eastAsia" w:ascii="Times New Roman" w:hAnsi="Times New Roman" w:eastAsia="仿宋_GB2312" w:cs="Times New Roman"/>
          <w:color w:val="auto"/>
          <w:sz w:val="32"/>
          <w:szCs w:val="32"/>
          <w:lang w:val="en-US" w:eastAsia="zh-CN"/>
        </w:rPr>
        <w:t>3座中型</w:t>
      </w:r>
      <w:r>
        <w:rPr>
          <w:rFonts w:hint="eastAsia" w:ascii="仿宋_GB2312" w:hAnsi="仿宋_GB2312" w:eastAsia="仿宋_GB2312" w:cs="仿宋_GB2312"/>
          <w:bCs/>
          <w:color w:val="auto"/>
          <w:sz w:val="32"/>
          <w:szCs w:val="32"/>
          <w:highlight w:val="none"/>
        </w:rPr>
        <w:t>水闸</w:t>
      </w:r>
      <w:r>
        <w:rPr>
          <w:rFonts w:hint="eastAsia" w:ascii="仿宋_GB2312" w:hAnsi="仿宋_GB2312" w:eastAsia="仿宋_GB2312" w:cs="仿宋_GB2312"/>
          <w:bCs/>
          <w:color w:val="auto"/>
          <w:sz w:val="32"/>
          <w:szCs w:val="32"/>
          <w:highlight w:val="none"/>
          <w:lang w:eastAsia="zh-CN"/>
        </w:rPr>
        <w:t>（芡河新闸、</w:t>
      </w:r>
      <w:r>
        <w:rPr>
          <w:rFonts w:hint="eastAsia" w:ascii="仿宋_GB2312" w:hAnsi="仿宋_GB2312" w:eastAsia="仿宋_GB2312" w:cs="仿宋_GB2312"/>
          <w:bCs/>
          <w:color w:val="auto"/>
          <w:sz w:val="32"/>
          <w:szCs w:val="32"/>
          <w:highlight w:val="none"/>
          <w:lang w:val="en-US" w:eastAsia="zh-CN"/>
        </w:rPr>
        <w:t>刘桥闸、新淝闸</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启闭机房、桥头堡、中控室、高低压配电房、交通桥、检修便桥、排架柱等日常保洁及水闸金属结构、机电设备等日常养护</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以及</w:t>
      </w:r>
      <w:r>
        <w:rPr>
          <w:rFonts w:hint="eastAsia" w:ascii="Times New Roman" w:hAnsi="Times New Roman" w:eastAsia="仿宋_GB2312" w:cs="Times New Roman"/>
          <w:color w:val="auto"/>
          <w:sz w:val="32"/>
          <w:szCs w:val="32"/>
          <w:lang w:val="en-US" w:eastAsia="zh-CN"/>
        </w:rPr>
        <w:t>3座中型、</w:t>
      </w:r>
      <w:r>
        <w:rPr>
          <w:rFonts w:hint="eastAsia" w:ascii="仿宋_GB2312" w:hAnsi="仿宋_GB2312" w:eastAsia="仿宋_GB2312" w:cs="仿宋_GB2312"/>
          <w:bCs/>
          <w:color w:val="auto"/>
          <w:sz w:val="32"/>
          <w:szCs w:val="32"/>
          <w:highlight w:val="none"/>
          <w:lang w:val="en-US" w:eastAsia="zh-CN"/>
        </w:rPr>
        <w:t>5座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 w:val="0"/>
          <w:bCs/>
          <w:color w:val="auto"/>
          <w:sz w:val="32"/>
          <w:szCs w:val="32"/>
          <w:highlight w:val="none"/>
          <w:lang w:val="en-US" w:eastAsia="zh-CN"/>
        </w:rPr>
        <w:t>水闸（涡右吴家沟涵、西毛沟涵、钮家沟涵、涡左吴家沟涵、唐家沟涵）汛前、汛后定期养护，包含启闭机、闸门、门槽埋件、检修行车等设施设备。</w:t>
      </w:r>
    </w:p>
    <w:p w14:paraId="7DA6AD1E">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2.工程管理区绿化</w:t>
      </w:r>
    </w:p>
    <w:p w14:paraId="6CD1CD04">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绿化栽植：</w:t>
      </w:r>
      <w:r>
        <w:rPr>
          <w:rFonts w:hint="eastAsia" w:ascii="Times New Roman" w:hAnsi="Times New Roman" w:eastAsia="仿宋_GB2312" w:cs="Times New Roman"/>
          <w:color w:val="auto"/>
          <w:sz w:val="32"/>
          <w:szCs w:val="32"/>
        </w:rPr>
        <w:t>丛生香樟</w:t>
      </w:r>
      <w:r>
        <w:rPr>
          <w:rFonts w:hint="eastAsia" w:ascii="Times New Roman" w:hAnsi="Times New Roman" w:eastAsia="仿宋_GB2312" w:cs="Times New Roman"/>
          <w:color w:val="auto"/>
          <w:sz w:val="32"/>
          <w:szCs w:val="32"/>
          <w:lang w:eastAsia="zh-CN"/>
        </w:rPr>
        <w:t>、红花继木球、桃树、茶梅球</w:t>
      </w:r>
      <w:r>
        <w:rPr>
          <w:rFonts w:ascii="Times New Roman" w:hAnsi="Times New Roman" w:eastAsia="仿宋_GB2312" w:cs="Times New Roman"/>
          <w:color w:val="auto"/>
          <w:sz w:val="32"/>
          <w:szCs w:val="32"/>
        </w:rPr>
        <w:t>等。</w:t>
      </w:r>
    </w:p>
    <w:p w14:paraId="473AFEC0">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绿化养护：</w:t>
      </w:r>
      <w:r>
        <w:rPr>
          <w:rFonts w:hint="eastAsia" w:ascii="Times New Roman" w:hAnsi="Times New Roman" w:eastAsia="仿宋_GB2312" w:cs="Times New Roman"/>
          <w:color w:val="auto"/>
          <w:sz w:val="32"/>
          <w:szCs w:val="32"/>
        </w:rPr>
        <w:t>对</w:t>
      </w:r>
      <w:r>
        <w:rPr>
          <w:rFonts w:hint="eastAsia" w:ascii="Times New Roman" w:hAnsi="Times New Roman" w:eastAsia="仿宋_GB2312" w:cs="Times New Roman"/>
          <w:color w:val="auto"/>
          <w:sz w:val="32"/>
          <w:szCs w:val="32"/>
          <w:lang w:val="en-US" w:eastAsia="zh-CN"/>
        </w:rPr>
        <w:t>堤防</w:t>
      </w:r>
      <w:r>
        <w:rPr>
          <w:rFonts w:hint="eastAsia" w:ascii="Times New Roman" w:hAnsi="Times New Roman" w:eastAsia="仿宋_GB2312" w:cs="Times New Roman"/>
          <w:color w:val="auto"/>
          <w:sz w:val="32"/>
          <w:szCs w:val="32"/>
        </w:rPr>
        <w:t>管理</w:t>
      </w:r>
      <w:r>
        <w:rPr>
          <w:rFonts w:hint="eastAsia" w:ascii="Times New Roman" w:hAnsi="Times New Roman" w:eastAsia="仿宋_GB2312" w:cs="Times New Roman"/>
          <w:color w:val="auto"/>
          <w:sz w:val="32"/>
          <w:szCs w:val="32"/>
          <w:lang w:val="en-US" w:eastAsia="zh-CN"/>
        </w:rPr>
        <w:t>范围内</w:t>
      </w:r>
      <w:r>
        <w:rPr>
          <w:rFonts w:hint="eastAsia" w:ascii="Times New Roman" w:hAnsi="Times New Roman" w:eastAsia="仿宋_GB2312" w:cs="Times New Roman"/>
          <w:color w:val="auto"/>
          <w:sz w:val="32"/>
          <w:szCs w:val="32"/>
        </w:rPr>
        <w:t>原有</w:t>
      </w:r>
      <w:r>
        <w:rPr>
          <w:rFonts w:hint="eastAsia" w:ascii="Times New Roman" w:hAnsi="Times New Roman" w:eastAsia="仿宋_GB2312" w:cs="Times New Roman"/>
          <w:color w:val="auto"/>
          <w:sz w:val="32"/>
          <w:szCs w:val="32"/>
          <w:lang w:val="en-US" w:eastAsia="zh-CN"/>
        </w:rPr>
        <w:t>林木</w:t>
      </w:r>
      <w:r>
        <w:rPr>
          <w:rFonts w:hint="eastAsia" w:ascii="Times New Roman" w:hAnsi="Times New Roman" w:eastAsia="仿宋_GB2312" w:cs="Times New Roman"/>
          <w:color w:val="auto"/>
          <w:sz w:val="32"/>
          <w:szCs w:val="32"/>
        </w:rPr>
        <w:t>进行</w:t>
      </w:r>
      <w:r>
        <w:rPr>
          <w:rFonts w:hint="eastAsia" w:ascii="Times New Roman" w:hAnsi="Times New Roman" w:eastAsia="仿宋_GB2312" w:cs="Times New Roman"/>
          <w:color w:val="auto"/>
          <w:sz w:val="32"/>
          <w:szCs w:val="32"/>
          <w:lang w:val="en-US" w:eastAsia="zh-CN"/>
        </w:rPr>
        <w:t>修枝打杈、涂白。</w:t>
      </w:r>
    </w:p>
    <w:p w14:paraId="1E138128">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3.垃圾围闸治理</w:t>
      </w:r>
    </w:p>
    <w:p w14:paraId="136E7EA4">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对</w:t>
      </w:r>
      <w:r>
        <w:rPr>
          <w:rFonts w:hint="eastAsia" w:ascii="Times New Roman" w:hAnsi="Times New Roman" w:eastAsia="仿宋_GB2312" w:cs="Times New Roman"/>
          <w:color w:val="auto"/>
          <w:sz w:val="32"/>
          <w:szCs w:val="32"/>
          <w:lang w:val="en-US" w:eastAsia="zh-CN"/>
        </w:rPr>
        <w:t>3座中型、</w:t>
      </w:r>
      <w:r>
        <w:rPr>
          <w:rFonts w:hint="eastAsia" w:ascii="仿宋_GB2312" w:hAnsi="仿宋_GB2312" w:eastAsia="仿宋_GB2312" w:cs="仿宋_GB2312"/>
          <w:bCs/>
          <w:color w:val="auto"/>
          <w:sz w:val="32"/>
          <w:szCs w:val="32"/>
          <w:highlight w:val="none"/>
          <w:lang w:val="en-US" w:eastAsia="zh-CN"/>
        </w:rPr>
        <w:t>5座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 w:val="0"/>
          <w:bCs/>
          <w:color w:val="auto"/>
          <w:sz w:val="32"/>
          <w:szCs w:val="32"/>
          <w:highlight w:val="none"/>
          <w:lang w:val="en-US" w:eastAsia="zh-CN"/>
        </w:rPr>
        <w:t>水闸</w:t>
      </w:r>
      <w:r>
        <w:rPr>
          <w:rFonts w:hint="eastAsia" w:ascii="仿宋_GB2312" w:hAnsi="仿宋_GB2312" w:eastAsia="仿宋_GB2312" w:cs="仿宋_GB2312"/>
          <w:bCs/>
          <w:color w:val="auto"/>
          <w:sz w:val="32"/>
          <w:szCs w:val="32"/>
          <w:highlight w:val="none"/>
        </w:rPr>
        <w:t>上游、下游管理范围内的水域及岸边清洁</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打捞并清运水域内的垃圾、漂浮物及水生植物，清理岸边杂物杂草，日常保持水域无垃圾、漂浮物及水生植物等。</w:t>
      </w:r>
    </w:p>
    <w:p w14:paraId="707DDE8F">
      <w:pPr>
        <w:numPr>
          <w:ilvl w:val="0"/>
          <w:numId w:val="0"/>
        </w:numPr>
        <w:spacing w:line="560" w:lineRule="exact"/>
        <w:ind w:firstLine="640" w:firstLineChars="20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kern w:val="2"/>
          <w:sz w:val="32"/>
          <w:szCs w:val="32"/>
          <w:lang w:val="en-US" w:eastAsia="zh-CN" w:bidi="ar-SA"/>
        </w:rPr>
        <w:t>4.</w:t>
      </w:r>
      <w:r>
        <w:rPr>
          <w:rFonts w:hint="eastAsia" w:ascii="Times New Roman" w:hAnsi="Times New Roman" w:eastAsia="仿宋_GB2312" w:cs="Times New Roman"/>
          <w:color w:val="auto"/>
          <w:sz w:val="32"/>
          <w:szCs w:val="32"/>
          <w:lang w:val="en-US" w:eastAsia="zh-CN"/>
        </w:rPr>
        <w:t>水闸工程维修</w:t>
      </w:r>
    </w:p>
    <w:p w14:paraId="442045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对</w:t>
      </w:r>
      <w:r>
        <w:rPr>
          <w:rFonts w:hint="eastAsia" w:ascii="仿宋_GB2312" w:eastAsia="仿宋_GB2312"/>
          <w:color w:val="auto"/>
          <w:sz w:val="32"/>
          <w:szCs w:val="32"/>
          <w:highlight w:val="none"/>
          <w:lang w:val="en-US" w:eastAsia="zh-CN"/>
        </w:rPr>
        <w:t>涡左吴家沟涵、西毛沟涵、涡右吴家沟涵及刘桥闸、新淝闸</w:t>
      </w:r>
      <w:r>
        <w:rPr>
          <w:rFonts w:hint="eastAsia" w:ascii="Times New Roman" w:hAnsi="Times New Roman" w:eastAsia="仿宋_GB2312" w:cs="Times New Roman"/>
          <w:color w:val="auto"/>
          <w:sz w:val="32"/>
          <w:szCs w:val="32"/>
          <w:lang w:val="en-US" w:eastAsia="zh-CN"/>
        </w:rPr>
        <w:t>栏杆更换；对</w:t>
      </w:r>
      <w:r>
        <w:rPr>
          <w:rFonts w:hint="eastAsia" w:ascii="仿宋_GB2312" w:eastAsia="仿宋_GB2312"/>
          <w:color w:val="auto"/>
          <w:sz w:val="32"/>
          <w:szCs w:val="32"/>
          <w:highlight w:val="none"/>
          <w:lang w:val="en-US" w:eastAsia="zh-CN"/>
        </w:rPr>
        <w:t>涡左吴家沟涵、西毛沟涵、涡右吴家沟涵及唐家沟涵</w:t>
      </w:r>
      <w:r>
        <w:rPr>
          <w:rFonts w:hint="eastAsia" w:ascii="Times New Roman" w:hAnsi="Times New Roman" w:eastAsia="仿宋_GB2312" w:cs="Times New Roman"/>
          <w:color w:val="auto"/>
          <w:sz w:val="32"/>
          <w:szCs w:val="32"/>
          <w:lang w:val="en-US" w:eastAsia="zh-CN"/>
        </w:rPr>
        <w:t>窗户</w:t>
      </w:r>
      <w:r>
        <w:rPr>
          <w:rFonts w:hint="eastAsia" w:ascii="仿宋_GB2312" w:eastAsia="仿宋_GB2312"/>
          <w:color w:val="auto"/>
          <w:sz w:val="32"/>
          <w:szCs w:val="32"/>
          <w:highlight w:val="none"/>
          <w:lang w:val="en-US" w:eastAsia="zh-CN"/>
        </w:rPr>
        <w:t>更换为90系列断桥铝合金窗</w:t>
      </w:r>
      <w:r>
        <w:rPr>
          <w:rFonts w:hint="eastAsia" w:ascii="Times New Roman" w:hAnsi="Times New Roman" w:eastAsia="仿宋_GB2312" w:cs="Times New Roman"/>
          <w:color w:val="auto"/>
          <w:sz w:val="32"/>
          <w:szCs w:val="32"/>
          <w:lang w:val="en-US" w:eastAsia="zh-CN"/>
        </w:rPr>
        <w:t>；钮家沟</w:t>
      </w:r>
      <w:r>
        <w:rPr>
          <w:rFonts w:hint="eastAsia" w:ascii="仿宋_GB2312" w:eastAsia="仿宋_GB2312"/>
          <w:color w:val="auto"/>
          <w:sz w:val="32"/>
          <w:szCs w:val="32"/>
          <w:highlight w:val="none"/>
          <w:lang w:val="en-US" w:eastAsia="zh-CN"/>
        </w:rPr>
        <w:t>涵</w:t>
      </w:r>
      <w:r>
        <w:rPr>
          <w:rFonts w:hint="eastAsia" w:ascii="Times New Roman" w:hAnsi="Times New Roman" w:eastAsia="仿宋_GB2312" w:cs="Times New Roman"/>
          <w:color w:val="auto"/>
          <w:sz w:val="32"/>
          <w:szCs w:val="32"/>
          <w:lang w:val="en-US" w:eastAsia="zh-CN"/>
        </w:rPr>
        <w:t>铺设预制块混凝土护坡，</w:t>
      </w:r>
      <w:r>
        <w:rPr>
          <w:rFonts w:hint="eastAsia" w:ascii="仿宋_GB2312" w:eastAsia="仿宋_GB2312"/>
          <w:color w:val="auto"/>
          <w:sz w:val="32"/>
          <w:szCs w:val="32"/>
          <w:highlight w:val="none"/>
          <w:lang w:val="en-US" w:eastAsia="zh-CN"/>
        </w:rPr>
        <w:t>屋顶部分瓦片维修，上游草皮铺植；涡左吴家沟涵栈桥维修</w:t>
      </w:r>
      <w:r>
        <w:rPr>
          <w:rFonts w:hint="eastAsia" w:ascii="Times New Roman" w:hAnsi="Times New Roman" w:eastAsia="仿宋_GB2312" w:cs="Times New Roman"/>
          <w:color w:val="auto"/>
          <w:sz w:val="32"/>
          <w:szCs w:val="32"/>
          <w:lang w:val="en-US" w:eastAsia="zh-CN"/>
        </w:rPr>
        <w:t>；</w:t>
      </w:r>
      <w:r>
        <w:rPr>
          <w:rFonts w:hint="eastAsia" w:ascii="仿宋_GB2312" w:eastAsia="仿宋_GB2312"/>
          <w:color w:val="auto"/>
          <w:sz w:val="32"/>
          <w:szCs w:val="32"/>
          <w:highlight w:val="none"/>
          <w:lang w:val="en-US" w:eastAsia="zh-CN"/>
        </w:rPr>
        <w:t>刘桥闸、新淝闸增设窗帘，铺设地胶地面。</w:t>
      </w:r>
    </w:p>
    <w:p w14:paraId="53D0F901">
      <w:pPr>
        <w:spacing w:line="560" w:lineRule="exact"/>
        <w:ind w:firstLine="643"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（四）</w:t>
      </w:r>
      <w:r>
        <w:rPr>
          <w:rFonts w:hint="default" w:ascii="Times New Roman" w:hAnsi="Times New Roman" w:eastAsia="楷体_GB2312" w:cs="Times New Roman"/>
          <w:b/>
          <w:bCs/>
          <w:color w:val="auto"/>
          <w:sz w:val="32"/>
          <w:szCs w:val="32"/>
          <w:lang w:val="en-US" w:eastAsia="zh-CN"/>
        </w:rPr>
        <w:t>蒙城局</w:t>
      </w:r>
    </w:p>
    <w:p w14:paraId="79DCF1E4">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1.水闸保养保洁</w:t>
      </w:r>
    </w:p>
    <w:p w14:paraId="2E657707">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bCs/>
          <w:color w:val="auto"/>
          <w:sz w:val="32"/>
          <w:szCs w:val="32"/>
          <w:highlight w:val="none"/>
        </w:rPr>
        <w:t>对</w:t>
      </w:r>
      <w:r>
        <w:rPr>
          <w:rFonts w:hint="eastAsia" w:ascii="Times New Roman" w:hAnsi="Times New Roman" w:eastAsia="仿宋_GB2312" w:cs="Times New Roman"/>
          <w:color w:val="auto"/>
          <w:sz w:val="32"/>
          <w:szCs w:val="32"/>
          <w:lang w:val="en-US" w:eastAsia="zh-CN"/>
        </w:rPr>
        <w:t>1座中型</w:t>
      </w:r>
      <w:r>
        <w:rPr>
          <w:rFonts w:hint="eastAsia" w:ascii="仿宋_GB2312" w:hAnsi="仿宋_GB2312" w:eastAsia="仿宋_GB2312" w:cs="仿宋_GB2312"/>
          <w:bCs/>
          <w:color w:val="auto"/>
          <w:sz w:val="32"/>
          <w:szCs w:val="32"/>
          <w:highlight w:val="none"/>
        </w:rPr>
        <w:t>水闸</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阜蒙新河闸</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启闭机房、桥头堡、中控室、高低压配电房、交通桥、检修便桥、排架柱等日常保洁及水闸金属结构、机电设备等日常养护</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以及</w:t>
      </w:r>
      <w:r>
        <w:rPr>
          <w:rFonts w:hint="eastAsia" w:ascii="Times New Roman" w:hAnsi="Times New Roman" w:eastAsia="仿宋_GB2312" w:cs="Times New Roman"/>
          <w:color w:val="auto"/>
          <w:sz w:val="32"/>
          <w:szCs w:val="32"/>
          <w:lang w:val="en-US" w:eastAsia="zh-CN"/>
        </w:rPr>
        <w:t>1座中型、</w:t>
      </w:r>
      <w:r>
        <w:rPr>
          <w:rFonts w:hint="eastAsia" w:ascii="仿宋_GB2312" w:hAnsi="仿宋_GB2312" w:eastAsia="仿宋_GB2312" w:cs="仿宋_GB2312"/>
          <w:bCs/>
          <w:color w:val="auto"/>
          <w:sz w:val="32"/>
          <w:szCs w:val="32"/>
          <w:highlight w:val="none"/>
          <w:lang w:val="en-US" w:eastAsia="zh-CN"/>
        </w:rPr>
        <w:t>32座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 w:val="0"/>
          <w:bCs/>
          <w:color w:val="auto"/>
          <w:sz w:val="32"/>
          <w:szCs w:val="32"/>
          <w:highlight w:val="none"/>
          <w:lang w:val="en-US" w:eastAsia="zh-CN"/>
        </w:rPr>
        <w:t>水闸（张大桥闸、丁沟涵、蔡桥涵等）汛前、汛后定期养护，包含启闭机、闸门、门槽埋件、检修行车等设施设备。</w:t>
      </w:r>
    </w:p>
    <w:p w14:paraId="71AC53ED">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2.工程管理区绿化</w:t>
      </w:r>
    </w:p>
    <w:p w14:paraId="67CC9FA1">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绿化栽植：</w:t>
      </w:r>
      <w:r>
        <w:rPr>
          <w:rFonts w:hint="eastAsia" w:ascii="Times New Roman" w:hAnsi="Times New Roman" w:eastAsia="仿宋_GB2312" w:cs="Times New Roman"/>
          <w:color w:val="auto"/>
          <w:sz w:val="32"/>
          <w:szCs w:val="32"/>
          <w:lang w:val="en-US" w:eastAsia="zh-CN"/>
        </w:rPr>
        <w:t>栽植树木约5150棵，主要包括胸径5cm垂柳、速生榆、池杉、紫薇、四季桂等树木。</w:t>
      </w:r>
    </w:p>
    <w:p w14:paraId="435FAEA6">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绿化养护：</w:t>
      </w:r>
      <w:r>
        <w:rPr>
          <w:rFonts w:hint="eastAsia" w:ascii="Times New Roman" w:hAnsi="Times New Roman" w:eastAsia="仿宋_GB2312" w:cs="Times New Roman"/>
          <w:color w:val="auto"/>
          <w:sz w:val="32"/>
          <w:szCs w:val="32"/>
        </w:rPr>
        <w:t>对</w:t>
      </w:r>
      <w:r>
        <w:rPr>
          <w:rFonts w:hint="eastAsia" w:ascii="Times New Roman" w:hAnsi="Times New Roman" w:eastAsia="仿宋_GB2312" w:cs="Times New Roman"/>
          <w:color w:val="auto"/>
          <w:sz w:val="32"/>
          <w:szCs w:val="32"/>
          <w:lang w:val="en-US" w:eastAsia="zh-CN"/>
        </w:rPr>
        <w:t>管理范围内12000棵树木进行树木涂白及修枝打杈</w:t>
      </w:r>
      <w:r>
        <w:rPr>
          <w:rFonts w:hint="eastAsia" w:ascii="Times New Roman" w:hAnsi="Times New Roman" w:eastAsia="仿宋_GB2312" w:cs="Times New Roman"/>
          <w:color w:val="auto"/>
          <w:sz w:val="32"/>
          <w:szCs w:val="32"/>
        </w:rPr>
        <w:t>。</w:t>
      </w:r>
    </w:p>
    <w:p w14:paraId="26A8F5BB">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3.垃圾围闸治理</w:t>
      </w:r>
    </w:p>
    <w:p w14:paraId="1BF83E2A">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对</w:t>
      </w:r>
      <w:r>
        <w:rPr>
          <w:rFonts w:hint="eastAsia" w:ascii="Times New Roman" w:hAnsi="Times New Roman" w:eastAsia="仿宋_GB2312" w:cs="Times New Roman"/>
          <w:color w:val="auto"/>
          <w:sz w:val="32"/>
          <w:szCs w:val="32"/>
          <w:lang w:val="en-US" w:eastAsia="zh-CN"/>
        </w:rPr>
        <w:t>1座中型、</w:t>
      </w:r>
      <w:r>
        <w:rPr>
          <w:rFonts w:hint="eastAsia" w:ascii="仿宋_GB2312" w:hAnsi="仿宋_GB2312" w:eastAsia="仿宋_GB2312" w:cs="仿宋_GB2312"/>
          <w:bCs/>
          <w:color w:val="auto"/>
          <w:sz w:val="32"/>
          <w:szCs w:val="32"/>
          <w:highlight w:val="none"/>
          <w:lang w:val="en-US" w:eastAsia="zh-CN"/>
        </w:rPr>
        <w:t>32座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 w:val="0"/>
          <w:bCs/>
          <w:color w:val="auto"/>
          <w:sz w:val="32"/>
          <w:szCs w:val="32"/>
          <w:highlight w:val="none"/>
          <w:lang w:val="en-US" w:eastAsia="zh-CN"/>
        </w:rPr>
        <w:t>水闸</w:t>
      </w:r>
      <w:r>
        <w:rPr>
          <w:rFonts w:hint="eastAsia" w:ascii="仿宋_GB2312" w:hAnsi="仿宋_GB2312" w:eastAsia="仿宋_GB2312" w:cs="仿宋_GB2312"/>
          <w:bCs/>
          <w:color w:val="auto"/>
          <w:sz w:val="32"/>
          <w:szCs w:val="32"/>
          <w:highlight w:val="none"/>
        </w:rPr>
        <w:t>上游、下游管理范围内的水域及岸边清洁</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打捞并清运水域内的垃圾、漂浮物及水生植物，清理岸边杂物杂草，日常保持水域无垃圾、漂浮物及水生植物等。</w:t>
      </w:r>
    </w:p>
    <w:p w14:paraId="7EA08486">
      <w:pPr>
        <w:spacing w:line="560" w:lineRule="exact"/>
        <w:ind w:firstLine="643"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（五）</w:t>
      </w:r>
      <w:r>
        <w:rPr>
          <w:rFonts w:hint="default" w:ascii="Times New Roman" w:hAnsi="Times New Roman" w:eastAsia="楷体_GB2312" w:cs="Times New Roman"/>
          <w:b/>
          <w:bCs/>
          <w:color w:val="auto"/>
          <w:sz w:val="32"/>
          <w:szCs w:val="32"/>
          <w:lang w:val="en-US" w:eastAsia="zh-CN"/>
        </w:rPr>
        <w:t>潘集局</w:t>
      </w:r>
    </w:p>
    <w:p w14:paraId="1C3C83EA">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1.水闸保养保洁</w:t>
      </w:r>
    </w:p>
    <w:p w14:paraId="0019B8CA">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bCs/>
          <w:color w:val="auto"/>
          <w:sz w:val="32"/>
          <w:szCs w:val="32"/>
          <w:highlight w:val="none"/>
        </w:rPr>
        <w:t>对</w:t>
      </w:r>
      <w:r>
        <w:rPr>
          <w:rFonts w:hint="eastAsia" w:ascii="Times New Roman" w:hAnsi="Times New Roman" w:eastAsia="仿宋_GB2312" w:cs="Times New Roman"/>
          <w:color w:val="auto"/>
          <w:sz w:val="32"/>
          <w:szCs w:val="32"/>
          <w:lang w:val="en-US" w:eastAsia="zh-CN"/>
        </w:rPr>
        <w:t>2座中型</w:t>
      </w:r>
      <w:r>
        <w:rPr>
          <w:rFonts w:hint="eastAsia" w:ascii="仿宋_GB2312" w:hAnsi="仿宋_GB2312" w:eastAsia="仿宋_GB2312" w:cs="仿宋_GB2312"/>
          <w:b w:val="0"/>
          <w:bCs/>
          <w:color w:val="auto"/>
          <w:sz w:val="32"/>
          <w:szCs w:val="32"/>
          <w:highlight w:val="none"/>
          <w:lang w:val="en-US" w:eastAsia="zh-CN"/>
        </w:rPr>
        <w:t>水闸（青年闸、尹家沟闸）、1座架河闸</w:t>
      </w:r>
      <w:r>
        <w:rPr>
          <w:rFonts w:hint="eastAsia" w:ascii="仿宋_GB2312" w:hAnsi="仿宋_GB2312" w:eastAsia="仿宋_GB2312" w:cs="仿宋_GB2312"/>
          <w:bCs/>
          <w:color w:val="auto"/>
          <w:sz w:val="32"/>
          <w:szCs w:val="32"/>
          <w:highlight w:val="none"/>
        </w:rPr>
        <w:t>启闭机房、桥头堡、中控室、高低压配电房、交通桥、检修便桥、排架柱等日常保洁及水闸金属结构、机电设备等日常养护</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lang w:val="en-US" w:eastAsia="zh-CN"/>
        </w:rPr>
        <w:t>以及</w:t>
      </w:r>
      <w:r>
        <w:rPr>
          <w:rFonts w:hint="eastAsia" w:ascii="Times New Roman" w:hAnsi="Times New Roman" w:eastAsia="仿宋_GB2312" w:cs="Times New Roman"/>
          <w:color w:val="auto"/>
          <w:sz w:val="32"/>
          <w:szCs w:val="32"/>
          <w:lang w:val="en-US" w:eastAsia="zh-CN"/>
        </w:rPr>
        <w:t>2座中型</w:t>
      </w:r>
      <w:r>
        <w:rPr>
          <w:rFonts w:hint="eastAsia" w:ascii="仿宋_GB2312" w:hAnsi="仿宋_GB2312" w:eastAsia="仿宋_GB2312" w:cs="仿宋_GB2312"/>
          <w:b w:val="0"/>
          <w:bCs/>
          <w:color w:val="auto"/>
          <w:sz w:val="32"/>
          <w:szCs w:val="32"/>
          <w:highlight w:val="none"/>
          <w:lang w:val="en-US" w:eastAsia="zh-CN"/>
        </w:rPr>
        <w:t>水闸、9</w:t>
      </w:r>
      <w:r>
        <w:rPr>
          <w:rFonts w:hint="eastAsia" w:ascii="仿宋_GB2312" w:hAnsi="仿宋_GB2312" w:eastAsia="仿宋_GB2312" w:cs="仿宋_GB2312"/>
          <w:bCs/>
          <w:color w:val="auto"/>
          <w:sz w:val="32"/>
          <w:szCs w:val="32"/>
          <w:highlight w:val="none"/>
          <w:lang w:val="en-US" w:eastAsia="zh-CN"/>
        </w:rPr>
        <w:t>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Cs/>
          <w:color w:val="auto"/>
          <w:sz w:val="32"/>
          <w:szCs w:val="32"/>
          <w:highlight w:val="none"/>
        </w:rPr>
        <w:t>水闸</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 w:val="0"/>
          <w:bCs/>
          <w:color w:val="auto"/>
          <w:sz w:val="32"/>
          <w:szCs w:val="32"/>
          <w:highlight w:val="none"/>
          <w:lang w:val="en-US" w:eastAsia="zh-CN"/>
        </w:rPr>
        <w:t>架河闸、</w:t>
      </w:r>
      <w:r>
        <w:rPr>
          <w:rFonts w:hint="eastAsia" w:ascii="仿宋_GB2312" w:hAnsi="仿宋_GB2312" w:eastAsia="仿宋_GB2312" w:cs="仿宋_GB2312"/>
          <w:bCs/>
          <w:color w:val="auto"/>
          <w:sz w:val="32"/>
          <w:szCs w:val="32"/>
          <w:highlight w:val="none"/>
          <w:lang w:eastAsia="zh-CN"/>
        </w:rPr>
        <w:t>谢沟涵、方沟涵、芦沟涵、余大郢涵、孔沟涵、张岗涵、后集涵、利民新河闸）</w:t>
      </w:r>
      <w:r>
        <w:rPr>
          <w:rFonts w:hint="eastAsia" w:ascii="仿宋_GB2312" w:hAnsi="仿宋_GB2312" w:eastAsia="仿宋_GB2312" w:cs="仿宋_GB2312"/>
          <w:b w:val="0"/>
          <w:bCs/>
          <w:color w:val="auto"/>
          <w:sz w:val="32"/>
          <w:szCs w:val="32"/>
          <w:highlight w:val="none"/>
          <w:lang w:val="en-US" w:eastAsia="zh-CN"/>
        </w:rPr>
        <w:t>汛前、汛后定期养护，包含启闭机、闸门、门槽埋件、检修行车等设施设备。</w:t>
      </w:r>
    </w:p>
    <w:p w14:paraId="7663E2B5">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w:t>
      </w:r>
      <w:r>
        <w:rPr>
          <w:rFonts w:ascii="Times New Roman" w:hAnsi="Times New Roman" w:eastAsia="仿宋_GB2312" w:cs="Times New Roman"/>
          <w:color w:val="auto"/>
          <w:sz w:val="32"/>
          <w:szCs w:val="32"/>
        </w:rPr>
        <w:t>.垃圾围闸治理</w:t>
      </w:r>
    </w:p>
    <w:p w14:paraId="3513EA23">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对</w:t>
      </w:r>
      <w:r>
        <w:rPr>
          <w:rFonts w:hint="eastAsia" w:ascii="Times New Roman" w:hAnsi="Times New Roman" w:eastAsia="仿宋_GB2312" w:cs="Times New Roman"/>
          <w:color w:val="auto"/>
          <w:sz w:val="32"/>
          <w:szCs w:val="32"/>
          <w:lang w:val="en-US" w:eastAsia="zh-CN"/>
        </w:rPr>
        <w:t>2座中型</w:t>
      </w:r>
      <w:r>
        <w:rPr>
          <w:rFonts w:hint="eastAsia" w:ascii="仿宋_GB2312" w:hAnsi="仿宋_GB2312" w:eastAsia="仿宋_GB2312" w:cs="仿宋_GB2312"/>
          <w:b w:val="0"/>
          <w:bCs/>
          <w:color w:val="auto"/>
          <w:sz w:val="32"/>
          <w:szCs w:val="32"/>
          <w:highlight w:val="none"/>
          <w:lang w:val="en-US" w:eastAsia="zh-CN"/>
        </w:rPr>
        <w:t>水闸、9</w:t>
      </w:r>
      <w:r>
        <w:rPr>
          <w:rFonts w:hint="eastAsia" w:ascii="仿宋_GB2312" w:hAnsi="仿宋_GB2312" w:eastAsia="仿宋_GB2312" w:cs="仿宋_GB2312"/>
          <w:bCs/>
          <w:color w:val="auto"/>
          <w:sz w:val="32"/>
          <w:szCs w:val="32"/>
          <w:highlight w:val="none"/>
          <w:lang w:val="en-US" w:eastAsia="zh-CN"/>
        </w:rPr>
        <w:t>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Cs/>
          <w:color w:val="auto"/>
          <w:sz w:val="32"/>
          <w:szCs w:val="32"/>
          <w:highlight w:val="none"/>
        </w:rPr>
        <w:t>水闸上游、下游管理范围内的水域及岸边清洁</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打捞并清运水域内的垃圾、漂浮物及水生植物，清理岸边杂物杂草，日常保持水域无垃圾、漂浮物及水生植物等。</w:t>
      </w:r>
    </w:p>
    <w:p w14:paraId="52C6B42B">
      <w:pPr>
        <w:numPr>
          <w:ilvl w:val="0"/>
          <w:numId w:val="0"/>
        </w:numPr>
        <w:spacing w:line="560" w:lineRule="exact"/>
        <w:ind w:firstLine="640" w:firstLineChars="20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kern w:val="2"/>
          <w:sz w:val="32"/>
          <w:szCs w:val="32"/>
          <w:lang w:val="en-US" w:eastAsia="zh-CN" w:bidi="ar-SA"/>
        </w:rPr>
        <w:t>3.</w:t>
      </w:r>
      <w:r>
        <w:rPr>
          <w:rFonts w:hint="eastAsia" w:ascii="Times New Roman" w:hAnsi="Times New Roman" w:eastAsia="仿宋_GB2312" w:cs="Times New Roman"/>
          <w:color w:val="auto"/>
          <w:sz w:val="32"/>
          <w:szCs w:val="32"/>
          <w:lang w:val="en-US" w:eastAsia="zh-CN"/>
        </w:rPr>
        <w:t>水闸工程维修</w:t>
      </w:r>
    </w:p>
    <w:p w14:paraId="6D035BFD">
      <w:pPr>
        <w:spacing w:line="560" w:lineRule="exact"/>
        <w:ind w:firstLine="640" w:firstLineChars="20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架河闸、利民新河闸启闭机油漆重新喷漆；架河闸淮河侧护坡延长，青年闸淮河侧、泥河侧护坡延长；青年闸现有吊顶拆除，利民新河闸无吊顶，安装</w:t>
      </w:r>
      <w:r>
        <w:rPr>
          <w:rFonts w:hint="eastAsia" w:ascii="仿宋_GB2312" w:hAnsi="仿宋_GB2312" w:eastAsia="仿宋_GB2312" w:cs="仿宋_GB2312"/>
          <w:color w:val="auto"/>
          <w:kern w:val="2"/>
          <w:sz w:val="32"/>
          <w:szCs w:val="32"/>
          <w:highlight w:val="none"/>
          <w:lang w:val="en-US" w:eastAsia="zh-CN" w:bidi="ar-SA"/>
        </w:rPr>
        <w:t>铝塑板吊顶</w:t>
      </w:r>
      <w:r>
        <w:rPr>
          <w:rFonts w:hint="eastAsia" w:ascii="Times New Roman" w:hAnsi="Times New Roman" w:eastAsia="仿宋_GB2312" w:cs="Times New Roman"/>
          <w:color w:val="auto"/>
          <w:sz w:val="32"/>
          <w:szCs w:val="32"/>
          <w:lang w:val="en-US" w:eastAsia="zh-CN"/>
        </w:rPr>
        <w:t>；谢沟闸门面板防腐防锈处理；</w:t>
      </w:r>
      <w:r>
        <w:rPr>
          <w:rFonts w:hint="eastAsia" w:ascii="仿宋_GB2312" w:hAnsi="仿宋_GB2312" w:eastAsia="仿宋_GB2312" w:cs="仿宋_GB2312"/>
          <w:color w:val="auto"/>
          <w:sz w:val="32"/>
          <w:szCs w:val="32"/>
          <w:highlight w:val="none"/>
        </w:rPr>
        <w:t>方沟</w:t>
      </w:r>
      <w:r>
        <w:rPr>
          <w:rFonts w:hint="eastAsia" w:ascii="仿宋_GB2312" w:hAnsi="仿宋_GB2312" w:eastAsia="仿宋_GB2312" w:cs="仿宋_GB2312"/>
          <w:color w:val="auto"/>
          <w:sz w:val="32"/>
          <w:szCs w:val="32"/>
          <w:highlight w:val="none"/>
          <w:lang w:val="en-US" w:eastAsia="zh-CN"/>
        </w:rPr>
        <w:t>涵、</w:t>
      </w:r>
      <w:r>
        <w:rPr>
          <w:rFonts w:hint="eastAsia" w:ascii="仿宋_GB2312" w:hAnsi="仿宋_GB2312" w:eastAsia="仿宋_GB2312" w:cs="仿宋_GB2312"/>
          <w:color w:val="auto"/>
          <w:sz w:val="32"/>
          <w:szCs w:val="32"/>
          <w:highlight w:val="none"/>
        </w:rPr>
        <w:t>谢沟</w:t>
      </w:r>
      <w:r>
        <w:rPr>
          <w:rFonts w:hint="eastAsia" w:ascii="仿宋_GB2312" w:hAnsi="仿宋_GB2312" w:eastAsia="仿宋_GB2312" w:cs="仿宋_GB2312"/>
          <w:color w:val="auto"/>
          <w:sz w:val="32"/>
          <w:szCs w:val="32"/>
          <w:highlight w:val="none"/>
          <w:lang w:val="en-US" w:eastAsia="zh-CN"/>
        </w:rPr>
        <w:t>涵</w:t>
      </w:r>
      <w:r>
        <w:rPr>
          <w:rFonts w:hint="eastAsia" w:ascii="仿宋_GB2312" w:hAnsi="仿宋_GB2312" w:eastAsia="仿宋_GB2312" w:cs="仿宋_GB2312"/>
          <w:color w:val="auto"/>
          <w:sz w:val="32"/>
          <w:szCs w:val="32"/>
          <w:highlight w:val="none"/>
        </w:rPr>
        <w:t>闸门</w:t>
      </w:r>
      <w:r>
        <w:rPr>
          <w:rFonts w:hint="eastAsia" w:ascii="仿宋_GB2312" w:hAnsi="仿宋_GB2312" w:eastAsia="仿宋_GB2312" w:cs="仿宋_GB2312"/>
          <w:color w:val="auto"/>
          <w:sz w:val="32"/>
          <w:szCs w:val="32"/>
          <w:highlight w:val="none"/>
          <w:lang w:val="en-US" w:eastAsia="zh-CN"/>
        </w:rPr>
        <w:t>滚轮维修</w:t>
      </w:r>
      <w:r>
        <w:rPr>
          <w:rFonts w:hint="eastAsia" w:ascii="Times New Roman" w:hAnsi="Times New Roman" w:eastAsia="仿宋_GB2312" w:cs="Times New Roman"/>
          <w:color w:val="auto"/>
          <w:sz w:val="32"/>
          <w:szCs w:val="32"/>
          <w:lang w:val="en-US" w:eastAsia="zh-CN"/>
        </w:rPr>
        <w:t>。</w:t>
      </w:r>
    </w:p>
    <w:p w14:paraId="1B42927C">
      <w:pPr>
        <w:spacing w:line="560" w:lineRule="exact"/>
        <w:ind w:firstLine="643"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（六）</w:t>
      </w:r>
      <w:r>
        <w:rPr>
          <w:rFonts w:hint="default" w:ascii="Times New Roman" w:hAnsi="Times New Roman" w:eastAsia="楷体_GB2312" w:cs="Times New Roman"/>
          <w:b/>
          <w:bCs/>
          <w:color w:val="auto"/>
          <w:sz w:val="32"/>
          <w:szCs w:val="32"/>
          <w:lang w:val="en-US" w:eastAsia="zh-CN"/>
        </w:rPr>
        <w:t>颍东局</w:t>
      </w:r>
    </w:p>
    <w:p w14:paraId="513CF1A0">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1.水闸保养保洁</w:t>
      </w:r>
    </w:p>
    <w:p w14:paraId="292CC09A">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bCs/>
          <w:color w:val="auto"/>
          <w:sz w:val="32"/>
          <w:szCs w:val="32"/>
          <w:highlight w:val="none"/>
        </w:rPr>
        <w:t>对</w:t>
      </w:r>
      <w:r>
        <w:rPr>
          <w:rFonts w:hint="eastAsia" w:ascii="Times New Roman" w:hAnsi="Times New Roman" w:eastAsia="仿宋_GB2312" w:cs="Times New Roman"/>
          <w:color w:val="auto"/>
          <w:sz w:val="32"/>
          <w:szCs w:val="32"/>
          <w:lang w:val="en-US" w:eastAsia="zh-CN"/>
        </w:rPr>
        <w:t>1座小型</w:t>
      </w:r>
      <w:r>
        <w:rPr>
          <w:rFonts w:hint="eastAsia" w:ascii="仿宋_GB2312" w:hAnsi="仿宋_GB2312" w:eastAsia="仿宋_GB2312" w:cs="仿宋_GB2312"/>
          <w:b w:val="0"/>
          <w:bCs/>
          <w:color w:val="auto"/>
          <w:sz w:val="32"/>
          <w:szCs w:val="32"/>
          <w:highlight w:val="none"/>
          <w:lang w:val="en-US" w:eastAsia="zh-CN"/>
        </w:rPr>
        <w:t>水闸（新河涵）汛前、汛后定期养护，包含启闭机、闸门、门槽埋件、检修行车等设施设备。</w:t>
      </w:r>
    </w:p>
    <w:p w14:paraId="44485EAE">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2.工程管理区绿化</w:t>
      </w:r>
    </w:p>
    <w:p w14:paraId="3112439F">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绿化栽植：</w:t>
      </w:r>
      <w:r>
        <w:rPr>
          <w:rFonts w:hint="eastAsia" w:ascii="Times New Roman" w:hAnsi="Times New Roman" w:eastAsia="仿宋_GB2312" w:cs="Times New Roman"/>
          <w:color w:val="auto"/>
          <w:sz w:val="32"/>
          <w:szCs w:val="32"/>
        </w:rPr>
        <w:t>水杉、无絮杨、垂柳</w:t>
      </w:r>
      <w:r>
        <w:rPr>
          <w:rFonts w:ascii="Times New Roman" w:hAnsi="Times New Roman" w:eastAsia="仿宋_GB2312" w:cs="Times New Roman"/>
          <w:color w:val="auto"/>
          <w:sz w:val="32"/>
          <w:szCs w:val="32"/>
        </w:rPr>
        <w:t>等。</w:t>
      </w:r>
    </w:p>
    <w:p w14:paraId="1A3C450F">
      <w:pPr>
        <w:spacing w:line="560" w:lineRule="exact"/>
        <w:ind w:firstLine="640" w:firstLineChars="200"/>
        <w:rPr>
          <w:rFonts w:hint="eastAsia"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绿化养护：</w:t>
      </w:r>
      <w:r>
        <w:rPr>
          <w:rFonts w:hint="eastAsia" w:ascii="Times New Roman" w:hAnsi="Times New Roman" w:eastAsia="仿宋_GB2312" w:cs="Times New Roman"/>
          <w:color w:val="auto"/>
          <w:sz w:val="32"/>
          <w:szCs w:val="32"/>
        </w:rPr>
        <w:t>对管理区原有花木、草坪、绿地进行日常养护（包括修枝打杈、树木整形、施药、涂白、保暖等）。</w:t>
      </w:r>
    </w:p>
    <w:p w14:paraId="36770956">
      <w:pPr>
        <w:spacing w:line="56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安装护栏：对魏沟排涝站护闸地北侧和东侧安装护栏，总长290m。每根护栏柱需在地下浇筑20*20*30cm混凝土块；护栏网高1.1m。</w:t>
      </w:r>
    </w:p>
    <w:p w14:paraId="13842E78">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3.垃圾围闸治理</w:t>
      </w:r>
    </w:p>
    <w:p w14:paraId="2CC2634D">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对</w:t>
      </w:r>
      <w:r>
        <w:rPr>
          <w:rFonts w:hint="eastAsia" w:ascii="Times New Roman" w:hAnsi="Times New Roman" w:eastAsia="仿宋_GB2312" w:cs="Times New Roman"/>
          <w:color w:val="auto"/>
          <w:sz w:val="32"/>
          <w:szCs w:val="32"/>
          <w:lang w:val="en-US" w:eastAsia="zh-CN"/>
        </w:rPr>
        <w:t>1</w:t>
      </w:r>
      <w:r>
        <w:rPr>
          <w:rFonts w:hint="eastAsia" w:ascii="仿宋_GB2312" w:hAnsi="仿宋_GB2312" w:eastAsia="仿宋_GB2312" w:cs="仿宋_GB2312"/>
          <w:bCs/>
          <w:color w:val="auto"/>
          <w:sz w:val="32"/>
          <w:szCs w:val="32"/>
          <w:highlight w:val="none"/>
          <w:lang w:val="en-US" w:eastAsia="zh-CN"/>
        </w:rPr>
        <w:t>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 w:val="0"/>
          <w:bCs/>
          <w:color w:val="auto"/>
          <w:sz w:val="32"/>
          <w:szCs w:val="32"/>
          <w:highlight w:val="none"/>
          <w:lang w:val="en-US" w:eastAsia="zh-CN"/>
        </w:rPr>
        <w:t>水闸</w:t>
      </w:r>
      <w:r>
        <w:rPr>
          <w:rFonts w:hint="eastAsia" w:ascii="仿宋_GB2312" w:hAnsi="仿宋_GB2312" w:eastAsia="仿宋_GB2312" w:cs="仿宋_GB2312"/>
          <w:bCs/>
          <w:color w:val="auto"/>
          <w:sz w:val="32"/>
          <w:szCs w:val="32"/>
          <w:highlight w:val="none"/>
        </w:rPr>
        <w:t>上游、下游管理范围内的水域及岸边清洁</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打捞并清运水域内的垃圾、漂浮物及水生植物，清理岸边杂物杂草，日常保持水域无垃圾、漂浮物及水生植物等。</w:t>
      </w:r>
    </w:p>
    <w:p w14:paraId="1B882C3B">
      <w:pPr>
        <w:spacing w:line="560" w:lineRule="exact"/>
        <w:ind w:firstLine="643"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（七）</w:t>
      </w:r>
      <w:r>
        <w:rPr>
          <w:rFonts w:hint="default" w:ascii="Times New Roman" w:hAnsi="Times New Roman" w:eastAsia="楷体_GB2312" w:cs="Times New Roman"/>
          <w:b/>
          <w:bCs/>
          <w:color w:val="auto"/>
          <w:sz w:val="32"/>
          <w:szCs w:val="32"/>
          <w:lang w:val="en-US" w:eastAsia="zh-CN"/>
        </w:rPr>
        <w:t>颍上局</w:t>
      </w:r>
    </w:p>
    <w:p w14:paraId="6516C389">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1.水闸保养保洁</w:t>
      </w:r>
    </w:p>
    <w:p w14:paraId="0FC10622">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Times New Roman" w:hAnsi="Times New Roman" w:eastAsia="仿宋_GB2312" w:cs="Times New Roman"/>
          <w:color w:val="auto"/>
          <w:sz w:val="32"/>
          <w:szCs w:val="32"/>
          <w:lang w:eastAsia="zh-CN"/>
        </w:rPr>
      </w:pPr>
      <w:r>
        <w:rPr>
          <w:rFonts w:hint="eastAsia" w:ascii="仿宋_GB2312" w:hAnsi="仿宋_GB2312" w:eastAsia="仿宋_GB2312" w:cs="仿宋_GB2312"/>
          <w:bCs/>
          <w:color w:val="auto"/>
          <w:sz w:val="32"/>
          <w:szCs w:val="32"/>
          <w:highlight w:val="none"/>
        </w:rPr>
        <w:t>对</w:t>
      </w:r>
      <w:r>
        <w:rPr>
          <w:rFonts w:hint="eastAsia" w:ascii="Times New Roman" w:hAnsi="Times New Roman" w:eastAsia="仿宋_GB2312" w:cs="Times New Roman"/>
          <w:color w:val="auto"/>
          <w:sz w:val="32"/>
          <w:szCs w:val="32"/>
          <w:lang w:val="en-US" w:eastAsia="zh-CN"/>
        </w:rPr>
        <w:t>13座小型</w:t>
      </w:r>
      <w:r>
        <w:rPr>
          <w:rFonts w:hint="eastAsia" w:ascii="仿宋_GB2312" w:hAnsi="仿宋_GB2312" w:eastAsia="仿宋_GB2312" w:cs="仿宋_GB2312"/>
          <w:b w:val="0"/>
          <w:bCs/>
          <w:color w:val="auto"/>
          <w:sz w:val="32"/>
          <w:szCs w:val="32"/>
          <w:highlight w:val="none"/>
          <w:lang w:val="en-US" w:eastAsia="zh-CN"/>
        </w:rPr>
        <w:t>水闸（乌江涵、小集涵、五里沟涵、刘集涵、白果树涵、战沟涵、苏沟涵、赵沟涵、二龙沟涵、小长沟涵、宋沟涵、曹沟涵、池沟涵、三道冲涵、王湾涵）汛前、汛后定期养护，包含启闭机、闸门、门槽埋件、检修行车等设施设备。</w:t>
      </w:r>
    </w:p>
    <w:p w14:paraId="71473EAB">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2.工程管理区绿化</w:t>
      </w:r>
    </w:p>
    <w:p w14:paraId="73C650F1">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绿化养护：</w:t>
      </w:r>
      <w:r>
        <w:rPr>
          <w:rFonts w:hint="eastAsia" w:ascii="Times New Roman" w:hAnsi="Times New Roman" w:eastAsia="仿宋_GB2312" w:cs="Times New Roman"/>
          <w:color w:val="auto"/>
          <w:sz w:val="32"/>
          <w:szCs w:val="32"/>
        </w:rPr>
        <w:t>对</w:t>
      </w:r>
      <w:r>
        <w:rPr>
          <w:rFonts w:hint="eastAsia" w:ascii="Times New Roman" w:hAnsi="Times New Roman" w:eastAsia="仿宋_GB2312" w:cs="Times New Roman"/>
          <w:color w:val="auto"/>
          <w:sz w:val="32"/>
          <w:szCs w:val="32"/>
          <w:lang w:val="en-US" w:eastAsia="zh-CN"/>
        </w:rPr>
        <w:t>堤防</w:t>
      </w:r>
      <w:r>
        <w:rPr>
          <w:rFonts w:hint="eastAsia" w:ascii="Times New Roman" w:hAnsi="Times New Roman" w:eastAsia="仿宋_GB2312" w:cs="Times New Roman"/>
          <w:color w:val="auto"/>
          <w:sz w:val="32"/>
          <w:szCs w:val="32"/>
        </w:rPr>
        <w:t>管理</w:t>
      </w:r>
      <w:r>
        <w:rPr>
          <w:rFonts w:hint="eastAsia" w:ascii="Times New Roman" w:hAnsi="Times New Roman" w:eastAsia="仿宋_GB2312" w:cs="Times New Roman"/>
          <w:color w:val="auto"/>
          <w:sz w:val="32"/>
          <w:szCs w:val="32"/>
          <w:lang w:val="en-US" w:eastAsia="zh-CN"/>
        </w:rPr>
        <w:t>范围内5.524万株</w:t>
      </w:r>
      <w:r>
        <w:rPr>
          <w:rFonts w:hint="eastAsia" w:ascii="Times New Roman" w:hAnsi="Times New Roman" w:eastAsia="仿宋_GB2312" w:cs="Times New Roman"/>
          <w:color w:val="auto"/>
          <w:sz w:val="32"/>
          <w:szCs w:val="32"/>
        </w:rPr>
        <w:t>原有</w:t>
      </w:r>
      <w:r>
        <w:rPr>
          <w:rFonts w:hint="eastAsia" w:ascii="Times New Roman" w:hAnsi="Times New Roman" w:eastAsia="仿宋_GB2312" w:cs="Times New Roman"/>
          <w:color w:val="auto"/>
          <w:sz w:val="32"/>
          <w:szCs w:val="32"/>
          <w:lang w:val="en-US" w:eastAsia="zh-CN"/>
        </w:rPr>
        <w:t>林木</w:t>
      </w:r>
      <w:r>
        <w:rPr>
          <w:rFonts w:hint="eastAsia" w:ascii="Times New Roman" w:hAnsi="Times New Roman" w:eastAsia="仿宋_GB2312" w:cs="Times New Roman"/>
          <w:color w:val="auto"/>
          <w:sz w:val="32"/>
          <w:szCs w:val="32"/>
        </w:rPr>
        <w:t>进行</w:t>
      </w:r>
      <w:r>
        <w:rPr>
          <w:rFonts w:hint="eastAsia" w:ascii="Times New Roman" w:hAnsi="Times New Roman" w:eastAsia="仿宋_GB2312" w:cs="Times New Roman"/>
          <w:color w:val="auto"/>
          <w:sz w:val="32"/>
          <w:szCs w:val="32"/>
          <w:lang w:val="en-US" w:eastAsia="zh-CN"/>
        </w:rPr>
        <w:t>修枝打杈、涂白。</w:t>
      </w:r>
    </w:p>
    <w:p w14:paraId="60DE8799">
      <w:pPr>
        <w:spacing w:line="560" w:lineRule="exact"/>
        <w:ind w:firstLine="640" w:firstLineChars="200"/>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3.垃圾围闸治理</w:t>
      </w:r>
    </w:p>
    <w:p w14:paraId="4703E2D3">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对</w:t>
      </w:r>
      <w:r>
        <w:rPr>
          <w:rFonts w:hint="eastAsia" w:ascii="Times New Roman" w:hAnsi="Times New Roman" w:eastAsia="仿宋_GB2312" w:cs="Times New Roman"/>
          <w:color w:val="auto"/>
          <w:sz w:val="32"/>
          <w:szCs w:val="32"/>
          <w:lang w:val="en-US" w:eastAsia="zh-CN"/>
        </w:rPr>
        <w:t>13</w:t>
      </w:r>
      <w:r>
        <w:rPr>
          <w:rFonts w:hint="eastAsia" w:ascii="仿宋_GB2312" w:hAnsi="仿宋_GB2312" w:eastAsia="仿宋_GB2312" w:cs="仿宋_GB2312"/>
          <w:bCs/>
          <w:color w:val="auto"/>
          <w:sz w:val="32"/>
          <w:szCs w:val="32"/>
          <w:highlight w:val="none"/>
          <w:lang w:val="en-US" w:eastAsia="zh-CN"/>
        </w:rPr>
        <w:t>座</w:t>
      </w:r>
      <w:r>
        <w:rPr>
          <w:rFonts w:hint="eastAsia" w:ascii="Times New Roman" w:hAnsi="Times New Roman" w:eastAsia="仿宋_GB2312" w:cs="Times New Roman"/>
          <w:color w:val="auto"/>
          <w:sz w:val="32"/>
          <w:szCs w:val="32"/>
          <w:lang w:val="en-US" w:eastAsia="zh-CN"/>
        </w:rPr>
        <w:t>小型</w:t>
      </w:r>
      <w:r>
        <w:rPr>
          <w:rFonts w:hint="eastAsia" w:ascii="仿宋_GB2312" w:hAnsi="仿宋_GB2312" w:eastAsia="仿宋_GB2312" w:cs="仿宋_GB2312"/>
          <w:b w:val="0"/>
          <w:bCs/>
          <w:color w:val="auto"/>
          <w:sz w:val="32"/>
          <w:szCs w:val="32"/>
          <w:highlight w:val="none"/>
          <w:lang w:val="en-US" w:eastAsia="zh-CN"/>
        </w:rPr>
        <w:t>水闸</w:t>
      </w:r>
      <w:r>
        <w:rPr>
          <w:rFonts w:hint="eastAsia" w:ascii="仿宋_GB2312" w:hAnsi="仿宋_GB2312" w:eastAsia="仿宋_GB2312" w:cs="仿宋_GB2312"/>
          <w:bCs/>
          <w:color w:val="auto"/>
          <w:sz w:val="32"/>
          <w:szCs w:val="32"/>
          <w:highlight w:val="none"/>
        </w:rPr>
        <w:t>上游、下游管理范围内的水域及岸边清洁</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打捞并清运水域内的垃圾、漂浮物及水生植物，清理岸边杂物杂草，日常保持水域无垃圾、漂浮物及水生植物等。</w:t>
      </w:r>
    </w:p>
    <w:p w14:paraId="5F69E503">
      <w:pPr>
        <w:spacing w:line="560" w:lineRule="exact"/>
        <w:ind w:firstLine="643"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w:t>
      </w:r>
      <w:r>
        <w:rPr>
          <w:rFonts w:hint="eastAsia" w:ascii="Times New Roman" w:hAnsi="Times New Roman" w:eastAsia="楷体_GB2312" w:cs="Times New Roman"/>
          <w:b/>
          <w:bCs/>
          <w:color w:val="auto"/>
          <w:sz w:val="32"/>
          <w:szCs w:val="32"/>
          <w:lang w:val="en-US" w:eastAsia="zh-CN"/>
        </w:rPr>
        <w:t>八</w:t>
      </w:r>
      <w:r>
        <w:rPr>
          <w:rFonts w:ascii="Times New Roman" w:hAnsi="Times New Roman" w:eastAsia="楷体_GB2312" w:cs="Times New Roman"/>
          <w:b/>
          <w:bCs/>
          <w:color w:val="auto"/>
          <w:sz w:val="32"/>
          <w:szCs w:val="32"/>
        </w:rPr>
        <w:t>）</w:t>
      </w:r>
      <w:r>
        <w:rPr>
          <w:rFonts w:hint="eastAsia" w:ascii="Times New Roman" w:hAnsi="Times New Roman" w:eastAsia="楷体_GB2312" w:cs="Times New Roman"/>
          <w:b/>
          <w:bCs/>
          <w:color w:val="auto"/>
          <w:sz w:val="32"/>
          <w:szCs w:val="32"/>
          <w:lang w:val="en-US" w:eastAsia="zh-CN"/>
        </w:rPr>
        <w:t>明光</w:t>
      </w:r>
      <w:r>
        <w:rPr>
          <w:rFonts w:hint="default" w:ascii="Times New Roman" w:hAnsi="Times New Roman" w:eastAsia="楷体_GB2312" w:cs="Times New Roman"/>
          <w:b/>
          <w:bCs/>
          <w:color w:val="auto"/>
          <w:sz w:val="32"/>
          <w:szCs w:val="32"/>
          <w:lang w:val="en-US" w:eastAsia="zh-CN"/>
        </w:rPr>
        <w:t>局</w:t>
      </w:r>
    </w:p>
    <w:p w14:paraId="3B0CAFAB">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堤顶道路等维修改造</w:t>
      </w:r>
    </w:p>
    <w:p w14:paraId="737417DD">
      <w:pPr>
        <w:pageBreakBefore w:val="0"/>
        <w:widowControl w:val="0"/>
        <w:numPr>
          <w:ilvl w:val="0"/>
          <w:numId w:val="0"/>
        </w:numPr>
        <w:kinsoku/>
        <w:wordWrap/>
        <w:overflowPunct/>
        <w:topLinePunct w:val="0"/>
        <w:bidi w:val="0"/>
        <w:spacing w:line="560" w:lineRule="exact"/>
        <w:ind w:firstLine="640" w:firstLineChars="200"/>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对堤顶道路路肩实施加高培厚工程。原路肩处理：清除路肩表面杂草、松散土体，由原路肩下挖至基底；路肩加高培厚：采用黏性土填筑至沥青道路高程，机械压实（压实度≥95%）；草皮防护：满铺狗牙根草皮。</w:t>
      </w:r>
    </w:p>
    <w:p w14:paraId="1CE07BA0">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2.工程管理区绿化</w:t>
      </w:r>
    </w:p>
    <w:p w14:paraId="203431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color w:val="auto"/>
          <w:sz w:val="32"/>
          <w:szCs w:val="32"/>
        </w:rPr>
        <w:t>绿化栽植：</w:t>
      </w:r>
      <w:r>
        <w:rPr>
          <w:rFonts w:hint="eastAsia" w:ascii="仿宋_GB2312" w:hAnsi="仿宋_GB2312" w:eastAsia="仿宋_GB2312" w:cs="仿宋_GB2312"/>
          <w:b w:val="0"/>
          <w:bCs w:val="0"/>
          <w:color w:val="auto"/>
          <w:sz w:val="32"/>
          <w:szCs w:val="32"/>
          <w:lang w:val="en-US" w:eastAsia="zh-CN"/>
        </w:rPr>
        <w:t>背水侧（115+660-115+860）：平整场地约10060平方米，规划种植银杏585株；迎水侧（115+680-115+730）：平整场地约2200平方米，规划种植银杏135株。</w:t>
      </w:r>
    </w:p>
    <w:p w14:paraId="69293062">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绿化养护：对</w:t>
      </w:r>
      <w:r>
        <w:rPr>
          <w:rFonts w:hint="eastAsia" w:ascii="仿宋_GB2312" w:hAnsi="仿宋_GB2312" w:eastAsia="仿宋_GB2312" w:cs="仿宋_GB2312"/>
          <w:color w:val="auto"/>
          <w:sz w:val="32"/>
          <w:szCs w:val="32"/>
          <w:lang w:val="en-US" w:eastAsia="zh-CN"/>
        </w:rPr>
        <w:t>单位自有的和堤顶道路两测两排部分树木进行树木涂白及修枝打杈</w:t>
      </w:r>
      <w:r>
        <w:rPr>
          <w:rFonts w:hint="eastAsia" w:ascii="仿宋_GB2312" w:hAnsi="仿宋_GB2312" w:eastAsia="仿宋_GB2312" w:cs="仿宋_GB2312"/>
          <w:color w:val="auto"/>
          <w:sz w:val="32"/>
          <w:szCs w:val="32"/>
        </w:rPr>
        <w:t>。</w:t>
      </w:r>
    </w:p>
    <w:p w14:paraId="60AC4AB9">
      <w:pPr>
        <w:keepNext/>
        <w:keepLines/>
        <w:pageBreakBefore w:val="0"/>
        <w:widowControl w:val="0"/>
        <w:kinsoku/>
        <w:wordWrap/>
        <w:overflowPunct/>
        <w:topLinePunct w:val="0"/>
        <w:autoSpaceDE/>
        <w:autoSpaceDN/>
        <w:bidi w:val="0"/>
        <w:adjustRightInd/>
        <w:snapToGrid w:val="0"/>
        <w:spacing w:after="0" w:line="560" w:lineRule="exact"/>
        <w:ind w:firstLine="640" w:firstLineChars="200"/>
        <w:jc w:val="both"/>
        <w:textAlignment w:val="auto"/>
        <w:outlineLvl w:val="1"/>
        <w:rPr>
          <w:rFonts w:hint="default" w:ascii="宋体" w:hAnsi="宋体" w:eastAsia="宋体" w:cs="宋体"/>
          <w:b w:val="0"/>
          <w:bCs w:val="0"/>
          <w:color w:val="auto"/>
          <w:sz w:val="32"/>
          <w:szCs w:val="32"/>
          <w:highlight w:val="none"/>
          <w:lang w:val="en-US" w:eastAsia="zh-CN"/>
        </w:rPr>
      </w:pPr>
      <w:r>
        <w:rPr>
          <w:rFonts w:hint="eastAsia" w:ascii="黑体" w:hAnsi="黑体" w:eastAsia="黑体" w:cs="黑体"/>
          <w:b w:val="0"/>
          <w:bCs w:val="0"/>
          <w:color w:val="auto"/>
          <w:kern w:val="2"/>
          <w:sz w:val="32"/>
          <w:szCs w:val="32"/>
          <w:highlight w:val="none"/>
          <w:lang w:val="en-US" w:eastAsia="zh-CN" w:bidi="ar-SA"/>
        </w:rPr>
        <w:t>三、技术要求</w:t>
      </w:r>
    </w:p>
    <w:p w14:paraId="51FF1817">
      <w:pPr>
        <w:pageBreakBefore w:val="0"/>
        <w:widowControl w:val="0"/>
        <w:kinsoku/>
        <w:wordWrap/>
        <w:overflowPunct/>
        <w:topLinePunct w:val="0"/>
        <w:autoSpaceDE/>
        <w:autoSpaceDN/>
        <w:bidi w:val="0"/>
        <w:spacing w:line="560" w:lineRule="exact"/>
        <w:ind w:firstLine="643" w:firstLineChars="200"/>
        <w:textAlignment w:val="auto"/>
        <w:outlineLvl w:val="1"/>
        <w:rPr>
          <w:rFonts w:hint="eastAsia"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（一）水闸保养保洁</w:t>
      </w:r>
    </w:p>
    <w:p w14:paraId="4EF1B80F">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t>1.技术要求</w:t>
      </w:r>
    </w:p>
    <w:p w14:paraId="30B83FBE">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sz w:val="32"/>
          <w:szCs w:val="32"/>
          <w:highlight w:val="none"/>
          <w:lang w:val="en-US" w:eastAsia="zh-CN"/>
        </w:rPr>
        <w:t>1</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sz w:val="32"/>
          <w:szCs w:val="32"/>
          <w:highlight w:val="none"/>
          <w:lang w:val="en-US" w:eastAsia="zh-CN"/>
        </w:rPr>
        <w:t>水闸</w:t>
      </w:r>
      <w:r>
        <w:rPr>
          <w:rFonts w:hint="eastAsia" w:ascii="仿宋_GB2312" w:hAnsi="仿宋_GB2312" w:eastAsia="仿宋_GB2312" w:cs="仿宋_GB2312"/>
          <w:b/>
          <w:color w:val="auto"/>
          <w:sz w:val="32"/>
          <w:szCs w:val="32"/>
          <w:highlight w:val="none"/>
        </w:rPr>
        <w:t>日常养护项目：</w:t>
      </w:r>
      <w:r>
        <w:rPr>
          <w:rFonts w:hint="eastAsia" w:ascii="仿宋_GB2312" w:hAnsi="仿宋_GB2312" w:eastAsia="仿宋_GB2312" w:cs="仿宋_GB2312"/>
          <w:bCs/>
          <w:color w:val="auto"/>
          <w:sz w:val="32"/>
          <w:szCs w:val="32"/>
          <w:highlight w:val="none"/>
        </w:rPr>
        <w:t>对水闸启闭机房、桥头堡、中控室、高低压配电房、交通桥、检修便桥、排架柱等日常保洁及水闸金属结构、机电设备等日常养护。</w:t>
      </w:r>
    </w:p>
    <w:p w14:paraId="46221E12">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
          <w:color w:val="auto"/>
          <w:sz w:val="32"/>
          <w:szCs w:val="32"/>
          <w:highlight w:val="none"/>
        </w:rPr>
        <w:t>①工程设施保养保洁</w:t>
      </w:r>
      <w:r>
        <w:rPr>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Cs/>
          <w:color w:val="auto"/>
          <w:sz w:val="32"/>
          <w:szCs w:val="32"/>
          <w:highlight w:val="none"/>
          <w:lang w:val="en-US" w:eastAsia="zh-CN"/>
        </w:rPr>
        <w:t>五河局每月不少于6次,其他单位</w:t>
      </w:r>
      <w:r>
        <w:rPr>
          <w:rFonts w:hint="eastAsia" w:ascii="仿宋_GB2312" w:hAnsi="仿宋_GB2312" w:eastAsia="仿宋_GB2312" w:cs="仿宋_GB2312"/>
          <w:bCs/>
          <w:color w:val="auto"/>
          <w:sz w:val="32"/>
          <w:szCs w:val="32"/>
          <w:highlight w:val="none"/>
        </w:rPr>
        <w:t>每周不少于1次室内外保洁，常态化保持启闭机房、桥头堡、中控室、</w:t>
      </w:r>
      <w:r>
        <w:rPr>
          <w:rFonts w:hint="eastAsia" w:ascii="仿宋_GB2312" w:hAnsi="仿宋_GB2312" w:eastAsia="仿宋_GB2312" w:cs="仿宋_GB2312"/>
          <w:bCs/>
          <w:color w:val="auto"/>
          <w:sz w:val="32"/>
          <w:szCs w:val="32"/>
          <w:highlight w:val="none"/>
          <w:lang w:val="en-US" w:eastAsia="zh-CN"/>
        </w:rPr>
        <w:t>备用电源房、</w:t>
      </w:r>
      <w:r>
        <w:rPr>
          <w:rFonts w:hint="eastAsia" w:ascii="仿宋_GB2312" w:hAnsi="仿宋_GB2312" w:eastAsia="仿宋_GB2312" w:cs="仿宋_GB2312"/>
          <w:bCs/>
          <w:color w:val="auto"/>
          <w:sz w:val="32"/>
          <w:szCs w:val="32"/>
          <w:highlight w:val="none"/>
        </w:rPr>
        <w:t>高低压配电房（含附属物窗户、楼梯、洗漱池等）整洁有序，无蜘蛛网、油污、灰尘等；室内外摄像头、明示的管理制度、技术图表及各种铭牌、宣传牌、警示牌无灰尘、污垢等；交通桥、检修便桥、桥墩、排架柱、护栏、防护网无附着物、灰尘、污垢、杂草、杂条等。</w:t>
      </w:r>
    </w:p>
    <w:p w14:paraId="04242F03">
      <w:pPr>
        <w:pageBreakBefore w:val="0"/>
        <w:widowControl w:val="0"/>
        <w:kinsoku/>
        <w:wordWrap/>
        <w:overflowPunct/>
        <w:topLinePunct w:val="0"/>
        <w:bidi w:val="0"/>
        <w:adjustRightInd w:val="0"/>
        <w:snapToGrid w:val="0"/>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②金属结构、机电设备养护：</w:t>
      </w:r>
      <w:r>
        <w:rPr>
          <w:rFonts w:hint="eastAsia" w:ascii="仿宋_GB2312" w:hAnsi="仿宋_GB2312" w:eastAsia="仿宋_GB2312" w:cs="仿宋_GB2312"/>
          <w:bCs/>
          <w:color w:val="auto"/>
          <w:sz w:val="32"/>
          <w:szCs w:val="32"/>
          <w:highlight w:val="none"/>
          <w:lang w:val="en-US" w:eastAsia="zh-CN"/>
        </w:rPr>
        <w:t>五河局每月不少于6次,其他单位</w:t>
      </w:r>
      <w:r>
        <w:rPr>
          <w:rFonts w:hint="eastAsia" w:ascii="仿宋_GB2312" w:hAnsi="仿宋_GB2312" w:eastAsia="仿宋_GB2312" w:cs="仿宋_GB2312"/>
          <w:bCs/>
          <w:color w:val="auto"/>
          <w:sz w:val="32"/>
          <w:szCs w:val="32"/>
          <w:highlight w:val="none"/>
        </w:rPr>
        <w:t>每周不少于1次金属结构、机电设备养护，常态化保持启闭机机座、机体表面、钢丝绳、滚筒、齿轮副、防护罩、制动器、传动轴、联轴器、变速箱（减速箱）、不锈钢封孔及接油盘无蜘蛛网、灰尘、油污、杂物等；闸门表面及吊耳无附着的水生物、泥沙、油垢、杂物</w:t>
      </w:r>
      <w:r>
        <w:rPr>
          <w:rFonts w:hint="eastAsia" w:ascii="仿宋_GB2312" w:hAnsi="仿宋_GB2312" w:eastAsia="仿宋_GB2312" w:cs="仿宋_GB2312"/>
          <w:color w:val="auto"/>
          <w:sz w:val="32"/>
          <w:szCs w:val="32"/>
          <w:highlight w:val="none"/>
        </w:rPr>
        <w:t>，清洗干净</w:t>
      </w:r>
      <w:r>
        <w:rPr>
          <w:rFonts w:hint="eastAsia" w:ascii="仿宋_GB2312" w:hAnsi="仿宋_GB2312" w:eastAsia="仿宋_GB2312" w:cs="仿宋_GB2312"/>
          <w:bCs/>
          <w:color w:val="auto"/>
          <w:sz w:val="32"/>
          <w:szCs w:val="32"/>
          <w:highlight w:val="none"/>
        </w:rPr>
        <w:t>，闸门的联结件保持牢固；常态化保持高低压配电柜、</w:t>
      </w:r>
      <w:r>
        <w:rPr>
          <w:rFonts w:hint="eastAsia" w:ascii="仿宋_GB2312" w:hAnsi="仿宋_GB2312" w:eastAsia="仿宋_GB2312" w:cs="仿宋_GB2312"/>
          <w:color w:val="auto"/>
          <w:sz w:val="32"/>
          <w:szCs w:val="32"/>
          <w:highlight w:val="none"/>
        </w:rPr>
        <w:t>柴油发电机、</w:t>
      </w:r>
      <w:r>
        <w:rPr>
          <w:rFonts w:hint="eastAsia" w:ascii="仿宋_GB2312" w:hAnsi="仿宋_GB2312" w:eastAsia="仿宋_GB2312" w:cs="仿宋_GB2312"/>
          <w:bCs/>
          <w:color w:val="auto"/>
          <w:sz w:val="32"/>
          <w:szCs w:val="32"/>
          <w:highlight w:val="none"/>
        </w:rPr>
        <w:t>控制柜、</w:t>
      </w:r>
      <w:r>
        <w:rPr>
          <w:rFonts w:hint="eastAsia" w:ascii="仿宋_GB2312" w:hAnsi="仿宋_GB2312" w:eastAsia="仿宋_GB2312" w:cs="仿宋_GB2312"/>
          <w:color w:val="auto"/>
          <w:sz w:val="32"/>
          <w:szCs w:val="32"/>
          <w:highlight w:val="none"/>
        </w:rPr>
        <w:t>电动机表面干净、整洁，各电器元件良好、线缆无破损、接线牢固、接地、绝缘良好。</w:t>
      </w:r>
      <w:r>
        <w:rPr>
          <w:rFonts w:hint="eastAsia" w:ascii="仿宋_GB2312" w:hAnsi="仿宋_GB2312" w:eastAsia="仿宋_GB2312" w:cs="仿宋_GB2312"/>
          <w:bCs/>
          <w:color w:val="auto"/>
          <w:sz w:val="32"/>
          <w:szCs w:val="32"/>
          <w:highlight w:val="none"/>
          <w:lang w:val="en-US" w:eastAsia="zh-CN"/>
        </w:rPr>
        <w:t>五河局每月不少于6次,其他单位</w:t>
      </w:r>
      <w:r>
        <w:rPr>
          <w:rFonts w:hint="eastAsia" w:ascii="仿宋_GB2312" w:hAnsi="仿宋_GB2312" w:eastAsia="仿宋_GB2312" w:cs="仿宋_GB2312"/>
          <w:bCs/>
          <w:color w:val="auto"/>
          <w:sz w:val="32"/>
          <w:szCs w:val="32"/>
          <w:highlight w:val="none"/>
        </w:rPr>
        <w:t>每周不少于1次</w:t>
      </w:r>
      <w:r>
        <w:rPr>
          <w:rFonts w:hint="eastAsia" w:ascii="仿宋_GB2312" w:hAnsi="仿宋_GB2312" w:eastAsia="仿宋_GB2312" w:cs="仿宋_GB2312"/>
          <w:color w:val="auto"/>
          <w:sz w:val="32"/>
          <w:szCs w:val="32"/>
          <w:highlight w:val="none"/>
        </w:rPr>
        <w:t>启闭机房内钢丝绳</w:t>
      </w:r>
      <w:r>
        <w:rPr>
          <w:rFonts w:hint="eastAsia" w:ascii="仿宋_GB2312" w:hAnsi="仿宋_GB2312" w:eastAsia="仿宋_GB2312" w:cs="仿宋_GB2312"/>
          <w:bCs/>
          <w:color w:val="auto"/>
          <w:sz w:val="32"/>
          <w:szCs w:val="32"/>
          <w:highlight w:val="none"/>
        </w:rPr>
        <w:t>用蘸有柴油的棉纱擦洗干净，</w:t>
      </w:r>
      <w:r>
        <w:rPr>
          <w:rFonts w:hint="eastAsia" w:ascii="仿宋_GB2312" w:hAnsi="仿宋_GB2312" w:eastAsia="仿宋_GB2312" w:cs="仿宋_GB2312"/>
          <w:color w:val="auto"/>
          <w:sz w:val="32"/>
          <w:szCs w:val="32"/>
          <w:highlight w:val="none"/>
        </w:rPr>
        <w:t>重新涂</w:t>
      </w:r>
      <w:r>
        <w:rPr>
          <w:rFonts w:hint="eastAsia" w:ascii="仿宋_GB2312" w:hAnsi="仿宋_GB2312" w:eastAsia="仿宋_GB2312" w:cs="仿宋_GB2312"/>
          <w:bCs/>
          <w:color w:val="auto"/>
          <w:sz w:val="32"/>
          <w:szCs w:val="32"/>
          <w:highlight w:val="none"/>
        </w:rPr>
        <w:t>抹专用钢丝绳润滑油脂形</w:t>
      </w:r>
      <w:r>
        <w:rPr>
          <w:rFonts w:hint="eastAsia" w:ascii="仿宋_GB2312" w:hAnsi="仿宋_GB2312" w:eastAsia="仿宋_GB2312" w:cs="仿宋_GB2312"/>
          <w:color w:val="auto"/>
          <w:sz w:val="32"/>
          <w:szCs w:val="32"/>
          <w:highlight w:val="none"/>
        </w:rPr>
        <w:t>成保护层，涂抹均匀，无干涸、结块、流挂。</w:t>
      </w:r>
    </w:p>
    <w:p w14:paraId="5DE4F625">
      <w:pPr>
        <w:pageBreakBefore w:val="0"/>
        <w:widowControl w:val="0"/>
        <w:kinsoku/>
        <w:wordWrap/>
        <w:overflowPunct/>
        <w:topLinePunct w:val="0"/>
        <w:bidi w:val="0"/>
        <w:adjustRightInd w:val="0"/>
        <w:snapToGrid w:val="0"/>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③临时性养护保洁：</w:t>
      </w:r>
      <w:r>
        <w:rPr>
          <w:rFonts w:hint="eastAsia" w:ascii="仿宋_GB2312" w:hAnsi="仿宋_GB2312" w:eastAsia="仿宋_GB2312" w:cs="仿宋_GB2312"/>
          <w:color w:val="auto"/>
          <w:sz w:val="32"/>
          <w:szCs w:val="32"/>
          <w:highlight w:val="none"/>
        </w:rPr>
        <w:t>遇突发情况时，按甲方要求及时对相关区域、部位进行养护保洁。</w:t>
      </w:r>
    </w:p>
    <w:p w14:paraId="1B4FAFE2">
      <w:pPr>
        <w:pageBreakBefore w:val="0"/>
        <w:widowControl w:val="0"/>
        <w:numPr>
          <w:ilvl w:val="0"/>
          <w:numId w:val="0"/>
        </w:numPr>
        <w:kinsoku/>
        <w:wordWrap/>
        <w:overflowPunct/>
        <w:topLinePunct w:val="0"/>
        <w:bidi w:val="0"/>
        <w:spacing w:line="560" w:lineRule="exact"/>
        <w:ind w:firstLine="643" w:firstLineChars="200"/>
        <w:textAlignment w:val="auto"/>
        <w:outlineLvl w:val="9"/>
        <w:rPr>
          <w:rFonts w:hint="eastAsia" w:ascii="仿宋_GB2312" w:hAnsi="仿宋_GB2312" w:eastAsia="仿宋_GB2312" w:cs="仿宋_GB2312"/>
          <w:bCs/>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t>（2）定期养护。</w:t>
      </w:r>
      <w:r>
        <w:rPr>
          <w:rFonts w:hint="eastAsia" w:ascii="仿宋_GB2312" w:hAnsi="仿宋_GB2312" w:eastAsia="仿宋_GB2312" w:cs="仿宋_GB2312"/>
          <w:b w:val="0"/>
          <w:bCs/>
          <w:color w:val="auto"/>
          <w:sz w:val="32"/>
          <w:szCs w:val="32"/>
          <w:highlight w:val="none"/>
          <w:lang w:val="en-US" w:eastAsia="zh-CN"/>
        </w:rPr>
        <w:t>具体内容为水闸汛前、汛后定期养护，包含启闭机、闸门、门槽埋件、检修行车等设施设备的养护，每年不少于2次。</w:t>
      </w:r>
    </w:p>
    <w:p w14:paraId="06503CA8">
      <w:pPr>
        <w:spacing w:line="560" w:lineRule="exact"/>
        <w:ind w:firstLine="643"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val="0"/>
          <w:color w:val="auto"/>
          <w:sz w:val="32"/>
          <w:szCs w:val="32"/>
          <w:highlight w:val="none"/>
          <w:lang w:val="en-US" w:eastAsia="zh-CN"/>
        </w:rPr>
        <w:t>①启闭机养护</w:t>
      </w:r>
      <w:r>
        <w:rPr>
          <w:rFonts w:hint="eastAsia" w:ascii="仿宋_GB2312" w:hAnsi="仿宋_GB2312" w:eastAsia="仿宋_GB2312" w:cs="仿宋_GB2312"/>
          <w:bCs/>
          <w:color w:val="auto"/>
          <w:sz w:val="32"/>
          <w:szCs w:val="32"/>
          <w:highlight w:val="none"/>
          <w:lang w:val="en-US" w:eastAsia="zh-CN"/>
        </w:rPr>
        <w:t>：</w:t>
      </w:r>
      <w:r>
        <w:rPr>
          <w:rFonts w:ascii="Times New Roman" w:hAnsi="Times New Roman" w:eastAsia="仿宋_GB2312" w:cs="Times New Roman"/>
          <w:color w:val="auto"/>
          <w:sz w:val="32"/>
          <w:szCs w:val="32"/>
          <w:highlight w:val="none"/>
        </w:rPr>
        <w:t>清除齿轮副、滚筒、传动轴、联轴器、制动器、滑轮灰尘、油污并清洗干净，按需对油杯清洗、换注轴承间润滑油脂、各传动部位润滑充分，清洗应彻底，无油垢、锈点残留，油脂涂抹均匀，无漏涂；按需更换变速箱（减速箱）润滑油，油质合格、油量在规定范围内；整体清洗启闭机台、机壳及接油盘；室外钢丝绳用尼龙丝刷蘸柴油反复擦洗干净，重新涂抹钙基脂黄油（专用钢丝绳润滑油脂）形成保护层，涂抹均匀，无干涸、结块、流挂，严禁用钢丝刷、钢丝球等坚硬材质工具养护；</w:t>
      </w:r>
      <w:r>
        <w:rPr>
          <w:rFonts w:hint="eastAsia" w:ascii="Times New Roman" w:hAnsi="Times New Roman" w:eastAsia="仿宋_GB2312" w:cs="Times New Roman"/>
          <w:color w:val="auto"/>
          <w:sz w:val="32"/>
          <w:szCs w:val="32"/>
          <w:highlight w:val="none"/>
        </w:rPr>
        <w:t>钢丝绳有扭结、变形、锈蚀、断丝等情况的，</w:t>
      </w:r>
      <w:bookmarkStart w:id="47" w:name="_Hlk218495909"/>
      <w:r>
        <w:rPr>
          <w:rFonts w:hint="eastAsia" w:ascii="Times New Roman" w:hAnsi="Times New Roman" w:eastAsia="仿宋_GB2312" w:cs="Times New Roman"/>
          <w:color w:val="auto"/>
          <w:sz w:val="32"/>
          <w:szCs w:val="32"/>
          <w:highlight w:val="none"/>
        </w:rPr>
        <w:t>应及时将情况反馈现场管理单位进行处理，</w:t>
      </w:r>
      <w:bookmarkEnd w:id="47"/>
      <w:r>
        <w:rPr>
          <w:rFonts w:ascii="Times New Roman" w:hAnsi="Times New Roman" w:eastAsia="仿宋_GB2312" w:cs="Times New Roman"/>
          <w:color w:val="auto"/>
          <w:sz w:val="32"/>
          <w:szCs w:val="32"/>
          <w:highlight w:val="none"/>
        </w:rPr>
        <w:t>清除螺杆启闭机螺杆表面灰尘、油污，对齿部重新涂抹合格的润滑油脂，涂抹均匀，无流挂。</w:t>
      </w:r>
    </w:p>
    <w:p w14:paraId="4A85AB2B">
      <w:pPr>
        <w:pageBreakBefore w:val="0"/>
        <w:widowControl w:val="0"/>
        <w:kinsoku/>
        <w:wordWrap/>
        <w:overflowPunct/>
        <w:topLinePunct w:val="0"/>
        <w:autoSpaceDE/>
        <w:autoSpaceDN/>
        <w:bidi w:val="0"/>
        <w:adjustRightInd w:val="0"/>
        <w:snapToGrid w:val="0"/>
        <w:spacing w:line="560" w:lineRule="exact"/>
        <w:ind w:firstLine="643" w:firstLineChars="200"/>
        <w:textAlignment w:val="auto"/>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bCs w:val="0"/>
          <w:color w:val="auto"/>
          <w:sz w:val="32"/>
          <w:szCs w:val="32"/>
          <w:highlight w:val="none"/>
          <w:lang w:val="en-US" w:eastAsia="zh-CN"/>
        </w:rPr>
        <w:t>②闸门养护</w:t>
      </w:r>
      <w:r>
        <w:rPr>
          <w:rFonts w:hint="eastAsia" w:ascii="仿宋_GB2312" w:hAnsi="仿宋_GB2312" w:eastAsia="仿宋_GB2312" w:cs="仿宋_GB2312"/>
          <w:bCs/>
          <w:color w:val="auto"/>
          <w:sz w:val="32"/>
          <w:szCs w:val="32"/>
          <w:highlight w:val="none"/>
          <w:lang w:val="en-US" w:eastAsia="zh-CN"/>
        </w:rPr>
        <w:t>：</w:t>
      </w:r>
      <w:r>
        <w:rPr>
          <w:rFonts w:hint="eastAsia" w:ascii="仿宋_GB2312" w:hAnsi="仿宋_GB2312" w:eastAsia="仿宋_GB2312" w:cs="仿宋_GB2312"/>
          <w:b w:val="0"/>
          <w:bCs/>
          <w:color w:val="auto"/>
          <w:kern w:val="2"/>
          <w:sz w:val="32"/>
          <w:szCs w:val="32"/>
          <w:highlight w:val="none"/>
          <w:lang w:val="en-US" w:eastAsia="zh-CN" w:bidi="ar-SA"/>
        </w:rPr>
        <w:t>清除闸门表面及梁格内附着的水生物、泥沙、油垢、杂物、无残留，保持梁格内排水孔畅通，门内无</w:t>
      </w:r>
      <w:r>
        <w:rPr>
          <w:rFonts w:hint="eastAsia" w:ascii="仿宋_GB2312" w:hAnsi="仿宋_GB2312" w:eastAsia="仿宋_GB2312" w:cs="仿宋_GB2312"/>
          <w:bCs/>
          <w:color w:val="auto"/>
          <w:sz w:val="32"/>
          <w:szCs w:val="32"/>
          <w:highlight w:val="none"/>
          <w:lang w:val="en-US" w:eastAsia="zh-CN"/>
        </w:rPr>
        <w:t>积水</w:t>
      </w:r>
      <w:r>
        <w:rPr>
          <w:rFonts w:hint="eastAsia" w:ascii="仿宋_GB2312" w:hAnsi="仿宋_GB2312" w:eastAsia="仿宋_GB2312" w:cs="仿宋_GB2312"/>
          <w:b w:val="0"/>
          <w:bCs/>
          <w:color w:val="auto"/>
          <w:kern w:val="2"/>
          <w:sz w:val="32"/>
          <w:szCs w:val="32"/>
          <w:highlight w:val="none"/>
          <w:lang w:val="en-US" w:eastAsia="zh-CN" w:bidi="ar-SA"/>
        </w:rPr>
        <w:t>；</w:t>
      </w:r>
      <w:r>
        <w:rPr>
          <w:rFonts w:hint="eastAsia" w:ascii="仿宋_GB2312" w:hAnsi="仿宋_GB2312" w:eastAsia="仿宋_GB2312" w:cs="仿宋_GB2312"/>
          <w:bCs/>
          <w:color w:val="auto"/>
          <w:sz w:val="32"/>
          <w:szCs w:val="32"/>
          <w:highlight w:val="none"/>
          <w:lang w:val="en-US" w:eastAsia="zh-CN"/>
        </w:rPr>
        <w:t>清除</w:t>
      </w:r>
      <w:r>
        <w:rPr>
          <w:rFonts w:hint="eastAsia" w:ascii="仿宋_GB2312" w:hAnsi="仿宋_GB2312" w:eastAsia="仿宋_GB2312" w:cs="仿宋_GB2312"/>
          <w:b w:val="0"/>
          <w:bCs/>
          <w:color w:val="auto"/>
          <w:kern w:val="2"/>
          <w:sz w:val="32"/>
          <w:szCs w:val="32"/>
          <w:highlight w:val="none"/>
          <w:lang w:val="en-US" w:eastAsia="zh-CN" w:bidi="ar-SA"/>
        </w:rPr>
        <w:t>闸门</w:t>
      </w:r>
      <w:r>
        <w:rPr>
          <w:rFonts w:hint="eastAsia" w:ascii="仿宋_GB2312" w:hAnsi="仿宋_GB2312" w:eastAsia="仿宋_GB2312" w:cs="仿宋_GB2312"/>
          <w:bCs/>
          <w:color w:val="auto"/>
          <w:sz w:val="32"/>
          <w:szCs w:val="32"/>
          <w:highlight w:val="none"/>
          <w:lang w:val="en-US" w:eastAsia="zh-CN"/>
        </w:rPr>
        <w:t>吊耳表面油垢、杂物并清洗，吊耳油杯老油清除，无油垢残留，</w:t>
      </w:r>
      <w:r>
        <w:rPr>
          <w:rFonts w:hint="eastAsia" w:ascii="仿宋_GB2312" w:hAnsi="仿宋_GB2312" w:eastAsia="仿宋_GB2312" w:cs="仿宋_GB2312"/>
          <w:b w:val="0"/>
          <w:bCs/>
          <w:color w:val="auto"/>
          <w:kern w:val="2"/>
          <w:sz w:val="32"/>
          <w:szCs w:val="32"/>
          <w:highlight w:val="none"/>
          <w:lang w:val="en-US" w:eastAsia="zh-CN" w:bidi="ar-SA"/>
        </w:rPr>
        <w:t>按需</w:t>
      </w:r>
      <w:r>
        <w:rPr>
          <w:rFonts w:hint="eastAsia" w:ascii="仿宋_GB2312" w:hAnsi="仿宋_GB2312" w:eastAsia="仿宋_GB2312" w:cs="仿宋_GB2312"/>
          <w:bCs/>
          <w:color w:val="auto"/>
          <w:sz w:val="32"/>
          <w:szCs w:val="32"/>
          <w:highlight w:val="none"/>
          <w:lang w:val="en-US" w:eastAsia="zh-CN"/>
        </w:rPr>
        <w:t>更</w:t>
      </w:r>
      <w:r>
        <w:rPr>
          <w:rFonts w:hint="eastAsia" w:ascii="仿宋_GB2312" w:hAnsi="仿宋_GB2312" w:eastAsia="仿宋_GB2312" w:cs="仿宋_GB2312"/>
          <w:b w:val="0"/>
          <w:bCs/>
          <w:color w:val="auto"/>
          <w:kern w:val="2"/>
          <w:sz w:val="32"/>
          <w:szCs w:val="32"/>
          <w:highlight w:val="none"/>
          <w:lang w:val="en-US" w:eastAsia="zh-CN" w:bidi="ar-SA"/>
        </w:rPr>
        <w:t>换钙基脂黄油，</w:t>
      </w:r>
      <w:r>
        <w:rPr>
          <w:rFonts w:hint="eastAsia" w:ascii="仿宋_GB2312" w:hAnsi="仿宋_GB2312" w:eastAsia="仿宋_GB2312" w:cs="仿宋_GB2312"/>
          <w:bCs/>
          <w:color w:val="auto"/>
          <w:sz w:val="32"/>
          <w:szCs w:val="32"/>
          <w:highlight w:val="none"/>
          <w:lang w:val="en-US" w:eastAsia="zh-CN"/>
        </w:rPr>
        <w:t>注油量充足；</w:t>
      </w:r>
      <w:r>
        <w:rPr>
          <w:rFonts w:hint="eastAsia" w:ascii="仿宋_GB2312" w:hAnsi="仿宋_GB2312" w:eastAsia="仿宋_GB2312" w:cs="仿宋_GB2312"/>
          <w:b w:val="0"/>
          <w:bCs/>
          <w:color w:val="auto"/>
          <w:kern w:val="2"/>
          <w:sz w:val="32"/>
          <w:szCs w:val="32"/>
          <w:highlight w:val="none"/>
          <w:lang w:val="en-US" w:eastAsia="zh-CN" w:bidi="ar-SA"/>
        </w:rPr>
        <w:t>闸门支撑行走装置主、侧滑（滚）轮油污清洗、除锈、按需更换</w:t>
      </w:r>
      <w:r>
        <w:rPr>
          <w:rFonts w:hint="eastAsia" w:ascii="仿宋_GB2312" w:hAnsi="仿宋_GB2312" w:eastAsia="仿宋_GB2312" w:cs="仿宋_GB2312"/>
          <w:bCs/>
          <w:color w:val="auto"/>
          <w:sz w:val="32"/>
          <w:szCs w:val="32"/>
          <w:highlight w:val="none"/>
          <w:lang w:val="en-US" w:eastAsia="zh-CN"/>
        </w:rPr>
        <w:t>转动轴承间润滑油脂，注油量充足，</w:t>
      </w:r>
      <w:r>
        <w:rPr>
          <w:rFonts w:hint="eastAsia" w:ascii="仿宋_GB2312" w:hAnsi="仿宋_GB2312" w:eastAsia="仿宋_GB2312" w:cs="仿宋_GB2312"/>
          <w:b w:val="0"/>
          <w:bCs/>
          <w:color w:val="auto"/>
          <w:kern w:val="2"/>
          <w:sz w:val="32"/>
          <w:szCs w:val="32"/>
          <w:highlight w:val="none"/>
          <w:lang w:val="en-US" w:eastAsia="zh-CN" w:bidi="ar-SA"/>
        </w:rPr>
        <w:t>滑（滚）轮转动要灵活，运行可靠。</w:t>
      </w:r>
      <w:r>
        <w:rPr>
          <w:rFonts w:hint="eastAsia" w:ascii="Times New Roman" w:hAnsi="Times New Roman" w:eastAsia="仿宋_GB2312" w:cs="Times New Roman"/>
          <w:color w:val="auto"/>
          <w:sz w:val="32"/>
          <w:szCs w:val="32"/>
        </w:rPr>
        <w:t>滚轮、轴销变形、磨损、锈蚀严重等导致转动不畅的，应及时将情况反馈现场管理单位进行处理。</w:t>
      </w:r>
    </w:p>
    <w:p w14:paraId="0207C591">
      <w:pPr>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9"/>
        <w:rPr>
          <w:rFonts w:hint="eastAsia" w:ascii="仿宋_GB2312" w:hAnsi="仿宋_GB2312" w:eastAsia="仿宋_GB2312" w:cs="仿宋_GB2312"/>
          <w:b/>
          <w:bCs w:val="0"/>
          <w:color w:val="auto"/>
          <w:sz w:val="32"/>
          <w:szCs w:val="32"/>
          <w:highlight w:val="none"/>
          <w:lang w:val="en-US" w:eastAsia="zh-CN"/>
        </w:rPr>
      </w:pPr>
      <w:r>
        <w:rPr>
          <w:rFonts w:hint="eastAsia" w:ascii="仿宋_GB2312" w:hAnsi="仿宋_GB2312" w:eastAsia="仿宋_GB2312" w:cs="仿宋_GB2312"/>
          <w:b/>
          <w:bCs w:val="0"/>
          <w:color w:val="auto"/>
          <w:sz w:val="32"/>
          <w:szCs w:val="32"/>
          <w:highlight w:val="none"/>
          <w:lang w:val="en-US" w:eastAsia="zh-CN"/>
        </w:rPr>
        <w:t>③门槽埋件养护：</w:t>
      </w:r>
      <w:r>
        <w:rPr>
          <w:rFonts w:hint="eastAsia" w:ascii="仿宋_GB2312" w:hAnsi="仿宋_GB2312" w:eastAsia="仿宋_GB2312" w:cs="仿宋_GB2312"/>
          <w:b w:val="0"/>
          <w:bCs/>
          <w:color w:val="auto"/>
          <w:kern w:val="2"/>
          <w:sz w:val="32"/>
          <w:szCs w:val="32"/>
          <w:highlight w:val="none"/>
          <w:lang w:val="en-US" w:eastAsia="zh-CN" w:bidi="ar-SA"/>
        </w:rPr>
        <w:t>清除门槽表</w:t>
      </w:r>
      <w:r>
        <w:rPr>
          <w:rFonts w:hint="eastAsia" w:ascii="仿宋_GB2312" w:hAnsi="仿宋_GB2312" w:eastAsia="仿宋_GB2312" w:cs="仿宋_GB2312"/>
          <w:color w:val="auto"/>
          <w:sz w:val="32"/>
          <w:szCs w:val="32"/>
          <w:highlight w:val="none"/>
        </w:rPr>
        <w:t>面附着的水生物、泥沙、油垢、杂物</w:t>
      </w:r>
      <w:r>
        <w:rPr>
          <w:rFonts w:hint="eastAsia" w:ascii="仿宋_GB2312" w:hAnsi="仿宋_GB2312" w:eastAsia="仿宋_GB2312" w:cs="仿宋_GB2312"/>
          <w:color w:val="auto"/>
          <w:sz w:val="32"/>
          <w:szCs w:val="32"/>
          <w:highlight w:val="none"/>
          <w:lang w:val="en-US" w:eastAsia="zh-CN"/>
        </w:rPr>
        <w:t>并清洗干净，门楣、支撑座板等埋件清洗、表面除锈，养护过程中不得造成</w:t>
      </w:r>
      <w:r>
        <w:rPr>
          <w:rFonts w:hint="eastAsia" w:ascii="仿宋_GB2312" w:hAnsi="仿宋_GB2312" w:eastAsia="仿宋_GB2312" w:cs="仿宋_GB2312"/>
          <w:b w:val="0"/>
          <w:bCs/>
          <w:color w:val="auto"/>
          <w:kern w:val="0"/>
          <w:sz w:val="32"/>
          <w:szCs w:val="32"/>
          <w:highlight w:val="none"/>
          <w:lang w:val="en-US" w:eastAsia="zh-CN" w:bidi="ar-SA"/>
        </w:rPr>
        <w:t>扭曲变形</w:t>
      </w:r>
      <w:r>
        <w:rPr>
          <w:rFonts w:hint="eastAsia" w:ascii="仿宋_GB2312" w:hAnsi="仿宋_GB2312" w:eastAsia="仿宋_GB2312" w:cs="仿宋_GB2312"/>
          <w:color w:val="auto"/>
          <w:sz w:val="32"/>
          <w:szCs w:val="32"/>
          <w:highlight w:val="none"/>
          <w:lang w:val="en-US" w:eastAsia="zh-CN"/>
        </w:rPr>
        <w:t>。</w:t>
      </w:r>
    </w:p>
    <w:p w14:paraId="364E2592">
      <w:pPr>
        <w:pageBreakBefore w:val="0"/>
        <w:widowControl w:val="0"/>
        <w:numPr>
          <w:ilvl w:val="0"/>
          <w:numId w:val="0"/>
        </w:numPr>
        <w:kinsoku/>
        <w:wordWrap/>
        <w:overflowPunct/>
        <w:topLinePunct w:val="0"/>
        <w:autoSpaceDE/>
        <w:autoSpaceDN/>
        <w:bidi w:val="0"/>
        <w:adjustRightInd w:val="0"/>
        <w:snapToGrid w:val="0"/>
        <w:spacing w:line="560" w:lineRule="exact"/>
        <w:ind w:firstLine="643" w:firstLineChars="200"/>
        <w:textAlignment w:val="auto"/>
        <w:outlineLvl w:val="9"/>
        <w:rPr>
          <w:rFonts w:hint="eastAsia" w:ascii="仿宋_GB2312" w:hAnsi="仿宋_GB2312" w:eastAsia="仿宋_GB2312" w:cs="仿宋_GB2312"/>
          <w:b/>
          <w:bCs w:val="0"/>
          <w:color w:val="auto"/>
          <w:sz w:val="32"/>
          <w:szCs w:val="32"/>
          <w:highlight w:val="none"/>
          <w:lang w:val="en-US" w:eastAsia="zh-CN"/>
        </w:rPr>
      </w:pPr>
      <w:r>
        <w:rPr>
          <w:rFonts w:hint="eastAsia" w:ascii="仿宋_GB2312" w:hAnsi="仿宋_GB2312" w:eastAsia="仿宋_GB2312" w:cs="仿宋_GB2312"/>
          <w:b/>
          <w:bCs w:val="0"/>
          <w:color w:val="auto"/>
          <w:sz w:val="32"/>
          <w:szCs w:val="32"/>
          <w:highlight w:val="none"/>
          <w:lang w:val="en-US" w:eastAsia="zh-CN"/>
        </w:rPr>
        <w:t>④检修行车养护：</w:t>
      </w:r>
      <w:r>
        <w:rPr>
          <w:rFonts w:hint="eastAsia" w:ascii="仿宋_GB2312" w:hAnsi="仿宋_GB2312" w:eastAsia="仿宋_GB2312" w:cs="仿宋_GB2312"/>
          <w:b w:val="0"/>
          <w:bCs/>
          <w:color w:val="auto"/>
          <w:kern w:val="2"/>
          <w:sz w:val="32"/>
          <w:szCs w:val="32"/>
          <w:highlight w:val="none"/>
          <w:lang w:val="en-US" w:eastAsia="zh-CN" w:bidi="ar-SA"/>
        </w:rPr>
        <w:t>主轨道清洗、表面除锈，电动葫芦钢丝绳、清洗，重新涂抹钙基脂黄油（专用钢丝绳润滑油脂）形成保护层，</w:t>
      </w:r>
      <w:r>
        <w:rPr>
          <w:rFonts w:hint="eastAsia" w:ascii="仿宋_GB2312" w:hAnsi="仿宋_GB2312" w:eastAsia="仿宋_GB2312" w:cs="仿宋_GB2312"/>
          <w:color w:val="auto"/>
          <w:sz w:val="32"/>
          <w:szCs w:val="32"/>
          <w:highlight w:val="none"/>
          <w:lang w:val="en-US" w:eastAsia="zh-CN"/>
        </w:rPr>
        <w:t>涂抹均匀，无干涸、结块、流挂</w:t>
      </w:r>
      <w:r>
        <w:rPr>
          <w:rFonts w:hint="eastAsia" w:ascii="仿宋_GB2312" w:hAnsi="仿宋_GB2312" w:eastAsia="仿宋_GB2312" w:cs="仿宋_GB2312"/>
          <w:b w:val="0"/>
          <w:bCs/>
          <w:color w:val="auto"/>
          <w:kern w:val="2"/>
          <w:sz w:val="32"/>
          <w:szCs w:val="32"/>
          <w:highlight w:val="none"/>
          <w:lang w:val="en-US" w:eastAsia="zh-CN" w:bidi="ar-SA"/>
        </w:rPr>
        <w:t>，按需更换</w:t>
      </w:r>
      <w:r>
        <w:rPr>
          <w:rFonts w:hint="eastAsia" w:ascii="仿宋_GB2312" w:hAnsi="仿宋_GB2312" w:eastAsia="仿宋_GB2312" w:cs="仿宋_GB2312"/>
          <w:bCs/>
          <w:color w:val="auto"/>
          <w:sz w:val="32"/>
          <w:szCs w:val="32"/>
          <w:highlight w:val="none"/>
          <w:lang w:val="en-US" w:eastAsia="zh-CN"/>
        </w:rPr>
        <w:t>转动轴承间润滑油脂</w:t>
      </w:r>
      <w:r>
        <w:rPr>
          <w:rFonts w:hint="eastAsia" w:ascii="仿宋_GB2312" w:hAnsi="仿宋_GB2312" w:eastAsia="仿宋_GB2312" w:cs="仿宋_GB2312"/>
          <w:b w:val="0"/>
          <w:bCs/>
          <w:color w:val="auto"/>
          <w:kern w:val="2"/>
          <w:sz w:val="32"/>
          <w:szCs w:val="32"/>
          <w:highlight w:val="none"/>
          <w:lang w:val="en-US" w:eastAsia="zh-CN" w:bidi="ar-SA"/>
        </w:rPr>
        <w:t>、注油量充足。</w:t>
      </w:r>
    </w:p>
    <w:p w14:paraId="48EF1F0D">
      <w:pPr>
        <w:pageBreakBefore w:val="0"/>
        <w:widowControl w:val="0"/>
        <w:kinsoku/>
        <w:wordWrap/>
        <w:overflowPunct/>
        <w:topLinePunct w:val="0"/>
        <w:autoSpaceDE/>
        <w:autoSpaceDN/>
        <w:bidi w:val="0"/>
        <w:adjustRightInd w:val="0"/>
        <w:snapToGrid w:val="0"/>
        <w:spacing w:line="560" w:lineRule="exact"/>
        <w:ind w:firstLine="643" w:firstLineChars="200"/>
        <w:textAlignment w:val="auto"/>
        <w:outlineLvl w:val="9"/>
        <w:rPr>
          <w:rFonts w:hint="eastAsia" w:ascii="仿宋_GB2312" w:hAnsi="仿宋_GB2312" w:eastAsia="仿宋_GB2312" w:cs="仿宋_GB2312"/>
          <w:b/>
          <w:bCs w:val="0"/>
          <w:strike w:val="0"/>
          <w:dstrike w:val="0"/>
          <w:color w:val="auto"/>
          <w:kern w:val="2"/>
          <w:sz w:val="32"/>
          <w:szCs w:val="32"/>
          <w:highlight w:val="none"/>
          <w:lang w:val="en-US" w:eastAsia="zh-CN" w:bidi="ar-SA"/>
        </w:rPr>
      </w:pPr>
      <w:r>
        <w:rPr>
          <w:rFonts w:hint="eastAsia" w:ascii="仿宋_GB2312" w:hAnsi="仿宋_GB2312" w:eastAsia="仿宋_GB2312" w:cs="仿宋_GB2312"/>
          <w:b/>
          <w:bCs w:val="0"/>
          <w:color w:val="auto"/>
          <w:sz w:val="32"/>
          <w:szCs w:val="32"/>
          <w:highlight w:val="none"/>
          <w:lang w:val="en-US" w:eastAsia="zh-CN"/>
        </w:rPr>
        <w:t>⑤闸门（水下）专项检查养护：</w:t>
      </w:r>
      <w:r>
        <w:rPr>
          <w:rFonts w:hint="eastAsia" w:ascii="仿宋_GB2312" w:hAnsi="仿宋_GB2312" w:eastAsia="仿宋_GB2312" w:cs="仿宋_GB2312"/>
          <w:b w:val="0"/>
          <w:bCs/>
          <w:color w:val="auto"/>
          <w:kern w:val="2"/>
          <w:sz w:val="32"/>
          <w:szCs w:val="32"/>
          <w:highlight w:val="none"/>
          <w:lang w:val="en-US" w:eastAsia="zh-CN" w:bidi="ar-SA"/>
        </w:rPr>
        <w:t>在汛前、汛后水位较低时，积极配合做好专项检查辅助工作，对相关区域、部位进行养护保洁</w:t>
      </w:r>
      <w:r>
        <w:rPr>
          <w:rFonts w:hint="eastAsia" w:ascii="仿宋_GB2312" w:hAnsi="仿宋_GB2312" w:eastAsia="仿宋_GB2312" w:cs="仿宋_GB2312"/>
          <w:b w:val="0"/>
          <w:bCs/>
          <w:strike w:val="0"/>
          <w:dstrike w:val="0"/>
          <w:color w:val="auto"/>
          <w:kern w:val="2"/>
          <w:sz w:val="32"/>
          <w:szCs w:val="32"/>
          <w:highlight w:val="none"/>
          <w:lang w:val="en-US" w:eastAsia="zh-CN" w:bidi="ar-SA"/>
        </w:rPr>
        <w:t>。</w:t>
      </w:r>
    </w:p>
    <w:p w14:paraId="49809238">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outlineLvl w:val="9"/>
        <w:rPr>
          <w:rFonts w:hint="eastAsia" w:ascii="仿宋_GB2312" w:hAnsi="仿宋_GB2312" w:eastAsia="仿宋_GB2312" w:cs="仿宋_GB2312"/>
          <w:b w:val="0"/>
          <w:bCs/>
          <w:strike w:val="0"/>
          <w:dstrike w:val="0"/>
          <w:color w:val="auto"/>
          <w:kern w:val="2"/>
          <w:sz w:val="32"/>
          <w:szCs w:val="32"/>
          <w:highlight w:val="none"/>
          <w:lang w:val="en-US" w:eastAsia="zh-CN" w:bidi="ar-SA"/>
        </w:rPr>
      </w:pPr>
      <w:r>
        <w:rPr>
          <w:rFonts w:hint="eastAsia" w:ascii="仿宋_GB2312" w:hAnsi="仿宋_GB2312" w:eastAsia="仿宋_GB2312" w:cs="仿宋_GB2312"/>
          <w:b/>
          <w:bCs w:val="0"/>
          <w:strike w:val="0"/>
          <w:dstrike w:val="0"/>
          <w:color w:val="auto"/>
          <w:kern w:val="2"/>
          <w:sz w:val="32"/>
          <w:szCs w:val="32"/>
          <w:highlight w:val="none"/>
          <w:lang w:val="en-US" w:eastAsia="zh-CN" w:bidi="ar-SA"/>
        </w:rPr>
        <w:t>⑥吊头养护：</w:t>
      </w:r>
      <w:r>
        <w:rPr>
          <w:rFonts w:hint="eastAsia" w:ascii="仿宋_GB2312" w:hAnsi="仿宋_GB2312" w:eastAsia="仿宋_GB2312" w:cs="仿宋_GB2312"/>
          <w:b w:val="0"/>
          <w:bCs/>
          <w:strike w:val="0"/>
          <w:dstrike w:val="0"/>
          <w:color w:val="auto"/>
          <w:kern w:val="2"/>
          <w:sz w:val="32"/>
          <w:szCs w:val="32"/>
          <w:highlight w:val="none"/>
          <w:lang w:val="en-US" w:eastAsia="zh-CN" w:bidi="ar-SA"/>
        </w:rPr>
        <w:t>拆除吊头保护壳，及时清除油污、锈蚀及附着物，防止腐蚀影响结构强度，‌吊头的转动销轴等活动部位必须‌保持良好润滑‌，定期注油以避免锈蚀卡阻；金属表面应喷涂防锈材料，严重锈蚀或变形应进行补强或更新，修复时需确保焊接质量符合标准。</w:t>
      </w:r>
    </w:p>
    <w:p w14:paraId="7B1B9EBA">
      <w:pPr>
        <w:spacing w:line="560" w:lineRule="exact"/>
        <w:ind w:firstLine="643" w:firstLineChars="200"/>
        <w:rPr>
          <w:rFonts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32"/>
          <w:highlight w:val="none"/>
        </w:rPr>
        <w:t>⑦</w:t>
      </w:r>
      <w:r>
        <w:rPr>
          <w:rFonts w:ascii="Times New Roman" w:hAnsi="Times New Roman" w:eastAsia="仿宋_GB2312" w:cs="Times New Roman"/>
          <w:b/>
          <w:bCs/>
          <w:color w:val="auto"/>
          <w:sz w:val="32"/>
          <w:szCs w:val="32"/>
          <w:highlight w:val="none"/>
        </w:rPr>
        <w:t>检修闸门养护</w:t>
      </w:r>
      <w:r>
        <w:rPr>
          <w:rFonts w:hint="eastAsia" w:ascii="Times New Roman" w:hAnsi="Times New Roman" w:eastAsia="仿宋_GB2312" w:cs="Times New Roman"/>
          <w:b/>
          <w:bCs/>
          <w:color w:val="auto"/>
          <w:sz w:val="32"/>
          <w:szCs w:val="32"/>
          <w:highlight w:val="none"/>
          <w:lang w:eastAsia="zh-CN"/>
        </w:rPr>
        <w:t>：</w:t>
      </w:r>
      <w:r>
        <w:rPr>
          <w:rFonts w:ascii="Times New Roman" w:hAnsi="Times New Roman" w:eastAsia="仿宋_GB2312" w:cs="Times New Roman"/>
          <w:color w:val="auto"/>
          <w:sz w:val="32"/>
          <w:szCs w:val="32"/>
          <w:highlight w:val="none"/>
        </w:rPr>
        <w:t>清除并清洗门槽内的灰尘、泥沙等杂物；对门体、吊鼻、轴销、吊头、螺栓进行油污清洗、除锈及注油。</w:t>
      </w:r>
    </w:p>
    <w:p w14:paraId="4A29C76A">
      <w:pPr>
        <w:spacing w:line="560" w:lineRule="exact"/>
        <w:ind w:firstLine="643" w:firstLineChars="200"/>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b/>
          <w:bCs/>
          <w:color w:val="auto"/>
          <w:sz w:val="32"/>
          <w:szCs w:val="32"/>
          <w:highlight w:val="none"/>
        </w:rPr>
        <w:t>⑧</w:t>
      </w:r>
      <w:r>
        <w:rPr>
          <w:rFonts w:ascii="Times New Roman" w:hAnsi="Times New Roman" w:eastAsia="仿宋_GB2312" w:cs="Times New Roman"/>
          <w:b/>
          <w:bCs/>
          <w:color w:val="auto"/>
          <w:sz w:val="32"/>
          <w:szCs w:val="32"/>
          <w:highlight w:val="none"/>
        </w:rPr>
        <w:t>闸门止水养护</w:t>
      </w:r>
      <w:r>
        <w:rPr>
          <w:rFonts w:hint="eastAsia" w:ascii="Times New Roman" w:hAnsi="Times New Roman" w:eastAsia="仿宋_GB2312" w:cs="Times New Roman"/>
          <w:b/>
          <w:bCs/>
          <w:color w:val="auto"/>
          <w:sz w:val="32"/>
          <w:szCs w:val="32"/>
          <w:highlight w:val="none"/>
          <w:lang w:eastAsia="zh-CN"/>
        </w:rPr>
        <w:t>：</w:t>
      </w:r>
      <w:r>
        <w:rPr>
          <w:rFonts w:ascii="Times New Roman" w:hAnsi="Times New Roman" w:eastAsia="仿宋_GB2312" w:cs="Times New Roman"/>
          <w:color w:val="auto"/>
          <w:sz w:val="32"/>
          <w:szCs w:val="32"/>
          <w:highlight w:val="none"/>
        </w:rPr>
        <w:t>检查底、侧止水橡皮有无老化损毁，压板铁及止水螺栓有无锈蚀松动</w:t>
      </w:r>
      <w:r>
        <w:rPr>
          <w:rFonts w:hint="eastAsia" w:ascii="Times New Roman" w:hAnsi="Times New Roman" w:eastAsia="仿宋_GB2312" w:cs="Times New Roman"/>
          <w:color w:val="auto"/>
          <w:sz w:val="32"/>
          <w:szCs w:val="32"/>
          <w:highlight w:val="none"/>
        </w:rPr>
        <w:t>，不能满足运行止水要求的</w:t>
      </w:r>
      <w:r>
        <w:rPr>
          <w:rFonts w:hint="eastAsia" w:ascii="Times New Roman" w:hAnsi="Times New Roman" w:eastAsia="仿宋_GB2312" w:cs="Times New Roman"/>
          <w:color w:val="auto"/>
          <w:kern w:val="0"/>
          <w:sz w:val="32"/>
          <w:szCs w:val="32"/>
          <w:highlight w:val="none"/>
        </w:rPr>
        <w:t>应及时将情况反馈现场管理单位进行处理</w:t>
      </w:r>
      <w:r>
        <w:rPr>
          <w:rFonts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rPr>
        <w:t>对</w:t>
      </w:r>
      <w:r>
        <w:rPr>
          <w:rFonts w:ascii="Times New Roman" w:hAnsi="Times New Roman" w:eastAsia="仿宋_GB2312" w:cs="Times New Roman"/>
          <w:color w:val="auto"/>
          <w:sz w:val="32"/>
          <w:szCs w:val="32"/>
          <w:highlight w:val="none"/>
        </w:rPr>
        <w:t>止水表面附着物</w:t>
      </w:r>
      <w:r>
        <w:rPr>
          <w:rFonts w:hint="eastAsia" w:ascii="Times New Roman" w:hAnsi="Times New Roman" w:eastAsia="仿宋_GB2312" w:cs="Times New Roman"/>
          <w:color w:val="auto"/>
          <w:sz w:val="32"/>
          <w:szCs w:val="32"/>
          <w:highlight w:val="none"/>
        </w:rPr>
        <w:t>进行</w:t>
      </w:r>
      <w:r>
        <w:rPr>
          <w:rFonts w:ascii="Times New Roman" w:hAnsi="Times New Roman" w:eastAsia="仿宋_GB2312" w:cs="Times New Roman"/>
          <w:color w:val="auto"/>
          <w:sz w:val="32"/>
          <w:szCs w:val="32"/>
          <w:highlight w:val="none"/>
        </w:rPr>
        <w:t>清理，对松动的螺栓进行紧固，止水效果不能满足运行管理要求时应重新调试、安装</w:t>
      </w:r>
      <w:r>
        <w:rPr>
          <w:rFonts w:hint="eastAsia" w:ascii="Times New Roman" w:hAnsi="Times New Roman" w:eastAsia="仿宋_GB2312" w:cs="Times New Roman"/>
          <w:color w:val="auto"/>
          <w:sz w:val="32"/>
          <w:szCs w:val="32"/>
          <w:highlight w:val="none"/>
          <w:lang w:eastAsia="zh-CN"/>
        </w:rPr>
        <w:t>。</w:t>
      </w:r>
    </w:p>
    <w:p w14:paraId="0006C68B">
      <w:pPr>
        <w:spacing w:line="560" w:lineRule="exact"/>
        <w:ind w:firstLine="643" w:firstLineChars="200"/>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rPr>
        <w:t>⑨</w:t>
      </w:r>
      <w:r>
        <w:rPr>
          <w:rFonts w:hint="eastAsia" w:ascii="Times New Roman" w:hAnsi="Times New Roman" w:eastAsia="仿宋_GB2312" w:cs="Times New Roman"/>
          <w:b/>
          <w:bCs/>
          <w:color w:val="auto"/>
          <w:sz w:val="32"/>
          <w:szCs w:val="32"/>
          <w:highlight w:val="none"/>
          <w:lang w:val="en-US" w:eastAsia="zh-CN"/>
        </w:rPr>
        <w:t>柴油发电机养护：</w:t>
      </w:r>
      <w:r>
        <w:rPr>
          <w:rFonts w:hint="eastAsia" w:ascii="Times New Roman" w:hAnsi="Times New Roman" w:eastAsia="仿宋_GB2312" w:cs="Times New Roman"/>
          <w:color w:val="auto"/>
          <w:sz w:val="32"/>
          <w:szCs w:val="32"/>
          <w:highlight w:val="none"/>
          <w:lang w:val="en-US" w:eastAsia="zh-CN"/>
        </w:rPr>
        <w:t>清</w:t>
      </w:r>
      <w:r>
        <w:rPr>
          <w:rFonts w:hint="eastAsia" w:ascii="Times New Roman" w:hAnsi="Times New Roman" w:eastAsia="仿宋_GB2312" w:cs="Times New Roman"/>
          <w:color w:val="auto"/>
          <w:kern w:val="0"/>
          <w:sz w:val="32"/>
          <w:szCs w:val="32"/>
          <w:highlight w:val="none"/>
        </w:rPr>
        <w:t>洁柴油发电机的外观，去除灰尘和污垢，确保设备整洁</w:t>
      </w:r>
      <w:r>
        <w:rPr>
          <w:rFonts w:hint="eastAsia" w:ascii="Times New Roman" w:hAnsi="Times New Roman" w:eastAsia="仿宋_GB2312" w:cs="Times New Roman"/>
          <w:color w:val="auto"/>
          <w:kern w:val="0"/>
          <w:sz w:val="32"/>
          <w:szCs w:val="32"/>
          <w:highlight w:val="none"/>
          <w:lang w:eastAsia="zh-CN"/>
        </w:rPr>
        <w:t>；</w:t>
      </w:r>
      <w:r>
        <w:rPr>
          <w:rFonts w:hint="eastAsia" w:ascii="Times New Roman" w:hAnsi="Times New Roman" w:eastAsia="仿宋_GB2312" w:cs="Times New Roman"/>
          <w:color w:val="auto"/>
          <w:kern w:val="0"/>
          <w:sz w:val="32"/>
          <w:szCs w:val="32"/>
          <w:highlight w:val="none"/>
        </w:rPr>
        <w:t>更换空气滤清器</w:t>
      </w:r>
      <w:r>
        <w:rPr>
          <w:rFonts w:hint="eastAsia" w:ascii="Times New Roman" w:hAnsi="Times New Roman" w:eastAsia="仿宋_GB2312" w:cs="Times New Roman"/>
          <w:color w:val="auto"/>
          <w:kern w:val="0"/>
          <w:sz w:val="32"/>
          <w:szCs w:val="32"/>
          <w:highlight w:val="none"/>
          <w:lang w:eastAsia="zh-CN"/>
        </w:rPr>
        <w:t>；</w:t>
      </w:r>
      <w:r>
        <w:rPr>
          <w:rFonts w:hint="eastAsia" w:ascii="Times New Roman" w:hAnsi="Times New Roman" w:eastAsia="仿宋_GB2312" w:cs="Times New Roman"/>
          <w:color w:val="auto"/>
          <w:kern w:val="0"/>
          <w:sz w:val="32"/>
          <w:szCs w:val="32"/>
          <w:highlight w:val="none"/>
        </w:rPr>
        <w:t>更换机油和机油滤清器</w:t>
      </w:r>
      <w:r>
        <w:rPr>
          <w:rFonts w:hint="eastAsia" w:ascii="Times New Roman" w:hAnsi="Times New Roman" w:eastAsia="仿宋_GB2312" w:cs="Times New Roman"/>
          <w:color w:val="auto"/>
          <w:kern w:val="0"/>
          <w:sz w:val="32"/>
          <w:szCs w:val="32"/>
          <w:highlight w:val="none"/>
          <w:lang w:eastAsia="zh-CN"/>
        </w:rPr>
        <w:t>，</w:t>
      </w:r>
      <w:r>
        <w:rPr>
          <w:rFonts w:hint="eastAsia" w:ascii="Times New Roman" w:hAnsi="Times New Roman" w:eastAsia="仿宋_GB2312" w:cs="Times New Roman"/>
          <w:color w:val="auto"/>
          <w:kern w:val="0"/>
          <w:sz w:val="32"/>
          <w:szCs w:val="32"/>
          <w:highlight w:val="none"/>
        </w:rPr>
        <w:t>确保发动机内部的清洁和润滑</w:t>
      </w:r>
      <w:r>
        <w:rPr>
          <w:rFonts w:hint="eastAsia" w:ascii="Times New Roman" w:hAnsi="Times New Roman" w:eastAsia="仿宋_GB2312" w:cs="Times New Roman"/>
          <w:color w:val="auto"/>
          <w:kern w:val="0"/>
          <w:sz w:val="32"/>
          <w:szCs w:val="32"/>
          <w:highlight w:val="none"/>
          <w:lang w:eastAsia="zh-CN"/>
        </w:rPr>
        <w:t>；</w:t>
      </w:r>
      <w:r>
        <w:rPr>
          <w:rFonts w:hint="eastAsia" w:ascii="Times New Roman" w:hAnsi="Times New Roman" w:eastAsia="仿宋_GB2312" w:cs="Times New Roman"/>
          <w:color w:val="auto"/>
          <w:kern w:val="0"/>
          <w:sz w:val="32"/>
          <w:szCs w:val="32"/>
          <w:highlight w:val="none"/>
        </w:rPr>
        <w:t>检查燃油管路和连接件的紧固情况，确保燃油系统无泄漏</w:t>
      </w:r>
      <w:r>
        <w:rPr>
          <w:rFonts w:hint="eastAsia" w:ascii="Times New Roman" w:hAnsi="Times New Roman" w:eastAsia="仿宋_GB2312" w:cs="Times New Roman"/>
          <w:color w:val="auto"/>
          <w:kern w:val="0"/>
          <w:sz w:val="32"/>
          <w:szCs w:val="32"/>
          <w:highlight w:val="none"/>
          <w:lang w:val="en-US" w:eastAsia="zh-CN"/>
        </w:rPr>
        <w:t>等</w:t>
      </w:r>
      <w:r>
        <w:rPr>
          <w:rFonts w:hint="eastAsia" w:ascii="Times New Roman" w:hAnsi="Times New Roman" w:eastAsia="仿宋_GB2312" w:cs="Times New Roman"/>
          <w:color w:val="auto"/>
          <w:kern w:val="0"/>
          <w:sz w:val="32"/>
          <w:szCs w:val="32"/>
          <w:highlight w:val="none"/>
        </w:rPr>
        <w:t>。</w:t>
      </w:r>
    </w:p>
    <w:p w14:paraId="06D785EE">
      <w:pPr>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b/>
          <w:color w:val="auto"/>
          <w:sz w:val="32"/>
          <w:szCs w:val="32"/>
          <w:highlight w:val="none"/>
        </w:rPr>
        <w:t>⑩工程设施保养保洁</w:t>
      </w:r>
      <w:r>
        <w:rPr>
          <w:rFonts w:hint="eastAsia" w:ascii="仿宋_GB2312" w:hAnsi="仿宋_GB2312" w:eastAsia="仿宋_GB2312" w:cs="仿宋_GB2312"/>
          <w:bCs/>
          <w:color w:val="auto"/>
          <w:sz w:val="32"/>
          <w:szCs w:val="32"/>
          <w:highlight w:val="none"/>
        </w:rPr>
        <w:t>：室内外保洁，保持启闭机房、桥头堡、中控室、高低压配电房（含附属物窗户、楼梯、洗漱池等）整洁有序，无蜘蛛网、油污、灰尘等；室内外摄像头、明示的管理制度、技术图表及各种铭牌、宣传牌、警示牌无灰尘、污垢等；交通桥、检修便桥、桥墩、排架柱、护栏、防护网无附着物、灰尘、污垢、杂草、杂条等。</w:t>
      </w:r>
    </w:p>
    <w:p w14:paraId="5D816D5C">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outlineLvl w:val="9"/>
        <w:rPr>
          <w:rFonts w:hint="eastAsia" w:ascii="仿宋_GB2312" w:hAnsi="仿宋_GB2312" w:eastAsia="仿宋_GB2312" w:cs="仿宋_GB2312"/>
          <w:b w:val="0"/>
          <w:bCs/>
          <w:strike w:val="0"/>
          <w:dstrike w:val="0"/>
          <w:color w:val="auto"/>
          <w:kern w:val="2"/>
          <w:sz w:val="32"/>
          <w:szCs w:val="32"/>
          <w:highlight w:val="none"/>
          <w:lang w:val="en-US" w:eastAsia="zh-CN" w:bidi="ar-SA"/>
        </w:rPr>
      </w:pPr>
      <w:r>
        <w:rPr>
          <w:rFonts w:hint="eastAsia" w:ascii="仿宋_GB2312" w:hAnsi="仿宋_GB2312" w:eastAsia="仿宋_GB2312" w:cs="仿宋_GB2312"/>
          <w:b/>
          <w:bCs w:val="0"/>
          <w:strike w:val="0"/>
          <w:dstrike w:val="0"/>
          <w:color w:val="auto"/>
          <w:kern w:val="2"/>
          <w:sz w:val="32"/>
          <w:szCs w:val="32"/>
          <w:highlight w:val="none"/>
          <w:lang w:val="en-US" w:eastAsia="zh-CN" w:bidi="ar-SA"/>
        </w:rPr>
        <w:t>⑪其他</w:t>
      </w:r>
      <w:r>
        <w:rPr>
          <w:rFonts w:hint="eastAsia" w:ascii="仿宋_GB2312" w:hAnsi="仿宋_GB2312" w:eastAsia="仿宋_GB2312" w:cs="仿宋_GB2312"/>
          <w:b w:val="0"/>
          <w:bCs/>
          <w:strike w:val="0"/>
          <w:dstrike w:val="0"/>
          <w:color w:val="auto"/>
          <w:kern w:val="2"/>
          <w:sz w:val="32"/>
          <w:szCs w:val="32"/>
          <w:highlight w:val="none"/>
          <w:lang w:val="en-US" w:eastAsia="zh-CN" w:bidi="ar-SA"/>
        </w:rPr>
        <w:t>：按照甲方要求及时进场养护并做好记录，发现异常问题及时向甲方报告；减速器齿轮油和黄油等材料进场前需经甲方认可。</w:t>
      </w:r>
    </w:p>
    <w:p w14:paraId="238282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仿宋_GB2312" w:hAnsi="仿宋_GB2312" w:eastAsia="仿宋_GB2312" w:cs="仿宋_GB2312"/>
          <w:b w:val="0"/>
          <w:bCs/>
          <w:strike w:val="0"/>
          <w:dstrike w:val="0"/>
          <w:color w:val="auto"/>
          <w:kern w:val="2"/>
          <w:sz w:val="32"/>
          <w:szCs w:val="32"/>
          <w:highlight w:val="none"/>
          <w:lang w:val="en-US" w:eastAsia="zh-CN" w:bidi="ar-SA"/>
        </w:rPr>
      </w:pPr>
      <w:r>
        <w:rPr>
          <w:rFonts w:hint="eastAsia" w:ascii="仿宋_GB2312" w:hAnsi="仿宋_GB2312" w:eastAsia="仿宋_GB2312" w:cs="仿宋_GB2312"/>
          <w:b w:val="0"/>
          <w:bCs/>
          <w:strike w:val="0"/>
          <w:dstrike w:val="0"/>
          <w:color w:val="auto"/>
          <w:kern w:val="2"/>
          <w:sz w:val="32"/>
          <w:szCs w:val="32"/>
          <w:highlight w:val="none"/>
          <w:lang w:val="en-US" w:eastAsia="zh-CN" w:bidi="ar-SA"/>
        </w:rPr>
        <w:t>颍东局、怀远局、蒙城局、潘集局、五河局、颍上局检修闸门吊装，按照甲方需求开展，设备选用需根据闸门重量、尺寸和安装位置确定，吊装过程中需‌</w:t>
      </w:r>
      <w:r>
        <w:rPr>
          <w:rFonts w:hint="default" w:ascii="仿宋_GB2312" w:hAnsi="仿宋_GB2312" w:eastAsia="仿宋_GB2312" w:cs="仿宋_GB2312"/>
          <w:b w:val="0"/>
          <w:bCs/>
          <w:strike w:val="0"/>
          <w:dstrike w:val="0"/>
          <w:color w:val="auto"/>
          <w:kern w:val="2"/>
          <w:sz w:val="32"/>
          <w:szCs w:val="32"/>
          <w:highlight w:val="none"/>
          <w:lang w:val="en-US" w:eastAsia="zh-CN" w:bidi="ar-SA"/>
        </w:rPr>
        <w:t>谨慎操作‌，专人指挥</w:t>
      </w:r>
      <w:r>
        <w:rPr>
          <w:rFonts w:hint="eastAsia" w:ascii="仿宋_GB2312" w:hAnsi="仿宋_GB2312" w:eastAsia="仿宋_GB2312" w:cs="仿宋_GB2312"/>
          <w:b w:val="0"/>
          <w:bCs/>
          <w:strike w:val="0"/>
          <w:dstrike w:val="0"/>
          <w:color w:val="auto"/>
          <w:kern w:val="2"/>
          <w:sz w:val="32"/>
          <w:szCs w:val="32"/>
          <w:highlight w:val="none"/>
          <w:lang w:val="en-US" w:eastAsia="zh-CN" w:bidi="ar-SA"/>
        </w:rPr>
        <w:t>，</w:t>
      </w:r>
      <w:r>
        <w:rPr>
          <w:rFonts w:hint="default" w:ascii="仿宋_GB2312" w:hAnsi="仿宋_GB2312" w:eastAsia="仿宋_GB2312" w:cs="仿宋_GB2312"/>
          <w:b w:val="0"/>
          <w:bCs/>
          <w:strike w:val="0"/>
          <w:dstrike w:val="0"/>
          <w:color w:val="auto"/>
          <w:kern w:val="2"/>
          <w:sz w:val="32"/>
          <w:szCs w:val="32"/>
          <w:highlight w:val="none"/>
          <w:lang w:val="en-US" w:eastAsia="zh-CN" w:bidi="ar-SA"/>
        </w:rPr>
        <w:t>避免闸门碰撞、扭曲或损坏，起吊时先立起并调整平衡，用牵引绳控制位置防止与建筑物接触；门叶翻身或平移时，动作应协调缓慢</w:t>
      </w:r>
      <w:r>
        <w:rPr>
          <w:rFonts w:hint="eastAsia" w:ascii="仿宋_GB2312" w:hAnsi="仿宋_GB2312" w:eastAsia="仿宋_GB2312" w:cs="仿宋_GB2312"/>
          <w:b w:val="0"/>
          <w:bCs/>
          <w:strike w:val="0"/>
          <w:dstrike w:val="0"/>
          <w:color w:val="auto"/>
          <w:kern w:val="2"/>
          <w:sz w:val="32"/>
          <w:szCs w:val="32"/>
          <w:highlight w:val="none"/>
          <w:lang w:val="en-US" w:eastAsia="zh-CN" w:bidi="ar-SA"/>
        </w:rPr>
        <w:t>。</w:t>
      </w:r>
    </w:p>
    <w:p w14:paraId="32D9C4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仿宋_GB2312" w:hAnsi="仿宋_GB2312" w:eastAsia="仿宋_GB2312" w:cs="仿宋_GB2312"/>
          <w:b w:val="0"/>
          <w:bCs/>
          <w:strike w:val="0"/>
          <w:dstrike w:val="0"/>
          <w:color w:val="auto"/>
          <w:kern w:val="2"/>
          <w:sz w:val="32"/>
          <w:szCs w:val="32"/>
          <w:highlight w:val="none"/>
          <w:lang w:val="en-US" w:eastAsia="zh-CN" w:bidi="ar-SA"/>
        </w:rPr>
      </w:pPr>
      <w:r>
        <w:rPr>
          <w:rFonts w:hint="eastAsia" w:ascii="仿宋_GB2312" w:hAnsi="仿宋_GB2312" w:eastAsia="仿宋_GB2312" w:cs="仿宋_GB2312"/>
          <w:b w:val="0"/>
          <w:bCs/>
          <w:strike w:val="0"/>
          <w:dstrike w:val="0"/>
          <w:color w:val="auto"/>
          <w:kern w:val="2"/>
          <w:sz w:val="32"/>
          <w:szCs w:val="32"/>
          <w:highlight w:val="none"/>
          <w:lang w:val="en-US" w:eastAsia="zh-CN" w:bidi="ar-SA"/>
        </w:rPr>
        <w:t>颍上局检修闸门锁定结构制作安装：包括不限于以下形式，满足甲方要求，安装位置正确,固定牢固,确保检修闸门锁定安全。</w:t>
      </w:r>
    </w:p>
    <w:p w14:paraId="76BA653E">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仿宋_GB2312" w:hAnsi="仿宋_GB2312" w:eastAsia="仿宋_GB2312" w:cs="仿宋_GB2312"/>
          <w:b w:val="0"/>
          <w:bCs/>
          <w:strike w:val="0"/>
          <w:dstrike w:val="0"/>
          <w:color w:val="auto"/>
          <w:kern w:val="2"/>
          <w:sz w:val="32"/>
          <w:szCs w:val="32"/>
          <w:highlight w:val="none"/>
          <w:lang w:val="en-US" w:eastAsia="zh-CN" w:bidi="ar-SA"/>
        </w:rPr>
      </w:pPr>
      <w:r>
        <w:rPr>
          <w:rFonts w:hint="eastAsia" w:ascii="仿宋_GB2312" w:hAnsi="仿宋_GB2312" w:eastAsia="仿宋_GB2312" w:cs="仿宋_GB2312"/>
          <w:b w:val="0"/>
          <w:bCs/>
          <w:strike w:val="0"/>
          <w:dstrike w:val="0"/>
          <w:color w:val="auto"/>
          <w:kern w:val="2"/>
          <w:sz w:val="32"/>
          <w:szCs w:val="32"/>
          <w:highlight w:val="none"/>
          <w:lang w:val="en-US" w:eastAsia="zh-CN" w:bidi="ar-SA"/>
        </w:rPr>
        <w:drawing>
          <wp:inline distT="0" distB="0" distL="114300" distR="114300">
            <wp:extent cx="2645410" cy="2079625"/>
            <wp:effectExtent l="0" t="0" r="2540" b="15875"/>
            <wp:docPr id="10" name="图片 10" descr="5f4c88ae11bc8e0dd2817f6b817cc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f4c88ae11bc8e0dd2817f6b817cca1c"/>
                    <pic:cNvPicPr>
                      <a:picLocks noChangeAspect="1"/>
                    </pic:cNvPicPr>
                  </pic:nvPicPr>
                  <pic:blipFill>
                    <a:blip r:embed="rId25"/>
                    <a:stretch>
                      <a:fillRect/>
                    </a:stretch>
                  </pic:blipFill>
                  <pic:spPr>
                    <a:xfrm>
                      <a:off x="0" y="0"/>
                      <a:ext cx="2645410" cy="2079625"/>
                    </a:xfrm>
                    <a:prstGeom prst="rect">
                      <a:avLst/>
                    </a:prstGeom>
                  </pic:spPr>
                </pic:pic>
              </a:graphicData>
            </a:graphic>
          </wp:inline>
        </w:drawing>
      </w:r>
      <w:r>
        <w:rPr>
          <w:rFonts w:hint="eastAsia" w:ascii="仿宋_GB2312" w:hAnsi="仿宋_GB2312" w:eastAsia="仿宋_GB2312" w:cs="仿宋_GB2312"/>
          <w:b w:val="0"/>
          <w:bCs/>
          <w:strike w:val="0"/>
          <w:dstrike w:val="0"/>
          <w:color w:val="auto"/>
          <w:kern w:val="2"/>
          <w:sz w:val="32"/>
          <w:szCs w:val="32"/>
          <w:highlight w:val="none"/>
          <w:lang w:val="en-US" w:eastAsia="zh-CN" w:bidi="ar-SA"/>
        </w:rPr>
        <w:t xml:space="preserve"> </w:t>
      </w:r>
      <w:r>
        <w:rPr>
          <w:rFonts w:hint="eastAsia" w:ascii="仿宋_GB2312" w:hAnsi="仿宋_GB2312" w:eastAsia="仿宋_GB2312" w:cs="仿宋_GB2312"/>
          <w:b w:val="0"/>
          <w:bCs/>
          <w:strike w:val="0"/>
          <w:dstrike w:val="0"/>
          <w:color w:val="auto"/>
          <w:kern w:val="2"/>
          <w:sz w:val="32"/>
          <w:szCs w:val="32"/>
          <w:highlight w:val="none"/>
          <w:lang w:val="en-US" w:eastAsia="zh-CN" w:bidi="ar-SA"/>
        </w:rPr>
        <w:drawing>
          <wp:inline distT="0" distB="0" distL="114300" distR="114300">
            <wp:extent cx="2674620" cy="2080260"/>
            <wp:effectExtent l="0" t="0" r="11430" b="15240"/>
            <wp:docPr id="12" name="图片 12" descr="a5e8337fe196acea11663e9a0a5d0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5e8337fe196acea11663e9a0a5d0b33"/>
                    <pic:cNvPicPr>
                      <a:picLocks noChangeAspect="1"/>
                    </pic:cNvPicPr>
                  </pic:nvPicPr>
                  <pic:blipFill>
                    <a:blip r:embed="rId26"/>
                    <a:stretch>
                      <a:fillRect/>
                    </a:stretch>
                  </pic:blipFill>
                  <pic:spPr>
                    <a:xfrm>
                      <a:off x="0" y="0"/>
                      <a:ext cx="2674620" cy="2080260"/>
                    </a:xfrm>
                    <a:prstGeom prst="rect">
                      <a:avLst/>
                    </a:prstGeom>
                  </pic:spPr>
                </pic:pic>
              </a:graphicData>
            </a:graphic>
          </wp:inline>
        </w:drawing>
      </w:r>
    </w:p>
    <w:p w14:paraId="1CE86D8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outlineLvl w:val="9"/>
        <w:rPr>
          <w:rFonts w:hint="eastAsia" w:ascii="仿宋_GB2312" w:hAnsi="仿宋_GB2312" w:eastAsia="仿宋_GB2312" w:cs="仿宋_GB2312"/>
          <w:b/>
          <w:bCs w:val="0"/>
          <w:color w:val="auto"/>
          <w:kern w:val="2"/>
          <w:sz w:val="32"/>
          <w:szCs w:val="32"/>
          <w:highlight w:val="none"/>
          <w:lang w:val="en-US" w:eastAsia="zh-CN" w:bidi="ar-SA"/>
        </w:rPr>
      </w:pPr>
      <w:r>
        <w:rPr>
          <w:rFonts w:hint="eastAsia" w:ascii="仿宋_GB2312" w:hAnsi="仿宋_GB2312" w:eastAsia="仿宋_GB2312" w:cs="仿宋_GB2312"/>
          <w:b/>
          <w:bCs w:val="0"/>
          <w:color w:val="auto"/>
          <w:kern w:val="2"/>
          <w:sz w:val="32"/>
          <w:szCs w:val="32"/>
          <w:highlight w:val="none"/>
          <w:lang w:val="en-US" w:eastAsia="zh-CN" w:bidi="ar-SA"/>
        </w:rPr>
        <w:t>（3）其他要求</w:t>
      </w:r>
    </w:p>
    <w:p w14:paraId="2159AF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①派驻人员要求，项目负责人一名，</w:t>
      </w:r>
      <w:r>
        <w:rPr>
          <w:rFonts w:hint="eastAsia" w:ascii="仿宋_GB2312" w:hAnsi="仿宋_GB2312" w:eastAsia="仿宋_GB2312" w:cs="仿宋_GB2312"/>
          <w:b w:val="0"/>
          <w:bCs/>
          <w:strike w:val="0"/>
          <w:dstrike w:val="0"/>
          <w:color w:val="auto"/>
          <w:kern w:val="2"/>
          <w:sz w:val="32"/>
          <w:szCs w:val="32"/>
          <w:highlight w:val="none"/>
          <w:lang w:val="en-US" w:eastAsia="zh-CN" w:bidi="ar-SA"/>
        </w:rPr>
        <w:t>定期维修养护工作人员不得少于4人。</w:t>
      </w:r>
      <w:r>
        <w:rPr>
          <w:rFonts w:hint="eastAsia" w:ascii="仿宋_GB2312" w:hAnsi="仿宋_GB2312" w:eastAsia="仿宋_GB2312" w:cs="仿宋_GB2312"/>
          <w:b w:val="0"/>
          <w:bCs/>
          <w:color w:val="auto"/>
          <w:kern w:val="2"/>
          <w:sz w:val="32"/>
          <w:szCs w:val="32"/>
          <w:highlight w:val="none"/>
          <w:lang w:val="en-US" w:eastAsia="zh-CN" w:bidi="ar-SA"/>
        </w:rPr>
        <w:t>男、女同志年龄不超过法定退休年龄，身体健康，无影响职业的疾病，无违法犯罪史，养护期间服从现场技术人员管理。</w:t>
      </w:r>
    </w:p>
    <w:p w14:paraId="250C08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②安全要求，乙方必须明确本单位各级人员的安全生产责任对进场员工进行入场安全教育，要有书面的安全技术交底，乙方作业人员如有变动的，须及时进行新工人入场教育；乙方涉及特种作业的必须持特种作业证上岗，并将特种作业人员名单和特种作业证上报甲方审查，无证人员禁止从事特种作业。</w:t>
      </w:r>
    </w:p>
    <w:p w14:paraId="098D3D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现场临时用电，严格执行国家相关标准规定，清洁电气设备时停电作业，电源箱或开关握柄挂“有人操作，严禁合闸”的警示牌，并设专人看管，现场临时架设的线路，严禁搭在钢筋、脚手架上，必须安设绝缘支承物；</w:t>
      </w:r>
    </w:p>
    <w:p w14:paraId="634ECDF1">
      <w:pPr>
        <w:pStyle w:val="275"/>
        <w:keepNext w:val="0"/>
        <w:keepLines w:val="0"/>
        <w:pageBreakBefore w:val="0"/>
        <w:widowControl w:val="0"/>
        <w:tabs>
          <w:tab w:val="left" w:pos="1245"/>
          <w:tab w:val="left" w:pos="1790"/>
          <w:tab w:val="left" w:pos="2630"/>
        </w:tabs>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水上及临水作业，操作人员必须穿戴好救生衣，不得穿带钉易滑的硬底鞋，每次工作前对所用的救生衣进行检查确保其安全有效，禁止单人独自作业，室外作业时，当风力较大，</w:t>
      </w:r>
      <w:r>
        <w:rPr>
          <w:rFonts w:hint="eastAsia" w:ascii="仿宋_GB2312" w:hAnsi="仿宋_GB2312" w:eastAsia="仿宋_GB2312" w:cs="仿宋_GB2312"/>
          <w:color w:val="auto"/>
          <w:sz w:val="32"/>
          <w:szCs w:val="32"/>
          <w:highlight w:val="none"/>
        </w:rPr>
        <w:t>影响作业安全</w:t>
      </w:r>
      <w:r>
        <w:rPr>
          <w:rFonts w:hint="eastAsia" w:ascii="仿宋_GB2312" w:hAnsi="仿宋_GB2312" w:eastAsia="仿宋_GB2312" w:cs="仿宋_GB2312"/>
          <w:b w:val="0"/>
          <w:bCs/>
          <w:color w:val="auto"/>
          <w:kern w:val="2"/>
          <w:sz w:val="32"/>
          <w:szCs w:val="32"/>
          <w:highlight w:val="none"/>
          <w:lang w:val="en-US" w:eastAsia="zh-CN" w:bidi="ar-SA"/>
        </w:rPr>
        <w:t>时，立即停止工作，人员在船上走动或操作时，船只要固定牢靠，船上配备救生圈等救生器具；</w:t>
      </w:r>
    </w:p>
    <w:p w14:paraId="7A73816E">
      <w:pPr>
        <w:pStyle w:val="275"/>
        <w:keepNext w:val="0"/>
        <w:keepLines w:val="0"/>
        <w:pageBreakBefore w:val="0"/>
        <w:widowControl w:val="0"/>
        <w:tabs>
          <w:tab w:val="left" w:pos="1245"/>
          <w:tab w:val="left" w:pos="1790"/>
          <w:tab w:val="left" w:pos="2630"/>
        </w:tabs>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高空作业时，禁止穿硬底和带钉易滑的鞋，患有心脏病、高血压、精神病、癫痫病者禁止从事高空操作，高空作业操作人员要系安全带，并且安全带要固定牢靠。</w:t>
      </w:r>
    </w:p>
    <w:p w14:paraId="23A8BADE">
      <w:pPr>
        <w:pStyle w:val="275"/>
        <w:keepNext w:val="0"/>
        <w:keepLines w:val="0"/>
        <w:pageBreakBefore w:val="0"/>
        <w:widowControl w:val="0"/>
        <w:tabs>
          <w:tab w:val="left" w:pos="1245"/>
          <w:tab w:val="left" w:pos="1790"/>
          <w:tab w:val="left" w:pos="2630"/>
        </w:tabs>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乙方在作业过程中，应加强人员管理，确保人员工作安全，防范安全生产事故，乙方在履行本合同过程中发生的任何工伤或意外事故等，均由乙方负责处理并承担全部费用；若因此给采购人或第三方造成损失，由乙方予以全额赔偿。</w:t>
      </w:r>
    </w:p>
    <w:p w14:paraId="794C963B">
      <w:pPr>
        <w:pStyle w:val="275"/>
        <w:keepNext w:val="0"/>
        <w:keepLines w:val="0"/>
        <w:pageBreakBefore w:val="0"/>
        <w:widowControl w:val="0"/>
        <w:tabs>
          <w:tab w:val="left" w:pos="1245"/>
          <w:tab w:val="left" w:pos="1790"/>
          <w:tab w:val="left" w:pos="2630"/>
        </w:tabs>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③质量控制要求，确保管理环境、设备干净整洁，联结件紧固、设备润滑良好，转动平顺，制动安全可靠，使用材料、油脂、辅材等均要有出厂合格证。</w:t>
      </w:r>
    </w:p>
    <w:p w14:paraId="37AEBF0A">
      <w:pPr>
        <w:pStyle w:val="275"/>
        <w:keepNext w:val="0"/>
        <w:keepLines w:val="0"/>
        <w:pageBreakBefore w:val="0"/>
        <w:widowControl w:val="0"/>
        <w:tabs>
          <w:tab w:val="left" w:pos="1245"/>
          <w:tab w:val="left" w:pos="1790"/>
          <w:tab w:val="left" w:pos="2630"/>
        </w:tabs>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④乙方应为所有作业人员购买</w:t>
      </w:r>
      <w:r>
        <w:rPr>
          <w:rFonts w:hint="eastAsia" w:ascii="仿宋_GB2312" w:hAnsi="仿宋_GB2312" w:eastAsia="仿宋_GB2312" w:cs="仿宋_GB2312"/>
          <w:color w:val="auto"/>
          <w:sz w:val="32"/>
          <w:szCs w:val="32"/>
          <w:highlight w:val="none"/>
          <w:u w:val="none"/>
          <w:lang w:val="en-US" w:eastAsia="zh-CN"/>
        </w:rPr>
        <w:t>雇主责任险或团体意外险或安全生产责任险。</w:t>
      </w:r>
    </w:p>
    <w:p w14:paraId="608585FA">
      <w:pPr>
        <w:keepNext w:val="0"/>
        <w:keepLines w:val="0"/>
        <w:pageBreakBefore w:val="0"/>
        <w:widowControl w:val="0"/>
        <w:kinsoku/>
        <w:wordWrap/>
        <w:overflowPunct/>
        <w:topLinePunct w:val="0"/>
        <w:autoSpaceDE/>
        <w:autoSpaceDN/>
        <w:bidi w:val="0"/>
        <w:spacing w:line="560" w:lineRule="exact"/>
        <w:ind w:firstLine="643" w:firstLineChars="200"/>
        <w:textAlignment w:val="auto"/>
        <w:outlineLvl w:val="1"/>
        <w:rPr>
          <w:rFonts w:hint="eastAsia" w:ascii="仿宋_GB2312" w:hAnsi="仿宋_GB2312" w:eastAsia="仿宋_GB2312" w:cs="仿宋_GB2312"/>
          <w:b/>
          <w:color w:val="auto"/>
          <w:sz w:val="32"/>
          <w:szCs w:val="32"/>
          <w:highlight w:val="none"/>
          <w:lang w:val="en-US" w:eastAsia="zh-CN"/>
        </w:rPr>
      </w:pPr>
      <w:bookmarkStart w:id="48" w:name="_Toc15743"/>
      <w:r>
        <w:rPr>
          <w:rFonts w:hint="eastAsia" w:ascii="仿宋_GB2312" w:hAnsi="仿宋_GB2312" w:eastAsia="仿宋_GB2312" w:cs="仿宋_GB2312"/>
          <w:b/>
          <w:color w:val="auto"/>
          <w:sz w:val="32"/>
          <w:szCs w:val="32"/>
          <w:highlight w:val="none"/>
          <w:lang w:val="en-US" w:eastAsia="zh-CN"/>
        </w:rPr>
        <w:t>2.日常监管及验收要求</w:t>
      </w:r>
      <w:bookmarkEnd w:id="48"/>
    </w:p>
    <w:p w14:paraId="627C4E4D">
      <w:pPr>
        <w:keepNext w:val="0"/>
        <w:keepLines w:val="0"/>
        <w:pageBreakBefore w:val="0"/>
        <w:widowControl w:val="0"/>
        <w:kinsoku/>
        <w:wordWrap/>
        <w:overflowPunct/>
        <w:topLinePunct w:val="0"/>
        <w:autoSpaceDE/>
        <w:autoSpaceDN/>
        <w:bidi w:val="0"/>
        <w:adjustRightInd/>
        <w:spacing w:line="560" w:lineRule="exact"/>
        <w:ind w:firstLine="643" w:firstLineChars="200"/>
        <w:jc w:val="left"/>
        <w:textAlignment w:val="auto"/>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lang w:val="en-US" w:eastAsia="zh-CN"/>
        </w:rPr>
        <w:t>（1）</w:t>
      </w:r>
      <w:r>
        <w:rPr>
          <w:rFonts w:hint="eastAsia" w:ascii="仿宋_GB2312" w:hAnsi="仿宋_GB2312" w:eastAsia="仿宋_GB2312" w:cs="仿宋_GB2312"/>
          <w:b/>
          <w:bCs w:val="0"/>
          <w:color w:val="auto"/>
          <w:sz w:val="32"/>
          <w:szCs w:val="32"/>
          <w:highlight w:val="none"/>
        </w:rPr>
        <w:t>日常监管</w:t>
      </w:r>
    </w:p>
    <w:p w14:paraId="61E435CF">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 w:val="0"/>
          <w:bCs/>
          <w:color w:val="auto"/>
          <w:kern w:val="2"/>
          <w:sz w:val="32"/>
          <w:szCs w:val="32"/>
          <w:highlight w:val="none"/>
          <w:lang w:val="en-US" w:eastAsia="zh-CN" w:bidi="ar-SA"/>
        </w:rPr>
        <w:t>各单位根据实际情况，通知成交人进场养护。</w:t>
      </w:r>
      <w:r>
        <w:rPr>
          <w:rFonts w:hint="eastAsia" w:ascii="仿宋_GB2312" w:hAnsi="仿宋_GB2312" w:eastAsia="仿宋_GB2312" w:cs="仿宋_GB2312"/>
          <w:bCs/>
          <w:color w:val="auto"/>
          <w:sz w:val="32"/>
          <w:szCs w:val="32"/>
          <w:highlight w:val="none"/>
          <w:lang w:val="en-US" w:eastAsia="zh-CN"/>
        </w:rPr>
        <w:t>各水闸管理人员</w:t>
      </w:r>
      <w:r>
        <w:rPr>
          <w:rFonts w:hint="eastAsia" w:ascii="仿宋_GB2312" w:hAnsi="仿宋_GB2312" w:eastAsia="仿宋_GB2312" w:cs="仿宋_GB2312"/>
          <w:bCs/>
          <w:color w:val="auto"/>
          <w:sz w:val="32"/>
          <w:szCs w:val="32"/>
          <w:highlight w:val="none"/>
        </w:rPr>
        <w:t>负责养护作业的现场管理工作，养护作业期间</w:t>
      </w:r>
      <w:r>
        <w:rPr>
          <w:rFonts w:hint="eastAsia" w:ascii="仿宋_GB2312" w:hAnsi="仿宋_GB2312" w:eastAsia="仿宋_GB2312" w:cs="仿宋_GB2312"/>
          <w:bCs/>
          <w:color w:val="auto"/>
          <w:sz w:val="32"/>
          <w:szCs w:val="32"/>
          <w:highlight w:val="none"/>
          <w:lang w:val="en-US" w:eastAsia="zh-CN"/>
        </w:rPr>
        <w:t>做好</w:t>
      </w:r>
      <w:r>
        <w:rPr>
          <w:rFonts w:hint="eastAsia" w:ascii="仿宋_GB2312" w:hAnsi="仿宋_GB2312" w:eastAsia="仿宋_GB2312" w:cs="仿宋_GB2312"/>
          <w:bCs/>
          <w:color w:val="auto"/>
          <w:sz w:val="32"/>
          <w:szCs w:val="32"/>
          <w:highlight w:val="none"/>
        </w:rPr>
        <w:t>水闸养护修理记录表填写，实时掌握养护作业情况，发现问题及时处理上报。</w:t>
      </w:r>
      <w:r>
        <w:rPr>
          <w:rFonts w:hint="eastAsia" w:ascii="仿宋_GB2312" w:hAnsi="仿宋_GB2312" w:eastAsia="仿宋_GB2312" w:cs="仿宋_GB2312"/>
          <w:bCs/>
          <w:color w:val="auto"/>
          <w:sz w:val="32"/>
          <w:szCs w:val="32"/>
          <w:highlight w:val="none"/>
          <w:lang w:val="en-US" w:eastAsia="zh-CN"/>
        </w:rPr>
        <w:t>各单位</w:t>
      </w:r>
      <w:r>
        <w:rPr>
          <w:rFonts w:hint="eastAsia" w:ascii="仿宋_GB2312" w:hAnsi="仿宋_GB2312" w:eastAsia="仿宋_GB2312" w:cs="仿宋_GB2312"/>
          <w:bCs/>
          <w:color w:val="auto"/>
          <w:sz w:val="32"/>
          <w:szCs w:val="32"/>
          <w:highlight w:val="none"/>
        </w:rPr>
        <w:t>负责养护作业的监督管理工作，监督指导</w:t>
      </w:r>
      <w:r>
        <w:rPr>
          <w:rFonts w:hint="eastAsia" w:ascii="仿宋_GB2312" w:hAnsi="仿宋_GB2312" w:eastAsia="仿宋_GB2312" w:cs="仿宋_GB2312"/>
          <w:bCs/>
          <w:color w:val="auto"/>
          <w:sz w:val="32"/>
          <w:szCs w:val="32"/>
          <w:highlight w:val="none"/>
          <w:lang w:val="en-US" w:eastAsia="zh-CN"/>
        </w:rPr>
        <w:t>建筑物</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 w:val="0"/>
          <w:bCs/>
          <w:color w:val="auto"/>
          <w:kern w:val="2"/>
          <w:sz w:val="32"/>
          <w:szCs w:val="32"/>
          <w:highlight w:val="none"/>
          <w:lang w:val="en-US" w:eastAsia="zh-CN" w:bidi="ar-SA"/>
        </w:rPr>
        <w:t>金属结构及机电设备的养护，养护完成后，整编归档养护作业相关资料，及时组织养护验收。</w:t>
      </w:r>
    </w:p>
    <w:p w14:paraId="560CBC09">
      <w:pPr>
        <w:keepNext w:val="0"/>
        <w:keepLines w:val="0"/>
        <w:pageBreakBefore w:val="0"/>
        <w:widowControl w:val="0"/>
        <w:kinsoku/>
        <w:wordWrap/>
        <w:overflowPunct/>
        <w:topLinePunct w:val="0"/>
        <w:autoSpaceDE/>
        <w:autoSpaceDN/>
        <w:bidi w:val="0"/>
        <w:spacing w:line="560" w:lineRule="exact"/>
        <w:ind w:firstLine="643" w:firstLineChars="200"/>
        <w:jc w:val="left"/>
        <w:textAlignment w:val="auto"/>
        <w:rPr>
          <w:rFonts w:hint="eastAsia" w:ascii="仿宋_GB2312" w:hAnsi="仿宋_GB2312" w:eastAsia="仿宋_GB2312" w:cs="仿宋_GB2312"/>
          <w:b/>
          <w:bCs w:val="0"/>
          <w:color w:val="auto"/>
          <w:sz w:val="32"/>
          <w:szCs w:val="32"/>
          <w:highlight w:val="none"/>
          <w:lang w:val="en-US"/>
        </w:rPr>
      </w:pPr>
      <w:r>
        <w:rPr>
          <w:rFonts w:hint="eastAsia" w:ascii="仿宋_GB2312" w:hAnsi="仿宋_GB2312" w:eastAsia="仿宋_GB2312" w:cs="仿宋_GB2312"/>
          <w:b/>
          <w:bCs w:val="0"/>
          <w:color w:val="auto"/>
          <w:sz w:val="32"/>
          <w:szCs w:val="32"/>
          <w:highlight w:val="none"/>
          <w:lang w:val="en-US" w:eastAsia="zh-CN"/>
        </w:rPr>
        <w:t>（2）验收要求</w:t>
      </w:r>
    </w:p>
    <w:p w14:paraId="47E67CAF">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 w:val="0"/>
          <w:bCs/>
          <w:color w:val="auto"/>
          <w:kern w:val="2"/>
          <w:sz w:val="32"/>
          <w:szCs w:val="32"/>
          <w:highlight w:val="none"/>
          <w:lang w:val="en-US" w:eastAsia="zh-CN" w:bidi="ar-SA"/>
        </w:rPr>
        <w:t>项目实施前，合同甲方应成立水闸保养保洁项目验收小组，由单位负责人任组长，工程、财务等为成员，负责水闸保养保洁项目的验收工作。其中成交人完成单次养护作业后向合同甲方提出验收申请，验收小组组织验收并按照《水闸日常养护标准》《水闸定期养护标准》进行验收赋分，验收得分为验收小组成员得分之和除以成员人数。</w:t>
      </w:r>
      <w:r>
        <w:rPr>
          <w:rFonts w:hint="eastAsia" w:ascii="仿宋_GB2312" w:hAnsi="仿宋_GB2312" w:eastAsia="仿宋_GB2312" w:cs="仿宋_GB2312"/>
          <w:color w:val="auto"/>
          <w:sz w:val="32"/>
          <w:szCs w:val="32"/>
          <w:highlight w:val="none"/>
          <w:lang w:val="en-US" w:eastAsia="zh-CN"/>
        </w:rPr>
        <w:t>验收</w:t>
      </w:r>
      <w:r>
        <w:rPr>
          <w:rFonts w:hint="eastAsia" w:ascii="仿宋_GB2312" w:hAnsi="仿宋_GB2312" w:eastAsia="仿宋_GB2312" w:cs="仿宋_GB2312"/>
          <w:color w:val="auto"/>
          <w:sz w:val="32"/>
          <w:szCs w:val="32"/>
          <w:highlight w:val="none"/>
        </w:rPr>
        <w:t>得分</w:t>
      </w:r>
      <w:r>
        <w:rPr>
          <w:rFonts w:hint="eastAsia" w:ascii="仿宋_GB2312" w:hAnsi="仿宋_GB2312" w:eastAsia="仿宋_GB2312" w:cs="仿宋_GB2312"/>
          <w:color w:val="auto"/>
          <w:sz w:val="32"/>
          <w:szCs w:val="32"/>
          <w:highlight w:val="none"/>
          <w:lang w:val="en-US" w:eastAsia="zh-CN"/>
        </w:rPr>
        <w:t>率</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val="0"/>
          <w:bCs/>
          <w:color w:val="auto"/>
          <w:kern w:val="2"/>
          <w:sz w:val="32"/>
          <w:szCs w:val="32"/>
          <w:highlight w:val="none"/>
          <w:lang w:val="en-US" w:eastAsia="zh-CN" w:bidi="ar-SA"/>
        </w:rPr>
        <w:t>验收得分/应得分）×100％，验收分为合格、不合格两个等级，验收</w:t>
      </w:r>
      <w:r>
        <w:rPr>
          <w:rFonts w:hint="eastAsia" w:ascii="仿宋_GB2312" w:hAnsi="仿宋_GB2312" w:eastAsia="仿宋_GB2312" w:cs="仿宋_GB2312"/>
          <w:bCs/>
          <w:color w:val="auto"/>
          <w:sz w:val="32"/>
          <w:szCs w:val="32"/>
          <w:highlight w:val="none"/>
          <w:lang w:val="en-US" w:eastAsia="zh-CN"/>
        </w:rPr>
        <w:t>得分率85%（含85%）以上合格，85%以下为不合格。验收不合格的，养护公司应及时整改，整改完成后申请合同甲方确认，</w:t>
      </w:r>
      <w:r>
        <w:rPr>
          <w:rFonts w:hint="eastAsia" w:ascii="仿宋_GB2312" w:hAnsi="仿宋_GB2312" w:eastAsia="仿宋_GB2312" w:cs="仿宋_GB2312"/>
          <w:b w:val="0"/>
          <w:bCs/>
          <w:color w:val="auto"/>
          <w:kern w:val="0"/>
          <w:sz w:val="32"/>
          <w:szCs w:val="32"/>
          <w:highlight w:val="none"/>
          <w:lang w:val="en-US" w:eastAsia="zh-CN" w:bidi="ar-SA"/>
        </w:rPr>
        <w:t>仍不合格本月不再验收，并扣除当月价款，一年出现2次验收不合格的，约</w:t>
      </w:r>
      <w:r>
        <w:rPr>
          <w:rFonts w:hint="eastAsia" w:ascii="仿宋_GB2312" w:hAnsi="仿宋_GB2312" w:eastAsia="仿宋_GB2312" w:cs="仿宋_GB2312"/>
          <w:bCs/>
          <w:color w:val="auto"/>
          <w:sz w:val="32"/>
          <w:szCs w:val="32"/>
          <w:highlight w:val="none"/>
        </w:rPr>
        <w:t>谈</w:t>
      </w:r>
      <w:r>
        <w:rPr>
          <w:rFonts w:hint="eastAsia" w:ascii="仿宋_GB2312" w:hAnsi="仿宋_GB2312" w:eastAsia="仿宋_GB2312" w:cs="仿宋_GB2312"/>
          <w:bCs/>
          <w:color w:val="auto"/>
          <w:sz w:val="32"/>
          <w:szCs w:val="32"/>
          <w:highlight w:val="none"/>
          <w:lang w:eastAsia="zh-CN"/>
        </w:rPr>
        <w:t>成交人</w:t>
      </w:r>
      <w:r>
        <w:rPr>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 w:val="0"/>
          <w:bCs/>
          <w:color w:val="auto"/>
          <w:kern w:val="2"/>
          <w:sz w:val="32"/>
          <w:szCs w:val="32"/>
          <w:highlight w:val="none"/>
          <w:lang w:val="en-US" w:eastAsia="zh-CN" w:bidi="ar-SA"/>
        </w:rPr>
        <w:t>取消</w:t>
      </w:r>
      <w:r>
        <w:rPr>
          <w:rFonts w:hint="eastAsia" w:ascii="仿宋_GB2312" w:hAnsi="仿宋_GB2312" w:eastAsia="仿宋_GB2312" w:cs="仿宋_GB2312"/>
          <w:bCs/>
          <w:color w:val="auto"/>
          <w:sz w:val="32"/>
          <w:szCs w:val="32"/>
          <w:highlight w:val="none"/>
        </w:rPr>
        <w:t>次年响应资格。</w:t>
      </w:r>
    </w:p>
    <w:p w14:paraId="69D8176F">
      <w:pPr>
        <w:keepNext w:val="0"/>
        <w:keepLines w:val="0"/>
        <w:pageBreakBefore w:val="0"/>
        <w:widowControl w:val="0"/>
        <w:kinsoku/>
        <w:wordWrap/>
        <w:overflowPunct/>
        <w:topLinePunct w:val="0"/>
        <w:autoSpaceDE/>
        <w:autoSpaceDN/>
        <w:bidi w:val="0"/>
        <w:spacing w:line="560" w:lineRule="exact"/>
        <w:ind w:firstLine="643" w:firstLineChars="200"/>
        <w:jc w:val="left"/>
        <w:textAlignment w:val="auto"/>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lang w:val="en-US" w:eastAsia="zh-CN"/>
        </w:rPr>
        <w:t>（3）</w:t>
      </w:r>
      <w:r>
        <w:rPr>
          <w:rFonts w:hint="eastAsia" w:ascii="仿宋_GB2312" w:hAnsi="仿宋_GB2312" w:eastAsia="仿宋_GB2312" w:cs="仿宋_GB2312"/>
          <w:b/>
          <w:bCs w:val="0"/>
          <w:color w:val="auto"/>
          <w:sz w:val="32"/>
          <w:szCs w:val="32"/>
          <w:highlight w:val="none"/>
        </w:rPr>
        <w:t>年度</w:t>
      </w:r>
      <w:r>
        <w:rPr>
          <w:rFonts w:hint="eastAsia" w:ascii="仿宋_GB2312" w:hAnsi="仿宋_GB2312" w:eastAsia="仿宋_GB2312" w:cs="仿宋_GB2312"/>
          <w:b/>
          <w:bCs w:val="0"/>
          <w:color w:val="auto"/>
          <w:sz w:val="32"/>
          <w:szCs w:val="32"/>
          <w:highlight w:val="none"/>
          <w:lang w:val="en-US" w:eastAsia="zh-CN"/>
        </w:rPr>
        <w:t>单位工程</w:t>
      </w:r>
      <w:r>
        <w:rPr>
          <w:rFonts w:hint="eastAsia" w:ascii="仿宋_GB2312" w:hAnsi="仿宋_GB2312" w:eastAsia="仿宋_GB2312" w:cs="仿宋_GB2312"/>
          <w:b/>
          <w:bCs w:val="0"/>
          <w:color w:val="auto"/>
          <w:sz w:val="32"/>
          <w:szCs w:val="32"/>
          <w:highlight w:val="none"/>
        </w:rPr>
        <w:t>验收要求</w:t>
      </w:r>
    </w:p>
    <w:p w14:paraId="72EACDBA">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年度养护作业完成后，</w:t>
      </w:r>
      <w:r>
        <w:rPr>
          <w:rFonts w:hint="eastAsia" w:ascii="仿宋_GB2312" w:hAnsi="仿宋_GB2312" w:eastAsia="仿宋_GB2312" w:cs="仿宋_GB2312"/>
          <w:bCs/>
          <w:color w:val="auto"/>
          <w:sz w:val="32"/>
          <w:szCs w:val="32"/>
          <w:highlight w:val="none"/>
          <w:lang w:val="en-US" w:eastAsia="zh-CN"/>
        </w:rPr>
        <w:t>合同甲方</w:t>
      </w:r>
      <w:r>
        <w:rPr>
          <w:rFonts w:hint="eastAsia" w:ascii="仿宋_GB2312" w:hAnsi="仿宋_GB2312" w:eastAsia="仿宋_GB2312" w:cs="仿宋_GB2312"/>
          <w:bCs/>
          <w:color w:val="auto"/>
          <w:sz w:val="32"/>
          <w:szCs w:val="32"/>
          <w:highlight w:val="none"/>
        </w:rPr>
        <w:t>及时组织年度</w:t>
      </w:r>
      <w:r>
        <w:rPr>
          <w:rFonts w:hint="eastAsia" w:ascii="仿宋_GB2312" w:hAnsi="仿宋_GB2312" w:eastAsia="仿宋_GB2312" w:cs="仿宋_GB2312"/>
          <w:bCs/>
          <w:color w:val="auto"/>
          <w:sz w:val="32"/>
          <w:szCs w:val="32"/>
          <w:highlight w:val="none"/>
          <w:lang w:val="en-US" w:eastAsia="zh-CN"/>
        </w:rPr>
        <w:t>单位工程</w:t>
      </w:r>
      <w:r>
        <w:rPr>
          <w:rFonts w:hint="eastAsia" w:ascii="仿宋_GB2312" w:hAnsi="仿宋_GB2312" w:eastAsia="仿宋_GB2312" w:cs="仿宋_GB2312"/>
          <w:bCs/>
          <w:color w:val="auto"/>
          <w:sz w:val="32"/>
          <w:szCs w:val="32"/>
          <w:highlight w:val="none"/>
        </w:rPr>
        <w:t>验收。</w:t>
      </w:r>
      <w:bookmarkStart w:id="49" w:name="_Toc24303"/>
    </w:p>
    <w:bookmarkEnd w:id="49"/>
    <w:p w14:paraId="018F90C0">
      <w:pPr>
        <w:rPr>
          <w:rFonts w:hint="eastAsia" w:ascii="微软雅黑" w:hAnsi="微软雅黑" w:eastAsia="微软雅黑" w:cs="微软雅黑"/>
          <w:b w:val="0"/>
          <w:bCs/>
          <w:color w:val="auto"/>
          <w:kern w:val="2"/>
          <w:sz w:val="36"/>
          <w:szCs w:val="36"/>
          <w:highlight w:val="none"/>
          <w:lang w:val="en-US" w:eastAsia="zh-CN" w:bidi="ar-SA"/>
        </w:rPr>
      </w:pPr>
      <w:r>
        <w:rPr>
          <w:rFonts w:hint="eastAsia" w:ascii="微软雅黑" w:hAnsi="微软雅黑" w:eastAsia="微软雅黑" w:cs="微软雅黑"/>
          <w:b w:val="0"/>
          <w:bCs/>
          <w:color w:val="auto"/>
          <w:kern w:val="2"/>
          <w:sz w:val="36"/>
          <w:szCs w:val="36"/>
          <w:highlight w:val="none"/>
          <w:lang w:val="en-US" w:eastAsia="zh-CN" w:bidi="ar-SA"/>
        </w:rPr>
        <w:br w:type="page"/>
      </w:r>
    </w:p>
    <w:p w14:paraId="77679D72">
      <w:pPr>
        <w:spacing w:line="360" w:lineRule="auto"/>
        <w:ind w:firstLine="643" w:firstLineChars="200"/>
        <w:outlineLvl w:val="1"/>
        <w:rPr>
          <w:rFonts w:hint="default" w:ascii="黑体" w:hAnsi="黑体" w:eastAsia="黑体" w:cs="黑体"/>
          <w:b/>
          <w:bCs/>
          <w:color w:val="auto"/>
          <w:kern w:val="2"/>
          <w:sz w:val="32"/>
          <w:szCs w:val="32"/>
          <w:highlight w:val="none"/>
          <w:lang w:val="en-US" w:eastAsia="zh-CN" w:bidi="ar-SA"/>
        </w:rPr>
      </w:pPr>
      <w:bookmarkStart w:id="50" w:name="_Toc20854"/>
      <w:r>
        <w:rPr>
          <w:rFonts w:hint="eastAsia" w:ascii="仿宋_GB2312" w:hAnsi="仿宋_GB2312" w:eastAsia="仿宋_GB2312" w:cs="仿宋_GB2312"/>
          <w:b/>
          <w:color w:val="auto"/>
          <w:sz w:val="32"/>
          <w:szCs w:val="32"/>
          <w:highlight w:val="none"/>
          <w:lang w:val="en-US" w:eastAsia="zh-CN"/>
        </w:rPr>
        <w:t>3.验收标准</w:t>
      </w:r>
      <w:bookmarkEnd w:id="50"/>
    </w:p>
    <w:p w14:paraId="7B07ED06">
      <w:pPr>
        <w:jc w:val="center"/>
        <w:rPr>
          <w:rFonts w:hint="eastAsia" w:ascii="方正小标宋简体" w:hAnsi="方正小标宋简体" w:eastAsia="方正小标宋简体" w:cs="方正小标宋简体"/>
          <w:b w:val="0"/>
          <w:bCs/>
          <w:color w:val="auto"/>
          <w:kern w:val="2"/>
          <w:sz w:val="36"/>
          <w:szCs w:val="36"/>
          <w:highlight w:val="none"/>
          <w:lang w:val="en-US" w:eastAsia="zh-CN" w:bidi="ar-SA"/>
        </w:rPr>
      </w:pPr>
      <w:r>
        <w:rPr>
          <w:rFonts w:hint="eastAsia" w:ascii="方正小标宋简体" w:hAnsi="方正小标宋简体" w:eastAsia="方正小标宋简体" w:cs="方正小标宋简体"/>
          <w:b w:val="0"/>
          <w:bCs/>
          <w:color w:val="auto"/>
          <w:kern w:val="2"/>
          <w:sz w:val="36"/>
          <w:szCs w:val="36"/>
          <w:highlight w:val="none"/>
          <w:lang w:val="en-US" w:eastAsia="zh-CN" w:bidi="ar-SA"/>
        </w:rPr>
        <w:t>水闸日常养护验收标准</w:t>
      </w:r>
    </w:p>
    <w:tbl>
      <w:tblPr>
        <w:tblStyle w:val="56"/>
        <w:tblW w:w="9565" w:type="dxa"/>
        <w:jc w:val="center"/>
        <w:tblLayout w:type="fixed"/>
        <w:tblCellMar>
          <w:top w:w="0" w:type="dxa"/>
          <w:left w:w="108" w:type="dxa"/>
          <w:bottom w:w="0" w:type="dxa"/>
          <w:right w:w="108" w:type="dxa"/>
        </w:tblCellMar>
      </w:tblPr>
      <w:tblGrid>
        <w:gridCol w:w="704"/>
        <w:gridCol w:w="1300"/>
        <w:gridCol w:w="3822"/>
        <w:gridCol w:w="970"/>
        <w:gridCol w:w="1810"/>
        <w:gridCol w:w="959"/>
      </w:tblGrid>
      <w:tr w14:paraId="663F989F">
        <w:tblPrEx>
          <w:tblCellMar>
            <w:top w:w="0" w:type="dxa"/>
            <w:left w:w="108" w:type="dxa"/>
            <w:bottom w:w="0" w:type="dxa"/>
            <w:right w:w="108" w:type="dxa"/>
          </w:tblCellMar>
        </w:tblPrEx>
        <w:trPr>
          <w:trHeight w:val="479"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938AD4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序号</w:t>
            </w:r>
          </w:p>
        </w:tc>
        <w:tc>
          <w:tcPr>
            <w:tcW w:w="1300" w:type="dxa"/>
            <w:tcBorders>
              <w:top w:val="single" w:color="auto" w:sz="4" w:space="0"/>
              <w:left w:val="nil"/>
              <w:bottom w:val="single" w:color="auto" w:sz="4" w:space="0"/>
              <w:right w:val="single" w:color="auto" w:sz="4" w:space="0"/>
            </w:tcBorders>
            <w:noWrap/>
            <w:vAlign w:val="center"/>
          </w:tcPr>
          <w:p w14:paraId="7473E19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类别</w:t>
            </w:r>
          </w:p>
        </w:tc>
        <w:tc>
          <w:tcPr>
            <w:tcW w:w="3822" w:type="dxa"/>
            <w:tcBorders>
              <w:top w:val="single" w:color="auto" w:sz="4" w:space="0"/>
              <w:left w:val="single" w:color="auto" w:sz="4" w:space="0"/>
              <w:bottom w:val="single" w:color="auto" w:sz="4" w:space="0"/>
              <w:right w:val="single" w:color="auto" w:sz="4" w:space="0"/>
            </w:tcBorders>
            <w:noWrap/>
            <w:vAlign w:val="center"/>
          </w:tcPr>
          <w:p w14:paraId="27057BF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eastAsia="zh-CN" w:bidi="ar"/>
              </w:rPr>
              <w:t>验收</w:t>
            </w:r>
            <w:r>
              <w:rPr>
                <w:rFonts w:hint="eastAsia" w:ascii="仿宋_GB2312" w:hAnsi="仿宋_GB2312" w:eastAsia="仿宋_GB2312" w:cs="仿宋_GB2312"/>
                <w:bCs/>
                <w:color w:val="auto"/>
                <w:kern w:val="0"/>
                <w:sz w:val="21"/>
                <w:szCs w:val="21"/>
                <w:highlight w:val="none"/>
                <w:lang w:bidi="ar"/>
              </w:rPr>
              <w:t>内容及标准</w:t>
            </w:r>
          </w:p>
        </w:tc>
        <w:tc>
          <w:tcPr>
            <w:tcW w:w="970" w:type="dxa"/>
            <w:tcBorders>
              <w:top w:val="single" w:color="auto" w:sz="4" w:space="0"/>
              <w:left w:val="nil"/>
              <w:bottom w:val="single" w:color="auto" w:sz="4" w:space="0"/>
              <w:right w:val="single" w:color="auto" w:sz="4" w:space="0"/>
            </w:tcBorders>
            <w:noWrap/>
            <w:vAlign w:val="center"/>
          </w:tcPr>
          <w:p w14:paraId="096133D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标准分</w:t>
            </w:r>
          </w:p>
        </w:tc>
        <w:tc>
          <w:tcPr>
            <w:tcW w:w="1810" w:type="dxa"/>
            <w:tcBorders>
              <w:top w:val="single" w:color="auto" w:sz="4" w:space="0"/>
              <w:left w:val="nil"/>
              <w:bottom w:val="single" w:color="auto" w:sz="4" w:space="0"/>
              <w:right w:val="single" w:color="auto" w:sz="4" w:space="0"/>
            </w:tcBorders>
            <w:noWrap/>
            <w:vAlign w:val="center"/>
          </w:tcPr>
          <w:p w14:paraId="427FE80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bidi="ar"/>
              </w:rPr>
              <w:t>赋分依据</w:t>
            </w:r>
          </w:p>
        </w:tc>
        <w:tc>
          <w:tcPr>
            <w:tcW w:w="959" w:type="dxa"/>
            <w:tcBorders>
              <w:top w:val="single" w:color="auto" w:sz="4" w:space="0"/>
              <w:left w:val="nil"/>
              <w:bottom w:val="single" w:color="auto" w:sz="4" w:space="0"/>
              <w:right w:val="single" w:color="auto" w:sz="4" w:space="0"/>
            </w:tcBorders>
            <w:noWrap/>
            <w:vAlign w:val="center"/>
          </w:tcPr>
          <w:p w14:paraId="2368DD3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赋分</w:t>
            </w:r>
          </w:p>
        </w:tc>
      </w:tr>
      <w:tr w14:paraId="35DFBB0B">
        <w:tblPrEx>
          <w:tblCellMar>
            <w:top w:w="0" w:type="dxa"/>
            <w:left w:w="108" w:type="dxa"/>
            <w:bottom w:w="0" w:type="dxa"/>
            <w:right w:w="108" w:type="dxa"/>
          </w:tblCellMar>
        </w:tblPrEx>
        <w:trPr>
          <w:trHeight w:val="2615" w:hRule="atLeast"/>
          <w:jc w:val="center"/>
        </w:trPr>
        <w:tc>
          <w:tcPr>
            <w:tcW w:w="704" w:type="dxa"/>
            <w:tcBorders>
              <w:top w:val="nil"/>
              <w:left w:val="single" w:color="auto" w:sz="4" w:space="0"/>
              <w:bottom w:val="single" w:color="auto" w:sz="4" w:space="0"/>
              <w:right w:val="single" w:color="auto" w:sz="4" w:space="0"/>
            </w:tcBorders>
            <w:noWrap/>
            <w:vAlign w:val="center"/>
          </w:tcPr>
          <w:p w14:paraId="4EE3B95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一</w:t>
            </w:r>
          </w:p>
        </w:tc>
        <w:tc>
          <w:tcPr>
            <w:tcW w:w="1300" w:type="dxa"/>
            <w:tcBorders>
              <w:top w:val="single" w:color="auto" w:sz="4" w:space="0"/>
              <w:left w:val="nil"/>
              <w:bottom w:val="single" w:color="auto" w:sz="4" w:space="0"/>
              <w:right w:val="single" w:color="auto" w:sz="4" w:space="0"/>
            </w:tcBorders>
            <w:noWrap/>
            <w:vAlign w:val="center"/>
          </w:tcPr>
          <w:p w14:paraId="69C1185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工程设施保洁</w:t>
            </w:r>
          </w:p>
        </w:tc>
        <w:tc>
          <w:tcPr>
            <w:tcW w:w="3822" w:type="dxa"/>
            <w:tcBorders>
              <w:top w:val="nil"/>
              <w:left w:val="single" w:color="auto" w:sz="4" w:space="0"/>
              <w:bottom w:val="single" w:color="auto" w:sz="4" w:space="0"/>
              <w:right w:val="single" w:color="auto" w:sz="4" w:space="0"/>
            </w:tcBorders>
            <w:noWrap/>
            <w:vAlign w:val="center"/>
          </w:tcPr>
          <w:p w14:paraId="56D8D6F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1.启闭机房、桥头堡、中控室、高低压配电房（含附属物窗户、楼梯、洗漱池等）整洁有序，无蜘蛛网、油污、灰尘等；</w:t>
            </w:r>
          </w:p>
          <w:p w14:paraId="47557CF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2.室内外摄像头、明示的管理制度、技术图表及各种铭牌、宣传牌、警示牌无灰尘、污垢等；</w:t>
            </w:r>
          </w:p>
          <w:p w14:paraId="26EA753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3.交通桥、检修便桥、桥墩、排架柱、护栏、防护网无附着物、灰尘、污垢、杂草、杂条等。</w:t>
            </w:r>
          </w:p>
        </w:tc>
        <w:tc>
          <w:tcPr>
            <w:tcW w:w="970" w:type="dxa"/>
            <w:tcBorders>
              <w:top w:val="nil"/>
              <w:left w:val="nil"/>
              <w:bottom w:val="single" w:color="auto" w:sz="4" w:space="0"/>
              <w:right w:val="single" w:color="auto" w:sz="4" w:space="0"/>
            </w:tcBorders>
            <w:noWrap/>
            <w:vAlign w:val="center"/>
          </w:tcPr>
          <w:p w14:paraId="623F1CC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30</w:t>
            </w:r>
          </w:p>
        </w:tc>
        <w:tc>
          <w:tcPr>
            <w:tcW w:w="1810" w:type="dxa"/>
            <w:tcBorders>
              <w:top w:val="nil"/>
              <w:left w:val="nil"/>
              <w:bottom w:val="single" w:color="auto" w:sz="4" w:space="0"/>
              <w:right w:val="single" w:color="auto" w:sz="4" w:space="0"/>
            </w:tcBorders>
            <w:noWrap/>
            <w:vAlign w:val="center"/>
          </w:tcPr>
          <w:p w14:paraId="550CF85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bidi="ar"/>
              </w:rPr>
              <w:t>如不符合要求：每发现一处扣</w:t>
            </w:r>
            <w:r>
              <w:rPr>
                <w:rFonts w:hint="eastAsia" w:ascii="仿宋_GB2312" w:hAnsi="仿宋_GB2312" w:eastAsia="仿宋_GB2312" w:cs="仿宋_GB2312"/>
                <w:bCs/>
                <w:color w:val="auto"/>
                <w:kern w:val="0"/>
                <w:sz w:val="21"/>
                <w:szCs w:val="21"/>
                <w:highlight w:val="none"/>
                <w:lang w:val="en-US" w:eastAsia="zh-CN" w:bidi="ar"/>
              </w:rPr>
              <w:t>2</w:t>
            </w:r>
            <w:r>
              <w:rPr>
                <w:rFonts w:hint="eastAsia" w:ascii="仿宋_GB2312" w:hAnsi="仿宋_GB2312" w:eastAsia="仿宋_GB2312" w:cs="仿宋_GB2312"/>
                <w:bCs/>
                <w:color w:val="auto"/>
                <w:kern w:val="0"/>
                <w:sz w:val="21"/>
                <w:szCs w:val="21"/>
                <w:highlight w:val="none"/>
                <w:lang w:bidi="ar"/>
              </w:rPr>
              <w:t>分。（</w:t>
            </w:r>
            <w:r>
              <w:rPr>
                <w:rFonts w:hint="eastAsia" w:ascii="仿宋_GB2312" w:hAnsi="仿宋_GB2312" w:eastAsia="仿宋_GB2312" w:cs="仿宋_GB2312"/>
                <w:bCs/>
                <w:color w:val="auto"/>
                <w:kern w:val="0"/>
                <w:sz w:val="21"/>
                <w:szCs w:val="21"/>
                <w:highlight w:val="none"/>
                <w:lang w:val="en-US" w:eastAsia="zh-CN" w:bidi="ar"/>
              </w:rPr>
              <w:t>30</w:t>
            </w:r>
            <w:r>
              <w:rPr>
                <w:rFonts w:hint="eastAsia" w:ascii="仿宋_GB2312" w:hAnsi="仿宋_GB2312" w:eastAsia="仿宋_GB2312" w:cs="仿宋_GB2312"/>
                <w:bCs/>
                <w:color w:val="auto"/>
                <w:kern w:val="0"/>
                <w:sz w:val="21"/>
                <w:szCs w:val="21"/>
                <w:highlight w:val="none"/>
                <w:lang w:bidi="ar"/>
              </w:rPr>
              <w:t>分）</w:t>
            </w:r>
          </w:p>
        </w:tc>
        <w:tc>
          <w:tcPr>
            <w:tcW w:w="959" w:type="dxa"/>
            <w:tcBorders>
              <w:top w:val="nil"/>
              <w:left w:val="nil"/>
              <w:bottom w:val="single" w:color="auto" w:sz="4" w:space="0"/>
              <w:right w:val="single" w:color="auto" w:sz="4" w:space="0"/>
            </w:tcBorders>
            <w:noWrap/>
            <w:vAlign w:val="center"/>
          </w:tcPr>
          <w:p w14:paraId="4A287E7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tc>
      </w:tr>
      <w:tr w14:paraId="6BD140A4">
        <w:tblPrEx>
          <w:tblCellMar>
            <w:top w:w="0" w:type="dxa"/>
            <w:left w:w="108" w:type="dxa"/>
            <w:bottom w:w="0" w:type="dxa"/>
            <w:right w:w="108" w:type="dxa"/>
          </w:tblCellMar>
        </w:tblPrEx>
        <w:trPr>
          <w:trHeight w:val="170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57FC9FF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二</w:t>
            </w:r>
          </w:p>
        </w:tc>
        <w:tc>
          <w:tcPr>
            <w:tcW w:w="1300" w:type="dxa"/>
            <w:tcBorders>
              <w:top w:val="single" w:color="auto" w:sz="4" w:space="0"/>
              <w:left w:val="nil"/>
              <w:bottom w:val="single" w:color="auto" w:sz="4" w:space="0"/>
              <w:right w:val="single" w:color="auto" w:sz="4" w:space="0"/>
            </w:tcBorders>
            <w:noWrap/>
            <w:vAlign w:val="center"/>
          </w:tcPr>
          <w:p w14:paraId="52C7FB3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金属结构、电气设备养护</w:t>
            </w:r>
          </w:p>
        </w:tc>
        <w:tc>
          <w:tcPr>
            <w:tcW w:w="3822" w:type="dxa"/>
            <w:tcBorders>
              <w:top w:val="single" w:color="auto" w:sz="4" w:space="0"/>
              <w:left w:val="single" w:color="auto" w:sz="4" w:space="0"/>
              <w:bottom w:val="single" w:color="auto" w:sz="4" w:space="0"/>
              <w:right w:val="single" w:color="auto" w:sz="4" w:space="0"/>
            </w:tcBorders>
            <w:noWrap/>
            <w:vAlign w:val="center"/>
          </w:tcPr>
          <w:p w14:paraId="6D3F27E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1.保持启闭机机座、机体表面、钢丝绳、滚筒、齿轮副、防护罩、制动器、传动轴、联轴器、变速箱（减速箱）、不锈钢封孔及接油盘无蜘蛛网、灰尘、油污、杂物等；</w:t>
            </w:r>
          </w:p>
          <w:p w14:paraId="2FDD7A0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2.闸门表面及吊耳无附着的水生物、泥沙、油垢、杂物，清洗干净，闸门的联结件保持牢固；</w:t>
            </w:r>
          </w:p>
          <w:p w14:paraId="1EE845E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3.常态化保持高低压配电柜、柴油发电机、控制柜、电动机表面干净、整洁，养护过程中不可造成线缆破损、接线松动等。</w:t>
            </w:r>
          </w:p>
          <w:p w14:paraId="1EADABE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val="en-US" w:eastAsia="zh-CN" w:bidi="ar"/>
              </w:rPr>
              <w:t>4.启闭机房内钢丝绳用蘸有柴油的棉纱擦洗干净，重新涂抹钙基脂黄油（专用钢丝绳润滑油脂）形成保护层，涂抹均匀，无干涸、结块、流挂。</w:t>
            </w:r>
          </w:p>
        </w:tc>
        <w:tc>
          <w:tcPr>
            <w:tcW w:w="970" w:type="dxa"/>
            <w:tcBorders>
              <w:top w:val="single" w:color="auto" w:sz="4" w:space="0"/>
              <w:left w:val="nil"/>
              <w:bottom w:val="single" w:color="auto" w:sz="4" w:space="0"/>
              <w:right w:val="single" w:color="auto" w:sz="4" w:space="0"/>
            </w:tcBorders>
            <w:noWrap/>
            <w:vAlign w:val="center"/>
          </w:tcPr>
          <w:p w14:paraId="512D5BC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30</w:t>
            </w:r>
          </w:p>
        </w:tc>
        <w:tc>
          <w:tcPr>
            <w:tcW w:w="1810" w:type="dxa"/>
            <w:tcBorders>
              <w:top w:val="single" w:color="auto" w:sz="4" w:space="0"/>
              <w:left w:val="nil"/>
              <w:bottom w:val="single" w:color="auto" w:sz="4" w:space="0"/>
              <w:right w:val="single" w:color="auto" w:sz="4" w:space="0"/>
            </w:tcBorders>
            <w:noWrap/>
            <w:vAlign w:val="center"/>
          </w:tcPr>
          <w:p w14:paraId="15C4691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如不符合要求：每发现一处扣</w:t>
            </w:r>
            <w:r>
              <w:rPr>
                <w:rFonts w:hint="eastAsia" w:ascii="仿宋_GB2312" w:hAnsi="仿宋_GB2312" w:eastAsia="仿宋_GB2312" w:cs="仿宋_GB2312"/>
                <w:bCs/>
                <w:color w:val="auto"/>
                <w:kern w:val="0"/>
                <w:sz w:val="21"/>
                <w:szCs w:val="21"/>
                <w:highlight w:val="none"/>
                <w:lang w:val="en-US" w:eastAsia="zh-CN" w:bidi="ar"/>
              </w:rPr>
              <w:t>2</w:t>
            </w:r>
            <w:r>
              <w:rPr>
                <w:rFonts w:hint="eastAsia" w:ascii="仿宋_GB2312" w:hAnsi="仿宋_GB2312" w:eastAsia="仿宋_GB2312" w:cs="仿宋_GB2312"/>
                <w:bCs/>
                <w:color w:val="auto"/>
                <w:kern w:val="0"/>
                <w:sz w:val="21"/>
                <w:szCs w:val="21"/>
                <w:highlight w:val="none"/>
                <w:lang w:bidi="ar"/>
              </w:rPr>
              <w:t>分。（</w:t>
            </w:r>
            <w:r>
              <w:rPr>
                <w:rFonts w:hint="eastAsia" w:ascii="仿宋_GB2312" w:hAnsi="仿宋_GB2312" w:eastAsia="仿宋_GB2312" w:cs="仿宋_GB2312"/>
                <w:bCs/>
                <w:color w:val="auto"/>
                <w:kern w:val="0"/>
                <w:sz w:val="21"/>
                <w:szCs w:val="21"/>
                <w:highlight w:val="none"/>
                <w:lang w:val="en-US" w:eastAsia="zh-CN" w:bidi="ar"/>
              </w:rPr>
              <w:t>30</w:t>
            </w:r>
            <w:r>
              <w:rPr>
                <w:rFonts w:hint="eastAsia" w:ascii="仿宋_GB2312" w:hAnsi="仿宋_GB2312" w:eastAsia="仿宋_GB2312" w:cs="仿宋_GB2312"/>
                <w:bCs/>
                <w:color w:val="auto"/>
                <w:kern w:val="0"/>
                <w:sz w:val="21"/>
                <w:szCs w:val="21"/>
                <w:highlight w:val="none"/>
                <w:lang w:bidi="ar"/>
              </w:rPr>
              <w:t>分）</w:t>
            </w:r>
          </w:p>
        </w:tc>
        <w:tc>
          <w:tcPr>
            <w:tcW w:w="959" w:type="dxa"/>
            <w:tcBorders>
              <w:top w:val="single" w:color="auto" w:sz="4" w:space="0"/>
              <w:left w:val="nil"/>
              <w:bottom w:val="single" w:color="auto" w:sz="4" w:space="0"/>
              <w:right w:val="single" w:color="auto" w:sz="4" w:space="0"/>
            </w:tcBorders>
            <w:noWrap/>
            <w:vAlign w:val="center"/>
          </w:tcPr>
          <w:p w14:paraId="00D4660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tc>
      </w:tr>
      <w:tr w14:paraId="3D23C6B7">
        <w:tblPrEx>
          <w:tblCellMar>
            <w:top w:w="0" w:type="dxa"/>
            <w:left w:w="108" w:type="dxa"/>
            <w:bottom w:w="0" w:type="dxa"/>
            <w:right w:w="108" w:type="dxa"/>
          </w:tblCellMar>
        </w:tblPrEx>
        <w:trPr>
          <w:trHeight w:val="973"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6A5390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三</w:t>
            </w:r>
          </w:p>
        </w:tc>
        <w:tc>
          <w:tcPr>
            <w:tcW w:w="1300" w:type="dxa"/>
            <w:tcBorders>
              <w:top w:val="single" w:color="auto" w:sz="4" w:space="0"/>
              <w:left w:val="nil"/>
              <w:bottom w:val="single" w:color="auto" w:sz="4" w:space="0"/>
              <w:right w:val="single" w:color="auto" w:sz="4" w:space="0"/>
            </w:tcBorders>
            <w:noWrap/>
            <w:vAlign w:val="center"/>
          </w:tcPr>
          <w:p w14:paraId="3C733207">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临时性保养保洁</w:t>
            </w:r>
          </w:p>
        </w:tc>
        <w:tc>
          <w:tcPr>
            <w:tcW w:w="3822" w:type="dxa"/>
            <w:tcBorders>
              <w:top w:val="single" w:color="auto" w:sz="4" w:space="0"/>
              <w:left w:val="single" w:color="auto" w:sz="4" w:space="0"/>
              <w:bottom w:val="single" w:color="auto" w:sz="4" w:space="0"/>
              <w:right w:val="single" w:color="auto" w:sz="4" w:space="0"/>
            </w:tcBorders>
            <w:noWrap/>
            <w:vAlign w:val="center"/>
          </w:tcPr>
          <w:p w14:paraId="316889E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根据要求配合做好对相关区域、部位进行保养保洁。</w:t>
            </w:r>
          </w:p>
        </w:tc>
        <w:tc>
          <w:tcPr>
            <w:tcW w:w="970" w:type="dxa"/>
            <w:tcBorders>
              <w:top w:val="single" w:color="auto" w:sz="4" w:space="0"/>
              <w:left w:val="nil"/>
              <w:bottom w:val="single" w:color="auto" w:sz="4" w:space="0"/>
              <w:right w:val="single" w:color="auto" w:sz="4" w:space="0"/>
            </w:tcBorders>
            <w:noWrap/>
            <w:vAlign w:val="center"/>
          </w:tcPr>
          <w:p w14:paraId="5A47858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bidi="ar"/>
              </w:rPr>
              <w:t>10</w:t>
            </w:r>
          </w:p>
        </w:tc>
        <w:tc>
          <w:tcPr>
            <w:tcW w:w="1810" w:type="dxa"/>
            <w:tcBorders>
              <w:top w:val="single" w:color="auto" w:sz="4" w:space="0"/>
              <w:left w:val="nil"/>
              <w:bottom w:val="single" w:color="auto" w:sz="4" w:space="0"/>
              <w:right w:val="single" w:color="auto" w:sz="4" w:space="0"/>
            </w:tcBorders>
            <w:noWrap/>
            <w:vAlign w:val="center"/>
          </w:tcPr>
          <w:p w14:paraId="7472343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val="en-US" w:eastAsia="zh-CN" w:bidi="ar"/>
              </w:rPr>
              <w:t>按要求配合，</w:t>
            </w:r>
            <w:r>
              <w:rPr>
                <w:rFonts w:hint="eastAsia" w:ascii="仿宋_GB2312" w:hAnsi="仿宋_GB2312" w:eastAsia="仿宋_GB2312" w:cs="仿宋_GB2312"/>
                <w:bCs/>
                <w:color w:val="auto"/>
                <w:kern w:val="0"/>
                <w:sz w:val="21"/>
                <w:szCs w:val="21"/>
                <w:highlight w:val="none"/>
                <w:lang w:bidi="ar"/>
              </w:rPr>
              <w:t>如不</w:t>
            </w:r>
            <w:r>
              <w:rPr>
                <w:rFonts w:hint="eastAsia" w:ascii="仿宋_GB2312" w:hAnsi="仿宋_GB2312" w:eastAsia="仿宋_GB2312" w:cs="仿宋_GB2312"/>
                <w:bCs/>
                <w:color w:val="auto"/>
                <w:kern w:val="0"/>
                <w:sz w:val="21"/>
                <w:szCs w:val="21"/>
                <w:highlight w:val="none"/>
                <w:lang w:val="en-US" w:eastAsia="zh-CN" w:bidi="ar"/>
              </w:rPr>
              <w:t>及时配合，</w:t>
            </w:r>
            <w:r>
              <w:rPr>
                <w:rFonts w:hint="eastAsia" w:ascii="仿宋_GB2312" w:hAnsi="仿宋_GB2312" w:eastAsia="仿宋_GB2312" w:cs="仿宋_GB2312"/>
                <w:bCs/>
                <w:color w:val="auto"/>
                <w:kern w:val="0"/>
                <w:sz w:val="21"/>
                <w:szCs w:val="21"/>
                <w:highlight w:val="none"/>
                <w:lang w:bidi="ar"/>
              </w:rPr>
              <w:t>每发现一</w:t>
            </w:r>
            <w:r>
              <w:rPr>
                <w:rFonts w:hint="eastAsia" w:ascii="仿宋_GB2312" w:hAnsi="仿宋_GB2312" w:eastAsia="仿宋_GB2312" w:cs="仿宋_GB2312"/>
                <w:bCs/>
                <w:color w:val="auto"/>
                <w:kern w:val="0"/>
                <w:sz w:val="21"/>
                <w:szCs w:val="21"/>
                <w:highlight w:val="none"/>
                <w:lang w:val="en-US" w:eastAsia="zh-CN" w:bidi="ar"/>
              </w:rPr>
              <w:t>次</w:t>
            </w:r>
            <w:r>
              <w:rPr>
                <w:rFonts w:hint="eastAsia" w:ascii="仿宋_GB2312" w:hAnsi="仿宋_GB2312" w:eastAsia="仿宋_GB2312" w:cs="仿宋_GB2312"/>
                <w:bCs/>
                <w:color w:val="auto"/>
                <w:kern w:val="0"/>
                <w:sz w:val="21"/>
                <w:szCs w:val="21"/>
                <w:highlight w:val="none"/>
                <w:lang w:bidi="ar"/>
              </w:rPr>
              <w:t>扣</w:t>
            </w:r>
            <w:r>
              <w:rPr>
                <w:rFonts w:hint="eastAsia" w:ascii="仿宋_GB2312" w:hAnsi="仿宋_GB2312" w:eastAsia="仿宋_GB2312" w:cs="仿宋_GB2312"/>
                <w:bCs/>
                <w:color w:val="auto"/>
                <w:kern w:val="0"/>
                <w:sz w:val="21"/>
                <w:szCs w:val="21"/>
                <w:highlight w:val="none"/>
                <w:lang w:val="en-US" w:eastAsia="zh-CN" w:bidi="ar"/>
              </w:rPr>
              <w:t>5</w:t>
            </w:r>
            <w:r>
              <w:rPr>
                <w:rFonts w:hint="eastAsia" w:ascii="仿宋_GB2312" w:hAnsi="仿宋_GB2312" w:eastAsia="仿宋_GB2312" w:cs="仿宋_GB2312"/>
                <w:bCs/>
                <w:color w:val="auto"/>
                <w:kern w:val="0"/>
                <w:sz w:val="21"/>
                <w:szCs w:val="21"/>
                <w:highlight w:val="none"/>
                <w:lang w:bidi="ar"/>
              </w:rPr>
              <w:t>分。（</w:t>
            </w:r>
            <w:r>
              <w:rPr>
                <w:rFonts w:hint="eastAsia" w:ascii="仿宋_GB2312" w:hAnsi="仿宋_GB2312" w:eastAsia="仿宋_GB2312" w:cs="仿宋_GB2312"/>
                <w:bCs/>
                <w:color w:val="auto"/>
                <w:kern w:val="0"/>
                <w:sz w:val="21"/>
                <w:szCs w:val="21"/>
                <w:highlight w:val="none"/>
                <w:lang w:val="en-US" w:eastAsia="zh-CN" w:bidi="ar"/>
              </w:rPr>
              <w:t>10</w:t>
            </w:r>
            <w:r>
              <w:rPr>
                <w:rFonts w:hint="eastAsia" w:ascii="仿宋_GB2312" w:hAnsi="仿宋_GB2312" w:eastAsia="仿宋_GB2312" w:cs="仿宋_GB2312"/>
                <w:bCs/>
                <w:color w:val="auto"/>
                <w:kern w:val="0"/>
                <w:sz w:val="21"/>
                <w:szCs w:val="21"/>
                <w:highlight w:val="none"/>
                <w:lang w:bidi="ar"/>
              </w:rPr>
              <w:t>分）</w:t>
            </w:r>
          </w:p>
        </w:tc>
        <w:tc>
          <w:tcPr>
            <w:tcW w:w="959" w:type="dxa"/>
            <w:tcBorders>
              <w:top w:val="single" w:color="auto" w:sz="4" w:space="0"/>
              <w:left w:val="nil"/>
              <w:bottom w:val="single" w:color="auto" w:sz="4" w:space="0"/>
              <w:right w:val="single" w:color="auto" w:sz="4" w:space="0"/>
            </w:tcBorders>
            <w:noWrap/>
            <w:vAlign w:val="center"/>
          </w:tcPr>
          <w:p w14:paraId="5EADC34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tc>
      </w:tr>
      <w:tr w14:paraId="3ADD48DB">
        <w:tblPrEx>
          <w:tblCellMar>
            <w:top w:w="0" w:type="dxa"/>
            <w:left w:w="108" w:type="dxa"/>
            <w:bottom w:w="0" w:type="dxa"/>
            <w:right w:w="108" w:type="dxa"/>
          </w:tblCellMar>
        </w:tblPrEx>
        <w:trPr>
          <w:trHeight w:val="178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50E1D6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四</w:t>
            </w:r>
          </w:p>
        </w:tc>
        <w:tc>
          <w:tcPr>
            <w:tcW w:w="1300" w:type="dxa"/>
            <w:tcBorders>
              <w:top w:val="single" w:color="auto" w:sz="4" w:space="0"/>
              <w:left w:val="nil"/>
              <w:bottom w:val="single" w:color="auto" w:sz="4" w:space="0"/>
              <w:right w:val="single" w:color="auto" w:sz="4" w:space="0"/>
            </w:tcBorders>
            <w:noWrap/>
            <w:vAlign w:val="center"/>
          </w:tcPr>
          <w:p w14:paraId="5C39A52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安全生产</w:t>
            </w:r>
          </w:p>
        </w:tc>
        <w:tc>
          <w:tcPr>
            <w:tcW w:w="3822" w:type="dxa"/>
            <w:tcBorders>
              <w:top w:val="single" w:color="auto" w:sz="4" w:space="0"/>
              <w:left w:val="single" w:color="auto" w:sz="4" w:space="0"/>
              <w:bottom w:val="single" w:color="auto" w:sz="4" w:space="0"/>
              <w:right w:val="single" w:color="auto" w:sz="4" w:space="0"/>
            </w:tcBorders>
            <w:noWrap/>
            <w:vAlign w:val="center"/>
          </w:tcPr>
          <w:p w14:paraId="44F0B82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落实对养护人员的安全教育，养护期间养护人员安全防护用品穿戴规范正确；特种作业人员必须持特种作业证上岗。</w:t>
            </w:r>
          </w:p>
        </w:tc>
        <w:tc>
          <w:tcPr>
            <w:tcW w:w="970" w:type="dxa"/>
            <w:tcBorders>
              <w:top w:val="single" w:color="auto" w:sz="4" w:space="0"/>
              <w:left w:val="nil"/>
              <w:bottom w:val="single" w:color="auto" w:sz="4" w:space="0"/>
              <w:right w:val="single" w:color="auto" w:sz="4" w:space="0"/>
            </w:tcBorders>
            <w:noWrap/>
            <w:vAlign w:val="center"/>
          </w:tcPr>
          <w:p w14:paraId="3393928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30</w:t>
            </w:r>
          </w:p>
        </w:tc>
        <w:tc>
          <w:tcPr>
            <w:tcW w:w="1810" w:type="dxa"/>
            <w:tcBorders>
              <w:top w:val="single" w:color="auto" w:sz="4" w:space="0"/>
              <w:left w:val="nil"/>
              <w:bottom w:val="single" w:color="auto" w:sz="4" w:space="0"/>
              <w:right w:val="single" w:color="auto" w:sz="4" w:space="0"/>
            </w:tcBorders>
            <w:noWrap/>
            <w:vAlign w:val="center"/>
          </w:tcPr>
          <w:p w14:paraId="2EC8E28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color w:val="auto"/>
                <w:kern w:val="0"/>
                <w:sz w:val="24"/>
                <w:szCs w:val="28"/>
                <w:highlight w:val="none"/>
                <w:lang w:val="en-US" w:eastAsia="zh-CN" w:bidi="ar-SA"/>
              </w:rPr>
            </w:pPr>
            <w:r>
              <w:rPr>
                <w:rFonts w:hint="eastAsia" w:ascii="仿宋_GB2312" w:hAnsi="仿宋_GB2312" w:eastAsia="仿宋_GB2312" w:cs="仿宋_GB2312"/>
                <w:bCs/>
                <w:color w:val="auto"/>
                <w:kern w:val="0"/>
                <w:sz w:val="21"/>
                <w:szCs w:val="21"/>
                <w:highlight w:val="none"/>
                <w:lang w:val="en-US" w:eastAsia="zh-CN" w:bidi="ar"/>
              </w:rPr>
              <w:t>日常监管过程中发现少佩戴一个安全防护用品，扣5分；特种作业人员未持特种作业证上岗，扣30分。（30分）</w:t>
            </w:r>
          </w:p>
        </w:tc>
        <w:tc>
          <w:tcPr>
            <w:tcW w:w="959" w:type="dxa"/>
            <w:tcBorders>
              <w:top w:val="single" w:color="auto" w:sz="4" w:space="0"/>
              <w:left w:val="nil"/>
              <w:bottom w:val="single" w:color="auto" w:sz="4" w:space="0"/>
              <w:right w:val="single" w:color="auto" w:sz="4" w:space="0"/>
            </w:tcBorders>
            <w:noWrap/>
            <w:vAlign w:val="center"/>
          </w:tcPr>
          <w:p w14:paraId="784E7A5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tc>
      </w:tr>
      <w:tr w14:paraId="4CD23EEE">
        <w:tblPrEx>
          <w:tblCellMar>
            <w:top w:w="0" w:type="dxa"/>
            <w:left w:w="108" w:type="dxa"/>
            <w:bottom w:w="0" w:type="dxa"/>
            <w:right w:w="108" w:type="dxa"/>
          </w:tblCellMar>
        </w:tblPrEx>
        <w:trPr>
          <w:trHeight w:val="647" w:hRule="atLeast"/>
          <w:jc w:val="center"/>
        </w:trPr>
        <w:tc>
          <w:tcPr>
            <w:tcW w:w="9565" w:type="dxa"/>
            <w:gridSpan w:val="6"/>
            <w:tcBorders>
              <w:top w:val="nil"/>
              <w:left w:val="single" w:color="auto" w:sz="4" w:space="0"/>
              <w:bottom w:val="single" w:color="auto" w:sz="4" w:space="0"/>
              <w:right w:val="single" w:color="auto" w:sz="4" w:space="0"/>
            </w:tcBorders>
            <w:noWrap/>
            <w:vAlign w:val="center"/>
          </w:tcPr>
          <w:p w14:paraId="35B4CCC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验收得分率＝（验收得分/应得分）×100％</w:t>
            </w:r>
          </w:p>
          <w:p w14:paraId="7642AEA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val="en-US" w:eastAsia="zh-CN" w:bidi="ar"/>
              </w:rPr>
              <w:t>说明：局直各单位根据水闸实际工况，若出现合理缺项，该缺项可不进行赋分，应得分=标准分总分-合理缺项标准分。</w:t>
            </w:r>
          </w:p>
        </w:tc>
      </w:tr>
      <w:tr w14:paraId="5D9BE03E">
        <w:tblPrEx>
          <w:tblCellMar>
            <w:top w:w="0" w:type="dxa"/>
            <w:left w:w="108" w:type="dxa"/>
            <w:bottom w:w="0" w:type="dxa"/>
            <w:right w:w="108" w:type="dxa"/>
          </w:tblCellMar>
        </w:tblPrEx>
        <w:trPr>
          <w:trHeight w:val="614" w:hRule="atLeast"/>
          <w:jc w:val="center"/>
        </w:trPr>
        <w:tc>
          <w:tcPr>
            <w:tcW w:w="704" w:type="dxa"/>
            <w:tcBorders>
              <w:top w:val="nil"/>
              <w:left w:val="nil"/>
              <w:bottom w:val="nil"/>
              <w:right w:val="nil"/>
            </w:tcBorders>
            <w:noWrap/>
            <w:vAlign w:val="center"/>
          </w:tcPr>
          <w:p w14:paraId="08A0A44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tc>
        <w:tc>
          <w:tcPr>
            <w:tcW w:w="6092" w:type="dxa"/>
            <w:gridSpan w:val="3"/>
            <w:tcBorders>
              <w:top w:val="nil"/>
              <w:left w:val="nil"/>
              <w:bottom w:val="nil"/>
              <w:right w:val="nil"/>
            </w:tcBorders>
            <w:noWrap/>
          </w:tcPr>
          <w:p w14:paraId="161BB41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p w14:paraId="5B9731A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eastAsia="zh-CN" w:bidi="ar"/>
              </w:rPr>
              <w:t>验收</w:t>
            </w:r>
            <w:r>
              <w:rPr>
                <w:rFonts w:hint="eastAsia" w:ascii="仿宋_GB2312" w:hAnsi="仿宋_GB2312" w:eastAsia="仿宋_GB2312" w:cs="仿宋_GB2312"/>
                <w:bCs/>
                <w:color w:val="auto"/>
                <w:kern w:val="0"/>
                <w:sz w:val="21"/>
                <w:szCs w:val="21"/>
                <w:highlight w:val="none"/>
                <w:lang w:bidi="ar"/>
              </w:rPr>
              <w:t>人员签名：</w:t>
            </w:r>
            <w:r>
              <w:rPr>
                <w:rFonts w:hint="eastAsia" w:ascii="仿宋_GB2312" w:hAnsi="仿宋_GB2312" w:eastAsia="仿宋_GB2312" w:cs="仿宋_GB2312"/>
                <w:bCs/>
                <w:color w:val="auto"/>
                <w:kern w:val="0"/>
                <w:sz w:val="21"/>
                <w:szCs w:val="21"/>
                <w:highlight w:val="none"/>
                <w:lang w:val="en-US" w:eastAsia="zh-CN" w:bidi="ar"/>
              </w:rPr>
              <w:t xml:space="preserve">                                验收时间：</w:t>
            </w:r>
          </w:p>
        </w:tc>
        <w:tc>
          <w:tcPr>
            <w:tcW w:w="1810" w:type="dxa"/>
            <w:tcBorders>
              <w:top w:val="nil"/>
              <w:left w:val="nil"/>
              <w:bottom w:val="nil"/>
              <w:right w:val="nil"/>
            </w:tcBorders>
            <w:noWrap/>
            <w:vAlign w:val="center"/>
          </w:tcPr>
          <w:p w14:paraId="2EB025F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tc>
        <w:tc>
          <w:tcPr>
            <w:tcW w:w="959" w:type="dxa"/>
            <w:tcBorders>
              <w:top w:val="nil"/>
              <w:left w:val="nil"/>
              <w:bottom w:val="nil"/>
              <w:right w:val="nil"/>
            </w:tcBorders>
            <w:noWrap/>
            <w:vAlign w:val="center"/>
          </w:tcPr>
          <w:p w14:paraId="34CCB7D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tc>
      </w:tr>
    </w:tbl>
    <w:p w14:paraId="5F99B1F1">
      <w:pPr>
        <w:jc w:val="center"/>
        <w:rPr>
          <w:rFonts w:hint="eastAsia" w:ascii="方正小标宋简体" w:hAnsi="方正小标宋简体" w:eastAsia="方正小标宋简体" w:cs="方正小标宋简体"/>
          <w:b w:val="0"/>
          <w:bCs/>
          <w:color w:val="auto"/>
          <w:kern w:val="2"/>
          <w:sz w:val="36"/>
          <w:szCs w:val="36"/>
          <w:highlight w:val="none"/>
          <w:lang w:val="en-US" w:eastAsia="zh-CN" w:bidi="ar-SA"/>
        </w:rPr>
      </w:pPr>
    </w:p>
    <w:p w14:paraId="6E4CF8C3">
      <w:pPr>
        <w:jc w:val="center"/>
        <w:rPr>
          <w:rFonts w:hint="default" w:ascii="方正小标宋简体" w:hAnsi="方正小标宋简体" w:eastAsia="方正小标宋简体" w:cs="方正小标宋简体"/>
          <w:b w:val="0"/>
          <w:bCs/>
          <w:color w:val="auto"/>
          <w:kern w:val="2"/>
          <w:sz w:val="36"/>
          <w:szCs w:val="36"/>
          <w:highlight w:val="none"/>
          <w:lang w:val="en-US" w:eastAsia="zh-CN" w:bidi="ar-SA"/>
        </w:rPr>
      </w:pPr>
      <w:r>
        <w:rPr>
          <w:rFonts w:hint="eastAsia" w:ascii="方正小标宋简体" w:hAnsi="方正小标宋简体" w:eastAsia="方正小标宋简体" w:cs="方正小标宋简体"/>
          <w:b w:val="0"/>
          <w:bCs/>
          <w:color w:val="auto"/>
          <w:kern w:val="2"/>
          <w:sz w:val="36"/>
          <w:szCs w:val="36"/>
          <w:highlight w:val="none"/>
          <w:lang w:val="en-US" w:eastAsia="zh-CN" w:bidi="ar-SA"/>
        </w:rPr>
        <w:t>水闸定期养护验收标准</w:t>
      </w:r>
    </w:p>
    <w:tbl>
      <w:tblPr>
        <w:tblStyle w:val="56"/>
        <w:tblW w:w="9525" w:type="dxa"/>
        <w:jc w:val="center"/>
        <w:tblLayout w:type="fixed"/>
        <w:tblCellMar>
          <w:top w:w="0" w:type="dxa"/>
          <w:left w:w="108" w:type="dxa"/>
          <w:bottom w:w="0" w:type="dxa"/>
          <w:right w:w="108" w:type="dxa"/>
        </w:tblCellMar>
      </w:tblPr>
      <w:tblGrid>
        <w:gridCol w:w="704"/>
        <w:gridCol w:w="1200"/>
        <w:gridCol w:w="4524"/>
        <w:gridCol w:w="942"/>
        <w:gridCol w:w="1412"/>
        <w:gridCol w:w="743"/>
      </w:tblGrid>
      <w:tr w14:paraId="348E3CE2">
        <w:tblPrEx>
          <w:tblCellMar>
            <w:top w:w="0" w:type="dxa"/>
            <w:left w:w="108" w:type="dxa"/>
            <w:bottom w:w="0" w:type="dxa"/>
            <w:right w:w="108" w:type="dxa"/>
          </w:tblCellMar>
        </w:tblPrEx>
        <w:trPr>
          <w:trHeight w:val="58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0FCD456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序号</w:t>
            </w:r>
          </w:p>
        </w:tc>
        <w:tc>
          <w:tcPr>
            <w:tcW w:w="1200" w:type="dxa"/>
            <w:tcBorders>
              <w:top w:val="single" w:color="auto" w:sz="4" w:space="0"/>
              <w:left w:val="nil"/>
              <w:bottom w:val="single" w:color="auto" w:sz="4" w:space="0"/>
              <w:right w:val="single" w:color="auto" w:sz="4" w:space="0"/>
            </w:tcBorders>
            <w:noWrap/>
            <w:vAlign w:val="center"/>
          </w:tcPr>
          <w:p w14:paraId="18E07AC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类别</w:t>
            </w:r>
          </w:p>
        </w:tc>
        <w:tc>
          <w:tcPr>
            <w:tcW w:w="4524" w:type="dxa"/>
            <w:tcBorders>
              <w:top w:val="single" w:color="auto" w:sz="4" w:space="0"/>
              <w:left w:val="single" w:color="auto" w:sz="4" w:space="0"/>
              <w:bottom w:val="single" w:color="auto" w:sz="4" w:space="0"/>
              <w:right w:val="single" w:color="auto" w:sz="4" w:space="0"/>
            </w:tcBorders>
            <w:noWrap/>
            <w:vAlign w:val="center"/>
          </w:tcPr>
          <w:p w14:paraId="0CC1368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验收内容及标准</w:t>
            </w:r>
          </w:p>
        </w:tc>
        <w:tc>
          <w:tcPr>
            <w:tcW w:w="942" w:type="dxa"/>
            <w:tcBorders>
              <w:top w:val="single" w:color="auto" w:sz="4" w:space="0"/>
              <w:left w:val="nil"/>
              <w:bottom w:val="single" w:color="auto" w:sz="4" w:space="0"/>
              <w:right w:val="single" w:color="auto" w:sz="4" w:space="0"/>
            </w:tcBorders>
            <w:noWrap/>
            <w:vAlign w:val="center"/>
          </w:tcPr>
          <w:p w14:paraId="5783299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标准分</w:t>
            </w:r>
          </w:p>
        </w:tc>
        <w:tc>
          <w:tcPr>
            <w:tcW w:w="1412" w:type="dxa"/>
            <w:tcBorders>
              <w:top w:val="single" w:color="auto" w:sz="4" w:space="0"/>
              <w:left w:val="nil"/>
              <w:bottom w:val="single" w:color="auto" w:sz="4" w:space="0"/>
              <w:right w:val="single" w:color="auto" w:sz="4" w:space="0"/>
            </w:tcBorders>
            <w:noWrap/>
            <w:vAlign w:val="center"/>
          </w:tcPr>
          <w:p w14:paraId="6A5263E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赋分依据</w:t>
            </w:r>
          </w:p>
        </w:tc>
        <w:tc>
          <w:tcPr>
            <w:tcW w:w="743" w:type="dxa"/>
            <w:tcBorders>
              <w:top w:val="single" w:color="auto" w:sz="4" w:space="0"/>
              <w:left w:val="nil"/>
              <w:bottom w:val="single" w:color="auto" w:sz="4" w:space="0"/>
              <w:right w:val="single" w:color="auto" w:sz="4" w:space="0"/>
            </w:tcBorders>
            <w:noWrap/>
            <w:vAlign w:val="center"/>
          </w:tcPr>
          <w:p w14:paraId="1B1D799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赋分</w:t>
            </w:r>
          </w:p>
        </w:tc>
      </w:tr>
      <w:tr w14:paraId="18B65280">
        <w:tblPrEx>
          <w:tblCellMar>
            <w:top w:w="0" w:type="dxa"/>
            <w:left w:w="108" w:type="dxa"/>
            <w:bottom w:w="0" w:type="dxa"/>
            <w:right w:w="108" w:type="dxa"/>
          </w:tblCellMar>
        </w:tblPrEx>
        <w:trPr>
          <w:trHeight w:val="3151" w:hRule="atLeast"/>
          <w:jc w:val="center"/>
        </w:trPr>
        <w:tc>
          <w:tcPr>
            <w:tcW w:w="704" w:type="dxa"/>
            <w:tcBorders>
              <w:top w:val="nil"/>
              <w:left w:val="single" w:color="auto" w:sz="4" w:space="0"/>
              <w:bottom w:val="single" w:color="auto" w:sz="4" w:space="0"/>
              <w:right w:val="single" w:color="auto" w:sz="4" w:space="0"/>
            </w:tcBorders>
            <w:noWrap/>
            <w:vAlign w:val="center"/>
          </w:tcPr>
          <w:p w14:paraId="372CCB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一</w:t>
            </w:r>
          </w:p>
        </w:tc>
        <w:tc>
          <w:tcPr>
            <w:tcW w:w="1200" w:type="dxa"/>
            <w:tcBorders>
              <w:top w:val="single" w:color="auto" w:sz="4" w:space="0"/>
              <w:left w:val="nil"/>
              <w:bottom w:val="single" w:color="auto" w:sz="4" w:space="0"/>
              <w:right w:val="single" w:color="auto" w:sz="4" w:space="0"/>
            </w:tcBorders>
            <w:noWrap/>
            <w:vAlign w:val="center"/>
          </w:tcPr>
          <w:p w14:paraId="2E4B2C9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启闭机养护</w:t>
            </w:r>
          </w:p>
        </w:tc>
        <w:tc>
          <w:tcPr>
            <w:tcW w:w="4524" w:type="dxa"/>
            <w:tcBorders>
              <w:top w:val="nil"/>
              <w:left w:val="single" w:color="auto" w:sz="4" w:space="0"/>
              <w:bottom w:val="single" w:color="auto" w:sz="4" w:space="0"/>
              <w:right w:val="single" w:color="auto" w:sz="4" w:space="0"/>
            </w:tcBorders>
            <w:noWrap/>
            <w:vAlign w:val="center"/>
          </w:tcPr>
          <w:p w14:paraId="2D48F73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1.清除齿轮副、滚筒、传动轴、联轴器、制动器、滑轮灰尘、油污并清洗干净，按需对油杯清洗、换注轴承间润滑油脂、各传动部位润滑充分；</w:t>
            </w:r>
          </w:p>
          <w:p w14:paraId="24C1D6F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2.按需更换变速箱（减速箱）润滑油，油质合格、油量在规定范围内；</w:t>
            </w:r>
          </w:p>
          <w:p w14:paraId="778D67E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bidi="ar"/>
              </w:rPr>
            </w:pPr>
            <w:r>
              <w:rPr>
                <w:rFonts w:hint="eastAsia" w:ascii="仿宋_GB2312" w:hAnsi="仿宋_GB2312" w:eastAsia="仿宋_GB2312" w:cs="仿宋_GB2312"/>
                <w:bCs/>
                <w:color w:val="auto"/>
                <w:kern w:val="0"/>
                <w:sz w:val="21"/>
                <w:szCs w:val="21"/>
                <w:highlight w:val="none"/>
                <w:lang w:val="en-US" w:eastAsia="zh-CN" w:bidi="ar"/>
              </w:rPr>
              <w:t>3.钢丝绳用尼龙丝刷蘸柴油反复擦洗干净，重新涂抹钙基脂黄油（专用钢丝绳润滑油脂）形成保护层，涂抹均匀，无干涸、结块、流挂，清除螺杆启闭机螺杆表面灰尘、油污，对齿部重新涂抹合格的润滑油脂，涂抹均匀，无流挂。</w:t>
            </w:r>
          </w:p>
        </w:tc>
        <w:tc>
          <w:tcPr>
            <w:tcW w:w="942" w:type="dxa"/>
            <w:tcBorders>
              <w:top w:val="nil"/>
              <w:left w:val="nil"/>
              <w:bottom w:val="single" w:color="auto" w:sz="4" w:space="0"/>
              <w:right w:val="single" w:color="auto" w:sz="4" w:space="0"/>
            </w:tcBorders>
            <w:noWrap/>
            <w:vAlign w:val="center"/>
          </w:tcPr>
          <w:p w14:paraId="4BEC55D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20</w:t>
            </w:r>
          </w:p>
        </w:tc>
        <w:tc>
          <w:tcPr>
            <w:tcW w:w="1412" w:type="dxa"/>
            <w:tcBorders>
              <w:top w:val="nil"/>
              <w:left w:val="nil"/>
              <w:bottom w:val="single" w:color="auto" w:sz="4" w:space="0"/>
              <w:right w:val="single" w:color="auto" w:sz="4" w:space="0"/>
            </w:tcBorders>
            <w:noWrap/>
            <w:vAlign w:val="center"/>
          </w:tcPr>
          <w:p w14:paraId="310BB3E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bCs/>
                <w:color w:val="auto"/>
                <w:kern w:val="0"/>
                <w:sz w:val="18"/>
                <w:szCs w:val="18"/>
                <w:highlight w:val="none"/>
                <w:lang w:bidi="ar"/>
              </w:rPr>
              <w:t>如不符合要求：</w:t>
            </w:r>
            <w:r>
              <w:rPr>
                <w:rFonts w:hint="eastAsia" w:ascii="仿宋_GB2312" w:hAnsi="仿宋_GB2312" w:eastAsia="仿宋_GB2312" w:cs="仿宋_GB2312"/>
                <w:bCs/>
                <w:color w:val="auto"/>
                <w:sz w:val="18"/>
                <w:szCs w:val="18"/>
                <w:highlight w:val="none"/>
                <w:lang w:bidi="ar"/>
              </w:rPr>
              <w:t>每发现一处扣</w:t>
            </w:r>
            <w:r>
              <w:rPr>
                <w:rFonts w:hint="eastAsia" w:ascii="仿宋_GB2312" w:hAnsi="仿宋_GB2312" w:eastAsia="仿宋_GB2312" w:cs="仿宋_GB2312"/>
                <w:bCs/>
                <w:color w:val="auto"/>
                <w:sz w:val="18"/>
                <w:szCs w:val="18"/>
                <w:highlight w:val="none"/>
                <w:lang w:val="en-US" w:eastAsia="zh-CN" w:bidi="ar"/>
              </w:rPr>
              <w:t>2</w:t>
            </w:r>
            <w:r>
              <w:rPr>
                <w:rFonts w:hint="eastAsia" w:ascii="仿宋_GB2312" w:hAnsi="仿宋_GB2312" w:eastAsia="仿宋_GB2312" w:cs="仿宋_GB2312"/>
                <w:bCs/>
                <w:color w:val="auto"/>
                <w:sz w:val="18"/>
                <w:szCs w:val="18"/>
                <w:highlight w:val="none"/>
                <w:lang w:bidi="ar"/>
              </w:rPr>
              <w:t>分。（</w:t>
            </w:r>
            <w:r>
              <w:rPr>
                <w:rFonts w:hint="eastAsia" w:ascii="仿宋_GB2312" w:hAnsi="仿宋_GB2312" w:eastAsia="仿宋_GB2312" w:cs="仿宋_GB2312"/>
                <w:bCs/>
                <w:color w:val="auto"/>
                <w:sz w:val="18"/>
                <w:szCs w:val="18"/>
                <w:highlight w:val="none"/>
                <w:lang w:val="en-US" w:eastAsia="zh-CN" w:bidi="ar"/>
              </w:rPr>
              <w:t>20</w:t>
            </w:r>
            <w:r>
              <w:rPr>
                <w:rFonts w:hint="eastAsia" w:ascii="仿宋_GB2312" w:hAnsi="仿宋_GB2312" w:eastAsia="仿宋_GB2312" w:cs="仿宋_GB2312"/>
                <w:bCs/>
                <w:color w:val="auto"/>
                <w:sz w:val="18"/>
                <w:szCs w:val="18"/>
                <w:highlight w:val="none"/>
                <w:lang w:bidi="ar"/>
              </w:rPr>
              <w:t>分）</w:t>
            </w:r>
          </w:p>
        </w:tc>
        <w:tc>
          <w:tcPr>
            <w:tcW w:w="743" w:type="dxa"/>
            <w:tcBorders>
              <w:top w:val="nil"/>
              <w:left w:val="nil"/>
              <w:bottom w:val="single" w:color="auto" w:sz="4" w:space="0"/>
              <w:right w:val="single" w:color="auto" w:sz="4" w:space="0"/>
            </w:tcBorders>
            <w:noWrap/>
            <w:vAlign w:val="center"/>
          </w:tcPr>
          <w:p w14:paraId="3F3DE1D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Cs w:val="21"/>
                <w:highlight w:val="none"/>
              </w:rPr>
            </w:pPr>
          </w:p>
        </w:tc>
      </w:tr>
      <w:tr w14:paraId="673E7ED9">
        <w:tblPrEx>
          <w:tblCellMar>
            <w:top w:w="0" w:type="dxa"/>
            <w:left w:w="108" w:type="dxa"/>
            <w:bottom w:w="0" w:type="dxa"/>
            <w:right w:w="108" w:type="dxa"/>
          </w:tblCellMar>
        </w:tblPrEx>
        <w:trPr>
          <w:trHeight w:val="268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6308104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二</w:t>
            </w:r>
          </w:p>
        </w:tc>
        <w:tc>
          <w:tcPr>
            <w:tcW w:w="1200" w:type="dxa"/>
            <w:tcBorders>
              <w:top w:val="single" w:color="auto" w:sz="4" w:space="0"/>
              <w:left w:val="nil"/>
              <w:bottom w:val="single" w:color="auto" w:sz="4" w:space="0"/>
              <w:right w:val="single" w:color="auto" w:sz="4" w:space="0"/>
            </w:tcBorders>
            <w:noWrap/>
            <w:vAlign w:val="center"/>
          </w:tcPr>
          <w:p w14:paraId="573B039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闸门养护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37B842D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1.清除闸门表面及梁格内附着的水生物、泥沙、油垢、杂物、无残留，保持梁格内排水孔畅通，门内无积水；</w:t>
            </w:r>
          </w:p>
          <w:p w14:paraId="4C2A619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2.清除闸门吊耳表面油垢、杂物并清洗，吊耳油杯老油清除，无油垢残留，按需更换钙基脂黄油，注油量充足；</w:t>
            </w:r>
          </w:p>
          <w:p w14:paraId="5C26271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val="en-US" w:eastAsia="zh-CN" w:bidi="ar"/>
              </w:rPr>
              <w:t>3.闸门支撑行走装置主、侧滑（滚）轮油污清洗、除锈、按需更换转动轴承间润滑油脂，注油量充足，滑（滚）轮转动要灵活，运行可靠。</w:t>
            </w:r>
          </w:p>
        </w:tc>
        <w:tc>
          <w:tcPr>
            <w:tcW w:w="942" w:type="dxa"/>
            <w:tcBorders>
              <w:top w:val="single" w:color="auto" w:sz="4" w:space="0"/>
              <w:left w:val="nil"/>
              <w:bottom w:val="single" w:color="auto" w:sz="4" w:space="0"/>
              <w:right w:val="single" w:color="auto" w:sz="4" w:space="0"/>
            </w:tcBorders>
            <w:noWrap/>
            <w:vAlign w:val="center"/>
          </w:tcPr>
          <w:p w14:paraId="4E692B1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20</w:t>
            </w:r>
          </w:p>
        </w:tc>
        <w:tc>
          <w:tcPr>
            <w:tcW w:w="1412" w:type="dxa"/>
            <w:tcBorders>
              <w:top w:val="single" w:color="auto" w:sz="4" w:space="0"/>
              <w:left w:val="nil"/>
              <w:bottom w:val="single" w:color="auto" w:sz="4" w:space="0"/>
              <w:right w:val="single" w:color="auto" w:sz="4" w:space="0"/>
            </w:tcBorders>
            <w:noWrap/>
            <w:vAlign w:val="center"/>
          </w:tcPr>
          <w:p w14:paraId="1722C3E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bCs/>
                <w:color w:val="auto"/>
                <w:kern w:val="0"/>
                <w:sz w:val="18"/>
                <w:szCs w:val="18"/>
                <w:highlight w:val="none"/>
                <w:lang w:bidi="ar"/>
              </w:rPr>
              <w:t>如不符合要求：</w:t>
            </w:r>
            <w:r>
              <w:rPr>
                <w:rFonts w:hint="eastAsia" w:ascii="仿宋_GB2312" w:hAnsi="仿宋_GB2312" w:eastAsia="仿宋_GB2312" w:cs="仿宋_GB2312"/>
                <w:bCs/>
                <w:color w:val="auto"/>
                <w:sz w:val="18"/>
                <w:szCs w:val="18"/>
                <w:highlight w:val="none"/>
                <w:lang w:bidi="ar"/>
              </w:rPr>
              <w:t>每发现一处扣</w:t>
            </w:r>
            <w:r>
              <w:rPr>
                <w:rFonts w:hint="eastAsia" w:ascii="仿宋_GB2312" w:hAnsi="仿宋_GB2312" w:eastAsia="仿宋_GB2312" w:cs="仿宋_GB2312"/>
                <w:bCs/>
                <w:color w:val="auto"/>
                <w:sz w:val="18"/>
                <w:szCs w:val="18"/>
                <w:highlight w:val="none"/>
                <w:lang w:val="en-US" w:eastAsia="zh-CN" w:bidi="ar"/>
              </w:rPr>
              <w:t>2</w:t>
            </w:r>
            <w:r>
              <w:rPr>
                <w:rFonts w:hint="eastAsia" w:ascii="仿宋_GB2312" w:hAnsi="仿宋_GB2312" w:eastAsia="仿宋_GB2312" w:cs="仿宋_GB2312"/>
                <w:bCs/>
                <w:color w:val="auto"/>
                <w:sz w:val="18"/>
                <w:szCs w:val="18"/>
                <w:highlight w:val="none"/>
                <w:lang w:bidi="ar"/>
              </w:rPr>
              <w:t>分。（</w:t>
            </w:r>
            <w:r>
              <w:rPr>
                <w:rFonts w:hint="eastAsia" w:ascii="仿宋_GB2312" w:hAnsi="仿宋_GB2312" w:eastAsia="仿宋_GB2312" w:cs="仿宋_GB2312"/>
                <w:bCs/>
                <w:color w:val="auto"/>
                <w:sz w:val="18"/>
                <w:szCs w:val="18"/>
                <w:highlight w:val="none"/>
                <w:lang w:val="en-US" w:eastAsia="zh-CN" w:bidi="ar"/>
              </w:rPr>
              <w:t>20</w:t>
            </w:r>
            <w:r>
              <w:rPr>
                <w:rFonts w:hint="eastAsia" w:ascii="仿宋_GB2312" w:hAnsi="仿宋_GB2312" w:eastAsia="仿宋_GB2312" w:cs="仿宋_GB2312"/>
                <w:bCs/>
                <w:color w:val="auto"/>
                <w:sz w:val="18"/>
                <w:szCs w:val="18"/>
                <w:highlight w:val="none"/>
                <w:lang w:bidi="ar"/>
              </w:rPr>
              <w:t>分）</w:t>
            </w:r>
          </w:p>
        </w:tc>
        <w:tc>
          <w:tcPr>
            <w:tcW w:w="743" w:type="dxa"/>
            <w:tcBorders>
              <w:top w:val="single" w:color="auto" w:sz="4" w:space="0"/>
              <w:left w:val="nil"/>
              <w:bottom w:val="single" w:color="auto" w:sz="4" w:space="0"/>
              <w:right w:val="single" w:color="auto" w:sz="4" w:space="0"/>
            </w:tcBorders>
            <w:noWrap/>
            <w:vAlign w:val="center"/>
          </w:tcPr>
          <w:p w14:paraId="1D9529A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Cs w:val="21"/>
                <w:highlight w:val="none"/>
              </w:rPr>
            </w:pPr>
          </w:p>
        </w:tc>
      </w:tr>
      <w:tr w14:paraId="71C426D9">
        <w:tblPrEx>
          <w:tblCellMar>
            <w:top w:w="0" w:type="dxa"/>
            <w:left w:w="108" w:type="dxa"/>
            <w:bottom w:w="0" w:type="dxa"/>
            <w:right w:w="108" w:type="dxa"/>
          </w:tblCellMar>
        </w:tblPrEx>
        <w:trPr>
          <w:trHeight w:val="1252"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2189BC1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bidi="ar"/>
              </w:rPr>
              <w:t>三</w:t>
            </w:r>
          </w:p>
        </w:tc>
        <w:tc>
          <w:tcPr>
            <w:tcW w:w="1200" w:type="dxa"/>
            <w:tcBorders>
              <w:top w:val="single" w:color="auto" w:sz="4" w:space="0"/>
              <w:left w:val="nil"/>
              <w:bottom w:val="single" w:color="auto" w:sz="4" w:space="0"/>
              <w:right w:val="single" w:color="auto" w:sz="4" w:space="0"/>
            </w:tcBorders>
            <w:noWrap/>
            <w:vAlign w:val="center"/>
          </w:tcPr>
          <w:p w14:paraId="0C3394AF">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门槽埋件养护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51FB069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val="en-US" w:eastAsia="zh-CN" w:bidi="ar"/>
              </w:rPr>
              <w:t>清除门槽表面附着的水生物、泥沙、油垢、杂物并清洗干净，门楣、支撑座板等埋件清洗、表面除锈，养护过程中不得造成扭曲变形。</w:t>
            </w:r>
          </w:p>
        </w:tc>
        <w:tc>
          <w:tcPr>
            <w:tcW w:w="942" w:type="dxa"/>
            <w:tcBorders>
              <w:top w:val="single" w:color="auto" w:sz="4" w:space="0"/>
              <w:left w:val="nil"/>
              <w:bottom w:val="single" w:color="auto" w:sz="4" w:space="0"/>
              <w:right w:val="single" w:color="auto" w:sz="4" w:space="0"/>
            </w:tcBorders>
            <w:noWrap/>
            <w:vAlign w:val="center"/>
          </w:tcPr>
          <w:p w14:paraId="75A5C62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10</w:t>
            </w:r>
          </w:p>
        </w:tc>
        <w:tc>
          <w:tcPr>
            <w:tcW w:w="1412" w:type="dxa"/>
            <w:tcBorders>
              <w:top w:val="single" w:color="auto" w:sz="4" w:space="0"/>
              <w:left w:val="nil"/>
              <w:bottom w:val="single" w:color="auto" w:sz="4" w:space="0"/>
              <w:right w:val="single" w:color="auto" w:sz="4" w:space="0"/>
            </w:tcBorders>
            <w:noWrap/>
            <w:vAlign w:val="center"/>
          </w:tcPr>
          <w:p w14:paraId="3FE2E9C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bCs/>
                <w:color w:val="auto"/>
                <w:kern w:val="0"/>
                <w:sz w:val="18"/>
                <w:szCs w:val="18"/>
                <w:highlight w:val="none"/>
                <w:lang w:bidi="ar"/>
              </w:rPr>
              <w:t>如不符合要求：</w:t>
            </w:r>
            <w:r>
              <w:rPr>
                <w:rFonts w:hint="eastAsia" w:ascii="仿宋_GB2312" w:hAnsi="仿宋_GB2312" w:eastAsia="仿宋_GB2312" w:cs="仿宋_GB2312"/>
                <w:bCs/>
                <w:color w:val="auto"/>
                <w:sz w:val="18"/>
                <w:szCs w:val="18"/>
                <w:highlight w:val="none"/>
                <w:lang w:bidi="ar"/>
              </w:rPr>
              <w:t>每发现一处扣</w:t>
            </w:r>
            <w:r>
              <w:rPr>
                <w:rFonts w:hint="eastAsia" w:ascii="仿宋_GB2312" w:hAnsi="仿宋_GB2312" w:eastAsia="仿宋_GB2312" w:cs="仿宋_GB2312"/>
                <w:bCs/>
                <w:color w:val="auto"/>
                <w:sz w:val="18"/>
                <w:szCs w:val="18"/>
                <w:highlight w:val="none"/>
                <w:lang w:val="en-US" w:eastAsia="zh-CN" w:bidi="ar"/>
              </w:rPr>
              <w:t>2</w:t>
            </w:r>
            <w:r>
              <w:rPr>
                <w:rFonts w:hint="eastAsia" w:ascii="仿宋_GB2312" w:hAnsi="仿宋_GB2312" w:eastAsia="仿宋_GB2312" w:cs="仿宋_GB2312"/>
                <w:bCs/>
                <w:color w:val="auto"/>
                <w:sz w:val="18"/>
                <w:szCs w:val="18"/>
                <w:highlight w:val="none"/>
                <w:lang w:bidi="ar"/>
              </w:rPr>
              <w:t>分。（</w:t>
            </w:r>
            <w:r>
              <w:rPr>
                <w:rFonts w:hint="eastAsia" w:ascii="仿宋_GB2312" w:hAnsi="仿宋_GB2312" w:eastAsia="仿宋_GB2312" w:cs="仿宋_GB2312"/>
                <w:bCs/>
                <w:color w:val="auto"/>
                <w:sz w:val="18"/>
                <w:szCs w:val="18"/>
                <w:highlight w:val="none"/>
                <w:lang w:val="en-US" w:eastAsia="zh-CN" w:bidi="ar"/>
              </w:rPr>
              <w:t>10</w:t>
            </w:r>
            <w:r>
              <w:rPr>
                <w:rFonts w:hint="eastAsia" w:ascii="仿宋_GB2312" w:hAnsi="仿宋_GB2312" w:eastAsia="仿宋_GB2312" w:cs="仿宋_GB2312"/>
                <w:bCs/>
                <w:color w:val="auto"/>
                <w:sz w:val="18"/>
                <w:szCs w:val="18"/>
                <w:highlight w:val="none"/>
                <w:lang w:bidi="ar"/>
              </w:rPr>
              <w:t>分）</w:t>
            </w:r>
          </w:p>
        </w:tc>
        <w:tc>
          <w:tcPr>
            <w:tcW w:w="743" w:type="dxa"/>
            <w:tcBorders>
              <w:top w:val="single" w:color="auto" w:sz="4" w:space="0"/>
              <w:left w:val="nil"/>
              <w:bottom w:val="single" w:color="auto" w:sz="4" w:space="0"/>
              <w:right w:val="single" w:color="auto" w:sz="4" w:space="0"/>
            </w:tcBorders>
            <w:noWrap/>
            <w:vAlign w:val="center"/>
          </w:tcPr>
          <w:p w14:paraId="1F727C3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Cs w:val="21"/>
                <w:highlight w:val="none"/>
              </w:rPr>
            </w:pPr>
          </w:p>
        </w:tc>
      </w:tr>
      <w:tr w14:paraId="1F37FB5C">
        <w:tblPrEx>
          <w:tblCellMar>
            <w:top w:w="0" w:type="dxa"/>
            <w:left w:w="108" w:type="dxa"/>
            <w:bottom w:w="0" w:type="dxa"/>
            <w:right w:w="108" w:type="dxa"/>
          </w:tblCellMar>
        </w:tblPrEx>
        <w:trPr>
          <w:trHeight w:val="1394"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39B4A16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四</w:t>
            </w:r>
          </w:p>
        </w:tc>
        <w:tc>
          <w:tcPr>
            <w:tcW w:w="1200" w:type="dxa"/>
            <w:tcBorders>
              <w:top w:val="single" w:color="auto" w:sz="4" w:space="0"/>
              <w:left w:val="nil"/>
              <w:bottom w:val="single" w:color="auto" w:sz="4" w:space="0"/>
              <w:right w:val="single" w:color="auto" w:sz="4" w:space="0"/>
            </w:tcBorders>
            <w:noWrap/>
            <w:vAlign w:val="center"/>
          </w:tcPr>
          <w:p w14:paraId="40B75C32">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检修行车养护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3588E7F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bidi="ar"/>
              </w:rPr>
            </w:pPr>
            <w:r>
              <w:rPr>
                <w:rFonts w:hint="eastAsia" w:ascii="仿宋_GB2312" w:hAnsi="仿宋_GB2312" w:eastAsia="仿宋_GB2312" w:cs="仿宋_GB2312"/>
                <w:bCs/>
                <w:color w:val="auto"/>
                <w:kern w:val="0"/>
                <w:sz w:val="21"/>
                <w:szCs w:val="21"/>
                <w:highlight w:val="none"/>
                <w:lang w:val="en-US" w:eastAsia="zh-CN" w:bidi="ar"/>
              </w:rPr>
              <w:t>主轨道表面清洗、除锈，电动葫芦钢丝绳、清洗，重新涂抹钙基脂黄油（专用钢丝绳润滑油脂）形成保护层，涂抹均匀，无干涸、结块、流挂，按需更换转动轴承间润滑油脂、注油量充足。</w:t>
            </w:r>
          </w:p>
        </w:tc>
        <w:tc>
          <w:tcPr>
            <w:tcW w:w="942" w:type="dxa"/>
            <w:tcBorders>
              <w:top w:val="single" w:color="auto" w:sz="4" w:space="0"/>
              <w:left w:val="nil"/>
              <w:bottom w:val="single" w:color="auto" w:sz="4" w:space="0"/>
              <w:right w:val="single" w:color="auto" w:sz="4" w:space="0"/>
            </w:tcBorders>
            <w:noWrap/>
            <w:vAlign w:val="center"/>
          </w:tcPr>
          <w:p w14:paraId="0CB8AF5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10</w:t>
            </w:r>
          </w:p>
        </w:tc>
        <w:tc>
          <w:tcPr>
            <w:tcW w:w="1412" w:type="dxa"/>
            <w:tcBorders>
              <w:top w:val="single" w:color="auto" w:sz="4" w:space="0"/>
              <w:left w:val="nil"/>
              <w:bottom w:val="single" w:color="auto" w:sz="4" w:space="0"/>
              <w:right w:val="single" w:color="auto" w:sz="4" w:space="0"/>
            </w:tcBorders>
            <w:noWrap/>
            <w:vAlign w:val="center"/>
          </w:tcPr>
          <w:p w14:paraId="661A56F6">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 w:val="18"/>
                <w:szCs w:val="18"/>
                <w:highlight w:val="none"/>
              </w:rPr>
            </w:pPr>
            <w:r>
              <w:rPr>
                <w:rFonts w:hint="eastAsia" w:ascii="仿宋_GB2312" w:hAnsi="仿宋_GB2312" w:eastAsia="仿宋_GB2312" w:cs="仿宋_GB2312"/>
                <w:bCs/>
                <w:color w:val="auto"/>
                <w:kern w:val="0"/>
                <w:sz w:val="18"/>
                <w:szCs w:val="18"/>
                <w:highlight w:val="none"/>
                <w:lang w:bidi="ar"/>
              </w:rPr>
              <w:t>如不符合要求：</w:t>
            </w:r>
            <w:r>
              <w:rPr>
                <w:rFonts w:hint="eastAsia" w:ascii="仿宋_GB2312" w:hAnsi="仿宋_GB2312" w:eastAsia="仿宋_GB2312" w:cs="仿宋_GB2312"/>
                <w:bCs/>
                <w:color w:val="auto"/>
                <w:sz w:val="18"/>
                <w:szCs w:val="18"/>
                <w:highlight w:val="none"/>
                <w:lang w:bidi="ar"/>
              </w:rPr>
              <w:t>每发现一处扣</w:t>
            </w:r>
            <w:r>
              <w:rPr>
                <w:rFonts w:hint="eastAsia" w:ascii="仿宋_GB2312" w:hAnsi="仿宋_GB2312" w:eastAsia="仿宋_GB2312" w:cs="仿宋_GB2312"/>
                <w:bCs/>
                <w:color w:val="auto"/>
                <w:sz w:val="18"/>
                <w:szCs w:val="18"/>
                <w:highlight w:val="none"/>
                <w:lang w:val="en-US" w:eastAsia="zh-CN" w:bidi="ar"/>
              </w:rPr>
              <w:t>2</w:t>
            </w:r>
            <w:r>
              <w:rPr>
                <w:rFonts w:hint="eastAsia" w:ascii="仿宋_GB2312" w:hAnsi="仿宋_GB2312" w:eastAsia="仿宋_GB2312" w:cs="仿宋_GB2312"/>
                <w:bCs/>
                <w:color w:val="auto"/>
                <w:sz w:val="18"/>
                <w:szCs w:val="18"/>
                <w:highlight w:val="none"/>
                <w:lang w:bidi="ar"/>
              </w:rPr>
              <w:t>分。（</w:t>
            </w:r>
            <w:r>
              <w:rPr>
                <w:rFonts w:hint="eastAsia" w:ascii="仿宋_GB2312" w:hAnsi="仿宋_GB2312" w:eastAsia="仿宋_GB2312" w:cs="仿宋_GB2312"/>
                <w:bCs/>
                <w:color w:val="auto"/>
                <w:sz w:val="18"/>
                <w:szCs w:val="18"/>
                <w:highlight w:val="none"/>
                <w:lang w:val="en-US" w:eastAsia="zh-CN" w:bidi="ar"/>
              </w:rPr>
              <w:t>10</w:t>
            </w:r>
            <w:r>
              <w:rPr>
                <w:rFonts w:hint="eastAsia" w:ascii="仿宋_GB2312" w:hAnsi="仿宋_GB2312" w:eastAsia="仿宋_GB2312" w:cs="仿宋_GB2312"/>
                <w:bCs/>
                <w:color w:val="auto"/>
                <w:sz w:val="18"/>
                <w:szCs w:val="18"/>
                <w:highlight w:val="none"/>
                <w:lang w:bidi="ar"/>
              </w:rPr>
              <w:t>分）</w:t>
            </w:r>
          </w:p>
        </w:tc>
        <w:tc>
          <w:tcPr>
            <w:tcW w:w="743" w:type="dxa"/>
            <w:tcBorders>
              <w:top w:val="single" w:color="auto" w:sz="4" w:space="0"/>
              <w:left w:val="nil"/>
              <w:bottom w:val="single" w:color="auto" w:sz="4" w:space="0"/>
              <w:right w:val="single" w:color="auto" w:sz="4" w:space="0"/>
            </w:tcBorders>
            <w:noWrap/>
            <w:vAlign w:val="center"/>
          </w:tcPr>
          <w:p w14:paraId="0813F970">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Cs w:val="21"/>
                <w:highlight w:val="none"/>
              </w:rPr>
            </w:pPr>
          </w:p>
        </w:tc>
      </w:tr>
      <w:tr w14:paraId="619A1D8F">
        <w:tblPrEx>
          <w:tblCellMar>
            <w:top w:w="0" w:type="dxa"/>
            <w:left w:w="108" w:type="dxa"/>
            <w:bottom w:w="0" w:type="dxa"/>
            <w:right w:w="108" w:type="dxa"/>
          </w:tblCellMar>
        </w:tblPrEx>
        <w:trPr>
          <w:trHeight w:val="92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B830D8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五</w:t>
            </w:r>
          </w:p>
        </w:tc>
        <w:tc>
          <w:tcPr>
            <w:tcW w:w="1200" w:type="dxa"/>
            <w:tcBorders>
              <w:top w:val="single" w:color="auto" w:sz="4" w:space="0"/>
              <w:left w:val="nil"/>
              <w:bottom w:val="single" w:color="auto" w:sz="4" w:space="0"/>
              <w:right w:val="single" w:color="auto" w:sz="4" w:space="0"/>
            </w:tcBorders>
            <w:noWrap/>
            <w:vAlign w:val="center"/>
          </w:tcPr>
          <w:p w14:paraId="64E8D26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闸门（水下）专项检查养护</w:t>
            </w:r>
          </w:p>
        </w:tc>
        <w:tc>
          <w:tcPr>
            <w:tcW w:w="4524" w:type="dxa"/>
            <w:tcBorders>
              <w:top w:val="single" w:color="auto" w:sz="4" w:space="0"/>
              <w:left w:val="single" w:color="auto" w:sz="4" w:space="0"/>
              <w:bottom w:val="single" w:color="auto" w:sz="4" w:space="0"/>
              <w:right w:val="single" w:color="auto" w:sz="4" w:space="0"/>
            </w:tcBorders>
            <w:noWrap/>
            <w:vAlign w:val="center"/>
          </w:tcPr>
          <w:p w14:paraId="59AAD75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r>
              <w:rPr>
                <w:rFonts w:hint="eastAsia" w:ascii="仿宋_GB2312" w:hAnsi="仿宋_GB2312" w:eastAsia="仿宋_GB2312" w:cs="仿宋_GB2312"/>
                <w:bCs/>
                <w:color w:val="auto"/>
                <w:kern w:val="0"/>
                <w:sz w:val="21"/>
                <w:szCs w:val="21"/>
                <w:highlight w:val="none"/>
                <w:lang w:val="en-US" w:eastAsia="zh-CN" w:bidi="ar"/>
              </w:rPr>
              <w:t>在汛前、汛后水位较低时，积极配合做好专项检查辅助工作，对相关区域、部位进行养护保洁。</w:t>
            </w:r>
          </w:p>
        </w:tc>
        <w:tc>
          <w:tcPr>
            <w:tcW w:w="942" w:type="dxa"/>
            <w:tcBorders>
              <w:top w:val="single" w:color="auto" w:sz="4" w:space="0"/>
              <w:left w:val="nil"/>
              <w:bottom w:val="single" w:color="auto" w:sz="4" w:space="0"/>
              <w:right w:val="single" w:color="auto" w:sz="4" w:space="0"/>
            </w:tcBorders>
            <w:noWrap/>
            <w:vAlign w:val="center"/>
          </w:tcPr>
          <w:p w14:paraId="15D278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10</w:t>
            </w:r>
          </w:p>
        </w:tc>
        <w:tc>
          <w:tcPr>
            <w:tcW w:w="1412" w:type="dxa"/>
            <w:tcBorders>
              <w:top w:val="single" w:color="auto" w:sz="4" w:space="0"/>
              <w:left w:val="nil"/>
              <w:bottom w:val="single" w:color="auto" w:sz="4" w:space="0"/>
              <w:right w:val="single" w:color="auto" w:sz="4" w:space="0"/>
            </w:tcBorders>
            <w:noWrap/>
            <w:vAlign w:val="center"/>
          </w:tcPr>
          <w:p w14:paraId="275F16F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lang w:val="en-US" w:eastAsia="zh-CN" w:bidi="ar"/>
              </w:rPr>
              <w:t>按要求配合，</w:t>
            </w:r>
            <w:r>
              <w:rPr>
                <w:rFonts w:hint="eastAsia" w:ascii="仿宋_GB2312" w:hAnsi="仿宋_GB2312" w:eastAsia="仿宋_GB2312" w:cs="仿宋_GB2312"/>
                <w:bCs/>
                <w:color w:val="auto"/>
                <w:kern w:val="0"/>
                <w:sz w:val="18"/>
                <w:szCs w:val="18"/>
                <w:highlight w:val="none"/>
                <w:lang w:bidi="ar"/>
              </w:rPr>
              <w:t>如不</w:t>
            </w:r>
            <w:r>
              <w:rPr>
                <w:rFonts w:hint="eastAsia" w:ascii="仿宋_GB2312" w:hAnsi="仿宋_GB2312" w:eastAsia="仿宋_GB2312" w:cs="仿宋_GB2312"/>
                <w:bCs/>
                <w:color w:val="auto"/>
                <w:kern w:val="0"/>
                <w:sz w:val="18"/>
                <w:szCs w:val="18"/>
                <w:highlight w:val="none"/>
                <w:lang w:val="en-US" w:eastAsia="zh-CN" w:bidi="ar"/>
              </w:rPr>
              <w:t>及时配合，</w:t>
            </w:r>
            <w:r>
              <w:rPr>
                <w:rFonts w:hint="eastAsia" w:ascii="仿宋_GB2312" w:hAnsi="仿宋_GB2312" w:eastAsia="仿宋_GB2312" w:cs="仿宋_GB2312"/>
                <w:bCs/>
                <w:color w:val="auto"/>
                <w:sz w:val="18"/>
                <w:szCs w:val="18"/>
                <w:highlight w:val="none"/>
                <w:lang w:bidi="ar"/>
              </w:rPr>
              <w:t>每发现一</w:t>
            </w:r>
            <w:r>
              <w:rPr>
                <w:rFonts w:hint="eastAsia" w:ascii="仿宋_GB2312" w:hAnsi="仿宋_GB2312" w:eastAsia="仿宋_GB2312" w:cs="仿宋_GB2312"/>
                <w:bCs/>
                <w:color w:val="auto"/>
                <w:sz w:val="18"/>
                <w:szCs w:val="18"/>
                <w:highlight w:val="none"/>
                <w:lang w:val="en-US" w:eastAsia="zh-CN" w:bidi="ar"/>
              </w:rPr>
              <w:t>次</w:t>
            </w:r>
            <w:r>
              <w:rPr>
                <w:rFonts w:hint="eastAsia" w:ascii="仿宋_GB2312" w:hAnsi="仿宋_GB2312" w:eastAsia="仿宋_GB2312" w:cs="仿宋_GB2312"/>
                <w:bCs/>
                <w:color w:val="auto"/>
                <w:sz w:val="18"/>
                <w:szCs w:val="18"/>
                <w:highlight w:val="none"/>
                <w:lang w:bidi="ar"/>
              </w:rPr>
              <w:t>扣</w:t>
            </w:r>
            <w:r>
              <w:rPr>
                <w:rFonts w:hint="eastAsia" w:ascii="仿宋_GB2312" w:hAnsi="仿宋_GB2312" w:eastAsia="仿宋_GB2312" w:cs="仿宋_GB2312"/>
                <w:bCs/>
                <w:color w:val="auto"/>
                <w:sz w:val="18"/>
                <w:szCs w:val="18"/>
                <w:highlight w:val="none"/>
                <w:lang w:val="en-US" w:eastAsia="zh-CN" w:bidi="ar"/>
              </w:rPr>
              <w:t>5</w:t>
            </w:r>
            <w:r>
              <w:rPr>
                <w:rFonts w:hint="eastAsia" w:ascii="仿宋_GB2312" w:hAnsi="仿宋_GB2312" w:eastAsia="仿宋_GB2312" w:cs="仿宋_GB2312"/>
                <w:bCs/>
                <w:color w:val="auto"/>
                <w:sz w:val="18"/>
                <w:szCs w:val="18"/>
                <w:highlight w:val="none"/>
                <w:lang w:bidi="ar"/>
              </w:rPr>
              <w:t>分。（</w:t>
            </w:r>
            <w:r>
              <w:rPr>
                <w:rFonts w:hint="eastAsia" w:ascii="仿宋_GB2312" w:hAnsi="仿宋_GB2312" w:eastAsia="仿宋_GB2312" w:cs="仿宋_GB2312"/>
                <w:bCs/>
                <w:color w:val="auto"/>
                <w:sz w:val="18"/>
                <w:szCs w:val="18"/>
                <w:highlight w:val="none"/>
                <w:lang w:val="en-US" w:eastAsia="zh-CN" w:bidi="ar"/>
              </w:rPr>
              <w:t>10</w:t>
            </w:r>
            <w:r>
              <w:rPr>
                <w:rFonts w:hint="eastAsia" w:ascii="仿宋_GB2312" w:hAnsi="仿宋_GB2312" w:eastAsia="仿宋_GB2312" w:cs="仿宋_GB2312"/>
                <w:bCs/>
                <w:color w:val="auto"/>
                <w:sz w:val="18"/>
                <w:szCs w:val="18"/>
                <w:highlight w:val="none"/>
                <w:lang w:bidi="ar"/>
              </w:rPr>
              <w:t>分）</w:t>
            </w:r>
          </w:p>
        </w:tc>
        <w:tc>
          <w:tcPr>
            <w:tcW w:w="743" w:type="dxa"/>
            <w:tcBorders>
              <w:top w:val="single" w:color="auto" w:sz="4" w:space="0"/>
              <w:left w:val="nil"/>
              <w:bottom w:val="single" w:color="auto" w:sz="4" w:space="0"/>
              <w:right w:val="single" w:color="auto" w:sz="4" w:space="0"/>
            </w:tcBorders>
            <w:noWrap/>
            <w:vAlign w:val="center"/>
          </w:tcPr>
          <w:p w14:paraId="47671EB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Cs w:val="21"/>
                <w:highlight w:val="none"/>
              </w:rPr>
            </w:pPr>
          </w:p>
        </w:tc>
      </w:tr>
      <w:tr w14:paraId="0F381AFA">
        <w:tblPrEx>
          <w:tblCellMar>
            <w:top w:w="0" w:type="dxa"/>
            <w:left w:w="108" w:type="dxa"/>
            <w:bottom w:w="0" w:type="dxa"/>
            <w:right w:w="108" w:type="dxa"/>
          </w:tblCellMar>
        </w:tblPrEx>
        <w:trPr>
          <w:trHeight w:val="92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66DC0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六</w:t>
            </w:r>
          </w:p>
        </w:tc>
        <w:tc>
          <w:tcPr>
            <w:tcW w:w="1200" w:type="dxa"/>
            <w:tcBorders>
              <w:top w:val="single" w:color="auto" w:sz="4" w:space="0"/>
              <w:left w:val="nil"/>
              <w:bottom w:val="single" w:color="auto" w:sz="4" w:space="0"/>
              <w:right w:val="single" w:color="auto" w:sz="4" w:space="0"/>
            </w:tcBorders>
            <w:noWrap/>
            <w:vAlign w:val="center"/>
          </w:tcPr>
          <w:p w14:paraId="3045C27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水闸清淤</w:t>
            </w:r>
          </w:p>
        </w:tc>
        <w:tc>
          <w:tcPr>
            <w:tcW w:w="4524" w:type="dxa"/>
            <w:tcBorders>
              <w:top w:val="single" w:color="auto" w:sz="4" w:space="0"/>
              <w:left w:val="single" w:color="auto" w:sz="4" w:space="0"/>
              <w:bottom w:val="single" w:color="auto" w:sz="4" w:space="0"/>
              <w:right w:val="single" w:color="auto" w:sz="4" w:space="0"/>
            </w:tcBorders>
            <w:noWrap/>
            <w:vAlign w:val="center"/>
          </w:tcPr>
          <w:p w14:paraId="3F9FEA71">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清淤完成后，保证水闸上游连接段、闸室、下游连接段无淤泥、杂物，水流平顺。</w:t>
            </w:r>
          </w:p>
        </w:tc>
        <w:tc>
          <w:tcPr>
            <w:tcW w:w="942" w:type="dxa"/>
            <w:tcBorders>
              <w:top w:val="single" w:color="auto" w:sz="4" w:space="0"/>
              <w:left w:val="nil"/>
              <w:bottom w:val="single" w:color="auto" w:sz="4" w:space="0"/>
              <w:right w:val="single" w:color="auto" w:sz="4" w:space="0"/>
            </w:tcBorders>
            <w:noWrap/>
            <w:vAlign w:val="center"/>
          </w:tcPr>
          <w:p w14:paraId="50FD65F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10</w:t>
            </w:r>
          </w:p>
        </w:tc>
        <w:tc>
          <w:tcPr>
            <w:tcW w:w="1412" w:type="dxa"/>
            <w:tcBorders>
              <w:top w:val="single" w:color="auto" w:sz="4" w:space="0"/>
              <w:left w:val="nil"/>
              <w:bottom w:val="single" w:color="auto" w:sz="4" w:space="0"/>
              <w:right w:val="single" w:color="auto" w:sz="4" w:space="0"/>
            </w:tcBorders>
            <w:noWrap/>
            <w:vAlign w:val="center"/>
          </w:tcPr>
          <w:p w14:paraId="2D126F7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18"/>
                <w:szCs w:val="18"/>
                <w:highlight w:val="none"/>
                <w:lang w:val="en-US" w:eastAsia="zh-CN" w:bidi="ar"/>
              </w:rPr>
            </w:pPr>
            <w:r>
              <w:rPr>
                <w:rFonts w:hint="eastAsia" w:ascii="仿宋_GB2312" w:hAnsi="仿宋_GB2312" w:eastAsia="仿宋_GB2312" w:cs="仿宋_GB2312"/>
                <w:bCs/>
                <w:color w:val="auto"/>
                <w:kern w:val="0"/>
                <w:sz w:val="18"/>
                <w:szCs w:val="18"/>
                <w:highlight w:val="none"/>
                <w:lang w:bidi="ar"/>
              </w:rPr>
              <w:t>如不符合要求：</w:t>
            </w:r>
            <w:r>
              <w:rPr>
                <w:rFonts w:hint="eastAsia" w:ascii="仿宋_GB2312" w:hAnsi="仿宋_GB2312" w:eastAsia="仿宋_GB2312" w:cs="仿宋_GB2312"/>
                <w:bCs/>
                <w:color w:val="auto"/>
                <w:sz w:val="18"/>
                <w:szCs w:val="18"/>
                <w:highlight w:val="none"/>
                <w:lang w:bidi="ar"/>
              </w:rPr>
              <w:t>每发现一处扣</w:t>
            </w:r>
            <w:r>
              <w:rPr>
                <w:rFonts w:hint="eastAsia" w:ascii="仿宋_GB2312" w:hAnsi="仿宋_GB2312" w:eastAsia="仿宋_GB2312" w:cs="仿宋_GB2312"/>
                <w:bCs/>
                <w:color w:val="auto"/>
                <w:sz w:val="18"/>
                <w:szCs w:val="18"/>
                <w:highlight w:val="none"/>
                <w:lang w:val="en-US" w:eastAsia="zh-CN" w:bidi="ar"/>
              </w:rPr>
              <w:t>10</w:t>
            </w:r>
            <w:r>
              <w:rPr>
                <w:rFonts w:hint="eastAsia" w:ascii="仿宋_GB2312" w:hAnsi="仿宋_GB2312" w:eastAsia="仿宋_GB2312" w:cs="仿宋_GB2312"/>
                <w:bCs/>
                <w:color w:val="auto"/>
                <w:sz w:val="18"/>
                <w:szCs w:val="18"/>
                <w:highlight w:val="none"/>
                <w:lang w:bidi="ar"/>
              </w:rPr>
              <w:t>分</w:t>
            </w:r>
            <w:r>
              <w:rPr>
                <w:rFonts w:hint="eastAsia" w:ascii="仿宋_GB2312" w:hAnsi="仿宋_GB2312" w:eastAsia="仿宋_GB2312" w:cs="仿宋_GB2312"/>
                <w:bCs/>
                <w:color w:val="auto"/>
                <w:sz w:val="18"/>
                <w:szCs w:val="18"/>
                <w:highlight w:val="none"/>
                <w:lang w:eastAsia="zh-CN" w:bidi="ar"/>
              </w:rPr>
              <w:t>。</w:t>
            </w:r>
            <w:r>
              <w:rPr>
                <w:rFonts w:hint="eastAsia" w:ascii="仿宋_GB2312" w:hAnsi="仿宋_GB2312" w:eastAsia="仿宋_GB2312" w:cs="仿宋_GB2312"/>
                <w:bCs/>
                <w:color w:val="auto"/>
                <w:sz w:val="18"/>
                <w:szCs w:val="18"/>
                <w:highlight w:val="none"/>
                <w:lang w:bidi="ar"/>
              </w:rPr>
              <w:t>（</w:t>
            </w:r>
            <w:r>
              <w:rPr>
                <w:rFonts w:hint="eastAsia" w:ascii="仿宋_GB2312" w:hAnsi="仿宋_GB2312" w:eastAsia="仿宋_GB2312" w:cs="仿宋_GB2312"/>
                <w:bCs/>
                <w:color w:val="auto"/>
                <w:sz w:val="18"/>
                <w:szCs w:val="18"/>
                <w:highlight w:val="none"/>
                <w:lang w:val="en-US" w:eastAsia="zh-CN" w:bidi="ar"/>
              </w:rPr>
              <w:t>10</w:t>
            </w:r>
            <w:r>
              <w:rPr>
                <w:rFonts w:hint="eastAsia" w:ascii="仿宋_GB2312" w:hAnsi="仿宋_GB2312" w:eastAsia="仿宋_GB2312" w:cs="仿宋_GB2312"/>
                <w:bCs/>
                <w:color w:val="auto"/>
                <w:sz w:val="18"/>
                <w:szCs w:val="18"/>
                <w:highlight w:val="none"/>
                <w:lang w:bidi="ar"/>
              </w:rPr>
              <w:t>分）</w:t>
            </w:r>
          </w:p>
        </w:tc>
        <w:tc>
          <w:tcPr>
            <w:tcW w:w="743" w:type="dxa"/>
            <w:tcBorders>
              <w:top w:val="single" w:color="auto" w:sz="4" w:space="0"/>
              <w:left w:val="nil"/>
              <w:bottom w:val="single" w:color="auto" w:sz="4" w:space="0"/>
              <w:right w:val="single" w:color="auto" w:sz="4" w:space="0"/>
            </w:tcBorders>
            <w:noWrap/>
            <w:vAlign w:val="center"/>
          </w:tcPr>
          <w:p w14:paraId="31B3493A">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Cs w:val="21"/>
                <w:highlight w:val="none"/>
              </w:rPr>
            </w:pPr>
          </w:p>
        </w:tc>
      </w:tr>
      <w:tr w14:paraId="1E6E79B0">
        <w:tblPrEx>
          <w:tblCellMar>
            <w:top w:w="0" w:type="dxa"/>
            <w:left w:w="108" w:type="dxa"/>
            <w:bottom w:w="0" w:type="dxa"/>
            <w:right w:w="108" w:type="dxa"/>
          </w:tblCellMar>
        </w:tblPrEx>
        <w:trPr>
          <w:trHeight w:val="1247"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4BCFBA7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七</w:t>
            </w:r>
          </w:p>
        </w:tc>
        <w:tc>
          <w:tcPr>
            <w:tcW w:w="1200" w:type="dxa"/>
            <w:tcBorders>
              <w:top w:val="single" w:color="auto" w:sz="4" w:space="0"/>
              <w:left w:val="nil"/>
              <w:bottom w:val="single" w:color="auto" w:sz="4" w:space="0"/>
              <w:right w:val="single" w:color="auto" w:sz="4" w:space="0"/>
            </w:tcBorders>
            <w:noWrap/>
            <w:vAlign w:val="center"/>
          </w:tcPr>
          <w:p w14:paraId="406ADE4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启闭机油漆</w:t>
            </w:r>
          </w:p>
        </w:tc>
        <w:tc>
          <w:tcPr>
            <w:tcW w:w="4524" w:type="dxa"/>
            <w:tcBorders>
              <w:top w:val="single" w:color="auto" w:sz="4" w:space="0"/>
              <w:left w:val="single" w:color="auto" w:sz="4" w:space="0"/>
              <w:bottom w:val="single" w:color="auto" w:sz="4" w:space="0"/>
              <w:right w:val="single" w:color="auto" w:sz="4" w:space="0"/>
            </w:tcBorders>
            <w:noWrap/>
            <w:vAlign w:val="center"/>
          </w:tcPr>
          <w:p w14:paraId="2DF656F3">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油漆表面平整度、亮度、符合甲方要求。</w:t>
            </w:r>
          </w:p>
        </w:tc>
        <w:tc>
          <w:tcPr>
            <w:tcW w:w="942" w:type="dxa"/>
            <w:tcBorders>
              <w:top w:val="single" w:color="auto" w:sz="4" w:space="0"/>
              <w:left w:val="nil"/>
              <w:bottom w:val="single" w:color="auto" w:sz="4" w:space="0"/>
              <w:right w:val="single" w:color="auto" w:sz="4" w:space="0"/>
            </w:tcBorders>
            <w:noWrap/>
            <w:vAlign w:val="center"/>
          </w:tcPr>
          <w:p w14:paraId="3E7A09E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10</w:t>
            </w:r>
          </w:p>
        </w:tc>
        <w:tc>
          <w:tcPr>
            <w:tcW w:w="1412" w:type="dxa"/>
            <w:tcBorders>
              <w:top w:val="single" w:color="auto" w:sz="4" w:space="0"/>
              <w:left w:val="nil"/>
              <w:bottom w:val="single" w:color="auto" w:sz="4" w:space="0"/>
              <w:right w:val="single" w:color="auto" w:sz="4" w:space="0"/>
            </w:tcBorders>
            <w:noWrap/>
            <w:vAlign w:val="center"/>
          </w:tcPr>
          <w:p w14:paraId="5F9BB6EB">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18"/>
                <w:szCs w:val="18"/>
                <w:highlight w:val="none"/>
                <w:lang w:val="en-US" w:eastAsia="zh-CN" w:bidi="ar"/>
              </w:rPr>
            </w:pPr>
            <w:r>
              <w:rPr>
                <w:rFonts w:hint="eastAsia" w:ascii="仿宋_GB2312" w:hAnsi="仿宋_GB2312" w:eastAsia="仿宋_GB2312" w:cs="仿宋_GB2312"/>
                <w:bCs/>
                <w:color w:val="auto"/>
                <w:kern w:val="0"/>
                <w:sz w:val="18"/>
                <w:szCs w:val="18"/>
                <w:highlight w:val="none"/>
                <w:lang w:bidi="ar"/>
              </w:rPr>
              <w:t>不符合要求：</w:t>
            </w:r>
            <w:r>
              <w:rPr>
                <w:rFonts w:hint="eastAsia" w:ascii="仿宋_GB2312" w:hAnsi="仿宋_GB2312" w:eastAsia="仿宋_GB2312" w:cs="仿宋_GB2312"/>
                <w:bCs/>
                <w:color w:val="auto"/>
                <w:sz w:val="18"/>
                <w:szCs w:val="18"/>
                <w:highlight w:val="none"/>
                <w:lang w:bidi="ar"/>
              </w:rPr>
              <w:t>每发现一处扣</w:t>
            </w:r>
            <w:r>
              <w:rPr>
                <w:rFonts w:hint="eastAsia" w:ascii="仿宋_GB2312" w:hAnsi="仿宋_GB2312" w:eastAsia="仿宋_GB2312" w:cs="仿宋_GB2312"/>
                <w:bCs/>
                <w:color w:val="auto"/>
                <w:sz w:val="18"/>
                <w:szCs w:val="18"/>
                <w:highlight w:val="none"/>
                <w:lang w:val="en-US" w:eastAsia="zh-CN" w:bidi="ar"/>
              </w:rPr>
              <w:t>10</w:t>
            </w:r>
            <w:r>
              <w:rPr>
                <w:rFonts w:hint="eastAsia" w:ascii="仿宋_GB2312" w:hAnsi="仿宋_GB2312" w:eastAsia="仿宋_GB2312" w:cs="仿宋_GB2312"/>
                <w:bCs/>
                <w:color w:val="auto"/>
                <w:sz w:val="18"/>
                <w:szCs w:val="18"/>
                <w:highlight w:val="none"/>
                <w:lang w:bidi="ar"/>
              </w:rPr>
              <w:t>分</w:t>
            </w:r>
            <w:r>
              <w:rPr>
                <w:rFonts w:hint="eastAsia" w:ascii="仿宋_GB2312" w:hAnsi="仿宋_GB2312" w:eastAsia="仿宋_GB2312" w:cs="仿宋_GB2312"/>
                <w:bCs/>
                <w:color w:val="auto"/>
                <w:sz w:val="18"/>
                <w:szCs w:val="18"/>
                <w:highlight w:val="none"/>
                <w:lang w:eastAsia="zh-CN" w:bidi="ar"/>
              </w:rPr>
              <w:t>。</w:t>
            </w:r>
            <w:r>
              <w:rPr>
                <w:rFonts w:hint="eastAsia" w:ascii="仿宋_GB2312" w:hAnsi="仿宋_GB2312" w:eastAsia="仿宋_GB2312" w:cs="仿宋_GB2312"/>
                <w:bCs/>
                <w:color w:val="auto"/>
                <w:sz w:val="18"/>
                <w:szCs w:val="18"/>
                <w:highlight w:val="none"/>
                <w:lang w:bidi="ar"/>
              </w:rPr>
              <w:t>（</w:t>
            </w:r>
            <w:r>
              <w:rPr>
                <w:rFonts w:hint="eastAsia" w:ascii="仿宋_GB2312" w:hAnsi="仿宋_GB2312" w:eastAsia="仿宋_GB2312" w:cs="仿宋_GB2312"/>
                <w:bCs/>
                <w:color w:val="auto"/>
                <w:sz w:val="18"/>
                <w:szCs w:val="18"/>
                <w:highlight w:val="none"/>
                <w:lang w:val="en-US" w:eastAsia="zh-CN" w:bidi="ar"/>
              </w:rPr>
              <w:t>10</w:t>
            </w:r>
            <w:r>
              <w:rPr>
                <w:rFonts w:hint="eastAsia" w:ascii="仿宋_GB2312" w:hAnsi="仿宋_GB2312" w:eastAsia="仿宋_GB2312" w:cs="仿宋_GB2312"/>
                <w:bCs/>
                <w:color w:val="auto"/>
                <w:sz w:val="18"/>
                <w:szCs w:val="18"/>
                <w:highlight w:val="none"/>
                <w:lang w:bidi="ar"/>
              </w:rPr>
              <w:t>分）</w:t>
            </w:r>
          </w:p>
        </w:tc>
        <w:tc>
          <w:tcPr>
            <w:tcW w:w="743" w:type="dxa"/>
            <w:tcBorders>
              <w:top w:val="single" w:color="auto" w:sz="4" w:space="0"/>
              <w:left w:val="nil"/>
              <w:bottom w:val="single" w:color="auto" w:sz="4" w:space="0"/>
              <w:right w:val="single" w:color="auto" w:sz="4" w:space="0"/>
            </w:tcBorders>
            <w:noWrap/>
            <w:vAlign w:val="center"/>
          </w:tcPr>
          <w:p w14:paraId="005D177E">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Cs w:val="21"/>
                <w:highlight w:val="none"/>
              </w:rPr>
            </w:pPr>
          </w:p>
        </w:tc>
      </w:tr>
      <w:tr w14:paraId="4317163F">
        <w:tblPrEx>
          <w:tblCellMar>
            <w:top w:w="0" w:type="dxa"/>
            <w:left w:w="108" w:type="dxa"/>
            <w:bottom w:w="0" w:type="dxa"/>
            <w:right w:w="108" w:type="dxa"/>
          </w:tblCellMar>
        </w:tblPrEx>
        <w:trPr>
          <w:trHeight w:val="3471"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7529D31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八</w:t>
            </w:r>
          </w:p>
        </w:tc>
        <w:tc>
          <w:tcPr>
            <w:tcW w:w="1200" w:type="dxa"/>
            <w:tcBorders>
              <w:top w:val="single" w:color="auto" w:sz="4" w:space="0"/>
              <w:left w:val="nil"/>
              <w:bottom w:val="single" w:color="auto" w:sz="4" w:space="0"/>
              <w:right w:val="single" w:color="auto" w:sz="4" w:space="0"/>
            </w:tcBorders>
            <w:noWrap/>
            <w:vAlign w:val="center"/>
          </w:tcPr>
          <w:p w14:paraId="5ED6AFF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安全生产</w:t>
            </w:r>
          </w:p>
        </w:tc>
        <w:tc>
          <w:tcPr>
            <w:tcW w:w="4524" w:type="dxa"/>
            <w:tcBorders>
              <w:top w:val="single" w:color="auto" w:sz="4" w:space="0"/>
              <w:left w:val="single" w:color="auto" w:sz="4" w:space="0"/>
              <w:bottom w:val="single" w:color="auto" w:sz="4" w:space="0"/>
              <w:right w:val="single" w:color="auto" w:sz="4" w:space="0"/>
            </w:tcBorders>
            <w:noWrap/>
            <w:vAlign w:val="center"/>
          </w:tcPr>
          <w:p w14:paraId="16AE86E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落实对养护人员的安全教育，养护期间养护人员安全防护用品穿戴规范正确；特种作业人员必须持特种作业证上岗；临水临空等安全风险较大的作业应有现场安全监督人员现场监督，并通知管理单位技术人员到场。</w:t>
            </w:r>
          </w:p>
        </w:tc>
        <w:tc>
          <w:tcPr>
            <w:tcW w:w="942" w:type="dxa"/>
            <w:tcBorders>
              <w:top w:val="single" w:color="auto" w:sz="4" w:space="0"/>
              <w:left w:val="nil"/>
              <w:bottom w:val="single" w:color="auto" w:sz="4" w:space="0"/>
              <w:right w:val="single" w:color="auto" w:sz="4" w:space="0"/>
            </w:tcBorders>
            <w:shd w:val="clear" w:color="auto" w:fill="auto"/>
            <w:noWrap/>
            <w:vAlign w:val="center"/>
          </w:tcPr>
          <w:p w14:paraId="04BBA6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30</w:t>
            </w:r>
          </w:p>
        </w:tc>
        <w:tc>
          <w:tcPr>
            <w:tcW w:w="1412" w:type="dxa"/>
            <w:tcBorders>
              <w:top w:val="single" w:color="auto" w:sz="4" w:space="0"/>
              <w:left w:val="nil"/>
              <w:bottom w:val="single" w:color="auto" w:sz="4" w:space="0"/>
              <w:right w:val="single" w:color="auto" w:sz="4" w:space="0"/>
            </w:tcBorders>
            <w:noWrap/>
            <w:vAlign w:val="center"/>
          </w:tcPr>
          <w:p w14:paraId="49377C71">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仿宋_GB2312" w:hAnsi="仿宋_GB2312" w:eastAsia="仿宋_GB2312" w:cs="仿宋_GB2312"/>
                <w:bCs/>
                <w:color w:val="auto"/>
                <w:kern w:val="2"/>
                <w:sz w:val="18"/>
                <w:szCs w:val="18"/>
                <w:highlight w:val="none"/>
                <w:lang w:val="en-US" w:eastAsia="zh-CN" w:bidi="ar-SA"/>
              </w:rPr>
            </w:pPr>
            <w:r>
              <w:rPr>
                <w:rFonts w:hint="eastAsia" w:ascii="仿宋_GB2312" w:hAnsi="仿宋_GB2312" w:eastAsia="仿宋_GB2312" w:cs="仿宋_GB2312"/>
                <w:bCs/>
                <w:color w:val="auto"/>
                <w:kern w:val="0"/>
                <w:sz w:val="18"/>
                <w:szCs w:val="18"/>
                <w:highlight w:val="none"/>
                <w:lang w:val="en-US" w:eastAsia="zh-CN" w:bidi="ar"/>
              </w:rPr>
              <w:t>日常监管过程中发现少佩戴一个安全防护用品，扣5分。未持特种作业证上岗的，扣30分；临水临空作业现场无安全监督人员的扣10分，未通知管理单位技术人员，扣5分。</w:t>
            </w:r>
            <w:r>
              <w:rPr>
                <w:rFonts w:hint="eastAsia" w:ascii="仿宋_GB2312" w:hAnsi="仿宋_GB2312" w:eastAsia="仿宋_GB2312" w:cs="仿宋_GB2312"/>
                <w:bCs/>
                <w:color w:val="auto"/>
                <w:sz w:val="18"/>
                <w:szCs w:val="18"/>
                <w:highlight w:val="none"/>
                <w:lang w:bidi="ar"/>
              </w:rPr>
              <w:t>（</w:t>
            </w:r>
            <w:r>
              <w:rPr>
                <w:rFonts w:hint="eastAsia" w:ascii="仿宋_GB2312" w:hAnsi="仿宋_GB2312" w:eastAsia="仿宋_GB2312" w:cs="仿宋_GB2312"/>
                <w:bCs/>
                <w:color w:val="auto"/>
                <w:sz w:val="18"/>
                <w:szCs w:val="18"/>
                <w:highlight w:val="none"/>
                <w:lang w:val="en-US" w:eastAsia="zh-CN" w:bidi="ar"/>
              </w:rPr>
              <w:t>30</w:t>
            </w:r>
            <w:r>
              <w:rPr>
                <w:rFonts w:hint="eastAsia" w:ascii="仿宋_GB2312" w:hAnsi="仿宋_GB2312" w:eastAsia="仿宋_GB2312" w:cs="仿宋_GB2312"/>
                <w:bCs/>
                <w:color w:val="auto"/>
                <w:sz w:val="18"/>
                <w:szCs w:val="18"/>
                <w:highlight w:val="none"/>
                <w:lang w:bidi="ar"/>
              </w:rPr>
              <w:t>分）</w:t>
            </w:r>
          </w:p>
        </w:tc>
        <w:tc>
          <w:tcPr>
            <w:tcW w:w="743" w:type="dxa"/>
            <w:tcBorders>
              <w:top w:val="single" w:color="auto" w:sz="4" w:space="0"/>
              <w:left w:val="nil"/>
              <w:bottom w:val="single" w:color="auto" w:sz="4" w:space="0"/>
              <w:right w:val="single" w:color="auto" w:sz="4" w:space="0"/>
            </w:tcBorders>
            <w:noWrap/>
            <w:vAlign w:val="center"/>
          </w:tcPr>
          <w:p w14:paraId="16E48635">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color w:val="auto"/>
                <w:kern w:val="0"/>
                <w:szCs w:val="21"/>
                <w:highlight w:val="none"/>
              </w:rPr>
            </w:pPr>
          </w:p>
        </w:tc>
      </w:tr>
      <w:tr w14:paraId="14F17022">
        <w:tblPrEx>
          <w:tblCellMar>
            <w:top w:w="0" w:type="dxa"/>
            <w:left w:w="108" w:type="dxa"/>
            <w:bottom w:w="0" w:type="dxa"/>
            <w:right w:w="108" w:type="dxa"/>
          </w:tblCellMar>
        </w:tblPrEx>
        <w:trPr>
          <w:trHeight w:val="1010" w:hRule="atLeast"/>
          <w:jc w:val="center"/>
        </w:trPr>
        <w:tc>
          <w:tcPr>
            <w:tcW w:w="9525" w:type="dxa"/>
            <w:gridSpan w:val="6"/>
            <w:tcBorders>
              <w:top w:val="nil"/>
              <w:left w:val="single" w:color="auto" w:sz="4" w:space="0"/>
              <w:bottom w:val="single" w:color="auto" w:sz="4" w:space="0"/>
              <w:right w:val="single" w:color="auto" w:sz="4" w:space="0"/>
            </w:tcBorders>
            <w:noWrap/>
            <w:vAlign w:val="center"/>
          </w:tcPr>
          <w:p w14:paraId="147D1FD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验收得分率＝（验收得分/应得分）×100％</w:t>
            </w:r>
          </w:p>
          <w:p w14:paraId="1718D7B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bCs/>
                <w:color w:val="auto"/>
                <w:kern w:val="0"/>
                <w:sz w:val="21"/>
                <w:szCs w:val="21"/>
                <w:highlight w:val="none"/>
                <w:lang w:val="en-US" w:eastAsia="zh-CN" w:bidi="ar"/>
              </w:rPr>
              <w:t>说明：局直各单位根据水闸实际工况，若出现合理缺项，该缺项可不进行赋分，应得分=标准分总分-合理缺项标准分。</w:t>
            </w:r>
          </w:p>
        </w:tc>
      </w:tr>
      <w:tr w14:paraId="359F41EF">
        <w:tblPrEx>
          <w:tblCellMar>
            <w:top w:w="0" w:type="dxa"/>
            <w:left w:w="108" w:type="dxa"/>
            <w:bottom w:w="0" w:type="dxa"/>
            <w:right w:w="108" w:type="dxa"/>
          </w:tblCellMar>
        </w:tblPrEx>
        <w:trPr>
          <w:trHeight w:val="673" w:hRule="atLeast"/>
          <w:jc w:val="center"/>
        </w:trPr>
        <w:tc>
          <w:tcPr>
            <w:tcW w:w="704" w:type="dxa"/>
            <w:tcBorders>
              <w:top w:val="nil"/>
              <w:left w:val="nil"/>
              <w:bottom w:val="nil"/>
              <w:right w:val="nil"/>
            </w:tcBorders>
            <w:noWrap/>
            <w:vAlign w:val="center"/>
          </w:tcPr>
          <w:p w14:paraId="5EFA81E2">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bidi="ar"/>
              </w:rPr>
            </w:pPr>
          </w:p>
        </w:tc>
        <w:tc>
          <w:tcPr>
            <w:tcW w:w="6666" w:type="dxa"/>
            <w:gridSpan w:val="3"/>
            <w:tcBorders>
              <w:top w:val="nil"/>
              <w:left w:val="nil"/>
              <w:bottom w:val="nil"/>
              <w:right w:val="nil"/>
            </w:tcBorders>
            <w:noWrap/>
          </w:tcPr>
          <w:p w14:paraId="3F33CAAD">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p>
          <w:p w14:paraId="2200EFC8">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eastAsia="zh-CN" w:bidi="ar"/>
              </w:rPr>
              <w:t>验收</w:t>
            </w:r>
            <w:r>
              <w:rPr>
                <w:rFonts w:hint="eastAsia" w:ascii="仿宋_GB2312" w:hAnsi="仿宋_GB2312" w:eastAsia="仿宋_GB2312" w:cs="仿宋_GB2312"/>
                <w:bCs/>
                <w:color w:val="auto"/>
                <w:kern w:val="0"/>
                <w:sz w:val="21"/>
                <w:szCs w:val="21"/>
                <w:highlight w:val="none"/>
                <w:lang w:bidi="ar"/>
              </w:rPr>
              <w:t>人员签名：</w:t>
            </w:r>
            <w:r>
              <w:rPr>
                <w:rFonts w:hint="eastAsia" w:ascii="仿宋_GB2312" w:hAnsi="仿宋_GB2312" w:eastAsia="仿宋_GB2312" w:cs="仿宋_GB2312"/>
                <w:bCs/>
                <w:color w:val="auto"/>
                <w:kern w:val="0"/>
                <w:sz w:val="21"/>
                <w:szCs w:val="21"/>
                <w:highlight w:val="none"/>
                <w:lang w:val="en-US" w:eastAsia="zh-CN" w:bidi="ar"/>
              </w:rPr>
              <w:t xml:space="preserve">                                   验收时间：</w:t>
            </w:r>
          </w:p>
        </w:tc>
        <w:tc>
          <w:tcPr>
            <w:tcW w:w="1412" w:type="dxa"/>
            <w:tcBorders>
              <w:top w:val="nil"/>
              <w:left w:val="nil"/>
              <w:bottom w:val="nil"/>
              <w:right w:val="nil"/>
            </w:tcBorders>
            <w:noWrap/>
            <w:vAlign w:val="center"/>
          </w:tcPr>
          <w:p w14:paraId="61FD7982">
            <w:pPr>
              <w:widowControl/>
              <w:jc w:val="left"/>
              <w:rPr>
                <w:rFonts w:hint="eastAsia" w:ascii="仿宋_GB2312" w:hAnsi="仿宋_GB2312" w:eastAsia="仿宋_GB2312" w:cs="仿宋_GB2312"/>
                <w:color w:val="auto"/>
                <w:kern w:val="0"/>
                <w:szCs w:val="21"/>
                <w:highlight w:val="none"/>
              </w:rPr>
            </w:pPr>
          </w:p>
        </w:tc>
        <w:tc>
          <w:tcPr>
            <w:tcW w:w="743" w:type="dxa"/>
            <w:tcBorders>
              <w:top w:val="nil"/>
              <w:left w:val="nil"/>
              <w:bottom w:val="nil"/>
              <w:right w:val="nil"/>
            </w:tcBorders>
            <w:noWrap/>
            <w:vAlign w:val="center"/>
          </w:tcPr>
          <w:p w14:paraId="4F7B724E">
            <w:pPr>
              <w:widowControl/>
              <w:jc w:val="left"/>
              <w:rPr>
                <w:rFonts w:hint="eastAsia" w:ascii="仿宋_GB2312" w:hAnsi="仿宋_GB2312" w:eastAsia="仿宋_GB2312" w:cs="仿宋_GB2312"/>
                <w:color w:val="auto"/>
                <w:kern w:val="0"/>
                <w:szCs w:val="21"/>
                <w:highlight w:val="none"/>
              </w:rPr>
            </w:pPr>
          </w:p>
        </w:tc>
      </w:tr>
    </w:tbl>
    <w:p w14:paraId="0A0F2A1C">
      <w:pPr>
        <w:rPr>
          <w:color w:val="auto"/>
          <w:highlight w:val="none"/>
        </w:rPr>
        <w:sectPr>
          <w:footerReference r:id="rId5" w:type="default"/>
          <w:pgSz w:w="11906" w:h="16838"/>
          <w:pgMar w:top="1701" w:right="1587" w:bottom="1134" w:left="1588" w:header="851" w:footer="992" w:gutter="0"/>
          <w:pgNumType w:fmt="decimal"/>
          <w:cols w:space="720" w:num="1"/>
          <w:docGrid w:type="lines" w:linePitch="312" w:charSpace="0"/>
        </w:sectPr>
      </w:pPr>
    </w:p>
    <w:p w14:paraId="224D13E3">
      <w:pPr>
        <w:spacing w:line="360" w:lineRule="auto"/>
        <w:ind w:firstLine="643" w:firstLineChars="200"/>
        <w:outlineLvl w:val="1"/>
        <w:rPr>
          <w:rFonts w:hint="eastAsia" w:ascii="仿宋_GB2312" w:hAnsi="仿宋_GB2312" w:eastAsia="仿宋_GB2312" w:cs="仿宋_GB2312"/>
          <w:b/>
          <w:color w:val="auto"/>
          <w:sz w:val="32"/>
          <w:szCs w:val="32"/>
          <w:highlight w:val="none"/>
          <w:lang w:val="en-US" w:eastAsia="zh-CN"/>
        </w:rPr>
      </w:pPr>
      <w:bookmarkStart w:id="51" w:name="_Toc2445"/>
      <w:r>
        <w:rPr>
          <w:rFonts w:hint="eastAsia" w:ascii="仿宋_GB2312" w:hAnsi="仿宋_GB2312" w:eastAsia="仿宋_GB2312" w:cs="仿宋_GB2312"/>
          <w:b/>
          <w:color w:val="auto"/>
          <w:sz w:val="32"/>
          <w:szCs w:val="32"/>
          <w:highlight w:val="none"/>
          <w:lang w:val="en-US" w:eastAsia="zh-CN"/>
        </w:rPr>
        <w:t>4.管理资料及验收报告</w:t>
      </w:r>
      <w:bookmarkEnd w:id="51"/>
    </w:p>
    <w:p w14:paraId="6BF2775F">
      <w:pPr>
        <w:widowControl w:val="0"/>
        <w:adjustRightInd w:val="0"/>
        <w:spacing w:line="720" w:lineRule="auto"/>
        <w:jc w:val="center"/>
        <w:textAlignment w:val="baseline"/>
        <w:rPr>
          <w:rFonts w:hint="eastAsia" w:ascii="楷体" w:hAnsi="楷体" w:eastAsia="楷体" w:cs="Times New Roman"/>
          <w:b/>
          <w:bCs/>
          <w:color w:val="auto"/>
          <w:kern w:val="0"/>
          <w:sz w:val="52"/>
          <w:szCs w:val="52"/>
          <w:highlight w:val="none"/>
          <w:lang w:val="en-US" w:eastAsia="zh-CN" w:bidi="ar-SA"/>
        </w:rPr>
      </w:pPr>
      <w:r>
        <w:rPr>
          <w:rFonts w:hint="eastAsia" w:ascii="楷体" w:hAnsi="楷体" w:eastAsia="楷体" w:cs="Times New Roman"/>
          <w:b/>
          <w:bCs/>
          <w:color w:val="auto"/>
          <w:kern w:val="0"/>
          <w:sz w:val="52"/>
          <w:szCs w:val="52"/>
          <w:highlight w:val="none"/>
          <w:lang w:val="en-US" w:eastAsia="zh-CN" w:bidi="ar-SA"/>
        </w:rPr>
        <w:t>水闸日常/定期养护通知书</w:t>
      </w:r>
    </w:p>
    <w:p w14:paraId="61586ABE">
      <w:pP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编号：20**年第**次</w:t>
      </w:r>
    </w:p>
    <w:p w14:paraId="68951B59">
      <w:pP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工程名称：********</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3AE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3" w:hRule="atLeast"/>
          <w:jc w:val="center"/>
        </w:trPr>
        <w:tc>
          <w:tcPr>
            <w:tcW w:w="8522" w:type="dxa"/>
            <w:noWrap w:val="0"/>
            <w:vAlign w:val="top"/>
          </w:tcPr>
          <w:p w14:paraId="07C228C1">
            <w:pPr>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sz w:val="24"/>
                <w:szCs w:val="24"/>
                <w:highlight w:val="none"/>
              </w:rPr>
              <w:t>致：××××有限公司</w:t>
            </w:r>
          </w:p>
          <w:p w14:paraId="3B61DDAC">
            <w:pPr>
              <w:ind w:firstLine="470" w:firstLineChars="196"/>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rPr>
              <w:t>根据合同约定，你方于20××年×月××日</w:t>
            </w:r>
            <w:r>
              <w:rPr>
                <w:rFonts w:hint="eastAsia" w:ascii="宋体" w:hAnsi="宋体" w:eastAsia="宋体" w:cs="@仿宋_GB2312"/>
                <w:b w:val="0"/>
                <w:bCs/>
                <w:color w:val="auto"/>
                <w:kern w:val="0"/>
                <w:sz w:val="24"/>
                <w:szCs w:val="28"/>
                <w:highlight w:val="none"/>
                <w:shd w:val="clear"/>
                <w:lang w:val="en-US" w:eastAsia="zh-CN" w:bidi="ar-SA"/>
              </w:rPr>
              <w:t>前</w:t>
            </w:r>
            <w:r>
              <w:rPr>
                <w:rFonts w:hint="eastAsia" w:ascii="仿宋_GB2312" w:hAnsi="仿宋_GB2312" w:eastAsia="仿宋_GB2312" w:cs="仿宋_GB2312"/>
                <w:bCs/>
                <w:color w:val="auto"/>
                <w:sz w:val="24"/>
                <w:szCs w:val="24"/>
                <w:highlight w:val="none"/>
                <w:shd w:val="clear"/>
              </w:rPr>
              <w:t>开</w:t>
            </w:r>
            <w:r>
              <w:rPr>
                <w:rFonts w:hint="eastAsia" w:ascii="仿宋_GB2312" w:hAnsi="仿宋_GB2312" w:eastAsia="仿宋_GB2312" w:cs="仿宋_GB2312"/>
                <w:bCs/>
                <w:color w:val="auto"/>
                <w:sz w:val="24"/>
                <w:szCs w:val="24"/>
                <w:highlight w:val="none"/>
              </w:rPr>
              <w:t>始进场进行</w:t>
            </w:r>
            <w:r>
              <w:rPr>
                <w:rFonts w:hint="eastAsia" w:ascii="仿宋_GB2312" w:hAnsi="仿宋_GB2312" w:eastAsia="仿宋_GB2312" w:cs="仿宋_GB2312"/>
                <w:bCs/>
                <w:color w:val="auto"/>
                <w:sz w:val="24"/>
                <w:szCs w:val="24"/>
                <w:highlight w:val="none"/>
                <w:lang w:val="en-US" w:eastAsia="zh-CN"/>
              </w:rPr>
              <w:t>水闸日常/定期</w:t>
            </w:r>
            <w:r>
              <w:rPr>
                <w:rFonts w:hint="eastAsia" w:ascii="仿宋_GB2312" w:hAnsi="仿宋_GB2312" w:eastAsia="仿宋_GB2312" w:cs="仿宋_GB2312"/>
                <w:bCs/>
                <w:color w:val="auto"/>
                <w:sz w:val="24"/>
                <w:szCs w:val="24"/>
                <w:highlight w:val="none"/>
              </w:rPr>
              <w:t>养护。</w:t>
            </w:r>
            <w:r>
              <w:rPr>
                <w:rFonts w:hint="eastAsia" w:ascii="仿宋_GB2312" w:hAnsi="仿宋_GB2312" w:eastAsia="仿宋_GB2312" w:cs="仿宋_GB2312"/>
                <w:bCs/>
                <w:color w:val="auto"/>
                <w:sz w:val="24"/>
                <w:szCs w:val="24"/>
                <w:highlight w:val="none"/>
                <w:lang w:val="en-US" w:eastAsia="zh-CN"/>
              </w:rPr>
              <w:t>本次养护应在</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日历天完成。</w:t>
            </w:r>
          </w:p>
          <w:p w14:paraId="3760F723">
            <w:pPr>
              <w:ind w:firstLine="470" w:firstLineChars="196"/>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一、养护</w:t>
            </w:r>
            <w:r>
              <w:rPr>
                <w:rFonts w:hint="eastAsia" w:ascii="仿宋_GB2312" w:hAnsi="仿宋_GB2312" w:eastAsia="仿宋_GB2312" w:cs="仿宋_GB2312"/>
                <w:bCs/>
                <w:color w:val="auto"/>
                <w:sz w:val="24"/>
                <w:szCs w:val="24"/>
                <w:highlight w:val="none"/>
              </w:rPr>
              <w:t>内容：</w:t>
            </w:r>
          </w:p>
          <w:p w14:paraId="097257E9">
            <w:pPr>
              <w:shd w:val="clear"/>
              <w:ind w:firstLine="470" w:firstLineChars="196"/>
              <w:rPr>
                <w:rFonts w:hint="default"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1.对**水闸*孔水闸启闭机养护；</w:t>
            </w:r>
          </w:p>
          <w:p w14:paraId="7A526A04">
            <w:pPr>
              <w:shd w:val="clear"/>
              <w:ind w:firstLine="470" w:firstLineChars="196"/>
              <w:rPr>
                <w:rFonts w:hint="default"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2.对**水闸*扇闸门养护；</w:t>
            </w:r>
          </w:p>
          <w:p w14:paraId="44D132E2">
            <w:pPr>
              <w:shd w:val="clear"/>
              <w:ind w:firstLine="470" w:firstLineChars="196"/>
              <w:rPr>
                <w:rFonts w:hint="default"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3.******；</w:t>
            </w:r>
          </w:p>
          <w:p w14:paraId="6A4DA47C">
            <w:pPr>
              <w:shd w:val="clear"/>
              <w:ind w:firstLine="470" w:firstLineChars="196"/>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kern w:val="2"/>
                <w:sz w:val="24"/>
                <w:szCs w:val="24"/>
                <w:highlight w:val="none"/>
                <w:lang w:val="en-US" w:eastAsia="zh-CN" w:bidi="ar-SA"/>
              </w:rPr>
              <w:t>二、根据安全生产规定</w:t>
            </w:r>
            <w:r>
              <w:rPr>
                <w:rFonts w:hint="eastAsia" w:ascii="仿宋_GB2312" w:hAnsi="仿宋_GB2312" w:eastAsia="仿宋_GB2312" w:cs="仿宋_GB2312"/>
                <w:bCs/>
                <w:color w:val="auto"/>
                <w:kern w:val="2"/>
                <w:sz w:val="24"/>
                <w:szCs w:val="24"/>
                <w:highlight w:val="none"/>
                <w:shd w:val="clear"/>
                <w:lang w:val="en-US" w:eastAsia="zh-CN" w:bidi="ar-SA"/>
              </w:rPr>
              <w:t>，</w:t>
            </w:r>
            <w:r>
              <w:rPr>
                <w:rFonts w:hint="eastAsia" w:ascii="仿宋_GB2312" w:hAnsi="仿宋_GB2312" w:eastAsia="仿宋_GB2312" w:cs="仿宋_GB2312"/>
                <w:bCs/>
                <w:color w:val="auto"/>
                <w:sz w:val="24"/>
                <w:szCs w:val="24"/>
                <w:highlight w:val="none"/>
                <w:shd w:val="clear"/>
                <w:lang w:val="en-US" w:eastAsia="zh-CN"/>
              </w:rPr>
              <w:t>安全生产告知如下：</w:t>
            </w:r>
          </w:p>
          <w:p w14:paraId="6414EFB8">
            <w:pPr>
              <w:shd w:val="clear"/>
              <w:ind w:firstLine="470" w:firstLineChars="196"/>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特种作业人员必须持特种作业证上岗，无证人员禁止从事特种作业；现场临时用电，严格执行国家相关标准规定，清洁电气设备时停电作业，电源箱或开关握柄挂“有人操作，严禁合闸”的警示牌，并设专人看管，现场临时架设的线路，严禁搭在钢筋、脚手架上，必须安设绝缘支承物；水上及临水作业，操作人员必须穿戴好救生衣，不得穿带钉易滑的硬底鞋，每次工作前对所用的救生衣进行检查确保其安全有效；室外作业时，当风力较大，可能会对作业的稳定性和安全性产生影响时，立即停止工作，人员在船上走动或操作时，船只要固定牢靠，船上配备救生圈等救生器具；高空作业时，禁止穿硬底和带钉易滑的鞋，患有心脏病、高血压、精神病、癫痫病者禁止从事高空操作，高空作业操作人员要系安全带，并且安全带要固定牢靠；临水临空等安全风险较大的作业应有现场安全监督人员现场监督，并通知管理单位技术人员到场。</w:t>
            </w:r>
          </w:p>
          <w:p w14:paraId="4656E2F6">
            <w:pPr>
              <w:tabs>
                <w:tab w:val="left" w:pos="180"/>
              </w:tabs>
              <w:ind w:firstLine="480" w:firstLineChars="200"/>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养护作业完成后，向××</w:t>
            </w:r>
            <w:r>
              <w:rPr>
                <w:rFonts w:hint="eastAsia" w:ascii="仿宋_GB2312" w:hAnsi="仿宋_GB2312" w:eastAsia="仿宋_GB2312" w:cs="仿宋_GB2312"/>
                <w:bCs/>
                <w:color w:val="auto"/>
                <w:sz w:val="24"/>
                <w:szCs w:val="24"/>
                <w:highlight w:val="none"/>
                <w:lang w:val="en-US" w:eastAsia="zh-CN"/>
              </w:rPr>
              <w:t>闸管理处/</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河道管理局</w:t>
            </w:r>
            <w:r>
              <w:rPr>
                <w:rFonts w:hint="eastAsia" w:ascii="仿宋_GB2312" w:hAnsi="仿宋_GB2312" w:eastAsia="仿宋_GB2312" w:cs="仿宋_GB2312"/>
                <w:bCs/>
                <w:color w:val="auto"/>
                <w:sz w:val="24"/>
                <w:szCs w:val="24"/>
                <w:highlight w:val="none"/>
              </w:rPr>
              <w:t>提出验收申请。</w:t>
            </w:r>
          </w:p>
          <w:p w14:paraId="10844B29">
            <w:pPr>
              <w:rPr>
                <w:rFonts w:hint="eastAsia" w:ascii="仿宋_GB2312" w:hAnsi="仿宋_GB2312" w:eastAsia="仿宋_GB2312" w:cs="仿宋_GB2312"/>
                <w:bCs/>
                <w:color w:val="auto"/>
                <w:sz w:val="24"/>
                <w:szCs w:val="24"/>
                <w:highlight w:val="none"/>
                <w:lang w:eastAsia="zh-CN"/>
              </w:rPr>
            </w:pPr>
          </w:p>
          <w:p w14:paraId="59F97EDD">
            <w:pPr>
              <w:rPr>
                <w:rFonts w:ascii="仿宋_GB2312" w:hAnsi="仿宋_GB2312" w:eastAsia="仿宋_GB2312" w:cs="仿宋_GB2312"/>
                <w:bCs/>
                <w:color w:val="auto"/>
                <w:sz w:val="24"/>
                <w:szCs w:val="24"/>
                <w:highlight w:val="none"/>
              </w:rPr>
            </w:pPr>
          </w:p>
          <w:p w14:paraId="510FD8EB">
            <w:pPr>
              <w:ind w:firstLine="4560" w:firstLineChars="1900"/>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闸管理处/</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河道管理局</w:t>
            </w:r>
          </w:p>
          <w:p w14:paraId="78D56045">
            <w:pPr>
              <w:rPr>
                <w:rFonts w:hint="eastAsia" w:ascii="仿宋_GB2312" w:hAnsi="仿宋_GB2312" w:eastAsia="仿宋_GB2312" w:cs="仿宋_GB2312"/>
                <w:bCs/>
                <w:color w:val="auto"/>
                <w:sz w:val="24"/>
                <w:szCs w:val="24"/>
                <w:highlight w:val="none"/>
                <w:lang w:eastAsia="zh-CN"/>
              </w:rPr>
            </w:pPr>
          </w:p>
          <w:p w14:paraId="64CC2B86">
            <w:pPr>
              <w:ind w:firstLine="4560" w:firstLineChars="1900"/>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日期：20××年×月××日</w:t>
            </w:r>
          </w:p>
        </w:tc>
      </w:tr>
      <w:tr w14:paraId="6B14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1" w:hRule="atLeast"/>
          <w:jc w:val="center"/>
        </w:trPr>
        <w:tc>
          <w:tcPr>
            <w:tcW w:w="8522" w:type="dxa"/>
            <w:noWrap w:val="0"/>
            <w:vAlign w:val="top"/>
          </w:tcPr>
          <w:p w14:paraId="6672D80F">
            <w:pPr>
              <w:shd w:val="clear"/>
              <w:rPr>
                <w:rFonts w:ascii="仿宋_GB2312" w:hAnsi="仿宋_GB2312" w:eastAsia="仿宋_GB2312" w:cs="仿宋_GB2312"/>
                <w:bCs/>
                <w:color w:val="auto"/>
                <w:sz w:val="24"/>
                <w:szCs w:val="24"/>
                <w:highlight w:val="none"/>
              </w:rPr>
            </w:pPr>
          </w:p>
          <w:p w14:paraId="38F5C5B1">
            <w:pPr>
              <w:shd w:val="clear"/>
              <w:ind w:firstLine="470" w:firstLineChars="196"/>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今收到××</w:t>
            </w:r>
            <w:r>
              <w:rPr>
                <w:rFonts w:hint="eastAsia" w:ascii="仿宋_GB2312" w:hAnsi="仿宋_GB2312" w:eastAsia="仿宋_GB2312" w:cs="仿宋_GB2312"/>
                <w:bCs/>
                <w:color w:val="auto"/>
                <w:sz w:val="24"/>
                <w:szCs w:val="24"/>
                <w:highlight w:val="none"/>
                <w:lang w:val="en-US" w:eastAsia="zh-CN"/>
              </w:rPr>
              <w:t>闸管理处/</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河道管理局</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孔水闸</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日常/定期</w:t>
            </w:r>
            <w:r>
              <w:rPr>
                <w:rFonts w:hint="eastAsia" w:ascii="仿宋_GB2312" w:hAnsi="仿宋_GB2312" w:eastAsia="仿宋_GB2312" w:cs="仿宋_GB2312"/>
                <w:bCs/>
                <w:color w:val="auto"/>
                <w:sz w:val="24"/>
                <w:szCs w:val="24"/>
                <w:highlight w:val="none"/>
              </w:rPr>
              <w:t>养护</w:t>
            </w:r>
            <w:r>
              <w:rPr>
                <w:rFonts w:hint="eastAsia" w:ascii="仿宋_GB2312" w:hAnsi="仿宋_GB2312" w:eastAsia="仿宋_GB2312" w:cs="仿宋_GB2312"/>
                <w:bCs/>
                <w:color w:val="auto"/>
                <w:sz w:val="24"/>
                <w:szCs w:val="24"/>
                <w:highlight w:val="none"/>
                <w:lang w:val="en-US" w:eastAsia="zh-CN"/>
              </w:rPr>
              <w:t>通知书》养护任务与安全生产告知</w:t>
            </w:r>
            <w:r>
              <w:rPr>
                <w:rFonts w:hint="eastAsia" w:ascii="仿宋_GB2312" w:hAnsi="仿宋_GB2312" w:eastAsia="仿宋_GB2312" w:cs="仿宋_GB2312"/>
                <w:bCs/>
                <w:color w:val="auto"/>
                <w:sz w:val="24"/>
                <w:szCs w:val="24"/>
                <w:highlight w:val="none"/>
              </w:rPr>
              <w:t>（20××年第×次）。</w:t>
            </w:r>
          </w:p>
          <w:p w14:paraId="4D76B858">
            <w:pPr>
              <w:ind w:firstLine="948" w:firstLineChars="395"/>
              <w:rPr>
                <w:rFonts w:ascii="仿宋_GB2312" w:hAnsi="仿宋_GB2312" w:eastAsia="仿宋_GB2312" w:cs="仿宋_GB2312"/>
                <w:bCs/>
                <w:color w:val="auto"/>
                <w:sz w:val="24"/>
                <w:szCs w:val="24"/>
                <w:highlight w:val="none"/>
              </w:rPr>
            </w:pPr>
          </w:p>
          <w:p w14:paraId="3B4C696A">
            <w:pPr>
              <w:ind w:firstLine="948" w:firstLineChars="395"/>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sz w:val="24"/>
                <w:szCs w:val="24"/>
                <w:highlight w:val="none"/>
              </w:rPr>
              <w:t>此据！</w:t>
            </w:r>
          </w:p>
          <w:p w14:paraId="271C5678">
            <w:pPr>
              <w:rPr>
                <w:rFonts w:ascii="仿宋_GB2312" w:hAnsi="仿宋_GB2312" w:eastAsia="仿宋_GB2312" w:cs="仿宋_GB2312"/>
                <w:bCs/>
                <w:color w:val="auto"/>
                <w:sz w:val="24"/>
                <w:szCs w:val="24"/>
                <w:highlight w:val="none"/>
              </w:rPr>
            </w:pPr>
          </w:p>
          <w:p w14:paraId="1CA21ACA">
            <w:pPr>
              <w:ind w:firstLine="5508" w:firstLineChars="2295"/>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eastAsia="zh-CN"/>
              </w:rPr>
              <w:t>乙方</w:t>
            </w:r>
            <w:r>
              <w:rPr>
                <w:rFonts w:hint="eastAsia" w:ascii="仿宋_GB2312" w:hAnsi="仿宋_GB2312" w:eastAsia="仿宋_GB2312" w:cs="仿宋_GB2312"/>
                <w:bCs/>
                <w:color w:val="auto"/>
                <w:sz w:val="24"/>
                <w:szCs w:val="24"/>
                <w:highlight w:val="none"/>
              </w:rPr>
              <w:t>：</w:t>
            </w:r>
          </w:p>
          <w:p w14:paraId="469DB04F">
            <w:pPr>
              <w:rPr>
                <w:rFonts w:ascii="仿宋_GB2312" w:hAnsi="仿宋_GB2312" w:eastAsia="仿宋_GB2312" w:cs="仿宋_GB2312"/>
                <w:bCs/>
                <w:color w:val="auto"/>
                <w:sz w:val="24"/>
                <w:szCs w:val="24"/>
                <w:highlight w:val="none"/>
              </w:rPr>
            </w:pPr>
          </w:p>
          <w:p w14:paraId="0D1D75A9">
            <w:pPr>
              <w:ind w:firstLine="4920" w:firstLineChars="2050"/>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日期:</w:t>
            </w:r>
            <w:r>
              <w:rPr>
                <w:rFonts w:hint="eastAsia" w:ascii="仿宋_GB2312" w:hAnsi="仿宋_GB2312" w:eastAsia="仿宋_GB2312" w:cs="仿宋_GB2312"/>
                <w:bCs/>
                <w:color w:val="auto"/>
                <w:sz w:val="24"/>
                <w:szCs w:val="24"/>
                <w:highlight w:val="none"/>
                <w:u w:val="single"/>
              </w:rPr>
              <w:t>20××年×月××日</w:t>
            </w:r>
          </w:p>
        </w:tc>
      </w:tr>
    </w:tbl>
    <w:p w14:paraId="39649AD8">
      <w:pPr>
        <w:shd w:val="clear" w:color="auto" w:fill="FFFFFF"/>
        <w:spacing w:line="360" w:lineRule="auto"/>
        <w:ind w:firstLine="480" w:firstLineChars="200"/>
        <w:rPr>
          <w:rFonts w:ascii="Times New Roman" w:hAnsi="Times New Roman" w:eastAsia="宋体" w:cs="Times New Roman"/>
          <w:bCs/>
          <w:color w:val="auto"/>
          <w:sz w:val="24"/>
          <w:szCs w:val="24"/>
          <w:highlight w:val="none"/>
        </w:rPr>
      </w:pPr>
      <w:r>
        <w:rPr>
          <w:rFonts w:hint="eastAsia" w:ascii="仿宋_GB2312" w:hAnsi="仿宋_GB2312" w:eastAsia="仿宋_GB2312" w:cs="仿宋_GB2312"/>
          <w:bCs/>
          <w:color w:val="auto"/>
          <w:sz w:val="24"/>
          <w:szCs w:val="24"/>
          <w:highlight w:val="none"/>
        </w:rPr>
        <w:t>本通知一式</w:t>
      </w:r>
      <w:r>
        <w:rPr>
          <w:rFonts w:hint="eastAsia" w:ascii="仿宋_GB2312" w:hAnsi="仿宋_GB2312" w:eastAsia="仿宋_GB2312" w:cs="仿宋_GB2312"/>
          <w:bCs/>
          <w:color w:val="auto"/>
          <w:sz w:val="24"/>
          <w:szCs w:val="24"/>
          <w:highlight w:val="none"/>
          <w:lang w:val="en-US" w:eastAsia="zh-CN"/>
        </w:rPr>
        <w:t>二</w:t>
      </w:r>
      <w:r>
        <w:rPr>
          <w:rFonts w:hint="eastAsia" w:ascii="仿宋_GB2312" w:hAnsi="仿宋_GB2312" w:eastAsia="仿宋_GB2312" w:cs="仿宋_GB2312"/>
          <w:bCs/>
          <w:color w:val="auto"/>
          <w:sz w:val="24"/>
          <w:szCs w:val="24"/>
          <w:highlight w:val="none"/>
        </w:rPr>
        <w:t>份，××</w:t>
      </w:r>
      <w:r>
        <w:rPr>
          <w:rFonts w:hint="eastAsia" w:ascii="仿宋_GB2312" w:hAnsi="仿宋_GB2312" w:eastAsia="仿宋_GB2312" w:cs="仿宋_GB2312"/>
          <w:bCs/>
          <w:color w:val="auto"/>
          <w:sz w:val="24"/>
          <w:szCs w:val="24"/>
          <w:highlight w:val="none"/>
          <w:lang w:val="en-US" w:eastAsia="zh-CN"/>
        </w:rPr>
        <w:t>闸管理处/</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河道管理局</w:t>
      </w:r>
      <w:r>
        <w:rPr>
          <w:rFonts w:hint="eastAsia" w:ascii="仿宋_GB2312" w:hAnsi="仿宋_GB2312" w:eastAsia="仿宋_GB2312" w:cs="仿宋_GB2312"/>
          <w:bCs/>
          <w:color w:val="auto"/>
          <w:sz w:val="24"/>
          <w:szCs w:val="24"/>
          <w:highlight w:val="none"/>
        </w:rPr>
        <w:t>、××××有限公司各执一份。</w:t>
      </w:r>
    </w:p>
    <w:p w14:paraId="11759088">
      <w:pPr>
        <w:widowControl w:val="0"/>
        <w:adjustRightInd w:val="0"/>
        <w:spacing w:line="720" w:lineRule="auto"/>
        <w:jc w:val="center"/>
        <w:textAlignment w:val="baseline"/>
        <w:rPr>
          <w:rFonts w:hint="eastAsia" w:ascii="楷体" w:hAnsi="楷体" w:eastAsia="楷体" w:cs="Times New Roman"/>
          <w:b/>
          <w:bCs/>
          <w:color w:val="auto"/>
          <w:kern w:val="0"/>
          <w:sz w:val="52"/>
          <w:szCs w:val="52"/>
          <w:highlight w:val="none"/>
          <w:lang w:val="en-US" w:eastAsia="zh-CN" w:bidi="ar-SA"/>
        </w:rPr>
      </w:pPr>
      <w:bookmarkStart w:id="52" w:name="_Toc70347453"/>
      <w:bookmarkStart w:id="53" w:name="_Toc23703"/>
      <w:r>
        <w:rPr>
          <w:rFonts w:hint="eastAsia" w:ascii="楷体" w:hAnsi="楷体" w:eastAsia="楷体" w:cs="Times New Roman"/>
          <w:b/>
          <w:bCs/>
          <w:color w:val="auto"/>
          <w:kern w:val="0"/>
          <w:sz w:val="52"/>
          <w:szCs w:val="52"/>
          <w:highlight w:val="none"/>
          <w:lang w:val="en-US" w:eastAsia="zh-CN" w:bidi="ar-SA"/>
        </w:rPr>
        <w:t>***养护作业监管整改表</w:t>
      </w:r>
      <w:bookmarkEnd w:id="52"/>
      <w:bookmarkEnd w:id="53"/>
    </w:p>
    <w:p w14:paraId="0A592E42">
      <w:pPr>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编号：20**年第**次</w:t>
      </w:r>
    </w:p>
    <w:p w14:paraId="689F5A5C">
      <w:pP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项目名称：</w:t>
      </w:r>
      <w:r>
        <w:rPr>
          <w:rFonts w:hint="eastAsia" w:ascii="仿宋_GB2312" w:hAnsi="仿宋_GB2312" w:eastAsia="仿宋_GB2312" w:cs="仿宋_GB2312"/>
          <w:b/>
          <w:bCs/>
          <w:color w:val="auto"/>
          <w:sz w:val="24"/>
          <w:szCs w:val="24"/>
          <w:highlight w:val="none"/>
        </w:rPr>
        <w:t>************</w:t>
      </w:r>
    </w:p>
    <w:tbl>
      <w:tblPr>
        <w:tblStyle w:val="5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665"/>
        <w:gridCol w:w="915"/>
        <w:gridCol w:w="2438"/>
      </w:tblGrid>
      <w:tr w14:paraId="34D2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879" w:type="dxa"/>
            <w:vAlign w:val="center"/>
          </w:tcPr>
          <w:p w14:paraId="72F48D8A">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承包单位</w:t>
            </w:r>
          </w:p>
        </w:tc>
        <w:tc>
          <w:tcPr>
            <w:tcW w:w="4665" w:type="dxa"/>
            <w:vAlign w:val="center"/>
          </w:tcPr>
          <w:p w14:paraId="0135829B">
            <w:pPr>
              <w:ind w:firstLine="480" w:firstLineChars="200"/>
              <w:rPr>
                <w:rFonts w:hint="eastAsia" w:ascii="仿宋_GB2312" w:hAnsi="仿宋_GB2312" w:eastAsia="仿宋_GB2312" w:cs="仿宋_GB2312"/>
                <w:bCs/>
                <w:color w:val="auto"/>
                <w:sz w:val="24"/>
                <w:szCs w:val="24"/>
                <w:highlight w:val="none"/>
                <w:lang w:val="en-US" w:eastAsia="zh-CN"/>
              </w:rPr>
            </w:pPr>
          </w:p>
        </w:tc>
        <w:tc>
          <w:tcPr>
            <w:tcW w:w="915" w:type="dxa"/>
            <w:vAlign w:val="center"/>
          </w:tcPr>
          <w:p w14:paraId="7E359AA2">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通知日期</w:t>
            </w:r>
          </w:p>
        </w:tc>
        <w:tc>
          <w:tcPr>
            <w:tcW w:w="2438" w:type="dxa"/>
            <w:vAlign w:val="center"/>
          </w:tcPr>
          <w:p w14:paraId="288D70BF">
            <w:pPr>
              <w:ind w:firstLine="480" w:firstLineChars="200"/>
              <w:rPr>
                <w:rFonts w:hint="eastAsia" w:ascii="仿宋_GB2312" w:hAnsi="仿宋_GB2312" w:eastAsia="仿宋_GB2312" w:cs="仿宋_GB2312"/>
                <w:bCs/>
                <w:color w:val="auto"/>
                <w:sz w:val="24"/>
                <w:szCs w:val="24"/>
                <w:highlight w:val="none"/>
                <w:lang w:val="en-US" w:eastAsia="zh-CN"/>
              </w:rPr>
            </w:pPr>
          </w:p>
        </w:tc>
      </w:tr>
      <w:tr w14:paraId="58B2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879" w:type="dxa"/>
            <w:vAlign w:val="center"/>
          </w:tcPr>
          <w:p w14:paraId="03184040">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存</w:t>
            </w:r>
          </w:p>
          <w:p w14:paraId="24515965">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在</w:t>
            </w:r>
          </w:p>
          <w:p w14:paraId="556AFA7F">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问</w:t>
            </w:r>
          </w:p>
          <w:p w14:paraId="4CCFDB8A">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题</w:t>
            </w:r>
          </w:p>
        </w:tc>
        <w:tc>
          <w:tcPr>
            <w:tcW w:w="8018" w:type="dxa"/>
            <w:gridSpan w:val="3"/>
          </w:tcPr>
          <w:p w14:paraId="4BB9AAE3">
            <w:pPr>
              <w:ind w:firstLine="480" w:firstLineChars="200"/>
              <w:rPr>
                <w:rFonts w:hint="eastAsia" w:ascii="仿宋_GB2312" w:hAnsi="仿宋_GB2312" w:eastAsia="仿宋_GB2312" w:cs="仿宋_GB2312"/>
                <w:bCs/>
                <w:color w:val="auto"/>
                <w:sz w:val="24"/>
                <w:szCs w:val="24"/>
                <w:highlight w:val="none"/>
                <w:lang w:val="en-US" w:eastAsia="zh-CN"/>
              </w:rPr>
            </w:pPr>
          </w:p>
          <w:p w14:paraId="3784F60F">
            <w:pPr>
              <w:ind w:firstLine="480" w:firstLineChars="200"/>
              <w:rPr>
                <w:rFonts w:hint="eastAsia" w:ascii="仿宋_GB2312" w:hAnsi="仿宋_GB2312" w:eastAsia="仿宋_GB2312" w:cs="仿宋_GB2312"/>
                <w:bCs/>
                <w:color w:val="auto"/>
                <w:sz w:val="24"/>
                <w:szCs w:val="24"/>
                <w:highlight w:val="none"/>
                <w:lang w:val="en-US" w:eastAsia="zh-CN"/>
              </w:rPr>
            </w:pPr>
          </w:p>
        </w:tc>
      </w:tr>
      <w:tr w14:paraId="2F71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trPr>
        <w:tc>
          <w:tcPr>
            <w:tcW w:w="879" w:type="dxa"/>
            <w:vAlign w:val="center"/>
          </w:tcPr>
          <w:p w14:paraId="67A4CAED">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整</w:t>
            </w:r>
          </w:p>
          <w:p w14:paraId="577CC98B">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改</w:t>
            </w:r>
          </w:p>
          <w:p w14:paraId="23BB2851">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意</w:t>
            </w:r>
          </w:p>
          <w:p w14:paraId="0364A909">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见</w:t>
            </w:r>
          </w:p>
        </w:tc>
        <w:tc>
          <w:tcPr>
            <w:tcW w:w="8018" w:type="dxa"/>
            <w:gridSpan w:val="3"/>
          </w:tcPr>
          <w:p w14:paraId="02A35CA5">
            <w:pPr>
              <w:ind w:firstLine="480" w:firstLineChars="200"/>
              <w:rPr>
                <w:rFonts w:hint="eastAsia" w:ascii="仿宋_GB2312" w:hAnsi="仿宋_GB2312" w:eastAsia="仿宋_GB2312" w:cs="仿宋_GB2312"/>
                <w:bCs/>
                <w:color w:val="auto"/>
                <w:sz w:val="24"/>
                <w:szCs w:val="24"/>
                <w:highlight w:val="none"/>
                <w:lang w:val="en-US" w:eastAsia="zh-CN"/>
              </w:rPr>
            </w:pPr>
          </w:p>
        </w:tc>
      </w:tr>
      <w:tr w14:paraId="28F5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879" w:type="dxa"/>
            <w:vAlign w:val="center"/>
          </w:tcPr>
          <w:p w14:paraId="7E02A154">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签发</w:t>
            </w:r>
          </w:p>
        </w:tc>
        <w:tc>
          <w:tcPr>
            <w:tcW w:w="8018" w:type="dxa"/>
            <w:gridSpan w:val="3"/>
          </w:tcPr>
          <w:p w14:paraId="5A7E7178">
            <w:pPr>
              <w:ind w:firstLine="480" w:firstLineChars="200"/>
              <w:rPr>
                <w:rFonts w:hint="eastAsia" w:ascii="仿宋_GB2312" w:hAnsi="仿宋_GB2312" w:eastAsia="仿宋_GB2312" w:cs="仿宋_GB2312"/>
                <w:bCs/>
                <w:color w:val="auto"/>
                <w:sz w:val="24"/>
                <w:szCs w:val="24"/>
                <w:highlight w:val="none"/>
                <w:lang w:val="en-US" w:eastAsia="zh-CN"/>
              </w:rPr>
            </w:pPr>
          </w:p>
          <w:p w14:paraId="350C33CE">
            <w:pPr>
              <w:ind w:firstLine="2880" w:firstLineChars="1200"/>
              <w:rPr>
                <w:rFonts w:hint="eastAsia" w:ascii="仿宋_GB2312" w:hAnsi="仿宋_GB2312" w:eastAsia="仿宋_GB2312" w:cs="仿宋_GB2312"/>
                <w:bCs/>
                <w:color w:val="auto"/>
                <w:sz w:val="24"/>
                <w:szCs w:val="24"/>
                <w:highlight w:val="none"/>
                <w:lang w:val="en-US" w:eastAsia="zh-CN"/>
              </w:rPr>
            </w:pPr>
          </w:p>
          <w:p w14:paraId="53A3A88D">
            <w:pPr>
              <w:ind w:firstLine="2880" w:firstLineChars="1200"/>
              <w:rPr>
                <w:rFonts w:hint="eastAsia" w:ascii="仿宋_GB2312" w:hAnsi="仿宋_GB2312" w:eastAsia="仿宋_GB2312" w:cs="仿宋_GB2312"/>
                <w:bCs/>
                <w:color w:val="auto"/>
                <w:sz w:val="24"/>
                <w:szCs w:val="24"/>
                <w:highlight w:val="none"/>
                <w:lang w:val="en-US" w:eastAsia="zh-CN"/>
              </w:rPr>
            </w:pPr>
          </w:p>
          <w:p w14:paraId="4C470A4B">
            <w:pPr>
              <w:ind w:firstLine="3360" w:firstLineChars="1400"/>
              <w:rPr>
                <w:rFonts w:hint="eastAsia" w:ascii="仿宋_GB2312" w:hAnsi="仿宋_GB2312" w:eastAsia="仿宋_GB2312" w:cs="仿宋_GB2312"/>
                <w:bCs/>
                <w:color w:val="auto"/>
                <w:sz w:val="24"/>
                <w:szCs w:val="24"/>
                <w:highlight w:val="none"/>
                <w:lang w:val="en-US" w:eastAsia="zh-CN"/>
              </w:rPr>
            </w:pPr>
          </w:p>
          <w:p w14:paraId="2AD2AB78">
            <w:pPr>
              <w:ind w:firstLine="3120" w:firstLineChars="1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甲方代表：</w:t>
            </w:r>
          </w:p>
          <w:p w14:paraId="1A3B0CED">
            <w:pPr>
              <w:ind w:firstLine="3120" w:firstLineChars="1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日期：   年   月   日</w:t>
            </w:r>
          </w:p>
        </w:tc>
      </w:tr>
      <w:tr w14:paraId="610C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trPr>
        <w:tc>
          <w:tcPr>
            <w:tcW w:w="879" w:type="dxa"/>
            <w:vAlign w:val="center"/>
          </w:tcPr>
          <w:p w14:paraId="3A3CDABA">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签收</w:t>
            </w:r>
          </w:p>
        </w:tc>
        <w:tc>
          <w:tcPr>
            <w:tcW w:w="8018" w:type="dxa"/>
            <w:gridSpan w:val="3"/>
          </w:tcPr>
          <w:p w14:paraId="607E440A">
            <w:pPr>
              <w:ind w:firstLine="480" w:firstLineChars="200"/>
              <w:rPr>
                <w:rFonts w:hint="eastAsia" w:ascii="仿宋_GB2312" w:hAnsi="仿宋_GB2312" w:eastAsia="仿宋_GB2312" w:cs="仿宋_GB2312"/>
                <w:bCs/>
                <w:color w:val="auto"/>
                <w:sz w:val="24"/>
                <w:szCs w:val="24"/>
                <w:highlight w:val="none"/>
                <w:lang w:val="en-US" w:eastAsia="zh-CN"/>
              </w:rPr>
            </w:pPr>
          </w:p>
          <w:p w14:paraId="0F57C586">
            <w:pPr>
              <w:ind w:firstLine="3360" w:firstLineChars="1400"/>
              <w:rPr>
                <w:rFonts w:hint="eastAsia" w:ascii="仿宋_GB2312" w:hAnsi="仿宋_GB2312" w:eastAsia="仿宋_GB2312" w:cs="仿宋_GB2312"/>
                <w:bCs/>
                <w:color w:val="auto"/>
                <w:sz w:val="24"/>
                <w:szCs w:val="24"/>
                <w:highlight w:val="none"/>
                <w:lang w:val="en-US" w:eastAsia="zh-CN"/>
              </w:rPr>
            </w:pPr>
          </w:p>
          <w:p w14:paraId="1FFD1632">
            <w:pPr>
              <w:ind w:firstLine="3360" w:firstLineChars="1400"/>
              <w:rPr>
                <w:rFonts w:hint="eastAsia" w:ascii="仿宋_GB2312" w:hAnsi="仿宋_GB2312" w:eastAsia="仿宋_GB2312" w:cs="仿宋_GB2312"/>
                <w:bCs/>
                <w:color w:val="auto"/>
                <w:sz w:val="24"/>
                <w:szCs w:val="24"/>
                <w:highlight w:val="none"/>
                <w:lang w:val="en-US" w:eastAsia="zh-CN"/>
              </w:rPr>
            </w:pPr>
          </w:p>
          <w:p w14:paraId="693F9F29">
            <w:pPr>
              <w:ind w:firstLine="3360" w:firstLineChars="1400"/>
              <w:rPr>
                <w:rFonts w:hint="eastAsia" w:ascii="仿宋_GB2312" w:hAnsi="仿宋_GB2312" w:eastAsia="仿宋_GB2312" w:cs="仿宋_GB2312"/>
                <w:bCs/>
                <w:color w:val="auto"/>
                <w:sz w:val="24"/>
                <w:szCs w:val="24"/>
                <w:highlight w:val="none"/>
                <w:lang w:val="en-US" w:eastAsia="zh-CN"/>
              </w:rPr>
            </w:pPr>
          </w:p>
          <w:p w14:paraId="71AECC97">
            <w:pPr>
              <w:ind w:firstLine="3120" w:firstLineChars="1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乙方：</w:t>
            </w:r>
          </w:p>
          <w:p w14:paraId="72903051">
            <w:pPr>
              <w:ind w:firstLine="3120" w:firstLineChars="1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日期：   年   月   日</w:t>
            </w:r>
          </w:p>
        </w:tc>
      </w:tr>
    </w:tbl>
    <w:p w14:paraId="20DE893A">
      <w:pPr>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eastAsia="宋体" w:cs="Times New Roman"/>
          <w:b/>
          <w:bCs w:val="0"/>
          <w:color w:val="auto"/>
          <w:kern w:val="2"/>
          <w:sz w:val="24"/>
          <w:szCs w:val="24"/>
          <w:highlight w:val="none"/>
          <w:lang w:val="en-US" w:eastAsia="zh-CN" w:bidi="ar-SA"/>
        </w:rPr>
        <w:sectPr>
          <w:pgSz w:w="11906" w:h="16838"/>
          <w:pgMar w:top="1701" w:right="1587" w:bottom="1701" w:left="1588" w:header="851" w:footer="992" w:gutter="0"/>
          <w:pgNumType w:fmt="decimal"/>
          <w:cols w:space="720" w:num="1"/>
          <w:docGrid w:type="lines" w:linePitch="312" w:charSpace="0"/>
        </w:sectPr>
      </w:pPr>
    </w:p>
    <w:p w14:paraId="32306186">
      <w:pPr>
        <w:jc w:val="center"/>
        <w:rPr>
          <w:rFonts w:hint="default" w:ascii="楷体" w:hAnsi="楷体" w:eastAsia="楷体" w:cs="Times New Roman"/>
          <w:b/>
          <w:bCs/>
          <w:color w:val="auto"/>
          <w:kern w:val="0"/>
          <w:sz w:val="52"/>
          <w:szCs w:val="52"/>
          <w:highlight w:val="none"/>
          <w:lang w:val="en-US" w:eastAsia="zh-CN" w:bidi="ar-SA"/>
        </w:rPr>
      </w:pPr>
      <w:bookmarkStart w:id="54" w:name="_Toc31495_WPSOffice_Level2"/>
      <w:bookmarkStart w:id="55" w:name="_Toc16371_WPSOffice_Level2"/>
      <w:r>
        <w:rPr>
          <w:rFonts w:hint="eastAsia" w:ascii="楷体" w:hAnsi="楷体" w:eastAsia="楷体" w:cs="Times New Roman"/>
          <w:b/>
          <w:bCs/>
          <w:color w:val="auto"/>
          <w:kern w:val="0"/>
          <w:sz w:val="52"/>
          <w:szCs w:val="52"/>
          <w:highlight w:val="none"/>
          <w:lang w:val="en-US" w:eastAsia="zh-CN" w:bidi="ar-SA"/>
        </w:rPr>
        <w:t>***水闸日常养护</w:t>
      </w:r>
    </w:p>
    <w:p w14:paraId="4A94181B">
      <w:pPr>
        <w:jc w:val="center"/>
        <w:rPr>
          <w:rFonts w:hint="eastAsia" w:ascii="楷体" w:hAnsi="楷体" w:eastAsia="楷体" w:cs="Times New Roman"/>
          <w:b/>
          <w:bCs/>
          <w:color w:val="auto"/>
          <w:kern w:val="0"/>
          <w:sz w:val="52"/>
          <w:szCs w:val="52"/>
          <w:highlight w:val="none"/>
          <w:lang w:val="en-US" w:eastAsia="zh-CN" w:bidi="ar-SA"/>
        </w:rPr>
      </w:pPr>
      <w:r>
        <w:rPr>
          <w:rFonts w:hint="eastAsia" w:ascii="楷体" w:hAnsi="楷体" w:eastAsia="楷体" w:cs="Times New Roman"/>
          <w:b/>
          <w:bCs/>
          <w:color w:val="auto"/>
          <w:kern w:val="0"/>
          <w:sz w:val="52"/>
          <w:szCs w:val="52"/>
          <w:highlight w:val="none"/>
          <w:lang w:val="en-US" w:eastAsia="zh-CN" w:bidi="ar-SA"/>
        </w:rPr>
        <w:t>*月/定期养护第*次验收表</w:t>
      </w:r>
    </w:p>
    <w:p w14:paraId="00292A1B">
      <w:pP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项目名称：</w:t>
      </w:r>
      <w:r>
        <w:rPr>
          <w:rFonts w:hint="eastAsia" w:ascii="仿宋_GB2312" w:hAnsi="仿宋_GB2312" w:eastAsia="仿宋_GB2312" w:cs="仿宋_GB2312"/>
          <w:b/>
          <w:bCs/>
          <w:color w:val="auto"/>
          <w:sz w:val="24"/>
          <w:szCs w:val="24"/>
          <w:highlight w:val="none"/>
        </w:rPr>
        <w:t>************</w:t>
      </w:r>
    </w:p>
    <w:tbl>
      <w:tblPr>
        <w:tblStyle w:val="5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2602"/>
        <w:gridCol w:w="1336"/>
        <w:gridCol w:w="2017"/>
      </w:tblGrid>
      <w:tr w14:paraId="5C62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942" w:type="dxa"/>
            <w:shd w:val="clear" w:color="auto" w:fill="auto"/>
            <w:vAlign w:val="center"/>
          </w:tcPr>
          <w:p w14:paraId="3782AC9B">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承包单位</w:t>
            </w:r>
          </w:p>
        </w:tc>
        <w:tc>
          <w:tcPr>
            <w:tcW w:w="2602" w:type="dxa"/>
            <w:shd w:val="clear" w:color="auto" w:fill="auto"/>
            <w:vAlign w:val="center"/>
          </w:tcPr>
          <w:p w14:paraId="7F056263">
            <w:pPr>
              <w:jc w:val="center"/>
              <w:rPr>
                <w:rFonts w:hint="eastAsia" w:ascii="仿宋_GB2312" w:hAnsi="仿宋_GB2312" w:eastAsia="仿宋_GB2312" w:cs="仿宋_GB2312"/>
                <w:bCs/>
                <w:color w:val="auto"/>
                <w:sz w:val="24"/>
                <w:szCs w:val="24"/>
                <w:highlight w:val="none"/>
                <w:lang w:val="en-US" w:eastAsia="zh-CN"/>
              </w:rPr>
            </w:pPr>
          </w:p>
        </w:tc>
        <w:tc>
          <w:tcPr>
            <w:tcW w:w="1336" w:type="dxa"/>
            <w:shd w:val="clear" w:color="auto" w:fill="auto"/>
            <w:vAlign w:val="center"/>
          </w:tcPr>
          <w:p w14:paraId="320AABEC">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验收时间</w:t>
            </w:r>
          </w:p>
        </w:tc>
        <w:tc>
          <w:tcPr>
            <w:tcW w:w="2017" w:type="dxa"/>
            <w:vAlign w:val="center"/>
          </w:tcPr>
          <w:p w14:paraId="15C19782">
            <w:pPr>
              <w:jc w:val="center"/>
              <w:rPr>
                <w:rFonts w:hint="eastAsia" w:ascii="仿宋_GB2312" w:hAnsi="仿宋_GB2312" w:eastAsia="仿宋_GB2312" w:cs="仿宋_GB2312"/>
                <w:bCs/>
                <w:color w:val="auto"/>
                <w:sz w:val="24"/>
                <w:szCs w:val="24"/>
                <w:highlight w:val="none"/>
                <w:lang w:val="en-US" w:eastAsia="zh-CN"/>
              </w:rPr>
            </w:pPr>
          </w:p>
        </w:tc>
      </w:tr>
      <w:tr w14:paraId="4CE7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8897" w:type="dxa"/>
            <w:gridSpan w:val="4"/>
            <w:vAlign w:val="center"/>
          </w:tcPr>
          <w:p w14:paraId="3A320C05">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日常养护共开展**次，共养护**天，其中第一次**人，**工日，第二次**人，**工日；第三次**人，**工日；第四次**人，**工日，……。</w:t>
            </w:r>
          </w:p>
        </w:tc>
      </w:tr>
      <w:tr w14:paraId="4439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942" w:type="dxa"/>
            <w:vAlign w:val="center"/>
          </w:tcPr>
          <w:p w14:paraId="087455B5">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验收得分</w:t>
            </w:r>
          </w:p>
        </w:tc>
        <w:tc>
          <w:tcPr>
            <w:tcW w:w="5955" w:type="dxa"/>
            <w:gridSpan w:val="3"/>
            <w:vAlign w:val="center"/>
          </w:tcPr>
          <w:p w14:paraId="1B52BA1A">
            <w:pPr>
              <w:jc w:val="center"/>
              <w:rPr>
                <w:rFonts w:hint="eastAsia" w:ascii="仿宋_GB2312" w:hAnsi="仿宋_GB2312" w:eastAsia="仿宋_GB2312" w:cs="仿宋_GB2312"/>
                <w:bCs/>
                <w:color w:val="auto"/>
                <w:sz w:val="24"/>
                <w:szCs w:val="24"/>
                <w:highlight w:val="none"/>
                <w:lang w:val="en-US" w:eastAsia="zh-CN"/>
              </w:rPr>
            </w:pPr>
          </w:p>
        </w:tc>
      </w:tr>
      <w:tr w14:paraId="60A0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942" w:type="dxa"/>
            <w:vAlign w:val="center"/>
          </w:tcPr>
          <w:p w14:paraId="0FB7866F">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存在问题</w:t>
            </w:r>
          </w:p>
        </w:tc>
        <w:tc>
          <w:tcPr>
            <w:tcW w:w="5955" w:type="dxa"/>
            <w:gridSpan w:val="3"/>
          </w:tcPr>
          <w:p w14:paraId="3F9CB5A4">
            <w:pPr>
              <w:jc w:val="center"/>
              <w:rPr>
                <w:rFonts w:hint="eastAsia" w:ascii="仿宋_GB2312" w:hAnsi="仿宋_GB2312" w:eastAsia="仿宋_GB2312" w:cs="仿宋_GB2312"/>
                <w:bCs/>
                <w:color w:val="auto"/>
                <w:sz w:val="24"/>
                <w:szCs w:val="24"/>
                <w:highlight w:val="none"/>
                <w:lang w:val="en-US" w:eastAsia="zh-CN"/>
              </w:rPr>
            </w:pPr>
          </w:p>
          <w:p w14:paraId="2814E50A">
            <w:pPr>
              <w:jc w:val="center"/>
              <w:rPr>
                <w:rFonts w:hint="eastAsia" w:ascii="仿宋_GB2312" w:hAnsi="仿宋_GB2312" w:eastAsia="仿宋_GB2312" w:cs="仿宋_GB2312"/>
                <w:bCs/>
                <w:color w:val="auto"/>
                <w:sz w:val="24"/>
                <w:szCs w:val="24"/>
                <w:highlight w:val="none"/>
                <w:lang w:val="en-US" w:eastAsia="zh-CN"/>
              </w:rPr>
            </w:pPr>
          </w:p>
        </w:tc>
      </w:tr>
      <w:tr w14:paraId="1415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942" w:type="dxa"/>
            <w:vAlign w:val="center"/>
          </w:tcPr>
          <w:p w14:paraId="7EFE1C06">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下一步工作建议</w:t>
            </w:r>
          </w:p>
        </w:tc>
        <w:tc>
          <w:tcPr>
            <w:tcW w:w="5955" w:type="dxa"/>
            <w:gridSpan w:val="3"/>
          </w:tcPr>
          <w:p w14:paraId="5463C169">
            <w:pPr>
              <w:jc w:val="center"/>
              <w:rPr>
                <w:rFonts w:hint="eastAsia" w:ascii="仿宋_GB2312" w:hAnsi="仿宋_GB2312" w:eastAsia="仿宋_GB2312" w:cs="仿宋_GB2312"/>
                <w:bCs/>
                <w:color w:val="auto"/>
                <w:sz w:val="24"/>
                <w:szCs w:val="24"/>
                <w:highlight w:val="none"/>
                <w:lang w:val="en-US" w:eastAsia="zh-CN"/>
              </w:rPr>
            </w:pPr>
          </w:p>
        </w:tc>
      </w:tr>
      <w:tr w14:paraId="3FE5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8897" w:type="dxa"/>
            <w:gridSpan w:val="4"/>
            <w:vAlign w:val="center"/>
          </w:tcPr>
          <w:p w14:paraId="16B1ED49">
            <w:pPr>
              <w:ind w:firstLine="720" w:firstLineChars="300"/>
              <w:jc w:val="left"/>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验收小组成员签名：</w:t>
            </w:r>
          </w:p>
        </w:tc>
      </w:tr>
      <w:tr w14:paraId="4236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897" w:type="dxa"/>
            <w:gridSpan w:val="4"/>
            <w:vAlign w:val="center"/>
          </w:tcPr>
          <w:p w14:paraId="624BF8A6">
            <w:pPr>
              <w:ind w:firstLine="720" w:firstLineChars="300"/>
              <w:jc w:val="left"/>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养护单位签名：</w:t>
            </w:r>
          </w:p>
        </w:tc>
      </w:tr>
    </w:tbl>
    <w:p w14:paraId="45771FF8">
      <w:pPr>
        <w:widowControl w:val="0"/>
        <w:adjustRightInd w:val="0"/>
        <w:spacing w:line="720" w:lineRule="auto"/>
        <w:jc w:val="center"/>
        <w:textAlignment w:val="baseline"/>
        <w:rPr>
          <w:rFonts w:hint="eastAsia" w:ascii="楷体" w:hAnsi="楷体" w:eastAsia="楷体" w:cs="Times New Roman"/>
          <w:b/>
          <w:bCs/>
          <w:color w:val="auto"/>
          <w:kern w:val="0"/>
          <w:sz w:val="52"/>
          <w:szCs w:val="52"/>
          <w:highlight w:val="none"/>
          <w:lang w:val="en-US" w:eastAsia="zh-CN" w:bidi="ar-SA"/>
        </w:rPr>
      </w:pPr>
    </w:p>
    <w:p w14:paraId="09B85D3B">
      <w:pPr>
        <w:widowControl w:val="0"/>
        <w:adjustRightInd w:val="0"/>
        <w:spacing w:line="720" w:lineRule="auto"/>
        <w:jc w:val="center"/>
        <w:textAlignment w:val="baseline"/>
        <w:rPr>
          <w:rFonts w:hint="eastAsia" w:ascii="楷体" w:hAnsi="楷体" w:eastAsia="楷体" w:cs="Times New Roman"/>
          <w:b/>
          <w:bCs/>
          <w:color w:val="auto"/>
          <w:kern w:val="0"/>
          <w:sz w:val="52"/>
          <w:szCs w:val="52"/>
          <w:highlight w:val="none"/>
          <w:lang w:val="en-US" w:eastAsia="zh-CN" w:bidi="ar-SA"/>
        </w:rPr>
      </w:pPr>
    </w:p>
    <w:p w14:paraId="3B52442D">
      <w:pPr>
        <w:widowControl w:val="0"/>
        <w:adjustRightInd w:val="0"/>
        <w:spacing w:line="720" w:lineRule="auto"/>
        <w:jc w:val="center"/>
        <w:textAlignment w:val="baseline"/>
        <w:rPr>
          <w:rFonts w:ascii="楷体" w:hAnsi="楷体" w:eastAsia="楷体" w:cs="Times New Roman"/>
          <w:b/>
          <w:bCs/>
          <w:color w:val="auto"/>
          <w:kern w:val="0"/>
          <w:sz w:val="52"/>
          <w:szCs w:val="52"/>
          <w:highlight w:val="none"/>
          <w:lang w:val="en-US" w:eastAsia="zh-CN" w:bidi="ar-SA"/>
        </w:rPr>
      </w:pPr>
      <w:r>
        <w:rPr>
          <w:rFonts w:hint="eastAsia" w:ascii="楷体" w:hAnsi="楷体" w:eastAsia="楷体" w:cs="Times New Roman"/>
          <w:b/>
          <w:bCs/>
          <w:color w:val="auto"/>
          <w:kern w:val="0"/>
          <w:sz w:val="52"/>
          <w:szCs w:val="52"/>
          <w:highlight w:val="none"/>
          <w:lang w:val="en-US" w:eastAsia="zh-CN" w:bidi="ar-SA"/>
        </w:rPr>
        <w:t>************项目</w:t>
      </w:r>
      <w:bookmarkEnd w:id="54"/>
      <w:bookmarkEnd w:id="55"/>
    </w:p>
    <w:p w14:paraId="1621EF3A">
      <w:pPr>
        <w:widowControl w:val="0"/>
        <w:adjustRightInd w:val="0"/>
        <w:spacing w:line="720" w:lineRule="auto"/>
        <w:jc w:val="center"/>
        <w:textAlignment w:val="baseline"/>
        <w:rPr>
          <w:rFonts w:hint="eastAsia" w:ascii="楷体" w:hAnsi="楷体" w:eastAsia="楷体" w:cs="Times New Roman"/>
          <w:b/>
          <w:bCs/>
          <w:color w:val="auto"/>
          <w:kern w:val="0"/>
          <w:sz w:val="52"/>
          <w:szCs w:val="52"/>
          <w:highlight w:val="none"/>
          <w:lang w:val="en-US" w:eastAsia="zh-CN" w:bidi="ar-SA"/>
        </w:rPr>
      </w:pPr>
      <w:bookmarkStart w:id="56" w:name="_Toc70347464"/>
      <w:bookmarkStart w:id="57" w:name="_Toc21053_WPSOffice_Level2"/>
      <w:bookmarkStart w:id="58" w:name="_Toc4689_WPSOffice_Level2"/>
      <w:bookmarkStart w:id="59" w:name="_Toc25243"/>
      <w:r>
        <w:rPr>
          <w:rFonts w:hint="eastAsia" w:ascii="楷体" w:hAnsi="楷体" w:eastAsia="楷体" w:cs="Times New Roman"/>
          <w:b/>
          <w:bCs/>
          <w:color w:val="auto"/>
          <w:kern w:val="0"/>
          <w:sz w:val="52"/>
          <w:szCs w:val="52"/>
          <w:highlight w:val="none"/>
          <w:lang w:val="en-US" w:eastAsia="zh-CN" w:bidi="ar-SA"/>
        </w:rPr>
        <w:t>水闸保养保洁单位工程验收</w:t>
      </w:r>
      <w:bookmarkEnd w:id="56"/>
      <w:bookmarkEnd w:id="57"/>
      <w:bookmarkEnd w:id="58"/>
      <w:bookmarkEnd w:id="59"/>
      <w:r>
        <w:rPr>
          <w:rFonts w:hint="eastAsia" w:ascii="楷体" w:hAnsi="楷体" w:eastAsia="楷体" w:cs="Times New Roman"/>
          <w:b/>
          <w:bCs/>
          <w:color w:val="auto"/>
          <w:kern w:val="0"/>
          <w:sz w:val="52"/>
          <w:szCs w:val="52"/>
          <w:highlight w:val="none"/>
          <w:lang w:val="en-US" w:eastAsia="zh-CN" w:bidi="ar-SA"/>
        </w:rPr>
        <w:t>报告</w:t>
      </w:r>
    </w:p>
    <w:p w14:paraId="18F6A716">
      <w:pPr>
        <w:widowControl w:val="0"/>
        <w:adjustRightInd w:val="0"/>
        <w:jc w:val="center"/>
        <w:textAlignment w:val="baseline"/>
        <w:rPr>
          <w:rFonts w:ascii="楷体" w:hAnsi="楷体" w:eastAsia="楷体" w:cs="Times New Roman"/>
          <w:bCs/>
          <w:color w:val="auto"/>
          <w:kern w:val="0"/>
          <w:sz w:val="72"/>
          <w:szCs w:val="72"/>
          <w:highlight w:val="none"/>
          <w:lang w:val="en-US" w:eastAsia="zh-CN" w:bidi="ar-SA"/>
        </w:rPr>
      </w:pPr>
    </w:p>
    <w:p w14:paraId="52E87A1A">
      <w:pPr>
        <w:widowControl w:val="0"/>
        <w:adjustRightInd w:val="0"/>
        <w:jc w:val="center"/>
        <w:textAlignment w:val="baseline"/>
        <w:rPr>
          <w:rFonts w:ascii="楷体" w:hAnsi="楷体" w:eastAsia="楷体" w:cs="Times New Roman"/>
          <w:bCs/>
          <w:color w:val="auto"/>
          <w:kern w:val="0"/>
          <w:sz w:val="44"/>
          <w:szCs w:val="44"/>
          <w:highlight w:val="none"/>
          <w:lang w:val="en-US" w:eastAsia="zh-CN" w:bidi="ar-SA"/>
        </w:rPr>
      </w:pPr>
    </w:p>
    <w:p w14:paraId="03D993D5">
      <w:pPr>
        <w:widowControl w:val="0"/>
        <w:adjustRightInd w:val="0"/>
        <w:jc w:val="center"/>
        <w:textAlignment w:val="baseline"/>
        <w:rPr>
          <w:rFonts w:ascii="楷体" w:hAnsi="楷体" w:eastAsia="楷体" w:cs="Times New Roman"/>
          <w:bCs/>
          <w:color w:val="auto"/>
          <w:kern w:val="0"/>
          <w:sz w:val="44"/>
          <w:szCs w:val="44"/>
          <w:highlight w:val="none"/>
          <w:lang w:val="en-US" w:eastAsia="zh-CN" w:bidi="ar-SA"/>
        </w:rPr>
      </w:pPr>
    </w:p>
    <w:p w14:paraId="03678961">
      <w:pPr>
        <w:widowControl w:val="0"/>
        <w:adjustRightInd w:val="0"/>
        <w:jc w:val="center"/>
        <w:textAlignment w:val="baseline"/>
        <w:rPr>
          <w:rFonts w:ascii="宋体" w:hAnsi="宋体" w:eastAsia="宋体" w:cs="Times New Roman"/>
          <w:bCs/>
          <w:color w:val="auto"/>
          <w:kern w:val="0"/>
          <w:sz w:val="44"/>
          <w:szCs w:val="44"/>
          <w:highlight w:val="none"/>
          <w:lang w:val="en-US" w:eastAsia="zh-CN" w:bidi="ar-SA"/>
        </w:rPr>
      </w:pPr>
    </w:p>
    <w:p w14:paraId="477593B9">
      <w:pPr>
        <w:widowControl w:val="0"/>
        <w:adjustRightInd w:val="0"/>
        <w:jc w:val="center"/>
        <w:textAlignment w:val="baseline"/>
        <w:rPr>
          <w:rFonts w:ascii="宋体" w:hAnsi="宋体" w:eastAsia="宋体" w:cs="Times New Roman"/>
          <w:bCs/>
          <w:color w:val="auto"/>
          <w:kern w:val="0"/>
          <w:sz w:val="44"/>
          <w:szCs w:val="44"/>
          <w:highlight w:val="none"/>
          <w:lang w:val="en-US" w:eastAsia="zh-CN" w:bidi="ar-SA"/>
        </w:rPr>
      </w:pPr>
    </w:p>
    <w:p w14:paraId="0B8ED009">
      <w:pPr>
        <w:widowControl w:val="0"/>
        <w:adjustRightInd w:val="0"/>
        <w:jc w:val="center"/>
        <w:textAlignment w:val="baseline"/>
        <w:rPr>
          <w:rFonts w:ascii="宋体" w:hAnsi="宋体" w:eastAsia="宋体" w:cs="Times New Roman"/>
          <w:bCs/>
          <w:color w:val="auto"/>
          <w:kern w:val="0"/>
          <w:sz w:val="44"/>
          <w:szCs w:val="44"/>
          <w:highlight w:val="none"/>
          <w:lang w:val="en-US" w:eastAsia="zh-CN" w:bidi="ar-SA"/>
        </w:rPr>
      </w:pPr>
    </w:p>
    <w:p w14:paraId="6F17D876">
      <w:pPr>
        <w:widowControl w:val="0"/>
        <w:adjustRightInd w:val="0"/>
        <w:jc w:val="center"/>
        <w:textAlignment w:val="baseline"/>
        <w:rPr>
          <w:rFonts w:ascii="宋体" w:hAnsi="宋体" w:eastAsia="宋体" w:cs="Times New Roman"/>
          <w:bCs/>
          <w:color w:val="auto"/>
          <w:kern w:val="0"/>
          <w:sz w:val="44"/>
          <w:szCs w:val="44"/>
          <w:highlight w:val="none"/>
          <w:lang w:val="en-US" w:eastAsia="zh-CN" w:bidi="ar-SA"/>
        </w:rPr>
      </w:pPr>
    </w:p>
    <w:p w14:paraId="5BD15B98">
      <w:pPr>
        <w:widowControl w:val="0"/>
        <w:adjustRightInd w:val="0"/>
        <w:jc w:val="both"/>
        <w:textAlignment w:val="baseline"/>
        <w:rPr>
          <w:rFonts w:ascii="仿宋_GB2312" w:hAnsi="仿宋_GB2312" w:eastAsia="仿宋_GB2312" w:cs="仿宋_GB2312"/>
          <w:bCs/>
          <w:color w:val="auto"/>
          <w:kern w:val="0"/>
          <w:sz w:val="36"/>
          <w:szCs w:val="36"/>
          <w:highlight w:val="none"/>
          <w:lang w:val="en-US" w:eastAsia="zh-CN" w:bidi="ar-SA"/>
        </w:rPr>
      </w:pPr>
    </w:p>
    <w:p w14:paraId="52B7A2C5">
      <w:pPr>
        <w:widowControl w:val="0"/>
        <w:adjustRightInd w:val="0"/>
        <w:jc w:val="center"/>
        <w:textAlignment w:val="baseline"/>
        <w:rPr>
          <w:rFonts w:ascii="仿宋_GB2312" w:hAnsi="仿宋_GB2312" w:eastAsia="仿宋_GB2312" w:cs="仿宋_GB2312"/>
          <w:bCs/>
          <w:color w:val="auto"/>
          <w:kern w:val="0"/>
          <w:sz w:val="36"/>
          <w:szCs w:val="36"/>
          <w:highlight w:val="none"/>
          <w:lang w:val="en-US" w:eastAsia="zh-CN" w:bidi="ar-SA"/>
        </w:rPr>
      </w:pPr>
      <w:bookmarkStart w:id="60" w:name="_Toc31178_WPSOffice_Level2"/>
      <w:bookmarkStart w:id="61" w:name="_Toc26442_WPSOffice_Level2"/>
      <w:r>
        <w:rPr>
          <w:rFonts w:hint="eastAsia" w:ascii="仿宋_GB2312" w:hAnsi="仿宋_GB2312" w:eastAsia="仿宋_GB2312" w:cs="仿宋_GB2312"/>
          <w:b/>
          <w:bCs/>
          <w:color w:val="auto"/>
          <w:kern w:val="0"/>
          <w:sz w:val="36"/>
          <w:szCs w:val="36"/>
          <w:highlight w:val="none"/>
          <w:lang w:val="en-US" w:eastAsia="zh-CN" w:bidi="ar-SA"/>
        </w:rPr>
        <w:t>××××××项目水闸保养保洁单位工程验收工作组</w:t>
      </w:r>
      <w:bookmarkEnd w:id="60"/>
      <w:bookmarkEnd w:id="61"/>
    </w:p>
    <w:p w14:paraId="3F15495B">
      <w:pPr>
        <w:jc w:val="center"/>
        <w:rPr>
          <w:rFonts w:ascii="仿宋_GB2312" w:hAnsi="仿宋_GB2312" w:eastAsia="仿宋_GB2312" w:cs="仿宋_GB2312"/>
          <w:b/>
          <w:bCs/>
          <w:color w:val="auto"/>
          <w:sz w:val="36"/>
          <w:szCs w:val="36"/>
          <w:highlight w:val="none"/>
        </w:rPr>
      </w:pPr>
      <w:bookmarkStart w:id="62" w:name="_Toc24197_WPSOffice_Level2"/>
      <w:bookmarkStart w:id="63" w:name="_Toc12562_WPSOffice_Level2"/>
      <w:r>
        <w:rPr>
          <w:rFonts w:hint="eastAsia" w:ascii="仿宋_GB2312" w:hAnsi="仿宋_GB2312" w:eastAsia="仿宋_GB2312" w:cs="仿宋_GB2312"/>
          <w:b/>
          <w:bCs/>
          <w:color w:val="auto"/>
          <w:sz w:val="36"/>
          <w:szCs w:val="36"/>
          <w:highlight w:val="none"/>
        </w:rPr>
        <w:t>二○××年××月××日</w:t>
      </w:r>
      <w:bookmarkEnd w:id="62"/>
      <w:bookmarkEnd w:id="63"/>
    </w:p>
    <w:p w14:paraId="5AAB08FC">
      <w:pPr>
        <w:widowControl w:val="0"/>
        <w:adjustRightInd w:val="0"/>
        <w:jc w:val="center"/>
        <w:textAlignment w:val="baseline"/>
        <w:rPr>
          <w:rFonts w:ascii="宋体" w:hAnsi="宋体" w:eastAsia="宋体" w:cs="Times New Roman"/>
          <w:bCs/>
          <w:color w:val="auto"/>
          <w:kern w:val="0"/>
          <w:sz w:val="30"/>
          <w:szCs w:val="30"/>
          <w:highlight w:val="none"/>
          <w:lang w:val="en-US" w:eastAsia="zh-CN" w:bidi="ar-SA"/>
        </w:rPr>
      </w:pPr>
    </w:p>
    <w:p w14:paraId="02F3D9BA">
      <w:pPr>
        <w:widowControl w:val="0"/>
        <w:adjustRightInd w:val="0"/>
        <w:jc w:val="center"/>
        <w:textAlignment w:val="baseline"/>
        <w:rPr>
          <w:rFonts w:ascii="宋体" w:hAnsi="宋体" w:eastAsia="宋体" w:cs="Times New Roman"/>
          <w:bCs/>
          <w:color w:val="auto"/>
          <w:kern w:val="0"/>
          <w:sz w:val="30"/>
          <w:szCs w:val="30"/>
          <w:highlight w:val="none"/>
          <w:lang w:val="en-US" w:eastAsia="zh-CN" w:bidi="ar-SA"/>
        </w:rPr>
      </w:pPr>
    </w:p>
    <w:p w14:paraId="51A15EF9">
      <w:pPr>
        <w:widowControl w:val="0"/>
        <w:adjustRightInd w:val="0"/>
        <w:spacing w:line="360" w:lineRule="auto"/>
        <w:jc w:val="both"/>
        <w:textAlignment w:val="baseline"/>
        <w:rPr>
          <w:rFonts w:hint="eastAsia" w:ascii="仿宋_GB2312" w:hAnsi="仿宋_GB2312" w:eastAsia="仿宋_GB2312" w:cs="仿宋_GB2312"/>
          <w:bCs/>
          <w:color w:val="auto"/>
          <w:kern w:val="0"/>
          <w:sz w:val="30"/>
          <w:szCs w:val="30"/>
          <w:highlight w:val="none"/>
          <w:lang w:val="en-US" w:eastAsia="zh-CN" w:bidi="ar-SA"/>
        </w:rPr>
      </w:pPr>
    </w:p>
    <w:p w14:paraId="22D3835E">
      <w:pPr>
        <w:rPr>
          <w:rFonts w:hint="eastAsia" w:ascii="仿宋_GB2312" w:hAnsi="仿宋_GB2312" w:eastAsia="仿宋_GB2312" w:cs="仿宋_GB2312"/>
          <w:bCs/>
          <w:color w:val="auto"/>
          <w:kern w:val="0"/>
          <w:sz w:val="30"/>
          <w:szCs w:val="30"/>
          <w:highlight w:val="none"/>
          <w:lang w:val="en-US" w:eastAsia="zh-CN" w:bidi="ar-SA"/>
        </w:rPr>
      </w:pPr>
      <w:r>
        <w:rPr>
          <w:rFonts w:hint="eastAsia" w:ascii="仿宋_GB2312" w:hAnsi="仿宋_GB2312" w:eastAsia="仿宋_GB2312" w:cs="仿宋_GB2312"/>
          <w:bCs/>
          <w:color w:val="auto"/>
          <w:kern w:val="0"/>
          <w:sz w:val="30"/>
          <w:szCs w:val="30"/>
          <w:highlight w:val="none"/>
          <w:lang w:val="en-US" w:eastAsia="zh-CN" w:bidi="ar-SA"/>
        </w:rPr>
        <w:br w:type="page"/>
      </w:r>
    </w:p>
    <w:p w14:paraId="08D678AA">
      <w:pPr>
        <w:widowControl w:val="0"/>
        <w:adjustRightInd w:val="0"/>
        <w:spacing w:line="360" w:lineRule="auto"/>
        <w:jc w:val="both"/>
        <w:textAlignment w:val="baseline"/>
        <w:rPr>
          <w:rFonts w:hint="eastAsia" w:ascii="仿宋_GB2312" w:hAnsi="仿宋_GB2312" w:eastAsia="仿宋_GB2312" w:cs="仿宋_GB2312"/>
          <w:bCs/>
          <w:color w:val="auto"/>
          <w:kern w:val="0"/>
          <w:sz w:val="30"/>
          <w:szCs w:val="30"/>
          <w:highlight w:val="none"/>
          <w:lang w:val="en-US" w:eastAsia="zh-CN" w:bidi="ar-SA"/>
        </w:rPr>
      </w:pPr>
    </w:p>
    <w:p w14:paraId="517C6D4B">
      <w:pPr>
        <w:widowControl w:val="0"/>
        <w:adjustRightInd w:val="0"/>
        <w:spacing w:line="360" w:lineRule="auto"/>
        <w:ind w:firstLine="576" w:firstLineChars="192"/>
        <w:jc w:val="both"/>
        <w:textAlignment w:val="baseline"/>
        <w:rPr>
          <w:rFonts w:ascii="仿宋_GB2312" w:hAnsi="仿宋_GB2312" w:eastAsia="仿宋_GB2312" w:cs="仿宋_GB2312"/>
          <w:bCs/>
          <w:color w:val="auto"/>
          <w:kern w:val="0"/>
          <w:sz w:val="30"/>
          <w:szCs w:val="30"/>
          <w:highlight w:val="none"/>
          <w:lang w:val="en-US" w:eastAsia="zh-CN" w:bidi="ar-SA"/>
        </w:rPr>
      </w:pPr>
      <w:r>
        <w:rPr>
          <w:rFonts w:hint="eastAsia" w:ascii="仿宋_GB2312" w:hAnsi="仿宋_GB2312" w:eastAsia="仿宋_GB2312" w:cs="仿宋_GB2312"/>
          <w:bCs/>
          <w:color w:val="auto"/>
          <w:kern w:val="0"/>
          <w:sz w:val="30"/>
          <w:szCs w:val="30"/>
          <w:highlight w:val="none"/>
          <w:lang w:val="en-US" w:eastAsia="zh-CN" w:bidi="ar-SA"/>
        </w:rPr>
        <w:t>合同甲方：</w:t>
      </w:r>
    </w:p>
    <w:p w14:paraId="0D869E27">
      <w:pPr>
        <w:widowControl w:val="0"/>
        <w:adjustRightInd w:val="0"/>
        <w:spacing w:line="360" w:lineRule="auto"/>
        <w:jc w:val="both"/>
        <w:textAlignment w:val="baseline"/>
        <w:rPr>
          <w:rFonts w:ascii="仿宋_GB2312" w:hAnsi="仿宋_GB2312" w:eastAsia="仿宋_GB2312" w:cs="仿宋_GB2312"/>
          <w:bCs/>
          <w:color w:val="auto"/>
          <w:kern w:val="0"/>
          <w:sz w:val="30"/>
          <w:szCs w:val="30"/>
          <w:highlight w:val="none"/>
          <w:lang w:val="en-US" w:eastAsia="zh-CN" w:bidi="ar-SA"/>
        </w:rPr>
      </w:pPr>
    </w:p>
    <w:p w14:paraId="63C2AD57">
      <w:pPr>
        <w:widowControl w:val="0"/>
        <w:adjustRightInd w:val="0"/>
        <w:spacing w:line="360" w:lineRule="auto"/>
        <w:ind w:firstLine="576" w:firstLineChars="192"/>
        <w:jc w:val="both"/>
        <w:textAlignment w:val="baseline"/>
        <w:rPr>
          <w:rFonts w:ascii="仿宋_GB2312" w:hAnsi="仿宋_GB2312" w:eastAsia="仿宋_GB2312" w:cs="仿宋_GB2312"/>
          <w:bCs/>
          <w:color w:val="auto"/>
          <w:kern w:val="0"/>
          <w:sz w:val="30"/>
          <w:szCs w:val="30"/>
          <w:highlight w:val="none"/>
          <w:lang w:val="en-US" w:eastAsia="zh-CN" w:bidi="ar-SA"/>
        </w:rPr>
      </w:pPr>
      <w:r>
        <w:rPr>
          <w:rFonts w:hint="eastAsia" w:ascii="仿宋_GB2312" w:hAnsi="仿宋_GB2312" w:eastAsia="仿宋_GB2312" w:cs="仿宋_GB2312"/>
          <w:bCs/>
          <w:color w:val="auto"/>
          <w:kern w:val="0"/>
          <w:sz w:val="30"/>
          <w:szCs w:val="30"/>
          <w:highlight w:val="none"/>
          <w:lang w:val="en-US" w:eastAsia="zh-CN" w:bidi="ar-SA"/>
        </w:rPr>
        <w:t>承担单位：</w:t>
      </w:r>
    </w:p>
    <w:p w14:paraId="5B8FC42E">
      <w:pPr>
        <w:widowControl w:val="0"/>
        <w:adjustRightInd w:val="0"/>
        <w:spacing w:line="360" w:lineRule="auto"/>
        <w:ind w:firstLine="576" w:firstLineChars="192"/>
        <w:jc w:val="both"/>
        <w:textAlignment w:val="baseline"/>
        <w:rPr>
          <w:rFonts w:ascii="仿宋_GB2312" w:hAnsi="仿宋_GB2312" w:eastAsia="仿宋_GB2312" w:cs="仿宋_GB2312"/>
          <w:bCs/>
          <w:color w:val="auto"/>
          <w:kern w:val="0"/>
          <w:sz w:val="30"/>
          <w:szCs w:val="30"/>
          <w:highlight w:val="none"/>
          <w:lang w:val="en-US" w:eastAsia="zh-CN" w:bidi="ar-SA"/>
        </w:rPr>
      </w:pPr>
    </w:p>
    <w:p w14:paraId="532C9510">
      <w:pPr>
        <w:widowControl w:val="0"/>
        <w:adjustRightInd w:val="0"/>
        <w:spacing w:line="360" w:lineRule="auto"/>
        <w:ind w:firstLine="576" w:firstLineChars="192"/>
        <w:jc w:val="both"/>
        <w:textAlignment w:val="baseline"/>
        <w:rPr>
          <w:rFonts w:ascii="仿宋_GB2312" w:hAnsi="仿宋_GB2312" w:eastAsia="仿宋_GB2312" w:cs="仿宋_GB2312"/>
          <w:bCs/>
          <w:color w:val="auto"/>
          <w:kern w:val="0"/>
          <w:sz w:val="30"/>
          <w:szCs w:val="30"/>
          <w:highlight w:val="none"/>
          <w:lang w:val="en-US" w:eastAsia="zh-CN" w:bidi="ar-SA"/>
        </w:rPr>
      </w:pPr>
      <w:r>
        <w:rPr>
          <w:rFonts w:hint="eastAsia" w:ascii="仿宋_GB2312" w:hAnsi="仿宋_GB2312" w:eastAsia="仿宋_GB2312" w:cs="仿宋_GB2312"/>
          <w:bCs/>
          <w:color w:val="auto"/>
          <w:kern w:val="0"/>
          <w:sz w:val="30"/>
          <w:szCs w:val="30"/>
          <w:highlight w:val="none"/>
          <w:lang w:val="en-US" w:eastAsia="zh-CN" w:bidi="ar-SA"/>
        </w:rPr>
        <w:t>验收时间：××年××月××日</w:t>
      </w:r>
    </w:p>
    <w:p w14:paraId="7C380A47">
      <w:pPr>
        <w:widowControl w:val="0"/>
        <w:adjustRightInd w:val="0"/>
        <w:spacing w:line="360" w:lineRule="auto"/>
        <w:ind w:firstLine="576" w:firstLineChars="192"/>
        <w:jc w:val="both"/>
        <w:textAlignment w:val="baseline"/>
        <w:rPr>
          <w:rFonts w:ascii="仿宋_GB2312" w:hAnsi="仿宋_GB2312" w:eastAsia="仿宋_GB2312" w:cs="仿宋_GB2312"/>
          <w:bCs/>
          <w:color w:val="auto"/>
          <w:kern w:val="0"/>
          <w:sz w:val="30"/>
          <w:szCs w:val="30"/>
          <w:highlight w:val="none"/>
          <w:lang w:val="en-US" w:eastAsia="zh-CN" w:bidi="ar-SA"/>
        </w:rPr>
      </w:pPr>
    </w:p>
    <w:p w14:paraId="4E30FF78">
      <w:pPr>
        <w:widowControl w:val="0"/>
        <w:adjustRightInd w:val="0"/>
        <w:spacing w:line="360" w:lineRule="auto"/>
        <w:ind w:firstLine="576" w:firstLineChars="192"/>
        <w:jc w:val="both"/>
        <w:textAlignment w:val="baseline"/>
        <w:rPr>
          <w:rFonts w:ascii="仿宋_GB2312" w:hAnsi="仿宋_GB2312" w:eastAsia="仿宋_GB2312" w:cs="仿宋_GB2312"/>
          <w:bCs/>
          <w:color w:val="auto"/>
          <w:kern w:val="0"/>
          <w:sz w:val="30"/>
          <w:szCs w:val="30"/>
          <w:highlight w:val="none"/>
          <w:lang w:val="en-US" w:eastAsia="zh-CN" w:bidi="ar-SA"/>
        </w:rPr>
      </w:pPr>
      <w:r>
        <w:rPr>
          <w:rFonts w:hint="eastAsia" w:ascii="仿宋_GB2312" w:hAnsi="仿宋_GB2312" w:eastAsia="仿宋_GB2312" w:cs="仿宋_GB2312"/>
          <w:bCs/>
          <w:color w:val="auto"/>
          <w:kern w:val="0"/>
          <w:sz w:val="30"/>
          <w:szCs w:val="30"/>
          <w:highlight w:val="none"/>
          <w:lang w:val="en-US" w:eastAsia="zh-CN" w:bidi="ar-SA"/>
        </w:rPr>
        <w:t>验收地点：</w:t>
      </w:r>
    </w:p>
    <w:p w14:paraId="1FD8695C">
      <w:pPr>
        <w:spacing w:line="360" w:lineRule="auto"/>
        <w:jc w:val="center"/>
        <w:rPr>
          <w:rFonts w:ascii="仿宋_GB2312" w:hAnsi="仿宋_GB2312" w:eastAsia="仿宋_GB2312" w:cs="仿宋_GB2312"/>
          <w:bCs/>
          <w:color w:val="auto"/>
          <w:sz w:val="30"/>
          <w:szCs w:val="30"/>
          <w:highlight w:val="none"/>
        </w:rPr>
      </w:pPr>
    </w:p>
    <w:p w14:paraId="694B9B67">
      <w:pPr>
        <w:spacing w:line="360" w:lineRule="auto"/>
        <w:jc w:val="center"/>
        <w:rPr>
          <w:rFonts w:ascii="仿宋_GB2312" w:hAnsi="仿宋_GB2312" w:eastAsia="仿宋_GB2312" w:cs="仿宋_GB2312"/>
          <w:bCs/>
          <w:color w:val="auto"/>
          <w:sz w:val="30"/>
          <w:szCs w:val="30"/>
          <w:highlight w:val="none"/>
        </w:rPr>
      </w:pPr>
    </w:p>
    <w:p w14:paraId="446E3D10">
      <w:pPr>
        <w:spacing w:line="360" w:lineRule="auto"/>
        <w:jc w:val="center"/>
        <w:rPr>
          <w:rFonts w:ascii="仿宋_GB2312" w:hAnsi="仿宋_GB2312" w:eastAsia="仿宋_GB2312" w:cs="仿宋_GB2312"/>
          <w:bCs/>
          <w:color w:val="auto"/>
          <w:sz w:val="30"/>
          <w:szCs w:val="30"/>
          <w:highlight w:val="none"/>
        </w:rPr>
      </w:pPr>
    </w:p>
    <w:p w14:paraId="4DBF6D98">
      <w:pPr>
        <w:spacing w:line="360" w:lineRule="auto"/>
        <w:rPr>
          <w:rFonts w:ascii="微软雅黑" w:hAnsi="微软雅黑" w:eastAsia="微软雅黑" w:cs="微软雅黑"/>
          <w:b/>
          <w:bCs/>
          <w:color w:val="auto"/>
          <w:sz w:val="44"/>
          <w:szCs w:val="44"/>
          <w:highlight w:val="none"/>
        </w:rPr>
      </w:pPr>
    </w:p>
    <w:p w14:paraId="3B3688B7">
      <w:pPr>
        <w:widowControl w:val="0"/>
        <w:ind w:firstLine="880" w:firstLineChars="200"/>
        <w:jc w:val="both"/>
        <w:rPr>
          <w:rFonts w:ascii="微软雅黑" w:hAnsi="微软雅黑" w:eastAsia="微软雅黑" w:cs="微软雅黑"/>
          <w:b/>
          <w:bCs/>
          <w:color w:val="auto"/>
          <w:kern w:val="2"/>
          <w:sz w:val="44"/>
          <w:szCs w:val="44"/>
          <w:highlight w:val="none"/>
          <w:lang w:val="en-US" w:eastAsia="zh-CN" w:bidi="ar-SA"/>
        </w:rPr>
      </w:pPr>
    </w:p>
    <w:p w14:paraId="08E5CD6F">
      <w:pPr>
        <w:rPr>
          <w:rFonts w:ascii="微软雅黑" w:hAnsi="微软雅黑" w:eastAsia="微软雅黑" w:cs="微软雅黑"/>
          <w:b/>
          <w:bCs/>
          <w:color w:val="auto"/>
          <w:sz w:val="44"/>
          <w:szCs w:val="44"/>
          <w:highlight w:val="none"/>
        </w:rPr>
      </w:pPr>
    </w:p>
    <w:p w14:paraId="72045847">
      <w:pPr>
        <w:widowControl w:val="0"/>
        <w:ind w:firstLine="880" w:firstLineChars="200"/>
        <w:jc w:val="both"/>
        <w:rPr>
          <w:rFonts w:ascii="微软雅黑" w:hAnsi="微软雅黑" w:eastAsia="微软雅黑" w:cs="微软雅黑"/>
          <w:b/>
          <w:bCs/>
          <w:color w:val="auto"/>
          <w:kern w:val="2"/>
          <w:sz w:val="44"/>
          <w:szCs w:val="44"/>
          <w:highlight w:val="none"/>
          <w:lang w:val="en-US" w:eastAsia="zh-CN" w:bidi="ar-SA"/>
        </w:rPr>
      </w:pPr>
    </w:p>
    <w:p w14:paraId="43047D45">
      <w:pPr>
        <w:rPr>
          <w:rFonts w:ascii="微软雅黑" w:hAnsi="微软雅黑" w:eastAsia="微软雅黑" w:cs="微软雅黑"/>
          <w:b/>
          <w:bCs/>
          <w:color w:val="auto"/>
          <w:sz w:val="44"/>
          <w:szCs w:val="44"/>
          <w:highlight w:val="none"/>
        </w:rPr>
      </w:pPr>
    </w:p>
    <w:p w14:paraId="022D726B">
      <w:pPr>
        <w:rPr>
          <w:rFonts w:ascii="微软雅黑" w:hAnsi="微软雅黑" w:eastAsia="微软雅黑" w:cs="微软雅黑"/>
          <w:b/>
          <w:bCs/>
          <w:color w:val="auto"/>
          <w:sz w:val="44"/>
          <w:szCs w:val="44"/>
          <w:highlight w:val="none"/>
        </w:rPr>
      </w:pPr>
    </w:p>
    <w:p w14:paraId="4EA6C623">
      <w:pPr>
        <w:rPr>
          <w:rFonts w:ascii="微软雅黑" w:hAnsi="微软雅黑" w:eastAsia="微软雅黑" w:cs="微软雅黑"/>
          <w:b/>
          <w:bCs/>
          <w:color w:val="auto"/>
          <w:sz w:val="44"/>
          <w:szCs w:val="44"/>
          <w:highlight w:val="none"/>
        </w:rPr>
      </w:pPr>
    </w:p>
    <w:p w14:paraId="628C88A2">
      <w:pPr>
        <w:rPr>
          <w:rFonts w:ascii="微软雅黑" w:hAnsi="微软雅黑" w:eastAsia="微软雅黑" w:cs="微软雅黑"/>
          <w:b/>
          <w:bCs/>
          <w:color w:val="auto"/>
          <w:sz w:val="44"/>
          <w:szCs w:val="44"/>
          <w:highlight w:val="none"/>
        </w:rPr>
      </w:pPr>
    </w:p>
    <w:p w14:paraId="4726F2AD">
      <w:pPr>
        <w:widowControl w:val="0"/>
        <w:ind w:firstLine="880" w:firstLineChars="200"/>
        <w:jc w:val="both"/>
        <w:rPr>
          <w:rFonts w:ascii="微软雅黑" w:hAnsi="微软雅黑" w:eastAsia="微软雅黑" w:cs="微软雅黑"/>
          <w:b/>
          <w:bCs/>
          <w:color w:val="auto"/>
          <w:kern w:val="2"/>
          <w:sz w:val="44"/>
          <w:szCs w:val="44"/>
          <w:highlight w:val="none"/>
          <w:lang w:val="en-US" w:eastAsia="zh-CN" w:bidi="ar-SA"/>
        </w:rPr>
      </w:pPr>
    </w:p>
    <w:p w14:paraId="508AA545">
      <w:pPr>
        <w:pStyle w:val="14"/>
        <w:rPr>
          <w:rFonts w:ascii="微软雅黑" w:hAnsi="微软雅黑" w:eastAsia="微软雅黑" w:cs="微软雅黑"/>
          <w:b/>
          <w:bCs/>
          <w:color w:val="auto"/>
          <w:kern w:val="2"/>
          <w:sz w:val="44"/>
          <w:szCs w:val="44"/>
          <w:highlight w:val="none"/>
          <w:lang w:val="en-US" w:eastAsia="zh-CN" w:bidi="ar-SA"/>
        </w:rPr>
      </w:pPr>
    </w:p>
    <w:p w14:paraId="0D2A93EE">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楷体" w:hAnsi="楷体" w:eastAsia="楷体" w:cs="Times New Roman"/>
          <w:b/>
          <w:bCs/>
          <w:color w:val="auto"/>
          <w:kern w:val="0"/>
          <w:sz w:val="52"/>
          <w:szCs w:val="52"/>
          <w:highlight w:val="none"/>
          <w:lang w:val="en-US" w:eastAsia="zh-CN" w:bidi="ar-SA"/>
        </w:rPr>
      </w:pPr>
      <w:bookmarkStart w:id="64" w:name="_Toc32069_WPSOffice_Level1"/>
      <w:bookmarkStart w:id="65" w:name="_Toc5203"/>
      <w:bookmarkStart w:id="66" w:name="_Toc20_WPSOffice_Level1"/>
      <w:r>
        <w:rPr>
          <w:rFonts w:hint="eastAsia" w:ascii="楷体" w:hAnsi="楷体" w:eastAsia="楷体" w:cs="Times New Roman"/>
          <w:b/>
          <w:bCs/>
          <w:color w:val="auto"/>
          <w:kern w:val="0"/>
          <w:sz w:val="52"/>
          <w:szCs w:val="52"/>
          <w:highlight w:val="none"/>
          <w:lang w:val="en-US" w:eastAsia="zh-CN" w:bidi="ar-SA"/>
        </w:rPr>
        <w:t>×××××项目水闸保养保洁单位</w:t>
      </w:r>
    </w:p>
    <w:p w14:paraId="6FF30484">
      <w:pPr>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宋体" w:hAnsi="Times New Roman" w:eastAsia="宋体" w:cs="Times New Roman"/>
          <w:bCs/>
          <w:color w:val="auto"/>
          <w:kern w:val="2"/>
          <w:sz w:val="30"/>
          <w:szCs w:val="30"/>
          <w:highlight w:val="none"/>
          <w:lang w:val="en-US" w:eastAsia="zh-CN" w:bidi="ar-SA"/>
        </w:rPr>
      </w:pPr>
      <w:r>
        <w:rPr>
          <w:rFonts w:hint="eastAsia" w:ascii="楷体" w:hAnsi="楷体" w:eastAsia="楷体" w:cs="Times New Roman"/>
          <w:b/>
          <w:bCs/>
          <w:color w:val="auto"/>
          <w:kern w:val="0"/>
          <w:sz w:val="52"/>
          <w:szCs w:val="52"/>
          <w:highlight w:val="none"/>
          <w:lang w:val="en-US" w:eastAsia="zh-CN" w:bidi="ar-SA"/>
        </w:rPr>
        <w:t>工程验收</w:t>
      </w:r>
      <w:bookmarkEnd w:id="64"/>
      <w:bookmarkEnd w:id="65"/>
      <w:bookmarkEnd w:id="66"/>
      <w:bookmarkStart w:id="67" w:name="_Toc537_WPSOffice_Level1"/>
      <w:bookmarkStart w:id="68" w:name="_Toc7394_WPSOffice_Level1"/>
      <w:bookmarkStart w:id="69" w:name="_Toc14439"/>
      <w:r>
        <w:rPr>
          <w:rFonts w:hint="eastAsia" w:ascii="楷体" w:hAnsi="楷体" w:eastAsia="楷体" w:cs="Times New Roman"/>
          <w:b/>
          <w:bCs/>
          <w:color w:val="auto"/>
          <w:kern w:val="0"/>
          <w:sz w:val="52"/>
          <w:szCs w:val="52"/>
          <w:highlight w:val="none"/>
          <w:lang w:val="en-US" w:eastAsia="zh-CN" w:bidi="ar-SA"/>
        </w:rPr>
        <w:t>报告</w:t>
      </w:r>
      <w:bookmarkEnd w:id="67"/>
      <w:bookmarkEnd w:id="68"/>
      <w:bookmarkEnd w:id="69"/>
      <w:bookmarkStart w:id="70" w:name="_Toc29510"/>
      <w:bookmarkStart w:id="71" w:name="_Toc5554_WPSOffice_Level1"/>
      <w:bookmarkStart w:id="72" w:name="_Toc4879_WPSOffice_Level1"/>
    </w:p>
    <w:bookmarkEnd w:id="70"/>
    <w:bookmarkEnd w:id="71"/>
    <w:bookmarkEnd w:id="72"/>
    <w:p w14:paraId="5B11E13F">
      <w:pPr>
        <w:ind w:right="200" w:rightChars="100" w:firstLine="640" w:firstLineChars="200"/>
        <w:rPr>
          <w:rFonts w:ascii="仿宋_GB2312" w:hAnsi="仿宋_GB2312" w:eastAsia="仿宋_GB2312" w:cs="仿宋_GB2312"/>
          <w:bCs/>
          <w:color w:val="auto"/>
          <w:sz w:val="32"/>
          <w:szCs w:val="32"/>
          <w:highlight w:val="none"/>
        </w:rPr>
      </w:pPr>
      <w:r>
        <w:rPr>
          <w:rFonts w:ascii="仿宋_GB2312" w:hAnsi="仿宋_GB2312" w:eastAsia="仿宋_GB2312" w:cs="仿宋_GB2312"/>
          <w:bCs/>
          <w:color w:val="auto"/>
          <w:sz w:val="32"/>
          <w:szCs w:val="32"/>
          <w:highlight w:val="none"/>
        </w:rPr>
        <w:t>20</w:t>
      </w:r>
      <w:r>
        <w:rPr>
          <w:rFonts w:hint="eastAsia" w:ascii="仿宋_GB2312" w:hAnsi="仿宋_GB2312" w:eastAsia="仿宋_GB2312" w:cs="仿宋_GB2312"/>
          <w:bCs/>
          <w:color w:val="auto"/>
          <w:sz w:val="32"/>
          <w:szCs w:val="32"/>
          <w:highlight w:val="none"/>
        </w:rPr>
        <w:t>××年××月××日，××（单位）主持召开了</w:t>
      </w:r>
      <w:r>
        <w:rPr>
          <w:rFonts w:ascii="仿宋_GB2312" w:hAnsi="仿宋_GB2312" w:eastAsia="仿宋_GB2312" w:cs="仿宋_GB2312"/>
          <w:bCs/>
          <w:color w:val="auto"/>
          <w:sz w:val="32"/>
          <w:szCs w:val="32"/>
          <w:highlight w:val="none"/>
        </w:rPr>
        <w:t>XX</w:t>
      </w:r>
      <w:r>
        <w:rPr>
          <w:rFonts w:hint="eastAsia" w:ascii="仿宋_GB2312" w:hAnsi="仿宋_GB2312" w:eastAsia="仿宋_GB2312" w:cs="仿宋_GB2312"/>
          <w:bCs/>
          <w:color w:val="auto"/>
          <w:sz w:val="32"/>
          <w:szCs w:val="32"/>
          <w:highlight w:val="none"/>
        </w:rPr>
        <w:t>项目水闸保养保洁单位工程验收</w:t>
      </w:r>
      <w:r>
        <w:rPr>
          <w:rFonts w:hint="eastAsia" w:ascii="仿宋_GB2312" w:hAnsi="仿宋_GB2312" w:eastAsia="仿宋_GB2312" w:cs="仿宋_GB2312"/>
          <w:bCs/>
          <w:color w:val="auto"/>
          <w:sz w:val="32"/>
          <w:szCs w:val="32"/>
          <w:highlight w:val="none"/>
          <w:lang w:val="en-US" w:eastAsia="zh-CN"/>
        </w:rPr>
        <w:t>会议</w:t>
      </w:r>
      <w:r>
        <w:rPr>
          <w:rFonts w:hint="eastAsia" w:ascii="仿宋_GB2312" w:hAnsi="仿宋_GB2312" w:eastAsia="仿宋_GB2312" w:cs="仿宋_GB2312"/>
          <w:bCs/>
          <w:color w:val="auto"/>
          <w:sz w:val="32"/>
          <w:szCs w:val="32"/>
          <w:highlight w:val="none"/>
        </w:rPr>
        <w:t>，参加会议的有××</w:t>
      </w:r>
      <w:r>
        <w:rPr>
          <w:rFonts w:hint="eastAsia" w:ascii="仿宋_GB2312" w:hAnsi="仿宋_GB2312" w:eastAsia="仿宋_GB2312" w:cs="仿宋_GB2312"/>
          <w:bCs/>
          <w:color w:val="auto"/>
          <w:sz w:val="32"/>
          <w:szCs w:val="32"/>
          <w:highlight w:val="none"/>
          <w:lang w:val="en-US" w:eastAsia="zh-CN"/>
        </w:rPr>
        <w:t>闸管理处/</w:t>
      </w:r>
      <w:r>
        <w:rPr>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Cs/>
          <w:color w:val="auto"/>
          <w:sz w:val="32"/>
          <w:szCs w:val="32"/>
          <w:highlight w:val="none"/>
          <w:lang w:val="en-US" w:eastAsia="zh-CN"/>
        </w:rPr>
        <w:t>河道管理局</w:t>
      </w:r>
      <w:r>
        <w:rPr>
          <w:rFonts w:hint="eastAsia" w:ascii="仿宋_GB2312" w:hAnsi="仿宋_GB2312" w:eastAsia="仿宋_GB2312" w:cs="仿宋_GB2312"/>
          <w:bCs/>
          <w:color w:val="auto"/>
          <w:sz w:val="32"/>
          <w:szCs w:val="32"/>
          <w:highlight w:val="none"/>
        </w:rPr>
        <w:t>、</w:t>
      </w:r>
      <w:r>
        <w:rPr>
          <w:rFonts w:ascii="仿宋_GB2312" w:hAnsi="仿宋_GB2312" w:eastAsia="仿宋_GB2312" w:cs="仿宋_GB2312"/>
          <w:bCs/>
          <w:color w:val="auto"/>
          <w:sz w:val="32"/>
          <w:szCs w:val="32"/>
          <w:highlight w:val="none"/>
        </w:rPr>
        <w:t>XXXX</w:t>
      </w:r>
      <w:r>
        <w:rPr>
          <w:rFonts w:hint="eastAsia" w:ascii="仿宋_GB2312" w:hAnsi="仿宋_GB2312" w:eastAsia="仿宋_GB2312" w:cs="仿宋_GB2312"/>
          <w:bCs/>
          <w:color w:val="auto"/>
          <w:sz w:val="32"/>
          <w:szCs w:val="32"/>
          <w:highlight w:val="none"/>
        </w:rPr>
        <w:t>公司等有关单位的代表，并组成验收工作组。验收工作组通过</w:t>
      </w:r>
      <w:r>
        <w:rPr>
          <w:rFonts w:hint="eastAsia" w:ascii="仿宋_GB2312" w:hAnsi="仿宋_GB2312" w:eastAsia="仿宋_GB2312" w:cs="仿宋_GB2312"/>
          <w:bCs/>
          <w:color w:val="auto"/>
          <w:sz w:val="32"/>
          <w:szCs w:val="32"/>
          <w:highlight w:val="none"/>
          <w:lang w:val="en-US" w:eastAsia="zh-CN"/>
        </w:rPr>
        <w:t>查</w:t>
      </w:r>
      <w:r>
        <w:rPr>
          <w:rFonts w:hint="eastAsia" w:ascii="仿宋_GB2312" w:hAnsi="仿宋_GB2312" w:eastAsia="仿宋_GB2312" w:cs="仿宋_GB2312"/>
          <w:bCs/>
          <w:color w:val="auto"/>
          <w:sz w:val="32"/>
          <w:szCs w:val="32"/>
          <w:highlight w:val="none"/>
        </w:rPr>
        <w:t>看</w:t>
      </w:r>
      <w:r>
        <w:rPr>
          <w:rFonts w:hint="eastAsia" w:ascii="仿宋_GB2312" w:hAnsi="仿宋_GB2312" w:eastAsia="仿宋_GB2312" w:cs="仿宋_GB2312"/>
          <w:bCs/>
          <w:color w:val="auto"/>
          <w:sz w:val="32"/>
          <w:szCs w:val="32"/>
          <w:highlight w:val="none"/>
          <w:lang w:val="en-US" w:eastAsia="zh-CN"/>
        </w:rPr>
        <w:t>项目</w:t>
      </w:r>
      <w:r>
        <w:rPr>
          <w:rFonts w:hint="eastAsia" w:ascii="仿宋_GB2312" w:hAnsi="仿宋_GB2312" w:eastAsia="仿宋_GB2312" w:cs="仿宋_GB2312"/>
          <w:bCs/>
          <w:color w:val="auto"/>
          <w:sz w:val="32"/>
          <w:szCs w:val="32"/>
          <w:highlight w:val="none"/>
        </w:rPr>
        <w:t>现场、听取有关单位汇报、查阅项目资料等方式，了解项目</w:t>
      </w:r>
      <w:r>
        <w:rPr>
          <w:rFonts w:hint="eastAsia" w:ascii="仿宋_GB2312" w:hAnsi="仿宋_GB2312" w:eastAsia="仿宋_GB2312" w:cs="仿宋_GB2312"/>
          <w:bCs/>
          <w:color w:val="auto"/>
          <w:sz w:val="32"/>
          <w:szCs w:val="32"/>
          <w:highlight w:val="none"/>
          <w:lang w:val="en-US" w:eastAsia="zh-CN"/>
        </w:rPr>
        <w:t>养护</w:t>
      </w:r>
      <w:r>
        <w:rPr>
          <w:rFonts w:hint="eastAsia" w:ascii="仿宋_GB2312" w:hAnsi="仿宋_GB2312" w:eastAsia="仿宋_GB2312" w:cs="仿宋_GB2312"/>
          <w:bCs/>
          <w:color w:val="auto"/>
          <w:sz w:val="32"/>
          <w:szCs w:val="32"/>
          <w:highlight w:val="none"/>
        </w:rPr>
        <w:t>及完成情况，进行了充分讨论，形成以下意见。</w:t>
      </w:r>
    </w:p>
    <w:p w14:paraId="51778563">
      <w:pPr>
        <w:ind w:firstLine="640" w:firstLineChars="200"/>
        <w:rPr>
          <w:rFonts w:ascii="黑体" w:hAnsi="黑体" w:eastAsia="黑体" w:cs="黑体"/>
          <w:bCs/>
          <w:color w:val="auto"/>
          <w:sz w:val="32"/>
          <w:szCs w:val="32"/>
          <w:highlight w:val="none"/>
        </w:rPr>
      </w:pPr>
      <w:bookmarkStart w:id="73" w:name="_Toc16398_WPSOffice_Level1"/>
      <w:bookmarkStart w:id="74" w:name="_Toc323"/>
      <w:bookmarkStart w:id="75" w:name="_Toc24827_WPSOffice_Level1"/>
      <w:r>
        <w:rPr>
          <w:rFonts w:hint="eastAsia" w:ascii="黑体" w:hAnsi="黑体" w:eastAsia="黑体" w:cs="黑体"/>
          <w:bCs/>
          <w:color w:val="auto"/>
          <w:sz w:val="32"/>
          <w:szCs w:val="32"/>
          <w:highlight w:val="none"/>
        </w:rPr>
        <w:t>一、</w:t>
      </w:r>
      <w:r>
        <w:rPr>
          <w:rFonts w:hint="eastAsia" w:ascii="黑体" w:hAnsi="黑体" w:eastAsia="黑体" w:cs="黑体"/>
          <w:bCs/>
          <w:color w:val="auto"/>
          <w:sz w:val="32"/>
          <w:szCs w:val="32"/>
          <w:highlight w:val="none"/>
          <w:lang w:val="en-US" w:eastAsia="zh-CN"/>
        </w:rPr>
        <w:t>项目</w:t>
      </w:r>
      <w:r>
        <w:rPr>
          <w:rFonts w:hint="eastAsia" w:ascii="黑体" w:hAnsi="黑体" w:eastAsia="黑体" w:cs="黑体"/>
          <w:bCs/>
          <w:color w:val="auto"/>
          <w:sz w:val="32"/>
          <w:szCs w:val="32"/>
          <w:highlight w:val="none"/>
        </w:rPr>
        <w:t>概况</w:t>
      </w:r>
      <w:bookmarkEnd w:id="73"/>
      <w:bookmarkEnd w:id="74"/>
      <w:bookmarkEnd w:id="75"/>
    </w:p>
    <w:p w14:paraId="7862FEA6">
      <w:pPr>
        <w:ind w:right="200" w:rightChars="100" w:firstLine="643" w:firstLineChars="200"/>
        <w:rPr>
          <w:rFonts w:ascii="楷体_GB2312" w:hAnsi="楷体_GB2312" w:eastAsia="楷体_GB2312" w:cs="楷体_GB2312"/>
          <w:b/>
          <w:bCs/>
          <w:color w:val="auto"/>
          <w:sz w:val="32"/>
          <w:szCs w:val="32"/>
          <w:highlight w:val="none"/>
        </w:rPr>
      </w:pPr>
      <w:bookmarkStart w:id="76" w:name="_Toc603_WPSOffice_Level2"/>
      <w:bookmarkStart w:id="77" w:name="_Toc26059_WPSOffice_Level2"/>
      <w:bookmarkStart w:id="78" w:name="_Toc16299"/>
      <w:r>
        <w:rPr>
          <w:rFonts w:hint="eastAsia" w:ascii="楷体_GB2312" w:hAnsi="楷体_GB2312" w:eastAsia="楷体_GB2312" w:cs="楷体_GB2312"/>
          <w:b/>
          <w:bCs/>
          <w:color w:val="auto"/>
          <w:sz w:val="32"/>
          <w:szCs w:val="32"/>
          <w:highlight w:val="none"/>
        </w:rPr>
        <w:t>（一）</w:t>
      </w:r>
      <w:r>
        <w:rPr>
          <w:rFonts w:hint="eastAsia" w:ascii="楷体_GB2312" w:hAnsi="楷体_GB2312" w:eastAsia="楷体_GB2312" w:cs="楷体_GB2312"/>
          <w:b/>
          <w:bCs/>
          <w:color w:val="auto"/>
          <w:sz w:val="32"/>
          <w:szCs w:val="32"/>
          <w:highlight w:val="none"/>
          <w:lang w:val="en-US" w:eastAsia="zh-CN"/>
        </w:rPr>
        <w:t>项目</w:t>
      </w:r>
      <w:r>
        <w:rPr>
          <w:rFonts w:hint="eastAsia" w:ascii="楷体_GB2312" w:hAnsi="楷体_GB2312" w:eastAsia="楷体_GB2312" w:cs="楷体_GB2312"/>
          <w:b/>
          <w:bCs/>
          <w:color w:val="auto"/>
          <w:sz w:val="32"/>
          <w:szCs w:val="32"/>
          <w:highlight w:val="none"/>
        </w:rPr>
        <w:t>名称及位置</w:t>
      </w:r>
      <w:bookmarkEnd w:id="76"/>
      <w:bookmarkEnd w:id="77"/>
      <w:bookmarkEnd w:id="78"/>
    </w:p>
    <w:p w14:paraId="49322092">
      <w:pPr>
        <w:widowControl w:val="0"/>
        <w:adjustRightInd w:val="0"/>
        <w:ind w:right="200" w:rightChars="100" w:firstLine="640" w:firstLineChars="200"/>
        <w:jc w:val="both"/>
        <w:textAlignment w:val="auto"/>
        <w:rPr>
          <w:rFonts w:ascii="仿宋_GB2312" w:hAnsi="仿宋_GB2312" w:eastAsia="仿宋_GB2312" w:cs="仿宋_GB2312"/>
          <w:bCs/>
          <w:color w:val="auto"/>
          <w:kern w:val="0"/>
          <w:sz w:val="32"/>
          <w:szCs w:val="32"/>
          <w:highlight w:val="none"/>
          <w:lang w:val="en-US" w:eastAsia="zh-CN" w:bidi="ar-SA"/>
        </w:rPr>
      </w:pPr>
      <w:bookmarkStart w:id="79" w:name="_Toc27005_WPSOffice_Level3"/>
      <w:bookmarkStart w:id="80" w:name="_Toc31186_WPSOffice_Level3"/>
      <w:r>
        <w:rPr>
          <w:rFonts w:ascii="仿宋_GB2312" w:hAnsi="仿宋_GB2312" w:eastAsia="仿宋_GB2312" w:cs="仿宋_GB2312"/>
          <w:bCs/>
          <w:color w:val="auto"/>
          <w:kern w:val="0"/>
          <w:sz w:val="32"/>
          <w:szCs w:val="32"/>
          <w:highlight w:val="none"/>
          <w:lang w:val="en-US" w:eastAsia="zh-CN" w:bidi="ar-SA"/>
        </w:rPr>
        <w:t>1</w:t>
      </w:r>
      <w:r>
        <w:rPr>
          <w:rFonts w:hint="eastAsia" w:ascii="仿宋_GB2312" w:hAnsi="仿宋_GB2312" w:eastAsia="仿宋_GB2312" w:cs="仿宋_GB2312"/>
          <w:bCs/>
          <w:color w:val="auto"/>
          <w:kern w:val="0"/>
          <w:sz w:val="32"/>
          <w:szCs w:val="32"/>
          <w:highlight w:val="none"/>
          <w:lang w:val="en-US" w:eastAsia="zh-CN" w:bidi="ar-SA"/>
        </w:rPr>
        <w:t>、项目名称：</w:t>
      </w:r>
      <w:bookmarkEnd w:id="79"/>
      <w:bookmarkEnd w:id="80"/>
    </w:p>
    <w:p w14:paraId="30B6B3C3">
      <w:pPr>
        <w:ind w:right="200" w:rightChars="100" w:firstLine="640" w:firstLineChars="200"/>
        <w:rPr>
          <w:rFonts w:ascii="仿宋_GB2312" w:hAnsi="仿宋_GB2312" w:eastAsia="仿宋_GB2312" w:cs="仿宋_GB2312"/>
          <w:bCs/>
          <w:color w:val="auto"/>
          <w:sz w:val="32"/>
          <w:szCs w:val="32"/>
          <w:highlight w:val="none"/>
        </w:rPr>
      </w:pPr>
      <w:bookmarkStart w:id="81" w:name="_Toc8608_WPSOffice_Level3"/>
      <w:bookmarkStart w:id="82" w:name="_Toc31116_WPSOffice_Level3"/>
      <w:r>
        <w:rPr>
          <w:rFonts w:ascii="仿宋_GB2312" w:hAnsi="仿宋_GB2312" w:eastAsia="仿宋_GB2312" w:cs="仿宋_GB2312"/>
          <w:bCs/>
          <w:color w:val="auto"/>
          <w:sz w:val="32"/>
          <w:szCs w:val="32"/>
          <w:highlight w:val="none"/>
        </w:rPr>
        <w:t>2</w:t>
      </w:r>
      <w:r>
        <w:rPr>
          <w:rFonts w:hint="eastAsia" w:ascii="仿宋_GB2312" w:hAnsi="仿宋_GB2312" w:eastAsia="仿宋_GB2312" w:cs="仿宋_GB2312"/>
          <w:bCs/>
          <w:color w:val="auto"/>
          <w:sz w:val="32"/>
          <w:szCs w:val="32"/>
          <w:highlight w:val="none"/>
        </w:rPr>
        <w:t>、位置：</w:t>
      </w:r>
      <w:bookmarkEnd w:id="81"/>
      <w:bookmarkEnd w:id="82"/>
    </w:p>
    <w:p w14:paraId="6BD3E2BF">
      <w:pPr>
        <w:ind w:right="200" w:rightChars="100" w:firstLine="643" w:firstLineChars="200"/>
        <w:rPr>
          <w:rFonts w:ascii="楷体_GB2312" w:hAnsi="楷体_GB2312" w:eastAsia="楷体_GB2312" w:cs="楷体_GB2312"/>
          <w:b/>
          <w:bCs/>
          <w:color w:val="auto"/>
          <w:sz w:val="32"/>
          <w:szCs w:val="32"/>
          <w:highlight w:val="none"/>
        </w:rPr>
      </w:pPr>
      <w:bookmarkStart w:id="83" w:name="_Toc7882"/>
      <w:bookmarkStart w:id="84" w:name="_Toc3296_WPSOffice_Level2"/>
      <w:bookmarkStart w:id="85" w:name="_Toc13369_WPSOffice_Level2"/>
      <w:r>
        <w:rPr>
          <w:rFonts w:hint="eastAsia" w:ascii="楷体_GB2312" w:hAnsi="楷体_GB2312" w:eastAsia="楷体_GB2312" w:cs="楷体_GB2312"/>
          <w:b/>
          <w:bCs/>
          <w:color w:val="auto"/>
          <w:sz w:val="32"/>
          <w:szCs w:val="32"/>
          <w:highlight w:val="none"/>
        </w:rPr>
        <w:t>（二）</w:t>
      </w:r>
      <w:r>
        <w:rPr>
          <w:rFonts w:hint="eastAsia" w:ascii="楷体_GB2312" w:hAnsi="楷体_GB2312" w:eastAsia="楷体_GB2312" w:cs="楷体_GB2312"/>
          <w:b/>
          <w:bCs/>
          <w:color w:val="auto"/>
          <w:sz w:val="32"/>
          <w:szCs w:val="32"/>
          <w:highlight w:val="none"/>
          <w:lang w:val="en-US" w:eastAsia="zh-CN"/>
        </w:rPr>
        <w:t>项目</w:t>
      </w:r>
      <w:r>
        <w:rPr>
          <w:rFonts w:hint="eastAsia" w:ascii="楷体_GB2312" w:hAnsi="楷体_GB2312" w:eastAsia="楷体_GB2312" w:cs="楷体_GB2312"/>
          <w:b/>
          <w:bCs/>
          <w:color w:val="auto"/>
          <w:sz w:val="32"/>
          <w:szCs w:val="32"/>
          <w:highlight w:val="none"/>
        </w:rPr>
        <w:t>内容</w:t>
      </w:r>
      <w:bookmarkEnd w:id="83"/>
      <w:bookmarkEnd w:id="84"/>
      <w:bookmarkEnd w:id="85"/>
    </w:p>
    <w:p w14:paraId="038B8FDE">
      <w:pPr>
        <w:ind w:right="200" w:rightChars="100" w:firstLine="640" w:firstLineChars="200"/>
        <w:rPr>
          <w:rFonts w:ascii="仿宋_GB2312" w:hAnsi="仿宋_GB2312" w:eastAsia="仿宋_GB2312" w:cs="仿宋_GB2312"/>
          <w:bCs/>
          <w:color w:val="auto"/>
          <w:sz w:val="32"/>
          <w:szCs w:val="32"/>
          <w:highlight w:val="none"/>
        </w:rPr>
      </w:pPr>
      <w:bookmarkStart w:id="86" w:name="_Toc27356_WPSOffice_Level3"/>
      <w:bookmarkStart w:id="87" w:name="_Toc31954_WPSOffice_Level3"/>
      <w:r>
        <w:rPr>
          <w:rFonts w:hint="eastAsia" w:ascii="仿宋_GB2312" w:hAnsi="仿宋_GB2312" w:eastAsia="仿宋_GB2312" w:cs="仿宋_GB2312"/>
          <w:bCs/>
          <w:color w:val="auto"/>
          <w:sz w:val="32"/>
          <w:szCs w:val="32"/>
          <w:highlight w:val="none"/>
        </w:rPr>
        <w:t>简要叙述</w:t>
      </w:r>
      <w:r>
        <w:rPr>
          <w:rFonts w:hint="eastAsia" w:ascii="仿宋_GB2312" w:hAnsi="仿宋_GB2312" w:eastAsia="仿宋_GB2312" w:cs="仿宋_GB2312"/>
          <w:bCs/>
          <w:color w:val="auto"/>
          <w:sz w:val="32"/>
          <w:szCs w:val="32"/>
          <w:highlight w:val="none"/>
          <w:lang w:val="en-US" w:eastAsia="zh-CN"/>
        </w:rPr>
        <w:t>项目</w:t>
      </w:r>
      <w:r>
        <w:rPr>
          <w:rFonts w:hint="eastAsia" w:ascii="仿宋_GB2312" w:hAnsi="仿宋_GB2312" w:eastAsia="仿宋_GB2312" w:cs="仿宋_GB2312"/>
          <w:bCs/>
          <w:color w:val="auto"/>
          <w:sz w:val="32"/>
          <w:szCs w:val="32"/>
          <w:highlight w:val="none"/>
        </w:rPr>
        <w:t>主要</w:t>
      </w:r>
      <w:r>
        <w:rPr>
          <w:rFonts w:hint="eastAsia" w:ascii="仿宋_GB2312" w:hAnsi="仿宋_GB2312" w:eastAsia="仿宋_GB2312" w:cs="仿宋_GB2312"/>
          <w:bCs/>
          <w:color w:val="auto"/>
          <w:sz w:val="32"/>
          <w:szCs w:val="32"/>
          <w:highlight w:val="none"/>
          <w:lang w:val="en-US" w:eastAsia="zh-CN"/>
        </w:rPr>
        <w:t>养护过程</w:t>
      </w:r>
      <w:bookmarkEnd w:id="86"/>
      <w:bookmarkEnd w:id="87"/>
      <w:r>
        <w:rPr>
          <w:rFonts w:hint="eastAsia" w:ascii="仿宋_GB2312" w:hAnsi="仿宋_GB2312" w:eastAsia="仿宋_GB2312" w:cs="仿宋_GB2312"/>
          <w:bCs/>
          <w:color w:val="auto"/>
          <w:sz w:val="32"/>
          <w:szCs w:val="32"/>
          <w:highlight w:val="none"/>
        </w:rPr>
        <w:t>，合同</w:t>
      </w:r>
      <w:r>
        <w:rPr>
          <w:rFonts w:hint="eastAsia" w:ascii="仿宋_GB2312" w:hAnsi="仿宋_GB2312" w:eastAsia="仿宋_GB2312" w:cs="仿宋_GB2312"/>
          <w:bCs/>
          <w:color w:val="auto"/>
          <w:sz w:val="32"/>
          <w:szCs w:val="32"/>
          <w:highlight w:val="none"/>
          <w:lang w:val="en-US" w:eastAsia="zh-CN"/>
        </w:rPr>
        <w:t>工作</w:t>
      </w:r>
      <w:r>
        <w:rPr>
          <w:rFonts w:hint="eastAsia" w:ascii="仿宋_GB2312" w:hAnsi="仿宋_GB2312" w:eastAsia="仿宋_GB2312" w:cs="仿宋_GB2312"/>
          <w:bCs/>
          <w:color w:val="auto"/>
          <w:sz w:val="32"/>
          <w:szCs w:val="32"/>
          <w:highlight w:val="none"/>
        </w:rPr>
        <w:t>量、合同签订情况</w:t>
      </w:r>
    </w:p>
    <w:p w14:paraId="7B8FA93F">
      <w:pPr>
        <w:ind w:right="200" w:rightChars="100" w:firstLine="643" w:firstLineChars="200"/>
        <w:rPr>
          <w:rFonts w:ascii="楷体_GB2312" w:hAnsi="楷体_GB2312" w:eastAsia="楷体_GB2312" w:cs="楷体_GB2312"/>
          <w:b/>
          <w:bCs/>
          <w:color w:val="auto"/>
          <w:sz w:val="32"/>
          <w:szCs w:val="32"/>
          <w:highlight w:val="none"/>
        </w:rPr>
      </w:pPr>
      <w:bookmarkStart w:id="88" w:name="_Toc2324_WPSOffice_Level2"/>
      <w:bookmarkStart w:id="89" w:name="_Toc22704_WPSOffice_Level2"/>
      <w:bookmarkStart w:id="90" w:name="_Toc30747"/>
      <w:r>
        <w:rPr>
          <w:rFonts w:hint="eastAsia" w:ascii="楷体_GB2312" w:hAnsi="楷体_GB2312" w:eastAsia="楷体_GB2312" w:cs="楷体_GB2312"/>
          <w:b/>
          <w:bCs/>
          <w:color w:val="auto"/>
          <w:sz w:val="32"/>
          <w:szCs w:val="32"/>
          <w:highlight w:val="none"/>
        </w:rPr>
        <w:t>（三）</w:t>
      </w:r>
      <w:r>
        <w:rPr>
          <w:rFonts w:hint="eastAsia" w:ascii="楷体_GB2312" w:hAnsi="楷体_GB2312" w:eastAsia="楷体_GB2312" w:cs="楷体_GB2312"/>
          <w:b/>
          <w:bCs/>
          <w:color w:val="auto"/>
          <w:sz w:val="32"/>
          <w:szCs w:val="32"/>
          <w:highlight w:val="none"/>
          <w:lang w:val="en-US" w:eastAsia="zh-CN"/>
        </w:rPr>
        <w:t>项目养护</w:t>
      </w:r>
      <w:r>
        <w:rPr>
          <w:rFonts w:hint="eastAsia" w:ascii="楷体_GB2312" w:hAnsi="楷体_GB2312" w:eastAsia="楷体_GB2312" w:cs="楷体_GB2312"/>
          <w:b/>
          <w:bCs/>
          <w:color w:val="auto"/>
          <w:sz w:val="32"/>
          <w:szCs w:val="32"/>
          <w:highlight w:val="none"/>
        </w:rPr>
        <w:t>过程</w:t>
      </w:r>
      <w:bookmarkEnd w:id="88"/>
      <w:bookmarkEnd w:id="89"/>
      <w:bookmarkEnd w:id="90"/>
    </w:p>
    <w:p w14:paraId="640B7530">
      <w:pPr>
        <w:ind w:right="200" w:rightChars="100"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简述</w:t>
      </w:r>
      <w:r>
        <w:rPr>
          <w:rFonts w:hint="eastAsia" w:ascii="仿宋_GB2312" w:hAnsi="仿宋_GB2312" w:eastAsia="仿宋_GB2312" w:cs="仿宋_GB2312"/>
          <w:bCs/>
          <w:color w:val="auto"/>
          <w:sz w:val="32"/>
          <w:szCs w:val="32"/>
          <w:highlight w:val="none"/>
          <w:lang w:val="en-US" w:eastAsia="zh-CN"/>
        </w:rPr>
        <w:t>项目开始、结束</w:t>
      </w:r>
      <w:r>
        <w:rPr>
          <w:rFonts w:hint="eastAsia" w:ascii="仿宋_GB2312" w:hAnsi="仿宋_GB2312" w:eastAsia="仿宋_GB2312" w:cs="仿宋_GB2312"/>
          <w:bCs/>
          <w:color w:val="auto"/>
          <w:sz w:val="32"/>
          <w:szCs w:val="32"/>
          <w:highlight w:val="none"/>
        </w:rPr>
        <w:t>日期，主要关键节点</w:t>
      </w:r>
      <w:r>
        <w:rPr>
          <w:rFonts w:hint="eastAsia" w:ascii="仿宋_GB2312" w:hAnsi="仿宋_GB2312" w:eastAsia="仿宋_GB2312" w:cs="仿宋_GB2312"/>
          <w:bCs/>
          <w:color w:val="auto"/>
          <w:sz w:val="32"/>
          <w:szCs w:val="32"/>
          <w:highlight w:val="none"/>
          <w:lang w:val="en-US" w:eastAsia="zh-CN"/>
        </w:rPr>
        <w:t>完成</w:t>
      </w:r>
      <w:r>
        <w:rPr>
          <w:rFonts w:hint="eastAsia" w:ascii="仿宋_GB2312" w:hAnsi="仿宋_GB2312" w:eastAsia="仿宋_GB2312" w:cs="仿宋_GB2312"/>
          <w:bCs/>
          <w:color w:val="auto"/>
          <w:sz w:val="32"/>
          <w:szCs w:val="32"/>
          <w:highlight w:val="none"/>
        </w:rPr>
        <w:t>时间和</w:t>
      </w:r>
      <w:r>
        <w:rPr>
          <w:rFonts w:hint="eastAsia" w:ascii="仿宋_GB2312" w:hAnsi="仿宋_GB2312" w:eastAsia="仿宋_GB2312" w:cs="仿宋_GB2312"/>
          <w:bCs/>
          <w:color w:val="auto"/>
          <w:sz w:val="32"/>
          <w:szCs w:val="32"/>
          <w:highlight w:val="none"/>
          <w:lang w:val="en-US" w:eastAsia="zh-CN"/>
        </w:rPr>
        <w:t>养护</w:t>
      </w:r>
      <w:r>
        <w:rPr>
          <w:rFonts w:hint="eastAsia" w:ascii="仿宋_GB2312" w:hAnsi="仿宋_GB2312" w:eastAsia="仿宋_GB2312" w:cs="仿宋_GB2312"/>
          <w:bCs/>
          <w:color w:val="auto"/>
          <w:sz w:val="32"/>
          <w:szCs w:val="32"/>
          <w:highlight w:val="none"/>
        </w:rPr>
        <w:t>主要过程；工期提前或延误情况说明等。</w:t>
      </w:r>
    </w:p>
    <w:p w14:paraId="6F8FFDD3">
      <w:pPr>
        <w:ind w:right="200" w:rightChars="100" w:firstLine="640" w:firstLineChars="200"/>
        <w:rPr>
          <w:rFonts w:ascii="黑体" w:hAnsi="黑体" w:eastAsia="黑体" w:cs="黑体"/>
          <w:bCs/>
          <w:color w:val="auto"/>
          <w:sz w:val="32"/>
          <w:szCs w:val="32"/>
          <w:highlight w:val="none"/>
        </w:rPr>
      </w:pPr>
      <w:bookmarkStart w:id="91" w:name="_Toc27290_WPSOffice_Level1"/>
      <w:bookmarkStart w:id="92" w:name="_Toc30476"/>
      <w:bookmarkStart w:id="93" w:name="_Toc26595_WPSOffice_Level1"/>
      <w:r>
        <w:rPr>
          <w:rFonts w:hint="eastAsia" w:ascii="黑体" w:hAnsi="黑体" w:eastAsia="黑体" w:cs="黑体"/>
          <w:bCs/>
          <w:color w:val="auto"/>
          <w:sz w:val="32"/>
          <w:szCs w:val="32"/>
          <w:highlight w:val="none"/>
        </w:rPr>
        <w:t>二、验收范围</w:t>
      </w:r>
      <w:bookmarkEnd w:id="91"/>
      <w:bookmarkEnd w:id="92"/>
      <w:bookmarkEnd w:id="93"/>
    </w:p>
    <w:p w14:paraId="576C3ACF">
      <w:pPr>
        <w:ind w:right="200" w:rightChars="100" w:firstLine="640" w:firstLineChars="200"/>
        <w:rPr>
          <w:rFonts w:ascii="仿宋_GB2312" w:hAnsi="仿宋_GB2312" w:eastAsia="仿宋_GB2312" w:cs="仿宋_GB2312"/>
          <w:bCs/>
          <w:color w:val="auto"/>
          <w:sz w:val="32"/>
          <w:szCs w:val="32"/>
          <w:highlight w:val="none"/>
        </w:rPr>
      </w:pPr>
    </w:p>
    <w:p w14:paraId="7D021E58">
      <w:pPr>
        <w:ind w:right="200" w:rightChars="100" w:firstLine="640" w:firstLineChars="200"/>
        <w:rPr>
          <w:rFonts w:ascii="黑体" w:hAnsi="黑体" w:eastAsia="黑体" w:cs="黑体"/>
          <w:bCs/>
          <w:color w:val="auto"/>
          <w:sz w:val="32"/>
          <w:szCs w:val="32"/>
          <w:highlight w:val="none"/>
        </w:rPr>
      </w:pPr>
      <w:bookmarkStart w:id="94" w:name="_Toc8908_WPSOffice_Level1"/>
      <w:bookmarkStart w:id="95" w:name="_Toc15122_WPSOffice_Level1"/>
      <w:bookmarkStart w:id="96" w:name="_Toc19646"/>
      <w:r>
        <w:rPr>
          <w:rFonts w:hint="eastAsia" w:ascii="黑体" w:hAnsi="黑体" w:eastAsia="黑体" w:cs="黑体"/>
          <w:bCs/>
          <w:color w:val="auto"/>
          <w:sz w:val="32"/>
          <w:szCs w:val="32"/>
          <w:highlight w:val="none"/>
        </w:rPr>
        <w:t>三、</w:t>
      </w:r>
      <w:r>
        <w:rPr>
          <w:rFonts w:hint="eastAsia" w:ascii="黑体" w:hAnsi="黑体" w:eastAsia="黑体" w:cs="黑体"/>
          <w:bCs/>
          <w:color w:val="auto"/>
          <w:sz w:val="32"/>
          <w:szCs w:val="32"/>
          <w:highlight w:val="none"/>
          <w:lang w:val="en-US" w:eastAsia="zh-CN"/>
        </w:rPr>
        <w:t>项目</w:t>
      </w:r>
      <w:r>
        <w:rPr>
          <w:rFonts w:hint="eastAsia" w:ascii="黑体" w:hAnsi="黑体" w:eastAsia="黑体" w:cs="黑体"/>
          <w:bCs/>
          <w:color w:val="auto"/>
          <w:sz w:val="32"/>
          <w:szCs w:val="32"/>
          <w:highlight w:val="none"/>
        </w:rPr>
        <w:t>完成情况和完成的主要</w:t>
      </w:r>
      <w:r>
        <w:rPr>
          <w:rFonts w:hint="eastAsia" w:ascii="黑体" w:hAnsi="黑体" w:eastAsia="黑体" w:cs="黑体"/>
          <w:bCs/>
          <w:color w:val="auto"/>
          <w:sz w:val="32"/>
          <w:szCs w:val="32"/>
          <w:highlight w:val="none"/>
          <w:lang w:val="en-US" w:eastAsia="zh-CN"/>
        </w:rPr>
        <w:t>工作</w:t>
      </w:r>
      <w:r>
        <w:rPr>
          <w:rFonts w:hint="eastAsia" w:ascii="黑体" w:hAnsi="黑体" w:eastAsia="黑体" w:cs="黑体"/>
          <w:bCs/>
          <w:color w:val="auto"/>
          <w:sz w:val="32"/>
          <w:szCs w:val="32"/>
          <w:highlight w:val="none"/>
        </w:rPr>
        <w:t>量</w:t>
      </w:r>
      <w:bookmarkEnd w:id="94"/>
      <w:bookmarkEnd w:id="95"/>
      <w:bookmarkEnd w:id="96"/>
    </w:p>
    <w:p w14:paraId="24297672">
      <w:pPr>
        <w:ind w:right="200" w:rightChars="100" w:firstLine="640" w:firstLineChars="200"/>
        <w:rPr>
          <w:rFonts w:ascii="黑体" w:hAnsi="黑体" w:eastAsia="黑体" w:cs="黑体"/>
          <w:bCs/>
          <w:color w:val="auto"/>
          <w:sz w:val="32"/>
          <w:szCs w:val="32"/>
          <w:highlight w:val="none"/>
        </w:rPr>
      </w:pPr>
      <w:bookmarkStart w:id="97" w:name="_Toc14654_WPSOffice_Level1"/>
      <w:bookmarkStart w:id="98" w:name="_Toc12620"/>
      <w:bookmarkStart w:id="99" w:name="_Toc9232_WPSOffice_Level1"/>
    </w:p>
    <w:p w14:paraId="52C1C1A6">
      <w:pPr>
        <w:ind w:right="200" w:rightChars="100"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lang w:val="en-US" w:eastAsia="zh-CN"/>
        </w:rPr>
        <w:t>四</w:t>
      </w:r>
      <w:r>
        <w:rPr>
          <w:rFonts w:hint="eastAsia" w:ascii="黑体" w:hAnsi="黑体" w:eastAsia="黑体" w:cs="黑体"/>
          <w:bCs/>
          <w:color w:val="auto"/>
          <w:sz w:val="32"/>
          <w:szCs w:val="32"/>
          <w:highlight w:val="none"/>
        </w:rPr>
        <w:t>、遗留问题处理情况</w:t>
      </w:r>
      <w:bookmarkEnd w:id="97"/>
      <w:bookmarkEnd w:id="98"/>
      <w:bookmarkEnd w:id="99"/>
    </w:p>
    <w:p w14:paraId="69CAD419">
      <w:pPr>
        <w:ind w:right="200" w:rightChars="100" w:firstLine="640" w:firstLineChars="200"/>
        <w:rPr>
          <w:rFonts w:ascii="仿宋_GB2312" w:hAnsi="仿宋_GB2312" w:eastAsia="仿宋_GB2312" w:cs="仿宋_GB2312"/>
          <w:bCs/>
          <w:color w:val="auto"/>
          <w:sz w:val="32"/>
          <w:szCs w:val="32"/>
          <w:highlight w:val="none"/>
        </w:rPr>
      </w:pPr>
    </w:p>
    <w:p w14:paraId="52CA92D0">
      <w:pPr>
        <w:ind w:right="200" w:rightChars="100" w:firstLine="640" w:firstLineChars="200"/>
        <w:rPr>
          <w:rFonts w:ascii="黑体" w:hAnsi="黑体" w:eastAsia="黑体" w:cs="黑体"/>
          <w:bCs/>
          <w:color w:val="auto"/>
          <w:sz w:val="32"/>
          <w:szCs w:val="32"/>
          <w:highlight w:val="none"/>
        </w:rPr>
      </w:pPr>
      <w:bookmarkStart w:id="100" w:name="_Toc28835_WPSOffice_Level1"/>
      <w:bookmarkStart w:id="101" w:name="_Toc11498_WPSOffice_Level1"/>
      <w:bookmarkStart w:id="102" w:name="_Toc9870"/>
      <w:r>
        <w:rPr>
          <w:rFonts w:hint="eastAsia" w:ascii="黑体" w:hAnsi="黑体" w:eastAsia="黑体" w:cs="黑体"/>
          <w:bCs/>
          <w:color w:val="auto"/>
          <w:sz w:val="32"/>
          <w:szCs w:val="32"/>
          <w:highlight w:val="none"/>
          <w:lang w:val="en-US" w:eastAsia="zh-CN"/>
        </w:rPr>
        <w:t>五</w:t>
      </w:r>
      <w:r>
        <w:rPr>
          <w:rFonts w:hint="eastAsia" w:ascii="黑体" w:hAnsi="黑体" w:eastAsia="黑体" w:cs="黑体"/>
          <w:bCs/>
          <w:color w:val="auto"/>
          <w:sz w:val="32"/>
          <w:szCs w:val="32"/>
          <w:highlight w:val="none"/>
        </w:rPr>
        <w:t>、存在的主要问题及处理意见</w:t>
      </w:r>
      <w:bookmarkEnd w:id="100"/>
      <w:bookmarkEnd w:id="101"/>
      <w:bookmarkEnd w:id="102"/>
    </w:p>
    <w:p w14:paraId="5A31ADD7">
      <w:pPr>
        <w:ind w:right="200" w:rightChars="100" w:firstLine="640" w:firstLineChars="200"/>
        <w:rPr>
          <w:rFonts w:ascii="仿宋_GB2312" w:hAnsi="仿宋_GB2312" w:eastAsia="仿宋_GB2312" w:cs="仿宋_GB2312"/>
          <w:bCs/>
          <w:color w:val="auto"/>
          <w:sz w:val="32"/>
          <w:szCs w:val="32"/>
          <w:highlight w:val="none"/>
        </w:rPr>
      </w:pPr>
    </w:p>
    <w:p w14:paraId="6B1EBFF0">
      <w:pPr>
        <w:ind w:right="200" w:rightChars="100" w:firstLine="640" w:firstLineChars="200"/>
        <w:rPr>
          <w:rFonts w:ascii="黑体" w:hAnsi="黑体" w:eastAsia="黑体" w:cs="黑体"/>
          <w:bCs/>
          <w:color w:val="auto"/>
          <w:sz w:val="32"/>
          <w:szCs w:val="32"/>
          <w:highlight w:val="none"/>
        </w:rPr>
      </w:pPr>
      <w:bookmarkStart w:id="103" w:name="_Toc31517_WPSOffice_Level1"/>
      <w:bookmarkStart w:id="104" w:name="_Toc28539_WPSOffice_Level1"/>
      <w:bookmarkStart w:id="105" w:name="_Toc11316"/>
      <w:r>
        <w:rPr>
          <w:rFonts w:hint="eastAsia" w:ascii="黑体" w:hAnsi="黑体" w:eastAsia="黑体" w:cs="黑体"/>
          <w:bCs/>
          <w:color w:val="auto"/>
          <w:sz w:val="32"/>
          <w:szCs w:val="32"/>
          <w:highlight w:val="none"/>
        </w:rPr>
        <w:t>七、意见和建议</w:t>
      </w:r>
      <w:bookmarkEnd w:id="103"/>
      <w:bookmarkEnd w:id="104"/>
      <w:bookmarkEnd w:id="105"/>
    </w:p>
    <w:p w14:paraId="71D91112">
      <w:pPr>
        <w:ind w:right="200" w:rightChars="100" w:firstLine="640" w:firstLineChars="200"/>
        <w:rPr>
          <w:rFonts w:ascii="仿宋_GB2312" w:hAnsi="仿宋_GB2312" w:eastAsia="仿宋_GB2312" w:cs="仿宋_GB2312"/>
          <w:bCs/>
          <w:color w:val="auto"/>
          <w:sz w:val="32"/>
          <w:szCs w:val="32"/>
          <w:highlight w:val="none"/>
        </w:rPr>
      </w:pPr>
    </w:p>
    <w:p w14:paraId="781C2BF0">
      <w:pPr>
        <w:ind w:right="200" w:rightChars="100" w:firstLine="640" w:firstLineChars="200"/>
        <w:rPr>
          <w:rFonts w:ascii="黑体" w:hAnsi="黑体" w:eastAsia="黑体" w:cs="黑体"/>
          <w:bCs/>
          <w:color w:val="auto"/>
          <w:sz w:val="32"/>
          <w:szCs w:val="32"/>
          <w:highlight w:val="none"/>
        </w:rPr>
      </w:pPr>
      <w:bookmarkStart w:id="106" w:name="_Toc2035_WPSOffice_Level1"/>
      <w:bookmarkStart w:id="107" w:name="_Toc20555_WPSOffice_Level1"/>
      <w:bookmarkStart w:id="108" w:name="_Toc21615"/>
      <w:r>
        <w:rPr>
          <w:rFonts w:hint="eastAsia" w:ascii="黑体" w:hAnsi="黑体" w:eastAsia="黑体" w:cs="黑体"/>
          <w:bCs/>
          <w:color w:val="auto"/>
          <w:sz w:val="32"/>
          <w:szCs w:val="32"/>
          <w:highlight w:val="none"/>
        </w:rPr>
        <w:t>八、结论</w:t>
      </w:r>
      <w:bookmarkEnd w:id="106"/>
      <w:bookmarkEnd w:id="107"/>
      <w:bookmarkEnd w:id="108"/>
    </w:p>
    <w:p w14:paraId="5B331CD3">
      <w:pPr>
        <w:ind w:right="200" w:rightChars="100"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验收工作组通过察看现场、听取汇报、查阅资料和充分讨论，认为本项目已按照要求完成合同全部内容，质量合格，财务管理和预算执行符合有关规定，档案资料基本齐全完整，同意通过</w:t>
      </w:r>
      <w:r>
        <w:rPr>
          <w:rFonts w:hint="eastAsia" w:ascii="仿宋_GB2312" w:hAnsi="仿宋_GB2312" w:eastAsia="仿宋_GB2312" w:cs="仿宋_GB2312"/>
          <w:bCs/>
          <w:color w:val="auto"/>
          <w:sz w:val="32"/>
          <w:szCs w:val="32"/>
          <w:highlight w:val="none"/>
          <w:lang w:val="en-US" w:eastAsia="zh-CN"/>
        </w:rPr>
        <w:t>年度</w:t>
      </w:r>
      <w:r>
        <w:rPr>
          <w:rFonts w:hint="eastAsia" w:ascii="仿宋_GB2312" w:hAnsi="仿宋_GB2312" w:eastAsia="仿宋_GB2312" w:cs="仿宋_GB2312"/>
          <w:bCs/>
          <w:color w:val="auto"/>
          <w:sz w:val="32"/>
          <w:szCs w:val="32"/>
          <w:highlight w:val="none"/>
        </w:rPr>
        <w:t>验收。</w:t>
      </w:r>
    </w:p>
    <w:p w14:paraId="6A93E84E">
      <w:pPr>
        <w:ind w:right="200" w:rightChars="100" w:firstLine="640" w:firstLineChars="200"/>
        <w:rPr>
          <w:rFonts w:ascii="仿宋_GB2312" w:hAnsi="仿宋_GB2312" w:eastAsia="仿宋_GB2312" w:cs="仿宋_GB2312"/>
          <w:bCs/>
          <w:color w:val="auto"/>
          <w:sz w:val="32"/>
          <w:szCs w:val="32"/>
          <w:highlight w:val="none"/>
        </w:rPr>
      </w:pPr>
      <w:bookmarkStart w:id="109" w:name="_Toc28806_WPSOffice_Level1"/>
      <w:bookmarkStart w:id="110" w:name="_Toc13288"/>
      <w:bookmarkStart w:id="111" w:name="_Toc9751_WPSOffice_Level1"/>
      <w:r>
        <w:rPr>
          <w:rFonts w:hint="eastAsia" w:ascii="黑体" w:hAnsi="黑体" w:eastAsia="黑体" w:cs="黑体"/>
          <w:bCs/>
          <w:color w:val="auto"/>
          <w:sz w:val="32"/>
          <w:szCs w:val="32"/>
          <w:highlight w:val="none"/>
        </w:rPr>
        <w:t>九、保留意见（应有本人签字）</w:t>
      </w:r>
      <w:bookmarkEnd w:id="109"/>
      <w:bookmarkEnd w:id="110"/>
      <w:bookmarkEnd w:id="111"/>
    </w:p>
    <w:p w14:paraId="152757B9">
      <w:pPr>
        <w:ind w:right="200" w:rightChars="100" w:firstLine="640" w:firstLineChars="200"/>
        <w:rPr>
          <w:rFonts w:ascii="仿宋_GB2312" w:hAnsi="仿宋_GB2312" w:eastAsia="仿宋_GB2312" w:cs="仿宋_GB2312"/>
          <w:bCs/>
          <w:color w:val="auto"/>
          <w:sz w:val="32"/>
          <w:szCs w:val="32"/>
          <w:highlight w:val="none"/>
        </w:rPr>
      </w:pPr>
    </w:p>
    <w:p w14:paraId="3DD5B37C">
      <w:pPr>
        <w:ind w:right="200" w:rightChars="100" w:firstLine="640" w:firstLineChars="200"/>
        <w:rPr>
          <w:rFonts w:ascii="仿宋_GB2312" w:hAnsi="仿宋_GB2312" w:eastAsia="仿宋_GB2312" w:cs="仿宋_GB2312"/>
          <w:bCs/>
          <w:color w:val="auto"/>
          <w:sz w:val="32"/>
          <w:szCs w:val="32"/>
          <w:highlight w:val="none"/>
        </w:rPr>
      </w:pPr>
      <w:bookmarkStart w:id="112" w:name="_Toc16884"/>
      <w:bookmarkStart w:id="113" w:name="_Toc15592_WPSOffice_Level1"/>
      <w:bookmarkStart w:id="114" w:name="_Toc30658_WPSOffice_Level1"/>
      <w:r>
        <w:rPr>
          <w:rFonts w:hint="eastAsia" w:ascii="黑体" w:hAnsi="黑体" w:eastAsia="黑体" w:cs="黑体"/>
          <w:bCs/>
          <w:color w:val="auto"/>
          <w:sz w:val="32"/>
          <w:szCs w:val="32"/>
          <w:highlight w:val="none"/>
        </w:rPr>
        <w:t>十、验收工作组成员签字表</w:t>
      </w:r>
      <w:bookmarkEnd w:id="112"/>
      <w:bookmarkEnd w:id="113"/>
      <w:bookmarkEnd w:id="114"/>
    </w:p>
    <w:p w14:paraId="3E4B11BD">
      <w:pP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br w:type="page"/>
      </w:r>
    </w:p>
    <w:p w14:paraId="4452771D">
      <w:pPr>
        <w:tabs>
          <w:tab w:val="left" w:pos="180"/>
        </w:tabs>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×××××项目水闸保养保洁单位工程</w:t>
      </w:r>
      <w:r>
        <w:rPr>
          <w:rFonts w:hint="eastAsia" w:ascii="仿宋_GB2312" w:hAnsi="仿宋_GB2312" w:eastAsia="仿宋_GB2312" w:cs="仿宋_GB2312"/>
          <w:b/>
          <w:bCs/>
          <w:color w:val="auto"/>
          <w:sz w:val="32"/>
          <w:szCs w:val="32"/>
          <w:highlight w:val="none"/>
        </w:rPr>
        <w:t>验收</w:t>
      </w:r>
      <w:r>
        <w:rPr>
          <w:rFonts w:hint="eastAsia" w:ascii="仿宋_GB2312" w:hAnsi="仿宋_GB2312" w:eastAsia="仿宋_GB2312" w:cs="仿宋_GB2312"/>
          <w:b/>
          <w:bCs/>
          <w:color w:val="auto"/>
          <w:sz w:val="32"/>
          <w:szCs w:val="32"/>
          <w:highlight w:val="none"/>
          <w:lang w:val="en-US" w:eastAsia="zh-CN"/>
        </w:rPr>
        <w:t>工作</w:t>
      </w:r>
      <w:r>
        <w:rPr>
          <w:rFonts w:hint="eastAsia" w:ascii="仿宋_GB2312" w:hAnsi="仿宋_GB2312" w:eastAsia="仿宋_GB2312" w:cs="仿宋_GB2312"/>
          <w:b/>
          <w:bCs/>
          <w:color w:val="auto"/>
          <w:sz w:val="32"/>
          <w:szCs w:val="32"/>
          <w:highlight w:val="none"/>
        </w:rPr>
        <w:t>组成员签字表</w:t>
      </w:r>
    </w:p>
    <w:p w14:paraId="669A67D4">
      <w:pPr>
        <w:tabs>
          <w:tab w:val="left" w:pos="180"/>
        </w:tabs>
        <w:jc w:val="center"/>
        <w:rPr>
          <w:rFonts w:hint="eastAsia" w:ascii="仿宋_GB2312" w:hAnsi="仿宋_GB2312" w:eastAsia="仿宋_GB2312" w:cs="仿宋_GB2312"/>
          <w:b/>
          <w:bCs/>
          <w:color w:val="auto"/>
          <w:sz w:val="32"/>
          <w:szCs w:val="32"/>
          <w:highlight w:val="none"/>
        </w:rPr>
      </w:pP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3650"/>
        <w:gridCol w:w="2150"/>
        <w:gridCol w:w="2084"/>
      </w:tblGrid>
      <w:tr w14:paraId="04AD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04F00890">
            <w:pPr>
              <w:tabs>
                <w:tab w:val="left" w:pos="180"/>
              </w:tabs>
              <w:spacing w:line="60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姓名</w:t>
            </w:r>
          </w:p>
        </w:tc>
        <w:tc>
          <w:tcPr>
            <w:tcW w:w="3650" w:type="dxa"/>
            <w:noWrap w:val="0"/>
            <w:vAlign w:val="top"/>
          </w:tcPr>
          <w:p w14:paraId="1250C518">
            <w:pPr>
              <w:tabs>
                <w:tab w:val="left" w:pos="180"/>
              </w:tabs>
              <w:spacing w:line="60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单位</w:t>
            </w:r>
          </w:p>
        </w:tc>
        <w:tc>
          <w:tcPr>
            <w:tcW w:w="2150" w:type="dxa"/>
            <w:noWrap w:val="0"/>
            <w:vAlign w:val="top"/>
          </w:tcPr>
          <w:p w14:paraId="0235ACAE">
            <w:pPr>
              <w:tabs>
                <w:tab w:val="left" w:pos="180"/>
              </w:tabs>
              <w:spacing w:line="60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职务/职称</w:t>
            </w:r>
          </w:p>
        </w:tc>
        <w:tc>
          <w:tcPr>
            <w:tcW w:w="2084" w:type="dxa"/>
            <w:noWrap w:val="0"/>
            <w:vAlign w:val="top"/>
          </w:tcPr>
          <w:p w14:paraId="6799AC11">
            <w:pPr>
              <w:tabs>
                <w:tab w:val="left" w:pos="180"/>
              </w:tabs>
              <w:spacing w:line="60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签名</w:t>
            </w:r>
          </w:p>
        </w:tc>
      </w:tr>
      <w:tr w14:paraId="15DB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7A9C7836">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3650" w:type="dxa"/>
            <w:noWrap w:val="0"/>
            <w:vAlign w:val="top"/>
          </w:tcPr>
          <w:p w14:paraId="76C2ABF2">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150" w:type="dxa"/>
            <w:noWrap w:val="0"/>
            <w:vAlign w:val="top"/>
          </w:tcPr>
          <w:p w14:paraId="7C02C82A">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084" w:type="dxa"/>
            <w:noWrap w:val="0"/>
            <w:vAlign w:val="top"/>
          </w:tcPr>
          <w:p w14:paraId="2B525630">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2B1F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5B1319D0">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3650" w:type="dxa"/>
            <w:noWrap w:val="0"/>
            <w:vAlign w:val="top"/>
          </w:tcPr>
          <w:p w14:paraId="5F41CC73">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150" w:type="dxa"/>
            <w:noWrap w:val="0"/>
            <w:vAlign w:val="top"/>
          </w:tcPr>
          <w:p w14:paraId="35D5C8A7">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084" w:type="dxa"/>
            <w:noWrap w:val="0"/>
            <w:vAlign w:val="top"/>
          </w:tcPr>
          <w:p w14:paraId="7B3CDC42">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0E9B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40D18EB0">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3650" w:type="dxa"/>
            <w:noWrap w:val="0"/>
            <w:vAlign w:val="top"/>
          </w:tcPr>
          <w:p w14:paraId="1D9F5F59">
            <w:pPr>
              <w:tabs>
                <w:tab w:val="left" w:pos="180"/>
              </w:tabs>
              <w:spacing w:line="600" w:lineRule="auto"/>
              <w:jc w:val="center"/>
              <w:rPr>
                <w:rFonts w:hint="eastAsia" w:ascii="仿宋_GB2312" w:hAnsi="仿宋_GB2312" w:eastAsia="仿宋_GB2312" w:cs="仿宋_GB2312"/>
                <w:b/>
                <w:bCs/>
                <w:color w:val="auto"/>
                <w:sz w:val="32"/>
                <w:szCs w:val="32"/>
                <w:highlight w:val="none"/>
                <w:lang w:eastAsia="zh-CN"/>
              </w:rPr>
            </w:pPr>
          </w:p>
        </w:tc>
        <w:tc>
          <w:tcPr>
            <w:tcW w:w="2150" w:type="dxa"/>
            <w:noWrap w:val="0"/>
            <w:vAlign w:val="top"/>
          </w:tcPr>
          <w:p w14:paraId="336CE488">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084" w:type="dxa"/>
            <w:noWrap w:val="0"/>
            <w:vAlign w:val="top"/>
          </w:tcPr>
          <w:p w14:paraId="285FFEB0">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2D51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13002E4C">
            <w:pPr>
              <w:tabs>
                <w:tab w:val="left" w:pos="180"/>
              </w:tabs>
              <w:spacing w:line="600" w:lineRule="auto"/>
              <w:jc w:val="center"/>
              <w:rPr>
                <w:rFonts w:hint="eastAsia" w:ascii="仿宋_GB2312" w:hAnsi="仿宋_GB2312" w:eastAsia="仿宋_GB2312" w:cs="仿宋_GB2312"/>
                <w:b/>
                <w:bCs/>
                <w:color w:val="auto"/>
                <w:sz w:val="32"/>
                <w:szCs w:val="32"/>
                <w:highlight w:val="none"/>
                <w:lang w:eastAsia="zh-CN"/>
              </w:rPr>
            </w:pPr>
          </w:p>
        </w:tc>
        <w:tc>
          <w:tcPr>
            <w:tcW w:w="3650" w:type="dxa"/>
            <w:noWrap w:val="0"/>
            <w:vAlign w:val="top"/>
          </w:tcPr>
          <w:p w14:paraId="160D4AFE">
            <w:pPr>
              <w:tabs>
                <w:tab w:val="left" w:pos="180"/>
              </w:tabs>
              <w:spacing w:line="600" w:lineRule="auto"/>
              <w:jc w:val="center"/>
              <w:rPr>
                <w:rFonts w:hint="eastAsia" w:ascii="仿宋_GB2312" w:hAnsi="仿宋_GB2312" w:eastAsia="仿宋_GB2312" w:cs="仿宋_GB2312"/>
                <w:b/>
                <w:bCs/>
                <w:color w:val="auto"/>
                <w:sz w:val="32"/>
                <w:szCs w:val="32"/>
                <w:highlight w:val="none"/>
                <w:lang w:eastAsia="zh-CN"/>
              </w:rPr>
            </w:pPr>
          </w:p>
        </w:tc>
        <w:tc>
          <w:tcPr>
            <w:tcW w:w="2150" w:type="dxa"/>
            <w:noWrap w:val="0"/>
            <w:vAlign w:val="top"/>
          </w:tcPr>
          <w:p w14:paraId="48A1642D">
            <w:pPr>
              <w:tabs>
                <w:tab w:val="left" w:pos="180"/>
              </w:tabs>
              <w:spacing w:line="600" w:lineRule="auto"/>
              <w:jc w:val="center"/>
              <w:rPr>
                <w:rFonts w:hint="eastAsia" w:ascii="仿宋_GB2312" w:hAnsi="仿宋_GB2312" w:eastAsia="仿宋_GB2312" w:cs="仿宋_GB2312"/>
                <w:b/>
                <w:bCs/>
                <w:color w:val="auto"/>
                <w:sz w:val="32"/>
                <w:szCs w:val="32"/>
                <w:highlight w:val="none"/>
                <w:lang w:eastAsia="zh-CN"/>
              </w:rPr>
            </w:pPr>
          </w:p>
        </w:tc>
        <w:tc>
          <w:tcPr>
            <w:tcW w:w="2084" w:type="dxa"/>
            <w:noWrap w:val="0"/>
            <w:vAlign w:val="top"/>
          </w:tcPr>
          <w:p w14:paraId="406D2CB7">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7302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6DDF01AA">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3650" w:type="dxa"/>
            <w:noWrap w:val="0"/>
            <w:vAlign w:val="top"/>
          </w:tcPr>
          <w:p w14:paraId="4FDDADC6">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150" w:type="dxa"/>
            <w:noWrap w:val="0"/>
            <w:vAlign w:val="top"/>
          </w:tcPr>
          <w:p w14:paraId="09345C27">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084" w:type="dxa"/>
            <w:noWrap w:val="0"/>
            <w:vAlign w:val="top"/>
          </w:tcPr>
          <w:p w14:paraId="5F742158">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4666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7E5B1BEC">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3650" w:type="dxa"/>
            <w:noWrap w:val="0"/>
            <w:vAlign w:val="top"/>
          </w:tcPr>
          <w:p w14:paraId="55638555">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150" w:type="dxa"/>
            <w:noWrap w:val="0"/>
            <w:vAlign w:val="top"/>
          </w:tcPr>
          <w:p w14:paraId="7C97ECCB">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084" w:type="dxa"/>
            <w:noWrap w:val="0"/>
            <w:vAlign w:val="top"/>
          </w:tcPr>
          <w:p w14:paraId="664778E6">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7E98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5498D6A1">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3650" w:type="dxa"/>
            <w:noWrap w:val="0"/>
            <w:vAlign w:val="top"/>
          </w:tcPr>
          <w:p w14:paraId="0416BEE0">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150" w:type="dxa"/>
            <w:noWrap w:val="0"/>
            <w:vAlign w:val="top"/>
          </w:tcPr>
          <w:p w14:paraId="2CBC3157">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084" w:type="dxa"/>
            <w:noWrap w:val="0"/>
            <w:vAlign w:val="top"/>
          </w:tcPr>
          <w:p w14:paraId="4C30F910">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3A68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11D9A85D">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3650" w:type="dxa"/>
            <w:noWrap w:val="0"/>
            <w:vAlign w:val="center"/>
          </w:tcPr>
          <w:p w14:paraId="431E0C97">
            <w:pPr>
              <w:tabs>
                <w:tab w:val="left" w:pos="180"/>
              </w:tabs>
              <w:jc w:val="center"/>
              <w:rPr>
                <w:rFonts w:hint="eastAsia" w:ascii="仿宋_GB2312" w:hAnsi="仿宋_GB2312" w:eastAsia="仿宋_GB2312" w:cs="仿宋_GB2312"/>
                <w:b/>
                <w:bCs/>
                <w:color w:val="auto"/>
                <w:sz w:val="32"/>
                <w:szCs w:val="32"/>
                <w:highlight w:val="none"/>
                <w:lang w:eastAsia="zh-CN"/>
              </w:rPr>
            </w:pPr>
          </w:p>
        </w:tc>
        <w:tc>
          <w:tcPr>
            <w:tcW w:w="2150" w:type="dxa"/>
            <w:noWrap w:val="0"/>
            <w:vAlign w:val="top"/>
          </w:tcPr>
          <w:p w14:paraId="5AA491D9">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084" w:type="dxa"/>
            <w:noWrap w:val="0"/>
            <w:vAlign w:val="top"/>
          </w:tcPr>
          <w:p w14:paraId="3531830B">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5681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336" w:type="dxa"/>
            <w:noWrap w:val="0"/>
            <w:vAlign w:val="top"/>
          </w:tcPr>
          <w:p w14:paraId="18567C96">
            <w:pPr>
              <w:tabs>
                <w:tab w:val="left" w:pos="180"/>
              </w:tabs>
              <w:spacing w:line="600" w:lineRule="auto"/>
              <w:jc w:val="center"/>
              <w:rPr>
                <w:rFonts w:hint="eastAsia" w:ascii="仿宋_GB2312" w:hAnsi="仿宋_GB2312" w:eastAsia="仿宋_GB2312" w:cs="仿宋_GB2312"/>
                <w:b/>
                <w:bCs/>
                <w:color w:val="auto"/>
                <w:sz w:val="32"/>
                <w:szCs w:val="32"/>
                <w:highlight w:val="none"/>
                <w:lang w:eastAsia="zh-CN"/>
              </w:rPr>
            </w:pPr>
          </w:p>
        </w:tc>
        <w:tc>
          <w:tcPr>
            <w:tcW w:w="3650" w:type="dxa"/>
            <w:noWrap w:val="0"/>
            <w:vAlign w:val="top"/>
          </w:tcPr>
          <w:p w14:paraId="29F7FA90">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150" w:type="dxa"/>
            <w:noWrap w:val="0"/>
            <w:vAlign w:val="top"/>
          </w:tcPr>
          <w:p w14:paraId="4BC85C30">
            <w:pPr>
              <w:tabs>
                <w:tab w:val="left" w:pos="180"/>
              </w:tabs>
              <w:spacing w:line="600" w:lineRule="auto"/>
              <w:jc w:val="center"/>
              <w:rPr>
                <w:rFonts w:hint="eastAsia" w:ascii="仿宋_GB2312" w:hAnsi="仿宋_GB2312" w:eastAsia="仿宋_GB2312" w:cs="仿宋_GB2312"/>
                <w:b/>
                <w:bCs/>
                <w:color w:val="auto"/>
                <w:sz w:val="32"/>
                <w:szCs w:val="32"/>
                <w:highlight w:val="none"/>
                <w:lang w:eastAsia="zh-CN"/>
              </w:rPr>
            </w:pPr>
          </w:p>
        </w:tc>
        <w:tc>
          <w:tcPr>
            <w:tcW w:w="2084" w:type="dxa"/>
            <w:noWrap w:val="0"/>
            <w:vAlign w:val="top"/>
          </w:tcPr>
          <w:p w14:paraId="64614DA4">
            <w:pPr>
              <w:tabs>
                <w:tab w:val="left" w:pos="180"/>
              </w:tabs>
              <w:spacing w:line="600" w:lineRule="auto"/>
              <w:jc w:val="center"/>
              <w:rPr>
                <w:rFonts w:ascii="仿宋_GB2312" w:hAnsi="仿宋_GB2312" w:eastAsia="仿宋_GB2312" w:cs="仿宋_GB2312"/>
                <w:b/>
                <w:bCs/>
                <w:color w:val="auto"/>
                <w:sz w:val="32"/>
                <w:szCs w:val="32"/>
                <w:highlight w:val="none"/>
              </w:rPr>
            </w:pPr>
          </w:p>
        </w:tc>
      </w:tr>
      <w:tr w14:paraId="71CD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36" w:type="dxa"/>
            <w:noWrap w:val="0"/>
            <w:vAlign w:val="top"/>
          </w:tcPr>
          <w:p w14:paraId="539B2839">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3650" w:type="dxa"/>
            <w:noWrap w:val="0"/>
            <w:vAlign w:val="top"/>
          </w:tcPr>
          <w:p w14:paraId="2B108DFC">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150" w:type="dxa"/>
            <w:noWrap w:val="0"/>
            <w:vAlign w:val="top"/>
          </w:tcPr>
          <w:p w14:paraId="33235579">
            <w:pPr>
              <w:tabs>
                <w:tab w:val="left" w:pos="180"/>
              </w:tabs>
              <w:spacing w:line="600" w:lineRule="auto"/>
              <w:jc w:val="center"/>
              <w:rPr>
                <w:rFonts w:ascii="仿宋_GB2312" w:hAnsi="仿宋_GB2312" w:eastAsia="仿宋_GB2312" w:cs="仿宋_GB2312"/>
                <w:b/>
                <w:bCs/>
                <w:color w:val="auto"/>
                <w:sz w:val="32"/>
                <w:szCs w:val="32"/>
                <w:highlight w:val="none"/>
              </w:rPr>
            </w:pPr>
          </w:p>
        </w:tc>
        <w:tc>
          <w:tcPr>
            <w:tcW w:w="2084" w:type="dxa"/>
            <w:noWrap w:val="0"/>
            <w:vAlign w:val="top"/>
          </w:tcPr>
          <w:p w14:paraId="1F3F7231">
            <w:pPr>
              <w:tabs>
                <w:tab w:val="left" w:pos="180"/>
              </w:tabs>
              <w:spacing w:line="600" w:lineRule="auto"/>
              <w:jc w:val="center"/>
              <w:rPr>
                <w:rFonts w:ascii="仿宋_GB2312" w:hAnsi="仿宋_GB2312" w:eastAsia="仿宋_GB2312" w:cs="仿宋_GB2312"/>
                <w:b/>
                <w:bCs/>
                <w:color w:val="auto"/>
                <w:sz w:val="32"/>
                <w:szCs w:val="32"/>
                <w:highlight w:val="none"/>
              </w:rPr>
            </w:pPr>
          </w:p>
        </w:tc>
      </w:tr>
    </w:tbl>
    <w:p w14:paraId="5409CD52">
      <w:pPr>
        <w:widowControl/>
        <w:adjustRightInd w:val="0"/>
        <w:snapToGrid w:val="0"/>
        <w:spacing w:line="560" w:lineRule="exact"/>
        <w:ind w:firstLine="880" w:firstLineChars="200"/>
        <w:jc w:val="center"/>
        <w:rPr>
          <w:rFonts w:ascii="微软雅黑" w:hAnsi="微软雅黑" w:eastAsia="微软雅黑" w:cs="微软雅黑"/>
          <w:b/>
          <w:bCs/>
          <w:color w:val="auto"/>
          <w:sz w:val="44"/>
          <w:szCs w:val="44"/>
          <w:highlight w:val="none"/>
        </w:rPr>
      </w:pPr>
    </w:p>
    <w:p w14:paraId="2E81BDF4">
      <w:pPr>
        <w:rPr>
          <w:rFonts w:ascii="宋体" w:hAnsi="宋体" w:eastAsia="宋体"/>
          <w:bCs/>
          <w:color w:val="auto"/>
          <w:sz w:val="24"/>
          <w:highlight w:val="none"/>
        </w:rPr>
      </w:pPr>
    </w:p>
    <w:p w14:paraId="6F73CD18">
      <w:pPr>
        <w:rPr>
          <w:rFonts w:ascii="宋体" w:hAnsi="宋体" w:eastAsia="宋体"/>
          <w:bCs/>
          <w:color w:val="auto"/>
          <w:sz w:val="24"/>
          <w:highlight w:val="none"/>
        </w:rPr>
      </w:pPr>
    </w:p>
    <w:p w14:paraId="38611934">
      <w:pPr>
        <w:rPr>
          <w:rFonts w:ascii="宋体" w:hAnsi="宋体" w:eastAsia="宋体"/>
          <w:bCs/>
          <w:color w:val="auto"/>
          <w:sz w:val="24"/>
          <w:highlight w:val="none"/>
        </w:rPr>
      </w:pPr>
    </w:p>
    <w:p w14:paraId="791CB4A1">
      <w:pPr>
        <w:rPr>
          <w:rFonts w:ascii="宋体" w:hAnsi="宋体" w:eastAsia="宋体"/>
          <w:bCs/>
          <w:color w:val="auto"/>
          <w:sz w:val="24"/>
          <w:highlight w:val="none"/>
        </w:rPr>
      </w:pPr>
    </w:p>
    <w:p w14:paraId="4A300789">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outlineLvl w:val="1"/>
        <w:rPr>
          <w:rFonts w:hint="eastAsia"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（二）垃圾围闸治理</w:t>
      </w:r>
    </w:p>
    <w:p w14:paraId="2CE7DBEC">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1.技术</w:t>
      </w:r>
      <w:r>
        <w:rPr>
          <w:rFonts w:hint="eastAsia" w:ascii="仿宋_GB2312" w:hAnsi="仿宋_GB2312" w:eastAsia="仿宋_GB2312" w:cs="仿宋_GB2312"/>
          <w:b/>
          <w:bCs/>
          <w:color w:val="auto"/>
          <w:sz w:val="32"/>
          <w:szCs w:val="32"/>
          <w:highlight w:val="none"/>
        </w:rPr>
        <w:t>要求</w:t>
      </w:r>
    </w:p>
    <w:p w14:paraId="766D10A8">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常态化进行清理，清理水（涵）闸管理范围内上、下游河道垃圾、杂草等漂浮物及岸坡杂物，中型闸按上、下游各300m，小型闸按上、下游各100m。在正常水位和水流条件下，水（涵）闸上、下游河道区域要及时巡查清理，确保漂浮物及时得到清除，常态化保持水面干净，避免堆积。在洪水期、强风天气后或其他可能导致漂浮物大量增加的情况下，应根据实际情况增加清理频次，以防止漂浮物对水（涵）闸造成损坏或堵塞河道。</w:t>
      </w:r>
    </w:p>
    <w:p w14:paraId="53BECB63">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经清理后的水面应达到肉眼可见范围内无明显漂浮物的标准，对于残留的少量细小漂浮物（如树叶碎片、塑料薄膜碎片等），仅允许少量存在且不影响水域的整体观感和水闸的正常运行。清理上岸的垃圾、杂草等漂浮物应运送至河道管理范围外，进行妥善处理。</w:t>
      </w:r>
    </w:p>
    <w:p w14:paraId="7E9F494C">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（3）清理河道垃圾、杂草等漂浮物人员应穿戴救生衣、系安全绳、防暑降温药品等安全防护用品，做好安全防护。</w:t>
      </w:r>
    </w:p>
    <w:p w14:paraId="362ABA10">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每次清理按甲方需求开展，中型水闸上下游300m范围内漂浮物清理，小型水闸上下游100m范围内漂浮物清理，护坡范围内岸坡清理，保持常态化河面整洁、无漂浮物。每座中型水闸每次垃圾围闸治理不超过10工日（每天工作时间不少于8小时方为1工日），每座小型水闸每次垃圾围闸治理不超过4工日（每天工作时间不少于8小时方为1工日），具体数量据实结算，超过工日数量不再计费，如单次水闸垃圾围闸治理作业不合格，则乙方无条件整改，直至整改合格方可支付本次费用。工日单价为综合单价，包含人工、必备材料（包括不限于救生衣、安全绳、机械消耗油料等）、必备机械（挖掘机、船舶、运输车等）、意外保险、税金、临时工程等。</w:t>
      </w:r>
    </w:p>
    <w:p w14:paraId="7EBAA182">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3" w:firstLineChars="200"/>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rPr>
        <w:t>管理要求</w:t>
      </w:r>
    </w:p>
    <w:p w14:paraId="75875CA4">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供应商必须切实做好安全生产</w:t>
      </w:r>
      <w:r>
        <w:rPr>
          <w:rFonts w:hint="eastAsia" w:ascii="仿宋_GB2312" w:hAnsi="仿宋_GB2312" w:eastAsia="仿宋_GB2312" w:cs="仿宋_GB2312"/>
          <w:color w:val="auto"/>
          <w:sz w:val="32"/>
          <w:szCs w:val="32"/>
          <w:highlight w:val="none"/>
          <w:lang w:val="en-US" w:eastAsia="zh-CN"/>
        </w:rPr>
        <w:t>工</w:t>
      </w:r>
      <w:r>
        <w:rPr>
          <w:rFonts w:hint="eastAsia" w:ascii="仿宋_GB2312" w:hAnsi="仿宋_GB2312" w:eastAsia="仿宋_GB2312" w:cs="仿宋_GB2312"/>
          <w:color w:val="auto"/>
          <w:sz w:val="32"/>
          <w:szCs w:val="32"/>
          <w:highlight w:val="none"/>
        </w:rPr>
        <w:t>作，加强作业时的安全保障，在任何情况下都要注意安全，一切安全事故均由供应商自行负责，与采购人</w:t>
      </w:r>
      <w:r>
        <w:rPr>
          <w:rFonts w:hint="eastAsia" w:ascii="仿宋_GB2312" w:hAnsi="仿宋_GB2312" w:eastAsia="仿宋_GB2312" w:cs="仿宋_GB2312"/>
          <w:color w:val="auto"/>
          <w:sz w:val="32"/>
          <w:szCs w:val="32"/>
          <w:highlight w:val="none"/>
          <w:lang w:val="en-US" w:eastAsia="zh-CN"/>
        </w:rPr>
        <w:t>及合同甲方</w:t>
      </w:r>
      <w:r>
        <w:rPr>
          <w:rFonts w:hint="eastAsia" w:ascii="仿宋_GB2312" w:hAnsi="仿宋_GB2312" w:eastAsia="仿宋_GB2312" w:cs="仿宋_GB2312"/>
          <w:color w:val="auto"/>
          <w:sz w:val="32"/>
          <w:szCs w:val="32"/>
          <w:highlight w:val="none"/>
        </w:rPr>
        <w:t>无关。</w:t>
      </w:r>
    </w:p>
    <w:p w14:paraId="7328F497">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供应商的从业人员须着装整齐,做到工完场清，文明作业。</w:t>
      </w:r>
    </w:p>
    <w:p w14:paraId="7BD33244">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供应商必须配备固定、专职的管理人员和施工人员。</w:t>
      </w:r>
    </w:p>
    <w:p w14:paraId="754F4437">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供应商应服从我局及有关局直水管单位安排，按照规定的时间内完成垃圾、杂草等漂浮物清理工作。</w:t>
      </w:r>
    </w:p>
    <w:p w14:paraId="0BF5C9AE">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3" w:firstLineChars="200"/>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rPr>
        <w:t>日常监管、考核等相关要求</w:t>
      </w:r>
    </w:p>
    <w:p w14:paraId="289740E4">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（1）日常监管</w:t>
      </w:r>
    </w:p>
    <w:p w14:paraId="0E2A283C">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局直各单位负责所管水闸漂浮物清理养护作业的现场监管工作，监督指导漂浮物清理、垃圾清运等作业情况，养护作业期间填写养护作业日常监管表，实时掌握养护作业情况，发现问题及时处理上报。</w:t>
      </w:r>
    </w:p>
    <w:p w14:paraId="436C9481">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验收</w:t>
      </w:r>
      <w:r>
        <w:rPr>
          <w:rFonts w:hint="eastAsia" w:ascii="仿宋_GB2312" w:hAnsi="仿宋_GB2312" w:eastAsia="仿宋_GB2312" w:cs="仿宋_GB2312"/>
          <w:color w:val="auto"/>
          <w:sz w:val="32"/>
          <w:szCs w:val="32"/>
          <w:highlight w:val="none"/>
        </w:rPr>
        <w:t>要求</w:t>
      </w:r>
    </w:p>
    <w:p w14:paraId="3ECA4310">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局直各水管单位负责所管水闸</w:t>
      </w:r>
      <w:r>
        <w:rPr>
          <w:rFonts w:hint="eastAsia" w:ascii="仿宋_GB2312" w:hAnsi="仿宋_GB2312" w:eastAsia="仿宋_GB2312" w:cs="仿宋_GB2312"/>
          <w:color w:val="auto"/>
          <w:sz w:val="32"/>
          <w:szCs w:val="32"/>
          <w:highlight w:val="none"/>
          <w:lang w:val="en-US" w:eastAsia="zh-CN"/>
        </w:rPr>
        <w:t>检查、</w:t>
      </w:r>
      <w:r>
        <w:rPr>
          <w:rFonts w:hint="eastAsia" w:ascii="仿宋_GB2312" w:hAnsi="仿宋_GB2312" w:eastAsia="仿宋_GB2312" w:cs="仿宋_GB2312"/>
          <w:color w:val="auto"/>
          <w:sz w:val="32"/>
          <w:szCs w:val="32"/>
          <w:highlight w:val="none"/>
        </w:rPr>
        <w:t>验收</w:t>
      </w:r>
      <w:r>
        <w:rPr>
          <w:rFonts w:hint="eastAsia" w:ascii="仿宋_GB2312" w:hAnsi="仿宋_GB2312" w:eastAsia="仿宋_GB2312" w:cs="仿宋_GB2312"/>
          <w:color w:val="auto"/>
          <w:sz w:val="32"/>
          <w:szCs w:val="32"/>
          <w:highlight w:val="none"/>
          <w:lang w:val="en-US" w:eastAsia="zh-CN"/>
        </w:rPr>
        <w:t>工作</w:t>
      </w:r>
      <w:r>
        <w:rPr>
          <w:rFonts w:hint="eastAsia" w:ascii="仿宋_GB2312" w:hAnsi="仿宋_GB2312" w:eastAsia="仿宋_GB2312" w:cs="仿宋_GB2312"/>
          <w:color w:val="auto"/>
          <w:sz w:val="32"/>
          <w:szCs w:val="32"/>
          <w:highlight w:val="none"/>
        </w:rPr>
        <w:t>。</w:t>
      </w:r>
    </w:p>
    <w:p w14:paraId="19867372">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每次养护开始时间，以水闸对应局直水管单位书面通知为准；每次养护完成后，供应商及时向水闸对应局直水管单位书面申请</w:t>
      </w:r>
      <w:r>
        <w:rPr>
          <w:rFonts w:hint="eastAsia" w:ascii="仿宋_GB2312" w:hAnsi="仿宋_GB2312" w:eastAsia="仿宋_GB2312" w:cs="仿宋_GB2312"/>
          <w:color w:val="auto"/>
          <w:sz w:val="32"/>
          <w:szCs w:val="32"/>
          <w:highlight w:val="none"/>
          <w:lang w:val="en-US" w:eastAsia="zh-CN"/>
        </w:rPr>
        <w:t>验收</w:t>
      </w:r>
      <w:r>
        <w:rPr>
          <w:rFonts w:hint="eastAsia" w:ascii="仿宋_GB2312" w:hAnsi="仿宋_GB2312" w:eastAsia="仿宋_GB2312" w:cs="仿宋_GB2312"/>
          <w:color w:val="auto"/>
          <w:sz w:val="32"/>
          <w:szCs w:val="32"/>
          <w:highlight w:val="none"/>
        </w:rPr>
        <w:t>，对应单位在2个工作日内组织</w:t>
      </w:r>
      <w:r>
        <w:rPr>
          <w:rFonts w:hint="eastAsia" w:ascii="仿宋_GB2312" w:hAnsi="仿宋_GB2312" w:eastAsia="仿宋_GB2312" w:cs="仿宋_GB2312"/>
          <w:color w:val="auto"/>
          <w:sz w:val="32"/>
          <w:szCs w:val="32"/>
          <w:highlight w:val="none"/>
          <w:lang w:val="en-US" w:eastAsia="zh-CN"/>
        </w:rPr>
        <w:t>验收</w:t>
      </w:r>
      <w:r>
        <w:rPr>
          <w:rFonts w:hint="eastAsia" w:ascii="仿宋_GB2312" w:hAnsi="仿宋_GB2312" w:eastAsia="仿宋_GB2312" w:cs="仿宋_GB2312"/>
          <w:color w:val="auto"/>
          <w:sz w:val="32"/>
          <w:szCs w:val="32"/>
          <w:highlight w:val="none"/>
        </w:rPr>
        <w:t>，并及时整编归档考核相关资料。</w:t>
      </w:r>
      <w:r>
        <w:rPr>
          <w:rFonts w:hint="eastAsia" w:ascii="仿宋_GB2312" w:hAnsi="仿宋_GB2312" w:eastAsia="仿宋_GB2312" w:cs="仿宋_GB2312"/>
          <w:b w:val="0"/>
          <w:bCs/>
          <w:color w:val="auto"/>
          <w:kern w:val="2"/>
          <w:sz w:val="32"/>
          <w:szCs w:val="32"/>
          <w:highlight w:val="none"/>
          <w:lang w:val="en-US" w:eastAsia="zh-CN" w:bidi="ar-SA"/>
        </w:rPr>
        <w:t>验收小组组织验收并按照《考核评分表》进行验收赋分，验收得分为验收小组成员得分之和除以成员人数。</w:t>
      </w:r>
      <w:r>
        <w:rPr>
          <w:rFonts w:hint="eastAsia" w:ascii="仿宋_GB2312" w:hAnsi="仿宋_GB2312" w:eastAsia="仿宋_GB2312" w:cs="仿宋_GB2312"/>
          <w:color w:val="auto"/>
          <w:sz w:val="32"/>
          <w:szCs w:val="32"/>
          <w:highlight w:val="none"/>
          <w:lang w:val="en-US" w:eastAsia="zh-CN"/>
        </w:rPr>
        <w:t>验收</w:t>
      </w:r>
      <w:r>
        <w:rPr>
          <w:rFonts w:hint="eastAsia" w:ascii="仿宋_GB2312" w:hAnsi="仿宋_GB2312" w:eastAsia="仿宋_GB2312" w:cs="仿宋_GB2312"/>
          <w:color w:val="auto"/>
          <w:sz w:val="32"/>
          <w:szCs w:val="32"/>
          <w:highlight w:val="none"/>
        </w:rPr>
        <w:t>得分</w:t>
      </w:r>
      <w:r>
        <w:rPr>
          <w:rFonts w:hint="eastAsia" w:ascii="仿宋_GB2312" w:hAnsi="仿宋_GB2312" w:eastAsia="仿宋_GB2312" w:cs="仿宋_GB2312"/>
          <w:color w:val="auto"/>
          <w:sz w:val="32"/>
          <w:szCs w:val="32"/>
          <w:highlight w:val="none"/>
          <w:lang w:val="en-US" w:eastAsia="zh-CN"/>
        </w:rPr>
        <w:t>率</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val="0"/>
          <w:bCs/>
          <w:color w:val="auto"/>
          <w:kern w:val="2"/>
          <w:sz w:val="32"/>
          <w:szCs w:val="32"/>
          <w:highlight w:val="none"/>
          <w:lang w:val="en-US" w:eastAsia="zh-CN" w:bidi="ar-SA"/>
        </w:rPr>
        <w:t>验收得分/应得分）×100％，验收分为合格、不合格两个等级，验收</w:t>
      </w:r>
      <w:r>
        <w:rPr>
          <w:rFonts w:hint="eastAsia" w:ascii="仿宋_GB2312" w:hAnsi="仿宋_GB2312" w:eastAsia="仿宋_GB2312" w:cs="仿宋_GB2312"/>
          <w:bCs/>
          <w:color w:val="auto"/>
          <w:sz w:val="32"/>
          <w:szCs w:val="32"/>
          <w:highlight w:val="none"/>
          <w:lang w:val="en-US" w:eastAsia="zh-CN"/>
        </w:rPr>
        <w:t>得分率85%（含85%）以上合格，85%以下为不合格。验收不合格的，养护公司应及时整改，直至整改完成，通过验收；对拒不配合整改的，合同甲方可将整改需要费用从合同结算费用中扣除</w:t>
      </w:r>
      <w:r>
        <w:rPr>
          <w:rFonts w:hint="eastAsia" w:ascii="仿宋_GB2312" w:hAnsi="仿宋_GB2312" w:eastAsia="仿宋_GB2312" w:cs="仿宋_GB2312"/>
          <w:bCs/>
          <w:color w:val="auto"/>
          <w:sz w:val="32"/>
          <w:szCs w:val="32"/>
          <w:highlight w:val="none"/>
        </w:rPr>
        <w:t>。</w:t>
      </w:r>
    </w:p>
    <w:p w14:paraId="5D6123FD">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每次养护考核完成后，供应商及时申请支付进度款，经水闸对应局直水管单位审核后据实支付。</w:t>
      </w:r>
    </w:p>
    <w:p w14:paraId="514569AE">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（3）年度</w:t>
      </w:r>
      <w:r>
        <w:rPr>
          <w:rFonts w:hint="eastAsia" w:ascii="仿宋_GB2312" w:hAnsi="仿宋_GB2312" w:eastAsia="仿宋_GB2312" w:cs="仿宋_GB2312"/>
          <w:color w:val="auto"/>
          <w:sz w:val="32"/>
          <w:szCs w:val="32"/>
          <w:highlight w:val="none"/>
          <w:lang w:val="en-US" w:eastAsia="zh-CN"/>
        </w:rPr>
        <w:t>单位工程</w:t>
      </w:r>
      <w:r>
        <w:rPr>
          <w:rFonts w:hint="eastAsia" w:ascii="仿宋_GB2312" w:hAnsi="仿宋_GB2312" w:eastAsia="仿宋_GB2312" w:cs="仿宋_GB2312"/>
          <w:color w:val="auto"/>
          <w:sz w:val="32"/>
          <w:szCs w:val="32"/>
          <w:highlight w:val="none"/>
        </w:rPr>
        <w:t>验收要求</w:t>
      </w:r>
    </w:p>
    <w:p w14:paraId="3B6A9208">
      <w:pPr>
        <w:pStyle w:val="20"/>
        <w:keepNext w:val="0"/>
        <w:keepLines w:val="0"/>
        <w:pageBreakBefore w:val="0"/>
        <w:widowControl w:val="0"/>
        <w:kinsoku/>
        <w:wordWrap/>
        <w:overflowPunct/>
        <w:topLinePunct w:val="0"/>
        <w:autoSpaceDE/>
        <w:autoSpaceDN/>
        <w:bidi w:val="0"/>
        <w:adjustRightInd w:val="0"/>
        <w:snapToGrid w:val="0"/>
        <w:spacing w:after="0" w:line="5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年度养护作业全部完成后，</w:t>
      </w:r>
      <w:r>
        <w:rPr>
          <w:rFonts w:hint="eastAsia" w:ascii="仿宋_GB2312" w:hAnsi="仿宋_GB2312" w:eastAsia="仿宋_GB2312" w:cs="仿宋_GB2312"/>
          <w:color w:val="auto"/>
          <w:sz w:val="32"/>
          <w:szCs w:val="32"/>
          <w:highlight w:val="none"/>
          <w:lang w:val="en-US" w:eastAsia="zh-CN"/>
        </w:rPr>
        <w:t>合同甲方</w:t>
      </w:r>
      <w:r>
        <w:rPr>
          <w:rFonts w:hint="eastAsia" w:ascii="仿宋_GB2312" w:hAnsi="仿宋_GB2312" w:eastAsia="仿宋_GB2312" w:cs="仿宋_GB2312"/>
          <w:color w:val="auto"/>
          <w:sz w:val="32"/>
          <w:szCs w:val="32"/>
          <w:highlight w:val="none"/>
        </w:rPr>
        <w:t>及时组织该项目</w:t>
      </w:r>
      <w:r>
        <w:rPr>
          <w:rFonts w:hint="eastAsia" w:ascii="仿宋_GB2312" w:hAnsi="仿宋_GB2312" w:eastAsia="仿宋_GB2312" w:cs="仿宋_GB2312"/>
          <w:color w:val="auto"/>
          <w:sz w:val="32"/>
          <w:szCs w:val="32"/>
          <w:highlight w:val="none"/>
          <w:lang w:val="en-US" w:eastAsia="zh-CN"/>
        </w:rPr>
        <w:t>单位工程</w:t>
      </w:r>
      <w:r>
        <w:rPr>
          <w:rFonts w:hint="eastAsia" w:ascii="仿宋_GB2312" w:hAnsi="仿宋_GB2312" w:eastAsia="仿宋_GB2312" w:cs="仿宋_GB2312"/>
          <w:color w:val="auto"/>
          <w:sz w:val="32"/>
          <w:szCs w:val="32"/>
          <w:highlight w:val="none"/>
        </w:rPr>
        <w:t>验收。</w:t>
      </w:r>
    </w:p>
    <w:p w14:paraId="54AD66D3">
      <w:pPr>
        <w:pStyle w:val="20"/>
        <w:keepNext w:val="0"/>
        <w:keepLines w:val="0"/>
        <w:pageBreakBefore w:val="0"/>
        <w:widowControl w:val="0"/>
        <w:kinsoku/>
        <w:wordWrap/>
        <w:overflowPunct/>
        <w:topLinePunct w:val="0"/>
        <w:autoSpaceDE/>
        <w:autoSpaceDN/>
        <w:bidi w:val="0"/>
        <w:adjustRightInd w:val="0"/>
        <w:snapToGrid w:val="0"/>
        <w:spacing w:after="0" w:line="560" w:lineRule="exact"/>
        <w:textAlignment w:val="auto"/>
        <w:rPr>
          <w:rFonts w:hint="eastAsia" w:ascii="仿宋_GB2312" w:hAnsi="仿宋_GB2312" w:eastAsia="仿宋_GB2312" w:cs="仿宋_GB2312"/>
          <w:color w:val="auto"/>
          <w:sz w:val="32"/>
          <w:szCs w:val="32"/>
          <w:highlight w:val="none"/>
        </w:rPr>
        <w:sectPr>
          <w:headerReference r:id="rId6" w:type="default"/>
          <w:footerReference r:id="rId7" w:type="default"/>
          <w:pgSz w:w="11906" w:h="16839"/>
          <w:pgMar w:top="1166" w:right="1524" w:bottom="1194" w:left="1588" w:header="829" w:footer="978" w:gutter="0"/>
          <w:cols w:space="720" w:num="1"/>
        </w:sectPr>
      </w:pPr>
    </w:p>
    <w:p w14:paraId="7ECF7556">
      <w:pPr>
        <w:spacing w:before="101" w:line="226" w:lineRule="auto"/>
        <w:rPr>
          <w:rFonts w:ascii="黑体" w:hAnsi="黑体" w:eastAsia="黑体" w:cs="黑体"/>
          <w:color w:val="auto"/>
          <w:sz w:val="31"/>
          <w:szCs w:val="31"/>
          <w:highlight w:val="none"/>
        </w:rPr>
      </w:pPr>
      <w:r>
        <w:rPr>
          <w:rFonts w:ascii="黑体" w:hAnsi="黑体" w:eastAsia="黑体" w:cs="黑体"/>
          <w:color w:val="auto"/>
          <w:spacing w:val="8"/>
          <w:sz w:val="31"/>
          <w:szCs w:val="31"/>
          <w:highlight w:val="none"/>
        </w:rPr>
        <w:t>养护相关技术表格</w:t>
      </w:r>
    </w:p>
    <w:p w14:paraId="4FEE6A2B">
      <w:pPr>
        <w:spacing w:before="301" w:line="225" w:lineRule="auto"/>
        <w:ind w:left="2832"/>
        <w:rPr>
          <w:rFonts w:ascii="黑体" w:hAnsi="黑体" w:eastAsia="黑体" w:cs="黑体"/>
          <w:color w:val="auto"/>
          <w:sz w:val="43"/>
          <w:szCs w:val="43"/>
          <w:highlight w:val="none"/>
        </w:rPr>
      </w:pPr>
      <w:r>
        <w:rPr>
          <w:rFonts w:ascii="黑体" w:hAnsi="黑体" w:eastAsia="黑体" w:cs="黑体"/>
          <w:b/>
          <w:bCs/>
          <w:color w:val="auto"/>
          <w:spacing w:val="4"/>
          <w:sz w:val="43"/>
          <w:szCs w:val="43"/>
          <w:highlight w:val="none"/>
        </w:rPr>
        <w:t>进场养护通知书</w:t>
      </w:r>
    </w:p>
    <w:p w14:paraId="794B86E0">
      <w:pPr>
        <w:spacing w:before="238" w:line="222" w:lineRule="auto"/>
        <w:ind w:left="3018"/>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编号：20××年第×次</w:t>
      </w:r>
    </w:p>
    <w:p w14:paraId="18987D0A">
      <w:pPr>
        <w:spacing w:before="22" w:line="211" w:lineRule="auto"/>
        <w:ind w:left="22"/>
        <w:rPr>
          <w:rFonts w:ascii="仿宋" w:hAnsi="仿宋" w:eastAsia="仿宋" w:cs="仿宋"/>
          <w:color w:val="auto"/>
          <w:sz w:val="24"/>
          <w:szCs w:val="24"/>
          <w:highlight w:val="none"/>
        </w:rPr>
      </w:pPr>
      <w:r>
        <w:rPr>
          <w:rFonts w:ascii="仿宋" w:hAnsi="仿宋" w:eastAsia="仿宋" w:cs="仿宋"/>
          <w:b/>
          <w:bCs/>
          <w:color w:val="auto"/>
          <w:spacing w:val="-23"/>
          <w:sz w:val="24"/>
          <w:szCs w:val="24"/>
          <w:highlight w:val="none"/>
        </w:rPr>
        <w:t>工程名称：×××××</w:t>
      </w:r>
    </w:p>
    <w:tbl>
      <w:tblPr>
        <w:tblStyle w:val="269"/>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14:paraId="441A5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9" w:hRule="atLeast"/>
        </w:trPr>
        <w:tc>
          <w:tcPr>
            <w:tcW w:w="8526" w:type="dxa"/>
            <w:vAlign w:val="top"/>
          </w:tcPr>
          <w:p w14:paraId="32FCA3E9">
            <w:pPr>
              <w:spacing w:before="42" w:line="221" w:lineRule="auto"/>
              <w:ind w:left="12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1"/>
                <w:sz w:val="24"/>
                <w:szCs w:val="24"/>
                <w:highlight w:val="none"/>
              </w:rPr>
              <w:t>致：××（公司名称）</w:t>
            </w:r>
          </w:p>
          <w:p w14:paraId="1FEB25E7">
            <w:pPr>
              <w:spacing w:before="23"/>
              <w:ind w:left="125" w:right="106" w:firstLine="469"/>
              <w:rPr>
                <w:rFonts w:hint="eastAsia" w:ascii="仿宋_GB2312" w:hAnsi="仿宋_GB2312" w:eastAsia="仿宋_GB2312" w:cs="仿宋_GB2312"/>
                <w:color w:val="auto"/>
                <w:spacing w:val="-4"/>
                <w:sz w:val="24"/>
                <w:szCs w:val="24"/>
                <w:highlight w:val="none"/>
                <w:lang w:eastAsia="zh-CN"/>
              </w:rPr>
            </w:pPr>
            <w:r>
              <w:rPr>
                <w:rFonts w:hint="eastAsia" w:ascii="仿宋_GB2312" w:hAnsi="仿宋_GB2312" w:eastAsia="仿宋_GB2312" w:cs="仿宋_GB2312"/>
                <w:color w:val="auto"/>
                <w:spacing w:val="-1"/>
                <w:sz w:val="24"/>
                <w:szCs w:val="24"/>
                <w:highlight w:val="none"/>
              </w:rPr>
              <w:t>根据合同约定，你方于20××年×月××日开始进场进行第×次省管水闸</w:t>
            </w:r>
            <w:r>
              <w:rPr>
                <w:rFonts w:hint="eastAsia" w:ascii="仿宋_GB2312" w:hAnsi="仿宋_GB2312" w:eastAsia="仿宋_GB2312" w:cs="仿宋_GB2312"/>
                <w:color w:val="auto"/>
                <w:spacing w:val="-4"/>
                <w:sz w:val="24"/>
                <w:szCs w:val="24"/>
                <w:highlight w:val="none"/>
              </w:rPr>
              <w:t>上下游河道漂浮物等清理。本次应在××日历天完成</w:t>
            </w:r>
            <w:r>
              <w:rPr>
                <w:rFonts w:hint="eastAsia" w:ascii="仿宋_GB2312" w:hAnsi="仿宋_GB2312" w:eastAsia="仿宋_GB2312" w:cs="仿宋_GB2312"/>
                <w:color w:val="auto"/>
                <w:spacing w:val="-4"/>
                <w:sz w:val="24"/>
                <w:szCs w:val="24"/>
                <w:highlight w:val="none"/>
                <w:lang w:eastAsia="zh-CN"/>
              </w:rPr>
              <w:t>。</w:t>
            </w:r>
          </w:p>
          <w:p w14:paraId="6A79A119">
            <w:pPr>
              <w:keepNext w:val="0"/>
              <w:keepLines w:val="0"/>
              <w:pageBreakBefore w:val="0"/>
              <w:widowControl w:val="0"/>
              <w:kinsoku/>
              <w:wordWrap/>
              <w:overflowPunct/>
              <w:topLinePunct w:val="0"/>
              <w:autoSpaceDE/>
              <w:autoSpaceDN/>
              <w:bidi w:val="0"/>
              <w:adjustRightInd/>
              <w:snapToGrid/>
              <w:spacing w:before="23"/>
              <w:ind w:right="106" w:firstLine="464"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一、</w:t>
            </w:r>
            <w:r>
              <w:rPr>
                <w:rFonts w:hint="eastAsia" w:ascii="仿宋_GB2312" w:hAnsi="仿宋_GB2312" w:eastAsia="仿宋_GB2312" w:cs="仿宋_GB2312"/>
                <w:color w:val="auto"/>
                <w:spacing w:val="-5"/>
                <w:sz w:val="24"/>
                <w:szCs w:val="24"/>
                <w:highlight w:val="none"/>
              </w:rPr>
              <w:t>主要工作内容：</w:t>
            </w:r>
            <w:r>
              <w:rPr>
                <w:rFonts w:hint="eastAsia" w:ascii="仿宋_GB2312" w:hAnsi="仿宋_GB2312" w:eastAsia="仿宋_GB2312" w:cs="仿宋_GB2312"/>
                <w:color w:val="auto"/>
                <w:spacing w:val="-5"/>
                <w:sz w:val="24"/>
                <w:szCs w:val="24"/>
                <w:highlight w:val="none"/>
                <w:lang w:val="en-US" w:eastAsia="zh-CN"/>
              </w:rPr>
              <w:t>……</w:t>
            </w:r>
          </w:p>
          <w:p w14:paraId="4D12B936">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kern w:val="2"/>
                <w:sz w:val="24"/>
                <w:szCs w:val="24"/>
                <w:highlight w:val="none"/>
                <w:lang w:val="en-US" w:eastAsia="zh-CN" w:bidi="ar-SA"/>
              </w:rPr>
              <w:t>二、根据安全生产规定</w:t>
            </w:r>
            <w:r>
              <w:rPr>
                <w:rFonts w:hint="eastAsia" w:ascii="仿宋_GB2312" w:hAnsi="仿宋_GB2312" w:eastAsia="仿宋_GB2312" w:cs="仿宋_GB2312"/>
                <w:bCs/>
                <w:color w:val="auto"/>
                <w:kern w:val="2"/>
                <w:sz w:val="24"/>
                <w:szCs w:val="24"/>
                <w:highlight w:val="none"/>
                <w:shd w:val="clear"/>
                <w:lang w:val="en-US" w:eastAsia="zh-CN" w:bidi="ar-SA"/>
              </w:rPr>
              <w:t>，</w:t>
            </w:r>
            <w:r>
              <w:rPr>
                <w:rFonts w:hint="eastAsia" w:ascii="仿宋_GB2312" w:hAnsi="仿宋_GB2312" w:eastAsia="仿宋_GB2312" w:cs="仿宋_GB2312"/>
                <w:bCs/>
                <w:color w:val="auto"/>
                <w:sz w:val="24"/>
                <w:szCs w:val="24"/>
                <w:highlight w:val="none"/>
                <w:shd w:val="clear"/>
                <w:lang w:val="en-US" w:eastAsia="zh-CN"/>
              </w:rPr>
              <w:t>安全生产告知如下：</w:t>
            </w:r>
          </w:p>
          <w:p w14:paraId="221C2DCA">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水上及临水作业，操作人员必须穿戴好救生衣，不得穿带钉易滑的硬底鞋，每次工作前对所用的救生衣进行检查确保其安全有效；室外作业时，当风力较大，可能会对作业的稳定性和安全性产生影响时，立即停止工作，人员在船上走动或操作时，船只要固定牢靠，船上配备救生圈等救生器具；高空作业时，禁止穿硬底和带钉易滑的鞋，患有心脏病、高血压、精神病、癫痫病者禁止从事高空操作，高空作业操作人员要系安全带，并且安全带要固定牢靠；临水临空等安全风险较大的作业应有现场安全监督人员现场监督，并通知管理单位技术人员到场。</w:t>
            </w:r>
          </w:p>
          <w:p w14:paraId="11DDF44E">
            <w:pPr>
              <w:tabs>
                <w:tab w:val="left" w:pos="180"/>
              </w:tabs>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养护作业完成后，向××</w:t>
            </w:r>
            <w:r>
              <w:rPr>
                <w:rFonts w:hint="eastAsia" w:ascii="仿宋_GB2312" w:hAnsi="仿宋_GB2312" w:eastAsia="仿宋_GB2312" w:cs="仿宋_GB2312"/>
                <w:bCs/>
                <w:color w:val="auto"/>
                <w:sz w:val="24"/>
                <w:szCs w:val="24"/>
                <w:highlight w:val="none"/>
                <w:lang w:val="en-US" w:eastAsia="zh-CN"/>
              </w:rPr>
              <w:t>闸管理处/</w:t>
            </w:r>
            <w:r>
              <w:rPr>
                <w:rFonts w:hint="eastAsia" w:ascii="仿宋_GB2312" w:hAnsi="仿宋_GB2312" w:eastAsia="仿宋_GB2312" w:cs="仿宋_GB2312"/>
                <w:bCs/>
                <w:color w:val="auto"/>
                <w:sz w:val="24"/>
                <w:szCs w:val="24"/>
                <w:highlight w:val="none"/>
              </w:rPr>
              <w:t>××</w:t>
            </w:r>
            <w:r>
              <w:rPr>
                <w:rFonts w:hint="eastAsia" w:ascii="仿宋_GB2312" w:hAnsi="仿宋_GB2312" w:eastAsia="仿宋_GB2312" w:cs="仿宋_GB2312"/>
                <w:bCs/>
                <w:color w:val="auto"/>
                <w:sz w:val="24"/>
                <w:szCs w:val="24"/>
                <w:highlight w:val="none"/>
                <w:lang w:val="en-US" w:eastAsia="zh-CN"/>
              </w:rPr>
              <w:t>河道管理局</w:t>
            </w:r>
            <w:r>
              <w:rPr>
                <w:rFonts w:hint="eastAsia" w:ascii="仿宋_GB2312" w:hAnsi="仿宋_GB2312" w:eastAsia="仿宋_GB2312" w:cs="仿宋_GB2312"/>
                <w:bCs/>
                <w:color w:val="auto"/>
                <w:sz w:val="24"/>
                <w:szCs w:val="24"/>
                <w:highlight w:val="none"/>
              </w:rPr>
              <w:t>提出验收申请。</w:t>
            </w:r>
          </w:p>
          <w:p w14:paraId="03AA9714">
            <w:pPr>
              <w:rPr>
                <w:rFonts w:hint="eastAsia" w:ascii="仿宋_GB2312" w:hAnsi="仿宋_GB2312" w:eastAsia="仿宋_GB2312" w:cs="仿宋_GB2312"/>
                <w:color w:val="auto"/>
                <w:sz w:val="21"/>
                <w:highlight w:val="none"/>
              </w:rPr>
            </w:pPr>
          </w:p>
          <w:p w14:paraId="4A84B5C3">
            <w:pPr>
              <w:rPr>
                <w:rFonts w:hint="eastAsia" w:ascii="仿宋_GB2312" w:hAnsi="仿宋_GB2312" w:eastAsia="仿宋_GB2312" w:cs="仿宋_GB2312"/>
                <w:color w:val="auto"/>
                <w:sz w:val="21"/>
                <w:highlight w:val="none"/>
              </w:rPr>
            </w:pPr>
          </w:p>
          <w:p w14:paraId="685E30DF">
            <w:pPr>
              <w:rPr>
                <w:rFonts w:hint="eastAsia" w:ascii="仿宋_GB2312" w:hAnsi="仿宋_GB2312" w:eastAsia="仿宋_GB2312" w:cs="仿宋_GB2312"/>
                <w:color w:val="auto"/>
                <w:sz w:val="21"/>
                <w:highlight w:val="none"/>
              </w:rPr>
            </w:pPr>
          </w:p>
          <w:p w14:paraId="74A71800">
            <w:pPr>
              <w:spacing w:line="241" w:lineRule="auto"/>
              <w:rPr>
                <w:rFonts w:hint="eastAsia" w:ascii="仿宋_GB2312" w:hAnsi="仿宋_GB2312" w:eastAsia="仿宋_GB2312" w:cs="仿宋_GB2312"/>
                <w:color w:val="auto"/>
                <w:sz w:val="21"/>
                <w:highlight w:val="none"/>
              </w:rPr>
            </w:pPr>
          </w:p>
          <w:p w14:paraId="1ECF5D42">
            <w:pPr>
              <w:spacing w:line="241" w:lineRule="auto"/>
              <w:rPr>
                <w:rFonts w:hint="eastAsia" w:ascii="仿宋_GB2312" w:hAnsi="仿宋_GB2312" w:eastAsia="仿宋_GB2312" w:cs="仿宋_GB2312"/>
                <w:color w:val="auto"/>
                <w:sz w:val="21"/>
                <w:highlight w:val="none"/>
              </w:rPr>
            </w:pPr>
          </w:p>
          <w:p w14:paraId="4686E7E2">
            <w:pPr>
              <w:spacing w:line="241" w:lineRule="auto"/>
              <w:rPr>
                <w:rFonts w:hint="eastAsia" w:ascii="仿宋_GB2312" w:hAnsi="仿宋_GB2312" w:eastAsia="仿宋_GB2312" w:cs="仿宋_GB2312"/>
                <w:color w:val="auto"/>
                <w:sz w:val="21"/>
                <w:highlight w:val="none"/>
              </w:rPr>
            </w:pPr>
          </w:p>
          <w:p w14:paraId="1A2E0A0E">
            <w:pPr>
              <w:spacing w:line="241" w:lineRule="auto"/>
              <w:rPr>
                <w:rFonts w:hint="eastAsia" w:ascii="仿宋_GB2312" w:hAnsi="仿宋_GB2312" w:eastAsia="仿宋_GB2312" w:cs="仿宋_GB2312"/>
                <w:color w:val="auto"/>
                <w:sz w:val="21"/>
                <w:highlight w:val="none"/>
              </w:rPr>
            </w:pPr>
          </w:p>
          <w:p w14:paraId="4826BDD0">
            <w:pPr>
              <w:spacing w:before="78" w:line="220" w:lineRule="auto"/>
              <w:ind w:left="72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养护作业完成后，向我单位提出考核验收申请。</w:t>
            </w:r>
          </w:p>
          <w:p w14:paraId="6C1DBD00">
            <w:pPr>
              <w:spacing w:line="284" w:lineRule="auto"/>
              <w:rPr>
                <w:rFonts w:hint="eastAsia" w:ascii="仿宋_GB2312" w:hAnsi="仿宋_GB2312" w:eastAsia="仿宋_GB2312" w:cs="仿宋_GB2312"/>
                <w:color w:val="auto"/>
                <w:sz w:val="21"/>
                <w:highlight w:val="none"/>
              </w:rPr>
            </w:pPr>
          </w:p>
          <w:p w14:paraId="05E13FC2">
            <w:pPr>
              <w:spacing w:line="284" w:lineRule="auto"/>
              <w:rPr>
                <w:rFonts w:hint="eastAsia" w:ascii="仿宋_GB2312" w:hAnsi="仿宋_GB2312" w:eastAsia="仿宋_GB2312" w:cs="仿宋_GB2312"/>
                <w:color w:val="auto"/>
                <w:sz w:val="21"/>
                <w:highlight w:val="none"/>
              </w:rPr>
            </w:pPr>
          </w:p>
          <w:p w14:paraId="53864B13">
            <w:pPr>
              <w:spacing w:before="78" w:line="221" w:lineRule="auto"/>
              <w:ind w:left="483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2"/>
                <w:sz w:val="24"/>
                <w:szCs w:val="24"/>
                <w:highlight w:val="none"/>
              </w:rPr>
              <w:t>××（单位名称）</w:t>
            </w:r>
          </w:p>
          <w:p w14:paraId="1ABA4672">
            <w:pPr>
              <w:spacing w:line="283" w:lineRule="auto"/>
              <w:rPr>
                <w:rFonts w:hint="eastAsia" w:ascii="仿宋_GB2312" w:hAnsi="仿宋_GB2312" w:eastAsia="仿宋_GB2312" w:cs="仿宋_GB2312"/>
                <w:color w:val="auto"/>
                <w:sz w:val="21"/>
                <w:highlight w:val="none"/>
              </w:rPr>
            </w:pPr>
          </w:p>
          <w:p w14:paraId="058DCD50">
            <w:pPr>
              <w:spacing w:line="284" w:lineRule="auto"/>
              <w:rPr>
                <w:rFonts w:hint="eastAsia" w:ascii="仿宋_GB2312" w:hAnsi="仿宋_GB2312" w:eastAsia="仿宋_GB2312" w:cs="仿宋_GB2312"/>
                <w:color w:val="auto"/>
                <w:sz w:val="21"/>
                <w:highlight w:val="none"/>
              </w:rPr>
            </w:pPr>
          </w:p>
          <w:p w14:paraId="051B8D92">
            <w:pPr>
              <w:spacing w:before="78" w:line="222" w:lineRule="auto"/>
              <w:ind w:left="473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9"/>
                <w:sz w:val="24"/>
                <w:szCs w:val="24"/>
                <w:highlight w:val="none"/>
              </w:rPr>
              <w:t>日期：20××年×月××日</w:t>
            </w:r>
          </w:p>
        </w:tc>
      </w:tr>
      <w:tr w14:paraId="1E912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8" w:hRule="atLeast"/>
        </w:trPr>
        <w:tc>
          <w:tcPr>
            <w:tcW w:w="8526" w:type="dxa"/>
            <w:vAlign w:val="top"/>
          </w:tcPr>
          <w:p w14:paraId="67983601">
            <w:pPr>
              <w:spacing w:line="272" w:lineRule="auto"/>
              <w:rPr>
                <w:rFonts w:hint="eastAsia" w:ascii="仿宋_GB2312" w:hAnsi="仿宋_GB2312" w:eastAsia="仿宋_GB2312" w:cs="仿宋_GB2312"/>
                <w:color w:val="auto"/>
                <w:sz w:val="21"/>
                <w:highlight w:val="none"/>
              </w:rPr>
            </w:pPr>
          </w:p>
          <w:p w14:paraId="284A0152">
            <w:pPr>
              <w:spacing w:before="78" w:line="241" w:lineRule="auto"/>
              <w:ind w:left="128" w:right="106" w:firstLine="4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5"/>
                <w:sz w:val="24"/>
                <w:szCs w:val="24"/>
                <w:highlight w:val="none"/>
              </w:rPr>
              <w:t>今收到××（单位名称）省管水闸上下游河道漂浮物等清理项目《进场养护</w:t>
            </w:r>
            <w:r>
              <w:rPr>
                <w:rFonts w:hint="eastAsia" w:ascii="仿宋_GB2312" w:hAnsi="仿宋_GB2312" w:eastAsia="仿宋_GB2312" w:cs="仿宋_GB2312"/>
                <w:color w:val="auto"/>
                <w:spacing w:val="-2"/>
                <w:sz w:val="24"/>
                <w:szCs w:val="24"/>
                <w:highlight w:val="none"/>
              </w:rPr>
              <w:t>通知书》（20××年第×次）。</w:t>
            </w:r>
          </w:p>
          <w:p w14:paraId="35326503">
            <w:pPr>
              <w:spacing w:before="309" w:line="223" w:lineRule="auto"/>
              <w:ind w:left="107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2"/>
                <w:sz w:val="24"/>
                <w:szCs w:val="24"/>
                <w:highlight w:val="none"/>
              </w:rPr>
              <w:t>此据！</w:t>
            </w:r>
          </w:p>
          <w:p w14:paraId="657948CE">
            <w:pPr>
              <w:spacing w:line="282" w:lineRule="auto"/>
              <w:rPr>
                <w:rFonts w:hint="eastAsia" w:ascii="仿宋_GB2312" w:hAnsi="仿宋_GB2312" w:eastAsia="仿宋_GB2312" w:cs="仿宋_GB2312"/>
                <w:color w:val="auto"/>
                <w:sz w:val="21"/>
                <w:highlight w:val="none"/>
              </w:rPr>
            </w:pPr>
          </w:p>
          <w:p w14:paraId="0440F9C3">
            <w:pPr>
              <w:spacing w:line="282" w:lineRule="auto"/>
              <w:rPr>
                <w:rFonts w:hint="eastAsia" w:ascii="仿宋_GB2312" w:hAnsi="仿宋_GB2312" w:eastAsia="仿宋_GB2312" w:cs="仿宋_GB2312"/>
                <w:color w:val="auto"/>
                <w:sz w:val="21"/>
                <w:highlight w:val="none"/>
              </w:rPr>
            </w:pPr>
          </w:p>
          <w:p w14:paraId="06C9F8D1">
            <w:pPr>
              <w:spacing w:before="78" w:line="224" w:lineRule="auto"/>
              <w:ind w:left="563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承包人：</w:t>
            </w:r>
          </w:p>
          <w:p w14:paraId="352B815E">
            <w:pPr>
              <w:spacing w:line="253" w:lineRule="auto"/>
              <w:rPr>
                <w:rFonts w:hint="eastAsia" w:ascii="仿宋_GB2312" w:hAnsi="仿宋_GB2312" w:eastAsia="仿宋_GB2312" w:cs="仿宋_GB2312"/>
                <w:color w:val="auto"/>
                <w:sz w:val="21"/>
                <w:highlight w:val="none"/>
              </w:rPr>
            </w:pPr>
          </w:p>
          <w:p w14:paraId="6BE56674">
            <w:pPr>
              <w:spacing w:before="79" w:line="207" w:lineRule="auto"/>
              <w:ind w:left="509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9"/>
                <w:sz w:val="24"/>
                <w:szCs w:val="24"/>
                <w:highlight w:val="none"/>
              </w:rPr>
              <w:t>日期:</w:t>
            </w:r>
            <w:r>
              <w:rPr>
                <w:rFonts w:hint="eastAsia" w:ascii="仿宋_GB2312" w:hAnsi="仿宋_GB2312" w:eastAsia="仿宋_GB2312" w:cs="仿宋_GB2312"/>
                <w:color w:val="auto"/>
                <w:spacing w:val="-9"/>
                <w:sz w:val="24"/>
                <w:szCs w:val="24"/>
                <w:highlight w:val="none"/>
                <w:u w:val="single" w:color="auto"/>
              </w:rPr>
              <w:t>20××年×月××日</w:t>
            </w:r>
          </w:p>
        </w:tc>
      </w:tr>
    </w:tbl>
    <w:p w14:paraId="3443204A">
      <w:pPr>
        <w:spacing w:before="115" w:line="221" w:lineRule="auto"/>
        <w:ind w:left="497"/>
        <w:rPr>
          <w:rFonts w:ascii="仿宋" w:hAnsi="仿宋" w:eastAsia="仿宋" w:cs="仿宋"/>
          <w:color w:val="auto"/>
          <w:sz w:val="24"/>
          <w:szCs w:val="24"/>
          <w:highlight w:val="none"/>
        </w:rPr>
      </w:pPr>
      <w:r>
        <w:rPr>
          <w:rFonts w:ascii="仿宋" w:hAnsi="仿宋" w:eastAsia="仿宋" w:cs="仿宋"/>
          <w:color w:val="auto"/>
          <w:spacing w:val="-9"/>
          <w:sz w:val="24"/>
          <w:szCs w:val="24"/>
          <w:highlight w:val="none"/>
        </w:rPr>
        <w:t>本通知一式二份，××单位、××公司各执一份。</w:t>
      </w:r>
    </w:p>
    <w:p w14:paraId="49406767">
      <w:pPr>
        <w:spacing w:line="221" w:lineRule="auto"/>
        <w:rPr>
          <w:rFonts w:ascii="仿宋" w:hAnsi="仿宋" w:eastAsia="仿宋" w:cs="仿宋"/>
          <w:color w:val="auto"/>
          <w:sz w:val="24"/>
          <w:szCs w:val="24"/>
          <w:highlight w:val="none"/>
        </w:rPr>
        <w:sectPr>
          <w:headerReference r:id="rId8" w:type="default"/>
          <w:footerReference r:id="rId9" w:type="default"/>
          <w:pgSz w:w="11906" w:h="16839"/>
          <w:pgMar w:top="1166" w:right="1586" w:bottom="1194" w:left="1588" w:header="829" w:footer="978" w:gutter="0"/>
          <w:cols w:space="720" w:num="1"/>
        </w:sectPr>
      </w:pPr>
    </w:p>
    <w:p w14:paraId="29150D28">
      <w:pPr>
        <w:spacing w:line="301" w:lineRule="auto"/>
        <w:rPr>
          <w:rFonts w:ascii="Arial"/>
          <w:color w:val="auto"/>
          <w:sz w:val="21"/>
          <w:highlight w:val="none"/>
        </w:rPr>
      </w:pPr>
    </w:p>
    <w:p w14:paraId="54B70279">
      <w:pPr>
        <w:spacing w:line="301" w:lineRule="auto"/>
        <w:rPr>
          <w:rFonts w:ascii="Arial"/>
          <w:color w:val="auto"/>
          <w:sz w:val="21"/>
          <w:highlight w:val="none"/>
        </w:rPr>
      </w:pPr>
    </w:p>
    <w:p w14:paraId="79649AF3">
      <w:pPr>
        <w:spacing w:before="140" w:line="225" w:lineRule="auto"/>
        <w:ind w:left="913"/>
        <w:rPr>
          <w:rFonts w:ascii="黑体" w:hAnsi="黑体" w:eastAsia="黑体" w:cs="黑体"/>
          <w:color w:val="auto"/>
          <w:sz w:val="43"/>
          <w:szCs w:val="43"/>
          <w:highlight w:val="none"/>
        </w:rPr>
      </w:pPr>
      <w:r>
        <w:rPr>
          <w:rFonts w:ascii="黑体" w:hAnsi="黑体" w:eastAsia="黑体" w:cs="黑体"/>
          <w:b/>
          <w:bCs/>
          <w:color w:val="auto"/>
          <w:spacing w:val="-20"/>
          <w:sz w:val="43"/>
          <w:szCs w:val="43"/>
          <w:highlight w:val="none"/>
        </w:rPr>
        <w:t>×××××项目养护作业日常监管表</w:t>
      </w:r>
    </w:p>
    <w:p w14:paraId="3415EB08">
      <w:pPr>
        <w:spacing w:line="253" w:lineRule="auto"/>
        <w:rPr>
          <w:rFonts w:ascii="Arial"/>
          <w:color w:val="auto"/>
          <w:sz w:val="21"/>
          <w:highlight w:val="none"/>
        </w:rPr>
      </w:pPr>
    </w:p>
    <w:p w14:paraId="1E4978E9">
      <w:pPr>
        <w:spacing w:before="100" w:line="226" w:lineRule="auto"/>
        <w:ind w:left="348"/>
        <w:rPr>
          <w:rFonts w:hint="eastAsia" w:ascii="仿宋_GB2312" w:hAnsi="仿宋_GB2312" w:eastAsia="仿宋_GB2312" w:cs="仿宋_GB2312"/>
          <w:color w:val="auto"/>
          <w:sz w:val="31"/>
          <w:szCs w:val="31"/>
          <w:highlight w:val="none"/>
        </w:rPr>
      </w:pPr>
      <w:r>
        <w:rPr>
          <w:rFonts w:hint="eastAsia" w:ascii="仿宋_GB2312" w:hAnsi="仿宋_GB2312" w:eastAsia="仿宋_GB2312" w:cs="仿宋_GB2312"/>
          <w:b/>
          <w:bCs/>
          <w:color w:val="auto"/>
          <w:spacing w:val="-23"/>
          <w:sz w:val="31"/>
          <w:szCs w:val="31"/>
          <w:highlight w:val="none"/>
        </w:rPr>
        <w:t>工程名称：×××××</w:t>
      </w:r>
    </w:p>
    <w:p w14:paraId="34AB6587">
      <w:pPr>
        <w:spacing w:line="89" w:lineRule="exact"/>
        <w:rPr>
          <w:rFonts w:hint="eastAsia" w:ascii="仿宋_GB2312" w:hAnsi="仿宋_GB2312" w:eastAsia="仿宋_GB2312" w:cs="仿宋_GB2312"/>
          <w:color w:val="auto"/>
          <w:highlight w:val="none"/>
        </w:rPr>
      </w:pPr>
    </w:p>
    <w:tbl>
      <w:tblPr>
        <w:tblStyle w:val="269"/>
        <w:tblW w:w="8526"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5"/>
        <w:gridCol w:w="2374"/>
        <w:gridCol w:w="2058"/>
        <w:gridCol w:w="2689"/>
      </w:tblGrid>
      <w:tr w14:paraId="508EE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05" w:type="dxa"/>
            <w:vAlign w:val="top"/>
          </w:tcPr>
          <w:p w14:paraId="5F9A1AF4">
            <w:pPr>
              <w:spacing w:before="166" w:line="223" w:lineRule="auto"/>
              <w:ind w:left="313"/>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b/>
                <w:bCs/>
                <w:color w:val="auto"/>
                <w:spacing w:val="-45"/>
                <w:sz w:val="30"/>
                <w:szCs w:val="30"/>
                <w:highlight w:val="none"/>
              </w:rPr>
              <w:t>日期</w:t>
            </w:r>
          </w:p>
        </w:tc>
        <w:tc>
          <w:tcPr>
            <w:tcW w:w="2374" w:type="dxa"/>
            <w:vAlign w:val="top"/>
          </w:tcPr>
          <w:p w14:paraId="1EA6049D">
            <w:pPr>
              <w:spacing w:before="166" w:line="222" w:lineRule="auto"/>
              <w:ind w:left="118"/>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b/>
                <w:bCs/>
                <w:color w:val="auto"/>
                <w:spacing w:val="-14"/>
                <w:sz w:val="30"/>
                <w:szCs w:val="30"/>
                <w:highlight w:val="none"/>
              </w:rPr>
              <w:t>20xx年月日</w:t>
            </w:r>
          </w:p>
        </w:tc>
        <w:tc>
          <w:tcPr>
            <w:tcW w:w="2058" w:type="dxa"/>
            <w:vAlign w:val="top"/>
          </w:tcPr>
          <w:p w14:paraId="177986C9">
            <w:pPr>
              <w:spacing w:before="165" w:line="221" w:lineRule="auto"/>
              <w:ind w:left="125" w:firstLine="578" w:firstLineChars="200"/>
              <w:rPr>
                <w:rFonts w:hint="eastAsia" w:ascii="仿宋_GB2312" w:hAnsi="仿宋_GB2312" w:eastAsia="仿宋_GB2312" w:cs="仿宋_GB2312"/>
                <w:color w:val="auto"/>
                <w:sz w:val="30"/>
                <w:szCs w:val="30"/>
                <w:highlight w:val="none"/>
                <w:lang w:eastAsia="zh-CN"/>
              </w:rPr>
            </w:pPr>
            <w:r>
              <w:rPr>
                <w:rFonts w:hint="eastAsia" w:ascii="仿宋_GB2312" w:hAnsi="仿宋_GB2312" w:eastAsia="仿宋_GB2312" w:cs="仿宋_GB2312"/>
                <w:b/>
                <w:bCs/>
                <w:color w:val="auto"/>
                <w:spacing w:val="-6"/>
                <w:sz w:val="30"/>
                <w:szCs w:val="30"/>
                <w:highlight w:val="none"/>
                <w:lang w:val="en-US" w:eastAsia="zh-CN"/>
              </w:rPr>
              <w:t>甲方</w:t>
            </w:r>
          </w:p>
        </w:tc>
        <w:tc>
          <w:tcPr>
            <w:tcW w:w="2689" w:type="dxa"/>
            <w:vAlign w:val="top"/>
          </w:tcPr>
          <w:p w14:paraId="08E8063E">
            <w:pPr>
              <w:rPr>
                <w:rFonts w:hint="eastAsia" w:ascii="仿宋_GB2312" w:hAnsi="仿宋_GB2312" w:eastAsia="仿宋_GB2312" w:cs="仿宋_GB2312"/>
                <w:color w:val="auto"/>
                <w:sz w:val="21"/>
                <w:highlight w:val="none"/>
              </w:rPr>
            </w:pPr>
          </w:p>
        </w:tc>
      </w:tr>
      <w:tr w14:paraId="600ED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2" w:hRule="atLeast"/>
        </w:trPr>
        <w:tc>
          <w:tcPr>
            <w:tcW w:w="1405" w:type="dxa"/>
            <w:vAlign w:val="top"/>
          </w:tcPr>
          <w:p w14:paraId="52B9FEC0">
            <w:pPr>
              <w:spacing w:line="254" w:lineRule="auto"/>
              <w:rPr>
                <w:rFonts w:hint="eastAsia" w:ascii="仿宋_GB2312" w:hAnsi="仿宋_GB2312" w:eastAsia="仿宋_GB2312" w:cs="仿宋_GB2312"/>
                <w:color w:val="auto"/>
                <w:sz w:val="21"/>
                <w:highlight w:val="none"/>
              </w:rPr>
            </w:pPr>
          </w:p>
          <w:p w14:paraId="47DD39C9">
            <w:pPr>
              <w:spacing w:line="255" w:lineRule="auto"/>
              <w:rPr>
                <w:rFonts w:hint="eastAsia" w:ascii="仿宋_GB2312" w:hAnsi="仿宋_GB2312" w:eastAsia="仿宋_GB2312" w:cs="仿宋_GB2312"/>
                <w:color w:val="auto"/>
                <w:sz w:val="21"/>
                <w:highlight w:val="none"/>
              </w:rPr>
            </w:pPr>
          </w:p>
          <w:p w14:paraId="23C491C2">
            <w:pPr>
              <w:spacing w:line="255" w:lineRule="auto"/>
              <w:rPr>
                <w:rFonts w:hint="eastAsia" w:ascii="仿宋_GB2312" w:hAnsi="仿宋_GB2312" w:eastAsia="仿宋_GB2312" w:cs="仿宋_GB2312"/>
                <w:color w:val="auto"/>
                <w:sz w:val="21"/>
                <w:highlight w:val="none"/>
              </w:rPr>
            </w:pPr>
          </w:p>
          <w:p w14:paraId="6EE9004D">
            <w:pPr>
              <w:spacing w:line="255" w:lineRule="auto"/>
              <w:rPr>
                <w:rFonts w:hint="eastAsia" w:ascii="仿宋_GB2312" w:hAnsi="仿宋_GB2312" w:eastAsia="仿宋_GB2312" w:cs="仿宋_GB2312"/>
                <w:color w:val="auto"/>
                <w:sz w:val="21"/>
                <w:highlight w:val="none"/>
              </w:rPr>
            </w:pPr>
          </w:p>
          <w:p w14:paraId="4FC9DE1E">
            <w:pPr>
              <w:spacing w:line="255" w:lineRule="auto"/>
              <w:rPr>
                <w:rFonts w:hint="eastAsia" w:ascii="仿宋_GB2312" w:hAnsi="仿宋_GB2312" w:eastAsia="仿宋_GB2312" w:cs="仿宋_GB2312"/>
                <w:color w:val="auto"/>
                <w:sz w:val="21"/>
                <w:highlight w:val="none"/>
              </w:rPr>
            </w:pPr>
          </w:p>
          <w:p w14:paraId="39F10AEC">
            <w:pPr>
              <w:spacing w:line="255" w:lineRule="auto"/>
              <w:rPr>
                <w:rFonts w:hint="eastAsia" w:ascii="仿宋_GB2312" w:hAnsi="仿宋_GB2312" w:eastAsia="仿宋_GB2312" w:cs="仿宋_GB2312"/>
                <w:color w:val="auto"/>
                <w:sz w:val="21"/>
                <w:highlight w:val="none"/>
              </w:rPr>
            </w:pPr>
          </w:p>
          <w:p w14:paraId="031DFBC9">
            <w:pPr>
              <w:spacing w:line="255" w:lineRule="auto"/>
              <w:rPr>
                <w:rFonts w:hint="eastAsia" w:ascii="仿宋_GB2312" w:hAnsi="仿宋_GB2312" w:eastAsia="仿宋_GB2312" w:cs="仿宋_GB2312"/>
                <w:color w:val="auto"/>
                <w:sz w:val="21"/>
                <w:highlight w:val="none"/>
              </w:rPr>
            </w:pPr>
          </w:p>
          <w:p w14:paraId="35425407">
            <w:pPr>
              <w:spacing w:line="255" w:lineRule="auto"/>
              <w:rPr>
                <w:rFonts w:hint="eastAsia" w:ascii="仿宋_GB2312" w:hAnsi="仿宋_GB2312" w:eastAsia="仿宋_GB2312" w:cs="仿宋_GB2312"/>
                <w:color w:val="auto"/>
                <w:sz w:val="21"/>
                <w:highlight w:val="none"/>
              </w:rPr>
            </w:pPr>
          </w:p>
          <w:p w14:paraId="4DAD69CC">
            <w:pPr>
              <w:spacing w:line="255" w:lineRule="auto"/>
              <w:rPr>
                <w:rFonts w:hint="eastAsia" w:ascii="仿宋_GB2312" w:hAnsi="仿宋_GB2312" w:eastAsia="仿宋_GB2312" w:cs="仿宋_GB2312"/>
                <w:color w:val="auto"/>
                <w:sz w:val="21"/>
                <w:highlight w:val="none"/>
              </w:rPr>
            </w:pPr>
          </w:p>
          <w:p w14:paraId="15A4718F">
            <w:pPr>
              <w:spacing w:line="255" w:lineRule="auto"/>
              <w:rPr>
                <w:rFonts w:hint="eastAsia" w:ascii="仿宋_GB2312" w:hAnsi="仿宋_GB2312" w:eastAsia="仿宋_GB2312" w:cs="仿宋_GB2312"/>
                <w:color w:val="auto"/>
                <w:sz w:val="21"/>
                <w:highlight w:val="none"/>
              </w:rPr>
            </w:pPr>
          </w:p>
          <w:p w14:paraId="688A84FA">
            <w:pPr>
              <w:spacing w:line="255" w:lineRule="auto"/>
              <w:rPr>
                <w:rFonts w:hint="eastAsia" w:ascii="仿宋_GB2312" w:hAnsi="仿宋_GB2312" w:eastAsia="仿宋_GB2312" w:cs="仿宋_GB2312"/>
                <w:color w:val="auto"/>
                <w:sz w:val="21"/>
                <w:highlight w:val="none"/>
              </w:rPr>
            </w:pPr>
          </w:p>
          <w:p w14:paraId="3656729A">
            <w:pPr>
              <w:spacing w:before="97" w:line="385" w:lineRule="auto"/>
              <w:ind w:left="163" w:right="354" w:hanging="29"/>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b/>
                <w:bCs/>
                <w:color w:val="auto"/>
                <w:spacing w:val="-17"/>
                <w:sz w:val="30"/>
                <w:szCs w:val="30"/>
                <w:highlight w:val="none"/>
              </w:rPr>
              <w:t>工作</w:t>
            </w:r>
            <w:r>
              <w:rPr>
                <w:rFonts w:hint="eastAsia" w:ascii="仿宋_GB2312" w:hAnsi="仿宋_GB2312" w:eastAsia="仿宋_GB2312" w:cs="仿宋_GB2312"/>
                <w:b/>
                <w:bCs/>
                <w:color w:val="auto"/>
                <w:spacing w:val="-32"/>
                <w:sz w:val="30"/>
                <w:szCs w:val="30"/>
                <w:highlight w:val="none"/>
              </w:rPr>
              <w:t>内容</w:t>
            </w:r>
          </w:p>
        </w:tc>
        <w:tc>
          <w:tcPr>
            <w:tcW w:w="7121" w:type="dxa"/>
            <w:gridSpan w:val="3"/>
            <w:vAlign w:val="top"/>
          </w:tcPr>
          <w:p w14:paraId="3572F7BD">
            <w:pPr>
              <w:rPr>
                <w:rFonts w:hint="eastAsia" w:ascii="仿宋_GB2312" w:hAnsi="仿宋_GB2312" w:eastAsia="仿宋_GB2312" w:cs="仿宋_GB2312"/>
                <w:color w:val="auto"/>
                <w:sz w:val="21"/>
                <w:highlight w:val="none"/>
              </w:rPr>
            </w:pPr>
          </w:p>
        </w:tc>
      </w:tr>
      <w:tr w14:paraId="41D37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8" w:hRule="atLeast"/>
        </w:trPr>
        <w:tc>
          <w:tcPr>
            <w:tcW w:w="1405" w:type="dxa"/>
            <w:vAlign w:val="top"/>
          </w:tcPr>
          <w:p w14:paraId="30732F4E">
            <w:pPr>
              <w:spacing w:line="247" w:lineRule="auto"/>
              <w:rPr>
                <w:rFonts w:hint="eastAsia" w:ascii="仿宋_GB2312" w:hAnsi="仿宋_GB2312" w:eastAsia="仿宋_GB2312" w:cs="仿宋_GB2312"/>
                <w:color w:val="auto"/>
                <w:sz w:val="21"/>
                <w:highlight w:val="none"/>
              </w:rPr>
            </w:pPr>
          </w:p>
          <w:p w14:paraId="39E3FCE4">
            <w:pPr>
              <w:spacing w:before="98" w:line="222" w:lineRule="auto"/>
              <w:ind w:left="16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b/>
                <w:bCs/>
                <w:color w:val="auto"/>
                <w:spacing w:val="-30"/>
                <w:sz w:val="30"/>
                <w:szCs w:val="30"/>
                <w:highlight w:val="none"/>
              </w:rPr>
              <w:t>尚待</w:t>
            </w:r>
            <w:r>
              <w:rPr>
                <w:rFonts w:hint="eastAsia" w:ascii="仿宋_GB2312" w:hAnsi="仿宋_GB2312" w:eastAsia="仿宋_GB2312" w:cs="仿宋_GB2312"/>
                <w:b/>
                <w:bCs/>
                <w:color w:val="auto"/>
                <w:spacing w:val="-15"/>
                <w:sz w:val="30"/>
                <w:szCs w:val="30"/>
                <w:highlight w:val="none"/>
              </w:rPr>
              <w:t>解决</w:t>
            </w:r>
          </w:p>
          <w:p w14:paraId="30986689">
            <w:pPr>
              <w:spacing w:before="263" w:line="222" w:lineRule="auto"/>
              <w:ind w:left="156"/>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b/>
                <w:bCs/>
                <w:color w:val="auto"/>
                <w:spacing w:val="-28"/>
                <w:sz w:val="30"/>
                <w:szCs w:val="30"/>
                <w:highlight w:val="none"/>
              </w:rPr>
              <w:t>问题</w:t>
            </w:r>
          </w:p>
        </w:tc>
        <w:tc>
          <w:tcPr>
            <w:tcW w:w="7121" w:type="dxa"/>
            <w:gridSpan w:val="3"/>
            <w:vAlign w:val="top"/>
          </w:tcPr>
          <w:p w14:paraId="31F8020A">
            <w:pPr>
              <w:rPr>
                <w:rFonts w:hint="eastAsia" w:ascii="仿宋_GB2312" w:hAnsi="仿宋_GB2312" w:eastAsia="仿宋_GB2312" w:cs="仿宋_GB2312"/>
                <w:color w:val="auto"/>
                <w:sz w:val="21"/>
                <w:highlight w:val="none"/>
              </w:rPr>
            </w:pPr>
          </w:p>
        </w:tc>
      </w:tr>
      <w:tr w14:paraId="59EC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8" w:hRule="atLeast"/>
        </w:trPr>
        <w:tc>
          <w:tcPr>
            <w:tcW w:w="1405" w:type="dxa"/>
            <w:vAlign w:val="top"/>
          </w:tcPr>
          <w:p w14:paraId="29B1A003">
            <w:pPr>
              <w:spacing w:line="402" w:lineRule="auto"/>
              <w:rPr>
                <w:rFonts w:hint="eastAsia" w:ascii="仿宋_GB2312" w:hAnsi="仿宋_GB2312" w:eastAsia="仿宋_GB2312" w:cs="仿宋_GB2312"/>
                <w:color w:val="auto"/>
                <w:sz w:val="21"/>
                <w:highlight w:val="none"/>
              </w:rPr>
            </w:pPr>
          </w:p>
          <w:p w14:paraId="0AE8CDED">
            <w:pPr>
              <w:spacing w:before="98" w:line="387" w:lineRule="auto"/>
              <w:ind w:left="132" w:right="107" w:hanging="8"/>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b/>
                <w:bCs/>
                <w:color w:val="auto"/>
                <w:spacing w:val="-19"/>
                <w:sz w:val="30"/>
                <w:szCs w:val="30"/>
                <w:highlight w:val="none"/>
              </w:rPr>
              <w:t>记录</w:t>
            </w:r>
            <w:r>
              <w:rPr>
                <w:rFonts w:hint="eastAsia" w:ascii="仿宋_GB2312" w:hAnsi="仿宋_GB2312" w:eastAsia="仿宋_GB2312" w:cs="仿宋_GB2312"/>
                <w:b/>
                <w:bCs/>
                <w:color w:val="auto"/>
                <w:spacing w:val="-4"/>
                <w:sz w:val="30"/>
                <w:szCs w:val="30"/>
                <w:highlight w:val="none"/>
              </w:rPr>
              <w:t>人</w:t>
            </w:r>
          </w:p>
        </w:tc>
        <w:tc>
          <w:tcPr>
            <w:tcW w:w="7121" w:type="dxa"/>
            <w:gridSpan w:val="3"/>
            <w:vAlign w:val="top"/>
          </w:tcPr>
          <w:p w14:paraId="1EFC874A">
            <w:pPr>
              <w:rPr>
                <w:rFonts w:hint="eastAsia" w:ascii="仿宋_GB2312" w:hAnsi="仿宋_GB2312" w:eastAsia="仿宋_GB2312" w:cs="仿宋_GB2312"/>
                <w:color w:val="auto"/>
                <w:sz w:val="21"/>
                <w:highlight w:val="none"/>
              </w:rPr>
            </w:pPr>
          </w:p>
        </w:tc>
      </w:tr>
    </w:tbl>
    <w:p w14:paraId="77980430">
      <w:pPr>
        <w:rPr>
          <w:rFonts w:ascii="Arial" w:hAnsi="Arial" w:eastAsia="Arial" w:cs="Arial"/>
          <w:color w:val="auto"/>
          <w:sz w:val="21"/>
          <w:szCs w:val="21"/>
          <w:highlight w:val="none"/>
        </w:rPr>
      </w:pPr>
      <w:r>
        <w:rPr>
          <w:rFonts w:ascii="Arial" w:hAnsi="Arial" w:eastAsia="Arial" w:cs="Arial"/>
          <w:color w:val="auto"/>
          <w:sz w:val="21"/>
          <w:szCs w:val="21"/>
          <w:highlight w:val="none"/>
        </w:rPr>
        <w:br w:type="page"/>
      </w:r>
    </w:p>
    <w:p w14:paraId="27A52007">
      <w:pPr>
        <w:spacing w:before="143" w:line="225" w:lineRule="auto"/>
        <w:ind w:firstLine="2198" w:firstLineChars="500"/>
        <w:rPr>
          <w:rFonts w:ascii="黑体" w:hAnsi="黑体" w:eastAsia="黑体" w:cs="黑体"/>
          <w:color w:val="auto"/>
          <w:sz w:val="43"/>
          <w:szCs w:val="43"/>
          <w:highlight w:val="none"/>
        </w:rPr>
      </w:pPr>
      <w:r>
        <w:rPr>
          <w:rFonts w:hint="eastAsia" w:ascii="黑体" w:hAnsi="黑体" w:eastAsia="黑体" w:cs="黑体"/>
          <w:b/>
          <w:bCs/>
          <w:color w:val="auto"/>
          <w:spacing w:val="4"/>
          <w:sz w:val="43"/>
          <w:szCs w:val="43"/>
          <w:highlight w:val="none"/>
          <w:lang w:val="en-US" w:eastAsia="zh-CN"/>
        </w:rPr>
        <w:t>垃圾围闸治理验收</w:t>
      </w:r>
      <w:r>
        <w:rPr>
          <w:rFonts w:ascii="黑体" w:hAnsi="黑体" w:eastAsia="黑体" w:cs="黑体"/>
          <w:b/>
          <w:bCs/>
          <w:color w:val="auto"/>
          <w:spacing w:val="4"/>
          <w:sz w:val="43"/>
          <w:szCs w:val="43"/>
          <w:highlight w:val="none"/>
        </w:rPr>
        <w:t>评分表</w:t>
      </w:r>
    </w:p>
    <w:p w14:paraId="6ACD2249">
      <w:pPr>
        <w:spacing w:line="67" w:lineRule="exact"/>
        <w:rPr>
          <w:color w:val="auto"/>
          <w:highlight w:val="none"/>
        </w:rPr>
      </w:pPr>
    </w:p>
    <w:tbl>
      <w:tblPr>
        <w:tblStyle w:val="269"/>
        <w:tblW w:w="96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287"/>
        <w:gridCol w:w="2513"/>
        <w:gridCol w:w="960"/>
        <w:gridCol w:w="2956"/>
        <w:gridCol w:w="754"/>
      </w:tblGrid>
      <w:tr w14:paraId="09ADE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32" w:type="dxa"/>
            <w:vAlign w:val="top"/>
          </w:tcPr>
          <w:p w14:paraId="3F4C57B7">
            <w:pPr>
              <w:pStyle w:val="270"/>
              <w:spacing w:before="134" w:line="228" w:lineRule="auto"/>
              <w:ind w:left="116"/>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bCs/>
                <w:color w:val="auto"/>
                <w:spacing w:val="6"/>
                <w:sz w:val="20"/>
                <w:szCs w:val="20"/>
                <w:highlight w:val="none"/>
              </w:rPr>
              <w:t>考核内容</w:t>
            </w:r>
          </w:p>
        </w:tc>
        <w:tc>
          <w:tcPr>
            <w:tcW w:w="1287" w:type="dxa"/>
            <w:vAlign w:val="top"/>
          </w:tcPr>
          <w:p w14:paraId="01D6D4D5">
            <w:pPr>
              <w:pStyle w:val="270"/>
              <w:spacing w:before="134" w:line="228" w:lineRule="auto"/>
              <w:ind w:left="224"/>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bCs/>
                <w:color w:val="auto"/>
                <w:spacing w:val="6"/>
                <w:sz w:val="20"/>
                <w:szCs w:val="20"/>
                <w:highlight w:val="none"/>
              </w:rPr>
              <w:t>评分指标</w:t>
            </w:r>
          </w:p>
        </w:tc>
        <w:tc>
          <w:tcPr>
            <w:tcW w:w="2513" w:type="dxa"/>
            <w:vAlign w:val="top"/>
          </w:tcPr>
          <w:p w14:paraId="5445066E">
            <w:pPr>
              <w:pStyle w:val="270"/>
              <w:spacing w:before="134" w:line="228" w:lineRule="auto"/>
              <w:ind w:left="838"/>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bCs/>
                <w:color w:val="auto"/>
                <w:spacing w:val="6"/>
                <w:sz w:val="20"/>
                <w:szCs w:val="20"/>
                <w:highlight w:val="none"/>
              </w:rPr>
              <w:t>考核标准</w:t>
            </w:r>
          </w:p>
        </w:tc>
        <w:tc>
          <w:tcPr>
            <w:tcW w:w="960" w:type="dxa"/>
            <w:vAlign w:val="top"/>
          </w:tcPr>
          <w:p w14:paraId="1873D765">
            <w:pPr>
              <w:pStyle w:val="270"/>
              <w:spacing w:before="134" w:line="228" w:lineRule="auto"/>
              <w:ind w:left="114"/>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bCs/>
                <w:color w:val="auto"/>
                <w:spacing w:val="5"/>
                <w:sz w:val="20"/>
                <w:szCs w:val="20"/>
                <w:highlight w:val="none"/>
              </w:rPr>
              <w:t>标准分</w:t>
            </w:r>
          </w:p>
        </w:tc>
        <w:tc>
          <w:tcPr>
            <w:tcW w:w="2956" w:type="dxa"/>
            <w:vAlign w:val="top"/>
          </w:tcPr>
          <w:p w14:paraId="49BBDDDE">
            <w:pPr>
              <w:pStyle w:val="270"/>
              <w:spacing w:before="134" w:line="227" w:lineRule="auto"/>
              <w:ind w:left="1150"/>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bCs/>
                <w:color w:val="auto"/>
                <w:spacing w:val="6"/>
                <w:sz w:val="20"/>
                <w:szCs w:val="20"/>
                <w:highlight w:val="none"/>
              </w:rPr>
              <w:t>赋分依据</w:t>
            </w:r>
          </w:p>
        </w:tc>
        <w:tc>
          <w:tcPr>
            <w:tcW w:w="754" w:type="dxa"/>
            <w:vAlign w:val="top"/>
          </w:tcPr>
          <w:p w14:paraId="3A028801">
            <w:pPr>
              <w:pStyle w:val="270"/>
              <w:spacing w:before="134" w:line="228" w:lineRule="auto"/>
              <w:ind w:left="173"/>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b/>
                <w:bCs/>
                <w:color w:val="auto"/>
                <w:spacing w:val="3"/>
                <w:sz w:val="20"/>
                <w:szCs w:val="20"/>
                <w:highlight w:val="none"/>
              </w:rPr>
              <w:t>得分</w:t>
            </w:r>
          </w:p>
        </w:tc>
      </w:tr>
      <w:tr w14:paraId="2A50F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132" w:type="dxa"/>
            <w:vMerge w:val="restart"/>
            <w:tcBorders>
              <w:bottom w:val="nil"/>
            </w:tcBorders>
            <w:vAlign w:val="top"/>
          </w:tcPr>
          <w:p w14:paraId="76B09508">
            <w:pPr>
              <w:spacing w:line="276" w:lineRule="auto"/>
              <w:rPr>
                <w:rFonts w:hint="eastAsia" w:ascii="仿宋_GB2312" w:hAnsi="仿宋_GB2312" w:eastAsia="仿宋_GB2312" w:cs="仿宋_GB2312"/>
                <w:color w:val="auto"/>
                <w:sz w:val="21"/>
                <w:highlight w:val="none"/>
              </w:rPr>
            </w:pPr>
          </w:p>
          <w:p w14:paraId="61CF6B5F">
            <w:pPr>
              <w:spacing w:line="277" w:lineRule="auto"/>
              <w:rPr>
                <w:rFonts w:hint="eastAsia" w:ascii="仿宋_GB2312" w:hAnsi="仿宋_GB2312" w:eastAsia="仿宋_GB2312" w:cs="仿宋_GB2312"/>
                <w:color w:val="auto"/>
                <w:sz w:val="21"/>
                <w:highlight w:val="none"/>
              </w:rPr>
            </w:pPr>
          </w:p>
          <w:p w14:paraId="5CC9640D">
            <w:pPr>
              <w:spacing w:line="277" w:lineRule="auto"/>
              <w:rPr>
                <w:rFonts w:hint="eastAsia" w:ascii="仿宋_GB2312" w:hAnsi="仿宋_GB2312" w:eastAsia="仿宋_GB2312" w:cs="仿宋_GB2312"/>
                <w:color w:val="auto"/>
                <w:sz w:val="21"/>
                <w:highlight w:val="none"/>
              </w:rPr>
            </w:pPr>
          </w:p>
          <w:p w14:paraId="0D0206AB">
            <w:pPr>
              <w:spacing w:line="277" w:lineRule="auto"/>
              <w:rPr>
                <w:rFonts w:hint="eastAsia" w:ascii="仿宋_GB2312" w:hAnsi="仿宋_GB2312" w:eastAsia="仿宋_GB2312" w:cs="仿宋_GB2312"/>
                <w:color w:val="auto"/>
                <w:sz w:val="21"/>
                <w:highlight w:val="none"/>
              </w:rPr>
            </w:pPr>
          </w:p>
          <w:p w14:paraId="32328061">
            <w:pPr>
              <w:spacing w:line="277" w:lineRule="auto"/>
              <w:rPr>
                <w:rFonts w:hint="eastAsia" w:ascii="仿宋_GB2312" w:hAnsi="仿宋_GB2312" w:eastAsia="仿宋_GB2312" w:cs="仿宋_GB2312"/>
                <w:color w:val="auto"/>
                <w:sz w:val="21"/>
                <w:highlight w:val="none"/>
              </w:rPr>
            </w:pPr>
          </w:p>
          <w:p w14:paraId="2C1D4A16">
            <w:pPr>
              <w:pStyle w:val="270"/>
              <w:spacing w:before="65" w:line="290" w:lineRule="auto"/>
              <w:ind w:left="116" w:right="181" w:firstLine="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6"/>
                <w:sz w:val="20"/>
                <w:szCs w:val="20"/>
                <w:highlight w:val="none"/>
              </w:rPr>
              <w:t>水闸上下游河道</w:t>
            </w:r>
          </w:p>
        </w:tc>
        <w:tc>
          <w:tcPr>
            <w:tcW w:w="1287" w:type="dxa"/>
            <w:vAlign w:val="top"/>
          </w:tcPr>
          <w:p w14:paraId="61EC3257">
            <w:pPr>
              <w:spacing w:line="302" w:lineRule="auto"/>
              <w:rPr>
                <w:rFonts w:hint="eastAsia" w:ascii="仿宋_GB2312" w:hAnsi="仿宋_GB2312" w:eastAsia="仿宋_GB2312" w:cs="仿宋_GB2312"/>
                <w:color w:val="auto"/>
                <w:sz w:val="21"/>
                <w:highlight w:val="none"/>
              </w:rPr>
            </w:pPr>
          </w:p>
          <w:p w14:paraId="444D4A44">
            <w:pPr>
              <w:spacing w:line="303" w:lineRule="auto"/>
              <w:rPr>
                <w:rFonts w:hint="eastAsia" w:ascii="仿宋_GB2312" w:hAnsi="仿宋_GB2312" w:eastAsia="仿宋_GB2312" w:cs="仿宋_GB2312"/>
                <w:color w:val="auto"/>
                <w:sz w:val="21"/>
                <w:highlight w:val="none"/>
              </w:rPr>
            </w:pPr>
          </w:p>
          <w:p w14:paraId="6CC90AC9">
            <w:pPr>
              <w:pStyle w:val="270"/>
              <w:spacing w:before="65" w:line="289" w:lineRule="auto"/>
              <w:ind w:left="114" w:right="96"/>
              <w:jc w:val="both"/>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垃圾、杂草等漂浮物清</w:t>
            </w:r>
            <w:r>
              <w:rPr>
                <w:rFonts w:hint="eastAsia" w:ascii="仿宋_GB2312" w:hAnsi="仿宋_GB2312" w:eastAsia="仿宋_GB2312" w:cs="仿宋_GB2312"/>
                <w:color w:val="auto"/>
                <w:spacing w:val="1"/>
                <w:sz w:val="20"/>
                <w:szCs w:val="20"/>
                <w:highlight w:val="none"/>
              </w:rPr>
              <w:t>理（50分）</w:t>
            </w:r>
          </w:p>
        </w:tc>
        <w:tc>
          <w:tcPr>
            <w:tcW w:w="2513" w:type="dxa"/>
            <w:vAlign w:val="top"/>
          </w:tcPr>
          <w:p w14:paraId="793CABCC">
            <w:pPr>
              <w:pStyle w:val="270"/>
              <w:spacing w:before="49" w:line="228" w:lineRule="auto"/>
              <w:ind w:left="114"/>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水闸管理范围内无明显</w:t>
            </w:r>
          </w:p>
          <w:p w14:paraId="3E08EC63">
            <w:pPr>
              <w:pStyle w:val="270"/>
              <w:spacing w:before="65" w:line="288" w:lineRule="auto"/>
              <w:ind w:left="124" w:right="107" w:hanging="13"/>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漂浮物的标准，对于残留</w:t>
            </w:r>
            <w:r>
              <w:rPr>
                <w:rFonts w:hint="eastAsia" w:ascii="仿宋_GB2312" w:hAnsi="仿宋_GB2312" w:eastAsia="仿宋_GB2312" w:cs="仿宋_GB2312"/>
                <w:color w:val="auto"/>
                <w:spacing w:val="6"/>
                <w:sz w:val="20"/>
                <w:szCs w:val="20"/>
                <w:highlight w:val="none"/>
              </w:rPr>
              <w:t>的少量细小漂浮物（如树</w:t>
            </w:r>
            <w:r>
              <w:rPr>
                <w:rFonts w:hint="eastAsia" w:ascii="仿宋_GB2312" w:hAnsi="仿宋_GB2312" w:eastAsia="仿宋_GB2312" w:cs="仿宋_GB2312"/>
                <w:color w:val="auto"/>
                <w:spacing w:val="7"/>
                <w:sz w:val="20"/>
                <w:szCs w:val="20"/>
                <w:highlight w:val="none"/>
              </w:rPr>
              <w:t>叶碎片、塑料薄膜碎片</w:t>
            </w:r>
          </w:p>
          <w:p w14:paraId="180EED2B">
            <w:pPr>
              <w:pStyle w:val="270"/>
              <w:spacing w:before="2" w:line="287" w:lineRule="auto"/>
              <w:ind w:left="114" w:right="107" w:hanging="1"/>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等</w:t>
            </w:r>
            <w:r>
              <w:rPr>
                <w:rFonts w:hint="eastAsia" w:ascii="仿宋_GB2312" w:hAnsi="仿宋_GB2312" w:eastAsia="仿宋_GB2312" w:cs="仿宋_GB2312"/>
                <w:color w:val="auto"/>
                <w:spacing w:val="11"/>
                <w:sz w:val="20"/>
                <w:szCs w:val="20"/>
                <w:highlight w:val="none"/>
              </w:rPr>
              <w:t>），</w:t>
            </w:r>
            <w:r>
              <w:rPr>
                <w:rFonts w:hint="eastAsia" w:ascii="仿宋_GB2312" w:hAnsi="仿宋_GB2312" w:eastAsia="仿宋_GB2312" w:cs="仿宋_GB2312"/>
                <w:color w:val="auto"/>
                <w:spacing w:val="7"/>
                <w:sz w:val="20"/>
                <w:szCs w:val="20"/>
                <w:highlight w:val="none"/>
              </w:rPr>
              <w:t>仅允许少量存在且</w:t>
            </w:r>
            <w:r>
              <w:rPr>
                <w:rFonts w:hint="eastAsia" w:ascii="仿宋_GB2312" w:hAnsi="仿宋_GB2312" w:eastAsia="仿宋_GB2312" w:cs="仿宋_GB2312"/>
                <w:color w:val="auto"/>
                <w:spacing w:val="8"/>
                <w:sz w:val="20"/>
                <w:szCs w:val="20"/>
                <w:highlight w:val="none"/>
              </w:rPr>
              <w:t>不影响水域的整体观感</w:t>
            </w:r>
          </w:p>
          <w:p w14:paraId="3582D802">
            <w:pPr>
              <w:pStyle w:val="270"/>
              <w:spacing w:line="227" w:lineRule="auto"/>
              <w:ind w:left="11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和水闸的正常运行</w:t>
            </w:r>
          </w:p>
        </w:tc>
        <w:tc>
          <w:tcPr>
            <w:tcW w:w="960" w:type="dxa"/>
            <w:vAlign w:val="top"/>
          </w:tcPr>
          <w:p w14:paraId="1622F372">
            <w:pPr>
              <w:spacing w:line="305" w:lineRule="auto"/>
              <w:rPr>
                <w:rFonts w:hint="eastAsia" w:ascii="仿宋_GB2312" w:hAnsi="仿宋_GB2312" w:eastAsia="仿宋_GB2312" w:cs="仿宋_GB2312"/>
                <w:color w:val="auto"/>
                <w:sz w:val="21"/>
                <w:highlight w:val="none"/>
              </w:rPr>
            </w:pPr>
          </w:p>
          <w:p w14:paraId="1CFCA02E">
            <w:pPr>
              <w:spacing w:line="305" w:lineRule="auto"/>
              <w:rPr>
                <w:rFonts w:hint="eastAsia" w:ascii="仿宋_GB2312" w:hAnsi="仿宋_GB2312" w:eastAsia="仿宋_GB2312" w:cs="仿宋_GB2312"/>
                <w:color w:val="auto"/>
                <w:sz w:val="21"/>
                <w:highlight w:val="none"/>
              </w:rPr>
            </w:pPr>
          </w:p>
          <w:p w14:paraId="71A114BC">
            <w:pPr>
              <w:spacing w:line="305" w:lineRule="auto"/>
              <w:rPr>
                <w:rFonts w:hint="eastAsia" w:ascii="仿宋_GB2312" w:hAnsi="仿宋_GB2312" w:eastAsia="仿宋_GB2312" w:cs="仿宋_GB2312"/>
                <w:color w:val="auto"/>
                <w:sz w:val="21"/>
                <w:highlight w:val="none"/>
              </w:rPr>
            </w:pPr>
          </w:p>
          <w:p w14:paraId="0AEDD6B1">
            <w:pPr>
              <w:pStyle w:val="270"/>
              <w:spacing w:before="65" w:line="268" w:lineRule="exact"/>
              <w:ind w:left="384"/>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2"/>
                <w:position w:val="1"/>
                <w:sz w:val="20"/>
                <w:szCs w:val="20"/>
                <w:highlight w:val="none"/>
              </w:rPr>
              <w:t>50</w:t>
            </w:r>
          </w:p>
        </w:tc>
        <w:tc>
          <w:tcPr>
            <w:tcW w:w="2956" w:type="dxa"/>
            <w:vAlign w:val="top"/>
          </w:tcPr>
          <w:p w14:paraId="43634C5F">
            <w:pPr>
              <w:spacing w:line="302" w:lineRule="auto"/>
              <w:rPr>
                <w:rFonts w:hint="eastAsia" w:ascii="仿宋_GB2312" w:hAnsi="仿宋_GB2312" w:eastAsia="仿宋_GB2312" w:cs="仿宋_GB2312"/>
                <w:color w:val="auto"/>
                <w:sz w:val="21"/>
                <w:highlight w:val="none"/>
              </w:rPr>
            </w:pPr>
          </w:p>
          <w:p w14:paraId="6EE267D1">
            <w:pPr>
              <w:spacing w:line="303" w:lineRule="auto"/>
              <w:rPr>
                <w:rFonts w:hint="eastAsia" w:ascii="仿宋_GB2312" w:hAnsi="仿宋_GB2312" w:eastAsia="仿宋_GB2312" w:cs="仿宋_GB2312"/>
                <w:color w:val="auto"/>
                <w:sz w:val="21"/>
                <w:highlight w:val="none"/>
              </w:rPr>
            </w:pPr>
          </w:p>
          <w:p w14:paraId="6E741687">
            <w:pPr>
              <w:pStyle w:val="270"/>
              <w:spacing w:before="65" w:line="289" w:lineRule="auto"/>
              <w:ind w:left="114" w:right="116" w:firstLine="2"/>
              <w:jc w:val="both"/>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9"/>
                <w:sz w:val="20"/>
                <w:szCs w:val="20"/>
                <w:highlight w:val="none"/>
              </w:rPr>
              <w:t>如不符合要求：每发现一处扣</w:t>
            </w:r>
            <w:r>
              <w:rPr>
                <w:rFonts w:hint="eastAsia" w:ascii="仿宋_GB2312" w:hAnsi="仿宋_GB2312" w:eastAsia="仿宋_GB2312" w:cs="仿宋_GB2312"/>
                <w:color w:val="auto"/>
                <w:spacing w:val="7"/>
                <w:sz w:val="20"/>
                <w:szCs w:val="20"/>
                <w:highlight w:val="none"/>
              </w:rPr>
              <w:t>2分，以此类推，直至扣完为</w:t>
            </w:r>
            <w:r>
              <w:rPr>
                <w:rFonts w:hint="eastAsia" w:ascii="仿宋_GB2312" w:hAnsi="仿宋_GB2312" w:eastAsia="仿宋_GB2312" w:cs="仿宋_GB2312"/>
                <w:color w:val="auto"/>
                <w:spacing w:val="4"/>
                <w:sz w:val="20"/>
                <w:szCs w:val="20"/>
                <w:highlight w:val="none"/>
              </w:rPr>
              <w:t>止。（50分）</w:t>
            </w:r>
          </w:p>
        </w:tc>
        <w:tc>
          <w:tcPr>
            <w:tcW w:w="754" w:type="dxa"/>
            <w:vAlign w:val="top"/>
          </w:tcPr>
          <w:p w14:paraId="416B5A00">
            <w:pPr>
              <w:rPr>
                <w:rFonts w:hint="eastAsia" w:ascii="仿宋_GB2312" w:hAnsi="仿宋_GB2312" w:eastAsia="仿宋_GB2312" w:cs="仿宋_GB2312"/>
                <w:color w:val="auto"/>
                <w:sz w:val="21"/>
                <w:highlight w:val="none"/>
              </w:rPr>
            </w:pPr>
          </w:p>
        </w:tc>
      </w:tr>
      <w:tr w14:paraId="72D45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vMerge w:val="continue"/>
            <w:tcBorders>
              <w:top w:val="nil"/>
            </w:tcBorders>
            <w:vAlign w:val="top"/>
          </w:tcPr>
          <w:p w14:paraId="62AE3694">
            <w:pPr>
              <w:rPr>
                <w:rFonts w:hint="eastAsia" w:ascii="仿宋_GB2312" w:hAnsi="仿宋_GB2312" w:eastAsia="仿宋_GB2312" w:cs="仿宋_GB2312"/>
                <w:color w:val="auto"/>
                <w:sz w:val="21"/>
                <w:highlight w:val="none"/>
              </w:rPr>
            </w:pPr>
          </w:p>
        </w:tc>
        <w:tc>
          <w:tcPr>
            <w:tcW w:w="1287" w:type="dxa"/>
            <w:vAlign w:val="top"/>
          </w:tcPr>
          <w:p w14:paraId="688000CF">
            <w:pPr>
              <w:pStyle w:val="270"/>
              <w:spacing w:before="50" w:line="228" w:lineRule="auto"/>
              <w:ind w:left="114"/>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6"/>
                <w:sz w:val="20"/>
                <w:szCs w:val="20"/>
                <w:highlight w:val="none"/>
              </w:rPr>
              <w:t>上岸的垃</w:t>
            </w:r>
          </w:p>
          <w:p w14:paraId="7333DF91">
            <w:pPr>
              <w:pStyle w:val="270"/>
              <w:spacing w:before="64" w:line="228" w:lineRule="auto"/>
              <w:ind w:left="113"/>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圾、杂草等</w:t>
            </w:r>
          </w:p>
          <w:p w14:paraId="26498EA3">
            <w:pPr>
              <w:pStyle w:val="270"/>
              <w:spacing w:before="64" w:line="228" w:lineRule="auto"/>
              <w:ind w:left="11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漂浮物清理</w:t>
            </w:r>
          </w:p>
          <w:p w14:paraId="4F0FA49B">
            <w:pPr>
              <w:pStyle w:val="270"/>
              <w:spacing w:before="65" w:line="228" w:lineRule="auto"/>
              <w:ind w:left="12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1"/>
                <w:sz w:val="20"/>
                <w:szCs w:val="20"/>
                <w:highlight w:val="none"/>
              </w:rPr>
              <w:t>（10分）</w:t>
            </w:r>
          </w:p>
        </w:tc>
        <w:tc>
          <w:tcPr>
            <w:tcW w:w="2513" w:type="dxa"/>
            <w:vAlign w:val="top"/>
          </w:tcPr>
          <w:p w14:paraId="3FE79D6A">
            <w:pPr>
              <w:pStyle w:val="270"/>
              <w:spacing w:before="206" w:line="288" w:lineRule="auto"/>
              <w:ind w:left="111" w:right="107" w:firstLine="1"/>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上岸的垃圾、杂草等漂浮</w:t>
            </w:r>
            <w:r>
              <w:rPr>
                <w:rFonts w:hint="eastAsia" w:ascii="仿宋_GB2312" w:hAnsi="仿宋_GB2312" w:eastAsia="仿宋_GB2312" w:cs="仿宋_GB2312"/>
                <w:color w:val="auto"/>
                <w:spacing w:val="8"/>
                <w:sz w:val="20"/>
                <w:szCs w:val="20"/>
                <w:highlight w:val="none"/>
              </w:rPr>
              <w:t>物应运送至河道管理范</w:t>
            </w:r>
          </w:p>
          <w:p w14:paraId="11668F66">
            <w:pPr>
              <w:pStyle w:val="270"/>
              <w:spacing w:line="228" w:lineRule="auto"/>
              <w:ind w:left="130"/>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6"/>
                <w:sz w:val="20"/>
                <w:szCs w:val="20"/>
                <w:highlight w:val="none"/>
              </w:rPr>
              <w:t>围外，进行妥善处理。</w:t>
            </w:r>
          </w:p>
        </w:tc>
        <w:tc>
          <w:tcPr>
            <w:tcW w:w="960" w:type="dxa"/>
            <w:vAlign w:val="top"/>
          </w:tcPr>
          <w:p w14:paraId="7823E38E">
            <w:pPr>
              <w:spacing w:line="450" w:lineRule="auto"/>
              <w:rPr>
                <w:rFonts w:hint="eastAsia" w:ascii="仿宋_GB2312" w:hAnsi="仿宋_GB2312" w:eastAsia="仿宋_GB2312" w:cs="仿宋_GB2312"/>
                <w:color w:val="auto"/>
                <w:sz w:val="21"/>
                <w:highlight w:val="none"/>
              </w:rPr>
            </w:pPr>
          </w:p>
          <w:p w14:paraId="7233DC39">
            <w:pPr>
              <w:pStyle w:val="270"/>
              <w:spacing w:before="65" w:line="269" w:lineRule="exact"/>
              <w:ind w:left="39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position w:val="1"/>
                <w:sz w:val="20"/>
                <w:szCs w:val="20"/>
                <w:highlight w:val="none"/>
              </w:rPr>
              <w:t>10</w:t>
            </w:r>
          </w:p>
        </w:tc>
        <w:tc>
          <w:tcPr>
            <w:tcW w:w="2956" w:type="dxa"/>
            <w:vAlign w:val="top"/>
          </w:tcPr>
          <w:p w14:paraId="41E36DE5">
            <w:pPr>
              <w:pStyle w:val="270"/>
              <w:spacing w:before="207" w:line="289" w:lineRule="auto"/>
              <w:ind w:left="114" w:right="116" w:firstLine="2"/>
              <w:jc w:val="both"/>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9"/>
                <w:sz w:val="20"/>
                <w:szCs w:val="20"/>
                <w:highlight w:val="none"/>
              </w:rPr>
              <w:t>如不符合要求：每发现一处扣</w:t>
            </w:r>
            <w:r>
              <w:rPr>
                <w:rFonts w:hint="eastAsia" w:ascii="仿宋_GB2312" w:hAnsi="仿宋_GB2312" w:eastAsia="仿宋_GB2312" w:cs="仿宋_GB2312"/>
                <w:color w:val="auto"/>
                <w:spacing w:val="7"/>
                <w:sz w:val="20"/>
                <w:szCs w:val="20"/>
                <w:highlight w:val="none"/>
              </w:rPr>
              <w:t>1分；以此类推，直至扣完为</w:t>
            </w:r>
            <w:r>
              <w:rPr>
                <w:rFonts w:hint="eastAsia" w:ascii="仿宋_GB2312" w:hAnsi="仿宋_GB2312" w:eastAsia="仿宋_GB2312" w:cs="仿宋_GB2312"/>
                <w:color w:val="auto"/>
                <w:spacing w:val="4"/>
                <w:sz w:val="20"/>
                <w:szCs w:val="20"/>
                <w:highlight w:val="none"/>
              </w:rPr>
              <w:t>止。（10分）</w:t>
            </w:r>
          </w:p>
        </w:tc>
        <w:tc>
          <w:tcPr>
            <w:tcW w:w="754" w:type="dxa"/>
            <w:vAlign w:val="top"/>
          </w:tcPr>
          <w:p w14:paraId="4E6D4D4B">
            <w:pPr>
              <w:rPr>
                <w:rFonts w:hint="eastAsia" w:ascii="仿宋_GB2312" w:hAnsi="仿宋_GB2312" w:eastAsia="仿宋_GB2312" w:cs="仿宋_GB2312"/>
                <w:color w:val="auto"/>
                <w:sz w:val="21"/>
                <w:highlight w:val="none"/>
              </w:rPr>
            </w:pPr>
          </w:p>
        </w:tc>
      </w:tr>
      <w:tr w14:paraId="6A2E6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132" w:type="dxa"/>
            <w:vMerge w:val="restart"/>
            <w:tcBorders>
              <w:bottom w:val="nil"/>
            </w:tcBorders>
            <w:vAlign w:val="top"/>
          </w:tcPr>
          <w:p w14:paraId="6F769493">
            <w:pPr>
              <w:spacing w:line="256" w:lineRule="auto"/>
              <w:rPr>
                <w:rFonts w:hint="eastAsia" w:ascii="仿宋_GB2312" w:hAnsi="仿宋_GB2312" w:eastAsia="仿宋_GB2312" w:cs="仿宋_GB2312"/>
                <w:color w:val="auto"/>
                <w:sz w:val="21"/>
                <w:highlight w:val="none"/>
              </w:rPr>
            </w:pPr>
          </w:p>
          <w:p w14:paraId="5FD88F2E">
            <w:pPr>
              <w:spacing w:line="256" w:lineRule="auto"/>
              <w:rPr>
                <w:rFonts w:hint="eastAsia" w:ascii="仿宋_GB2312" w:hAnsi="仿宋_GB2312" w:eastAsia="仿宋_GB2312" w:cs="仿宋_GB2312"/>
                <w:color w:val="auto"/>
                <w:sz w:val="21"/>
                <w:highlight w:val="none"/>
              </w:rPr>
            </w:pPr>
          </w:p>
          <w:p w14:paraId="09FF1885">
            <w:pPr>
              <w:spacing w:line="256" w:lineRule="auto"/>
              <w:rPr>
                <w:rFonts w:hint="eastAsia" w:ascii="仿宋_GB2312" w:hAnsi="仿宋_GB2312" w:eastAsia="仿宋_GB2312" w:cs="仿宋_GB2312"/>
                <w:color w:val="auto"/>
                <w:sz w:val="21"/>
                <w:highlight w:val="none"/>
              </w:rPr>
            </w:pPr>
          </w:p>
          <w:p w14:paraId="374E89B2">
            <w:pPr>
              <w:pStyle w:val="270"/>
              <w:spacing w:before="65" w:line="228" w:lineRule="auto"/>
              <w:ind w:left="11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河道岸坡</w:t>
            </w:r>
          </w:p>
        </w:tc>
        <w:tc>
          <w:tcPr>
            <w:tcW w:w="1287" w:type="dxa"/>
            <w:vMerge w:val="restart"/>
            <w:tcBorders>
              <w:bottom w:val="nil"/>
            </w:tcBorders>
            <w:vAlign w:val="top"/>
          </w:tcPr>
          <w:p w14:paraId="545A25E7">
            <w:pPr>
              <w:spacing w:line="458" w:lineRule="auto"/>
              <w:rPr>
                <w:rFonts w:hint="eastAsia" w:ascii="仿宋_GB2312" w:hAnsi="仿宋_GB2312" w:eastAsia="仿宋_GB2312" w:cs="仿宋_GB2312"/>
                <w:color w:val="auto"/>
                <w:sz w:val="21"/>
                <w:highlight w:val="none"/>
              </w:rPr>
            </w:pPr>
          </w:p>
          <w:p w14:paraId="1327FEA7">
            <w:pPr>
              <w:pStyle w:val="270"/>
              <w:spacing w:before="65" w:line="289" w:lineRule="auto"/>
              <w:ind w:left="112" w:right="96" w:hanging="1"/>
              <w:jc w:val="both"/>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河道岸坡垃圾、杂物清</w:t>
            </w:r>
            <w:r>
              <w:rPr>
                <w:rFonts w:hint="eastAsia" w:ascii="仿宋_GB2312" w:hAnsi="仿宋_GB2312" w:eastAsia="仿宋_GB2312" w:cs="仿宋_GB2312"/>
                <w:color w:val="auto"/>
                <w:spacing w:val="1"/>
                <w:sz w:val="20"/>
                <w:szCs w:val="20"/>
                <w:highlight w:val="none"/>
              </w:rPr>
              <w:t>理（20分）</w:t>
            </w:r>
          </w:p>
        </w:tc>
        <w:tc>
          <w:tcPr>
            <w:tcW w:w="2513" w:type="dxa"/>
            <w:vAlign w:val="top"/>
          </w:tcPr>
          <w:p w14:paraId="6A4AE2FE">
            <w:pPr>
              <w:pStyle w:val="270"/>
              <w:spacing w:before="53" w:line="228" w:lineRule="auto"/>
              <w:ind w:left="114"/>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水闸管理范围内岸坡无</w:t>
            </w:r>
          </w:p>
          <w:p w14:paraId="09D646A4">
            <w:pPr>
              <w:pStyle w:val="270"/>
              <w:spacing w:before="65" w:line="261" w:lineRule="auto"/>
              <w:ind w:left="110" w:right="107" w:firstLine="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垃圾、杂物等现象，坡面</w:t>
            </w:r>
            <w:r>
              <w:rPr>
                <w:rFonts w:hint="eastAsia" w:ascii="仿宋_GB2312" w:hAnsi="仿宋_GB2312" w:eastAsia="仿宋_GB2312" w:cs="仿宋_GB2312"/>
                <w:color w:val="auto"/>
                <w:spacing w:val="3"/>
                <w:sz w:val="20"/>
                <w:szCs w:val="20"/>
                <w:highlight w:val="none"/>
              </w:rPr>
              <w:t>干净。</w:t>
            </w:r>
          </w:p>
        </w:tc>
        <w:tc>
          <w:tcPr>
            <w:tcW w:w="960" w:type="dxa"/>
            <w:vAlign w:val="top"/>
          </w:tcPr>
          <w:p w14:paraId="1D056698">
            <w:pPr>
              <w:spacing w:line="298" w:lineRule="auto"/>
              <w:rPr>
                <w:rFonts w:hint="eastAsia" w:ascii="仿宋_GB2312" w:hAnsi="仿宋_GB2312" w:eastAsia="仿宋_GB2312" w:cs="仿宋_GB2312"/>
                <w:color w:val="auto"/>
                <w:sz w:val="21"/>
                <w:highlight w:val="none"/>
              </w:rPr>
            </w:pPr>
          </w:p>
          <w:p w14:paraId="26482203">
            <w:pPr>
              <w:pStyle w:val="270"/>
              <w:spacing w:before="65" w:line="269" w:lineRule="exact"/>
              <w:ind w:left="39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position w:val="1"/>
                <w:sz w:val="20"/>
                <w:szCs w:val="20"/>
                <w:highlight w:val="none"/>
              </w:rPr>
              <w:t>10</w:t>
            </w:r>
          </w:p>
        </w:tc>
        <w:tc>
          <w:tcPr>
            <w:tcW w:w="2956" w:type="dxa"/>
            <w:vAlign w:val="top"/>
          </w:tcPr>
          <w:p w14:paraId="1A85A4FE">
            <w:pPr>
              <w:pStyle w:val="270"/>
              <w:spacing w:before="53" w:line="270" w:lineRule="auto"/>
              <w:ind w:left="114" w:right="116" w:firstLine="2"/>
              <w:jc w:val="both"/>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9"/>
                <w:sz w:val="20"/>
                <w:szCs w:val="20"/>
                <w:highlight w:val="none"/>
              </w:rPr>
              <w:t>如不符合要求：每发现一处扣</w:t>
            </w:r>
            <w:r>
              <w:rPr>
                <w:rFonts w:hint="eastAsia" w:ascii="仿宋_GB2312" w:hAnsi="仿宋_GB2312" w:eastAsia="仿宋_GB2312" w:cs="仿宋_GB2312"/>
                <w:color w:val="auto"/>
                <w:spacing w:val="7"/>
                <w:sz w:val="20"/>
                <w:szCs w:val="20"/>
                <w:highlight w:val="none"/>
              </w:rPr>
              <w:t>1分，以此类推，直至扣完为</w:t>
            </w:r>
            <w:r>
              <w:rPr>
                <w:rFonts w:hint="eastAsia" w:ascii="仿宋_GB2312" w:hAnsi="仿宋_GB2312" w:eastAsia="仿宋_GB2312" w:cs="仿宋_GB2312"/>
                <w:color w:val="auto"/>
                <w:spacing w:val="4"/>
                <w:sz w:val="20"/>
                <w:szCs w:val="20"/>
                <w:highlight w:val="none"/>
              </w:rPr>
              <w:t>止。（10分）</w:t>
            </w:r>
          </w:p>
        </w:tc>
        <w:tc>
          <w:tcPr>
            <w:tcW w:w="754" w:type="dxa"/>
            <w:vAlign w:val="top"/>
          </w:tcPr>
          <w:p w14:paraId="4B00356E">
            <w:pPr>
              <w:rPr>
                <w:rFonts w:hint="eastAsia" w:ascii="仿宋_GB2312" w:hAnsi="仿宋_GB2312" w:eastAsia="仿宋_GB2312" w:cs="仿宋_GB2312"/>
                <w:color w:val="auto"/>
                <w:sz w:val="21"/>
                <w:highlight w:val="none"/>
              </w:rPr>
            </w:pPr>
          </w:p>
        </w:tc>
      </w:tr>
      <w:tr w14:paraId="3A2E8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32" w:type="dxa"/>
            <w:vMerge w:val="continue"/>
            <w:tcBorders>
              <w:top w:val="nil"/>
            </w:tcBorders>
            <w:vAlign w:val="top"/>
          </w:tcPr>
          <w:p w14:paraId="5FAF6277">
            <w:pPr>
              <w:rPr>
                <w:rFonts w:hint="eastAsia" w:ascii="仿宋_GB2312" w:hAnsi="仿宋_GB2312" w:eastAsia="仿宋_GB2312" w:cs="仿宋_GB2312"/>
                <w:color w:val="auto"/>
                <w:sz w:val="21"/>
                <w:highlight w:val="none"/>
              </w:rPr>
            </w:pPr>
          </w:p>
        </w:tc>
        <w:tc>
          <w:tcPr>
            <w:tcW w:w="1287" w:type="dxa"/>
            <w:vMerge w:val="continue"/>
            <w:tcBorders>
              <w:top w:val="nil"/>
            </w:tcBorders>
            <w:vAlign w:val="top"/>
          </w:tcPr>
          <w:p w14:paraId="0B39D2D4">
            <w:pPr>
              <w:rPr>
                <w:rFonts w:hint="eastAsia" w:ascii="仿宋_GB2312" w:hAnsi="仿宋_GB2312" w:eastAsia="仿宋_GB2312" w:cs="仿宋_GB2312"/>
                <w:color w:val="auto"/>
                <w:sz w:val="21"/>
                <w:highlight w:val="none"/>
              </w:rPr>
            </w:pPr>
          </w:p>
        </w:tc>
        <w:tc>
          <w:tcPr>
            <w:tcW w:w="2513" w:type="dxa"/>
            <w:vAlign w:val="top"/>
          </w:tcPr>
          <w:p w14:paraId="6C94A209">
            <w:pPr>
              <w:pStyle w:val="270"/>
              <w:spacing w:before="52" w:line="270" w:lineRule="auto"/>
              <w:ind w:left="110" w:right="107"/>
              <w:jc w:val="both"/>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清理的垃圾、杂物等运至河道管理范围外，进行妥</w:t>
            </w:r>
            <w:r>
              <w:rPr>
                <w:rFonts w:hint="eastAsia" w:ascii="仿宋_GB2312" w:hAnsi="仿宋_GB2312" w:eastAsia="仿宋_GB2312" w:cs="仿宋_GB2312"/>
                <w:color w:val="auto"/>
                <w:spacing w:val="5"/>
                <w:sz w:val="20"/>
                <w:szCs w:val="20"/>
                <w:highlight w:val="none"/>
              </w:rPr>
              <w:t>善处理。</w:t>
            </w:r>
          </w:p>
        </w:tc>
        <w:tc>
          <w:tcPr>
            <w:tcW w:w="960" w:type="dxa"/>
            <w:vAlign w:val="top"/>
          </w:tcPr>
          <w:p w14:paraId="14F109BF">
            <w:pPr>
              <w:spacing w:line="298" w:lineRule="auto"/>
              <w:rPr>
                <w:rFonts w:hint="eastAsia" w:ascii="仿宋_GB2312" w:hAnsi="仿宋_GB2312" w:eastAsia="仿宋_GB2312" w:cs="仿宋_GB2312"/>
                <w:color w:val="auto"/>
                <w:sz w:val="21"/>
                <w:highlight w:val="none"/>
              </w:rPr>
            </w:pPr>
          </w:p>
          <w:p w14:paraId="39240EEB">
            <w:pPr>
              <w:pStyle w:val="270"/>
              <w:spacing w:before="65" w:line="268" w:lineRule="exact"/>
              <w:ind w:left="39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position w:val="1"/>
                <w:sz w:val="20"/>
                <w:szCs w:val="20"/>
                <w:highlight w:val="none"/>
              </w:rPr>
              <w:t>10</w:t>
            </w:r>
          </w:p>
        </w:tc>
        <w:tc>
          <w:tcPr>
            <w:tcW w:w="2956" w:type="dxa"/>
            <w:vAlign w:val="top"/>
          </w:tcPr>
          <w:p w14:paraId="36060A44">
            <w:pPr>
              <w:pStyle w:val="270"/>
              <w:spacing w:before="52" w:line="270" w:lineRule="auto"/>
              <w:ind w:left="114" w:right="116" w:firstLine="2"/>
              <w:jc w:val="both"/>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9"/>
                <w:sz w:val="20"/>
                <w:szCs w:val="20"/>
                <w:highlight w:val="none"/>
              </w:rPr>
              <w:t>如不符合要求：每发现一处扣</w:t>
            </w:r>
            <w:r>
              <w:rPr>
                <w:rFonts w:hint="eastAsia" w:ascii="仿宋_GB2312" w:hAnsi="仿宋_GB2312" w:eastAsia="仿宋_GB2312" w:cs="仿宋_GB2312"/>
                <w:color w:val="auto"/>
                <w:spacing w:val="7"/>
                <w:sz w:val="20"/>
                <w:szCs w:val="20"/>
                <w:highlight w:val="none"/>
              </w:rPr>
              <w:t>1分，以此类推，直至扣完为</w:t>
            </w:r>
            <w:r>
              <w:rPr>
                <w:rFonts w:hint="eastAsia" w:ascii="仿宋_GB2312" w:hAnsi="仿宋_GB2312" w:eastAsia="仿宋_GB2312" w:cs="仿宋_GB2312"/>
                <w:color w:val="auto"/>
                <w:spacing w:val="4"/>
                <w:sz w:val="20"/>
                <w:szCs w:val="20"/>
                <w:highlight w:val="none"/>
              </w:rPr>
              <w:t>止。（10分）</w:t>
            </w:r>
          </w:p>
        </w:tc>
        <w:tc>
          <w:tcPr>
            <w:tcW w:w="754" w:type="dxa"/>
            <w:vAlign w:val="top"/>
          </w:tcPr>
          <w:p w14:paraId="5B6454F3">
            <w:pPr>
              <w:rPr>
                <w:rFonts w:hint="eastAsia" w:ascii="仿宋_GB2312" w:hAnsi="仿宋_GB2312" w:eastAsia="仿宋_GB2312" w:cs="仿宋_GB2312"/>
                <w:color w:val="auto"/>
                <w:sz w:val="21"/>
                <w:highlight w:val="none"/>
              </w:rPr>
            </w:pPr>
          </w:p>
        </w:tc>
      </w:tr>
      <w:tr w14:paraId="40404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32" w:type="dxa"/>
            <w:vAlign w:val="top"/>
          </w:tcPr>
          <w:p w14:paraId="09F1134C">
            <w:pPr>
              <w:spacing w:line="453" w:lineRule="auto"/>
              <w:rPr>
                <w:rFonts w:hint="eastAsia" w:ascii="仿宋_GB2312" w:hAnsi="仿宋_GB2312" w:eastAsia="仿宋_GB2312" w:cs="仿宋_GB2312"/>
                <w:color w:val="auto"/>
                <w:sz w:val="21"/>
                <w:highlight w:val="none"/>
              </w:rPr>
            </w:pPr>
          </w:p>
          <w:p w14:paraId="3C5CC7D4">
            <w:pPr>
              <w:pStyle w:val="270"/>
              <w:spacing w:before="65" w:line="228" w:lineRule="auto"/>
              <w:ind w:left="120"/>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6"/>
                <w:sz w:val="20"/>
                <w:szCs w:val="20"/>
                <w:highlight w:val="none"/>
              </w:rPr>
              <w:t>安全生产</w:t>
            </w:r>
          </w:p>
        </w:tc>
        <w:tc>
          <w:tcPr>
            <w:tcW w:w="1287" w:type="dxa"/>
            <w:vAlign w:val="top"/>
          </w:tcPr>
          <w:p w14:paraId="68AF8D58">
            <w:pPr>
              <w:spacing w:line="298" w:lineRule="auto"/>
              <w:rPr>
                <w:rFonts w:hint="eastAsia" w:ascii="仿宋_GB2312" w:hAnsi="仿宋_GB2312" w:eastAsia="仿宋_GB2312" w:cs="仿宋_GB2312"/>
                <w:color w:val="auto"/>
                <w:sz w:val="21"/>
                <w:highlight w:val="none"/>
              </w:rPr>
            </w:pPr>
          </w:p>
          <w:p w14:paraId="4BA16AC6">
            <w:pPr>
              <w:pStyle w:val="270"/>
              <w:spacing w:before="65" w:line="290" w:lineRule="auto"/>
              <w:ind w:left="121" w:right="340" w:hanging="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6"/>
                <w:sz w:val="20"/>
                <w:szCs w:val="20"/>
                <w:highlight w:val="none"/>
              </w:rPr>
              <w:t>安全生产</w:t>
            </w:r>
            <w:r>
              <w:rPr>
                <w:rFonts w:hint="eastAsia" w:ascii="仿宋_GB2312" w:hAnsi="仿宋_GB2312" w:eastAsia="仿宋_GB2312" w:cs="仿宋_GB2312"/>
                <w:color w:val="auto"/>
                <w:spacing w:val="1"/>
                <w:sz w:val="20"/>
                <w:szCs w:val="20"/>
                <w:highlight w:val="none"/>
              </w:rPr>
              <w:t>（10分)</w:t>
            </w:r>
          </w:p>
        </w:tc>
        <w:tc>
          <w:tcPr>
            <w:tcW w:w="2513" w:type="dxa"/>
            <w:vAlign w:val="top"/>
          </w:tcPr>
          <w:p w14:paraId="543EC84E">
            <w:pPr>
              <w:pStyle w:val="270"/>
              <w:spacing w:before="53" w:line="228" w:lineRule="auto"/>
              <w:ind w:left="11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使用船只时严格按操作</w:t>
            </w:r>
          </w:p>
          <w:p w14:paraId="33345452">
            <w:pPr>
              <w:pStyle w:val="270"/>
              <w:spacing w:before="64" w:line="228" w:lineRule="auto"/>
              <w:ind w:left="11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规程和使用方法进行作</w:t>
            </w:r>
          </w:p>
          <w:p w14:paraId="3824BAF7">
            <w:pPr>
              <w:pStyle w:val="270"/>
              <w:spacing w:before="66" w:line="260" w:lineRule="auto"/>
              <w:ind w:left="115" w:right="107" w:hanging="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业，应穿戴救生衣，做好</w:t>
            </w:r>
            <w:r>
              <w:rPr>
                <w:rFonts w:hint="eastAsia" w:ascii="仿宋_GB2312" w:hAnsi="仿宋_GB2312" w:eastAsia="仿宋_GB2312" w:cs="仿宋_GB2312"/>
                <w:color w:val="auto"/>
                <w:spacing w:val="5"/>
                <w:sz w:val="20"/>
                <w:szCs w:val="20"/>
                <w:highlight w:val="none"/>
              </w:rPr>
              <w:t>安全防护。</w:t>
            </w:r>
          </w:p>
        </w:tc>
        <w:tc>
          <w:tcPr>
            <w:tcW w:w="960" w:type="dxa"/>
            <w:vAlign w:val="top"/>
          </w:tcPr>
          <w:p w14:paraId="57FA1722">
            <w:pPr>
              <w:spacing w:line="453" w:lineRule="auto"/>
              <w:rPr>
                <w:rFonts w:hint="eastAsia" w:ascii="仿宋_GB2312" w:hAnsi="仿宋_GB2312" w:eastAsia="仿宋_GB2312" w:cs="仿宋_GB2312"/>
                <w:color w:val="auto"/>
                <w:sz w:val="21"/>
                <w:highlight w:val="none"/>
              </w:rPr>
            </w:pPr>
          </w:p>
          <w:p w14:paraId="61F80AA4">
            <w:pPr>
              <w:pStyle w:val="270"/>
              <w:spacing w:before="65" w:line="269" w:lineRule="exact"/>
              <w:ind w:left="39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position w:val="1"/>
                <w:sz w:val="20"/>
                <w:szCs w:val="20"/>
                <w:highlight w:val="none"/>
              </w:rPr>
              <w:t>10</w:t>
            </w:r>
          </w:p>
        </w:tc>
        <w:tc>
          <w:tcPr>
            <w:tcW w:w="2956" w:type="dxa"/>
            <w:vAlign w:val="top"/>
          </w:tcPr>
          <w:p w14:paraId="5A2441B4">
            <w:pPr>
              <w:pStyle w:val="270"/>
              <w:spacing w:before="54" w:line="274" w:lineRule="auto"/>
              <w:ind w:left="113" w:right="103"/>
              <w:jc w:val="both"/>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9"/>
                <w:sz w:val="20"/>
                <w:szCs w:val="20"/>
                <w:highlight w:val="none"/>
              </w:rPr>
              <w:t>在使用的过程当中未按操作规程作业的、未穿戴救生衣等安</w:t>
            </w:r>
            <w:r>
              <w:rPr>
                <w:rFonts w:hint="eastAsia" w:ascii="仿宋_GB2312" w:hAnsi="仿宋_GB2312" w:eastAsia="仿宋_GB2312" w:cs="仿宋_GB2312"/>
                <w:color w:val="auto"/>
                <w:spacing w:val="-7"/>
                <w:sz w:val="20"/>
                <w:szCs w:val="20"/>
                <w:highlight w:val="none"/>
              </w:rPr>
              <w:t>全设施，缺少一项扣2分。（10</w:t>
            </w:r>
            <w:r>
              <w:rPr>
                <w:rFonts w:hint="eastAsia" w:ascii="仿宋_GB2312" w:hAnsi="仿宋_GB2312" w:eastAsia="仿宋_GB2312" w:cs="仿宋_GB2312"/>
                <w:color w:val="auto"/>
                <w:sz w:val="20"/>
                <w:szCs w:val="20"/>
                <w:highlight w:val="none"/>
              </w:rPr>
              <w:t>分）</w:t>
            </w:r>
          </w:p>
        </w:tc>
        <w:tc>
          <w:tcPr>
            <w:tcW w:w="754" w:type="dxa"/>
            <w:vAlign w:val="top"/>
          </w:tcPr>
          <w:p w14:paraId="6B493155">
            <w:pPr>
              <w:rPr>
                <w:rFonts w:hint="eastAsia" w:ascii="仿宋_GB2312" w:hAnsi="仿宋_GB2312" w:eastAsia="仿宋_GB2312" w:cs="仿宋_GB2312"/>
                <w:color w:val="auto"/>
                <w:sz w:val="21"/>
                <w:highlight w:val="none"/>
              </w:rPr>
            </w:pPr>
          </w:p>
        </w:tc>
      </w:tr>
      <w:tr w14:paraId="5EBE5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132" w:type="dxa"/>
            <w:vAlign w:val="top"/>
          </w:tcPr>
          <w:p w14:paraId="6CC4E6AA">
            <w:pPr>
              <w:spacing w:line="254" w:lineRule="auto"/>
              <w:rPr>
                <w:rFonts w:hint="eastAsia" w:ascii="仿宋_GB2312" w:hAnsi="仿宋_GB2312" w:eastAsia="仿宋_GB2312" w:cs="仿宋_GB2312"/>
                <w:color w:val="auto"/>
                <w:sz w:val="21"/>
                <w:highlight w:val="none"/>
              </w:rPr>
            </w:pPr>
          </w:p>
          <w:p w14:paraId="54397B08">
            <w:pPr>
              <w:spacing w:line="255" w:lineRule="auto"/>
              <w:rPr>
                <w:rFonts w:hint="eastAsia" w:ascii="仿宋_GB2312" w:hAnsi="仿宋_GB2312" w:eastAsia="仿宋_GB2312" w:cs="仿宋_GB2312"/>
                <w:color w:val="auto"/>
                <w:sz w:val="21"/>
                <w:highlight w:val="none"/>
              </w:rPr>
            </w:pPr>
          </w:p>
          <w:p w14:paraId="730824ED">
            <w:pPr>
              <w:spacing w:line="255" w:lineRule="auto"/>
              <w:rPr>
                <w:rFonts w:hint="eastAsia" w:ascii="仿宋_GB2312" w:hAnsi="仿宋_GB2312" w:eastAsia="仿宋_GB2312" w:cs="仿宋_GB2312"/>
                <w:color w:val="auto"/>
                <w:sz w:val="21"/>
                <w:highlight w:val="none"/>
              </w:rPr>
            </w:pPr>
          </w:p>
          <w:p w14:paraId="585198EA">
            <w:pPr>
              <w:pStyle w:val="270"/>
              <w:spacing w:before="65" w:line="228" w:lineRule="auto"/>
              <w:ind w:left="117"/>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养护工期</w:t>
            </w:r>
          </w:p>
        </w:tc>
        <w:tc>
          <w:tcPr>
            <w:tcW w:w="1287" w:type="dxa"/>
            <w:vAlign w:val="top"/>
          </w:tcPr>
          <w:p w14:paraId="2F3560F3">
            <w:pPr>
              <w:spacing w:line="304" w:lineRule="auto"/>
              <w:rPr>
                <w:rFonts w:hint="eastAsia" w:ascii="仿宋_GB2312" w:hAnsi="仿宋_GB2312" w:eastAsia="仿宋_GB2312" w:cs="仿宋_GB2312"/>
                <w:color w:val="auto"/>
                <w:sz w:val="21"/>
                <w:highlight w:val="none"/>
              </w:rPr>
            </w:pPr>
          </w:p>
          <w:p w14:paraId="7F5EED37">
            <w:pPr>
              <w:spacing w:line="304" w:lineRule="auto"/>
              <w:rPr>
                <w:rFonts w:hint="eastAsia" w:ascii="仿宋_GB2312" w:hAnsi="仿宋_GB2312" w:eastAsia="仿宋_GB2312" w:cs="仿宋_GB2312"/>
                <w:color w:val="auto"/>
                <w:sz w:val="21"/>
                <w:highlight w:val="none"/>
              </w:rPr>
            </w:pPr>
          </w:p>
          <w:p w14:paraId="2E63E481">
            <w:pPr>
              <w:pStyle w:val="270"/>
              <w:spacing w:before="65" w:line="290" w:lineRule="auto"/>
              <w:ind w:left="128" w:right="96" w:hanging="1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sz w:val="20"/>
                <w:szCs w:val="20"/>
                <w:highlight w:val="none"/>
              </w:rPr>
              <w:t>养护完成时</w:t>
            </w:r>
            <w:r>
              <w:rPr>
                <w:rFonts w:hint="eastAsia" w:ascii="仿宋_GB2312" w:hAnsi="仿宋_GB2312" w:eastAsia="仿宋_GB2312" w:cs="仿宋_GB2312"/>
                <w:color w:val="auto"/>
                <w:spacing w:val="-1"/>
                <w:sz w:val="20"/>
                <w:szCs w:val="20"/>
                <w:highlight w:val="none"/>
              </w:rPr>
              <w:t>间（10分）</w:t>
            </w:r>
          </w:p>
        </w:tc>
        <w:tc>
          <w:tcPr>
            <w:tcW w:w="2513" w:type="dxa"/>
            <w:vAlign w:val="top"/>
          </w:tcPr>
          <w:p w14:paraId="28DB154C">
            <w:pPr>
              <w:spacing w:line="304" w:lineRule="auto"/>
              <w:rPr>
                <w:rFonts w:hint="eastAsia" w:ascii="仿宋_GB2312" w:hAnsi="仿宋_GB2312" w:eastAsia="仿宋_GB2312" w:cs="仿宋_GB2312"/>
                <w:color w:val="auto"/>
                <w:sz w:val="21"/>
                <w:highlight w:val="none"/>
              </w:rPr>
            </w:pPr>
          </w:p>
          <w:p w14:paraId="6E8CF209">
            <w:pPr>
              <w:spacing w:line="304" w:lineRule="auto"/>
              <w:rPr>
                <w:rFonts w:hint="eastAsia" w:ascii="仿宋_GB2312" w:hAnsi="仿宋_GB2312" w:eastAsia="仿宋_GB2312" w:cs="仿宋_GB2312"/>
                <w:color w:val="auto"/>
                <w:sz w:val="21"/>
                <w:highlight w:val="none"/>
              </w:rPr>
            </w:pPr>
          </w:p>
          <w:p w14:paraId="7FA60F2F">
            <w:pPr>
              <w:pStyle w:val="270"/>
              <w:spacing w:before="65" w:line="296" w:lineRule="auto"/>
              <w:ind w:left="110" w:right="306" w:firstLine="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8"/>
                <w:sz w:val="20"/>
                <w:szCs w:val="20"/>
                <w:highlight w:val="none"/>
              </w:rPr>
              <w:t>按规定时间完成养护作</w:t>
            </w:r>
            <w:r>
              <w:rPr>
                <w:rFonts w:hint="eastAsia" w:ascii="仿宋_GB2312" w:hAnsi="仿宋_GB2312" w:eastAsia="仿宋_GB2312" w:cs="仿宋_GB2312"/>
                <w:color w:val="auto"/>
                <w:sz w:val="20"/>
                <w:szCs w:val="20"/>
                <w:highlight w:val="none"/>
              </w:rPr>
              <w:t>业。</w:t>
            </w:r>
          </w:p>
        </w:tc>
        <w:tc>
          <w:tcPr>
            <w:tcW w:w="960" w:type="dxa"/>
            <w:vAlign w:val="top"/>
          </w:tcPr>
          <w:p w14:paraId="75CAC7C6">
            <w:pPr>
              <w:spacing w:line="254" w:lineRule="auto"/>
              <w:rPr>
                <w:rFonts w:hint="eastAsia" w:ascii="仿宋_GB2312" w:hAnsi="仿宋_GB2312" w:eastAsia="仿宋_GB2312" w:cs="仿宋_GB2312"/>
                <w:color w:val="auto"/>
                <w:sz w:val="21"/>
                <w:highlight w:val="none"/>
              </w:rPr>
            </w:pPr>
          </w:p>
          <w:p w14:paraId="1513F5C9">
            <w:pPr>
              <w:spacing w:line="255" w:lineRule="auto"/>
              <w:rPr>
                <w:rFonts w:hint="eastAsia" w:ascii="仿宋_GB2312" w:hAnsi="仿宋_GB2312" w:eastAsia="仿宋_GB2312" w:cs="仿宋_GB2312"/>
                <w:color w:val="auto"/>
                <w:sz w:val="21"/>
                <w:highlight w:val="none"/>
              </w:rPr>
            </w:pPr>
          </w:p>
          <w:p w14:paraId="681B1F61">
            <w:pPr>
              <w:spacing w:line="255" w:lineRule="auto"/>
              <w:rPr>
                <w:rFonts w:hint="eastAsia" w:ascii="仿宋_GB2312" w:hAnsi="仿宋_GB2312" w:eastAsia="仿宋_GB2312" w:cs="仿宋_GB2312"/>
                <w:color w:val="auto"/>
                <w:sz w:val="21"/>
                <w:highlight w:val="none"/>
              </w:rPr>
            </w:pPr>
          </w:p>
          <w:p w14:paraId="382E4F01">
            <w:pPr>
              <w:pStyle w:val="270"/>
              <w:spacing w:before="65" w:line="269" w:lineRule="exact"/>
              <w:ind w:left="395"/>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7"/>
                <w:position w:val="1"/>
                <w:sz w:val="20"/>
                <w:szCs w:val="20"/>
                <w:highlight w:val="none"/>
              </w:rPr>
              <w:t>10</w:t>
            </w:r>
          </w:p>
        </w:tc>
        <w:tc>
          <w:tcPr>
            <w:tcW w:w="2956" w:type="dxa"/>
            <w:vAlign w:val="top"/>
          </w:tcPr>
          <w:p w14:paraId="5D67C7F9">
            <w:pPr>
              <w:pStyle w:val="270"/>
              <w:spacing w:before="52" w:line="279" w:lineRule="auto"/>
              <w:ind w:left="113" w:right="16" w:firstLine="2"/>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pacing w:val="9"/>
                <w:sz w:val="20"/>
                <w:szCs w:val="20"/>
                <w:highlight w:val="none"/>
              </w:rPr>
              <w:t>按规定时间完成的不扣分，超</w:t>
            </w:r>
            <w:r>
              <w:rPr>
                <w:rFonts w:hint="eastAsia" w:ascii="仿宋_GB2312" w:hAnsi="仿宋_GB2312" w:eastAsia="仿宋_GB2312" w:cs="仿宋_GB2312"/>
                <w:color w:val="auto"/>
                <w:spacing w:val="-5"/>
                <w:sz w:val="20"/>
                <w:szCs w:val="20"/>
                <w:highlight w:val="none"/>
              </w:rPr>
              <w:t>期完成扣分，直到扣完为止（因</w:t>
            </w:r>
            <w:r>
              <w:rPr>
                <w:rFonts w:hint="eastAsia" w:ascii="仿宋_GB2312" w:hAnsi="仿宋_GB2312" w:eastAsia="仿宋_GB2312" w:cs="仿宋_GB2312"/>
                <w:color w:val="auto"/>
                <w:spacing w:val="10"/>
                <w:sz w:val="20"/>
                <w:szCs w:val="20"/>
                <w:highlight w:val="none"/>
              </w:rPr>
              <w:t>雨天及不可抗力顺延计算）。</w:t>
            </w:r>
            <w:r>
              <w:rPr>
                <w:rFonts w:hint="eastAsia" w:ascii="仿宋_GB2312" w:hAnsi="仿宋_GB2312" w:eastAsia="仿宋_GB2312" w:cs="仿宋_GB2312"/>
                <w:color w:val="auto"/>
                <w:spacing w:val="1"/>
                <w:sz w:val="20"/>
                <w:szCs w:val="20"/>
                <w:highlight w:val="none"/>
              </w:rPr>
              <w:t>超工期1天扣1分；超工期2</w:t>
            </w:r>
            <w:r>
              <w:rPr>
                <w:rFonts w:hint="eastAsia" w:ascii="仿宋_GB2312" w:hAnsi="仿宋_GB2312" w:eastAsia="仿宋_GB2312" w:cs="仿宋_GB2312"/>
                <w:color w:val="auto"/>
                <w:spacing w:val="-5"/>
                <w:sz w:val="20"/>
                <w:szCs w:val="20"/>
                <w:highlight w:val="none"/>
              </w:rPr>
              <w:t>天扣3分；超工期3天扣5分；</w:t>
            </w:r>
            <w:r>
              <w:rPr>
                <w:rFonts w:hint="eastAsia" w:ascii="仿宋_GB2312" w:hAnsi="仿宋_GB2312" w:eastAsia="仿宋_GB2312" w:cs="仿宋_GB2312"/>
                <w:color w:val="auto"/>
                <w:spacing w:val="-1"/>
                <w:sz w:val="20"/>
                <w:szCs w:val="20"/>
                <w:highlight w:val="none"/>
              </w:rPr>
              <w:t>超工期4天扣10分。（10分）</w:t>
            </w:r>
          </w:p>
        </w:tc>
        <w:tc>
          <w:tcPr>
            <w:tcW w:w="754" w:type="dxa"/>
            <w:vAlign w:val="top"/>
          </w:tcPr>
          <w:p w14:paraId="6D4A485A">
            <w:pPr>
              <w:rPr>
                <w:rFonts w:hint="eastAsia" w:ascii="仿宋_GB2312" w:hAnsi="仿宋_GB2312" w:eastAsia="仿宋_GB2312" w:cs="仿宋_GB2312"/>
                <w:color w:val="auto"/>
                <w:sz w:val="21"/>
                <w:highlight w:val="none"/>
              </w:rPr>
            </w:pPr>
          </w:p>
        </w:tc>
      </w:tr>
      <w:tr w14:paraId="799A1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602" w:type="dxa"/>
            <w:gridSpan w:val="6"/>
            <w:vAlign w:val="top"/>
          </w:tcPr>
          <w:p w14:paraId="4CF037D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eastAsia" w:ascii="仿宋_GB2312" w:hAnsi="仿宋_GB2312" w:eastAsia="仿宋_GB2312" w:cs="仿宋_GB2312"/>
                <w:bCs/>
                <w:color w:val="auto"/>
                <w:kern w:val="0"/>
                <w:sz w:val="21"/>
                <w:szCs w:val="21"/>
                <w:highlight w:val="none"/>
                <w:lang w:val="en-US" w:eastAsia="zh-CN" w:bidi="ar"/>
              </w:rPr>
            </w:pPr>
            <w:r>
              <w:rPr>
                <w:rFonts w:hint="eastAsia" w:ascii="仿宋_GB2312" w:hAnsi="仿宋_GB2312" w:eastAsia="仿宋_GB2312" w:cs="仿宋_GB2312"/>
                <w:bCs/>
                <w:color w:val="auto"/>
                <w:kern w:val="0"/>
                <w:sz w:val="21"/>
                <w:szCs w:val="21"/>
                <w:highlight w:val="none"/>
                <w:lang w:val="en-US" w:eastAsia="zh-CN" w:bidi="ar"/>
              </w:rPr>
              <w:t>验收得分率＝（验收得分/应得分）×100％</w:t>
            </w:r>
          </w:p>
          <w:p w14:paraId="13E03F54">
            <w:pPr>
              <w:rPr>
                <w:rFonts w:hint="eastAsia" w:ascii="仿宋_GB2312" w:hAnsi="仿宋_GB2312" w:eastAsia="仿宋_GB2312" w:cs="仿宋_GB2312"/>
                <w:color w:val="auto"/>
                <w:sz w:val="21"/>
                <w:highlight w:val="none"/>
              </w:rPr>
            </w:pPr>
            <w:r>
              <w:rPr>
                <w:rFonts w:hint="eastAsia" w:ascii="仿宋_GB2312" w:hAnsi="仿宋_GB2312" w:eastAsia="仿宋_GB2312" w:cs="仿宋_GB2312"/>
                <w:bCs/>
                <w:color w:val="auto"/>
                <w:kern w:val="0"/>
                <w:sz w:val="21"/>
                <w:szCs w:val="21"/>
                <w:highlight w:val="none"/>
                <w:lang w:val="en-US" w:eastAsia="zh-CN" w:bidi="ar"/>
              </w:rPr>
              <w:t>说明：局直各单位根据水闸实际工况，若出现合理缺项，该缺项可不进行赋分，应得分=标准分总分-合理缺项标准分。</w:t>
            </w:r>
          </w:p>
        </w:tc>
      </w:tr>
    </w:tbl>
    <w:p w14:paraId="08A517D6">
      <w:pPr>
        <w:spacing w:line="220" w:lineRule="auto"/>
        <w:rPr>
          <w:color w:val="auto"/>
          <w:sz w:val="28"/>
          <w:szCs w:val="28"/>
          <w:highlight w:val="none"/>
        </w:rPr>
        <w:sectPr>
          <w:headerReference r:id="rId10" w:type="default"/>
          <w:footerReference r:id="rId11" w:type="default"/>
          <w:pgSz w:w="11906" w:h="16839"/>
          <w:pgMar w:top="1166" w:right="1149" w:bottom="1194" w:left="1149" w:header="829" w:footer="978" w:gutter="0"/>
          <w:cols w:space="720" w:num="1"/>
        </w:sectPr>
      </w:pPr>
    </w:p>
    <w:p w14:paraId="11B2FCE4">
      <w:pPr>
        <w:spacing w:line="302" w:lineRule="auto"/>
        <w:rPr>
          <w:rFonts w:ascii="Arial"/>
          <w:color w:val="auto"/>
          <w:sz w:val="21"/>
          <w:highlight w:val="none"/>
        </w:rPr>
      </w:pPr>
    </w:p>
    <w:p w14:paraId="15FF0A49">
      <w:pPr>
        <w:spacing w:line="302" w:lineRule="auto"/>
        <w:rPr>
          <w:rFonts w:ascii="Arial"/>
          <w:color w:val="auto"/>
          <w:sz w:val="21"/>
          <w:highlight w:val="none"/>
        </w:rPr>
      </w:pPr>
    </w:p>
    <w:p w14:paraId="746131E1">
      <w:pPr>
        <w:jc w:val="center"/>
        <w:rPr>
          <w:rFonts w:hint="default" w:ascii="楷体" w:hAnsi="楷体" w:eastAsia="楷体" w:cs="Times New Roman"/>
          <w:b/>
          <w:bCs/>
          <w:color w:val="auto"/>
          <w:kern w:val="0"/>
          <w:sz w:val="52"/>
          <w:szCs w:val="52"/>
          <w:highlight w:val="none"/>
          <w:lang w:val="en-US" w:eastAsia="zh-CN" w:bidi="ar-SA"/>
        </w:rPr>
      </w:pPr>
      <w:r>
        <w:rPr>
          <w:rFonts w:hint="eastAsia" w:ascii="楷体" w:hAnsi="楷体" w:eastAsia="楷体" w:cs="Times New Roman"/>
          <w:b/>
          <w:bCs/>
          <w:color w:val="auto"/>
          <w:kern w:val="0"/>
          <w:sz w:val="52"/>
          <w:szCs w:val="52"/>
          <w:highlight w:val="none"/>
          <w:lang w:val="en-US" w:eastAsia="zh-CN" w:bidi="ar-SA"/>
        </w:rPr>
        <w:t>***水闸垃圾围闸治理</w:t>
      </w:r>
    </w:p>
    <w:p w14:paraId="04A1AB74">
      <w:pPr>
        <w:jc w:val="center"/>
        <w:rPr>
          <w:rFonts w:hint="eastAsia" w:ascii="楷体" w:hAnsi="楷体" w:eastAsia="楷体" w:cs="Times New Roman"/>
          <w:b/>
          <w:bCs/>
          <w:color w:val="auto"/>
          <w:kern w:val="0"/>
          <w:sz w:val="52"/>
          <w:szCs w:val="52"/>
          <w:highlight w:val="none"/>
          <w:lang w:val="en-US" w:eastAsia="zh-CN" w:bidi="ar-SA"/>
        </w:rPr>
      </w:pPr>
      <w:r>
        <w:rPr>
          <w:rFonts w:hint="eastAsia" w:ascii="楷体" w:hAnsi="楷体" w:eastAsia="楷体" w:cs="Times New Roman"/>
          <w:b/>
          <w:bCs/>
          <w:color w:val="auto"/>
          <w:kern w:val="0"/>
          <w:sz w:val="52"/>
          <w:szCs w:val="52"/>
          <w:highlight w:val="none"/>
          <w:lang w:val="en-US" w:eastAsia="zh-CN" w:bidi="ar-SA"/>
        </w:rPr>
        <w:t>第*次验收表</w:t>
      </w:r>
    </w:p>
    <w:p w14:paraId="0B4F88E4">
      <w:pPr>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项目名称：</w:t>
      </w:r>
      <w:r>
        <w:rPr>
          <w:rFonts w:hint="eastAsia" w:ascii="仿宋_GB2312" w:hAnsi="仿宋_GB2312" w:eastAsia="仿宋_GB2312" w:cs="仿宋_GB2312"/>
          <w:b/>
          <w:bCs/>
          <w:color w:val="auto"/>
          <w:sz w:val="24"/>
          <w:szCs w:val="24"/>
          <w:highlight w:val="none"/>
        </w:rPr>
        <w:t>************</w:t>
      </w:r>
    </w:p>
    <w:tbl>
      <w:tblPr>
        <w:tblStyle w:val="5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2"/>
        <w:gridCol w:w="2602"/>
        <w:gridCol w:w="1336"/>
        <w:gridCol w:w="2017"/>
      </w:tblGrid>
      <w:tr w14:paraId="15F4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942" w:type="dxa"/>
            <w:shd w:val="clear" w:color="auto" w:fill="auto"/>
            <w:vAlign w:val="center"/>
          </w:tcPr>
          <w:p w14:paraId="372ED961">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承包单位</w:t>
            </w:r>
          </w:p>
        </w:tc>
        <w:tc>
          <w:tcPr>
            <w:tcW w:w="2602" w:type="dxa"/>
            <w:shd w:val="clear" w:color="auto" w:fill="auto"/>
            <w:vAlign w:val="center"/>
          </w:tcPr>
          <w:p w14:paraId="6DED83BB">
            <w:pPr>
              <w:jc w:val="center"/>
              <w:rPr>
                <w:rFonts w:hint="eastAsia" w:ascii="仿宋_GB2312" w:hAnsi="仿宋_GB2312" w:eastAsia="仿宋_GB2312" w:cs="仿宋_GB2312"/>
                <w:bCs/>
                <w:color w:val="auto"/>
                <w:sz w:val="24"/>
                <w:szCs w:val="24"/>
                <w:highlight w:val="none"/>
                <w:lang w:val="en-US" w:eastAsia="zh-CN"/>
              </w:rPr>
            </w:pPr>
          </w:p>
        </w:tc>
        <w:tc>
          <w:tcPr>
            <w:tcW w:w="1336" w:type="dxa"/>
            <w:shd w:val="clear" w:color="auto" w:fill="auto"/>
            <w:vAlign w:val="center"/>
          </w:tcPr>
          <w:p w14:paraId="1571621F">
            <w:pPr>
              <w:jc w:val="center"/>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验收时间</w:t>
            </w:r>
          </w:p>
        </w:tc>
        <w:tc>
          <w:tcPr>
            <w:tcW w:w="2017" w:type="dxa"/>
            <w:vAlign w:val="center"/>
          </w:tcPr>
          <w:p w14:paraId="3B0706F2">
            <w:pPr>
              <w:jc w:val="center"/>
              <w:rPr>
                <w:rFonts w:hint="eastAsia" w:ascii="仿宋_GB2312" w:hAnsi="仿宋_GB2312" w:eastAsia="仿宋_GB2312" w:cs="仿宋_GB2312"/>
                <w:bCs/>
                <w:color w:val="auto"/>
                <w:sz w:val="24"/>
                <w:szCs w:val="24"/>
                <w:highlight w:val="none"/>
                <w:lang w:val="en-US" w:eastAsia="zh-CN"/>
              </w:rPr>
            </w:pPr>
          </w:p>
        </w:tc>
      </w:tr>
      <w:tr w14:paraId="630D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8897" w:type="dxa"/>
            <w:gridSpan w:val="4"/>
            <w:vAlign w:val="center"/>
          </w:tcPr>
          <w:p w14:paraId="16D116B3">
            <w:pPr>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t>20xx年  月  日，进场作业**工人，进场**机械，共完成**个有效工日。</w:t>
            </w:r>
          </w:p>
          <w:p w14:paraId="5E9E9145">
            <w:pPr>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t>20xx年  月  日，进场作业**工人，进场**机械，共完成**个有效工日。</w:t>
            </w:r>
          </w:p>
          <w:p w14:paraId="2B7803D9">
            <w:pPr>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t>20xx年  月  日，进场作业**工人，进场**机械，共完成**个有效工日。</w:t>
            </w:r>
          </w:p>
          <w:p w14:paraId="2FBB297F">
            <w:pPr>
              <w:rPr>
                <w:rFonts w:hint="eastAsia" w:ascii="仿宋_GB2312" w:hAnsi="仿宋_GB2312" w:eastAsia="仿宋_GB2312" w:cs="仿宋_GB2312"/>
                <w:color w:val="auto"/>
                <w:sz w:val="21"/>
                <w:highlight w:val="none"/>
                <w:lang w:val="en-US" w:eastAsia="zh-CN"/>
              </w:rPr>
            </w:pPr>
            <w:r>
              <w:rPr>
                <w:rFonts w:hint="eastAsia" w:ascii="仿宋_GB2312" w:hAnsi="仿宋_GB2312" w:eastAsia="仿宋_GB2312" w:cs="仿宋_GB2312"/>
                <w:color w:val="auto"/>
                <w:sz w:val="21"/>
                <w:highlight w:val="none"/>
                <w:lang w:val="en-US" w:eastAsia="zh-CN"/>
              </w:rPr>
              <w:t>20xx年  月  日，进场作业**工人，进场**机械，共完成**个有效工日。</w:t>
            </w:r>
          </w:p>
          <w:p w14:paraId="44931593">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224A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2942" w:type="dxa"/>
            <w:vAlign w:val="center"/>
          </w:tcPr>
          <w:p w14:paraId="38BDB106">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验收得分</w:t>
            </w:r>
          </w:p>
        </w:tc>
        <w:tc>
          <w:tcPr>
            <w:tcW w:w="5955" w:type="dxa"/>
            <w:gridSpan w:val="3"/>
            <w:vAlign w:val="center"/>
          </w:tcPr>
          <w:p w14:paraId="215BB07C">
            <w:pPr>
              <w:jc w:val="center"/>
              <w:rPr>
                <w:rFonts w:hint="eastAsia" w:ascii="仿宋_GB2312" w:hAnsi="仿宋_GB2312" w:eastAsia="仿宋_GB2312" w:cs="仿宋_GB2312"/>
                <w:bCs/>
                <w:color w:val="auto"/>
                <w:sz w:val="24"/>
                <w:szCs w:val="24"/>
                <w:highlight w:val="none"/>
                <w:lang w:val="en-US" w:eastAsia="zh-CN"/>
              </w:rPr>
            </w:pPr>
          </w:p>
        </w:tc>
      </w:tr>
      <w:tr w14:paraId="7AE5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942" w:type="dxa"/>
            <w:vAlign w:val="center"/>
          </w:tcPr>
          <w:p w14:paraId="29861CE5">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存在问题</w:t>
            </w:r>
          </w:p>
        </w:tc>
        <w:tc>
          <w:tcPr>
            <w:tcW w:w="5955" w:type="dxa"/>
            <w:gridSpan w:val="3"/>
          </w:tcPr>
          <w:p w14:paraId="3821C6C0">
            <w:pPr>
              <w:jc w:val="center"/>
              <w:rPr>
                <w:rFonts w:hint="eastAsia" w:ascii="仿宋_GB2312" w:hAnsi="仿宋_GB2312" w:eastAsia="仿宋_GB2312" w:cs="仿宋_GB2312"/>
                <w:bCs/>
                <w:color w:val="auto"/>
                <w:sz w:val="24"/>
                <w:szCs w:val="24"/>
                <w:highlight w:val="none"/>
                <w:lang w:val="en-US" w:eastAsia="zh-CN"/>
              </w:rPr>
            </w:pPr>
          </w:p>
          <w:p w14:paraId="3512F7D0">
            <w:pPr>
              <w:jc w:val="center"/>
              <w:rPr>
                <w:rFonts w:hint="eastAsia" w:ascii="仿宋_GB2312" w:hAnsi="仿宋_GB2312" w:eastAsia="仿宋_GB2312" w:cs="仿宋_GB2312"/>
                <w:bCs/>
                <w:color w:val="auto"/>
                <w:sz w:val="24"/>
                <w:szCs w:val="24"/>
                <w:highlight w:val="none"/>
                <w:lang w:val="en-US" w:eastAsia="zh-CN"/>
              </w:rPr>
            </w:pPr>
          </w:p>
        </w:tc>
      </w:tr>
      <w:tr w14:paraId="26B2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2942" w:type="dxa"/>
            <w:vAlign w:val="center"/>
          </w:tcPr>
          <w:p w14:paraId="1AD3C3BE">
            <w:pPr>
              <w:jc w:val="center"/>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下一步工作建议</w:t>
            </w:r>
          </w:p>
        </w:tc>
        <w:tc>
          <w:tcPr>
            <w:tcW w:w="5955" w:type="dxa"/>
            <w:gridSpan w:val="3"/>
          </w:tcPr>
          <w:p w14:paraId="659DE51C">
            <w:pPr>
              <w:jc w:val="center"/>
              <w:rPr>
                <w:rFonts w:hint="eastAsia" w:ascii="仿宋_GB2312" w:hAnsi="仿宋_GB2312" w:eastAsia="仿宋_GB2312" w:cs="仿宋_GB2312"/>
                <w:bCs/>
                <w:color w:val="auto"/>
                <w:sz w:val="24"/>
                <w:szCs w:val="24"/>
                <w:highlight w:val="none"/>
                <w:lang w:val="en-US" w:eastAsia="zh-CN"/>
              </w:rPr>
            </w:pPr>
          </w:p>
        </w:tc>
      </w:tr>
      <w:tr w14:paraId="7184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8897" w:type="dxa"/>
            <w:gridSpan w:val="4"/>
            <w:vAlign w:val="center"/>
          </w:tcPr>
          <w:p w14:paraId="21902277">
            <w:pPr>
              <w:ind w:firstLine="720" w:firstLineChars="300"/>
              <w:jc w:val="left"/>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验收小组成员签名：</w:t>
            </w:r>
          </w:p>
        </w:tc>
      </w:tr>
      <w:tr w14:paraId="7617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8897" w:type="dxa"/>
            <w:gridSpan w:val="4"/>
            <w:vAlign w:val="center"/>
          </w:tcPr>
          <w:p w14:paraId="2CE570AE">
            <w:pPr>
              <w:ind w:firstLine="720" w:firstLineChars="300"/>
              <w:jc w:val="left"/>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作业单位签名：</w:t>
            </w:r>
          </w:p>
        </w:tc>
      </w:tr>
    </w:tbl>
    <w:p w14:paraId="3E76C142">
      <w:pPr>
        <w:keepNext w:val="0"/>
        <w:keepLines w:val="0"/>
        <w:pageBreakBefore w:val="0"/>
        <w:widowControl w:val="0"/>
        <w:kinsoku/>
        <w:wordWrap/>
        <w:overflowPunct/>
        <w:topLinePunct w:val="0"/>
        <w:autoSpaceDE/>
        <w:autoSpaceDN/>
        <w:bidi w:val="0"/>
        <w:adjustRightInd/>
        <w:snapToGrid/>
        <w:spacing w:before="172" w:line="560" w:lineRule="exact"/>
        <w:ind w:left="666"/>
        <w:textAlignment w:val="auto"/>
        <w:rPr>
          <w:rFonts w:ascii="仿宋" w:hAnsi="仿宋" w:eastAsia="仿宋" w:cs="仿宋"/>
          <w:color w:val="auto"/>
          <w:sz w:val="32"/>
          <w:szCs w:val="32"/>
          <w:highlight w:val="none"/>
        </w:rPr>
      </w:pPr>
    </w:p>
    <w:p w14:paraId="48ECADB8">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cs="仿宋"/>
          <w:color w:val="auto"/>
          <w:sz w:val="32"/>
          <w:szCs w:val="32"/>
          <w:highlight w:val="none"/>
        </w:rPr>
        <w:sectPr>
          <w:headerReference r:id="rId12" w:type="default"/>
          <w:footerReference r:id="rId13" w:type="default"/>
          <w:pgSz w:w="11906" w:h="16839"/>
          <w:pgMar w:top="1166" w:right="1586" w:bottom="1194" w:left="1588" w:header="829" w:footer="978" w:gutter="0"/>
          <w:cols w:space="720" w:num="1"/>
        </w:sectPr>
      </w:pPr>
    </w:p>
    <w:p w14:paraId="695FBB1D">
      <w:pPr>
        <w:spacing w:line="291" w:lineRule="auto"/>
        <w:rPr>
          <w:rFonts w:ascii="Arial"/>
          <w:color w:val="auto"/>
          <w:sz w:val="21"/>
          <w:highlight w:val="none"/>
        </w:rPr>
      </w:pPr>
    </w:p>
    <w:p w14:paraId="0277D61B">
      <w:pPr>
        <w:spacing w:line="291" w:lineRule="auto"/>
        <w:rPr>
          <w:rFonts w:ascii="Arial"/>
          <w:color w:val="auto"/>
          <w:sz w:val="21"/>
          <w:highlight w:val="none"/>
        </w:rPr>
      </w:pPr>
    </w:p>
    <w:p w14:paraId="7E0B7DD8">
      <w:pPr>
        <w:spacing w:line="259" w:lineRule="auto"/>
        <w:rPr>
          <w:rFonts w:ascii="Arial"/>
          <w:color w:val="auto"/>
          <w:sz w:val="21"/>
          <w:highlight w:val="none"/>
        </w:rPr>
      </w:pPr>
    </w:p>
    <w:p w14:paraId="3B52841F">
      <w:pPr>
        <w:spacing w:line="247" w:lineRule="auto"/>
        <w:rPr>
          <w:rFonts w:ascii="Arial"/>
          <w:color w:val="auto"/>
          <w:sz w:val="21"/>
          <w:highlight w:val="none"/>
        </w:rPr>
      </w:pPr>
    </w:p>
    <w:p w14:paraId="56D34926">
      <w:pPr>
        <w:spacing w:line="247" w:lineRule="auto"/>
        <w:rPr>
          <w:rFonts w:ascii="Arial"/>
          <w:color w:val="auto"/>
          <w:sz w:val="21"/>
          <w:highlight w:val="none"/>
        </w:rPr>
      </w:pPr>
    </w:p>
    <w:p w14:paraId="08922D55">
      <w:pPr>
        <w:spacing w:line="247" w:lineRule="auto"/>
        <w:rPr>
          <w:rFonts w:ascii="Arial"/>
          <w:color w:val="auto"/>
          <w:sz w:val="21"/>
          <w:highlight w:val="none"/>
        </w:rPr>
      </w:pPr>
    </w:p>
    <w:p w14:paraId="30913F70">
      <w:pPr>
        <w:spacing w:line="248" w:lineRule="auto"/>
        <w:rPr>
          <w:rFonts w:ascii="Arial"/>
          <w:color w:val="auto"/>
          <w:sz w:val="21"/>
          <w:highlight w:val="none"/>
        </w:rPr>
      </w:pPr>
    </w:p>
    <w:p w14:paraId="79BC9763">
      <w:pPr>
        <w:spacing w:line="248" w:lineRule="auto"/>
        <w:rPr>
          <w:rFonts w:ascii="Arial"/>
          <w:color w:val="auto"/>
          <w:sz w:val="21"/>
          <w:highlight w:val="none"/>
        </w:rPr>
      </w:pPr>
    </w:p>
    <w:p w14:paraId="10CCA5DE">
      <w:pPr>
        <w:spacing w:before="169" w:line="236" w:lineRule="auto"/>
        <w:ind w:left="2176"/>
        <w:rPr>
          <w:rFonts w:ascii="楷体" w:hAnsi="楷体" w:eastAsia="楷体" w:cs="楷体"/>
          <w:color w:val="auto"/>
          <w:sz w:val="52"/>
          <w:szCs w:val="52"/>
          <w:highlight w:val="none"/>
        </w:rPr>
      </w:pPr>
      <w:r>
        <w:rPr>
          <w:rFonts w:ascii="楷体" w:hAnsi="楷体" w:eastAsia="楷体" w:cs="楷体"/>
          <w:b/>
          <w:bCs/>
          <w:color w:val="auto"/>
          <w:spacing w:val="-78"/>
          <w:sz w:val="52"/>
          <w:szCs w:val="52"/>
          <w:highlight w:val="none"/>
        </w:rPr>
        <w:t>××××××项目</w:t>
      </w:r>
    </w:p>
    <w:p w14:paraId="48618B7C">
      <w:pPr>
        <w:spacing w:line="258" w:lineRule="auto"/>
        <w:rPr>
          <w:rFonts w:ascii="Arial"/>
          <w:color w:val="auto"/>
          <w:sz w:val="21"/>
          <w:highlight w:val="none"/>
        </w:rPr>
      </w:pPr>
    </w:p>
    <w:p w14:paraId="25095D48">
      <w:pPr>
        <w:spacing w:line="258" w:lineRule="auto"/>
        <w:rPr>
          <w:rFonts w:ascii="Arial"/>
          <w:color w:val="auto"/>
          <w:sz w:val="21"/>
          <w:highlight w:val="none"/>
        </w:rPr>
      </w:pPr>
    </w:p>
    <w:p w14:paraId="649F802F">
      <w:pPr>
        <w:spacing w:line="258" w:lineRule="auto"/>
        <w:rPr>
          <w:rFonts w:ascii="Arial"/>
          <w:color w:val="auto"/>
          <w:sz w:val="21"/>
          <w:highlight w:val="none"/>
        </w:rPr>
      </w:pPr>
    </w:p>
    <w:p w14:paraId="2525A40E">
      <w:pPr>
        <w:spacing w:line="258" w:lineRule="auto"/>
        <w:rPr>
          <w:rFonts w:ascii="Arial"/>
          <w:color w:val="auto"/>
          <w:sz w:val="21"/>
          <w:highlight w:val="none"/>
        </w:rPr>
      </w:pPr>
    </w:p>
    <w:p w14:paraId="2130CB54">
      <w:pPr>
        <w:spacing w:before="169" w:line="230" w:lineRule="auto"/>
        <w:ind w:firstLine="500" w:firstLineChars="100"/>
        <w:rPr>
          <w:rFonts w:ascii="楷体" w:hAnsi="楷体" w:eastAsia="楷体" w:cs="楷体"/>
          <w:color w:val="auto"/>
          <w:sz w:val="52"/>
          <w:szCs w:val="52"/>
          <w:highlight w:val="none"/>
        </w:rPr>
      </w:pPr>
      <w:r>
        <w:rPr>
          <w:rFonts w:hint="eastAsia" w:ascii="楷体" w:hAnsi="楷体" w:eastAsia="楷体" w:cs="楷体"/>
          <w:b/>
          <w:bCs/>
          <w:color w:val="auto"/>
          <w:spacing w:val="-11"/>
          <w:sz w:val="52"/>
          <w:szCs w:val="52"/>
          <w:highlight w:val="none"/>
          <w:lang w:val="en-US" w:eastAsia="zh-CN"/>
        </w:rPr>
        <w:t>垃圾围闸治理单位工程</w:t>
      </w:r>
      <w:r>
        <w:rPr>
          <w:rFonts w:ascii="楷体" w:hAnsi="楷体" w:eastAsia="楷体" w:cs="楷体"/>
          <w:b/>
          <w:bCs/>
          <w:color w:val="auto"/>
          <w:spacing w:val="-11"/>
          <w:sz w:val="52"/>
          <w:szCs w:val="52"/>
          <w:highlight w:val="none"/>
        </w:rPr>
        <w:t>验收鉴定书</w:t>
      </w:r>
    </w:p>
    <w:p w14:paraId="53F9F447">
      <w:pPr>
        <w:spacing w:line="247" w:lineRule="auto"/>
        <w:rPr>
          <w:rFonts w:ascii="Arial"/>
          <w:color w:val="auto"/>
          <w:sz w:val="21"/>
          <w:highlight w:val="none"/>
        </w:rPr>
      </w:pPr>
    </w:p>
    <w:p w14:paraId="26CCD39D">
      <w:pPr>
        <w:spacing w:line="247" w:lineRule="auto"/>
        <w:rPr>
          <w:rFonts w:ascii="Arial"/>
          <w:color w:val="auto"/>
          <w:sz w:val="21"/>
          <w:highlight w:val="none"/>
        </w:rPr>
      </w:pPr>
    </w:p>
    <w:p w14:paraId="752176BE">
      <w:pPr>
        <w:spacing w:line="247" w:lineRule="auto"/>
        <w:rPr>
          <w:rFonts w:ascii="Arial"/>
          <w:color w:val="auto"/>
          <w:sz w:val="21"/>
          <w:highlight w:val="none"/>
        </w:rPr>
      </w:pPr>
    </w:p>
    <w:p w14:paraId="64EC762D">
      <w:pPr>
        <w:spacing w:line="247" w:lineRule="auto"/>
        <w:rPr>
          <w:rFonts w:ascii="Arial"/>
          <w:color w:val="auto"/>
          <w:sz w:val="21"/>
          <w:highlight w:val="none"/>
        </w:rPr>
      </w:pPr>
    </w:p>
    <w:p w14:paraId="0314DDB1">
      <w:pPr>
        <w:spacing w:line="247" w:lineRule="auto"/>
        <w:rPr>
          <w:rFonts w:ascii="Arial"/>
          <w:color w:val="auto"/>
          <w:sz w:val="21"/>
          <w:highlight w:val="none"/>
        </w:rPr>
      </w:pPr>
    </w:p>
    <w:p w14:paraId="7BA963FE">
      <w:pPr>
        <w:spacing w:line="247" w:lineRule="auto"/>
        <w:rPr>
          <w:rFonts w:ascii="Arial"/>
          <w:color w:val="auto"/>
          <w:sz w:val="21"/>
          <w:highlight w:val="none"/>
        </w:rPr>
      </w:pPr>
    </w:p>
    <w:p w14:paraId="6E8CE2F9">
      <w:pPr>
        <w:spacing w:line="247" w:lineRule="auto"/>
        <w:rPr>
          <w:rFonts w:ascii="Arial"/>
          <w:color w:val="auto"/>
          <w:sz w:val="21"/>
          <w:highlight w:val="none"/>
        </w:rPr>
      </w:pPr>
    </w:p>
    <w:p w14:paraId="674EE91B">
      <w:pPr>
        <w:spacing w:line="247" w:lineRule="auto"/>
        <w:rPr>
          <w:rFonts w:ascii="Arial"/>
          <w:color w:val="auto"/>
          <w:sz w:val="21"/>
          <w:highlight w:val="none"/>
        </w:rPr>
      </w:pPr>
    </w:p>
    <w:p w14:paraId="2133A17C">
      <w:pPr>
        <w:spacing w:line="247" w:lineRule="auto"/>
        <w:rPr>
          <w:rFonts w:ascii="Arial"/>
          <w:color w:val="auto"/>
          <w:sz w:val="21"/>
          <w:highlight w:val="none"/>
        </w:rPr>
      </w:pPr>
    </w:p>
    <w:p w14:paraId="2E2813A8">
      <w:pPr>
        <w:spacing w:line="247" w:lineRule="auto"/>
        <w:rPr>
          <w:rFonts w:ascii="Arial"/>
          <w:color w:val="auto"/>
          <w:sz w:val="21"/>
          <w:highlight w:val="none"/>
        </w:rPr>
      </w:pPr>
    </w:p>
    <w:p w14:paraId="01E33B36">
      <w:pPr>
        <w:spacing w:line="247" w:lineRule="auto"/>
        <w:rPr>
          <w:rFonts w:ascii="Arial"/>
          <w:color w:val="auto"/>
          <w:sz w:val="21"/>
          <w:highlight w:val="none"/>
        </w:rPr>
      </w:pPr>
    </w:p>
    <w:p w14:paraId="39421586">
      <w:pPr>
        <w:spacing w:line="247" w:lineRule="auto"/>
        <w:rPr>
          <w:rFonts w:ascii="Arial"/>
          <w:color w:val="auto"/>
          <w:sz w:val="21"/>
          <w:highlight w:val="none"/>
        </w:rPr>
      </w:pPr>
    </w:p>
    <w:p w14:paraId="6101B346">
      <w:pPr>
        <w:spacing w:line="247" w:lineRule="auto"/>
        <w:rPr>
          <w:rFonts w:ascii="Arial"/>
          <w:color w:val="auto"/>
          <w:sz w:val="21"/>
          <w:highlight w:val="none"/>
        </w:rPr>
      </w:pPr>
    </w:p>
    <w:p w14:paraId="41C859CB">
      <w:pPr>
        <w:spacing w:line="247" w:lineRule="auto"/>
        <w:rPr>
          <w:rFonts w:ascii="Arial"/>
          <w:color w:val="auto"/>
          <w:sz w:val="21"/>
          <w:highlight w:val="none"/>
        </w:rPr>
      </w:pPr>
    </w:p>
    <w:p w14:paraId="21A62938">
      <w:pPr>
        <w:spacing w:line="247" w:lineRule="auto"/>
        <w:rPr>
          <w:rFonts w:ascii="Arial"/>
          <w:color w:val="auto"/>
          <w:sz w:val="21"/>
          <w:highlight w:val="none"/>
        </w:rPr>
      </w:pPr>
    </w:p>
    <w:p w14:paraId="13B4DF54">
      <w:pPr>
        <w:spacing w:line="247" w:lineRule="auto"/>
        <w:rPr>
          <w:rFonts w:ascii="Arial"/>
          <w:color w:val="auto"/>
          <w:sz w:val="21"/>
          <w:highlight w:val="none"/>
        </w:rPr>
      </w:pPr>
    </w:p>
    <w:p w14:paraId="58D1EE7B">
      <w:pPr>
        <w:spacing w:line="247" w:lineRule="auto"/>
        <w:rPr>
          <w:rFonts w:ascii="Arial"/>
          <w:color w:val="auto"/>
          <w:sz w:val="21"/>
          <w:highlight w:val="none"/>
        </w:rPr>
      </w:pPr>
    </w:p>
    <w:p w14:paraId="23D60CB1">
      <w:pPr>
        <w:spacing w:line="247" w:lineRule="auto"/>
        <w:rPr>
          <w:rFonts w:ascii="Arial"/>
          <w:color w:val="auto"/>
          <w:sz w:val="21"/>
          <w:highlight w:val="none"/>
        </w:rPr>
      </w:pPr>
    </w:p>
    <w:p w14:paraId="20D27D78">
      <w:pPr>
        <w:spacing w:line="247" w:lineRule="auto"/>
        <w:rPr>
          <w:rFonts w:ascii="Arial"/>
          <w:color w:val="auto"/>
          <w:sz w:val="21"/>
          <w:highlight w:val="none"/>
        </w:rPr>
      </w:pPr>
    </w:p>
    <w:p w14:paraId="1E7B636C">
      <w:pPr>
        <w:spacing w:line="247" w:lineRule="auto"/>
        <w:rPr>
          <w:rFonts w:ascii="Arial"/>
          <w:color w:val="auto"/>
          <w:sz w:val="21"/>
          <w:highlight w:val="none"/>
        </w:rPr>
      </w:pPr>
    </w:p>
    <w:p w14:paraId="75038AAF">
      <w:pPr>
        <w:spacing w:line="247" w:lineRule="auto"/>
        <w:rPr>
          <w:rFonts w:ascii="Arial"/>
          <w:color w:val="auto"/>
          <w:sz w:val="21"/>
          <w:highlight w:val="none"/>
        </w:rPr>
      </w:pPr>
    </w:p>
    <w:p w14:paraId="02A04F1D">
      <w:pPr>
        <w:spacing w:line="247" w:lineRule="auto"/>
        <w:rPr>
          <w:rFonts w:ascii="Arial"/>
          <w:color w:val="auto"/>
          <w:sz w:val="21"/>
          <w:highlight w:val="none"/>
        </w:rPr>
      </w:pPr>
    </w:p>
    <w:p w14:paraId="7B2598EB">
      <w:pPr>
        <w:spacing w:line="247" w:lineRule="auto"/>
        <w:rPr>
          <w:rFonts w:ascii="Arial"/>
          <w:color w:val="auto"/>
          <w:sz w:val="21"/>
          <w:highlight w:val="none"/>
        </w:rPr>
      </w:pPr>
    </w:p>
    <w:p w14:paraId="47000279">
      <w:pPr>
        <w:spacing w:line="247" w:lineRule="auto"/>
        <w:rPr>
          <w:rFonts w:ascii="Arial"/>
          <w:color w:val="auto"/>
          <w:sz w:val="21"/>
          <w:highlight w:val="none"/>
        </w:rPr>
      </w:pPr>
    </w:p>
    <w:p w14:paraId="0C8CAB8D">
      <w:pPr>
        <w:spacing w:line="248" w:lineRule="auto"/>
        <w:rPr>
          <w:rFonts w:ascii="Arial"/>
          <w:color w:val="auto"/>
          <w:sz w:val="21"/>
          <w:highlight w:val="none"/>
        </w:rPr>
      </w:pPr>
    </w:p>
    <w:p w14:paraId="42531993">
      <w:pPr>
        <w:spacing w:line="248" w:lineRule="auto"/>
        <w:rPr>
          <w:rFonts w:ascii="Arial"/>
          <w:color w:val="auto"/>
          <w:sz w:val="21"/>
          <w:highlight w:val="none"/>
        </w:rPr>
      </w:pPr>
    </w:p>
    <w:p w14:paraId="3F92735B">
      <w:pPr>
        <w:spacing w:line="248" w:lineRule="auto"/>
        <w:rPr>
          <w:rFonts w:ascii="Arial"/>
          <w:color w:val="auto"/>
          <w:sz w:val="21"/>
          <w:highlight w:val="none"/>
        </w:rPr>
      </w:pPr>
    </w:p>
    <w:p w14:paraId="721190A3">
      <w:pPr>
        <w:spacing w:line="248" w:lineRule="auto"/>
        <w:rPr>
          <w:rFonts w:ascii="Arial"/>
          <w:color w:val="auto"/>
          <w:sz w:val="21"/>
          <w:highlight w:val="none"/>
        </w:rPr>
      </w:pPr>
    </w:p>
    <w:p w14:paraId="052605B2">
      <w:pPr>
        <w:spacing w:before="113" w:line="226" w:lineRule="auto"/>
        <w:ind w:firstLine="623" w:firstLineChars="200"/>
        <w:rPr>
          <w:rFonts w:ascii="仿宋" w:hAnsi="仿宋" w:eastAsia="仿宋" w:cs="仿宋"/>
          <w:color w:val="auto"/>
          <w:sz w:val="35"/>
          <w:szCs w:val="35"/>
          <w:highlight w:val="none"/>
        </w:rPr>
      </w:pPr>
      <w:r>
        <w:rPr>
          <w:rFonts w:ascii="仿宋" w:hAnsi="仿宋" w:eastAsia="仿宋" w:cs="仿宋"/>
          <w:b/>
          <w:bCs/>
          <w:color w:val="auto"/>
          <w:spacing w:val="-20"/>
          <w:sz w:val="35"/>
          <w:szCs w:val="35"/>
          <w:highlight w:val="none"/>
        </w:rPr>
        <w:t>××××××项目</w:t>
      </w:r>
      <w:r>
        <w:rPr>
          <w:rFonts w:hint="eastAsia" w:ascii="仿宋" w:hAnsi="仿宋" w:eastAsia="仿宋" w:cs="仿宋"/>
          <w:b/>
          <w:bCs/>
          <w:color w:val="auto"/>
          <w:spacing w:val="-20"/>
          <w:sz w:val="35"/>
          <w:szCs w:val="35"/>
          <w:highlight w:val="none"/>
          <w:lang w:val="en-US" w:eastAsia="zh-CN"/>
        </w:rPr>
        <w:t>垃圾围闸治理单位工程</w:t>
      </w:r>
      <w:r>
        <w:rPr>
          <w:rFonts w:ascii="仿宋" w:hAnsi="仿宋" w:eastAsia="仿宋" w:cs="仿宋"/>
          <w:b/>
          <w:bCs/>
          <w:color w:val="auto"/>
          <w:spacing w:val="-20"/>
          <w:sz w:val="35"/>
          <w:szCs w:val="35"/>
          <w:highlight w:val="none"/>
        </w:rPr>
        <w:t>验收工作组</w:t>
      </w:r>
    </w:p>
    <w:p w14:paraId="122D705E">
      <w:pPr>
        <w:spacing w:before="195" w:line="228" w:lineRule="auto"/>
        <w:ind w:left="2214"/>
        <w:rPr>
          <w:rFonts w:ascii="仿宋" w:hAnsi="仿宋" w:eastAsia="仿宋" w:cs="仿宋"/>
          <w:color w:val="auto"/>
          <w:sz w:val="35"/>
          <w:szCs w:val="35"/>
          <w:highlight w:val="none"/>
        </w:rPr>
      </w:pPr>
      <w:r>
        <w:rPr>
          <w:rFonts w:ascii="仿宋" w:hAnsi="仿宋" w:eastAsia="仿宋" w:cs="仿宋"/>
          <w:b/>
          <w:bCs/>
          <w:color w:val="auto"/>
          <w:spacing w:val="-26"/>
          <w:sz w:val="35"/>
          <w:szCs w:val="35"/>
          <w:highlight w:val="none"/>
        </w:rPr>
        <w:t>二○××年××月××日</w:t>
      </w:r>
    </w:p>
    <w:p w14:paraId="47BA8C9C">
      <w:pPr>
        <w:spacing w:line="228" w:lineRule="auto"/>
        <w:rPr>
          <w:rFonts w:ascii="仿宋" w:hAnsi="仿宋" w:eastAsia="仿宋" w:cs="仿宋"/>
          <w:color w:val="auto"/>
          <w:sz w:val="35"/>
          <w:szCs w:val="35"/>
          <w:highlight w:val="none"/>
        </w:rPr>
        <w:sectPr>
          <w:headerReference r:id="rId14" w:type="default"/>
          <w:footerReference r:id="rId15" w:type="default"/>
          <w:pgSz w:w="11906" w:h="16839"/>
          <w:pgMar w:top="1166" w:right="1785" w:bottom="1233" w:left="1785" w:header="829" w:footer="1016" w:gutter="0"/>
          <w:cols w:space="720" w:num="1"/>
        </w:sectPr>
      </w:pPr>
    </w:p>
    <w:p w14:paraId="2F65520B">
      <w:pPr>
        <w:spacing w:line="262" w:lineRule="auto"/>
        <w:rPr>
          <w:rFonts w:ascii="Arial"/>
          <w:color w:val="auto"/>
          <w:sz w:val="21"/>
          <w:highlight w:val="none"/>
        </w:rPr>
      </w:pPr>
    </w:p>
    <w:p w14:paraId="275AD4B4">
      <w:pPr>
        <w:spacing w:line="263" w:lineRule="auto"/>
        <w:rPr>
          <w:rFonts w:ascii="Arial"/>
          <w:color w:val="auto"/>
          <w:sz w:val="21"/>
          <w:highlight w:val="none"/>
        </w:rPr>
      </w:pPr>
    </w:p>
    <w:p w14:paraId="0973300E">
      <w:pPr>
        <w:spacing w:before="98" w:line="222" w:lineRule="auto"/>
        <w:ind w:left="612"/>
        <w:rPr>
          <w:rFonts w:ascii="仿宋" w:hAnsi="仿宋" w:eastAsia="仿宋" w:cs="仿宋"/>
          <w:color w:val="auto"/>
          <w:sz w:val="30"/>
          <w:szCs w:val="30"/>
          <w:highlight w:val="none"/>
        </w:rPr>
      </w:pPr>
      <w:bookmarkStart w:id="115" w:name="bookmark18"/>
      <w:bookmarkEnd w:id="115"/>
      <w:r>
        <w:rPr>
          <w:rFonts w:hint="eastAsia" w:ascii="仿宋" w:hAnsi="仿宋" w:eastAsia="仿宋" w:cs="仿宋"/>
          <w:color w:val="auto"/>
          <w:spacing w:val="-6"/>
          <w:sz w:val="30"/>
          <w:szCs w:val="30"/>
          <w:highlight w:val="none"/>
          <w:lang w:val="en-US" w:eastAsia="zh-CN"/>
        </w:rPr>
        <w:t>合同甲方</w:t>
      </w:r>
      <w:r>
        <w:rPr>
          <w:rFonts w:ascii="仿宋" w:hAnsi="仿宋" w:eastAsia="仿宋" w:cs="仿宋"/>
          <w:color w:val="auto"/>
          <w:spacing w:val="-6"/>
          <w:sz w:val="30"/>
          <w:szCs w:val="30"/>
          <w:highlight w:val="none"/>
        </w:rPr>
        <w:t>：</w:t>
      </w:r>
    </w:p>
    <w:p w14:paraId="5017BFEA">
      <w:pPr>
        <w:spacing w:line="261" w:lineRule="auto"/>
        <w:rPr>
          <w:rFonts w:ascii="Arial"/>
          <w:color w:val="auto"/>
          <w:sz w:val="21"/>
          <w:highlight w:val="none"/>
        </w:rPr>
      </w:pPr>
    </w:p>
    <w:p w14:paraId="0EECD9E8">
      <w:pPr>
        <w:spacing w:line="261" w:lineRule="auto"/>
        <w:rPr>
          <w:rFonts w:ascii="Arial"/>
          <w:color w:val="auto"/>
          <w:sz w:val="21"/>
          <w:highlight w:val="none"/>
        </w:rPr>
      </w:pPr>
    </w:p>
    <w:p w14:paraId="43080C66">
      <w:pPr>
        <w:spacing w:line="262" w:lineRule="auto"/>
        <w:rPr>
          <w:rFonts w:ascii="Arial"/>
          <w:color w:val="auto"/>
          <w:sz w:val="21"/>
          <w:highlight w:val="none"/>
        </w:rPr>
      </w:pPr>
    </w:p>
    <w:p w14:paraId="4B59ADB2">
      <w:pPr>
        <w:spacing w:before="97" w:line="224" w:lineRule="auto"/>
        <w:ind w:left="609"/>
        <w:rPr>
          <w:rFonts w:ascii="仿宋" w:hAnsi="仿宋" w:eastAsia="仿宋" w:cs="仿宋"/>
          <w:color w:val="auto"/>
          <w:sz w:val="30"/>
          <w:szCs w:val="30"/>
          <w:highlight w:val="none"/>
        </w:rPr>
      </w:pPr>
      <w:r>
        <w:rPr>
          <w:rFonts w:ascii="仿宋" w:hAnsi="仿宋" w:eastAsia="仿宋" w:cs="仿宋"/>
          <w:color w:val="auto"/>
          <w:spacing w:val="-5"/>
          <w:sz w:val="30"/>
          <w:szCs w:val="30"/>
          <w:highlight w:val="none"/>
        </w:rPr>
        <w:t>承包人：</w:t>
      </w:r>
    </w:p>
    <w:p w14:paraId="7C1FA3FD">
      <w:pPr>
        <w:spacing w:line="260" w:lineRule="auto"/>
        <w:rPr>
          <w:rFonts w:ascii="Arial"/>
          <w:color w:val="auto"/>
          <w:sz w:val="21"/>
          <w:highlight w:val="none"/>
        </w:rPr>
      </w:pPr>
    </w:p>
    <w:p w14:paraId="7B29E64C">
      <w:pPr>
        <w:spacing w:line="261" w:lineRule="auto"/>
        <w:rPr>
          <w:rFonts w:ascii="Arial"/>
          <w:color w:val="auto"/>
          <w:sz w:val="21"/>
          <w:highlight w:val="none"/>
        </w:rPr>
      </w:pPr>
    </w:p>
    <w:p w14:paraId="5690825D">
      <w:pPr>
        <w:spacing w:line="261" w:lineRule="auto"/>
        <w:rPr>
          <w:rFonts w:ascii="Arial"/>
          <w:color w:val="auto"/>
          <w:sz w:val="21"/>
          <w:highlight w:val="none"/>
        </w:rPr>
      </w:pPr>
    </w:p>
    <w:p w14:paraId="5E5D393E">
      <w:pPr>
        <w:spacing w:before="98" w:line="222" w:lineRule="auto"/>
        <w:ind w:left="609"/>
        <w:rPr>
          <w:rFonts w:ascii="仿宋" w:hAnsi="仿宋" w:eastAsia="仿宋" w:cs="仿宋"/>
          <w:color w:val="auto"/>
          <w:sz w:val="30"/>
          <w:szCs w:val="30"/>
          <w:highlight w:val="none"/>
        </w:rPr>
      </w:pPr>
      <w:r>
        <w:rPr>
          <w:rFonts w:ascii="仿宋" w:hAnsi="仿宋" w:eastAsia="仿宋" w:cs="仿宋"/>
          <w:color w:val="auto"/>
          <w:spacing w:val="-18"/>
          <w:sz w:val="30"/>
          <w:szCs w:val="30"/>
          <w:highlight w:val="none"/>
        </w:rPr>
        <w:t>验收时间：××年××月××日</w:t>
      </w:r>
    </w:p>
    <w:p w14:paraId="64DB11BC">
      <w:pPr>
        <w:spacing w:line="261" w:lineRule="auto"/>
        <w:rPr>
          <w:rFonts w:ascii="Arial"/>
          <w:color w:val="auto"/>
          <w:sz w:val="21"/>
          <w:highlight w:val="none"/>
        </w:rPr>
      </w:pPr>
    </w:p>
    <w:p w14:paraId="0AE0491F">
      <w:pPr>
        <w:spacing w:line="261" w:lineRule="auto"/>
        <w:rPr>
          <w:rFonts w:ascii="Arial"/>
          <w:color w:val="auto"/>
          <w:sz w:val="21"/>
          <w:highlight w:val="none"/>
        </w:rPr>
      </w:pPr>
    </w:p>
    <w:p w14:paraId="35AAD88B">
      <w:pPr>
        <w:spacing w:line="262" w:lineRule="auto"/>
        <w:rPr>
          <w:rFonts w:ascii="Arial"/>
          <w:color w:val="auto"/>
          <w:sz w:val="21"/>
          <w:highlight w:val="none"/>
        </w:rPr>
      </w:pPr>
    </w:p>
    <w:p w14:paraId="075DB274">
      <w:pPr>
        <w:spacing w:before="97" w:line="223" w:lineRule="auto"/>
        <w:ind w:left="609"/>
        <w:rPr>
          <w:rFonts w:ascii="仿宋" w:hAnsi="仿宋" w:eastAsia="仿宋" w:cs="仿宋"/>
          <w:color w:val="auto"/>
          <w:sz w:val="30"/>
          <w:szCs w:val="30"/>
          <w:highlight w:val="none"/>
        </w:rPr>
      </w:pPr>
      <w:r>
        <w:rPr>
          <w:rFonts w:ascii="仿宋" w:hAnsi="仿宋" w:eastAsia="仿宋" w:cs="仿宋"/>
          <w:color w:val="auto"/>
          <w:spacing w:val="-4"/>
          <w:sz w:val="30"/>
          <w:szCs w:val="30"/>
          <w:highlight w:val="none"/>
        </w:rPr>
        <w:t>验收地点：</w:t>
      </w:r>
    </w:p>
    <w:p w14:paraId="190939D8">
      <w:pPr>
        <w:spacing w:line="223" w:lineRule="auto"/>
        <w:rPr>
          <w:rFonts w:ascii="仿宋" w:hAnsi="仿宋" w:eastAsia="仿宋" w:cs="仿宋"/>
          <w:color w:val="auto"/>
          <w:sz w:val="30"/>
          <w:szCs w:val="30"/>
          <w:highlight w:val="none"/>
        </w:rPr>
        <w:sectPr>
          <w:footerReference r:id="rId16" w:type="default"/>
          <w:pgSz w:w="11906" w:h="16839"/>
          <w:pgMar w:top="1166" w:right="1785" w:bottom="1233" w:left="1785" w:header="829" w:footer="1016" w:gutter="0"/>
          <w:cols w:space="720" w:num="1"/>
        </w:sectPr>
      </w:pPr>
    </w:p>
    <w:p w14:paraId="280D9B60">
      <w:pPr>
        <w:spacing w:before="352" w:line="225" w:lineRule="auto"/>
        <w:jc w:val="center"/>
        <w:rPr>
          <w:rFonts w:hint="eastAsia" w:ascii="黑体" w:hAnsi="黑体" w:eastAsia="黑体" w:cs="黑体"/>
          <w:color w:val="auto"/>
          <w:spacing w:val="-3"/>
          <w:sz w:val="43"/>
          <w:szCs w:val="43"/>
          <w:highlight w:val="none"/>
          <w:lang w:val="en-US" w:eastAsia="zh-CN"/>
        </w:rPr>
      </w:pPr>
      <w:r>
        <w:rPr>
          <w:rFonts w:ascii="黑体" w:hAnsi="黑体" w:eastAsia="黑体" w:cs="黑体"/>
          <w:color w:val="auto"/>
          <w:spacing w:val="-38"/>
          <w:sz w:val="43"/>
          <w:szCs w:val="43"/>
          <w:highlight w:val="none"/>
        </w:rPr>
        <w:t>××××××××项目</w:t>
      </w:r>
      <w:r>
        <w:rPr>
          <w:rFonts w:hint="eastAsia" w:ascii="黑体" w:hAnsi="黑体" w:eastAsia="黑体" w:cs="黑体"/>
          <w:color w:val="auto"/>
          <w:spacing w:val="-38"/>
          <w:sz w:val="43"/>
          <w:szCs w:val="43"/>
          <w:highlight w:val="none"/>
          <w:lang w:val="en-US" w:eastAsia="zh-CN"/>
        </w:rPr>
        <w:t>垃圾围闸治理</w:t>
      </w:r>
      <w:r>
        <w:rPr>
          <w:rFonts w:hint="eastAsia" w:ascii="黑体" w:hAnsi="黑体" w:eastAsia="黑体" w:cs="黑体"/>
          <w:color w:val="auto"/>
          <w:spacing w:val="-3"/>
          <w:sz w:val="43"/>
          <w:szCs w:val="43"/>
          <w:highlight w:val="none"/>
          <w:lang w:val="en-US" w:eastAsia="zh-CN"/>
        </w:rPr>
        <w:t>单位工程</w:t>
      </w:r>
    </w:p>
    <w:p w14:paraId="7C738712">
      <w:pPr>
        <w:spacing w:before="352" w:line="225" w:lineRule="auto"/>
        <w:jc w:val="center"/>
        <w:rPr>
          <w:rFonts w:ascii="黑体" w:hAnsi="黑体" w:eastAsia="黑体" w:cs="黑体"/>
          <w:color w:val="auto"/>
          <w:sz w:val="43"/>
          <w:szCs w:val="43"/>
          <w:highlight w:val="none"/>
        </w:rPr>
      </w:pPr>
      <w:r>
        <w:rPr>
          <w:rFonts w:ascii="黑体" w:hAnsi="黑体" w:eastAsia="黑体" w:cs="黑体"/>
          <w:color w:val="auto"/>
          <w:spacing w:val="-38"/>
          <w:sz w:val="43"/>
          <w:szCs w:val="43"/>
          <w:highlight w:val="none"/>
        </w:rPr>
        <w:t>验收</w:t>
      </w:r>
      <w:r>
        <w:rPr>
          <w:rFonts w:ascii="黑体" w:hAnsi="黑体" w:eastAsia="黑体" w:cs="黑体"/>
          <w:color w:val="auto"/>
          <w:spacing w:val="-3"/>
          <w:sz w:val="43"/>
          <w:szCs w:val="43"/>
          <w:highlight w:val="none"/>
        </w:rPr>
        <w:t>鉴定书</w:t>
      </w:r>
    </w:p>
    <w:p w14:paraId="7C2B7BF6">
      <w:pPr>
        <w:spacing w:line="306" w:lineRule="auto"/>
        <w:rPr>
          <w:rFonts w:ascii="Arial"/>
          <w:color w:val="auto"/>
          <w:sz w:val="21"/>
          <w:highlight w:val="none"/>
        </w:rPr>
      </w:pPr>
    </w:p>
    <w:p w14:paraId="05DD6FCD">
      <w:pPr>
        <w:spacing w:line="306" w:lineRule="auto"/>
        <w:rPr>
          <w:rFonts w:ascii="Arial"/>
          <w:color w:val="auto"/>
          <w:sz w:val="21"/>
          <w:highlight w:val="none"/>
        </w:rPr>
      </w:pPr>
    </w:p>
    <w:p w14:paraId="10D32AFF">
      <w:pPr>
        <w:keepNext w:val="0"/>
        <w:keepLines w:val="0"/>
        <w:pageBreakBefore w:val="0"/>
        <w:widowControl w:val="0"/>
        <w:kinsoku/>
        <w:wordWrap/>
        <w:overflowPunct/>
        <w:topLinePunct w:val="0"/>
        <w:autoSpaceDE/>
        <w:autoSpaceDN/>
        <w:bidi w:val="0"/>
        <w:adjustRightInd/>
        <w:snapToGrid/>
        <w:spacing w:line="560" w:lineRule="exact"/>
        <w:ind w:left="0" w:right="0" w:firstLine="588" w:firstLineChars="200"/>
        <w:jc w:val="both"/>
        <w:textAlignment w:val="auto"/>
        <w:rPr>
          <w:rFonts w:ascii="仿宋" w:hAnsi="仿宋" w:eastAsia="仿宋" w:cs="仿宋"/>
          <w:color w:val="auto"/>
          <w:sz w:val="31"/>
          <w:szCs w:val="31"/>
          <w:highlight w:val="none"/>
        </w:rPr>
      </w:pPr>
      <w:r>
        <w:rPr>
          <w:rFonts w:ascii="仿宋" w:hAnsi="仿宋" w:eastAsia="仿宋" w:cs="仿宋"/>
          <w:color w:val="auto"/>
          <w:spacing w:val="-8"/>
          <w:sz w:val="31"/>
          <w:szCs w:val="31"/>
          <w:highlight w:val="none"/>
        </w:rPr>
        <w:t>20××年××月××日，××（单位）主持召开了XX</w:t>
      </w:r>
      <w:r>
        <w:rPr>
          <w:rFonts w:ascii="仿宋" w:hAnsi="仿宋" w:eastAsia="仿宋" w:cs="仿宋"/>
          <w:color w:val="auto"/>
          <w:spacing w:val="6"/>
          <w:sz w:val="31"/>
          <w:szCs w:val="31"/>
          <w:highlight w:val="none"/>
        </w:rPr>
        <w:t>项目</w:t>
      </w:r>
      <w:r>
        <w:rPr>
          <w:rFonts w:hint="eastAsia" w:ascii="仿宋" w:hAnsi="仿宋" w:eastAsia="仿宋" w:cs="仿宋"/>
          <w:color w:val="auto"/>
          <w:spacing w:val="6"/>
          <w:sz w:val="31"/>
          <w:szCs w:val="31"/>
          <w:highlight w:val="none"/>
          <w:lang w:val="en-US" w:eastAsia="zh-CN"/>
        </w:rPr>
        <w:t>垃圾围闸治理单位工程</w:t>
      </w:r>
      <w:r>
        <w:rPr>
          <w:rFonts w:ascii="仿宋" w:hAnsi="仿宋" w:eastAsia="仿宋" w:cs="仿宋"/>
          <w:color w:val="auto"/>
          <w:spacing w:val="6"/>
          <w:sz w:val="31"/>
          <w:szCs w:val="31"/>
          <w:highlight w:val="none"/>
        </w:rPr>
        <w:t>验收会议，参加会议的有</w:t>
      </w:r>
      <w:r>
        <w:rPr>
          <w:rFonts w:ascii="仿宋" w:hAnsi="仿宋" w:eastAsia="仿宋" w:cs="仿宋"/>
          <w:color w:val="auto"/>
          <w:sz w:val="31"/>
          <w:szCs w:val="31"/>
          <w:highlight w:val="none"/>
        </w:rPr>
        <w:t>XXXX</w:t>
      </w:r>
      <w:r>
        <w:rPr>
          <w:rFonts w:ascii="仿宋" w:hAnsi="仿宋" w:eastAsia="仿宋" w:cs="仿宋"/>
          <w:color w:val="auto"/>
          <w:spacing w:val="6"/>
          <w:sz w:val="31"/>
          <w:szCs w:val="31"/>
          <w:highlight w:val="none"/>
        </w:rPr>
        <w:t>、</w:t>
      </w:r>
      <w:r>
        <w:rPr>
          <w:rFonts w:ascii="仿宋" w:hAnsi="仿宋" w:eastAsia="仿宋" w:cs="仿宋"/>
          <w:color w:val="auto"/>
          <w:sz w:val="31"/>
          <w:szCs w:val="31"/>
          <w:highlight w:val="none"/>
        </w:rPr>
        <w:t>XXXX</w:t>
      </w:r>
      <w:r>
        <w:rPr>
          <w:rFonts w:ascii="仿宋" w:hAnsi="仿宋" w:eastAsia="仿宋" w:cs="仿宋"/>
          <w:color w:val="auto"/>
          <w:spacing w:val="6"/>
          <w:sz w:val="31"/>
          <w:szCs w:val="31"/>
          <w:highlight w:val="none"/>
        </w:rPr>
        <w:t>等有关单位</w:t>
      </w:r>
      <w:r>
        <w:rPr>
          <w:rFonts w:ascii="仿宋" w:hAnsi="仿宋" w:eastAsia="仿宋" w:cs="仿宋"/>
          <w:color w:val="auto"/>
          <w:spacing w:val="13"/>
          <w:sz w:val="31"/>
          <w:szCs w:val="31"/>
          <w:highlight w:val="none"/>
        </w:rPr>
        <w:t>的代表，并组成验收工作组。验收工作组通过查看项目现</w:t>
      </w:r>
      <w:r>
        <w:rPr>
          <w:rFonts w:ascii="仿宋" w:hAnsi="仿宋" w:eastAsia="仿宋" w:cs="仿宋"/>
          <w:color w:val="auto"/>
          <w:spacing w:val="10"/>
          <w:sz w:val="31"/>
          <w:szCs w:val="31"/>
          <w:highlight w:val="none"/>
        </w:rPr>
        <w:t>场、听取有关单位汇报、查阅项目资料等方式，了解项目</w:t>
      </w:r>
      <w:r>
        <w:rPr>
          <w:rFonts w:ascii="仿宋" w:hAnsi="仿宋" w:eastAsia="仿宋" w:cs="仿宋"/>
          <w:color w:val="auto"/>
          <w:spacing w:val="8"/>
          <w:sz w:val="31"/>
          <w:szCs w:val="31"/>
          <w:highlight w:val="none"/>
        </w:rPr>
        <w:t>实施及完成情况，进行了充分讨论，形成以下鉴定意见。</w:t>
      </w:r>
    </w:p>
    <w:p w14:paraId="0D62F93C">
      <w:pPr>
        <w:keepNext w:val="0"/>
        <w:keepLines w:val="0"/>
        <w:pageBreakBefore w:val="0"/>
        <w:widowControl w:val="0"/>
        <w:kinsoku/>
        <w:wordWrap/>
        <w:overflowPunct/>
        <w:topLinePunct w:val="0"/>
        <w:autoSpaceDE/>
        <w:autoSpaceDN/>
        <w:bidi w:val="0"/>
        <w:adjustRightInd/>
        <w:snapToGrid/>
        <w:spacing w:line="560" w:lineRule="exact"/>
        <w:ind w:left="0" w:right="0" w:firstLine="644" w:firstLineChars="200"/>
        <w:textAlignment w:val="auto"/>
        <w:rPr>
          <w:rFonts w:ascii="黑体" w:hAnsi="黑体" w:eastAsia="黑体" w:cs="黑体"/>
          <w:color w:val="auto"/>
          <w:sz w:val="31"/>
          <w:szCs w:val="31"/>
          <w:highlight w:val="none"/>
        </w:rPr>
      </w:pPr>
      <w:r>
        <w:rPr>
          <w:rFonts w:ascii="黑体" w:hAnsi="黑体" w:eastAsia="黑体" w:cs="黑体"/>
          <w:color w:val="auto"/>
          <w:spacing w:val="6"/>
          <w:sz w:val="31"/>
          <w:szCs w:val="31"/>
          <w:highlight w:val="none"/>
        </w:rPr>
        <w:t>一、项目概况</w:t>
      </w:r>
    </w:p>
    <w:p w14:paraId="1CEEEC5A">
      <w:pPr>
        <w:keepNext w:val="0"/>
        <w:keepLines w:val="0"/>
        <w:pageBreakBefore w:val="0"/>
        <w:widowControl w:val="0"/>
        <w:kinsoku/>
        <w:wordWrap/>
        <w:overflowPunct/>
        <w:topLinePunct w:val="0"/>
        <w:autoSpaceDE/>
        <w:autoSpaceDN/>
        <w:bidi w:val="0"/>
        <w:adjustRightInd/>
        <w:snapToGrid/>
        <w:spacing w:line="560" w:lineRule="exact"/>
        <w:ind w:left="0" w:right="0" w:firstLine="602" w:firstLineChars="200"/>
        <w:textAlignment w:val="auto"/>
        <w:rPr>
          <w:rFonts w:ascii="楷体" w:hAnsi="楷体" w:eastAsia="楷体" w:cs="楷体"/>
          <w:color w:val="auto"/>
          <w:sz w:val="31"/>
          <w:szCs w:val="31"/>
          <w:highlight w:val="none"/>
        </w:rPr>
      </w:pPr>
      <w:r>
        <w:rPr>
          <w:rFonts w:ascii="楷体" w:hAnsi="楷体" w:eastAsia="楷体" w:cs="楷体"/>
          <w:b/>
          <w:bCs/>
          <w:color w:val="auto"/>
          <w:spacing w:val="-5"/>
          <w:sz w:val="31"/>
          <w:szCs w:val="31"/>
          <w:highlight w:val="none"/>
        </w:rPr>
        <w:t>（一）项目名称及位置</w:t>
      </w:r>
    </w:p>
    <w:p w14:paraId="727C8F65">
      <w:pPr>
        <w:keepNext w:val="0"/>
        <w:keepLines w:val="0"/>
        <w:pageBreakBefore w:val="0"/>
        <w:widowControl w:val="0"/>
        <w:kinsoku/>
        <w:wordWrap/>
        <w:overflowPunct/>
        <w:topLinePunct w:val="0"/>
        <w:autoSpaceDE/>
        <w:autoSpaceDN/>
        <w:bidi w:val="0"/>
        <w:adjustRightInd/>
        <w:snapToGrid/>
        <w:spacing w:line="560" w:lineRule="exact"/>
        <w:ind w:right="0" w:firstLine="628" w:firstLineChars="200"/>
        <w:textAlignment w:val="auto"/>
        <w:rPr>
          <w:rFonts w:ascii="仿宋" w:hAnsi="仿宋" w:eastAsia="仿宋" w:cs="仿宋"/>
          <w:color w:val="auto"/>
          <w:sz w:val="31"/>
          <w:szCs w:val="31"/>
          <w:highlight w:val="none"/>
        </w:rPr>
      </w:pPr>
      <w:r>
        <w:rPr>
          <w:rFonts w:ascii="仿宋" w:hAnsi="仿宋" w:eastAsia="仿宋" w:cs="仿宋"/>
          <w:color w:val="auto"/>
          <w:spacing w:val="2"/>
          <w:sz w:val="31"/>
          <w:szCs w:val="31"/>
          <w:highlight w:val="none"/>
        </w:rPr>
        <w:t>1</w:t>
      </w:r>
      <w:r>
        <w:rPr>
          <w:rFonts w:hint="eastAsia" w:ascii="仿宋" w:hAnsi="仿宋" w:eastAsia="仿宋" w:cs="仿宋"/>
          <w:color w:val="auto"/>
          <w:spacing w:val="2"/>
          <w:sz w:val="31"/>
          <w:szCs w:val="31"/>
          <w:highlight w:val="none"/>
          <w:lang w:val="en-US" w:eastAsia="zh-CN"/>
        </w:rPr>
        <w:t>.</w:t>
      </w:r>
      <w:r>
        <w:rPr>
          <w:rFonts w:ascii="仿宋" w:hAnsi="仿宋" w:eastAsia="仿宋" w:cs="仿宋"/>
          <w:color w:val="auto"/>
          <w:spacing w:val="2"/>
          <w:sz w:val="31"/>
          <w:szCs w:val="31"/>
          <w:highlight w:val="none"/>
        </w:rPr>
        <w:t>项目名称：</w:t>
      </w:r>
    </w:p>
    <w:p w14:paraId="15B967F7">
      <w:pPr>
        <w:keepNext w:val="0"/>
        <w:keepLines w:val="0"/>
        <w:pageBreakBefore w:val="0"/>
        <w:widowControl w:val="0"/>
        <w:kinsoku/>
        <w:wordWrap/>
        <w:overflowPunct/>
        <w:topLinePunct w:val="0"/>
        <w:autoSpaceDE/>
        <w:autoSpaceDN/>
        <w:bidi w:val="0"/>
        <w:adjustRightInd/>
        <w:snapToGrid/>
        <w:spacing w:line="560" w:lineRule="exact"/>
        <w:ind w:right="0" w:firstLine="556" w:firstLineChars="200"/>
        <w:textAlignment w:val="auto"/>
        <w:rPr>
          <w:rFonts w:hint="default" w:ascii="仿宋" w:hAnsi="仿宋" w:eastAsia="仿宋" w:cs="仿宋"/>
          <w:color w:val="auto"/>
          <w:sz w:val="31"/>
          <w:szCs w:val="31"/>
          <w:highlight w:val="none"/>
          <w:lang w:val="en-US" w:eastAsia="zh-CN"/>
        </w:rPr>
      </w:pPr>
      <w:r>
        <w:rPr>
          <w:rFonts w:hint="eastAsia" w:ascii="仿宋" w:hAnsi="仿宋" w:eastAsia="仿宋" w:cs="仿宋"/>
          <w:color w:val="auto"/>
          <w:spacing w:val="-16"/>
          <w:sz w:val="31"/>
          <w:szCs w:val="31"/>
          <w:highlight w:val="none"/>
          <w:lang w:val="en-US" w:eastAsia="zh-CN"/>
        </w:rPr>
        <w:t>2.位置：</w:t>
      </w:r>
    </w:p>
    <w:p w14:paraId="5DF6EF6D">
      <w:pPr>
        <w:keepNext w:val="0"/>
        <w:keepLines w:val="0"/>
        <w:pageBreakBefore w:val="0"/>
        <w:widowControl w:val="0"/>
        <w:kinsoku/>
        <w:wordWrap/>
        <w:overflowPunct/>
        <w:topLinePunct w:val="0"/>
        <w:autoSpaceDE/>
        <w:autoSpaceDN/>
        <w:bidi w:val="0"/>
        <w:adjustRightInd/>
        <w:snapToGrid/>
        <w:spacing w:line="560" w:lineRule="exact"/>
        <w:ind w:left="0" w:right="0" w:firstLine="638" w:firstLineChars="200"/>
        <w:textAlignment w:val="auto"/>
        <w:rPr>
          <w:rFonts w:ascii="楷体" w:hAnsi="楷体" w:eastAsia="楷体" w:cs="楷体"/>
          <w:color w:val="auto"/>
          <w:sz w:val="31"/>
          <w:szCs w:val="31"/>
          <w:highlight w:val="none"/>
        </w:rPr>
      </w:pPr>
      <w:r>
        <w:rPr>
          <w:rFonts w:ascii="楷体" w:hAnsi="楷体" w:eastAsia="楷体" w:cs="楷体"/>
          <w:b/>
          <w:bCs/>
          <w:color w:val="auto"/>
          <w:spacing w:val="4"/>
          <w:sz w:val="31"/>
          <w:szCs w:val="31"/>
          <w:highlight w:val="none"/>
        </w:rPr>
        <w:t>（二）项目主要实施内容</w:t>
      </w:r>
    </w:p>
    <w:p w14:paraId="26D9859F">
      <w:pPr>
        <w:keepNext w:val="0"/>
        <w:keepLines w:val="0"/>
        <w:pageBreakBefore w:val="0"/>
        <w:widowControl w:val="0"/>
        <w:kinsoku/>
        <w:wordWrap/>
        <w:overflowPunct/>
        <w:topLinePunct w:val="0"/>
        <w:autoSpaceDE/>
        <w:autoSpaceDN/>
        <w:bidi w:val="0"/>
        <w:adjustRightInd/>
        <w:snapToGrid/>
        <w:spacing w:line="560" w:lineRule="exact"/>
        <w:ind w:left="0" w:right="0" w:firstLine="668" w:firstLineChars="200"/>
        <w:textAlignment w:val="auto"/>
        <w:rPr>
          <w:rFonts w:ascii="仿宋" w:hAnsi="仿宋" w:eastAsia="仿宋" w:cs="仿宋"/>
          <w:color w:val="auto"/>
          <w:sz w:val="31"/>
          <w:szCs w:val="31"/>
          <w:highlight w:val="none"/>
        </w:rPr>
      </w:pPr>
      <w:r>
        <w:rPr>
          <w:rFonts w:ascii="仿宋" w:hAnsi="仿宋" w:eastAsia="仿宋" w:cs="仿宋"/>
          <w:color w:val="auto"/>
          <w:spacing w:val="12"/>
          <w:sz w:val="31"/>
          <w:szCs w:val="31"/>
          <w:highlight w:val="none"/>
        </w:rPr>
        <w:t>简要叙述项目主要实施内容，合同工程量、合同签订</w:t>
      </w:r>
      <w:r>
        <w:rPr>
          <w:rFonts w:ascii="仿宋" w:hAnsi="仿宋" w:eastAsia="仿宋" w:cs="仿宋"/>
          <w:color w:val="auto"/>
          <w:spacing w:val="-6"/>
          <w:sz w:val="31"/>
          <w:szCs w:val="31"/>
          <w:highlight w:val="none"/>
        </w:rPr>
        <w:t>情况</w:t>
      </w:r>
    </w:p>
    <w:p w14:paraId="47A953F4">
      <w:pPr>
        <w:keepNext w:val="0"/>
        <w:keepLines w:val="0"/>
        <w:pageBreakBefore w:val="0"/>
        <w:widowControl w:val="0"/>
        <w:kinsoku/>
        <w:wordWrap/>
        <w:overflowPunct/>
        <w:topLinePunct w:val="0"/>
        <w:autoSpaceDE/>
        <w:autoSpaceDN/>
        <w:bidi w:val="0"/>
        <w:adjustRightInd/>
        <w:snapToGrid/>
        <w:spacing w:line="560" w:lineRule="exact"/>
        <w:ind w:left="0" w:right="0" w:firstLine="598" w:firstLineChars="200"/>
        <w:textAlignment w:val="auto"/>
        <w:rPr>
          <w:rFonts w:ascii="楷体" w:hAnsi="楷体" w:eastAsia="楷体" w:cs="楷体"/>
          <w:color w:val="auto"/>
          <w:sz w:val="31"/>
          <w:szCs w:val="31"/>
          <w:highlight w:val="none"/>
        </w:rPr>
      </w:pPr>
      <w:r>
        <w:rPr>
          <w:rFonts w:ascii="楷体" w:hAnsi="楷体" w:eastAsia="楷体" w:cs="楷体"/>
          <w:b/>
          <w:bCs/>
          <w:color w:val="auto"/>
          <w:spacing w:val="-6"/>
          <w:sz w:val="31"/>
          <w:szCs w:val="31"/>
          <w:highlight w:val="none"/>
        </w:rPr>
        <w:t>（三）项目建设过程</w:t>
      </w:r>
    </w:p>
    <w:p w14:paraId="0EA4CF45">
      <w:pPr>
        <w:keepNext w:val="0"/>
        <w:keepLines w:val="0"/>
        <w:pageBreakBefore w:val="0"/>
        <w:widowControl w:val="0"/>
        <w:kinsoku/>
        <w:wordWrap/>
        <w:overflowPunct/>
        <w:topLinePunct w:val="0"/>
        <w:autoSpaceDE/>
        <w:autoSpaceDN/>
        <w:bidi w:val="0"/>
        <w:adjustRightInd/>
        <w:snapToGrid/>
        <w:spacing w:line="560" w:lineRule="exact"/>
        <w:ind w:left="0" w:right="0" w:firstLine="668" w:firstLineChars="200"/>
        <w:textAlignment w:val="auto"/>
        <w:rPr>
          <w:rFonts w:ascii="仿宋" w:hAnsi="仿宋" w:eastAsia="仿宋" w:cs="仿宋"/>
          <w:color w:val="auto"/>
          <w:sz w:val="31"/>
          <w:szCs w:val="31"/>
          <w:highlight w:val="none"/>
        </w:rPr>
      </w:pPr>
      <w:r>
        <w:rPr>
          <w:rFonts w:ascii="仿宋" w:hAnsi="仿宋" w:eastAsia="仿宋" w:cs="仿宋"/>
          <w:color w:val="auto"/>
          <w:spacing w:val="12"/>
          <w:sz w:val="31"/>
          <w:szCs w:val="31"/>
          <w:highlight w:val="none"/>
        </w:rPr>
        <w:t>简述项目开、完工日期，主要关键节点完工时间和施</w:t>
      </w:r>
      <w:r>
        <w:rPr>
          <w:rFonts w:ascii="仿宋" w:hAnsi="仿宋" w:eastAsia="仿宋" w:cs="仿宋"/>
          <w:color w:val="auto"/>
          <w:spacing w:val="7"/>
          <w:sz w:val="31"/>
          <w:szCs w:val="31"/>
          <w:highlight w:val="none"/>
        </w:rPr>
        <w:t>工主要过程；工期提前或延误情况说明等。</w:t>
      </w:r>
    </w:p>
    <w:p w14:paraId="29443739">
      <w:pPr>
        <w:ind w:right="200" w:rightChars="100"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二、验收范围</w:t>
      </w:r>
    </w:p>
    <w:p w14:paraId="2A50B11D">
      <w:pPr>
        <w:ind w:right="200" w:rightChars="100" w:firstLine="640" w:firstLineChars="200"/>
        <w:rPr>
          <w:rFonts w:ascii="仿宋_GB2312" w:hAnsi="仿宋_GB2312" w:eastAsia="仿宋_GB2312" w:cs="仿宋_GB2312"/>
          <w:bCs/>
          <w:color w:val="auto"/>
          <w:sz w:val="32"/>
          <w:szCs w:val="32"/>
          <w:highlight w:val="none"/>
        </w:rPr>
      </w:pPr>
    </w:p>
    <w:p w14:paraId="0022C50A">
      <w:pPr>
        <w:ind w:right="200" w:rightChars="100"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三、</w:t>
      </w:r>
      <w:r>
        <w:rPr>
          <w:rFonts w:hint="eastAsia" w:ascii="黑体" w:hAnsi="黑体" w:eastAsia="黑体" w:cs="黑体"/>
          <w:bCs/>
          <w:color w:val="auto"/>
          <w:sz w:val="32"/>
          <w:szCs w:val="32"/>
          <w:highlight w:val="none"/>
          <w:lang w:val="en-US" w:eastAsia="zh-CN"/>
        </w:rPr>
        <w:t>项目</w:t>
      </w:r>
      <w:r>
        <w:rPr>
          <w:rFonts w:hint="eastAsia" w:ascii="黑体" w:hAnsi="黑体" w:eastAsia="黑体" w:cs="黑体"/>
          <w:bCs/>
          <w:color w:val="auto"/>
          <w:sz w:val="32"/>
          <w:szCs w:val="32"/>
          <w:highlight w:val="none"/>
        </w:rPr>
        <w:t>完成情况和完成的主要</w:t>
      </w:r>
      <w:r>
        <w:rPr>
          <w:rFonts w:hint="eastAsia" w:ascii="黑体" w:hAnsi="黑体" w:eastAsia="黑体" w:cs="黑体"/>
          <w:bCs/>
          <w:color w:val="auto"/>
          <w:sz w:val="32"/>
          <w:szCs w:val="32"/>
          <w:highlight w:val="none"/>
          <w:lang w:val="en-US" w:eastAsia="zh-CN"/>
        </w:rPr>
        <w:t>工作</w:t>
      </w:r>
      <w:r>
        <w:rPr>
          <w:rFonts w:hint="eastAsia" w:ascii="黑体" w:hAnsi="黑体" w:eastAsia="黑体" w:cs="黑体"/>
          <w:bCs/>
          <w:color w:val="auto"/>
          <w:sz w:val="32"/>
          <w:szCs w:val="32"/>
          <w:highlight w:val="none"/>
        </w:rPr>
        <w:t>量</w:t>
      </w:r>
    </w:p>
    <w:p w14:paraId="6B924AC1">
      <w:pPr>
        <w:ind w:right="200" w:rightChars="100" w:firstLine="640" w:firstLineChars="200"/>
        <w:rPr>
          <w:rFonts w:ascii="黑体" w:hAnsi="黑体" w:eastAsia="黑体" w:cs="黑体"/>
          <w:bCs/>
          <w:color w:val="auto"/>
          <w:sz w:val="32"/>
          <w:szCs w:val="32"/>
          <w:highlight w:val="none"/>
        </w:rPr>
      </w:pPr>
    </w:p>
    <w:p w14:paraId="00F533FE">
      <w:pPr>
        <w:ind w:right="200" w:rightChars="100"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lang w:val="en-US" w:eastAsia="zh-CN"/>
        </w:rPr>
        <w:t>四</w:t>
      </w:r>
      <w:r>
        <w:rPr>
          <w:rFonts w:hint="eastAsia" w:ascii="黑体" w:hAnsi="黑体" w:eastAsia="黑体" w:cs="黑体"/>
          <w:bCs/>
          <w:color w:val="auto"/>
          <w:sz w:val="32"/>
          <w:szCs w:val="32"/>
          <w:highlight w:val="none"/>
        </w:rPr>
        <w:t>、遗留问题处理情况</w:t>
      </w:r>
    </w:p>
    <w:p w14:paraId="71CD7D31">
      <w:pPr>
        <w:ind w:right="200" w:rightChars="100" w:firstLine="640" w:firstLineChars="200"/>
        <w:rPr>
          <w:rFonts w:ascii="仿宋_GB2312" w:hAnsi="仿宋_GB2312" w:eastAsia="仿宋_GB2312" w:cs="仿宋_GB2312"/>
          <w:bCs/>
          <w:color w:val="auto"/>
          <w:sz w:val="32"/>
          <w:szCs w:val="32"/>
          <w:highlight w:val="none"/>
        </w:rPr>
      </w:pPr>
    </w:p>
    <w:p w14:paraId="0869E43B">
      <w:pPr>
        <w:ind w:right="200" w:rightChars="100"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lang w:val="en-US" w:eastAsia="zh-CN"/>
        </w:rPr>
        <w:t>五</w:t>
      </w:r>
      <w:r>
        <w:rPr>
          <w:rFonts w:hint="eastAsia" w:ascii="黑体" w:hAnsi="黑体" w:eastAsia="黑体" w:cs="黑体"/>
          <w:bCs/>
          <w:color w:val="auto"/>
          <w:sz w:val="32"/>
          <w:szCs w:val="32"/>
          <w:highlight w:val="none"/>
        </w:rPr>
        <w:t>、存在的主要问题及处理意见</w:t>
      </w:r>
    </w:p>
    <w:p w14:paraId="36974866">
      <w:pPr>
        <w:ind w:right="200" w:rightChars="100" w:firstLine="640" w:firstLineChars="200"/>
        <w:rPr>
          <w:rFonts w:ascii="仿宋_GB2312" w:hAnsi="仿宋_GB2312" w:eastAsia="仿宋_GB2312" w:cs="仿宋_GB2312"/>
          <w:bCs/>
          <w:color w:val="auto"/>
          <w:sz w:val="32"/>
          <w:szCs w:val="32"/>
          <w:highlight w:val="none"/>
        </w:rPr>
      </w:pPr>
    </w:p>
    <w:p w14:paraId="1DE638C0">
      <w:pPr>
        <w:ind w:right="200" w:rightChars="100"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七、意见和建议</w:t>
      </w:r>
    </w:p>
    <w:p w14:paraId="680E77A6">
      <w:pPr>
        <w:ind w:right="200" w:rightChars="100" w:firstLine="640" w:firstLineChars="200"/>
        <w:rPr>
          <w:rFonts w:ascii="仿宋_GB2312" w:hAnsi="仿宋_GB2312" w:eastAsia="仿宋_GB2312" w:cs="仿宋_GB2312"/>
          <w:bCs/>
          <w:color w:val="auto"/>
          <w:sz w:val="32"/>
          <w:szCs w:val="32"/>
          <w:highlight w:val="none"/>
        </w:rPr>
      </w:pPr>
    </w:p>
    <w:p w14:paraId="1089EB76">
      <w:pPr>
        <w:ind w:right="200" w:rightChars="100"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八、结论</w:t>
      </w:r>
    </w:p>
    <w:p w14:paraId="05F4879A">
      <w:pPr>
        <w:ind w:right="200" w:rightChars="100"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验收工作组通过察看现场、听取汇报、查阅资料和充分讨论，认为本项目已按照要求完成合同全部内容，质量合格，财务管理和预算执行符合有关规定，档案资料基本齐全完整，同意通过</w:t>
      </w:r>
      <w:r>
        <w:rPr>
          <w:rFonts w:hint="eastAsia" w:ascii="仿宋_GB2312" w:hAnsi="仿宋_GB2312" w:eastAsia="仿宋_GB2312" w:cs="仿宋_GB2312"/>
          <w:bCs/>
          <w:color w:val="auto"/>
          <w:sz w:val="32"/>
          <w:szCs w:val="32"/>
          <w:highlight w:val="none"/>
          <w:lang w:val="en-US" w:eastAsia="zh-CN"/>
        </w:rPr>
        <w:t>单位工程</w:t>
      </w:r>
      <w:r>
        <w:rPr>
          <w:rFonts w:hint="eastAsia" w:ascii="仿宋_GB2312" w:hAnsi="仿宋_GB2312" w:eastAsia="仿宋_GB2312" w:cs="仿宋_GB2312"/>
          <w:bCs/>
          <w:color w:val="auto"/>
          <w:sz w:val="32"/>
          <w:szCs w:val="32"/>
          <w:highlight w:val="none"/>
        </w:rPr>
        <w:t>验收。</w:t>
      </w:r>
    </w:p>
    <w:p w14:paraId="0F7C4B18">
      <w:pPr>
        <w:ind w:right="200" w:rightChars="100" w:firstLine="640" w:firstLineChars="200"/>
        <w:rPr>
          <w:rFonts w:ascii="仿宋_GB2312" w:hAnsi="仿宋_GB2312" w:eastAsia="仿宋_GB2312" w:cs="仿宋_GB2312"/>
          <w:bCs/>
          <w:color w:val="auto"/>
          <w:sz w:val="32"/>
          <w:szCs w:val="32"/>
          <w:highlight w:val="none"/>
        </w:rPr>
      </w:pPr>
      <w:r>
        <w:rPr>
          <w:rFonts w:hint="eastAsia" w:ascii="黑体" w:hAnsi="黑体" w:eastAsia="黑体" w:cs="黑体"/>
          <w:bCs/>
          <w:color w:val="auto"/>
          <w:sz w:val="32"/>
          <w:szCs w:val="32"/>
          <w:highlight w:val="none"/>
        </w:rPr>
        <w:t>九、保留意见（应有本人签字）</w:t>
      </w:r>
    </w:p>
    <w:p w14:paraId="764CB147">
      <w:pPr>
        <w:ind w:right="200" w:rightChars="100" w:firstLine="640" w:firstLineChars="200"/>
        <w:rPr>
          <w:rFonts w:ascii="仿宋_GB2312" w:hAnsi="仿宋_GB2312" w:eastAsia="仿宋_GB2312" w:cs="仿宋_GB2312"/>
          <w:bCs/>
          <w:color w:val="auto"/>
          <w:sz w:val="32"/>
          <w:szCs w:val="32"/>
          <w:highlight w:val="none"/>
        </w:rPr>
      </w:pPr>
    </w:p>
    <w:p w14:paraId="4441DE89">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黑体" w:hAnsi="黑体" w:eastAsia="黑体" w:cs="黑体"/>
          <w:color w:val="auto"/>
          <w:sz w:val="31"/>
          <w:szCs w:val="31"/>
          <w:highlight w:val="none"/>
        </w:rPr>
      </w:pPr>
      <w:r>
        <w:rPr>
          <w:rFonts w:hint="eastAsia" w:ascii="黑体" w:hAnsi="黑体" w:eastAsia="黑体" w:cs="黑体"/>
          <w:bCs/>
          <w:color w:val="auto"/>
          <w:sz w:val="32"/>
          <w:szCs w:val="32"/>
          <w:highlight w:val="none"/>
        </w:rPr>
        <w:t>十、验收工作组成员签字表</w:t>
      </w:r>
    </w:p>
    <w:p w14:paraId="66FBCA0E">
      <w:pPr>
        <w:keepNext w:val="0"/>
        <w:keepLines w:val="0"/>
        <w:pageBreakBefore w:val="0"/>
        <w:widowControl w:val="0"/>
        <w:kinsoku/>
        <w:wordWrap/>
        <w:overflowPunct/>
        <w:topLinePunct w:val="0"/>
        <w:autoSpaceDE/>
        <w:autoSpaceDN/>
        <w:bidi w:val="0"/>
        <w:adjustRightInd/>
        <w:snapToGrid/>
        <w:spacing w:line="560" w:lineRule="exact"/>
        <w:ind w:left="0" w:right="0" w:firstLine="620" w:firstLineChars="200"/>
        <w:textAlignment w:val="auto"/>
        <w:rPr>
          <w:rFonts w:ascii="黑体" w:hAnsi="黑体" w:eastAsia="黑体" w:cs="黑体"/>
          <w:color w:val="auto"/>
          <w:sz w:val="31"/>
          <w:szCs w:val="31"/>
          <w:highlight w:val="none"/>
        </w:rPr>
        <w:sectPr>
          <w:footerReference r:id="rId17" w:type="default"/>
          <w:pgSz w:w="11906" w:h="16839"/>
          <w:pgMar w:top="1166" w:right="1785" w:bottom="1233" w:left="1785" w:header="829" w:footer="1016" w:gutter="0"/>
          <w:cols w:space="720" w:num="1"/>
        </w:sectPr>
      </w:pPr>
    </w:p>
    <w:p w14:paraId="4AB6FE47">
      <w:pPr>
        <w:spacing w:line="260" w:lineRule="auto"/>
        <w:jc w:val="center"/>
        <w:rPr>
          <w:rFonts w:ascii="Arial"/>
          <w:color w:val="auto"/>
          <w:sz w:val="21"/>
          <w:highlight w:val="none"/>
        </w:rPr>
      </w:pPr>
    </w:p>
    <w:p w14:paraId="66F94EED">
      <w:pPr>
        <w:spacing w:before="113" w:line="226" w:lineRule="auto"/>
        <w:jc w:val="center"/>
        <w:rPr>
          <w:rFonts w:ascii="黑体" w:hAnsi="黑体" w:eastAsia="黑体" w:cs="黑体"/>
          <w:b/>
          <w:bCs/>
          <w:color w:val="auto"/>
          <w:spacing w:val="-16"/>
          <w:sz w:val="35"/>
          <w:szCs w:val="35"/>
          <w:highlight w:val="none"/>
        </w:rPr>
      </w:pPr>
      <w:r>
        <w:rPr>
          <w:rFonts w:ascii="黑体" w:hAnsi="黑体" w:eastAsia="黑体" w:cs="黑体"/>
          <w:b/>
          <w:bCs/>
          <w:color w:val="auto"/>
          <w:spacing w:val="-16"/>
          <w:sz w:val="35"/>
          <w:szCs w:val="35"/>
          <w:highlight w:val="none"/>
        </w:rPr>
        <w:t>××××××项目</w:t>
      </w:r>
      <w:r>
        <w:rPr>
          <w:rFonts w:hint="eastAsia" w:ascii="黑体" w:hAnsi="黑体" w:eastAsia="黑体" w:cs="黑体"/>
          <w:b/>
          <w:bCs/>
          <w:color w:val="auto"/>
          <w:spacing w:val="-16"/>
          <w:sz w:val="35"/>
          <w:szCs w:val="35"/>
          <w:highlight w:val="none"/>
          <w:lang w:val="en-US" w:eastAsia="zh-CN"/>
        </w:rPr>
        <w:t>垃圾围闸治理单位工程</w:t>
      </w:r>
      <w:r>
        <w:rPr>
          <w:rFonts w:ascii="黑体" w:hAnsi="黑体" w:eastAsia="黑体" w:cs="黑体"/>
          <w:b/>
          <w:bCs/>
          <w:color w:val="auto"/>
          <w:spacing w:val="-16"/>
          <w:sz w:val="35"/>
          <w:szCs w:val="35"/>
          <w:highlight w:val="none"/>
        </w:rPr>
        <w:t>验收</w:t>
      </w:r>
    </w:p>
    <w:p w14:paraId="1025E368">
      <w:pPr>
        <w:spacing w:before="113" w:line="226" w:lineRule="auto"/>
        <w:jc w:val="center"/>
        <w:rPr>
          <w:rFonts w:ascii="黑体" w:hAnsi="黑体" w:eastAsia="黑体" w:cs="黑体"/>
          <w:color w:val="auto"/>
          <w:sz w:val="35"/>
          <w:szCs w:val="35"/>
          <w:highlight w:val="none"/>
        </w:rPr>
      </w:pPr>
      <w:r>
        <w:rPr>
          <w:rFonts w:ascii="黑体" w:hAnsi="黑体" w:eastAsia="黑体" w:cs="黑体"/>
          <w:b/>
          <w:bCs/>
          <w:color w:val="auto"/>
          <w:spacing w:val="-16"/>
          <w:sz w:val="35"/>
          <w:szCs w:val="35"/>
          <w:highlight w:val="none"/>
        </w:rPr>
        <w:t>工作组成员签字表</w:t>
      </w:r>
    </w:p>
    <w:tbl>
      <w:tblPr>
        <w:tblStyle w:val="269"/>
        <w:tblW w:w="87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0"/>
        <w:gridCol w:w="3233"/>
        <w:gridCol w:w="2239"/>
        <w:gridCol w:w="1932"/>
      </w:tblGrid>
      <w:tr w14:paraId="2BE42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vAlign w:val="top"/>
          </w:tcPr>
          <w:p w14:paraId="6B74FE15">
            <w:pPr>
              <w:spacing w:before="236" w:line="230" w:lineRule="auto"/>
              <w:ind w:left="206"/>
              <w:rPr>
                <w:rFonts w:ascii="仿宋" w:hAnsi="仿宋" w:eastAsia="仿宋" w:cs="仿宋"/>
                <w:color w:val="auto"/>
                <w:sz w:val="31"/>
                <w:szCs w:val="31"/>
                <w:highlight w:val="none"/>
              </w:rPr>
            </w:pPr>
            <w:r>
              <w:rPr>
                <w:rFonts w:ascii="仿宋" w:hAnsi="仿宋" w:eastAsia="仿宋" w:cs="仿宋"/>
                <w:b/>
                <w:bCs/>
                <w:color w:val="auto"/>
                <w:spacing w:val="-10"/>
                <w:sz w:val="31"/>
                <w:szCs w:val="31"/>
                <w:highlight w:val="none"/>
              </w:rPr>
              <w:t>姓名</w:t>
            </w:r>
          </w:p>
        </w:tc>
        <w:tc>
          <w:tcPr>
            <w:tcW w:w="3233" w:type="dxa"/>
            <w:vAlign w:val="top"/>
          </w:tcPr>
          <w:p w14:paraId="4DC38EF9">
            <w:pPr>
              <w:spacing w:before="236" w:line="226" w:lineRule="auto"/>
              <w:ind w:left="1366"/>
              <w:rPr>
                <w:rFonts w:ascii="仿宋" w:hAnsi="仿宋" w:eastAsia="仿宋" w:cs="仿宋"/>
                <w:color w:val="auto"/>
                <w:sz w:val="31"/>
                <w:szCs w:val="31"/>
                <w:highlight w:val="none"/>
              </w:rPr>
            </w:pPr>
            <w:r>
              <w:rPr>
                <w:rFonts w:ascii="仿宋" w:hAnsi="仿宋" w:eastAsia="仿宋" w:cs="仿宋"/>
                <w:b/>
                <w:bCs/>
                <w:color w:val="auto"/>
                <w:spacing w:val="-13"/>
                <w:sz w:val="31"/>
                <w:szCs w:val="31"/>
                <w:highlight w:val="none"/>
              </w:rPr>
              <w:t>单位</w:t>
            </w:r>
          </w:p>
        </w:tc>
        <w:tc>
          <w:tcPr>
            <w:tcW w:w="2239" w:type="dxa"/>
            <w:vAlign w:val="top"/>
          </w:tcPr>
          <w:p w14:paraId="39E9E5F4">
            <w:pPr>
              <w:spacing w:before="236" w:line="226" w:lineRule="auto"/>
              <w:ind w:left="370"/>
              <w:rPr>
                <w:rFonts w:ascii="仿宋" w:hAnsi="仿宋" w:eastAsia="仿宋" w:cs="仿宋"/>
                <w:color w:val="auto"/>
                <w:sz w:val="31"/>
                <w:szCs w:val="31"/>
                <w:highlight w:val="none"/>
              </w:rPr>
            </w:pPr>
            <w:r>
              <w:rPr>
                <w:rFonts w:ascii="仿宋" w:hAnsi="仿宋" w:eastAsia="仿宋" w:cs="仿宋"/>
                <w:b/>
                <w:bCs/>
                <w:color w:val="auto"/>
                <w:spacing w:val="2"/>
                <w:sz w:val="31"/>
                <w:szCs w:val="31"/>
                <w:highlight w:val="none"/>
              </w:rPr>
              <w:t>职务/职称</w:t>
            </w:r>
          </w:p>
        </w:tc>
        <w:tc>
          <w:tcPr>
            <w:tcW w:w="1932" w:type="dxa"/>
            <w:vAlign w:val="top"/>
          </w:tcPr>
          <w:p w14:paraId="23A686CA">
            <w:pPr>
              <w:spacing w:before="236" w:line="230" w:lineRule="auto"/>
              <w:ind w:left="586"/>
              <w:rPr>
                <w:rFonts w:ascii="仿宋" w:hAnsi="仿宋" w:eastAsia="仿宋" w:cs="仿宋"/>
                <w:color w:val="auto"/>
                <w:sz w:val="31"/>
                <w:szCs w:val="31"/>
                <w:highlight w:val="none"/>
              </w:rPr>
            </w:pPr>
            <w:r>
              <w:rPr>
                <w:rFonts w:ascii="仿宋" w:hAnsi="仿宋" w:eastAsia="仿宋" w:cs="仿宋"/>
                <w:b/>
                <w:bCs/>
                <w:color w:val="auto"/>
                <w:spacing w:val="-14"/>
                <w:sz w:val="31"/>
                <w:szCs w:val="31"/>
                <w:highlight w:val="none"/>
              </w:rPr>
              <w:t>签名</w:t>
            </w:r>
          </w:p>
        </w:tc>
      </w:tr>
      <w:tr w14:paraId="6A9BD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340" w:type="dxa"/>
            <w:vAlign w:val="top"/>
          </w:tcPr>
          <w:p w14:paraId="6B86CE05">
            <w:pPr>
              <w:rPr>
                <w:rFonts w:ascii="Arial"/>
                <w:color w:val="auto"/>
                <w:sz w:val="21"/>
                <w:highlight w:val="none"/>
              </w:rPr>
            </w:pPr>
          </w:p>
        </w:tc>
        <w:tc>
          <w:tcPr>
            <w:tcW w:w="3233" w:type="dxa"/>
            <w:vAlign w:val="top"/>
          </w:tcPr>
          <w:p w14:paraId="6036AC63">
            <w:pPr>
              <w:rPr>
                <w:rFonts w:ascii="Arial"/>
                <w:color w:val="auto"/>
                <w:sz w:val="21"/>
                <w:highlight w:val="none"/>
              </w:rPr>
            </w:pPr>
          </w:p>
        </w:tc>
        <w:tc>
          <w:tcPr>
            <w:tcW w:w="2239" w:type="dxa"/>
            <w:vAlign w:val="top"/>
          </w:tcPr>
          <w:p w14:paraId="2F359B52">
            <w:pPr>
              <w:rPr>
                <w:rFonts w:ascii="Arial"/>
                <w:color w:val="auto"/>
                <w:sz w:val="21"/>
                <w:highlight w:val="none"/>
              </w:rPr>
            </w:pPr>
          </w:p>
        </w:tc>
        <w:tc>
          <w:tcPr>
            <w:tcW w:w="1932" w:type="dxa"/>
            <w:vAlign w:val="top"/>
          </w:tcPr>
          <w:p w14:paraId="29892157">
            <w:pPr>
              <w:rPr>
                <w:rFonts w:ascii="Arial"/>
                <w:color w:val="auto"/>
                <w:sz w:val="21"/>
                <w:highlight w:val="none"/>
              </w:rPr>
            </w:pPr>
          </w:p>
        </w:tc>
      </w:tr>
      <w:tr w14:paraId="61CE5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4" w:hRule="atLeast"/>
        </w:trPr>
        <w:tc>
          <w:tcPr>
            <w:tcW w:w="1340" w:type="dxa"/>
            <w:vAlign w:val="top"/>
          </w:tcPr>
          <w:p w14:paraId="40229913">
            <w:pPr>
              <w:rPr>
                <w:rFonts w:ascii="Arial"/>
                <w:color w:val="auto"/>
                <w:sz w:val="21"/>
                <w:highlight w:val="none"/>
              </w:rPr>
            </w:pPr>
          </w:p>
        </w:tc>
        <w:tc>
          <w:tcPr>
            <w:tcW w:w="3233" w:type="dxa"/>
            <w:vAlign w:val="top"/>
          </w:tcPr>
          <w:p w14:paraId="7E260F8E">
            <w:pPr>
              <w:rPr>
                <w:rFonts w:ascii="Arial"/>
                <w:color w:val="auto"/>
                <w:sz w:val="21"/>
                <w:highlight w:val="none"/>
              </w:rPr>
            </w:pPr>
          </w:p>
        </w:tc>
        <w:tc>
          <w:tcPr>
            <w:tcW w:w="2239" w:type="dxa"/>
            <w:vAlign w:val="top"/>
          </w:tcPr>
          <w:p w14:paraId="772563DF">
            <w:pPr>
              <w:rPr>
                <w:rFonts w:ascii="Arial"/>
                <w:color w:val="auto"/>
                <w:sz w:val="21"/>
                <w:highlight w:val="none"/>
              </w:rPr>
            </w:pPr>
          </w:p>
        </w:tc>
        <w:tc>
          <w:tcPr>
            <w:tcW w:w="1932" w:type="dxa"/>
            <w:vAlign w:val="top"/>
          </w:tcPr>
          <w:p w14:paraId="475C5632">
            <w:pPr>
              <w:rPr>
                <w:rFonts w:ascii="Arial"/>
                <w:color w:val="auto"/>
                <w:sz w:val="21"/>
                <w:highlight w:val="none"/>
              </w:rPr>
            </w:pPr>
          </w:p>
        </w:tc>
      </w:tr>
      <w:tr w14:paraId="6A25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4" w:hRule="atLeast"/>
        </w:trPr>
        <w:tc>
          <w:tcPr>
            <w:tcW w:w="1340" w:type="dxa"/>
            <w:vAlign w:val="top"/>
          </w:tcPr>
          <w:p w14:paraId="0B8B5E0F">
            <w:pPr>
              <w:rPr>
                <w:rFonts w:ascii="Arial"/>
                <w:color w:val="auto"/>
                <w:sz w:val="21"/>
                <w:highlight w:val="none"/>
              </w:rPr>
            </w:pPr>
          </w:p>
        </w:tc>
        <w:tc>
          <w:tcPr>
            <w:tcW w:w="3233" w:type="dxa"/>
            <w:vAlign w:val="top"/>
          </w:tcPr>
          <w:p w14:paraId="732B873B">
            <w:pPr>
              <w:rPr>
                <w:rFonts w:ascii="Arial"/>
                <w:color w:val="auto"/>
                <w:sz w:val="21"/>
                <w:highlight w:val="none"/>
              </w:rPr>
            </w:pPr>
          </w:p>
        </w:tc>
        <w:tc>
          <w:tcPr>
            <w:tcW w:w="2239" w:type="dxa"/>
            <w:vAlign w:val="top"/>
          </w:tcPr>
          <w:p w14:paraId="024E9866">
            <w:pPr>
              <w:rPr>
                <w:rFonts w:ascii="Arial"/>
                <w:color w:val="auto"/>
                <w:sz w:val="21"/>
                <w:highlight w:val="none"/>
              </w:rPr>
            </w:pPr>
          </w:p>
        </w:tc>
        <w:tc>
          <w:tcPr>
            <w:tcW w:w="1932" w:type="dxa"/>
            <w:vAlign w:val="top"/>
          </w:tcPr>
          <w:p w14:paraId="0A0478B4">
            <w:pPr>
              <w:rPr>
                <w:rFonts w:ascii="Arial"/>
                <w:color w:val="auto"/>
                <w:sz w:val="21"/>
                <w:highlight w:val="none"/>
              </w:rPr>
            </w:pPr>
          </w:p>
        </w:tc>
      </w:tr>
      <w:tr w14:paraId="04560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4" w:hRule="atLeast"/>
        </w:trPr>
        <w:tc>
          <w:tcPr>
            <w:tcW w:w="1340" w:type="dxa"/>
            <w:vAlign w:val="top"/>
          </w:tcPr>
          <w:p w14:paraId="1C2879F8">
            <w:pPr>
              <w:rPr>
                <w:rFonts w:ascii="Arial"/>
                <w:color w:val="auto"/>
                <w:sz w:val="21"/>
                <w:highlight w:val="none"/>
              </w:rPr>
            </w:pPr>
          </w:p>
        </w:tc>
        <w:tc>
          <w:tcPr>
            <w:tcW w:w="3233" w:type="dxa"/>
            <w:vAlign w:val="top"/>
          </w:tcPr>
          <w:p w14:paraId="55EDE649">
            <w:pPr>
              <w:rPr>
                <w:rFonts w:ascii="Arial"/>
                <w:color w:val="auto"/>
                <w:sz w:val="21"/>
                <w:highlight w:val="none"/>
              </w:rPr>
            </w:pPr>
          </w:p>
        </w:tc>
        <w:tc>
          <w:tcPr>
            <w:tcW w:w="2239" w:type="dxa"/>
            <w:vAlign w:val="top"/>
          </w:tcPr>
          <w:p w14:paraId="4F027F61">
            <w:pPr>
              <w:rPr>
                <w:rFonts w:ascii="Arial"/>
                <w:color w:val="auto"/>
                <w:sz w:val="21"/>
                <w:highlight w:val="none"/>
              </w:rPr>
            </w:pPr>
          </w:p>
        </w:tc>
        <w:tc>
          <w:tcPr>
            <w:tcW w:w="1932" w:type="dxa"/>
            <w:vAlign w:val="top"/>
          </w:tcPr>
          <w:p w14:paraId="27BB92CA">
            <w:pPr>
              <w:rPr>
                <w:rFonts w:ascii="Arial"/>
                <w:color w:val="auto"/>
                <w:sz w:val="21"/>
                <w:highlight w:val="none"/>
              </w:rPr>
            </w:pPr>
          </w:p>
        </w:tc>
      </w:tr>
      <w:tr w14:paraId="6E4DF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5" w:hRule="atLeast"/>
        </w:trPr>
        <w:tc>
          <w:tcPr>
            <w:tcW w:w="1340" w:type="dxa"/>
            <w:vAlign w:val="top"/>
          </w:tcPr>
          <w:p w14:paraId="20B69C58">
            <w:pPr>
              <w:rPr>
                <w:rFonts w:ascii="Arial"/>
                <w:color w:val="auto"/>
                <w:sz w:val="21"/>
                <w:highlight w:val="none"/>
              </w:rPr>
            </w:pPr>
          </w:p>
        </w:tc>
        <w:tc>
          <w:tcPr>
            <w:tcW w:w="3233" w:type="dxa"/>
            <w:vAlign w:val="top"/>
          </w:tcPr>
          <w:p w14:paraId="3A119CFB">
            <w:pPr>
              <w:rPr>
                <w:rFonts w:ascii="Arial"/>
                <w:color w:val="auto"/>
                <w:sz w:val="21"/>
                <w:highlight w:val="none"/>
              </w:rPr>
            </w:pPr>
          </w:p>
        </w:tc>
        <w:tc>
          <w:tcPr>
            <w:tcW w:w="2239" w:type="dxa"/>
            <w:vAlign w:val="top"/>
          </w:tcPr>
          <w:p w14:paraId="58B286C9">
            <w:pPr>
              <w:rPr>
                <w:rFonts w:ascii="Arial"/>
                <w:color w:val="auto"/>
                <w:sz w:val="21"/>
                <w:highlight w:val="none"/>
              </w:rPr>
            </w:pPr>
          </w:p>
        </w:tc>
        <w:tc>
          <w:tcPr>
            <w:tcW w:w="1932" w:type="dxa"/>
            <w:vAlign w:val="top"/>
          </w:tcPr>
          <w:p w14:paraId="1A548DC7">
            <w:pPr>
              <w:rPr>
                <w:rFonts w:ascii="Arial"/>
                <w:color w:val="auto"/>
                <w:sz w:val="21"/>
                <w:highlight w:val="none"/>
              </w:rPr>
            </w:pPr>
          </w:p>
        </w:tc>
      </w:tr>
      <w:tr w14:paraId="7E85B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5" w:hRule="atLeast"/>
        </w:trPr>
        <w:tc>
          <w:tcPr>
            <w:tcW w:w="1340" w:type="dxa"/>
            <w:vAlign w:val="top"/>
          </w:tcPr>
          <w:p w14:paraId="09549805">
            <w:pPr>
              <w:rPr>
                <w:rFonts w:ascii="Arial"/>
                <w:color w:val="auto"/>
                <w:sz w:val="21"/>
                <w:highlight w:val="none"/>
              </w:rPr>
            </w:pPr>
          </w:p>
        </w:tc>
        <w:tc>
          <w:tcPr>
            <w:tcW w:w="3233" w:type="dxa"/>
            <w:vAlign w:val="top"/>
          </w:tcPr>
          <w:p w14:paraId="338504FD">
            <w:pPr>
              <w:rPr>
                <w:rFonts w:ascii="Arial"/>
                <w:color w:val="auto"/>
                <w:sz w:val="21"/>
                <w:highlight w:val="none"/>
              </w:rPr>
            </w:pPr>
          </w:p>
        </w:tc>
        <w:tc>
          <w:tcPr>
            <w:tcW w:w="2239" w:type="dxa"/>
            <w:vAlign w:val="top"/>
          </w:tcPr>
          <w:p w14:paraId="42DB6EC4">
            <w:pPr>
              <w:rPr>
                <w:rFonts w:ascii="Arial"/>
                <w:color w:val="auto"/>
                <w:sz w:val="21"/>
                <w:highlight w:val="none"/>
              </w:rPr>
            </w:pPr>
          </w:p>
        </w:tc>
        <w:tc>
          <w:tcPr>
            <w:tcW w:w="1932" w:type="dxa"/>
            <w:vAlign w:val="top"/>
          </w:tcPr>
          <w:p w14:paraId="215F4BA1">
            <w:pPr>
              <w:rPr>
                <w:rFonts w:ascii="Arial"/>
                <w:color w:val="auto"/>
                <w:sz w:val="21"/>
                <w:highlight w:val="none"/>
              </w:rPr>
            </w:pPr>
          </w:p>
        </w:tc>
      </w:tr>
      <w:tr w14:paraId="32493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vAlign w:val="top"/>
          </w:tcPr>
          <w:p w14:paraId="43D6D61E">
            <w:pPr>
              <w:rPr>
                <w:rFonts w:ascii="Arial"/>
                <w:color w:val="auto"/>
                <w:sz w:val="21"/>
                <w:highlight w:val="none"/>
              </w:rPr>
            </w:pPr>
          </w:p>
        </w:tc>
        <w:tc>
          <w:tcPr>
            <w:tcW w:w="3233" w:type="dxa"/>
            <w:vAlign w:val="top"/>
          </w:tcPr>
          <w:p w14:paraId="30D85335">
            <w:pPr>
              <w:rPr>
                <w:rFonts w:ascii="Arial"/>
                <w:color w:val="auto"/>
                <w:sz w:val="21"/>
                <w:highlight w:val="none"/>
              </w:rPr>
            </w:pPr>
          </w:p>
        </w:tc>
        <w:tc>
          <w:tcPr>
            <w:tcW w:w="2239" w:type="dxa"/>
            <w:vAlign w:val="top"/>
          </w:tcPr>
          <w:p w14:paraId="7D804297">
            <w:pPr>
              <w:rPr>
                <w:rFonts w:ascii="Arial"/>
                <w:color w:val="auto"/>
                <w:sz w:val="21"/>
                <w:highlight w:val="none"/>
              </w:rPr>
            </w:pPr>
          </w:p>
        </w:tc>
        <w:tc>
          <w:tcPr>
            <w:tcW w:w="1932" w:type="dxa"/>
            <w:vAlign w:val="top"/>
          </w:tcPr>
          <w:p w14:paraId="444A9C98">
            <w:pPr>
              <w:rPr>
                <w:rFonts w:ascii="Arial"/>
                <w:color w:val="auto"/>
                <w:sz w:val="21"/>
                <w:highlight w:val="none"/>
              </w:rPr>
            </w:pPr>
          </w:p>
        </w:tc>
      </w:tr>
      <w:tr w14:paraId="42D67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5" w:hRule="atLeast"/>
        </w:trPr>
        <w:tc>
          <w:tcPr>
            <w:tcW w:w="1340" w:type="dxa"/>
            <w:vAlign w:val="top"/>
          </w:tcPr>
          <w:p w14:paraId="70582951">
            <w:pPr>
              <w:rPr>
                <w:rFonts w:ascii="Arial"/>
                <w:color w:val="auto"/>
                <w:sz w:val="21"/>
                <w:highlight w:val="none"/>
              </w:rPr>
            </w:pPr>
          </w:p>
        </w:tc>
        <w:tc>
          <w:tcPr>
            <w:tcW w:w="3233" w:type="dxa"/>
            <w:vAlign w:val="top"/>
          </w:tcPr>
          <w:p w14:paraId="0CEF2DB8">
            <w:pPr>
              <w:rPr>
                <w:rFonts w:ascii="Arial"/>
                <w:color w:val="auto"/>
                <w:sz w:val="21"/>
                <w:highlight w:val="none"/>
              </w:rPr>
            </w:pPr>
          </w:p>
        </w:tc>
        <w:tc>
          <w:tcPr>
            <w:tcW w:w="2239" w:type="dxa"/>
            <w:vAlign w:val="top"/>
          </w:tcPr>
          <w:p w14:paraId="46A710EA">
            <w:pPr>
              <w:rPr>
                <w:rFonts w:ascii="Arial"/>
                <w:color w:val="auto"/>
                <w:sz w:val="21"/>
                <w:highlight w:val="none"/>
              </w:rPr>
            </w:pPr>
          </w:p>
        </w:tc>
        <w:tc>
          <w:tcPr>
            <w:tcW w:w="1932" w:type="dxa"/>
            <w:vAlign w:val="top"/>
          </w:tcPr>
          <w:p w14:paraId="1C11B15D">
            <w:pPr>
              <w:rPr>
                <w:rFonts w:ascii="Arial"/>
                <w:color w:val="auto"/>
                <w:sz w:val="21"/>
                <w:highlight w:val="none"/>
              </w:rPr>
            </w:pPr>
          </w:p>
        </w:tc>
      </w:tr>
      <w:tr w14:paraId="545DD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340" w:type="dxa"/>
            <w:vAlign w:val="top"/>
          </w:tcPr>
          <w:p w14:paraId="62B52612">
            <w:pPr>
              <w:rPr>
                <w:rFonts w:ascii="Arial"/>
                <w:color w:val="auto"/>
                <w:sz w:val="21"/>
                <w:highlight w:val="none"/>
              </w:rPr>
            </w:pPr>
          </w:p>
        </w:tc>
        <w:tc>
          <w:tcPr>
            <w:tcW w:w="3233" w:type="dxa"/>
            <w:vAlign w:val="top"/>
          </w:tcPr>
          <w:p w14:paraId="094DC2B7">
            <w:pPr>
              <w:rPr>
                <w:rFonts w:ascii="Arial"/>
                <w:color w:val="auto"/>
                <w:sz w:val="21"/>
                <w:highlight w:val="none"/>
              </w:rPr>
            </w:pPr>
          </w:p>
        </w:tc>
        <w:tc>
          <w:tcPr>
            <w:tcW w:w="2239" w:type="dxa"/>
            <w:vAlign w:val="top"/>
          </w:tcPr>
          <w:p w14:paraId="2639642A">
            <w:pPr>
              <w:rPr>
                <w:rFonts w:ascii="Arial"/>
                <w:color w:val="auto"/>
                <w:sz w:val="21"/>
                <w:highlight w:val="none"/>
              </w:rPr>
            </w:pPr>
          </w:p>
        </w:tc>
        <w:tc>
          <w:tcPr>
            <w:tcW w:w="1932" w:type="dxa"/>
            <w:vAlign w:val="top"/>
          </w:tcPr>
          <w:p w14:paraId="24FACAE5">
            <w:pPr>
              <w:rPr>
                <w:rFonts w:ascii="Arial"/>
                <w:color w:val="auto"/>
                <w:sz w:val="21"/>
                <w:highlight w:val="none"/>
              </w:rPr>
            </w:pPr>
          </w:p>
        </w:tc>
      </w:tr>
      <w:tr w14:paraId="13897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40" w:type="dxa"/>
            <w:vAlign w:val="top"/>
          </w:tcPr>
          <w:p w14:paraId="6BC90ABD">
            <w:pPr>
              <w:rPr>
                <w:rFonts w:ascii="Arial"/>
                <w:color w:val="auto"/>
                <w:sz w:val="21"/>
                <w:highlight w:val="none"/>
              </w:rPr>
            </w:pPr>
          </w:p>
        </w:tc>
        <w:tc>
          <w:tcPr>
            <w:tcW w:w="3233" w:type="dxa"/>
            <w:vAlign w:val="top"/>
          </w:tcPr>
          <w:p w14:paraId="53371622">
            <w:pPr>
              <w:rPr>
                <w:rFonts w:ascii="Arial"/>
                <w:color w:val="auto"/>
                <w:sz w:val="21"/>
                <w:highlight w:val="none"/>
              </w:rPr>
            </w:pPr>
          </w:p>
        </w:tc>
        <w:tc>
          <w:tcPr>
            <w:tcW w:w="2239" w:type="dxa"/>
            <w:vAlign w:val="top"/>
          </w:tcPr>
          <w:p w14:paraId="29503B34">
            <w:pPr>
              <w:rPr>
                <w:rFonts w:ascii="Arial"/>
                <w:color w:val="auto"/>
                <w:sz w:val="21"/>
                <w:highlight w:val="none"/>
              </w:rPr>
            </w:pPr>
          </w:p>
        </w:tc>
        <w:tc>
          <w:tcPr>
            <w:tcW w:w="1932" w:type="dxa"/>
            <w:vAlign w:val="top"/>
          </w:tcPr>
          <w:p w14:paraId="6EB1DE49">
            <w:pPr>
              <w:rPr>
                <w:rFonts w:ascii="Arial"/>
                <w:color w:val="auto"/>
                <w:sz w:val="21"/>
                <w:highlight w:val="none"/>
              </w:rPr>
            </w:pPr>
          </w:p>
        </w:tc>
      </w:tr>
    </w:tbl>
    <w:p w14:paraId="48F0D6D1">
      <w:pPr>
        <w:spacing w:before="44"/>
        <w:rPr>
          <w:color w:val="auto"/>
          <w:highlight w:val="none"/>
        </w:rPr>
      </w:pPr>
    </w:p>
    <w:p w14:paraId="7521D997">
      <w:pPr>
        <w:spacing w:before="43"/>
        <w:rPr>
          <w:color w:val="auto"/>
          <w:highlight w:val="none"/>
        </w:rPr>
      </w:pPr>
    </w:p>
    <w:p w14:paraId="2994F221">
      <w:pPr>
        <w:rPr>
          <w:rFonts w:hint="default" w:ascii="宋体" w:hAnsi="宋体" w:eastAsia="宋体"/>
          <w:bCs/>
          <w:color w:val="auto"/>
          <w:sz w:val="24"/>
          <w:highlight w:val="none"/>
          <w:lang w:val="en-US" w:eastAsia="zh-CN"/>
        </w:rPr>
      </w:pPr>
    </w:p>
    <w:p w14:paraId="12565AB5">
      <w:pPr>
        <w:rPr>
          <w:rFonts w:hint="default" w:ascii="宋体" w:hAnsi="宋体" w:eastAsia="宋体"/>
          <w:bCs/>
          <w:color w:val="auto"/>
          <w:sz w:val="24"/>
          <w:highlight w:val="none"/>
          <w:lang w:val="en-US" w:eastAsia="zh-CN"/>
        </w:rPr>
      </w:pPr>
    </w:p>
    <w:p w14:paraId="25866B0E">
      <w:pPr>
        <w:rPr>
          <w:rFonts w:hint="default" w:ascii="宋体" w:hAnsi="宋体" w:eastAsia="宋体"/>
          <w:bCs/>
          <w:color w:val="auto"/>
          <w:sz w:val="24"/>
          <w:highlight w:val="none"/>
          <w:lang w:val="en-US" w:eastAsia="zh-CN"/>
        </w:rPr>
      </w:pPr>
    </w:p>
    <w:p w14:paraId="5BEDB0C5">
      <w:pPr>
        <w:rPr>
          <w:rFonts w:hint="default" w:ascii="宋体" w:hAnsi="宋体" w:eastAsia="宋体"/>
          <w:bCs/>
          <w:color w:val="auto"/>
          <w:sz w:val="24"/>
          <w:highlight w:val="none"/>
          <w:lang w:val="en-US" w:eastAsia="zh-CN"/>
        </w:rPr>
      </w:pPr>
    </w:p>
    <w:p w14:paraId="3132F593">
      <w:pPr>
        <w:rPr>
          <w:rFonts w:hint="default" w:ascii="宋体" w:hAnsi="宋体" w:eastAsia="宋体"/>
          <w:bCs/>
          <w:color w:val="auto"/>
          <w:sz w:val="24"/>
          <w:highlight w:val="none"/>
          <w:lang w:val="en-US" w:eastAsia="zh-CN"/>
        </w:rPr>
      </w:pPr>
    </w:p>
    <w:p w14:paraId="5E36E44F">
      <w:pPr>
        <w:rPr>
          <w:rFonts w:hint="default" w:ascii="宋体" w:hAnsi="宋体" w:eastAsia="宋体"/>
          <w:bCs/>
          <w:color w:val="auto"/>
          <w:sz w:val="24"/>
          <w:highlight w:val="none"/>
          <w:lang w:val="en-US" w:eastAsia="zh-CN"/>
        </w:rPr>
      </w:pPr>
    </w:p>
    <w:p w14:paraId="04E30D2C">
      <w:pPr>
        <w:rPr>
          <w:rFonts w:hint="default" w:ascii="宋体" w:hAnsi="宋体" w:eastAsia="宋体"/>
          <w:bCs/>
          <w:color w:val="auto"/>
          <w:sz w:val="24"/>
          <w:highlight w:val="none"/>
          <w:lang w:val="en-US" w:eastAsia="zh-CN"/>
        </w:rPr>
      </w:pPr>
    </w:p>
    <w:p w14:paraId="03B303D9">
      <w:pPr>
        <w:rPr>
          <w:rFonts w:hint="default" w:ascii="宋体" w:hAnsi="宋体" w:eastAsia="宋体"/>
          <w:bCs/>
          <w:color w:val="auto"/>
          <w:sz w:val="24"/>
          <w:highlight w:val="none"/>
          <w:lang w:val="en-US" w:eastAsia="zh-CN"/>
        </w:rPr>
      </w:pPr>
    </w:p>
    <w:p w14:paraId="0DBDCF7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（三）工程管理区绿化</w:t>
      </w:r>
    </w:p>
    <w:p w14:paraId="7FA79FF1">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rPr>
        <w:t>绿化栽植</w:t>
      </w:r>
    </w:p>
    <w:p w14:paraId="302CA54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绿化栽植：</w:t>
      </w:r>
      <w:r>
        <w:rPr>
          <w:rFonts w:hint="eastAsia" w:ascii="仿宋_GB2312" w:hAnsi="仿宋_GB2312" w:eastAsia="仿宋_GB2312" w:cs="仿宋_GB2312"/>
          <w:color w:val="auto"/>
          <w:sz w:val="32"/>
          <w:szCs w:val="32"/>
          <w:highlight w:val="none"/>
          <w:lang w:val="en-US" w:eastAsia="zh-CN"/>
        </w:rPr>
        <w:t>树木胸径符合工程量清单要求</w:t>
      </w:r>
      <w:r>
        <w:rPr>
          <w:rFonts w:hint="eastAsia" w:ascii="仿宋_GB2312" w:hAnsi="仿宋_GB2312" w:eastAsia="仿宋_GB2312" w:cs="仿宋_GB2312"/>
          <w:color w:val="auto"/>
          <w:sz w:val="32"/>
          <w:szCs w:val="32"/>
          <w:highlight w:val="none"/>
        </w:rPr>
        <w:t>。栽植后养护期1年，养护期结束后成活率不低于95%。</w:t>
      </w:r>
      <w:r>
        <w:rPr>
          <w:rFonts w:hint="eastAsia" w:ascii="仿宋_GB2312" w:hAnsi="仿宋_GB2312" w:eastAsia="仿宋_GB2312" w:cs="仿宋_GB2312"/>
          <w:color w:val="auto"/>
          <w:sz w:val="32"/>
          <w:szCs w:val="32"/>
          <w:highlight w:val="none"/>
          <w:lang w:val="en-US" w:eastAsia="zh-CN"/>
        </w:rPr>
        <w:t>宜在</w:t>
      </w:r>
      <w:r>
        <w:rPr>
          <w:rFonts w:hint="eastAsia" w:ascii="仿宋_GB2312" w:hAnsi="仿宋_GB2312" w:eastAsia="仿宋_GB2312" w:cs="仿宋_GB2312"/>
          <w:color w:val="auto"/>
          <w:sz w:val="32"/>
          <w:szCs w:val="32"/>
          <w:highlight w:val="none"/>
        </w:rPr>
        <w:t>春季（3月至5月）和秋季（9月至11月）</w:t>
      </w:r>
      <w:r>
        <w:rPr>
          <w:rFonts w:hint="eastAsia" w:ascii="仿宋_GB2312" w:hAnsi="仿宋_GB2312" w:eastAsia="仿宋_GB2312" w:cs="仿宋_GB2312"/>
          <w:color w:val="auto"/>
          <w:sz w:val="32"/>
          <w:szCs w:val="32"/>
          <w:highlight w:val="none"/>
          <w:lang w:val="en-US" w:eastAsia="zh-CN"/>
        </w:rPr>
        <w:t>栽植</w:t>
      </w:r>
      <w:r>
        <w:rPr>
          <w:rFonts w:hint="eastAsia" w:ascii="仿宋_GB2312" w:hAnsi="仿宋_GB2312" w:eastAsia="仿宋_GB2312" w:cs="仿宋_GB2312"/>
          <w:color w:val="auto"/>
          <w:sz w:val="32"/>
          <w:szCs w:val="32"/>
          <w:highlight w:val="none"/>
        </w:rPr>
        <w:t>，按甲方指定规格</w:t>
      </w:r>
      <w:r>
        <w:rPr>
          <w:rFonts w:hint="eastAsia" w:ascii="仿宋_GB2312" w:hAnsi="仿宋_GB2312" w:eastAsia="仿宋_GB2312" w:cs="仿宋_GB2312"/>
          <w:color w:val="auto"/>
          <w:sz w:val="32"/>
          <w:szCs w:val="32"/>
          <w:highlight w:val="none"/>
          <w:lang w:val="en-US" w:eastAsia="zh-CN"/>
        </w:rPr>
        <w:t>开挖树穴，</w:t>
      </w:r>
      <w:r>
        <w:rPr>
          <w:rFonts w:hint="eastAsia" w:ascii="仿宋_GB2312" w:hAnsi="仿宋_GB2312" w:eastAsia="仿宋_GB2312" w:cs="仿宋_GB2312"/>
          <w:color w:val="auto"/>
          <w:sz w:val="32"/>
          <w:szCs w:val="32"/>
          <w:highlight w:val="none"/>
        </w:rPr>
        <w:t>树坑要挖大，直径应比树木的根幅大三分之一，并应清除坑内的杂草、石块等杂物，以利树木扎根生长。株行距根据</w:t>
      </w:r>
      <w:r>
        <w:rPr>
          <w:rFonts w:hint="eastAsia" w:ascii="仿宋_GB2312" w:hAnsi="仿宋_GB2312" w:eastAsia="仿宋_GB2312" w:cs="仿宋_GB2312"/>
          <w:color w:val="auto"/>
          <w:sz w:val="32"/>
          <w:szCs w:val="32"/>
          <w:highlight w:val="none"/>
          <w:lang w:val="en-US" w:eastAsia="zh-CN"/>
        </w:rPr>
        <w:t>甲方要求</w:t>
      </w:r>
      <w:r>
        <w:rPr>
          <w:rFonts w:hint="eastAsia" w:ascii="仿宋_GB2312" w:hAnsi="仿宋_GB2312" w:eastAsia="仿宋_GB2312" w:cs="仿宋_GB2312"/>
          <w:color w:val="auto"/>
          <w:sz w:val="32"/>
          <w:szCs w:val="32"/>
          <w:highlight w:val="none"/>
        </w:rPr>
        <w:t>而定，株行距必须笔直对称，尽量减少误差；树木上下必须保持垂直，不能歪斜；裸根苗栽植时，埋土到一定深度后，应将苗木轻轻向上提拉，然后边埋边提2～3次至苗木深度合适而止，再将坑土踩实、浇水；带土球树木栽植时，须先量好坑的深度与土球的高度是否一致，回填土要随填随踩实，但不得砸坏土球。栽植后，一般最少必须浇三次透水，不足的要补水，要注意浇水后的根部培土工作，待树木发芽后，有条件的1～2天喷1次水，从而加快新芽的生长速度，并且注意新梢容易遭到蚜虫的危害，天气干旱时应及时观察喷药，并要经常锄草松土。对于栽植胸径</w:t>
      </w:r>
      <w:r>
        <w:rPr>
          <w:rFonts w:hint="eastAsia" w:ascii="仿宋_GB2312" w:hAnsi="仿宋_GB2312" w:eastAsia="仿宋_GB2312" w:cs="仿宋_GB2312"/>
          <w:color w:val="auto"/>
          <w:sz w:val="32"/>
          <w:szCs w:val="32"/>
          <w:highlight w:val="none"/>
          <w:lang w:val="en-US" w:eastAsia="zh-CN"/>
        </w:rPr>
        <w:t>大于</w:t>
      </w:r>
      <w:r>
        <w:rPr>
          <w:rFonts w:hint="eastAsia" w:ascii="仿宋_GB2312" w:hAnsi="仿宋_GB2312" w:eastAsia="仿宋_GB2312" w:cs="仿宋_GB2312"/>
          <w:color w:val="auto"/>
          <w:sz w:val="32"/>
          <w:szCs w:val="32"/>
          <w:highlight w:val="none"/>
        </w:rPr>
        <w:t>8cm的树木，增加支撑固定</w:t>
      </w:r>
      <w:r>
        <w:rPr>
          <w:rFonts w:hint="eastAsia" w:ascii="仿宋_GB2312" w:hAnsi="仿宋_GB2312" w:eastAsia="仿宋_GB2312" w:cs="仿宋_GB2312"/>
          <w:color w:val="auto"/>
          <w:sz w:val="32"/>
          <w:szCs w:val="32"/>
          <w:highlight w:val="none"/>
          <w:lang w:eastAsia="zh-CN"/>
        </w:rPr>
        <w:t>，使用三根结实木桩，以等边三角形布局打入地下深处支撑固定;撑杆与树干连接点应位于树干下部1/3处，并加上护垫;禁止用铁丝、电线直接捆扎树干。</w:t>
      </w:r>
    </w:p>
    <w:p w14:paraId="7AB956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树木施肥：使用的肥料应选用含有适量氮、磷、钾等元素的复合肥，以满足乔木生长所需的各种养分。采用挖穴施肥的方式进行施肥；施肥区以树干为中心，从树冠投影半径的1/2处开始挖施，一般4—6个穴为宜（视树木大小而定），呈同心圆状排列</w:t>
      </w:r>
      <w:r>
        <w:rPr>
          <w:rFonts w:hint="eastAsia" w:ascii="仿宋_GB2312" w:hAnsi="仿宋_GB2312" w:eastAsia="仿宋_GB2312" w:cs="仿宋_GB2312"/>
          <w:b w:val="0"/>
          <w:bCs w:val="0"/>
          <w:color w:val="auto"/>
          <w:sz w:val="32"/>
          <w:szCs w:val="32"/>
          <w:highlight w:val="none"/>
          <w:lang w:val="en-US" w:eastAsia="zh-CN"/>
        </w:rPr>
        <w:t>，每个穴直径20—30cm，深度30—50cm；施肥量根据树木大小确定，将肥料与挖出的部分表土充分混合均匀回填至穴深的一半处，再填入剩余的土壤；严禁过量施肥，造成“烧根”。树木施肥的肥料应安全、有效、合法，符合国家或行业标准，有出厂合格证、第三方检测报告等。</w:t>
      </w:r>
    </w:p>
    <w:p w14:paraId="2AEB3639">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2.修枝打杈</w:t>
      </w:r>
    </w:p>
    <w:p w14:paraId="211F61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乔木修剪应以休眠期为主，生长期为辅。修剪应避开高温、雨季以及霜冻天气。在台风季来临前，为防止树木折枝、倒伏，可做适当疏枝修剪。强风、暴雨、冰雹、降雪等极端天气造成树体倾斜、枝杈劈裂、枝干折断等，应及时进行修剪、清理。</w:t>
      </w:r>
    </w:p>
    <w:p w14:paraId="52A21D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树木整形修剪：遵守先整理、后修剪的程序进行；先清除树上藤蔓及其根系，然后修剪无需保留的枯死枝、徒长枝，再按照由主枝的基部自内向外、由下向上的顺序修剪其他枝条，包括主干下部的侧生枝及主干上部的下垂枝、并生枝、</w:t>
      </w:r>
      <w:r>
        <w:rPr>
          <w:rFonts w:hint="eastAsia" w:ascii="仿宋_GB2312" w:hAnsi="仿宋_GB2312" w:eastAsia="仿宋_GB2312" w:cs="仿宋_GB2312"/>
          <w:color w:val="auto"/>
          <w:sz w:val="32"/>
          <w:szCs w:val="32"/>
          <w:highlight w:val="none"/>
          <w:lang w:val="en-US" w:eastAsia="zh-CN"/>
        </w:rPr>
        <w:t>交叉枝等；相同树种分枝点的高度应保持基本一致；无明显主干的树种，应调配各级分枝，端正树形；剪锯口应平滑，保持树皮完整无损伤；修剪完成后，应达到通风透光、树形自然美观的效果；同时对林下的杂树、杂条、杂草进行清除。修枝打杈宜1～2年内杆高1.5米内的枝全部修除，3～4年内杆高1.5～3米内的枝全部修除，5年以上树木视树木生长情况进行修枝，修剪后的树木应保持原树形不受影响。</w:t>
      </w:r>
    </w:p>
    <w:p w14:paraId="062566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倒伏或倾斜的树木扶正、支撑固定：倒伏或倾斜的树木扶正后，使用三根结实木桩，以等边三角形布局打入地下深处支撑固定；撑杆与树干连接点应位于树干下部1/3处，并加上护垫；禁止用铁丝、电线直接捆扎树干。</w:t>
      </w:r>
    </w:p>
    <w:p w14:paraId="2504B5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场地清理：修剪后的树枝及林下清除的杂树、杂条、杂草应及时清理出工程管理范围，保持林下干净整洁；不得将树枝及杂树、杂条、杂草遗弃在护堤地或滩地内，严禁倾倒入河道内。</w:t>
      </w:r>
    </w:p>
    <w:p w14:paraId="70DD472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3.林木涂白</w:t>
      </w:r>
    </w:p>
    <w:p w14:paraId="73B96F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林木涂白：秋季涂白建议在霜冻前20天完成，春涂则在虫卵孵化前操作。</w:t>
      </w:r>
    </w:p>
    <w:p w14:paraId="63F7F3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涂白材料通常由生石灰、石硫合剂、食盐、水混合而成。生石灰和水的比例为1:10，石硫合剂浓度控制在3%-5%，食盐添加量不超过总重量的0.5%。调配时需彻底搅拌至糊状，太稀容易流失，太稠难以附着。注意避免使用工业石灰或含重金属成分的材料，防止污染士壤。</w:t>
      </w:r>
    </w:p>
    <w:p w14:paraId="5C3117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操作步骤：清理树干表皮，用硬毛刷去除苔藓和虫卵；涂抹前用塑料膜围住树根周围，防止药液渗入土壤；用宽毛刷自上而下涂刷，重点照顾树皮裂缝和分枝处。涂白层厚度以覆盖树皮原色为准，呈现均匀的灰白色即可，无需反复涂抹。树木涂白高度地面以上1.2-1.5m范围内。</w:t>
      </w:r>
    </w:p>
    <w:p w14:paraId="7065D54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3" w:firstLineChars="200"/>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4.病虫害防治</w:t>
      </w:r>
    </w:p>
    <w:p w14:paraId="24F6CF0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病虫害防治：对树木进行全面普查，发现林木病虫害，根据实际情况，选取科学、经济、环保的方案及时进行防治，并剪除病虫枝；若采用化学药物喷施，应选择高效、低毒、低残留的专用药剂，严禁使用国家明令禁止的农药。林木病虫害使用化学药物喷施时，应精准施药，选择无风或风力较小且无阴雨天气进行，防止对林木周边农作物造成药害，并确保药液均匀覆盖叶片、树干；使用的病虫害防治药物应符合国家相关法律法规和标准要求，取得农药登记证，且登记范围应包括林木或对应的防治对象（害虫/病菌），具有出厂合格证、第三方检测报告。五河局、凤台局草履蚧</w:t>
      </w:r>
      <w:r>
        <w:rPr>
          <w:rFonts w:hint="default" w:ascii="仿宋_GB2312" w:hAnsi="仿宋_GB2312" w:eastAsia="仿宋_GB2312" w:cs="仿宋_GB2312"/>
          <w:color w:val="auto"/>
          <w:sz w:val="32"/>
          <w:szCs w:val="32"/>
          <w:highlight w:val="none"/>
          <w:lang w:val="en-US" w:eastAsia="zh-CN"/>
        </w:rPr>
        <w:t>防治</w:t>
      </w:r>
      <w:r>
        <w:rPr>
          <w:rFonts w:hint="eastAsia" w:ascii="仿宋_GB2312" w:hAnsi="仿宋_GB2312" w:eastAsia="仿宋_GB2312" w:cs="仿宋_GB2312"/>
          <w:color w:val="auto"/>
          <w:sz w:val="32"/>
          <w:szCs w:val="32"/>
          <w:highlight w:val="none"/>
          <w:lang w:val="en-US" w:eastAsia="zh-CN"/>
        </w:rPr>
        <w:t>还</w:t>
      </w:r>
      <w:r>
        <w:rPr>
          <w:rFonts w:hint="default" w:ascii="仿宋_GB2312" w:hAnsi="仿宋_GB2312" w:eastAsia="仿宋_GB2312" w:cs="仿宋_GB2312"/>
          <w:color w:val="auto"/>
          <w:sz w:val="32"/>
          <w:szCs w:val="32"/>
          <w:highlight w:val="none"/>
          <w:lang w:val="en-US" w:eastAsia="zh-CN"/>
        </w:rPr>
        <w:t>需采取物理阻隔相结合的综合措施</w:t>
      </w:r>
      <w:r>
        <w:rPr>
          <w:rFonts w:hint="eastAsia" w:ascii="仿宋_GB2312" w:hAnsi="仿宋_GB2312" w:eastAsia="仿宋_GB2312" w:cs="仿宋_GB2312"/>
          <w:color w:val="auto"/>
          <w:sz w:val="32"/>
          <w:szCs w:val="32"/>
          <w:highlight w:val="none"/>
          <w:lang w:val="en-US" w:eastAsia="zh-CN"/>
        </w:rPr>
        <w:t>，刮平树干1-1.3米高处树皮，用宽10-15cm光滑胶带紧密缠绕2圈（重叠2cm），形成喇叭口状。胶带下方涂毒环，定期清理胶带下聚集的若虫并销毁。</w:t>
      </w:r>
    </w:p>
    <w:p w14:paraId="1A3A6784">
      <w:pPr>
        <w:keepNext w:val="0"/>
        <w:keepLines w:val="0"/>
        <w:pageBreakBefore w:val="0"/>
        <w:widowControl w:val="0"/>
        <w:kinsoku/>
        <w:wordWrap/>
        <w:overflowPunct/>
        <w:topLinePunct w:val="0"/>
        <w:autoSpaceDE/>
        <w:autoSpaceDN/>
        <w:bidi w:val="0"/>
        <w:spacing w:line="560" w:lineRule="exact"/>
        <w:ind w:firstLine="643" w:firstLineChars="200"/>
        <w:textAlignment w:val="auto"/>
        <w:outlineLvl w:val="1"/>
        <w:rPr>
          <w:rFonts w:hint="eastAsia" w:ascii="仿宋_GB2312" w:hAnsi="仿宋_GB2312" w:eastAsia="仿宋_GB2312" w:cs="仿宋_GB2312"/>
          <w:b/>
          <w:color w:val="auto"/>
          <w:sz w:val="32"/>
          <w:szCs w:val="32"/>
          <w:highlight w:val="none"/>
          <w:lang w:val="en-US" w:eastAsia="zh-CN"/>
        </w:rPr>
      </w:pPr>
      <w:r>
        <w:rPr>
          <w:rFonts w:hint="eastAsia" w:ascii="仿宋_GB2312" w:hAnsi="仿宋_GB2312" w:eastAsia="仿宋_GB2312" w:cs="仿宋_GB2312"/>
          <w:b/>
          <w:color w:val="auto"/>
          <w:sz w:val="32"/>
          <w:szCs w:val="32"/>
          <w:highlight w:val="none"/>
          <w:lang w:val="en-US" w:eastAsia="zh-CN"/>
        </w:rPr>
        <w:t>5.范围及日常监管</w:t>
      </w:r>
    </w:p>
    <w:p w14:paraId="0B610C37">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default"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t>各单位</w:t>
      </w:r>
      <w:r>
        <w:rPr>
          <w:rFonts w:hint="eastAsia" w:ascii="仿宋_GB2312" w:hAnsi="仿宋_GB2312" w:eastAsia="仿宋_GB2312" w:cs="仿宋_GB2312"/>
          <w:bCs/>
          <w:color w:val="auto"/>
          <w:sz w:val="32"/>
          <w:szCs w:val="32"/>
          <w:highlight w:val="none"/>
          <w:lang w:val="en-US" w:eastAsia="zh-CN"/>
        </w:rPr>
        <w:t>林木涂白、修枝打杈、病虫害防治原则上只实施全产权的自有林木。</w:t>
      </w:r>
    </w:p>
    <w:p w14:paraId="6401EE5E">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color w:val="auto"/>
        </w:rPr>
      </w:pPr>
      <w:r>
        <w:rPr>
          <w:rFonts w:hint="eastAsia" w:ascii="仿宋_GB2312" w:hAnsi="仿宋_GB2312" w:eastAsia="仿宋_GB2312" w:cs="仿宋_GB2312"/>
          <w:b w:val="0"/>
          <w:bCs/>
          <w:color w:val="auto"/>
          <w:kern w:val="2"/>
          <w:sz w:val="32"/>
          <w:szCs w:val="32"/>
          <w:highlight w:val="none"/>
          <w:lang w:val="en-US" w:eastAsia="zh-CN" w:bidi="ar-SA"/>
        </w:rPr>
        <w:t>各单位根据实际情况，通知成交人进场。</w:t>
      </w:r>
      <w:r>
        <w:rPr>
          <w:rFonts w:hint="eastAsia" w:ascii="仿宋_GB2312" w:hAnsi="仿宋_GB2312" w:eastAsia="仿宋_GB2312" w:cs="仿宋_GB2312"/>
          <w:bCs/>
          <w:color w:val="auto"/>
          <w:sz w:val="32"/>
          <w:szCs w:val="32"/>
          <w:highlight w:val="none"/>
        </w:rPr>
        <w:t>作业期间</w:t>
      </w:r>
      <w:r>
        <w:rPr>
          <w:rFonts w:hint="eastAsia" w:ascii="仿宋_GB2312" w:hAnsi="仿宋_GB2312" w:eastAsia="仿宋_GB2312" w:cs="仿宋_GB2312"/>
          <w:bCs/>
          <w:color w:val="auto"/>
          <w:sz w:val="32"/>
          <w:szCs w:val="32"/>
          <w:highlight w:val="none"/>
          <w:lang w:val="en-US" w:eastAsia="zh-CN"/>
        </w:rPr>
        <w:t>每日做好树木栽植棵数、林木涂白棵数、修枝打杈棵数、病虫害防治棵数记录，</w:t>
      </w:r>
      <w:r>
        <w:rPr>
          <w:rFonts w:hint="eastAsia" w:ascii="仿宋_GB2312" w:hAnsi="仿宋_GB2312" w:eastAsia="仿宋_GB2312" w:cs="仿宋_GB2312"/>
          <w:bCs/>
          <w:color w:val="auto"/>
          <w:sz w:val="32"/>
          <w:szCs w:val="32"/>
          <w:highlight w:val="none"/>
        </w:rPr>
        <w:t>实时掌握作业情况，发现问题及时处理上报。年度作业完成后，</w:t>
      </w:r>
      <w:r>
        <w:rPr>
          <w:rFonts w:hint="eastAsia" w:ascii="仿宋_GB2312" w:hAnsi="仿宋_GB2312" w:eastAsia="仿宋_GB2312" w:cs="仿宋_GB2312"/>
          <w:bCs/>
          <w:color w:val="auto"/>
          <w:sz w:val="32"/>
          <w:szCs w:val="32"/>
          <w:highlight w:val="none"/>
          <w:lang w:val="en-US" w:eastAsia="zh-CN"/>
        </w:rPr>
        <w:t>合同甲方</w:t>
      </w:r>
      <w:r>
        <w:rPr>
          <w:rFonts w:hint="eastAsia" w:ascii="仿宋_GB2312" w:hAnsi="仿宋_GB2312" w:eastAsia="仿宋_GB2312" w:cs="仿宋_GB2312"/>
          <w:bCs/>
          <w:color w:val="auto"/>
          <w:sz w:val="32"/>
          <w:szCs w:val="32"/>
          <w:highlight w:val="none"/>
        </w:rPr>
        <w:t>及时组织年度</w:t>
      </w:r>
      <w:r>
        <w:rPr>
          <w:rFonts w:hint="eastAsia" w:ascii="仿宋_GB2312" w:hAnsi="仿宋_GB2312" w:eastAsia="仿宋_GB2312" w:cs="仿宋_GB2312"/>
          <w:bCs/>
          <w:color w:val="auto"/>
          <w:sz w:val="32"/>
          <w:szCs w:val="32"/>
          <w:highlight w:val="none"/>
          <w:lang w:val="en-US" w:eastAsia="zh-CN"/>
        </w:rPr>
        <w:t>单位工程</w:t>
      </w:r>
      <w:r>
        <w:rPr>
          <w:rFonts w:hint="eastAsia" w:ascii="仿宋_GB2312" w:hAnsi="仿宋_GB2312" w:eastAsia="仿宋_GB2312" w:cs="仿宋_GB2312"/>
          <w:bCs/>
          <w:color w:val="auto"/>
          <w:sz w:val="32"/>
          <w:szCs w:val="32"/>
          <w:highlight w:val="none"/>
        </w:rPr>
        <w:t>验收。</w:t>
      </w:r>
      <w:r>
        <w:rPr>
          <w:rFonts w:hint="eastAsia" w:ascii="仿宋_GB2312" w:hAnsi="仿宋_GB2312" w:eastAsia="仿宋_GB2312" w:cs="仿宋_GB2312"/>
          <w:color w:val="auto"/>
          <w:sz w:val="32"/>
          <w:szCs w:val="32"/>
          <w:highlight w:val="none"/>
          <w:lang w:val="en-US" w:eastAsia="zh-CN"/>
        </w:rPr>
        <w:t>‌‌</w:t>
      </w:r>
    </w:p>
    <w:p w14:paraId="670C7CC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（四）五河局管理设施等维修改造</w:t>
      </w:r>
    </w:p>
    <w:p w14:paraId="40123410">
      <w:pPr>
        <w:keepNext w:val="0"/>
        <w:keepLines w:val="0"/>
        <w:pageBreakBefore w:val="0"/>
        <w:widowControl w:val="0"/>
        <w:kinsoku/>
        <w:wordWrap/>
        <w:overflowPunct/>
        <w:topLinePunct/>
        <w:autoSpaceDE/>
        <w:autoSpaceDN/>
        <w:bidi w:val="0"/>
        <w:adjustRightInd w:val="0"/>
        <w:snapToGrid w:val="0"/>
        <w:spacing w:line="560" w:lineRule="exact"/>
        <w:ind w:left="266" w:leftChars="133" w:firstLine="320" w:firstLineChars="1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1.砼面板拆除重铺</w:t>
      </w:r>
    </w:p>
    <w:p w14:paraId="46309D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现状：新集段渡口处、头铺段77+390处部分砼路面因热胀冷缩，不均匀沉降，导致接口处损坏，存在高度差，影响行车安全，现计划砼路面拆除重修。</w:t>
      </w:r>
    </w:p>
    <w:p w14:paraId="40E54F8E">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val="en-US" w:eastAsia="zh-CN"/>
        </w:rPr>
        <w:drawing>
          <wp:inline distT="0" distB="0" distL="114300" distR="114300">
            <wp:extent cx="2567940" cy="1925955"/>
            <wp:effectExtent l="0" t="0" r="3810" b="17145"/>
            <wp:docPr id="2" name="图片 2" descr="bf20c133f4abe28586ee6718d474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f20c133f4abe28586ee6718d4747cc"/>
                    <pic:cNvPicPr>
                      <a:picLocks noChangeAspect="1"/>
                    </pic:cNvPicPr>
                  </pic:nvPicPr>
                  <pic:blipFill>
                    <a:blip r:embed="rId27"/>
                    <a:stretch>
                      <a:fillRect/>
                    </a:stretch>
                  </pic:blipFill>
                  <pic:spPr>
                    <a:xfrm>
                      <a:off x="0" y="0"/>
                      <a:ext cx="2567940" cy="1925955"/>
                    </a:xfrm>
                    <a:prstGeom prst="rect">
                      <a:avLst/>
                    </a:prstGeom>
                  </pic:spPr>
                </pic:pic>
              </a:graphicData>
            </a:graphic>
          </wp:inline>
        </w:drawing>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val="en-US" w:eastAsia="zh-CN"/>
        </w:rPr>
        <w:drawing>
          <wp:inline distT="0" distB="0" distL="114300" distR="114300">
            <wp:extent cx="2568575" cy="1925955"/>
            <wp:effectExtent l="0" t="0" r="3175" b="17145"/>
            <wp:docPr id="9" name="图片 9" descr="599cbe56c85bbd67aeb3283e7f16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99cbe56c85bbd67aeb3283e7f16dc1"/>
                    <pic:cNvPicPr>
                      <a:picLocks noChangeAspect="1"/>
                    </pic:cNvPicPr>
                  </pic:nvPicPr>
                  <pic:blipFill>
                    <a:blip r:embed="rId28"/>
                    <a:stretch>
                      <a:fillRect/>
                    </a:stretch>
                  </pic:blipFill>
                  <pic:spPr>
                    <a:xfrm>
                      <a:off x="0" y="0"/>
                      <a:ext cx="2568575" cy="1925955"/>
                    </a:xfrm>
                    <a:prstGeom prst="rect">
                      <a:avLst/>
                    </a:prstGeom>
                  </pic:spPr>
                </pic:pic>
              </a:graphicData>
            </a:graphic>
          </wp:inline>
        </w:drawing>
      </w:r>
    </w:p>
    <w:p w14:paraId="656E0F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技术要求：路面：根据裂缝、沉陷、破碎板等病害类型划定维修范围，切割线应距破损边缘至少10cm，并保持规则几何形状（矩形或正方形）。切缝深度≥4cm，避免损伤钢筋，切缝线平直偏差≤2mm。基层清除松散混凝土，基层沉降或者损毁需按原基层处做法复原，凿除后露出的钢筋需除锈调直，对于缺少的钢筋需重新植筋锚固，基底应干燥、无杂物，浇筑C30混凝土，厚度20cm。养护要求：终凝后覆盖土工布或麻袋，洒水养护≥14天（高温或冬季需延长至28天），保持表面湿润。</w:t>
      </w:r>
    </w:p>
    <w:p w14:paraId="5BCDEF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0293B7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5268595" cy="1959610"/>
            <wp:effectExtent l="0" t="0" r="8255" b="2540"/>
            <wp:docPr id="6" name="图片 6" descr="087108fbafd8651db69bce44ec3e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7108fbafd8651db69bce44ec3e6028"/>
                    <pic:cNvPicPr>
                      <a:picLocks noChangeAspect="1"/>
                    </pic:cNvPicPr>
                  </pic:nvPicPr>
                  <pic:blipFill>
                    <a:blip r:embed="rId29"/>
                    <a:stretch>
                      <a:fillRect/>
                    </a:stretch>
                  </pic:blipFill>
                  <pic:spPr>
                    <a:xfrm>
                      <a:off x="0" y="0"/>
                      <a:ext cx="5268595" cy="1959610"/>
                    </a:xfrm>
                    <a:prstGeom prst="rect">
                      <a:avLst/>
                    </a:prstGeom>
                  </pic:spPr>
                </pic:pic>
              </a:graphicData>
            </a:graphic>
          </wp:inline>
        </w:drawing>
      </w:r>
    </w:p>
    <w:p w14:paraId="2709E2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4039235" cy="2693035"/>
            <wp:effectExtent l="0" t="0" r="18415" b="12065"/>
            <wp:docPr id="8" name="图片 8" descr="eb1b8fa5396a6fa2f88ef42a43ed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1b8fa5396a6fa2f88ef42a43ed9992"/>
                    <pic:cNvPicPr>
                      <a:picLocks noChangeAspect="1"/>
                    </pic:cNvPicPr>
                  </pic:nvPicPr>
                  <pic:blipFill>
                    <a:blip r:embed="rId30"/>
                    <a:stretch>
                      <a:fillRect/>
                    </a:stretch>
                  </pic:blipFill>
                  <pic:spPr>
                    <a:xfrm>
                      <a:off x="0" y="0"/>
                      <a:ext cx="4039235" cy="2693035"/>
                    </a:xfrm>
                    <a:prstGeom prst="rect">
                      <a:avLst/>
                    </a:prstGeom>
                  </pic:spPr>
                </pic:pic>
              </a:graphicData>
            </a:graphic>
          </wp:inline>
        </w:drawing>
      </w:r>
      <w:r>
        <w:rPr>
          <w:rFonts w:hint="eastAsia" w:ascii="仿宋_GB2312" w:hAnsi="仿宋_GB2312" w:eastAsia="仿宋_GB2312" w:cs="仿宋_GB2312"/>
          <w:color w:val="auto"/>
          <w:sz w:val="28"/>
          <w:szCs w:val="28"/>
          <w:lang w:val="en-US" w:eastAsia="zh-CN"/>
        </w:rPr>
        <w:drawing>
          <wp:inline distT="0" distB="0" distL="114300" distR="114300">
            <wp:extent cx="4048125" cy="2781300"/>
            <wp:effectExtent l="0" t="0" r="9525" b="0"/>
            <wp:docPr id="11" name="图片 11" descr="d52ee8aa39a8fadd546efb6c19586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52ee8aa39a8fadd546efb6c195867df"/>
                    <pic:cNvPicPr>
                      <a:picLocks noChangeAspect="1"/>
                    </pic:cNvPicPr>
                  </pic:nvPicPr>
                  <pic:blipFill>
                    <a:blip r:embed="rId31"/>
                    <a:stretch>
                      <a:fillRect/>
                    </a:stretch>
                  </pic:blipFill>
                  <pic:spPr>
                    <a:xfrm>
                      <a:off x="0" y="0"/>
                      <a:ext cx="4048125" cy="2781300"/>
                    </a:xfrm>
                    <a:prstGeom prst="rect">
                      <a:avLst/>
                    </a:prstGeom>
                  </pic:spPr>
                </pic:pic>
              </a:graphicData>
            </a:graphic>
          </wp:inline>
        </w:drawing>
      </w:r>
    </w:p>
    <w:p w14:paraId="150B690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00" w:firstLineChars="200"/>
        <w:jc w:val="left"/>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kern w:val="2"/>
          <w:sz w:val="30"/>
          <w:szCs w:val="30"/>
          <w:lang w:val="en-US" w:eastAsia="zh-CN" w:bidi="ar-SA"/>
        </w:rPr>
        <w:t>2.</w:t>
      </w:r>
      <w:r>
        <w:rPr>
          <w:rFonts w:hint="eastAsia" w:ascii="仿宋_GB2312" w:hAnsi="仿宋_GB2312" w:eastAsia="仿宋_GB2312" w:cs="仿宋_GB2312"/>
          <w:color w:val="auto"/>
          <w:sz w:val="30"/>
          <w:szCs w:val="30"/>
          <w:lang w:val="en-US" w:eastAsia="zh-CN"/>
        </w:rPr>
        <w:t>块石护坡整修（新集段、新集渡口、头铺段）</w:t>
      </w:r>
    </w:p>
    <w:p w14:paraId="3D969F61">
      <w:pPr>
        <w:keepNext w:val="0"/>
        <w:keepLines w:val="0"/>
        <w:pageBreakBefore w:val="0"/>
        <w:widowControl w:val="0"/>
        <w:kinsoku/>
        <w:wordWrap/>
        <w:overflowPunct/>
        <w:topLinePunct w:val="0"/>
        <w:autoSpaceDE/>
        <w:autoSpaceDN/>
        <w:bidi w:val="0"/>
        <w:adjustRightInd w:val="0"/>
        <w:snapToGrid w:val="0"/>
        <w:spacing w:line="560" w:lineRule="exact"/>
        <w:ind w:firstLine="600" w:firstLineChars="200"/>
        <w:jc w:val="both"/>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现状：新集、头铺段部分干砌石护坡损坏，为确保防洪安全，保护堤防，现需整改维修。</w:t>
      </w:r>
    </w:p>
    <w:p w14:paraId="66B0A9C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val="en-US" w:eastAsia="zh-CN"/>
        </w:rPr>
        <w:drawing>
          <wp:inline distT="0" distB="0" distL="114300" distR="114300">
            <wp:extent cx="2567940" cy="1925955"/>
            <wp:effectExtent l="0" t="0" r="3810" b="17145"/>
            <wp:docPr id="13" name="图片 13" descr="a26b5d08ace40520c9f0ac497ff2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26b5d08ace40520c9f0ac497ff2e50"/>
                    <pic:cNvPicPr>
                      <a:picLocks noChangeAspect="1"/>
                    </pic:cNvPicPr>
                  </pic:nvPicPr>
                  <pic:blipFill>
                    <a:blip r:embed="rId32"/>
                    <a:stretch>
                      <a:fillRect/>
                    </a:stretch>
                  </pic:blipFill>
                  <pic:spPr>
                    <a:xfrm>
                      <a:off x="0" y="0"/>
                      <a:ext cx="2567940" cy="1925955"/>
                    </a:xfrm>
                    <a:prstGeom prst="rect">
                      <a:avLst/>
                    </a:prstGeom>
                  </pic:spPr>
                </pic:pic>
              </a:graphicData>
            </a:graphic>
          </wp:inline>
        </w:drawing>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val="en-US" w:eastAsia="zh-CN"/>
        </w:rPr>
        <w:drawing>
          <wp:inline distT="0" distB="0" distL="114300" distR="114300">
            <wp:extent cx="2566035" cy="1925955"/>
            <wp:effectExtent l="0" t="0" r="5715" b="17145"/>
            <wp:docPr id="14" name="图片 14" descr="6389d82363e1c5bf55087c3f8908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389d82363e1c5bf55087c3f8908a21"/>
                    <pic:cNvPicPr>
                      <a:picLocks noChangeAspect="1"/>
                    </pic:cNvPicPr>
                  </pic:nvPicPr>
                  <pic:blipFill>
                    <a:blip r:embed="rId33"/>
                    <a:stretch>
                      <a:fillRect/>
                    </a:stretch>
                  </pic:blipFill>
                  <pic:spPr>
                    <a:xfrm>
                      <a:off x="0" y="0"/>
                      <a:ext cx="2566035" cy="1925955"/>
                    </a:xfrm>
                    <a:prstGeom prst="rect">
                      <a:avLst/>
                    </a:prstGeom>
                  </pic:spPr>
                </pic:pic>
              </a:graphicData>
            </a:graphic>
          </wp:inline>
        </w:drawing>
      </w:r>
    </w:p>
    <w:p w14:paraId="2205E72B">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技术要求：对现状标注不足的干砌块石护坡进行维修，维修护坡型式为干砌石厚30cm，下设碎石垫层厚10cm，护坡表层宜选用大块石（30-50cm），内部可用较小石块填充。坡面基础清除松散土体、树根、杂草，确保坡面平整，砌筑时上下层石块错缝≥1/3石长，避免通缝。用小石片塞紧缝隙，敲击至无松动。坡面高差≤5cm/2m直尺检测，无明显凸起或凹陷。坡顶、坡脚及接缝处用较大块石锁边，增强整体性。严禁雨天施工，防止垫层被雨水浸泡，石料运输堆放时避免碰撞破损。</w:t>
      </w:r>
    </w:p>
    <w:p w14:paraId="3CEA3ACE">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仿宋_GB2312" w:hAnsi="仿宋_GB2312" w:eastAsia="仿宋_GB2312" w:cs="仿宋_GB2312"/>
          <w:color w:val="auto"/>
          <w:sz w:val="28"/>
          <w:szCs w:val="28"/>
          <w:lang w:val="en-US" w:eastAsia="zh-CN"/>
        </w:rPr>
      </w:pPr>
      <w:r>
        <w:rPr>
          <w:color w:val="auto"/>
        </w:rPr>
        <w:drawing>
          <wp:inline distT="0" distB="0" distL="114300" distR="114300">
            <wp:extent cx="4133850" cy="296227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4"/>
                    <a:stretch>
                      <a:fillRect/>
                    </a:stretch>
                  </pic:blipFill>
                  <pic:spPr>
                    <a:xfrm>
                      <a:off x="0" y="0"/>
                      <a:ext cx="4133850" cy="2962275"/>
                    </a:xfrm>
                    <a:prstGeom prst="rect">
                      <a:avLst/>
                    </a:prstGeom>
                    <a:noFill/>
                    <a:ln>
                      <a:noFill/>
                    </a:ln>
                  </pic:spPr>
                </pic:pic>
              </a:graphicData>
            </a:graphic>
          </wp:inline>
        </w:drawing>
      </w:r>
    </w:p>
    <w:p w14:paraId="5588E89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Calibri" w:eastAsia="仿宋_GB2312" w:cs="仿宋_GB2312"/>
          <w:color w:val="auto"/>
          <w:kern w:val="2"/>
          <w:sz w:val="32"/>
          <w:szCs w:val="32"/>
          <w:lang w:val="en-US" w:eastAsia="zh-CN" w:bidi="ar"/>
        </w:rPr>
      </w:pPr>
      <w:r>
        <w:rPr>
          <w:rFonts w:hint="eastAsia" w:ascii="仿宋_GB2312" w:hAnsi="Calibri" w:eastAsia="仿宋_GB2312" w:cs="仿宋_GB2312"/>
          <w:color w:val="auto"/>
          <w:kern w:val="2"/>
          <w:sz w:val="32"/>
          <w:szCs w:val="32"/>
          <w:lang w:val="en-US" w:eastAsia="zh-CN" w:bidi="ar"/>
        </w:rPr>
        <w:t>3.块石护坡勒脚浇筑（新集渡口）</w:t>
      </w:r>
    </w:p>
    <w:p w14:paraId="1E7D52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仿宋_GB2312" w:hAnsi="Calibri" w:eastAsia="仿宋_GB2312" w:cs="仿宋_GB2312"/>
          <w:color w:val="auto"/>
          <w:kern w:val="2"/>
          <w:sz w:val="32"/>
          <w:szCs w:val="32"/>
          <w:lang w:val="en-US" w:eastAsia="zh-CN" w:bidi="ar"/>
        </w:rPr>
      </w:pPr>
      <w:r>
        <w:rPr>
          <w:rFonts w:hint="eastAsia" w:ascii="仿宋_GB2312" w:hAnsi="Calibri" w:eastAsia="仿宋_GB2312" w:cs="仿宋_GB2312"/>
          <w:color w:val="auto"/>
          <w:kern w:val="2"/>
          <w:sz w:val="32"/>
          <w:szCs w:val="32"/>
          <w:lang w:val="en-US" w:eastAsia="zh-CN" w:bidi="ar"/>
        </w:rPr>
        <w:t>现状：新集渡口处砼护坡下延为干砌石护坡缺少勒脚，为确保堤防安全，现计划浇筑砼勒脚。</w:t>
      </w:r>
    </w:p>
    <w:p w14:paraId="73FFD41E">
      <w:pPr>
        <w:keepNext w:val="0"/>
        <w:keepLines w:val="0"/>
        <w:pageBreakBefore w:val="0"/>
        <w:widowControl w:val="0"/>
        <w:kinsoku/>
        <w:wordWrap/>
        <w:overflowPunct/>
        <w:topLinePunct w:val="0"/>
        <w:autoSpaceDE/>
        <w:autoSpaceDN/>
        <w:bidi w:val="0"/>
        <w:adjustRightInd/>
        <w:snapToGrid/>
        <w:spacing w:line="240" w:lineRule="auto"/>
        <w:ind w:left="560" w:hanging="560" w:hanging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val="en-US" w:eastAsia="zh-CN"/>
        </w:rPr>
        <w:drawing>
          <wp:inline distT="0" distB="0" distL="114300" distR="114300">
            <wp:extent cx="2567305" cy="1925955"/>
            <wp:effectExtent l="0" t="0" r="4445" b="17145"/>
            <wp:docPr id="16" name="图片 16" descr="84343b2f86c92d8706b40a198a83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4343b2f86c92d8706b40a198a8316d"/>
                    <pic:cNvPicPr>
                      <a:picLocks noChangeAspect="1"/>
                    </pic:cNvPicPr>
                  </pic:nvPicPr>
                  <pic:blipFill>
                    <a:blip r:embed="rId35"/>
                    <a:stretch>
                      <a:fillRect/>
                    </a:stretch>
                  </pic:blipFill>
                  <pic:spPr>
                    <a:xfrm>
                      <a:off x="0" y="0"/>
                      <a:ext cx="2567305" cy="1925955"/>
                    </a:xfrm>
                    <a:prstGeom prst="rect">
                      <a:avLst/>
                    </a:prstGeom>
                  </pic:spPr>
                </pic:pic>
              </a:graphicData>
            </a:graphic>
          </wp:inline>
        </w:drawing>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lang w:val="en-US" w:eastAsia="zh-CN"/>
        </w:rPr>
        <w:drawing>
          <wp:inline distT="0" distB="0" distL="114300" distR="114300">
            <wp:extent cx="2567940" cy="1925955"/>
            <wp:effectExtent l="0" t="0" r="3810" b="17145"/>
            <wp:docPr id="17" name="图片 17" descr="04816517b372956032aee8a3709b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4816517b372956032aee8a3709b52c"/>
                    <pic:cNvPicPr>
                      <a:picLocks noChangeAspect="1"/>
                    </pic:cNvPicPr>
                  </pic:nvPicPr>
                  <pic:blipFill>
                    <a:blip r:embed="rId36"/>
                    <a:stretch>
                      <a:fillRect/>
                    </a:stretch>
                  </pic:blipFill>
                  <pic:spPr>
                    <a:xfrm>
                      <a:off x="0" y="0"/>
                      <a:ext cx="2567940" cy="1925955"/>
                    </a:xfrm>
                    <a:prstGeom prst="rect">
                      <a:avLst/>
                    </a:prstGeom>
                  </pic:spPr>
                </pic:pic>
              </a:graphicData>
            </a:graphic>
          </wp:inline>
        </w:drawing>
      </w:r>
      <w:r>
        <w:rPr>
          <w:rFonts w:hint="eastAsia" w:ascii="仿宋_GB2312" w:hAnsi="仿宋_GB2312" w:eastAsia="仿宋_GB2312" w:cs="仿宋_GB2312"/>
          <w:color w:val="auto"/>
          <w:sz w:val="28"/>
          <w:szCs w:val="28"/>
          <w:lang w:val="en-US" w:eastAsia="zh-CN"/>
        </w:rPr>
        <w:t xml:space="preserve"> </w:t>
      </w:r>
    </w:p>
    <w:p w14:paraId="4505F0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技术要求：对现状坡脚进行块石基础开挖，并开挖沟槽，素土夯实，浇筑砼勒脚，断面为矩形，宽50cm、深30cm，混凝土采用C30混凝土。</w:t>
      </w:r>
    </w:p>
    <w:p w14:paraId="5B426BB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auto"/>
          <w:sz w:val="32"/>
          <w:szCs w:val="32"/>
          <w:lang w:val="en-US" w:eastAsia="zh-CN"/>
        </w:rPr>
        <w:t>砼护坡整修（头铺段72+240）</w:t>
      </w:r>
    </w:p>
    <w:p w14:paraId="14BA1C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现状：头铺段72+240处砼护坡因热胀冷缩起鼓、开裂，为确保堤防安全，现需整改维修。</w:t>
      </w:r>
    </w:p>
    <w:p w14:paraId="43E4EB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4478655" cy="3361690"/>
            <wp:effectExtent l="0" t="0" r="17145" b="10160"/>
            <wp:docPr id="19" name="图片 19" descr="0fe36f33c8f154cd4f5e248705f4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fe36f33c8f154cd4f5e248705f463e"/>
                    <pic:cNvPicPr>
                      <a:picLocks noChangeAspect="1"/>
                    </pic:cNvPicPr>
                  </pic:nvPicPr>
                  <pic:blipFill>
                    <a:blip r:embed="rId37"/>
                    <a:stretch>
                      <a:fillRect/>
                    </a:stretch>
                  </pic:blipFill>
                  <pic:spPr>
                    <a:xfrm>
                      <a:off x="0" y="0"/>
                      <a:ext cx="4478655" cy="3361690"/>
                    </a:xfrm>
                    <a:prstGeom prst="rect">
                      <a:avLst/>
                    </a:prstGeom>
                  </pic:spPr>
                </pic:pic>
              </a:graphicData>
            </a:graphic>
          </wp:inline>
        </w:drawing>
      </w:r>
    </w:p>
    <w:p w14:paraId="73C175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技术要求：凿除破损混凝土至坚实基层，边缘成直角，清除基层杂物，铺设砂石垫层厚8cm，重新浇筑C30混凝土，厚10cm。表面平整度≤5mm/2m，无可见裂缝、空鼓，修补后立即覆盖养护，湿养护时间≥7天，养护期间避免外力冲击。</w:t>
      </w:r>
    </w:p>
    <w:p w14:paraId="5C7DF14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auto"/>
          <w:sz w:val="32"/>
          <w:szCs w:val="32"/>
          <w:lang w:val="en-US" w:eastAsia="zh-CN"/>
        </w:rPr>
        <w:t>隔离网</w:t>
      </w:r>
    </w:p>
    <w:p w14:paraId="1CB981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现状：保护地范围边存在牛养殖户，经常在护堤地内放牛养殖，及周边居民存在往护堤地内倾倒垃圾的现象，为了营造堤防良好环境，现计划增加隔离围网。</w:t>
      </w:r>
    </w:p>
    <w:p w14:paraId="42B98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drawing>
          <wp:inline distT="0" distB="0" distL="114300" distR="114300">
            <wp:extent cx="4319905" cy="2430145"/>
            <wp:effectExtent l="0" t="0" r="4445" b="8255"/>
            <wp:docPr id="18" name="图片 18" descr="7aa4345b42d45adee2d739d79f8f2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aa4345b42d45adee2d739d79f8f257f"/>
                    <pic:cNvPicPr>
                      <a:picLocks noChangeAspect="1"/>
                    </pic:cNvPicPr>
                  </pic:nvPicPr>
                  <pic:blipFill>
                    <a:blip r:embed="rId38"/>
                    <a:stretch>
                      <a:fillRect/>
                    </a:stretch>
                  </pic:blipFill>
                  <pic:spPr>
                    <a:xfrm>
                      <a:off x="0" y="0"/>
                      <a:ext cx="4319905" cy="2430145"/>
                    </a:xfrm>
                    <a:prstGeom prst="rect">
                      <a:avLst/>
                    </a:prstGeom>
                  </pic:spPr>
                </pic:pic>
              </a:graphicData>
            </a:graphic>
          </wp:inline>
        </w:drawing>
      </w:r>
    </w:p>
    <w:p w14:paraId="63CD7784">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37+800--37+900背水面</w:t>
      </w:r>
    </w:p>
    <w:p w14:paraId="1C2DCBED">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4319905" cy="2430145"/>
            <wp:effectExtent l="0" t="0" r="4445" b="8255"/>
            <wp:docPr id="20" name="图片 20" descr="c43a31104b1bb7ebc2c5d811fbfc6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43a31104b1bb7ebc2c5d811fbfc6b57"/>
                    <pic:cNvPicPr>
                      <a:picLocks noChangeAspect="1"/>
                    </pic:cNvPicPr>
                  </pic:nvPicPr>
                  <pic:blipFill>
                    <a:blip r:embed="rId39"/>
                    <a:stretch>
                      <a:fillRect/>
                    </a:stretch>
                  </pic:blipFill>
                  <pic:spPr>
                    <a:xfrm>
                      <a:off x="0" y="0"/>
                      <a:ext cx="4319905" cy="2430145"/>
                    </a:xfrm>
                    <a:prstGeom prst="rect">
                      <a:avLst/>
                    </a:prstGeom>
                  </pic:spPr>
                </pic:pic>
              </a:graphicData>
            </a:graphic>
          </wp:inline>
        </w:drawing>
      </w:r>
    </w:p>
    <w:p w14:paraId="60A276BB">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37+500--37+600迎水面（一圈300m）</w:t>
      </w:r>
    </w:p>
    <w:p w14:paraId="5404AFDE">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4319905" cy="2430145"/>
            <wp:effectExtent l="0" t="0" r="4445" b="8255"/>
            <wp:docPr id="21" name="图片 21" descr="174e86204acdec4373d13118a738c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4e86204acdec4373d13118a738c86b"/>
                    <pic:cNvPicPr>
                      <a:picLocks noChangeAspect="1"/>
                    </pic:cNvPicPr>
                  </pic:nvPicPr>
                  <pic:blipFill>
                    <a:blip r:embed="rId40"/>
                    <a:stretch>
                      <a:fillRect/>
                    </a:stretch>
                  </pic:blipFill>
                  <pic:spPr>
                    <a:xfrm>
                      <a:off x="0" y="0"/>
                      <a:ext cx="4319905" cy="2430145"/>
                    </a:xfrm>
                    <a:prstGeom prst="rect">
                      <a:avLst/>
                    </a:prstGeom>
                  </pic:spPr>
                </pic:pic>
              </a:graphicData>
            </a:graphic>
          </wp:inline>
        </w:drawing>
      </w:r>
    </w:p>
    <w:p w14:paraId="249880B1">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37+600--37+660背水面</w:t>
      </w:r>
      <w:r>
        <w:rPr>
          <w:rFonts w:hint="eastAsia" w:ascii="仿宋_GB2312" w:hAnsi="仿宋_GB2312" w:eastAsia="仿宋_GB2312" w:cs="仿宋_GB2312"/>
          <w:color w:val="auto"/>
          <w:sz w:val="28"/>
          <w:szCs w:val="28"/>
          <w:lang w:val="en-US" w:eastAsia="zh-CN"/>
        </w:rPr>
        <w:drawing>
          <wp:inline distT="0" distB="0" distL="114300" distR="114300">
            <wp:extent cx="4319905" cy="2430145"/>
            <wp:effectExtent l="0" t="0" r="4445" b="8255"/>
            <wp:docPr id="22" name="图片 22" descr="68754d76238afde563df3ad0f7fe4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8754d76238afde563df3ad0f7fe418e"/>
                    <pic:cNvPicPr>
                      <a:picLocks noChangeAspect="1"/>
                    </pic:cNvPicPr>
                  </pic:nvPicPr>
                  <pic:blipFill>
                    <a:blip r:embed="rId41"/>
                    <a:stretch>
                      <a:fillRect/>
                    </a:stretch>
                  </pic:blipFill>
                  <pic:spPr>
                    <a:xfrm>
                      <a:off x="0" y="0"/>
                      <a:ext cx="4319905" cy="2430145"/>
                    </a:xfrm>
                    <a:prstGeom prst="rect">
                      <a:avLst/>
                    </a:prstGeom>
                  </pic:spPr>
                </pic:pic>
              </a:graphicData>
            </a:graphic>
          </wp:inline>
        </w:drawing>
      </w:r>
    </w:p>
    <w:p w14:paraId="1D0FF0F5">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35+220--35+400背水面</w:t>
      </w:r>
    </w:p>
    <w:p w14:paraId="5799F658">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4319905" cy="2430145"/>
            <wp:effectExtent l="0" t="0" r="4445" b="8255"/>
            <wp:docPr id="23" name="图片 23" descr="58cc5d7cd3f000824d23611e01b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8cc5d7cd3f000824d23611e01b14042"/>
                    <pic:cNvPicPr>
                      <a:picLocks noChangeAspect="1"/>
                    </pic:cNvPicPr>
                  </pic:nvPicPr>
                  <pic:blipFill>
                    <a:blip r:embed="rId42"/>
                    <a:stretch>
                      <a:fillRect/>
                    </a:stretch>
                  </pic:blipFill>
                  <pic:spPr>
                    <a:xfrm>
                      <a:off x="0" y="0"/>
                      <a:ext cx="4319905" cy="2430145"/>
                    </a:xfrm>
                    <a:prstGeom prst="rect">
                      <a:avLst/>
                    </a:prstGeom>
                  </pic:spPr>
                </pic:pic>
              </a:graphicData>
            </a:graphic>
          </wp:inline>
        </w:drawing>
      </w:r>
    </w:p>
    <w:p w14:paraId="463A5EA1">
      <w:pPr>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47+100--47+190</w:t>
      </w:r>
    </w:p>
    <w:p w14:paraId="0E8FB5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技术要求：隔离网整体尺寸:高1.8*3米，立柱:直径50圆管。边框:20*30方管。预埋钢管，混凝土基础底座。具体工程量参考工程量表。</w:t>
      </w:r>
    </w:p>
    <w:p w14:paraId="4F4CEE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样式参考：</w:t>
      </w:r>
    </w:p>
    <w:p w14:paraId="78DC6BA7">
      <w:pPr>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drawing>
          <wp:inline distT="0" distB="0" distL="114300" distR="114300">
            <wp:extent cx="3801110" cy="3770630"/>
            <wp:effectExtent l="0" t="0" r="8890" b="1270"/>
            <wp:docPr id="24" name="图片 24" descr="d707b27fafba4bf8f6986672c2cc2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707b27fafba4bf8f6986672c2cc2f8b"/>
                    <pic:cNvPicPr>
                      <a:picLocks noChangeAspect="1"/>
                    </pic:cNvPicPr>
                  </pic:nvPicPr>
                  <pic:blipFill>
                    <a:blip r:embed="rId43"/>
                    <a:srcRect l="3289" t="23554" r="1195" b="18966"/>
                    <a:stretch>
                      <a:fillRect/>
                    </a:stretch>
                  </pic:blipFill>
                  <pic:spPr>
                    <a:xfrm>
                      <a:off x="0" y="0"/>
                      <a:ext cx="3801110" cy="3770630"/>
                    </a:xfrm>
                    <a:prstGeom prst="rect">
                      <a:avLst/>
                    </a:prstGeom>
                  </pic:spPr>
                </pic:pic>
              </a:graphicData>
            </a:graphic>
          </wp:inline>
        </w:drawing>
      </w:r>
    </w:p>
    <w:p w14:paraId="0E67F21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6.</w:t>
      </w:r>
      <w:r>
        <w:rPr>
          <w:rFonts w:hint="eastAsia" w:ascii="仿宋_GB2312" w:eastAsia="仿宋_GB2312"/>
          <w:color w:val="auto"/>
          <w:sz w:val="32"/>
          <w:szCs w:val="32"/>
          <w:highlight w:val="none"/>
          <w:lang w:val="en-US" w:eastAsia="zh-CN"/>
        </w:rPr>
        <w:t>人行通道门</w:t>
      </w:r>
    </w:p>
    <w:p w14:paraId="18703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技术要求：原大门拆除；新门材质：铝合金，管材壁厚≥1.5mm，门尺寸1.8m*1.4m；围栏材质：镀锌栏杆，管材壁厚≥1.5mm，围栏尺寸1.7m*1.4m，颜色需与门颜色一致。包含人脸识别系统、刷卡系统及遥控，门体连接线缆需与现有门卫室电脑连接。</w:t>
      </w:r>
    </w:p>
    <w:p w14:paraId="7B53145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default"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（五）怀远局水闸工程维修</w:t>
      </w:r>
    </w:p>
    <w:p w14:paraId="54D9B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1.涵闸栏杆更换</w:t>
      </w:r>
    </w:p>
    <w:p w14:paraId="08E99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宋体" w:hAnsi="宋体" w:eastAsia="宋体" w:cs="宋体"/>
          <w:color w:val="auto"/>
          <w:sz w:val="24"/>
          <w:szCs w:val="24"/>
          <w:highlight w:val="none"/>
          <w:lang w:val="en-US" w:eastAsia="zh-CN"/>
        </w:rPr>
      </w:pPr>
      <w:r>
        <w:rPr>
          <w:rFonts w:hint="eastAsia" w:ascii="仿宋_GB2312" w:eastAsia="仿宋_GB2312"/>
          <w:color w:val="auto"/>
          <w:sz w:val="32"/>
          <w:szCs w:val="32"/>
          <w:highlight w:val="none"/>
          <w:lang w:val="en-US" w:eastAsia="zh-CN"/>
        </w:rPr>
        <w:t>现状：涡右、涡左吴家沟涵、西毛沟涵及刘桥闸、新淝闸混凝土护栏因长期受日晒雨淋等自然环境影响、温湿度变化等因素影响，出现表层剥落、露筋现象，涡左吴家沟涵铁艺栏杆也因锈蚀导致结构强度下降，已无法满足安全防护要求，因此需对其进行更换处理。</w:t>
      </w:r>
    </w:p>
    <w:p w14:paraId="587798BB">
      <w:pPr>
        <w:spacing w:line="360" w:lineRule="auto"/>
        <w:rPr>
          <w:rFonts w:hint="eastAsia" w:ascii="宋体" w:hAnsi="宋体"/>
          <w:color w:val="auto"/>
          <w:sz w:val="28"/>
          <w:szCs w:val="28"/>
        </w:rPr>
      </w:pPr>
      <w:r>
        <w:rPr>
          <w:rFonts w:hint="default" w:ascii="仿宋_GB2312" w:eastAsia="仿宋_GB2312"/>
          <w:color w:val="auto"/>
          <w:sz w:val="32"/>
          <w:szCs w:val="32"/>
          <w:highlight w:val="none"/>
          <w:lang w:val="en-US" w:eastAsia="zh-CN"/>
        </w:rPr>
        <w:drawing>
          <wp:inline distT="0" distB="0" distL="114300" distR="114300">
            <wp:extent cx="2543175" cy="1907540"/>
            <wp:effectExtent l="0" t="0" r="9525" b="16510"/>
            <wp:docPr id="25" name="图片 25" descr="IMG_3322(20250514-1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3322(20250514-133419)"/>
                    <pic:cNvPicPr>
                      <a:picLocks noChangeAspect="1"/>
                    </pic:cNvPicPr>
                  </pic:nvPicPr>
                  <pic:blipFill>
                    <a:blip r:embed="rId44"/>
                    <a:stretch>
                      <a:fillRect/>
                    </a:stretch>
                  </pic:blipFill>
                  <pic:spPr>
                    <a:xfrm>
                      <a:off x="0" y="0"/>
                      <a:ext cx="2543175" cy="1907540"/>
                    </a:xfrm>
                    <a:prstGeom prst="rect">
                      <a:avLst/>
                    </a:prstGeom>
                  </pic:spPr>
                </pic:pic>
              </a:graphicData>
            </a:graphic>
          </wp:inline>
        </w:drawing>
      </w:r>
      <w:r>
        <w:rPr>
          <w:rFonts w:hint="eastAsia" w:ascii="仿宋_GB2312" w:eastAsia="仿宋_GB2312"/>
          <w:color w:val="auto"/>
          <w:sz w:val="32"/>
          <w:szCs w:val="32"/>
          <w:highlight w:val="none"/>
          <w:lang w:val="en-US" w:eastAsia="zh-CN"/>
        </w:rPr>
        <w:t xml:space="preserve"> </w:t>
      </w:r>
      <w:r>
        <w:rPr>
          <w:rFonts w:hint="eastAsia" w:ascii="仿宋" w:hAnsi="仿宋" w:eastAsia="仿宋" w:cs="仿宋"/>
          <w:color w:val="auto"/>
          <w:sz w:val="28"/>
          <w:szCs w:val="28"/>
          <w:lang w:val="en-US" w:eastAsia="zh-CN"/>
        </w:rPr>
        <w:drawing>
          <wp:inline distT="0" distB="0" distL="114300" distR="114300">
            <wp:extent cx="2601595" cy="1951355"/>
            <wp:effectExtent l="0" t="0" r="8255" b="10795"/>
            <wp:docPr id="26" name="图片 26" descr="IMG_3321(20250514-1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3321(20250514-133419)"/>
                    <pic:cNvPicPr>
                      <a:picLocks noChangeAspect="1"/>
                    </pic:cNvPicPr>
                  </pic:nvPicPr>
                  <pic:blipFill>
                    <a:blip r:embed="rId45"/>
                    <a:stretch>
                      <a:fillRect/>
                    </a:stretch>
                  </pic:blipFill>
                  <pic:spPr>
                    <a:xfrm>
                      <a:off x="0" y="0"/>
                      <a:ext cx="2601595" cy="1951355"/>
                    </a:xfrm>
                    <a:prstGeom prst="rect">
                      <a:avLst/>
                    </a:prstGeom>
                  </pic:spPr>
                </pic:pic>
              </a:graphicData>
            </a:graphic>
          </wp:inline>
        </w:drawing>
      </w:r>
    </w:p>
    <w:p w14:paraId="4EFA4C05">
      <w:pPr>
        <w:spacing w:line="360" w:lineRule="auto"/>
        <w:rPr>
          <w:rFonts w:hint="default" w:ascii="仿宋_GB2312" w:hAnsi="仿宋_GB2312" w:eastAsia="仿宋_GB2312" w:cs="仿宋_GB2312"/>
          <w:color w:val="auto"/>
          <w:sz w:val="32"/>
          <w:szCs w:val="32"/>
          <w:highlight w:val="none"/>
          <w:lang w:val="en-US" w:eastAsia="zh-CN"/>
        </w:rPr>
      </w:pPr>
      <w:r>
        <w:rPr>
          <w:rFonts w:hint="eastAsia" w:ascii="仿宋" w:hAnsi="仿宋" w:eastAsia="仿宋" w:cs="仿宋"/>
          <w:color w:val="auto"/>
          <w:sz w:val="28"/>
          <w:szCs w:val="28"/>
          <w:lang w:val="en-US" w:eastAsia="zh-CN"/>
        </w:rPr>
        <w:drawing>
          <wp:inline distT="0" distB="0" distL="114300" distR="114300">
            <wp:extent cx="2529840" cy="1897380"/>
            <wp:effectExtent l="0" t="0" r="3810" b="7620"/>
            <wp:docPr id="27" name="图片 27" descr="IMG_3339(20250514-1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3339(20250514-133419)"/>
                    <pic:cNvPicPr>
                      <a:picLocks noChangeAspect="1"/>
                    </pic:cNvPicPr>
                  </pic:nvPicPr>
                  <pic:blipFill>
                    <a:blip r:embed="rId46"/>
                    <a:stretch>
                      <a:fillRect/>
                    </a:stretch>
                  </pic:blipFill>
                  <pic:spPr>
                    <a:xfrm>
                      <a:off x="0" y="0"/>
                      <a:ext cx="2529840" cy="1897380"/>
                    </a:xfrm>
                    <a:prstGeom prst="rect">
                      <a:avLst/>
                    </a:prstGeom>
                  </pic:spPr>
                </pic:pic>
              </a:graphicData>
            </a:graphic>
          </wp:inline>
        </w:drawing>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val="en-US" w:eastAsia="zh-CN"/>
        </w:rPr>
        <w:drawing>
          <wp:inline distT="0" distB="0" distL="114300" distR="114300">
            <wp:extent cx="2587625" cy="1941195"/>
            <wp:effectExtent l="0" t="0" r="3175" b="1905"/>
            <wp:docPr id="28" name="图片 28" descr="IMG_3323(20250514-1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323(20250514-133419)"/>
                    <pic:cNvPicPr>
                      <a:picLocks noChangeAspect="1"/>
                    </pic:cNvPicPr>
                  </pic:nvPicPr>
                  <pic:blipFill>
                    <a:blip r:embed="rId47"/>
                    <a:stretch>
                      <a:fillRect/>
                    </a:stretch>
                  </pic:blipFill>
                  <pic:spPr>
                    <a:xfrm>
                      <a:off x="0" y="0"/>
                      <a:ext cx="2587625" cy="1941195"/>
                    </a:xfrm>
                    <a:prstGeom prst="rect">
                      <a:avLst/>
                    </a:prstGeom>
                  </pic:spPr>
                </pic:pic>
              </a:graphicData>
            </a:graphic>
          </wp:inline>
        </w:drawing>
      </w:r>
    </w:p>
    <w:p w14:paraId="054ECE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技术要求：原护栏拆除清理运出闸区，栏杆采用不锈钢材质：立柱采用Q235钢板，高度1.2m，表面镀锌后静电喷塑处理，喷塑外表面为蓝色；具体详见相关设计图纸。其工艺要求参照Q/62089989-71-2000执行，焊接接头和焊缝必须满焊，焊透无缝隙、夹渣现象，表面打磨抛光处理。（样式参考附后）</w:t>
      </w:r>
    </w:p>
    <w:p w14:paraId="0136AC4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cs="@仿宋_GB2312"/>
          <w:color w:val="auto"/>
          <w:kern w:val="2"/>
          <w:sz w:val="21"/>
          <w:lang w:val="en-US" w:eastAsia="zh-CN" w:bidi="ar-SA"/>
        </w:rPr>
      </w:pPr>
    </w:p>
    <w:p w14:paraId="60DC0E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cs="@仿宋_GB2312"/>
          <w:color w:val="auto"/>
          <w:kern w:val="2"/>
          <w:sz w:val="21"/>
          <w:lang w:val="en-US" w:eastAsia="zh-CN" w:bidi="ar-SA"/>
        </w:rPr>
        <w:drawing>
          <wp:inline distT="0" distB="0" distL="114300" distR="114300">
            <wp:extent cx="5149215" cy="3872865"/>
            <wp:effectExtent l="0" t="0" r="13335" b="13335"/>
            <wp:docPr id="29" name="图片 29" descr="7.1芡河新闸等维修改造工程-水工部分 (2)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1芡河新闸等维修改造工程-水工部分 (2)_1_00"/>
                    <pic:cNvPicPr>
                      <a:picLocks noChangeAspect="1"/>
                    </pic:cNvPicPr>
                  </pic:nvPicPr>
                  <pic:blipFill>
                    <a:blip r:embed="rId48"/>
                    <a:srcRect l="7155" t="2315" r="3095" b="2273"/>
                    <a:stretch>
                      <a:fillRect/>
                    </a:stretch>
                  </pic:blipFill>
                  <pic:spPr>
                    <a:xfrm>
                      <a:off x="0" y="0"/>
                      <a:ext cx="5149215" cy="3872865"/>
                    </a:xfrm>
                    <a:prstGeom prst="rect">
                      <a:avLst/>
                    </a:prstGeom>
                  </pic:spPr>
                </pic:pic>
              </a:graphicData>
            </a:graphic>
          </wp:inline>
        </w:drawing>
      </w:r>
    </w:p>
    <w:p w14:paraId="5EFA01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400" w:leftChars="200" w:right="0" w:rightChars="0"/>
        <w:jc w:val="both"/>
        <w:textAlignment w:val="auto"/>
        <w:rPr>
          <w:rFonts w:hint="eastAsia" w:ascii="仿宋_GB2312" w:eastAsia="仿宋_GB2312"/>
          <w:color w:val="auto"/>
          <w:sz w:val="32"/>
          <w:szCs w:val="32"/>
          <w:highlight w:val="none"/>
          <w:lang w:val="en-US" w:eastAsia="zh-CN"/>
        </w:rPr>
      </w:pPr>
      <w:r>
        <w:rPr>
          <w:rFonts w:hint="eastAsia" w:ascii="仿宋_GB2312" w:hAnsi="@仿宋_GB2312" w:eastAsia="仿宋_GB2312" w:cs="@仿宋_GB2312"/>
          <w:color w:val="auto"/>
          <w:kern w:val="2"/>
          <w:sz w:val="32"/>
          <w:szCs w:val="32"/>
          <w:lang w:val="en-US" w:eastAsia="zh-CN" w:bidi="ar-SA"/>
        </w:rPr>
        <w:t>2.</w:t>
      </w:r>
      <w:r>
        <w:rPr>
          <w:rFonts w:hint="eastAsia" w:ascii="仿宋_GB2312" w:eastAsia="仿宋_GB2312"/>
          <w:color w:val="auto"/>
          <w:sz w:val="32"/>
          <w:szCs w:val="32"/>
          <w:highlight w:val="none"/>
          <w:lang w:val="en-US" w:eastAsia="zh-CN"/>
        </w:rPr>
        <w:t>涵闸窗户更换：</w:t>
      </w:r>
    </w:p>
    <w:p w14:paraId="340C14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现状：涡右吴家沟涵、西毛沟涵、涡左吴家沟涵及唐家沟涵原有铝合金窗户受长期水汽侵蚀、温差变化及风雨冲刷影响，存在密封不严、隔热性能差等问题，易导致雨水渗漏、室内潮湿，不仅影响涵闸内部机电设备的稳定运行，还会降低闸室环境的安全性与耐久性。</w:t>
      </w:r>
    </w:p>
    <w:p w14:paraId="287917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仿宋_GB2312" w:eastAsia="仿宋_GB2312"/>
          <w:color w:val="auto"/>
          <w:sz w:val="32"/>
          <w:szCs w:val="32"/>
          <w:highlight w:val="none"/>
          <w:lang w:val="en-US" w:eastAsia="zh-CN"/>
        </w:rPr>
      </w:pPr>
      <w:r>
        <w:rPr>
          <w:rFonts w:hint="default" w:ascii="仿宋" w:hAnsi="仿宋" w:eastAsia="仿宋" w:cs="仿宋"/>
          <w:color w:val="auto"/>
          <w:sz w:val="28"/>
          <w:szCs w:val="28"/>
          <w:lang w:val="en-US" w:eastAsia="zh-CN"/>
        </w:rPr>
        <w:drawing>
          <wp:inline distT="0" distB="0" distL="114300" distR="114300">
            <wp:extent cx="4643120" cy="2562860"/>
            <wp:effectExtent l="0" t="0" r="5080" b="8890"/>
            <wp:docPr id="30" name="图片 30" descr="IMG_3324(20250514-133419)"/>
            <wp:cNvGraphicFramePr/>
            <a:graphic xmlns:a="http://schemas.openxmlformats.org/drawingml/2006/main">
              <a:graphicData uri="http://schemas.openxmlformats.org/drawingml/2006/picture">
                <pic:pic xmlns:pic="http://schemas.openxmlformats.org/drawingml/2006/picture">
                  <pic:nvPicPr>
                    <pic:cNvPr id="30" name="图片 30" descr="IMG_3324(20250514-133419)"/>
                    <pic:cNvPicPr/>
                  </pic:nvPicPr>
                  <pic:blipFill>
                    <a:blip r:embed="rId49"/>
                    <a:srcRect t="5650" b="17911"/>
                    <a:stretch>
                      <a:fillRect/>
                    </a:stretch>
                  </pic:blipFill>
                  <pic:spPr>
                    <a:xfrm>
                      <a:off x="0" y="0"/>
                      <a:ext cx="4643120" cy="2562860"/>
                    </a:xfrm>
                    <a:prstGeom prst="rect">
                      <a:avLst/>
                    </a:prstGeom>
                  </pic:spPr>
                </pic:pic>
              </a:graphicData>
            </a:graphic>
          </wp:inline>
        </w:drawing>
      </w:r>
    </w:p>
    <w:p w14:paraId="612248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技术要求：拆除涡右吴家沟涵、西毛沟涵、涡左吴家沟涵及唐家沟涵原有铝合金窗户，更换为90系列断桥铝合金窗，5+9A+5，含金刚网窗纱。</w:t>
      </w:r>
    </w:p>
    <w:p w14:paraId="26CC86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400" w:leftChars="200" w:right="0" w:rightChars="0" w:firstLine="0" w:firstLineChars="0"/>
        <w:jc w:val="both"/>
        <w:textAlignment w:val="auto"/>
        <w:rPr>
          <w:rFonts w:hint="eastAsia" w:ascii="仿宋_GB2312" w:eastAsia="仿宋_GB2312"/>
          <w:color w:val="auto"/>
          <w:sz w:val="32"/>
          <w:szCs w:val="32"/>
          <w:highlight w:val="none"/>
          <w:lang w:val="en-US" w:eastAsia="zh-CN"/>
        </w:rPr>
      </w:pPr>
      <w:r>
        <w:rPr>
          <w:rFonts w:hint="eastAsia" w:ascii="仿宋_GB2312" w:hAnsi="@仿宋_GB2312" w:eastAsia="仿宋_GB2312" w:cs="@仿宋_GB2312"/>
          <w:color w:val="auto"/>
          <w:kern w:val="2"/>
          <w:sz w:val="32"/>
          <w:szCs w:val="32"/>
          <w:lang w:val="en-US" w:eastAsia="zh-CN" w:bidi="ar-SA"/>
        </w:rPr>
        <w:t>3.</w:t>
      </w:r>
      <w:r>
        <w:rPr>
          <w:rFonts w:hint="eastAsia" w:ascii="仿宋_GB2312" w:eastAsia="仿宋_GB2312"/>
          <w:color w:val="auto"/>
          <w:sz w:val="32"/>
          <w:szCs w:val="32"/>
          <w:highlight w:val="none"/>
          <w:lang w:val="en-US" w:eastAsia="zh-CN"/>
        </w:rPr>
        <w:t>预制锁块混凝土护坡</w:t>
      </w:r>
    </w:p>
    <w:p w14:paraId="5AD12B8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现状：钮家沟涵下游翼墙内坡</w:t>
      </w:r>
      <w:r>
        <w:rPr>
          <w:rFonts w:hint="default" w:ascii="仿宋_GB2312" w:eastAsia="仿宋_GB2312"/>
          <w:color w:val="auto"/>
          <w:sz w:val="32"/>
          <w:szCs w:val="32"/>
          <w:highlight w:val="none"/>
          <w:lang w:val="en-US" w:eastAsia="zh-CN"/>
        </w:rPr>
        <w:t>长期受雨水</w:t>
      </w:r>
      <w:r>
        <w:rPr>
          <w:rFonts w:hint="eastAsia" w:ascii="仿宋_GB2312" w:eastAsia="仿宋_GB2312"/>
          <w:color w:val="auto"/>
          <w:sz w:val="32"/>
          <w:szCs w:val="32"/>
          <w:highlight w:val="none"/>
          <w:lang w:val="en-US" w:eastAsia="zh-CN"/>
        </w:rPr>
        <w:t>冲涮，容易</w:t>
      </w:r>
      <w:r>
        <w:rPr>
          <w:rFonts w:hint="default" w:ascii="仿宋_GB2312" w:eastAsia="仿宋_GB2312"/>
          <w:color w:val="auto"/>
          <w:sz w:val="32"/>
          <w:szCs w:val="32"/>
          <w:highlight w:val="none"/>
          <w:lang w:val="en-US" w:eastAsia="zh-CN"/>
        </w:rPr>
        <w:t>出现水土流失、坡面塌陷等病害，不仅削弱了岸坡的稳定性，还对涵闸主体结构安全构成威胁；为防止水土流失，保障涵闸工程长效安全运行，需新增预制</w:t>
      </w:r>
      <w:r>
        <w:rPr>
          <w:rFonts w:hint="eastAsia" w:ascii="仿宋_GB2312" w:eastAsia="仿宋_GB2312"/>
          <w:color w:val="auto"/>
          <w:sz w:val="32"/>
          <w:szCs w:val="32"/>
          <w:highlight w:val="none"/>
          <w:lang w:val="en-US" w:eastAsia="zh-CN"/>
        </w:rPr>
        <w:t>锁</w:t>
      </w:r>
      <w:r>
        <w:rPr>
          <w:rFonts w:hint="default" w:ascii="仿宋_GB2312" w:eastAsia="仿宋_GB2312"/>
          <w:color w:val="auto"/>
          <w:sz w:val="32"/>
          <w:szCs w:val="32"/>
          <w:highlight w:val="none"/>
          <w:lang w:val="en-US" w:eastAsia="zh-CN"/>
        </w:rPr>
        <w:t>块混凝土护坡。</w:t>
      </w:r>
    </w:p>
    <w:p w14:paraId="5F5690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cs="@仿宋_GB2312"/>
          <w:color w:val="auto"/>
          <w:kern w:val="2"/>
          <w:sz w:val="21"/>
          <w:lang w:val="en-US" w:eastAsia="zh-CN" w:bidi="ar-SA"/>
        </w:rPr>
      </w:pPr>
      <w:r>
        <w:rPr>
          <w:rFonts w:hint="eastAsia" w:ascii="仿宋" w:hAnsi="仿宋" w:eastAsia="仿宋" w:cs="仿宋"/>
          <w:color w:val="auto"/>
          <w:sz w:val="28"/>
          <w:szCs w:val="28"/>
          <w:lang w:val="en-US" w:eastAsia="zh-CN"/>
        </w:rPr>
        <w:drawing>
          <wp:inline distT="0" distB="0" distL="114300" distR="114300">
            <wp:extent cx="4675505" cy="3507105"/>
            <wp:effectExtent l="0" t="0" r="10795" b="17145"/>
            <wp:docPr id="31" name="图片 31" descr="IMG_3329(20250514-20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329(20250514-203535)"/>
                    <pic:cNvPicPr>
                      <a:picLocks noChangeAspect="1"/>
                    </pic:cNvPicPr>
                  </pic:nvPicPr>
                  <pic:blipFill>
                    <a:blip r:embed="rId50"/>
                    <a:stretch>
                      <a:fillRect/>
                    </a:stretch>
                  </pic:blipFill>
                  <pic:spPr>
                    <a:xfrm>
                      <a:off x="0" y="0"/>
                      <a:ext cx="4675505" cy="3507105"/>
                    </a:xfrm>
                    <a:prstGeom prst="rect">
                      <a:avLst/>
                    </a:prstGeom>
                  </pic:spPr>
                </pic:pic>
              </a:graphicData>
            </a:graphic>
          </wp:inline>
        </w:drawing>
      </w:r>
    </w:p>
    <w:p w14:paraId="202D592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技术要求：</w:t>
      </w:r>
      <w:r>
        <w:rPr>
          <w:rFonts w:hint="default" w:ascii="仿宋_GB2312" w:eastAsia="仿宋_GB2312"/>
          <w:color w:val="auto"/>
          <w:sz w:val="32"/>
          <w:szCs w:val="32"/>
          <w:highlight w:val="none"/>
          <w:lang w:val="en-US" w:eastAsia="zh-CN"/>
        </w:rPr>
        <w:t>基层处理</w:t>
      </w:r>
      <w:r>
        <w:rPr>
          <w:rFonts w:hint="eastAsia" w:ascii="仿宋_GB2312" w:eastAsia="仿宋_GB2312"/>
          <w:color w:val="auto"/>
          <w:sz w:val="32"/>
          <w:szCs w:val="32"/>
          <w:highlight w:val="none"/>
          <w:lang w:val="en-US" w:eastAsia="zh-CN"/>
        </w:rPr>
        <w:t>包括</w:t>
      </w:r>
      <w:r>
        <w:rPr>
          <w:rFonts w:hint="default" w:ascii="仿宋_GB2312" w:eastAsia="仿宋_GB2312"/>
          <w:color w:val="auto"/>
          <w:sz w:val="32"/>
          <w:szCs w:val="32"/>
          <w:highlight w:val="none"/>
          <w:lang w:val="en-US" w:eastAsia="zh-CN"/>
        </w:rPr>
        <w:t>坡面清理、修整，铺设</w:t>
      </w:r>
      <w:r>
        <w:rPr>
          <w:rFonts w:hint="eastAsia" w:ascii="仿宋_GB2312" w:eastAsia="仿宋_GB2312"/>
          <w:color w:val="auto"/>
          <w:sz w:val="32"/>
          <w:szCs w:val="32"/>
          <w:highlight w:val="none"/>
          <w:lang w:val="en-US" w:eastAsia="zh-CN"/>
        </w:rPr>
        <w:t>级配碎石</w:t>
      </w:r>
      <w:r>
        <w:rPr>
          <w:rFonts w:hint="default" w:ascii="仿宋_GB2312" w:eastAsia="仿宋_GB2312"/>
          <w:color w:val="auto"/>
          <w:sz w:val="32"/>
          <w:szCs w:val="32"/>
          <w:highlight w:val="none"/>
          <w:lang w:val="en-US" w:eastAsia="zh-CN"/>
        </w:rPr>
        <w:t>垫层1</w:t>
      </w:r>
      <w:r>
        <w:rPr>
          <w:rFonts w:hint="eastAsia" w:ascii="仿宋_GB2312" w:eastAsia="仿宋_GB2312"/>
          <w:color w:val="auto"/>
          <w:sz w:val="32"/>
          <w:szCs w:val="32"/>
          <w:highlight w:val="none"/>
          <w:lang w:val="en-US" w:eastAsia="zh-CN"/>
        </w:rPr>
        <w:t>0</w:t>
      </w:r>
      <w:r>
        <w:rPr>
          <w:rFonts w:hint="default" w:ascii="仿宋_GB2312" w:eastAsia="仿宋_GB2312"/>
          <w:color w:val="auto"/>
          <w:sz w:val="32"/>
          <w:szCs w:val="32"/>
          <w:highlight w:val="none"/>
          <w:lang w:val="en-US" w:eastAsia="zh-CN"/>
        </w:rPr>
        <w:t>cm,</w:t>
      </w:r>
      <w:r>
        <w:rPr>
          <w:rFonts w:hint="eastAsia" w:ascii="仿宋_GB2312" w:eastAsia="仿宋_GB2312"/>
          <w:color w:val="auto"/>
          <w:sz w:val="32"/>
          <w:szCs w:val="32"/>
          <w:highlight w:val="none"/>
          <w:lang w:val="en-US" w:eastAsia="zh-CN"/>
        </w:rPr>
        <w:t>分</w:t>
      </w:r>
      <w:r>
        <w:rPr>
          <w:rFonts w:hint="default" w:ascii="仿宋_GB2312" w:eastAsia="仿宋_GB2312"/>
          <w:color w:val="auto"/>
          <w:sz w:val="32"/>
          <w:szCs w:val="32"/>
          <w:highlight w:val="none"/>
          <w:lang w:val="en-US" w:eastAsia="zh-CN"/>
        </w:rPr>
        <w:t>层压实，保证排水防渗；预制</w:t>
      </w:r>
      <w:r>
        <w:rPr>
          <w:rFonts w:hint="eastAsia" w:ascii="仿宋_GB2312" w:eastAsia="仿宋_GB2312"/>
          <w:color w:val="auto"/>
          <w:sz w:val="32"/>
          <w:szCs w:val="32"/>
          <w:highlight w:val="none"/>
          <w:lang w:val="en-US" w:eastAsia="zh-CN"/>
        </w:rPr>
        <w:t>锁</w:t>
      </w:r>
      <w:r>
        <w:rPr>
          <w:rFonts w:hint="default" w:ascii="仿宋_GB2312" w:eastAsia="仿宋_GB2312"/>
          <w:color w:val="auto"/>
          <w:sz w:val="32"/>
          <w:szCs w:val="32"/>
          <w:highlight w:val="none"/>
          <w:lang w:val="en-US" w:eastAsia="zh-CN"/>
        </w:rPr>
        <w:t>块采用C25混凝土制作，规格40cm*</w:t>
      </w:r>
      <w:r>
        <w:rPr>
          <w:rFonts w:hint="eastAsia" w:ascii="仿宋_GB2312" w:eastAsia="仿宋_GB2312"/>
          <w:color w:val="auto"/>
          <w:sz w:val="32"/>
          <w:szCs w:val="32"/>
          <w:highlight w:val="none"/>
          <w:lang w:val="en-US" w:eastAsia="zh-CN"/>
        </w:rPr>
        <w:t>5</w:t>
      </w:r>
      <w:r>
        <w:rPr>
          <w:rFonts w:hint="default" w:ascii="仿宋_GB2312" w:eastAsia="仿宋_GB2312"/>
          <w:color w:val="auto"/>
          <w:sz w:val="32"/>
          <w:szCs w:val="32"/>
          <w:highlight w:val="none"/>
          <w:lang w:val="en-US" w:eastAsia="zh-CN"/>
        </w:rPr>
        <w:t>0cm*1</w:t>
      </w:r>
      <w:r>
        <w:rPr>
          <w:rFonts w:hint="eastAsia" w:ascii="仿宋_GB2312" w:eastAsia="仿宋_GB2312"/>
          <w:color w:val="auto"/>
          <w:sz w:val="32"/>
          <w:szCs w:val="32"/>
          <w:highlight w:val="none"/>
          <w:lang w:val="en-US" w:eastAsia="zh-CN"/>
        </w:rPr>
        <w:t>0</w:t>
      </w:r>
      <w:r>
        <w:rPr>
          <w:rFonts w:hint="default" w:ascii="仿宋_GB2312" w:eastAsia="仿宋_GB2312"/>
          <w:color w:val="auto"/>
          <w:sz w:val="32"/>
          <w:szCs w:val="32"/>
          <w:highlight w:val="none"/>
          <w:lang w:val="en-US" w:eastAsia="zh-CN"/>
        </w:rPr>
        <w:t>cm；顶部用</w:t>
      </w:r>
      <w:r>
        <w:rPr>
          <w:rFonts w:hint="eastAsia" w:ascii="仿宋_GB2312" w:eastAsia="仿宋_GB2312"/>
          <w:color w:val="auto"/>
          <w:sz w:val="32"/>
          <w:szCs w:val="32"/>
          <w:highlight w:val="none"/>
          <w:lang w:val="en-US" w:eastAsia="zh-CN"/>
        </w:rPr>
        <w:t>C25</w:t>
      </w:r>
      <w:r>
        <w:rPr>
          <w:rFonts w:hint="default" w:ascii="仿宋_GB2312" w:eastAsia="仿宋_GB2312"/>
          <w:color w:val="auto"/>
          <w:sz w:val="32"/>
          <w:szCs w:val="32"/>
          <w:highlight w:val="none"/>
          <w:lang w:val="en-US" w:eastAsia="zh-CN"/>
        </w:rPr>
        <w:t>混凝土</w:t>
      </w:r>
      <w:r>
        <w:rPr>
          <w:rFonts w:hint="eastAsia" w:ascii="仿宋_GB2312" w:eastAsia="仿宋_GB2312"/>
          <w:color w:val="auto"/>
          <w:sz w:val="32"/>
          <w:szCs w:val="32"/>
          <w:highlight w:val="none"/>
          <w:lang w:val="en-US" w:eastAsia="zh-CN"/>
        </w:rPr>
        <w:t>30cm*45cm</w:t>
      </w:r>
      <w:r>
        <w:rPr>
          <w:rFonts w:hint="default" w:ascii="仿宋_GB2312" w:eastAsia="仿宋_GB2312"/>
          <w:color w:val="auto"/>
          <w:sz w:val="32"/>
          <w:szCs w:val="32"/>
          <w:highlight w:val="none"/>
          <w:lang w:val="en-US" w:eastAsia="zh-CN"/>
        </w:rPr>
        <w:t>压顶</w:t>
      </w:r>
      <w:r>
        <w:rPr>
          <w:rFonts w:hint="eastAsia" w:ascii="仿宋_GB2312" w:eastAsia="仿宋_GB2312"/>
          <w:color w:val="auto"/>
          <w:sz w:val="32"/>
          <w:szCs w:val="32"/>
          <w:highlight w:val="none"/>
          <w:lang w:val="en-US" w:eastAsia="zh-CN"/>
        </w:rPr>
        <w:t>,镇脚C25</w:t>
      </w:r>
      <w:r>
        <w:rPr>
          <w:rFonts w:hint="default" w:ascii="仿宋_GB2312" w:eastAsia="仿宋_GB2312"/>
          <w:color w:val="auto"/>
          <w:sz w:val="32"/>
          <w:szCs w:val="32"/>
          <w:highlight w:val="none"/>
          <w:lang w:val="en-US" w:eastAsia="zh-CN"/>
        </w:rPr>
        <w:t>混凝土</w:t>
      </w:r>
      <w:r>
        <w:rPr>
          <w:rFonts w:hint="eastAsia" w:ascii="仿宋_GB2312" w:eastAsia="仿宋_GB2312"/>
          <w:color w:val="auto"/>
          <w:sz w:val="32"/>
          <w:szCs w:val="32"/>
          <w:highlight w:val="none"/>
          <w:lang w:val="en-US" w:eastAsia="zh-CN"/>
        </w:rPr>
        <w:t>40cm*65cm</w:t>
      </w:r>
      <w:r>
        <w:rPr>
          <w:rFonts w:hint="default"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lang w:val="en-US" w:eastAsia="zh-CN"/>
        </w:rPr>
        <w:t>（见下图）</w:t>
      </w:r>
    </w:p>
    <w:p w14:paraId="2D8EB5C0">
      <w:pPr>
        <w:bidi w:val="0"/>
        <w:jc w:val="center"/>
        <w:rPr>
          <w:rFonts w:hint="eastAsia" w:cs="@仿宋_GB2312"/>
          <w:color w:val="auto"/>
          <w:kern w:val="2"/>
          <w:sz w:val="21"/>
          <w:lang w:val="en-US" w:eastAsia="zh-CN" w:bidi="ar-SA"/>
        </w:rPr>
      </w:pPr>
    </w:p>
    <w:p w14:paraId="52B0CAF3">
      <w:pPr>
        <w:bidi w:val="0"/>
        <w:jc w:val="both"/>
        <w:rPr>
          <w:rFonts w:hint="eastAsia" w:cs="@仿宋_GB2312"/>
          <w:color w:val="auto"/>
          <w:kern w:val="2"/>
          <w:sz w:val="21"/>
          <w:lang w:val="en-US" w:eastAsia="zh-CN" w:bidi="ar-SA"/>
        </w:rPr>
      </w:pPr>
      <w:r>
        <w:rPr>
          <w:rFonts w:hint="eastAsia" w:cs="@仿宋_GB2312"/>
          <w:color w:val="auto"/>
          <w:kern w:val="2"/>
          <w:sz w:val="21"/>
          <w:lang w:val="en-US" w:eastAsia="zh-CN" w:bidi="ar-SA"/>
        </w:rPr>
        <w:drawing>
          <wp:inline distT="0" distB="0" distL="114300" distR="114300">
            <wp:extent cx="2612390" cy="2725420"/>
            <wp:effectExtent l="0" t="0" r="16510" b="17780"/>
            <wp:docPr id="32" name="图片 32" descr="IMG_7118(20260106-18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7118(20260106-183920)"/>
                    <pic:cNvPicPr>
                      <a:picLocks noChangeAspect="1"/>
                    </pic:cNvPicPr>
                  </pic:nvPicPr>
                  <pic:blipFill>
                    <a:blip r:embed="rId51"/>
                    <a:srcRect l="702" t="-5564" r="3075" b="3219"/>
                    <a:stretch>
                      <a:fillRect/>
                    </a:stretch>
                  </pic:blipFill>
                  <pic:spPr>
                    <a:xfrm>
                      <a:off x="0" y="0"/>
                      <a:ext cx="2612390" cy="2725420"/>
                    </a:xfrm>
                    <a:prstGeom prst="rect">
                      <a:avLst/>
                    </a:prstGeom>
                  </pic:spPr>
                </pic:pic>
              </a:graphicData>
            </a:graphic>
          </wp:inline>
        </w:drawing>
      </w:r>
      <w:r>
        <w:rPr>
          <w:rFonts w:hint="eastAsia" w:cs="@仿宋_GB2312"/>
          <w:color w:val="auto"/>
          <w:kern w:val="2"/>
          <w:sz w:val="21"/>
          <w:lang w:val="en-US" w:eastAsia="zh-CN" w:bidi="ar-SA"/>
        </w:rPr>
        <w:t xml:space="preserve">    </w:t>
      </w:r>
      <w:r>
        <w:rPr>
          <w:rFonts w:hint="eastAsia" w:cs="@仿宋_GB2312"/>
          <w:color w:val="auto"/>
          <w:kern w:val="2"/>
          <w:sz w:val="21"/>
          <w:lang w:val="en-US" w:eastAsia="zh-CN" w:bidi="ar-SA"/>
        </w:rPr>
        <w:drawing>
          <wp:inline distT="0" distB="0" distL="114300" distR="114300">
            <wp:extent cx="2361565" cy="2266315"/>
            <wp:effectExtent l="0" t="0" r="635" b="635"/>
            <wp:docPr id="33" name="图片 33" descr="C79C6617AC14185B0E99D7FF8FA140C1(20260106-18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79C6617AC14185B0E99D7FF8FA140C1(20260106-183935)"/>
                    <pic:cNvPicPr>
                      <a:picLocks noChangeAspect="1"/>
                    </pic:cNvPicPr>
                  </pic:nvPicPr>
                  <pic:blipFill>
                    <a:blip r:embed="rId52"/>
                    <a:srcRect l="9931" t="3039" r="3072" b="7075"/>
                    <a:stretch>
                      <a:fillRect/>
                    </a:stretch>
                  </pic:blipFill>
                  <pic:spPr>
                    <a:xfrm>
                      <a:off x="0" y="0"/>
                      <a:ext cx="2361565" cy="2266315"/>
                    </a:xfrm>
                    <a:prstGeom prst="rect">
                      <a:avLst/>
                    </a:prstGeom>
                  </pic:spPr>
                </pic:pic>
              </a:graphicData>
            </a:graphic>
          </wp:inline>
        </w:drawing>
      </w:r>
    </w:p>
    <w:p w14:paraId="38D970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4.屋顶瓦片维修</w:t>
      </w:r>
    </w:p>
    <w:p w14:paraId="7D63B8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现状：钮家沟涵屋顶部分瓦片出现松动、破损及脱落，屋顶瓦片损毁脱落后，不仅影响外部美观，更对屋顶结构稳定及室内机电设施设备运行产生影响。为保障涵闸工程长效稳定运行，消除安全隐患，需对丢失及破损的屋顶瓦片进行更换处理。</w:t>
      </w:r>
    </w:p>
    <w:p w14:paraId="183B6CE5">
      <w:pPr>
        <w:bidi w:val="0"/>
        <w:jc w:val="both"/>
        <w:rPr>
          <w:rFonts w:hint="eastAsia" w:cs="@仿宋_GB2312"/>
          <w:color w:val="auto"/>
          <w:kern w:val="2"/>
          <w:sz w:val="21"/>
          <w:lang w:val="en-US" w:eastAsia="zh-CN" w:bidi="ar-SA"/>
        </w:rPr>
      </w:pPr>
    </w:p>
    <w:p w14:paraId="2CB1733B">
      <w:pPr>
        <w:bidi w:val="0"/>
        <w:jc w:val="center"/>
        <w:rPr>
          <w:rFonts w:hint="eastAsia" w:cs="@仿宋_GB2312"/>
          <w:color w:val="auto"/>
          <w:kern w:val="2"/>
          <w:sz w:val="21"/>
          <w:lang w:val="en-US" w:eastAsia="zh-CN" w:bidi="ar-SA"/>
        </w:rPr>
      </w:pPr>
      <w:r>
        <w:rPr>
          <w:rFonts w:hint="eastAsia" w:cs="@仿宋_GB2312"/>
          <w:color w:val="auto"/>
          <w:kern w:val="2"/>
          <w:sz w:val="21"/>
          <w:lang w:val="en-US" w:eastAsia="zh-CN" w:bidi="ar-SA"/>
        </w:rPr>
        <w:drawing>
          <wp:inline distT="0" distB="0" distL="114300" distR="114300">
            <wp:extent cx="4560570" cy="3419475"/>
            <wp:effectExtent l="0" t="0" r="11430" b="9525"/>
            <wp:docPr id="34" name="图片 34" descr="bc210646892a7e28cfaab9b7e15ff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c210646892a7e28cfaab9b7e15ffaa8"/>
                    <pic:cNvPicPr>
                      <a:picLocks noChangeAspect="1"/>
                    </pic:cNvPicPr>
                  </pic:nvPicPr>
                  <pic:blipFill>
                    <a:blip r:embed="rId53"/>
                    <a:stretch>
                      <a:fillRect/>
                    </a:stretch>
                  </pic:blipFill>
                  <pic:spPr>
                    <a:xfrm>
                      <a:off x="0" y="0"/>
                      <a:ext cx="4560570" cy="3419475"/>
                    </a:xfrm>
                    <a:prstGeom prst="rect">
                      <a:avLst/>
                    </a:prstGeom>
                  </pic:spPr>
                </pic:pic>
              </a:graphicData>
            </a:graphic>
          </wp:inline>
        </w:drawing>
      </w:r>
    </w:p>
    <w:p w14:paraId="1B07B589">
      <w:pPr>
        <w:bidi w:val="0"/>
        <w:jc w:val="center"/>
        <w:rPr>
          <w:rFonts w:hint="eastAsia" w:cs="@仿宋_GB2312"/>
          <w:color w:val="auto"/>
          <w:kern w:val="2"/>
          <w:sz w:val="21"/>
          <w:lang w:val="en-US" w:eastAsia="zh-CN" w:bidi="ar-SA"/>
        </w:rPr>
      </w:pPr>
    </w:p>
    <w:p w14:paraId="5557C0C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技术要求：按原瓦片尺寸、颜色、厚度等对破损瓦片拆除及更换。</w:t>
      </w:r>
    </w:p>
    <w:p w14:paraId="028489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5.草皮铺植</w:t>
      </w:r>
    </w:p>
    <w:p w14:paraId="17B1D1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现状：钮家沟涵上游原有草皮生长稀疏、覆盖率低，部分区域甚至出现草皮退化、土壤裸露现象，为保障涵闸工程长效安全运行，需开展草皮铺植施工。</w:t>
      </w:r>
    </w:p>
    <w:p w14:paraId="23CB0A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firstLine="560" w:firstLineChars="200"/>
        <w:jc w:val="both"/>
        <w:textAlignment w:val="auto"/>
        <w:rPr>
          <w:rFonts w:hint="eastAsia" w:ascii="仿宋_GB2312" w:eastAsia="仿宋_GB2312"/>
          <w:color w:val="auto"/>
          <w:sz w:val="32"/>
          <w:szCs w:val="32"/>
          <w:highlight w:val="none"/>
          <w:lang w:val="en-US" w:eastAsia="zh-CN"/>
        </w:rPr>
      </w:pPr>
      <w:r>
        <w:rPr>
          <w:rFonts w:hint="default" w:ascii="仿宋" w:hAnsi="仿宋" w:eastAsia="仿宋" w:cs="仿宋"/>
          <w:color w:val="auto"/>
          <w:sz w:val="28"/>
          <w:szCs w:val="28"/>
          <w:lang w:val="en-US" w:eastAsia="zh-CN"/>
        </w:rPr>
        <w:drawing>
          <wp:inline distT="0" distB="0" distL="114300" distR="114300">
            <wp:extent cx="4607560" cy="3456940"/>
            <wp:effectExtent l="0" t="0" r="2540" b="10160"/>
            <wp:docPr id="35" name="图片 35" descr="IMG_3331(20250514-20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3331(20250514-203535)"/>
                    <pic:cNvPicPr>
                      <a:picLocks noChangeAspect="1"/>
                    </pic:cNvPicPr>
                  </pic:nvPicPr>
                  <pic:blipFill>
                    <a:blip r:embed="rId54"/>
                    <a:stretch>
                      <a:fillRect/>
                    </a:stretch>
                  </pic:blipFill>
                  <pic:spPr>
                    <a:xfrm>
                      <a:off x="0" y="0"/>
                      <a:ext cx="4607560" cy="3456940"/>
                    </a:xfrm>
                    <a:prstGeom prst="rect">
                      <a:avLst/>
                    </a:prstGeom>
                  </pic:spPr>
                </pic:pic>
              </a:graphicData>
            </a:graphic>
          </wp:inline>
        </w:drawing>
      </w:r>
    </w:p>
    <w:p w14:paraId="4015AC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技术要求：铺植前对目标区域进行清基，清除石块、建筑垃圾、杂草根茎等杂物；对松散土体进行夯实，夯实度不低于 85%；若坡面存在坑洼，采用素土回填找平，确保坡面平整度偏差不大于 5cm/2m。铺植选用纯种狗牙根草皮，草皮高度控制在5-8cm，根系发达、无病虫害、无杂草混杂，草皮整体长势均匀，色泽鲜亮。草皮规格采用卷状或块状，厚度不小于 2cm，块体草皮接缝处应紧密贴合，卷状草皮拉伸后无断裂现象。</w:t>
      </w:r>
    </w:p>
    <w:p w14:paraId="256B1AA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6.栈桥维修</w:t>
      </w:r>
    </w:p>
    <w:p w14:paraId="123A773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现状：涡左吴家沟涵栈桥混凝土结构出现局部裂缝、表层剥落等病害，影响结构承载能力，需对栈桥进行维修。</w:t>
      </w:r>
    </w:p>
    <w:p w14:paraId="1BD9EB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仿宋_GB2312" w:eastAsia="仿宋_GB2312"/>
          <w:color w:val="auto"/>
          <w:sz w:val="32"/>
          <w:szCs w:val="32"/>
          <w:highlight w:val="none"/>
          <w:lang w:val="en-US" w:eastAsia="zh-CN"/>
        </w:rPr>
      </w:pPr>
      <w:r>
        <w:rPr>
          <w:rFonts w:hint="default" w:ascii="仿宋" w:hAnsi="仿宋" w:eastAsia="仿宋" w:cs="仿宋"/>
          <w:color w:val="auto"/>
          <w:sz w:val="28"/>
          <w:szCs w:val="28"/>
          <w:lang w:val="en-US" w:eastAsia="zh-CN"/>
        </w:rPr>
        <w:drawing>
          <wp:inline distT="0" distB="0" distL="114300" distR="114300">
            <wp:extent cx="4940300" cy="3705860"/>
            <wp:effectExtent l="0" t="0" r="12700" b="8890"/>
            <wp:docPr id="36" name="图片 36" descr="IMG_3342(20250514-1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3342(20250514-133419)"/>
                    <pic:cNvPicPr>
                      <a:picLocks noChangeAspect="1"/>
                    </pic:cNvPicPr>
                  </pic:nvPicPr>
                  <pic:blipFill>
                    <a:blip r:embed="rId55"/>
                    <a:stretch>
                      <a:fillRect/>
                    </a:stretch>
                  </pic:blipFill>
                  <pic:spPr>
                    <a:xfrm>
                      <a:off x="0" y="0"/>
                      <a:ext cx="4940300" cy="3705860"/>
                    </a:xfrm>
                    <a:prstGeom prst="rect">
                      <a:avLst/>
                    </a:prstGeom>
                  </pic:spPr>
                </pic:pic>
              </a:graphicData>
            </a:graphic>
          </wp:inline>
        </w:drawing>
      </w:r>
    </w:p>
    <w:p w14:paraId="5BA17289">
      <w:pPr>
        <w:tabs>
          <w:tab w:val="left" w:pos="1185"/>
        </w:tabs>
        <w:bidi w:val="0"/>
        <w:ind w:firstLine="640" w:firstLineChars="200"/>
        <w:jc w:val="left"/>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技术要求：先彻底铲除破损墙皮及周边 10-15cm 范围的松动基层，清除浮渣后用高压水枪冲洗干净，待基面含水率≤10% 时涂刷界面剂。随后分两层粉刷 M15 水泥砂浆，打底层厚 8-10mm，压实找平后待初凝（4-6 小时），再做 5-8mm 面层并压光，阴阳角做成≥5mm 圆弧角。施工需避开极端天气，粉刷后洒水养护不少于 7 天，确保表面平整光滑、粘结牢固，无脱皮、空鼓、裂缝等缺陷，恢复栈桥结构防护性能。</w:t>
      </w:r>
    </w:p>
    <w:p w14:paraId="2153628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7.刘桥闸、新淝闸：增设窗帘，包括窗帘制作、安装及配套罗马杆、扣环、衬带、支架等，部位：三楼启闭机房、备用发电机房；清单按窗帘展开面积计，窗帘为卷帘升降式，向阳面为银色、内面为淡蓝色）。铺设地胶地面：密实底PVC地胶，3mm厚，耐磨款；部位：三楼桥头堡、启闭机房。</w:t>
      </w:r>
    </w:p>
    <w:p w14:paraId="072F884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default"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（六）潘集局水闸工程维修</w:t>
      </w:r>
    </w:p>
    <w:p w14:paraId="06807C0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rPr>
        <w:t>1.</w:t>
      </w:r>
      <w:r>
        <w:rPr>
          <w:rFonts w:hint="eastAsia" w:ascii="仿宋_GB2312" w:hAnsi="仿宋_GB2312" w:eastAsia="仿宋_GB2312" w:cs="仿宋_GB2312"/>
          <w:b/>
          <w:bCs/>
          <w:color w:val="auto"/>
          <w:sz w:val="32"/>
          <w:szCs w:val="32"/>
          <w:highlight w:val="none"/>
          <w:lang w:val="en-US" w:eastAsia="zh-CN"/>
        </w:rPr>
        <w:t>水闸启闭机油漆</w:t>
      </w:r>
    </w:p>
    <w:p w14:paraId="72AE139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现状：</w:t>
      </w:r>
    </w:p>
    <w:p w14:paraId="5466362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1.1、架河闸启闭机油漆部分损毁。</w:t>
      </w:r>
    </w:p>
    <w:p w14:paraId="7EE5746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highlight w:val="none"/>
          <w:lang w:val="en-US" w:eastAsia="zh-CN"/>
        </w:rPr>
        <w:drawing>
          <wp:inline distT="0" distB="0" distL="114300" distR="114300">
            <wp:extent cx="2529840" cy="1901190"/>
            <wp:effectExtent l="0" t="0" r="3810" b="3810"/>
            <wp:docPr id="37" name="图片 37" descr="daa297a1d73997d53757e14c4394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aa297a1d73997d53757e14c43949613"/>
                    <pic:cNvPicPr>
                      <a:picLocks noChangeAspect="1"/>
                    </pic:cNvPicPr>
                  </pic:nvPicPr>
                  <pic:blipFill>
                    <a:blip r:embed="rId56"/>
                    <a:stretch>
                      <a:fillRect/>
                    </a:stretch>
                  </pic:blipFill>
                  <pic:spPr>
                    <a:xfrm>
                      <a:off x="0" y="0"/>
                      <a:ext cx="2529840" cy="1901190"/>
                    </a:xfrm>
                    <a:prstGeom prst="rect">
                      <a:avLst/>
                    </a:prstGeom>
                  </pic:spPr>
                </pic:pic>
              </a:graphicData>
            </a:graphic>
          </wp:inline>
        </w:drawing>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drawing>
          <wp:inline distT="0" distB="0" distL="114300" distR="114300">
            <wp:extent cx="2499995" cy="1878330"/>
            <wp:effectExtent l="0" t="0" r="14605" b="7620"/>
            <wp:docPr id="38" name="图片 38" descr="5d15303d3f4c34e38302e6ce21deb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d15303d3f4c34e38302e6ce21deb86d"/>
                    <pic:cNvPicPr>
                      <a:picLocks noChangeAspect="1"/>
                    </pic:cNvPicPr>
                  </pic:nvPicPr>
                  <pic:blipFill>
                    <a:blip r:embed="rId57"/>
                    <a:stretch>
                      <a:fillRect/>
                    </a:stretch>
                  </pic:blipFill>
                  <pic:spPr>
                    <a:xfrm>
                      <a:off x="0" y="0"/>
                      <a:ext cx="2499995" cy="1878330"/>
                    </a:xfrm>
                    <a:prstGeom prst="rect">
                      <a:avLst/>
                    </a:prstGeom>
                  </pic:spPr>
                </pic:pic>
              </a:graphicData>
            </a:graphic>
          </wp:inline>
        </w:drawing>
      </w:r>
    </w:p>
    <w:p w14:paraId="3BFA0C8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架河闸启闭机</w:t>
      </w:r>
    </w:p>
    <w:p w14:paraId="5CFC0D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1.2、利民新河闸加固后安装的启闭机油漆为出厂油漆，在安装过程中多处破损。需进行油漆。同时利民新河闸启闭机底座钢丝绳部位未封闭，蚊、蝇等飞虫大量出入，影响机电设备和室内环境，拟将基座封闭。</w:t>
      </w:r>
    </w:p>
    <w:p w14:paraId="3DEAD6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drawing>
          <wp:inline distT="0" distB="0" distL="114300" distR="114300">
            <wp:extent cx="2493010" cy="2058035"/>
            <wp:effectExtent l="0" t="0" r="2540" b="18415"/>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pic:cNvPicPr>
                  </pic:nvPicPr>
                  <pic:blipFill>
                    <a:blip r:embed="rId58"/>
                    <a:stretch>
                      <a:fillRect/>
                    </a:stretch>
                  </pic:blipFill>
                  <pic:spPr>
                    <a:xfrm>
                      <a:off x="0" y="0"/>
                      <a:ext cx="2493010" cy="2058035"/>
                    </a:xfrm>
                    <a:prstGeom prst="rect">
                      <a:avLst/>
                    </a:prstGeom>
                  </pic:spPr>
                </pic:pic>
              </a:graphicData>
            </a:graphic>
          </wp:inline>
        </w:drawing>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drawing>
          <wp:inline distT="0" distB="0" distL="114300" distR="114300">
            <wp:extent cx="2498725" cy="2068830"/>
            <wp:effectExtent l="0" t="0" r="15875" b="7620"/>
            <wp:docPr id="40" name="图片 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
                    <pic:cNvPicPr>
                      <a:picLocks noChangeAspect="1"/>
                    </pic:cNvPicPr>
                  </pic:nvPicPr>
                  <pic:blipFill>
                    <a:blip r:embed="rId59"/>
                    <a:srcRect t="23287" b="23775"/>
                    <a:stretch>
                      <a:fillRect/>
                    </a:stretch>
                  </pic:blipFill>
                  <pic:spPr>
                    <a:xfrm>
                      <a:off x="0" y="0"/>
                      <a:ext cx="2498725" cy="2068830"/>
                    </a:xfrm>
                    <a:prstGeom prst="rect">
                      <a:avLst/>
                    </a:prstGeom>
                  </pic:spPr>
                </pic:pic>
              </a:graphicData>
            </a:graphic>
          </wp:inline>
        </w:drawing>
      </w:r>
    </w:p>
    <w:p w14:paraId="7F892F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利民新河闸启闭机</w:t>
      </w:r>
    </w:p>
    <w:p w14:paraId="3F210D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1.3、青年闸部分开裂损毁油漆修补。</w:t>
      </w:r>
    </w:p>
    <w:p w14:paraId="5BD5F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lang w:val="en-US" w:eastAsia="zh-CN"/>
        </w:rPr>
      </w:pPr>
      <w:r>
        <w:rPr>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3848100</wp:posOffset>
                </wp:positionH>
                <wp:positionV relativeFrom="paragraph">
                  <wp:posOffset>358775</wp:posOffset>
                </wp:positionV>
                <wp:extent cx="768985" cy="2053590"/>
                <wp:effectExtent l="12700" t="12700" r="18415" b="29210"/>
                <wp:wrapNone/>
                <wp:docPr id="41" name="矩形 41"/>
                <wp:cNvGraphicFramePr/>
                <a:graphic xmlns:a="http://schemas.openxmlformats.org/drawingml/2006/main">
                  <a:graphicData uri="http://schemas.microsoft.com/office/word/2010/wordprocessingShape">
                    <wps:wsp>
                      <wps:cNvSpPr/>
                      <wps:spPr>
                        <a:xfrm>
                          <a:off x="4991100" y="1273175"/>
                          <a:ext cx="768985" cy="205359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pt;margin-top:28.25pt;height:161.7pt;width:60.55pt;z-index:251663360;v-text-anchor:middle;mso-width-relative:page;mso-height-relative:page;" filled="f" stroked="t" coordsize="21600,21600" o:gfxdata="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lXQufaAAAACgEAAA8AAAAAAAAAAQAgAAAAIgAAAGRycy9kb3ducmV2&#10;LnhtbFBLAQIUABQAAAAIAIdO4kCFTxHvbAIAAMIEAAAOAAAAAAAAAAEAIAAAACkBAABkcnMvZTJv&#10;RG9jLnhtbFBLBQYAAAAABgAGAFkBAAAHBgAAAAA=&#10;">
                <v:fill on="f" focussize="0,0"/>
                <v:stroke weight="2pt" color="#FF0000 [2404]" joinstyle="round"/>
                <v:imagedata o:title=""/>
                <o:lock v:ext="edit" aspectratio="f"/>
              </v:rect>
            </w:pict>
          </mc:Fallback>
        </mc:AlternateContent>
      </w:r>
      <w:r>
        <w:rPr>
          <w:rFonts w:hint="eastAsia" w:ascii="仿宋_GB2312" w:hAnsi="仿宋_GB2312" w:eastAsia="仿宋_GB2312" w:cs="仿宋_GB2312"/>
          <w:color w:val="auto"/>
          <w:sz w:val="32"/>
          <w:szCs w:val="32"/>
          <w:lang w:val="en-US" w:eastAsia="zh-CN"/>
        </w:rPr>
        <w:drawing>
          <wp:inline distT="0" distB="0" distL="114300" distR="114300">
            <wp:extent cx="4235450" cy="4486910"/>
            <wp:effectExtent l="0" t="0" r="12700" b="8890"/>
            <wp:docPr id="42" name="图片 42" descr="3542a6b314960a29c655f8feedfc4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542a6b314960a29c655f8feedfc4c1e"/>
                    <pic:cNvPicPr>
                      <a:picLocks noChangeAspect="1"/>
                    </pic:cNvPicPr>
                  </pic:nvPicPr>
                  <pic:blipFill>
                    <a:blip r:embed="rId60"/>
                    <a:srcRect b="20554"/>
                    <a:stretch>
                      <a:fillRect/>
                    </a:stretch>
                  </pic:blipFill>
                  <pic:spPr>
                    <a:xfrm>
                      <a:off x="0" y="0"/>
                      <a:ext cx="4235450" cy="4486910"/>
                    </a:xfrm>
                    <a:prstGeom prst="rect">
                      <a:avLst/>
                    </a:prstGeom>
                  </pic:spPr>
                </pic:pic>
              </a:graphicData>
            </a:graphic>
          </wp:inline>
        </w:drawing>
      </w:r>
    </w:p>
    <w:p w14:paraId="4DAE0AE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技术要求：</w:t>
      </w:r>
      <w:r>
        <w:rPr>
          <w:rFonts w:hint="eastAsia" w:ascii="仿宋_GB2312" w:hAnsi="仿宋_GB2312" w:eastAsia="仿宋_GB2312" w:cs="仿宋_GB2312"/>
          <w:color w:val="auto"/>
          <w:sz w:val="32"/>
          <w:szCs w:val="32"/>
          <w:lang w:val="en-US" w:eastAsia="zh-CN"/>
        </w:rPr>
        <w:t>原启闭机油漆铲除，露出金属底面，并将基面清理整洁；基层少量多次批刮原子灰金属腻子，打底，干燥后，用砂纸打磨光滑，并找平；并根据合同甲方要求重新喷涂金属漆，施工工艺需满足《涂装前处理工艺通则》（GB/T 1771）、《水利水电工程金属结构防腐蚀技术规范》（SL 105）等标准。</w:t>
      </w:r>
    </w:p>
    <w:p w14:paraId="5F21554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1.4基座封闭</w:t>
      </w:r>
    </w:p>
    <w:p w14:paraId="2823632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利民新河闸、青年闸启闭机基座封闭，采用不锈钢（304，壁厚≥3mm）封底结合伸缩式钢丝绳孔结构。</w:t>
      </w:r>
    </w:p>
    <w:p w14:paraId="3E14CFC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2.水闸护坡维修</w:t>
      </w:r>
    </w:p>
    <w:p w14:paraId="69F2514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现状：</w:t>
      </w:r>
    </w:p>
    <w:p w14:paraId="7D561E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2.1、架河闸淮河侧大沟现有护砌以外的大沟坡面受水流等影响，均存有冲坑、土坎以及局部坡面坍塌等情况。拟将架河闸淮河侧大沟护砌延伸与护堤地边；</w:t>
      </w:r>
    </w:p>
    <w:p w14:paraId="0F88DD4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val="en-US" w:eastAsia="zh-CN"/>
        </w:rPr>
      </w:pPr>
      <w:r>
        <w:rPr>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651510</wp:posOffset>
                </wp:positionH>
                <wp:positionV relativeFrom="paragraph">
                  <wp:posOffset>873125</wp:posOffset>
                </wp:positionV>
                <wp:extent cx="1252855" cy="777240"/>
                <wp:effectExtent l="12700" t="12700" r="29845" b="29210"/>
                <wp:wrapNone/>
                <wp:docPr id="43" name="矩形 43"/>
                <wp:cNvGraphicFramePr/>
                <a:graphic xmlns:a="http://schemas.openxmlformats.org/drawingml/2006/main">
                  <a:graphicData uri="http://schemas.microsoft.com/office/word/2010/wordprocessingShape">
                    <wps:wsp>
                      <wps:cNvSpPr/>
                      <wps:spPr>
                        <a:xfrm>
                          <a:off x="0" y="0"/>
                          <a:ext cx="1252855" cy="77724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3pt;margin-top:68.75pt;height:61.2pt;width:98.65pt;z-index:251660288;v-text-anchor:middle;mso-width-relative:page;mso-height-relative:page;" filled="f" stroked="t" coordsize="21600,21600" o:gfxdata="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gU0WNgAAAALAQAADwAAAAAAAAABACAAAAAiAAAAZHJzL2Rvd25yZXYueG1sUEsBAhQAFAAA&#10;AAgAh07iQDo0CGBhAgAAtgQAAA4AAAAAAAAAAQAgAAAAJwEAAGRycy9lMm9Eb2MueG1sUEsFBgAA&#10;AAAGAAYAWQEAAPoFAAAAAA==&#10;">
                <v:fill on="f" focussize="0,0"/>
                <v:stroke weight="2pt" color="#FF0000 [2404]" joinstyle="round"/>
                <v:imagedata o:title=""/>
                <o:lock v:ext="edit" aspectratio="f"/>
              </v:rect>
            </w:pict>
          </mc:Fallback>
        </mc:AlternateContent>
      </w:r>
      <w:r>
        <w:rPr>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3809365</wp:posOffset>
                </wp:positionH>
                <wp:positionV relativeFrom="paragraph">
                  <wp:posOffset>848995</wp:posOffset>
                </wp:positionV>
                <wp:extent cx="1275080" cy="908685"/>
                <wp:effectExtent l="12700" t="12700" r="26670" b="31115"/>
                <wp:wrapNone/>
                <wp:docPr id="44" name="矩形 44"/>
                <wp:cNvGraphicFramePr/>
                <a:graphic xmlns:a="http://schemas.openxmlformats.org/drawingml/2006/main">
                  <a:graphicData uri="http://schemas.microsoft.com/office/word/2010/wordprocessingShape">
                    <wps:wsp>
                      <wps:cNvSpPr/>
                      <wps:spPr>
                        <a:xfrm>
                          <a:off x="0" y="0"/>
                          <a:ext cx="1275080" cy="90868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9.95pt;margin-top:66.85pt;height:71.55pt;width:100.4pt;z-index:251659264;v-text-anchor:middle;mso-width-relative:page;mso-height-relative:page;" filled="f" stroked="t" coordsize="21600,21600" o:gfxdata="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NU8zNoAAAALAQAADwAAAAAAAAABACAAAAAiAAAAZHJzL2Rvd25yZXYueG1sUEsBAhQAFAAA&#10;AAgAh07iQHb22BhfAgAAtgQAAA4AAAAAAAAAAQAgAAAAKQEAAGRycy9lMm9Eb2MueG1sUEsFBgAA&#10;AAAGAAYAWQEAAPoFAAAAAA==&#10;">
                <v:fill on="f" focussize="0,0"/>
                <v:stroke weight="2pt" color="#FF0000 [2404]" joinstyle="round"/>
                <v:imagedata o:title=""/>
                <o:lock v:ext="edit" aspectratio="f"/>
              </v:rect>
            </w:pict>
          </mc:Fallback>
        </mc:AlternateContent>
      </w:r>
      <w:r>
        <w:rPr>
          <w:rFonts w:hint="eastAsia" w:ascii="仿宋_GB2312" w:hAnsi="仿宋_GB2312" w:eastAsia="仿宋_GB2312" w:cs="仿宋_GB2312"/>
          <w:color w:val="auto"/>
          <w:sz w:val="32"/>
          <w:szCs w:val="32"/>
          <w:highlight w:val="none"/>
          <w:lang w:val="en-US" w:eastAsia="zh-CN"/>
        </w:rPr>
        <w:drawing>
          <wp:inline distT="0" distB="0" distL="114300" distR="114300">
            <wp:extent cx="2501900" cy="1876425"/>
            <wp:effectExtent l="0" t="0" r="12700" b="9525"/>
            <wp:docPr id="45" name="图片 45" descr="624ae5c5a50a786e53ba781fbc36f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24ae5c5a50a786e53ba781fbc36f896"/>
                    <pic:cNvPicPr>
                      <a:picLocks noChangeAspect="1"/>
                    </pic:cNvPicPr>
                  </pic:nvPicPr>
                  <pic:blipFill>
                    <a:blip r:embed="rId61"/>
                    <a:stretch>
                      <a:fillRect/>
                    </a:stretch>
                  </pic:blipFill>
                  <pic:spPr>
                    <a:xfrm>
                      <a:off x="0" y="0"/>
                      <a:ext cx="2501900" cy="1876425"/>
                    </a:xfrm>
                    <a:prstGeom prst="rect">
                      <a:avLst/>
                    </a:prstGeom>
                  </pic:spPr>
                </pic:pic>
              </a:graphicData>
            </a:graphic>
          </wp:inline>
        </w:drawing>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drawing>
          <wp:inline distT="0" distB="0" distL="114300" distR="114300">
            <wp:extent cx="2523490" cy="1892300"/>
            <wp:effectExtent l="0" t="0" r="10160" b="12700"/>
            <wp:docPr id="46" name="图片 4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
                    <pic:cNvPicPr>
                      <a:picLocks noChangeAspect="1"/>
                    </pic:cNvPicPr>
                  </pic:nvPicPr>
                  <pic:blipFill>
                    <a:blip r:embed="rId62"/>
                    <a:stretch>
                      <a:fillRect/>
                    </a:stretch>
                  </pic:blipFill>
                  <pic:spPr>
                    <a:xfrm>
                      <a:off x="0" y="0"/>
                      <a:ext cx="2523490" cy="1892300"/>
                    </a:xfrm>
                    <a:prstGeom prst="rect">
                      <a:avLst/>
                    </a:prstGeom>
                  </pic:spPr>
                </pic:pic>
              </a:graphicData>
            </a:graphic>
          </wp:inline>
        </w:drawing>
      </w:r>
    </w:p>
    <w:p w14:paraId="5C5FBC2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架河闸淮河侧大沟坡面</w:t>
      </w:r>
    </w:p>
    <w:p w14:paraId="4F877B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2.2、青年闸上下游现有护砌坡面受水流等影响，均存有冲坑、土坎以及局部坡面坍塌等情况。拟将青年闸上、下游护砌延长（上游延长约20m、下游延长约15m）。</w:t>
      </w:r>
    </w:p>
    <w:p w14:paraId="70A9B6FD">
      <w:pPr>
        <w:keepNext w:val="0"/>
        <w:keepLines w:val="0"/>
        <w:pageBreakBefore w:val="0"/>
        <w:widowControl w:val="0"/>
        <w:kinsoku/>
        <w:wordWrap/>
        <w:overflowPunct/>
        <w:topLinePunct w:val="0"/>
        <w:autoSpaceDE/>
        <w:autoSpaceDN/>
        <w:bidi w:val="0"/>
        <w:adjustRightInd/>
        <w:snapToGrid/>
        <w:spacing w:line="240" w:lineRule="auto"/>
        <w:ind w:left="240" w:hanging="240" w:hangingChars="100"/>
        <w:textAlignment w:val="auto"/>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5524500" cy="2098040"/>
            <wp:effectExtent l="0" t="0" r="0" b="16510"/>
            <wp:docPr id="4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IMG_256"/>
                    <pic:cNvPicPr>
                      <a:picLocks noChangeAspect="1"/>
                    </pic:cNvPicPr>
                  </pic:nvPicPr>
                  <pic:blipFill>
                    <a:blip r:embed="rId63"/>
                    <a:stretch>
                      <a:fillRect/>
                    </a:stretch>
                  </pic:blipFill>
                  <pic:spPr>
                    <a:xfrm>
                      <a:off x="0" y="0"/>
                      <a:ext cx="5524500" cy="2098040"/>
                    </a:xfrm>
                    <a:prstGeom prst="rect">
                      <a:avLst/>
                    </a:prstGeom>
                    <a:noFill/>
                    <a:ln w="9525">
                      <a:noFill/>
                    </a:ln>
                  </pic:spPr>
                </pic:pic>
              </a:graphicData>
            </a:graphic>
          </wp:inline>
        </w:drawing>
      </w:r>
    </w:p>
    <w:p w14:paraId="5F182556">
      <w:pPr>
        <w:keepNext w:val="0"/>
        <w:keepLines w:val="0"/>
        <w:pageBreakBefore w:val="0"/>
        <w:widowControl w:val="0"/>
        <w:kinsoku/>
        <w:wordWrap/>
        <w:overflowPunct/>
        <w:topLinePunct w:val="0"/>
        <w:autoSpaceDE/>
        <w:autoSpaceDN/>
        <w:bidi w:val="0"/>
        <w:adjustRightInd/>
        <w:snapToGrid/>
        <w:spacing w:line="240" w:lineRule="auto"/>
        <w:ind w:left="320" w:leftChars="160" w:firstLine="320" w:firstLineChars="1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青年闸下游护坡延长           青年闸上游护坡延长</w:t>
      </w:r>
    </w:p>
    <w:p w14:paraId="702AB38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技术要求</w:t>
      </w:r>
      <w:r>
        <w:rPr>
          <w:rFonts w:hint="eastAsia" w:ascii="仿宋_GB2312" w:hAnsi="仿宋_GB2312" w:eastAsia="仿宋_GB2312" w:cs="仿宋_GB2312"/>
          <w:color w:val="auto"/>
          <w:sz w:val="32"/>
          <w:szCs w:val="32"/>
          <w:lang w:val="en-US" w:eastAsia="zh-CN"/>
        </w:rPr>
        <w:t>：在设计护坡底脚处打入杉木桩（规格，长6m，梢径10cm）固脚，桩上立模浇筑C25混凝土镇脚；护坡结构为，瓜子片垫层（厚10cm）、C25混凝土预制块护坡(自锁块厚10cm）；延水流方向，每隔10m修筑一道30cm*40cm厚C25现浇隔梗，底部10cm厚瓜子片打底。</w:t>
      </w:r>
    </w:p>
    <w:p w14:paraId="604D939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3.启闭机房室内吊顶</w:t>
      </w:r>
    </w:p>
    <w:p w14:paraId="425F460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现状：</w:t>
      </w:r>
    </w:p>
    <w:p w14:paraId="7658D2A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3.1、青年闸室内吊顶（顶棚）棚面凹凸不平，在2020、2021、2024、2025年出现顶板脱落，主要为吊顶轻钢龙骨布设不合理，顶板为悬挂安装，顶棚上部空间通气窗流通气流较大时导致。拟将原吊顶拆除，重新安装新吊顶。</w:t>
      </w:r>
    </w:p>
    <w:p w14:paraId="4B4A87B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drawing>
          <wp:inline distT="0" distB="0" distL="114300" distR="114300">
            <wp:extent cx="4203065" cy="3152140"/>
            <wp:effectExtent l="0" t="0" r="6985" b="10160"/>
            <wp:docPr id="48" name="图片 48" descr="1b8ce0c1850a2b632542c810f798b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b8ce0c1850a2b632542c810f798b35b"/>
                    <pic:cNvPicPr>
                      <a:picLocks noChangeAspect="1"/>
                    </pic:cNvPicPr>
                  </pic:nvPicPr>
                  <pic:blipFill>
                    <a:blip r:embed="rId64"/>
                    <a:stretch>
                      <a:fillRect/>
                    </a:stretch>
                  </pic:blipFill>
                  <pic:spPr>
                    <a:xfrm>
                      <a:off x="0" y="0"/>
                      <a:ext cx="4203065" cy="3152140"/>
                    </a:xfrm>
                    <a:prstGeom prst="rect">
                      <a:avLst/>
                    </a:prstGeom>
                  </pic:spPr>
                </pic:pic>
              </a:graphicData>
            </a:graphic>
          </wp:inline>
        </w:drawing>
      </w:r>
    </w:p>
    <w:p w14:paraId="43E384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3.2、</w:t>
      </w:r>
      <w:r>
        <w:rPr>
          <w:rFonts w:hint="eastAsia" w:ascii="仿宋_GB2312" w:hAnsi="仿宋_GB2312" w:eastAsia="仿宋_GB2312" w:cs="仿宋_GB2312"/>
          <w:color w:val="auto"/>
          <w:sz w:val="32"/>
          <w:szCs w:val="32"/>
          <w:highlight w:val="none"/>
          <w:lang w:val="en-US" w:eastAsia="zh-CN"/>
        </w:rPr>
        <w:t>利民新河闸启闭机房无吊顶，拟新增吊顶。</w:t>
      </w:r>
    </w:p>
    <w:p w14:paraId="616F1432">
      <w:pPr>
        <w:jc w:val="both"/>
        <w:rPr>
          <w:rFonts w:hint="default" w:ascii="仿宋_GB2312" w:hAnsi="仿宋_GB2312" w:eastAsia="仿宋_GB2312" w:cs="仿宋_GB2312"/>
          <w:color w:val="auto"/>
          <w:sz w:val="32"/>
          <w:szCs w:val="32"/>
          <w:lang w:val="en-US" w:eastAsia="zh-CN"/>
        </w:rPr>
      </w:pPr>
      <w:r>
        <w:rPr>
          <w:rFonts w:hint="eastAsia"/>
          <w:color w:val="auto"/>
          <w:sz w:val="32"/>
          <w:szCs w:val="32"/>
          <w:lang w:val="en-US" w:eastAsia="zh-CN"/>
        </w:rPr>
        <w:t xml:space="preserve">     </w:t>
      </w:r>
      <w:r>
        <w:rPr>
          <w:rFonts w:hint="eastAsia"/>
          <w:color w:val="auto"/>
          <w:sz w:val="32"/>
          <w:szCs w:val="32"/>
          <w:lang w:val="en-US" w:eastAsia="zh-CN"/>
        </w:rPr>
        <w:drawing>
          <wp:inline distT="0" distB="0" distL="114300" distR="114300">
            <wp:extent cx="4131945" cy="3101340"/>
            <wp:effectExtent l="0" t="0" r="1905" b="3810"/>
            <wp:docPr id="49" name="图片 49" descr="2cd6e71dfca6ed92855066392c5ed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cd6e71dfca6ed92855066392c5edef7"/>
                    <pic:cNvPicPr>
                      <a:picLocks noChangeAspect="1"/>
                    </pic:cNvPicPr>
                  </pic:nvPicPr>
                  <pic:blipFill>
                    <a:blip r:embed="rId65"/>
                    <a:stretch>
                      <a:fillRect/>
                    </a:stretch>
                  </pic:blipFill>
                  <pic:spPr>
                    <a:xfrm>
                      <a:off x="0" y="0"/>
                      <a:ext cx="4131945" cy="3101340"/>
                    </a:xfrm>
                    <a:prstGeom prst="rect">
                      <a:avLst/>
                    </a:prstGeom>
                  </pic:spPr>
                </pic:pic>
              </a:graphicData>
            </a:graphic>
          </wp:inline>
        </w:drawing>
      </w:r>
    </w:p>
    <w:p w14:paraId="734D3EF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技术要求：</w:t>
      </w:r>
    </w:p>
    <w:p w14:paraId="5C0AAD6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1.测量放线：弹出吊顶标高控制线（允许偏差±5mm）、龙骨定位线（主龙骨间距600-800mm，次龙骨间距300-400mm，误差≤10mm），十字交叉点做标记。</w:t>
      </w:r>
    </w:p>
    <w:p w14:paraId="3FECC5B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龙骨安装：主龙骨通过膨胀螺栓固定于顶面，螺栓间距≤600mm，且每根主龙骨固定点≥2个；次龙骨垂直主龙骨安装，采用挂件或连接件固定，调平后龙骨整体平整度误差≤2mm/2m，起拱高度为房间短向跨度的1/200-1/300。</w:t>
      </w:r>
    </w:p>
    <w:p w14:paraId="5D36D74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铝塑板安装：按设计尺寸裁剪铝塑板，边缘用专用工具修边；采用自攻螺丝（间距150-200mm）或结构胶（涂胶宽度≥10mm，厚度3-5mm）固定于次龙骨，螺丝帽低于板面0.5-1mm；板缝预留3-5mm，清理后填充中性硅酮密封胶，胶面平整、无气泡。</w:t>
      </w:r>
    </w:p>
    <w:p w14:paraId="2626EC2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4.质量要求：表面平整（误差≤2mm/2m），接缝顺直（直线度误差≤3mm/5m），无起拱、变形；阴阳角方正（误差≤3mm），与墙面、灯具等交接处严密；铝塑板无破损、划痕，涂层无脱落。</w:t>
      </w:r>
    </w:p>
    <w:p w14:paraId="6FD2EF4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5.安全要求：龙骨系统承载力≥15kg/㎡，灯具、风口中等重物单独设附加龙骨固定；电气管线、消防设施安装于龙骨上方，与龙骨间距≥50mm，严禁直接固定于铝塑板；吊顶内采用防火涂料处理，耐火极限≥0.5h。</w:t>
      </w:r>
    </w:p>
    <w:p w14:paraId="4E96A58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6.验收标准：龙骨安装牢固，手扳无松动；铝塑板固定可靠，板块无晃动；表面观感符合设计要求，接缝胶条饱满、光滑；按GB 50210《建筑装饰装修工程质量验收标准》进行验收。</w:t>
      </w:r>
    </w:p>
    <w:p w14:paraId="360BB96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4.谢沟涵闸门防腐处理</w:t>
      </w:r>
    </w:p>
    <w:p w14:paraId="622C257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现状：</w:t>
      </w:r>
      <w:r>
        <w:rPr>
          <w:rFonts w:hint="eastAsia" w:ascii="仿宋_GB2312" w:hAnsi="仿宋_GB2312" w:eastAsia="仿宋_GB2312" w:cs="仿宋_GB2312"/>
          <w:color w:val="auto"/>
          <w:sz w:val="32"/>
          <w:szCs w:val="32"/>
          <w:lang w:val="en-US" w:eastAsia="zh-CN"/>
        </w:rPr>
        <w:t>谢沟涵闸门底部锈蚀，拟进行除锈防腐处理</w:t>
      </w:r>
    </w:p>
    <w:p w14:paraId="50CE01B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4820285" cy="3615055"/>
            <wp:effectExtent l="0" t="0" r="18415" b="4445"/>
            <wp:docPr id="50" name="图片 5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9"/>
                    <pic:cNvPicPr>
                      <a:picLocks noChangeAspect="1"/>
                    </pic:cNvPicPr>
                  </pic:nvPicPr>
                  <pic:blipFill>
                    <a:blip r:embed="rId66"/>
                    <a:stretch>
                      <a:fillRect/>
                    </a:stretch>
                  </pic:blipFill>
                  <pic:spPr>
                    <a:xfrm>
                      <a:off x="0" y="0"/>
                      <a:ext cx="4820285" cy="3615055"/>
                    </a:xfrm>
                    <a:prstGeom prst="rect">
                      <a:avLst/>
                    </a:prstGeom>
                  </pic:spPr>
                </pic:pic>
              </a:graphicData>
            </a:graphic>
          </wp:inline>
        </w:drawing>
      </w:r>
    </w:p>
    <w:p w14:paraId="03A4CFF1">
      <w:pPr>
        <w:keepNext w:val="0"/>
        <w:keepLines w:val="0"/>
        <w:pageBreakBefore w:val="0"/>
        <w:widowControl w:val="0"/>
        <w:kinsoku/>
        <w:wordWrap/>
        <w:overflowPunct/>
        <w:topLinePunct w:val="0"/>
        <w:autoSpaceDE/>
        <w:autoSpaceDN/>
        <w:bidi w:val="0"/>
        <w:adjustRightInd/>
        <w:snapToGrid/>
        <w:spacing w:line="600" w:lineRule="exact"/>
        <w:ind w:firstLine="3200" w:firstLineChars="10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highlight w:val="none"/>
          <w:lang w:val="en-US" w:eastAsia="zh-CN"/>
        </w:rPr>
        <w:t>谢沟涵闸门</w:t>
      </w:r>
    </w:p>
    <w:p w14:paraId="5BF8E7B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color w:val="auto"/>
          <w:sz w:val="32"/>
          <w:szCs w:val="32"/>
          <w:lang w:val="en-US" w:eastAsia="zh-CN"/>
        </w:rPr>
        <w:t>技术要求：</w:t>
      </w:r>
      <w:r>
        <w:rPr>
          <w:rFonts w:hint="eastAsia" w:ascii="仿宋_GB2312" w:hAnsi="仿宋_GB2312" w:eastAsia="仿宋_GB2312" w:cs="仿宋_GB2312"/>
          <w:color w:val="auto"/>
          <w:kern w:val="2"/>
          <w:sz w:val="32"/>
          <w:szCs w:val="32"/>
          <w:highlight w:val="none"/>
          <w:lang w:val="en-US" w:eastAsia="zh-CN" w:bidi="ar-SA"/>
        </w:rPr>
        <w:t>1.闸门门体等除锈基体表面清洁，具有一定的粗糙度，达到GB/T 8923.1-2011《涂装前钢材表面锈蚀等级》的除锈标准，彻底除净表面的油质、氧化皮、锈蚀等一切杂物。并用干燥、洁净的压缩空气清除粉尘。表面无任何可见的残留物，有一定的粗糙度。</w:t>
      </w:r>
    </w:p>
    <w:p w14:paraId="2E2B3D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2.防腐漆涂装（1）涂装前应对处理过的表面进行清理，除去灰尘杂物。（2）防腐涂料使用前，应做二次抽查。抽查合格且经甲方现场人员同意后方可涂装。须向甲方提供防腐涂料产品合格证。（3）使用涂料时，应搅拌均匀，对双组份涂料要严格按说明配比，不能随意更改。（4）使用稀释剂时，其种类和用量应符合生产厂家的标准规定，配制涂料时，必须用细铜丝网过滤，测定粘度后使用。（5）施工温度、湿度要按说明书要求，如遇雨、雾、大风天气不得进行室外施工。（6）油漆涂装应分为5道。第一道、第二道为60μm环氧富锌底漆，第三道为120μm环氧云铁中间漆，第四道、第五道为70μm环氧面漆。（7）涂层的第一道漆膜表干后，方可进行下道涂层施工，涂刷时层间要纵横交错，均匀涂刷，每层应往复进行。（8）所有涂层不得漏涂，涂层表面应光滑平整，颜色一致，无针孔气泡、流挂，剥落、粉漆、破损等缺陷，结合力达二级以上每道厚度及总干膜厚度应完全满足该涂料的技术指标。（9）每道面漆涂层间隔不宜超过24小时，最好在第一道漆未干透时作第二道漆，固化已久涂层用砂布打磨后再刷下一道漆。（10）每道工序施工隐蔽前要经甲方人员检查验收后，做到表面洁净，无油漆、灰尘、每道漆膜要采用漆膜测厚仪检测干膜厚度是否符合设计要求。（11）施工应严格控制各涂层的厚度,厚度要达到设计要求。（12）外部构件上死角、难刷部位，应用小刷子先涂，先刷以免出现漏涂、漏刷现象。（13）小型构件的除锈要彻底，防腐时可采用喷漆，来保证漆膜的完整性。 （14）涂层应光滑平整，颜色一致，无针孔、汽泡、剥落缺陷。涂层厚度和层数应符合设计要求，并用打叉划格法检查涂层附着力。</w:t>
      </w:r>
    </w:p>
    <w:p w14:paraId="0A2E0CE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5.闸门滚轮维修</w:t>
      </w:r>
    </w:p>
    <w:p w14:paraId="3B6DDBD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现装：</w:t>
      </w:r>
      <w:r>
        <w:rPr>
          <w:rFonts w:hint="eastAsia" w:ascii="仿宋_GB2312" w:hAnsi="仿宋_GB2312" w:eastAsia="仿宋_GB2312" w:cs="仿宋_GB2312"/>
          <w:color w:val="auto"/>
          <w:sz w:val="32"/>
          <w:szCs w:val="32"/>
          <w:highlight w:val="none"/>
        </w:rPr>
        <w:t>方沟</w:t>
      </w:r>
      <w:r>
        <w:rPr>
          <w:rFonts w:hint="eastAsia" w:ascii="仿宋_GB2312" w:hAnsi="仿宋_GB2312" w:eastAsia="仿宋_GB2312" w:cs="仿宋_GB2312"/>
          <w:color w:val="auto"/>
          <w:sz w:val="32"/>
          <w:szCs w:val="32"/>
          <w:highlight w:val="none"/>
          <w:lang w:val="en-US" w:eastAsia="zh-CN"/>
        </w:rPr>
        <w:t>涵、</w:t>
      </w:r>
      <w:r>
        <w:rPr>
          <w:rFonts w:hint="eastAsia" w:ascii="仿宋_GB2312" w:hAnsi="仿宋_GB2312" w:eastAsia="仿宋_GB2312" w:cs="仿宋_GB2312"/>
          <w:color w:val="auto"/>
          <w:sz w:val="32"/>
          <w:szCs w:val="32"/>
          <w:highlight w:val="none"/>
        </w:rPr>
        <w:t>谢沟</w:t>
      </w:r>
      <w:r>
        <w:rPr>
          <w:rFonts w:hint="eastAsia" w:ascii="仿宋_GB2312" w:hAnsi="仿宋_GB2312" w:eastAsia="仿宋_GB2312" w:cs="仿宋_GB2312"/>
          <w:color w:val="auto"/>
          <w:sz w:val="32"/>
          <w:szCs w:val="32"/>
          <w:highlight w:val="none"/>
          <w:lang w:val="en-US" w:eastAsia="zh-CN"/>
        </w:rPr>
        <w:t>涵</w:t>
      </w:r>
      <w:r>
        <w:rPr>
          <w:rFonts w:hint="eastAsia" w:ascii="仿宋_GB2312" w:hAnsi="仿宋_GB2312" w:eastAsia="仿宋_GB2312" w:cs="仿宋_GB2312"/>
          <w:color w:val="auto"/>
          <w:sz w:val="32"/>
          <w:szCs w:val="32"/>
          <w:highlight w:val="none"/>
        </w:rPr>
        <w:t>闸门</w:t>
      </w:r>
      <w:r>
        <w:rPr>
          <w:rFonts w:hint="eastAsia" w:ascii="仿宋_GB2312" w:hAnsi="仿宋_GB2312" w:eastAsia="仿宋_GB2312" w:cs="仿宋_GB2312"/>
          <w:color w:val="auto"/>
          <w:sz w:val="32"/>
          <w:szCs w:val="32"/>
          <w:highlight w:val="none"/>
          <w:lang w:val="en-US" w:eastAsia="zh-CN"/>
        </w:rPr>
        <w:t>滚轮</w:t>
      </w:r>
      <w:r>
        <w:rPr>
          <w:rFonts w:hint="eastAsia" w:ascii="仿宋_GB2312" w:hAnsi="仿宋_GB2312" w:eastAsia="仿宋_GB2312" w:cs="仿宋_GB2312"/>
          <w:color w:val="auto"/>
          <w:sz w:val="32"/>
          <w:szCs w:val="32"/>
          <w:highlight w:val="none"/>
        </w:rPr>
        <w:t>安装轴、轴承座表面油污、锈迹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难以转动。拟进行维修</w:t>
      </w:r>
    </w:p>
    <w:p w14:paraId="14A9F143">
      <w:pPr>
        <w:rPr>
          <w:rFonts w:hint="eastAsia" w:eastAsia="@仿宋_GB2312"/>
          <w:color w:val="auto"/>
          <w:sz w:val="32"/>
          <w:szCs w:val="32"/>
          <w:lang w:eastAsia="zh-CN"/>
        </w:rPr>
      </w:pPr>
      <w:r>
        <w:rPr>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3097530</wp:posOffset>
                </wp:positionH>
                <wp:positionV relativeFrom="paragraph">
                  <wp:posOffset>1444625</wp:posOffset>
                </wp:positionV>
                <wp:extent cx="1420495" cy="614680"/>
                <wp:effectExtent l="12700" t="12700" r="14605" b="20320"/>
                <wp:wrapNone/>
                <wp:docPr id="51" name="矩形 51"/>
                <wp:cNvGraphicFramePr/>
                <a:graphic xmlns:a="http://schemas.openxmlformats.org/drawingml/2006/main">
                  <a:graphicData uri="http://schemas.microsoft.com/office/word/2010/wordprocessingShape">
                    <wps:wsp>
                      <wps:cNvSpPr/>
                      <wps:spPr>
                        <a:xfrm>
                          <a:off x="2305685" y="3094355"/>
                          <a:ext cx="1420495" cy="61468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9pt;margin-top:113.75pt;height:48.4pt;width:111.85pt;z-index:251662336;v-text-anchor:middle;mso-width-relative:page;mso-height-relative:page;" filled="f" stroked="t" coordsize="21600,21600" o:gfxdata="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ib80zbAAAACwEAAA8AAAAAAAAAAQAgAAAAIgAAAGRycy9kb3du&#10;cmV2LnhtbFBLAQIUABQAAAAIAIdO4kDMSA8nbgIAAMIEAAAOAAAAAAAAAAEAIAAAACoBAABkcnMv&#10;ZTJvRG9jLnhtbFBLBQYAAAAABgAGAFkBAAAKBgAAAAA=&#10;">
                <v:fill on="f" focussize="0,0"/>
                <v:stroke weight="2pt" color="#FF0000 [2404]" joinstyle="round"/>
                <v:imagedata o:title=""/>
                <o:lock v:ext="edit" aspectratio="f"/>
              </v:rect>
            </w:pict>
          </mc:Fallback>
        </mc:AlternateContent>
      </w:r>
      <w:r>
        <w:rPr>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305435</wp:posOffset>
                </wp:positionH>
                <wp:positionV relativeFrom="paragraph">
                  <wp:posOffset>483870</wp:posOffset>
                </wp:positionV>
                <wp:extent cx="1313815" cy="2104390"/>
                <wp:effectExtent l="12700" t="12700" r="26035" b="16510"/>
                <wp:wrapNone/>
                <wp:docPr id="52" name="矩形 52"/>
                <wp:cNvGraphicFramePr/>
                <a:graphic xmlns:a="http://schemas.openxmlformats.org/drawingml/2006/main">
                  <a:graphicData uri="http://schemas.microsoft.com/office/word/2010/wordprocessingShape">
                    <wps:wsp>
                      <wps:cNvSpPr/>
                      <wps:spPr>
                        <a:xfrm>
                          <a:off x="1192530" y="2850515"/>
                          <a:ext cx="1313815" cy="210439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5pt;margin-top:38.1pt;height:165.7pt;width:103.45pt;z-index:251661312;v-text-anchor:middle;mso-width-relative:page;mso-height-relative:page;" filled="f" stroked="t" coordsize="21600,21600" o:gfxdata="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5b1FU2AAAAAkBAAAPAAAAAAAAAAEAIAAAACIAAABkcnMvZG93bnJldi54&#10;bWxQSwECFAAUAAAACACHTuJAgZvNTmwCAADDBAAADgAAAAAAAAABACAAAAAnAQAAZHJzL2Uyb0Rv&#10;Yy54bWxQSwUGAAAAAAYABgBZAQAABQYAAAAA&#10;">
                <v:fill on="f" focussize="0,0"/>
                <v:stroke weight="2pt" color="#FF0000 [2404]" joinstyle="round"/>
                <v:imagedata o:title=""/>
                <o:lock v:ext="edit" aspectratio="f"/>
              </v:rect>
            </w:pict>
          </mc:Fallback>
        </mc:AlternateContent>
      </w:r>
      <w:r>
        <w:rPr>
          <w:rFonts w:hint="eastAsia"/>
          <w:color w:val="auto"/>
          <w:sz w:val="32"/>
          <w:szCs w:val="32"/>
          <w:lang w:val="en-US" w:eastAsia="zh-CN"/>
        </w:rPr>
        <w:t xml:space="preserve">   </w:t>
      </w:r>
      <w:r>
        <w:rPr>
          <w:rFonts w:hint="eastAsia" w:eastAsia="@仿宋_GB2312"/>
          <w:color w:val="auto"/>
          <w:sz w:val="32"/>
          <w:szCs w:val="32"/>
          <w:lang w:eastAsia="zh-CN"/>
        </w:rPr>
        <w:drawing>
          <wp:inline distT="0" distB="0" distL="114300" distR="114300">
            <wp:extent cx="2527300" cy="3371215"/>
            <wp:effectExtent l="0" t="0" r="6350" b="635"/>
            <wp:docPr id="53" name="图片 53" descr="492cd23c1dc527f8d7e4bc056bec5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92cd23c1dc527f8d7e4bc056bec59e6"/>
                    <pic:cNvPicPr>
                      <a:picLocks noChangeAspect="1"/>
                    </pic:cNvPicPr>
                  </pic:nvPicPr>
                  <pic:blipFill>
                    <a:blip r:embed="rId67"/>
                    <a:stretch>
                      <a:fillRect/>
                    </a:stretch>
                  </pic:blipFill>
                  <pic:spPr>
                    <a:xfrm>
                      <a:off x="0" y="0"/>
                      <a:ext cx="2527300" cy="3371215"/>
                    </a:xfrm>
                    <a:prstGeom prst="rect">
                      <a:avLst/>
                    </a:prstGeom>
                  </pic:spPr>
                </pic:pic>
              </a:graphicData>
            </a:graphic>
          </wp:inline>
        </w:drawing>
      </w:r>
      <w:r>
        <w:rPr>
          <w:rFonts w:hint="eastAsia"/>
          <w:color w:val="auto"/>
          <w:sz w:val="32"/>
          <w:szCs w:val="32"/>
          <w:lang w:val="en-US" w:eastAsia="zh-CN"/>
        </w:rPr>
        <w:t xml:space="preserve">  </w:t>
      </w:r>
      <w:r>
        <w:rPr>
          <w:rFonts w:hint="default"/>
          <w:color w:val="auto"/>
          <w:sz w:val="32"/>
          <w:szCs w:val="32"/>
          <w:lang w:val="en-US" w:eastAsia="zh-CN"/>
        </w:rPr>
        <w:drawing>
          <wp:inline distT="0" distB="0" distL="114300" distR="114300">
            <wp:extent cx="2464435" cy="3348355"/>
            <wp:effectExtent l="0" t="0" r="12065" b="4445"/>
            <wp:docPr id="54" name="图片 54" descr="950b3c4e171623d13798c0bb1e889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50b3c4e171623d13798c0bb1e889b7b"/>
                    <pic:cNvPicPr>
                      <a:picLocks noChangeAspect="1"/>
                    </pic:cNvPicPr>
                  </pic:nvPicPr>
                  <pic:blipFill>
                    <a:blip r:embed="rId68"/>
                    <a:stretch>
                      <a:fillRect/>
                    </a:stretch>
                  </pic:blipFill>
                  <pic:spPr>
                    <a:xfrm>
                      <a:off x="0" y="0"/>
                      <a:ext cx="2464435" cy="3348355"/>
                    </a:xfrm>
                    <a:prstGeom prst="rect">
                      <a:avLst/>
                    </a:prstGeom>
                  </pic:spPr>
                </pic:pic>
              </a:graphicData>
            </a:graphic>
          </wp:inline>
        </w:drawing>
      </w:r>
    </w:p>
    <w:p w14:paraId="17F23579">
      <w:pPr>
        <w:bidi w:val="0"/>
        <w:jc w:val="center"/>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方沟涵闸门滚轮除锈保养维修</w:t>
      </w:r>
    </w:p>
    <w:p w14:paraId="2E7C85E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技术要求：</w:t>
      </w:r>
      <w:r>
        <w:rPr>
          <w:rFonts w:hint="eastAsia" w:ascii="仿宋_GB2312" w:hAnsi="仿宋_GB2312" w:eastAsia="仿宋_GB2312" w:cs="仿宋_GB2312"/>
          <w:color w:val="auto"/>
          <w:sz w:val="32"/>
          <w:szCs w:val="32"/>
          <w:highlight w:val="none"/>
        </w:rPr>
        <w:t>清理安装轴、轴承座表面油污、锈迹及杂物，确保安装面平整、洁净。</w:t>
      </w:r>
    </w:p>
    <w:p w14:paraId="62DC855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转动性能调试：手动或机械驱动闸门，滚轮转动灵活自如，无异常声响；转动阻力≤设计值，闸门升降平稳，滚轮与轨道接触均匀。</w:t>
      </w:r>
    </w:p>
    <w:p w14:paraId="09310BCF">
      <w:pPr>
        <w:pStyle w:val="55"/>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firstLineChars="200"/>
        <w:textAlignment w:val="auto"/>
        <w:rPr>
          <w:rFonts w:hint="default" w:ascii="宋体" w:hAnsi="宋体" w:eastAsia="宋体"/>
          <w:bCs/>
          <w:color w:val="auto"/>
          <w:sz w:val="32"/>
          <w:szCs w:val="32"/>
          <w:highlight w:val="none"/>
          <w:lang w:val="en-US" w:eastAsia="zh-CN"/>
        </w:rPr>
      </w:pPr>
      <w:r>
        <w:rPr>
          <w:rFonts w:hint="eastAsia" w:ascii="仿宋_GB2312" w:hAnsi="仿宋_GB2312" w:eastAsia="仿宋_GB2312" w:cs="仿宋_GB2312"/>
          <w:color w:val="auto"/>
          <w:sz w:val="32"/>
          <w:szCs w:val="32"/>
          <w:highlight w:val="none"/>
        </w:rPr>
        <w:t>验收标准：滚轮转动灵活，无卡阻、异响；固定螺栓紧固可靠，防松有效；符合《水利水电工程钢闸门制造安装及验收规范》（SL74-2019）及设计文件要求。</w:t>
      </w:r>
    </w:p>
    <w:p w14:paraId="3F23E6B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color w:val="auto"/>
          <w:sz w:val="32"/>
          <w:szCs w:val="32"/>
          <w:highlight w:val="none"/>
          <w:lang w:val="en-US" w:eastAsia="zh-CN"/>
        </w:rPr>
      </w:pPr>
      <w:r>
        <w:rPr>
          <w:rFonts w:hint="eastAsia" w:ascii="楷体_GB2312" w:hAnsi="楷体_GB2312" w:eastAsia="楷体_GB2312" w:cs="楷体_GB2312"/>
          <w:b/>
          <w:color w:val="auto"/>
          <w:sz w:val="32"/>
          <w:szCs w:val="32"/>
          <w:highlight w:val="none"/>
          <w:lang w:val="en-US" w:eastAsia="zh-CN"/>
        </w:rPr>
        <w:t>（七）明光局堤顶道路等维修改造</w:t>
      </w:r>
    </w:p>
    <w:p w14:paraId="5C149D67">
      <w:pPr>
        <w:ind w:firstLine="640"/>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（1）淮北大堤明光段堤顶防汛道路现状</w:t>
      </w:r>
    </w:p>
    <w:p w14:paraId="57B21B34">
      <w:pPr>
        <w:ind w:firstLine="640"/>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淮北大堤明光段堤顶防汛道路因路面结构层抬升加上原有路肩沉降原因与既有路肩形成约10厘米高差。该高差不仅影响堤防工程整体外观协调性，更增加汛期抢险车辆通行风险。为保障堤防工程安全运行及道路通行安全，拟对全线路肩实施统一加高培厚处理，同步实施草皮防护工程，确保堤防结构完整性和景观统一性。</w:t>
      </w:r>
    </w:p>
    <w:p w14:paraId="48270C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b w:val="0"/>
          <w:bCs w:val="0"/>
          <w:color w:val="auto"/>
          <w:sz w:val="32"/>
          <w:szCs w:val="32"/>
          <w:highlight w:val="yellow"/>
          <w:lang w:val="en-US" w:eastAsia="zh-CN"/>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drawing>
          <wp:inline distT="0" distB="0" distL="114300" distR="114300">
            <wp:extent cx="2558415" cy="1918970"/>
            <wp:effectExtent l="0" t="0" r="13335" b="5080"/>
            <wp:docPr id="3" name="图片 2" descr="8018b3641c7b408c5a4e67164f62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018b3641c7b408c5a4e67164f623315"/>
                    <pic:cNvPicPr>
                      <a:picLocks noChangeAspect="1"/>
                    </pic:cNvPicPr>
                  </pic:nvPicPr>
                  <pic:blipFill>
                    <a:blip r:embed="rId69"/>
                    <a:stretch>
                      <a:fillRect/>
                    </a:stretch>
                  </pic:blipFill>
                  <pic:spPr>
                    <a:xfrm>
                      <a:off x="0" y="0"/>
                      <a:ext cx="2558415" cy="1918970"/>
                    </a:xfrm>
                    <a:prstGeom prst="rect">
                      <a:avLst/>
                    </a:prstGeom>
                    <a:noFill/>
                    <a:ln w="9525" cap="flat" cmpd="sng">
                      <a:noFill/>
                      <a:prstDash val="solid"/>
                      <a:miter/>
                      <a:headEnd type="none" w="med" len="med"/>
                      <a:tailEnd type="none" w="med" len="med"/>
                    </a:ln>
                  </pic:spPr>
                </pic:pic>
              </a:graphicData>
            </a:graphic>
          </wp:inline>
        </w:drawing>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drawing>
          <wp:inline distT="0" distB="0" distL="114300" distR="114300">
            <wp:extent cx="2538095" cy="1904365"/>
            <wp:effectExtent l="0" t="0" r="14605" b="635"/>
            <wp:docPr id="5" name="图片 3" descr="96e25ebf790b5c368a3562ce4bc5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96e25ebf790b5c368a3562ce4bc54868"/>
                    <pic:cNvPicPr>
                      <a:picLocks noChangeAspect="1"/>
                    </pic:cNvPicPr>
                  </pic:nvPicPr>
                  <pic:blipFill>
                    <a:blip r:embed="rId70"/>
                    <a:stretch>
                      <a:fillRect/>
                    </a:stretch>
                  </pic:blipFill>
                  <pic:spPr>
                    <a:xfrm>
                      <a:off x="0" y="0"/>
                      <a:ext cx="2538095" cy="1904365"/>
                    </a:xfrm>
                    <a:prstGeom prst="rect">
                      <a:avLst/>
                    </a:prstGeom>
                    <a:noFill/>
                    <a:ln w="9525" cap="flat" cmpd="sng">
                      <a:noFill/>
                      <a:prstDash val="solid"/>
                      <a:miter/>
                      <a:headEnd type="none" w="med" len="med"/>
                      <a:tailEnd type="none" w="med" len="med"/>
                    </a:ln>
                  </pic:spPr>
                </pic:pic>
              </a:graphicData>
            </a:graphic>
          </wp:inline>
        </w:drawing>
      </w:r>
    </w:p>
    <w:p w14:paraId="3BAC9A8C">
      <w:pPr>
        <w:ind w:firstLine="640"/>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（2）技术要求</w:t>
      </w:r>
    </w:p>
    <w:p w14:paraId="07398BD7">
      <w:pPr>
        <w:ind w:firstLine="643" w:firstLineChars="200"/>
        <w:jc w:val="both"/>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1.原路肩处理</w:t>
      </w:r>
    </w:p>
    <w:p w14:paraId="4C625A74">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施工内容：人工配合小型挖掘机，彻底清除堤顶道路两侧路肩表面的杂草、灌木、树根、腐殖土、松散土体、建筑垃圾及其他一切杂物。清理范围应垂直方向下挖至坚实稳定的原状土基，形成低于现有沥青路面高程15-20厘米的规整基槽。对清理出的各类废弃物，必须集中清运，严禁沿堤坡倾倒，做到日产日清、工完场清。</w:t>
      </w:r>
    </w:p>
    <w:p w14:paraId="2A3847AD">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质量要求：基底应平整、坚实，无弹簧土、空洞、裂隙。若遇局部软弱基底或坑洼，须报建设单位确认，采用级配砂石或合格素土进行换填并夯实。开挖断面尺寸（宽度、深度）须符合要求，经建设验收合格后方可进行下一工序。</w:t>
      </w:r>
    </w:p>
    <w:p w14:paraId="5C0C480E">
      <w:pPr>
        <w:ind w:firstLine="643" w:firstLineChars="200"/>
        <w:jc w:val="both"/>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2.土方填筑与压实</w:t>
      </w:r>
    </w:p>
    <w:p w14:paraId="0D1B502C">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施工内容：采用符合堤防填筑要求的黏性土，进行分层摊铺、整平与压实。平均压实厚度20厘米，填筑至与现有沥青路面顶面齐平。</w:t>
      </w:r>
    </w:p>
    <w:p w14:paraId="131FDE40">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质量要求：填筑土料应选用塑性指数适中的黏性土，土中不得含有植物根茎、砖石、垃圾等杂质，含水率应接近最优含水率（可通过现场晾晒或洒水调整）。土料进场前须经建设单位检验认可。</w:t>
      </w:r>
    </w:p>
    <w:p w14:paraId="7487C00A">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摊铺与碾压：优先选用1.5-4吨轻型双钢轮振动压路机或手扶式压路机进行主作业面碾压。碾压应遵循“先静后振、先慢后快、由边至中、轮迹重叠”原则，重叠宽度不小于轮宽的1/3。</w:t>
      </w:r>
    </w:p>
    <w:p w14:paraId="269B8460">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边缘处理：压路机碾压时，钢轮外缘距路肩外边缘必须保持不小于20厘米的安全距离。该边缘区域及所有机械无法到达的角落，必须采用内燃冲击夯或重型平板夯进行补充夯实，确保全断面压实度均匀。</w:t>
      </w:r>
    </w:p>
    <w:p w14:paraId="2BBA8554">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压实标准：路肩填筑体压实度（按重型击实标准）必须不低于95%。均须按每100-150米一个断面的频率进行现场压实度检测（环刀法），检测合格并经建设单位签认后，方可进行后续施工。</w:t>
      </w:r>
    </w:p>
    <w:p w14:paraId="7F30C62B">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外形控制：成型路肩线形须顺直圆滑，顶面平整，横向设2%-4%的排水坡（坡向堤外）。路肩与沥青路面衔接必须平顺，不得形成陡坎或积水洼地。</w:t>
      </w:r>
    </w:p>
    <w:p w14:paraId="7F5EB2D8">
      <w:pPr>
        <w:ind w:firstLine="643" w:firstLineChars="200"/>
        <w:jc w:val="both"/>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3.草皮防护</w:t>
      </w:r>
    </w:p>
    <w:p w14:paraId="16930E5A">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草皮块带土厚度3-6cm，草皮块应边缘整齐、厚度一致，紧密不散，卸车后草块单层放置，注意遮阴，经常喷水，保持草块潮湿，及时铺栽；草皮铺设时应平整，应使缝隙错落互相咬茬，边要修整齐，互相衔接不留缝，草块间填满细土，拍实，使草块与草块、草块与地面紧密连接，铺设方向应与坡向横切，边缘铺种应使用整块草皮，造型自然，平滑，平整，无明显的草坪搭接缝；草皮铺好后适度滚压，滚压后及时浇水,第一次浇水要灌足灌透，灌水后2-3天进行第二次滚压，直至草块完全压平为止；在滚压过程中，如发现草块不平，应把凹凸不平的草块重新掀起，将土平整后，重新铺种好。</w:t>
      </w:r>
    </w:p>
    <w:p w14:paraId="47B78F55">
      <w:pPr>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洒水车配合水泵均匀喷洒水养护草茎7-10日，确保坡面湿润，禁止用水泵直冲坡面。洒水后对局部坡面缺陷人工修复；栽植10天左右开始人工除杂草，做到除早除小；14天左右进行施肥，每亩草皮施肥6-7kg；30天左右草坪基本成形覆盖坡面；1个月后草皮基本覆盖坡面，覆盖率达98％以上，转为正常养护，养护期1年。</w:t>
      </w:r>
    </w:p>
    <w:p w14:paraId="5F3FE070">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p>
    <w:p w14:paraId="404484A4">
      <w:pPr>
        <w:jc w:val="center"/>
        <w:rPr>
          <w:rFonts w:hint="default" w:asciiTheme="minorEastAsia" w:hAnsiTheme="minorEastAsia" w:eastAsiaTheme="minorEastAsia"/>
          <w:b/>
          <w:color w:val="auto"/>
          <w:sz w:val="28"/>
          <w:highlight w:val="none"/>
          <w:lang w:val="en-US" w:eastAsia="zh-CN"/>
        </w:rPr>
      </w:pPr>
    </w:p>
    <w:p w14:paraId="5D9BAF6B">
      <w:pPr>
        <w:rPr>
          <w:rFonts w:hint="eastAsia"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br w:type="page"/>
      </w:r>
    </w:p>
    <w:p w14:paraId="420C3A84">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第四章  评审方法和标准</w:t>
      </w:r>
      <w:bookmarkEnd w:id="46"/>
    </w:p>
    <w:p w14:paraId="1AC8F4E5">
      <w:pPr>
        <w:spacing w:line="360" w:lineRule="auto"/>
        <w:ind w:firstLine="437"/>
        <w:outlineLvl w:val="1"/>
        <w:rPr>
          <w:rFonts w:asciiTheme="minorEastAsia" w:hAnsiTheme="minorEastAsia" w:eastAsiaTheme="minorEastAsia"/>
          <w:b/>
          <w:color w:val="auto"/>
          <w:sz w:val="24"/>
          <w:highlight w:val="none"/>
        </w:rPr>
      </w:pPr>
      <w:bookmarkStart w:id="116" w:name="_Toc3679"/>
      <w:bookmarkStart w:id="117" w:name="_Toc31533"/>
      <w:r>
        <w:rPr>
          <w:rFonts w:hint="eastAsia" w:asciiTheme="minorEastAsia" w:hAnsiTheme="minorEastAsia" w:eastAsiaTheme="minorEastAsia"/>
          <w:b/>
          <w:color w:val="auto"/>
          <w:sz w:val="24"/>
          <w:highlight w:val="none"/>
        </w:rPr>
        <w:t>一、总则</w:t>
      </w:r>
      <w:bookmarkEnd w:id="116"/>
      <w:bookmarkEnd w:id="117"/>
    </w:p>
    <w:p w14:paraId="1A4CA59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本项目将按照磋商文件第二章供应商须知的相关要求</w:t>
      </w:r>
      <w:r>
        <w:rPr>
          <w:rFonts w:asciiTheme="minorEastAsia" w:hAnsiTheme="minorEastAsia" w:eastAsiaTheme="minorEastAsia"/>
          <w:color w:val="auto"/>
          <w:sz w:val="24"/>
          <w:highlight w:val="none"/>
        </w:rPr>
        <w:t>及本章的规定</w:t>
      </w:r>
      <w:r>
        <w:rPr>
          <w:rFonts w:hint="eastAsia" w:asciiTheme="minorEastAsia" w:hAnsiTheme="minorEastAsia" w:eastAsiaTheme="minorEastAsia"/>
          <w:color w:val="auto"/>
          <w:sz w:val="24"/>
          <w:highlight w:val="none"/>
        </w:rPr>
        <w:t>评审</w:t>
      </w:r>
      <w:r>
        <w:rPr>
          <w:rFonts w:asciiTheme="minorEastAsia" w:hAnsiTheme="minorEastAsia" w:eastAsiaTheme="minorEastAsia"/>
          <w:color w:val="auto"/>
          <w:sz w:val="24"/>
          <w:highlight w:val="none"/>
        </w:rPr>
        <w:t>。</w:t>
      </w:r>
    </w:p>
    <w:p w14:paraId="18F93669">
      <w:pPr>
        <w:spacing w:line="360" w:lineRule="auto"/>
        <w:ind w:firstLine="437"/>
        <w:outlineLvl w:val="1"/>
        <w:rPr>
          <w:rFonts w:asciiTheme="minorEastAsia" w:hAnsiTheme="minorEastAsia" w:eastAsiaTheme="minorEastAsia"/>
          <w:b/>
          <w:color w:val="auto"/>
          <w:sz w:val="24"/>
          <w:highlight w:val="none"/>
        </w:rPr>
      </w:pPr>
      <w:bookmarkStart w:id="118" w:name="_Toc16232"/>
      <w:bookmarkStart w:id="119" w:name="_Toc13405"/>
      <w:r>
        <w:rPr>
          <w:rFonts w:hint="eastAsia" w:asciiTheme="minorEastAsia" w:hAnsiTheme="minorEastAsia" w:eastAsiaTheme="minorEastAsia"/>
          <w:b/>
          <w:color w:val="auto"/>
          <w:sz w:val="24"/>
          <w:highlight w:val="none"/>
        </w:rPr>
        <w:t>二、评审方法</w:t>
      </w:r>
      <w:bookmarkEnd w:id="118"/>
      <w:bookmarkEnd w:id="119"/>
    </w:p>
    <w:p w14:paraId="3FF3537A">
      <w:pPr>
        <w:spacing w:line="360" w:lineRule="auto"/>
        <w:ind w:firstLine="435"/>
        <w:outlineLvl w:val="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2.1初审</w:t>
      </w:r>
    </w:p>
    <w:p w14:paraId="6D2C299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磋商小组对供应商的响应文件进行初审，以确定其是否满足磋商文件的实质性要求。初审表如下：</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1496"/>
        <w:gridCol w:w="4266"/>
        <w:gridCol w:w="2867"/>
      </w:tblGrid>
      <w:tr w14:paraId="0FC0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vAlign w:val="center"/>
          </w:tcPr>
          <w:p w14:paraId="60DFD292">
            <w:pPr>
              <w:keepNext w:val="0"/>
              <w:keepLines w:val="0"/>
              <w:pageBreakBefore w:val="0"/>
              <w:widowControl w:val="0"/>
              <w:kinsoku/>
              <w:wordWrap/>
              <w:overflowPunct/>
              <w:topLinePunct w:val="0"/>
              <w:autoSpaceDE/>
              <w:autoSpaceDN/>
              <w:bidi w:val="0"/>
              <w:adjustRightInd w:val="0"/>
              <w:snapToGrid w:val="0"/>
              <w:spacing w:line="288" w:lineRule="auto"/>
              <w:ind w:right="-10"/>
              <w:jc w:val="center"/>
              <w:textAlignment w:val="auto"/>
              <w:rPr>
                <w:rFonts w:hint="eastAsia" w:ascii="Calibri" w:hAnsi="Calibri" w:cs="Times New Roman"/>
                <w:b/>
                <w:color w:val="auto"/>
                <w:kern w:val="2"/>
                <w:sz w:val="24"/>
                <w:szCs w:val="22"/>
                <w:highlight w:val="none"/>
              </w:rPr>
            </w:pPr>
            <w:r>
              <w:rPr>
                <w:rFonts w:hint="eastAsia" w:ascii="Calibri" w:hAnsi="Calibri" w:cs="Times New Roman"/>
                <w:b/>
                <w:color w:val="auto"/>
                <w:kern w:val="2"/>
                <w:sz w:val="24"/>
                <w:szCs w:val="22"/>
                <w:highlight w:val="none"/>
              </w:rPr>
              <w:t>初审表</w:t>
            </w:r>
          </w:p>
        </w:tc>
      </w:tr>
      <w:tr w14:paraId="4EE1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10" w:type="pct"/>
            <w:tcBorders>
              <w:bottom w:val="single" w:color="auto" w:sz="4" w:space="0"/>
            </w:tcBorders>
            <w:vAlign w:val="center"/>
          </w:tcPr>
          <w:p w14:paraId="455A5A27">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b/>
                <w:bCs/>
                <w:color w:val="auto"/>
                <w:kern w:val="2"/>
                <w:sz w:val="24"/>
                <w:szCs w:val="22"/>
                <w:highlight w:val="none"/>
              </w:rPr>
            </w:pPr>
            <w:r>
              <w:rPr>
                <w:rFonts w:hint="eastAsia" w:ascii="宋体" w:hAnsi="宋体" w:eastAsia="宋体"/>
                <w:b/>
                <w:bCs/>
                <w:color w:val="auto"/>
                <w:sz w:val="24"/>
                <w:highlight w:val="none"/>
              </w:rPr>
              <w:t>序号</w:t>
            </w:r>
          </w:p>
        </w:tc>
        <w:tc>
          <w:tcPr>
            <w:tcW w:w="796" w:type="pct"/>
            <w:tcBorders>
              <w:bottom w:val="single" w:color="auto" w:sz="4" w:space="0"/>
            </w:tcBorders>
            <w:vAlign w:val="center"/>
          </w:tcPr>
          <w:p w14:paraId="04BC8D2F">
            <w:pPr>
              <w:pStyle w:val="70"/>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288" w:lineRule="auto"/>
              <w:ind w:right="-10" w:rightChars="0"/>
              <w:textAlignment w:val="auto"/>
              <w:rPr>
                <w:rFonts w:ascii="Calibri" w:hAnsi="Calibri" w:cs="Times New Roman"/>
                <w:b/>
                <w:bCs/>
                <w:color w:val="auto"/>
                <w:kern w:val="2"/>
                <w:sz w:val="24"/>
                <w:szCs w:val="24"/>
                <w:highlight w:val="none"/>
              </w:rPr>
            </w:pPr>
            <w:r>
              <w:rPr>
                <w:rFonts w:hint="eastAsia" w:ascii="宋体" w:hAnsi="宋体" w:eastAsia="宋体"/>
                <w:b/>
                <w:bCs/>
                <w:color w:val="auto"/>
                <w:kern w:val="2"/>
                <w:szCs w:val="24"/>
                <w:highlight w:val="none"/>
                <w:lang w:val="en-US" w:eastAsia="zh-CN"/>
              </w:rPr>
              <w:t>审查因素</w:t>
            </w:r>
          </w:p>
        </w:tc>
        <w:tc>
          <w:tcPr>
            <w:tcW w:w="2268" w:type="pct"/>
            <w:tcBorders>
              <w:bottom w:val="single" w:color="auto" w:sz="4" w:space="0"/>
            </w:tcBorders>
            <w:vAlign w:val="center"/>
          </w:tcPr>
          <w:p w14:paraId="5EB59D5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b/>
                <w:bCs/>
                <w:color w:val="auto"/>
                <w:kern w:val="2"/>
                <w:sz w:val="24"/>
                <w:szCs w:val="22"/>
                <w:highlight w:val="none"/>
              </w:rPr>
            </w:pPr>
            <w:r>
              <w:rPr>
                <w:rFonts w:hint="eastAsia" w:ascii="宋体" w:hAnsi="宋体" w:eastAsia="宋体"/>
                <w:b/>
                <w:bCs/>
                <w:color w:val="auto"/>
                <w:sz w:val="24"/>
                <w:highlight w:val="none"/>
                <w:lang w:val="en-US" w:eastAsia="zh-CN"/>
              </w:rPr>
              <w:t>审查内容</w:t>
            </w:r>
          </w:p>
        </w:tc>
        <w:tc>
          <w:tcPr>
            <w:tcW w:w="1524" w:type="pct"/>
            <w:tcBorders>
              <w:bottom w:val="single" w:color="auto" w:sz="4" w:space="0"/>
            </w:tcBorders>
            <w:vAlign w:val="center"/>
          </w:tcPr>
          <w:p w14:paraId="729B115D">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ascii="Calibri" w:hAnsi="Calibri" w:cs="Times New Roman"/>
                <w:b/>
                <w:bCs/>
                <w:color w:val="auto"/>
                <w:kern w:val="2"/>
                <w:sz w:val="24"/>
                <w:szCs w:val="22"/>
                <w:highlight w:val="none"/>
              </w:rPr>
            </w:pPr>
            <w:r>
              <w:rPr>
                <w:rFonts w:hint="eastAsia" w:ascii="宋体" w:hAnsi="宋体" w:eastAsia="宋体"/>
                <w:b/>
                <w:bCs/>
                <w:color w:val="auto"/>
                <w:sz w:val="24"/>
                <w:highlight w:val="none"/>
              </w:rPr>
              <w:t>格式要求</w:t>
            </w:r>
          </w:p>
        </w:tc>
      </w:tr>
      <w:tr w14:paraId="0CDE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410" w:type="pct"/>
            <w:tcBorders>
              <w:bottom w:val="single" w:color="auto" w:sz="4" w:space="0"/>
            </w:tcBorders>
            <w:vAlign w:val="center"/>
          </w:tcPr>
          <w:p w14:paraId="05C2AF41">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rPr>
              <w:t>1</w:t>
            </w:r>
          </w:p>
        </w:tc>
        <w:tc>
          <w:tcPr>
            <w:tcW w:w="796" w:type="pct"/>
            <w:tcBorders>
              <w:bottom w:val="single" w:color="auto" w:sz="4" w:space="0"/>
            </w:tcBorders>
            <w:vAlign w:val="center"/>
          </w:tcPr>
          <w:p w14:paraId="2B94F14A">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ascii="宋体" w:hAnsi="宋体" w:eastAsia="宋体" w:cs="宋体"/>
                <w:spacing w:val="9"/>
                <w:sz w:val="24"/>
                <w:szCs w:val="24"/>
              </w:rPr>
              <w:t>营业执照等证明</w:t>
            </w:r>
            <w:r>
              <w:rPr>
                <w:rFonts w:ascii="宋体" w:hAnsi="宋体" w:eastAsia="宋体" w:cs="宋体"/>
                <w:spacing w:val="-3"/>
                <w:sz w:val="24"/>
                <w:szCs w:val="24"/>
              </w:rPr>
              <w:t>文件</w:t>
            </w:r>
          </w:p>
        </w:tc>
        <w:tc>
          <w:tcPr>
            <w:tcW w:w="2268" w:type="pct"/>
            <w:tcBorders>
              <w:bottom w:val="single" w:color="auto" w:sz="4" w:space="0"/>
            </w:tcBorders>
            <w:vAlign w:val="center"/>
          </w:tcPr>
          <w:p w14:paraId="2C2DE304">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ascii="宋体" w:hAnsi="宋体" w:eastAsia="宋体" w:cs="宋体"/>
                <w:sz w:val="24"/>
                <w:szCs w:val="24"/>
              </w:rPr>
              <w:t>为企业（包括合伙企业）的，应</w:t>
            </w:r>
            <w:r>
              <w:rPr>
                <w:rFonts w:hint="eastAsia" w:ascii="宋体" w:hAnsi="宋体" w:eastAsia="宋体" w:cs="宋体"/>
                <w:sz w:val="24"/>
                <w:szCs w:val="24"/>
                <w:lang w:val="en-US" w:eastAsia="zh-CN"/>
              </w:rPr>
              <w:t>提</w:t>
            </w:r>
            <w:r>
              <w:rPr>
                <w:rFonts w:ascii="宋体" w:hAnsi="宋体" w:eastAsia="宋体" w:cs="宋体"/>
                <w:sz w:val="24"/>
                <w:szCs w:val="24"/>
              </w:rPr>
              <w:t>供有效的营业执照；</w:t>
            </w:r>
          </w:p>
          <w:p w14:paraId="7E2F2A13">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ascii="宋体" w:hAnsi="宋体" w:eastAsia="宋体" w:cs="宋体"/>
                <w:sz w:val="24"/>
                <w:szCs w:val="24"/>
              </w:rPr>
              <w:t>为事业单位的，应</w:t>
            </w:r>
            <w:r>
              <w:rPr>
                <w:rFonts w:hint="eastAsia" w:ascii="宋体" w:hAnsi="宋体" w:eastAsia="宋体" w:cs="宋体"/>
                <w:sz w:val="24"/>
                <w:szCs w:val="24"/>
                <w:lang w:val="en-US" w:eastAsia="zh-CN"/>
              </w:rPr>
              <w:t>提</w:t>
            </w:r>
            <w:r>
              <w:rPr>
                <w:rFonts w:ascii="宋体" w:hAnsi="宋体" w:eastAsia="宋体" w:cs="宋体"/>
                <w:sz w:val="24"/>
                <w:szCs w:val="24"/>
              </w:rPr>
              <w:t>供有效的事业单位法人证书；</w:t>
            </w:r>
          </w:p>
          <w:p w14:paraId="51595865">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w:t>
            </w:r>
            <w:r>
              <w:rPr>
                <w:rFonts w:ascii="宋体" w:hAnsi="宋体" w:eastAsia="宋体" w:cs="宋体"/>
                <w:sz w:val="24"/>
                <w:szCs w:val="24"/>
              </w:rPr>
              <w:t>是非企业机构的，应</w:t>
            </w:r>
            <w:r>
              <w:rPr>
                <w:rFonts w:hint="eastAsia" w:ascii="宋体" w:hAnsi="宋体" w:eastAsia="宋体" w:cs="宋体"/>
                <w:sz w:val="24"/>
                <w:szCs w:val="24"/>
                <w:lang w:val="en-US" w:eastAsia="zh-CN"/>
              </w:rPr>
              <w:t>提</w:t>
            </w:r>
            <w:r>
              <w:rPr>
                <w:rFonts w:ascii="宋体" w:hAnsi="宋体" w:eastAsia="宋体" w:cs="宋体"/>
                <w:sz w:val="24"/>
                <w:szCs w:val="24"/>
              </w:rPr>
              <w:t>供有效的执业许可证</w:t>
            </w:r>
            <w:r>
              <w:rPr>
                <w:rFonts w:hint="eastAsia" w:ascii="宋体" w:hAnsi="宋体" w:eastAsia="宋体" w:cs="宋体"/>
                <w:sz w:val="24"/>
                <w:szCs w:val="24"/>
                <w:lang w:val="en-US" w:eastAsia="zh-CN"/>
              </w:rPr>
              <w:t>或</w:t>
            </w:r>
            <w:r>
              <w:rPr>
                <w:rFonts w:ascii="宋体" w:hAnsi="宋体" w:eastAsia="宋体" w:cs="宋体"/>
                <w:sz w:val="24"/>
                <w:szCs w:val="24"/>
              </w:rPr>
              <w:t>登记证书等证明文件；</w:t>
            </w:r>
          </w:p>
        </w:tc>
        <w:tc>
          <w:tcPr>
            <w:tcW w:w="1524" w:type="pct"/>
            <w:tcBorders>
              <w:bottom w:val="single" w:color="auto" w:sz="4" w:space="0"/>
            </w:tcBorders>
            <w:vAlign w:val="center"/>
          </w:tcPr>
          <w:p w14:paraId="1FD4CF1E">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5839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1366266">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lang w:val="en-US" w:eastAsia="zh-CN"/>
              </w:rPr>
              <w:t>2</w:t>
            </w:r>
          </w:p>
        </w:tc>
        <w:tc>
          <w:tcPr>
            <w:tcW w:w="796" w:type="pct"/>
            <w:vAlign w:val="center"/>
          </w:tcPr>
          <w:p w14:paraId="5961430A">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olor w:val="auto"/>
                <w:sz w:val="24"/>
                <w:szCs w:val="18"/>
                <w:highlight w:val="none"/>
                <w:lang w:val="en-US" w:eastAsia="zh-CN"/>
              </w:rPr>
              <w:t>供应商资格声明书</w:t>
            </w:r>
          </w:p>
        </w:tc>
        <w:tc>
          <w:tcPr>
            <w:tcW w:w="2268" w:type="pct"/>
            <w:vAlign w:val="center"/>
          </w:tcPr>
          <w:p w14:paraId="401EE342">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ascii="宋体" w:hAnsi="宋体" w:eastAsia="宋体" w:cs="宋体"/>
                <w:sz w:val="24"/>
                <w:szCs w:val="24"/>
                <w:lang w:val="en-US" w:eastAsia="zh-CN"/>
              </w:rPr>
              <w:t>提</w:t>
            </w:r>
            <w:r>
              <w:rPr>
                <w:rFonts w:ascii="宋体" w:hAnsi="宋体" w:eastAsia="宋体" w:cs="宋体"/>
                <w:sz w:val="24"/>
                <w:szCs w:val="24"/>
              </w:rPr>
              <w:t>供符合</w:t>
            </w:r>
            <w:r>
              <w:rPr>
                <w:rFonts w:hint="eastAsia" w:cs="宋体"/>
                <w:sz w:val="24"/>
                <w:szCs w:val="24"/>
                <w:lang w:val="en-US" w:eastAsia="zh-CN"/>
              </w:rPr>
              <w:t>磋商</w:t>
            </w:r>
            <w:r>
              <w:rPr>
                <w:rFonts w:ascii="宋体" w:hAnsi="宋体" w:eastAsia="宋体" w:cs="宋体"/>
                <w:sz w:val="24"/>
                <w:szCs w:val="24"/>
              </w:rPr>
              <w:t>文件要求的《</w:t>
            </w:r>
            <w:r>
              <w:rPr>
                <w:rFonts w:hint="eastAsia" w:ascii="宋体" w:hAnsi="宋体" w:eastAsia="宋体" w:cs="宋体"/>
                <w:sz w:val="24"/>
                <w:szCs w:val="24"/>
                <w:lang w:val="en-US" w:eastAsia="zh-CN"/>
              </w:rPr>
              <w:t>供应商</w:t>
            </w:r>
            <w:r>
              <w:rPr>
                <w:rFonts w:ascii="宋体" w:hAnsi="宋体" w:eastAsia="宋体" w:cs="宋体"/>
                <w:sz w:val="24"/>
                <w:szCs w:val="24"/>
              </w:rPr>
              <w:t>资格声明书》</w:t>
            </w:r>
            <w:r>
              <w:rPr>
                <w:rFonts w:hint="eastAsia" w:ascii="宋体" w:hAnsi="宋体" w:eastAsia="宋体" w:cs="宋体"/>
                <w:sz w:val="24"/>
                <w:szCs w:val="24"/>
                <w:lang w:eastAsia="zh-CN"/>
              </w:rPr>
              <w:t>。</w:t>
            </w:r>
          </w:p>
        </w:tc>
        <w:tc>
          <w:tcPr>
            <w:tcW w:w="1524" w:type="pct"/>
            <w:vAlign w:val="center"/>
          </w:tcPr>
          <w:p w14:paraId="039908E4">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olor w:val="auto"/>
                <w:sz w:val="24"/>
                <w:highlight w:val="none"/>
              </w:rPr>
              <w:t>详见第六章</w:t>
            </w:r>
            <w:r>
              <w:rPr>
                <w:rFonts w:hint="eastAsia" w:ascii="宋体" w:hAnsi="宋体" w:eastAsia="宋体"/>
                <w:color w:val="auto"/>
                <w:sz w:val="24"/>
                <w:highlight w:val="none"/>
                <w:lang w:val="en-US" w:eastAsia="zh-CN"/>
              </w:rPr>
              <w:t>响应</w:t>
            </w:r>
            <w:r>
              <w:rPr>
                <w:rFonts w:hint="eastAsia" w:ascii="宋体" w:hAnsi="宋体" w:eastAsia="宋体"/>
                <w:color w:val="auto"/>
                <w:sz w:val="24"/>
                <w:highlight w:val="none"/>
              </w:rPr>
              <w:t>文件格式</w:t>
            </w:r>
            <w:r>
              <w:rPr>
                <w:rFonts w:hint="eastAsia" w:ascii="宋体" w:hAnsi="宋体" w:eastAsia="宋体"/>
                <w:color w:val="auto"/>
                <w:sz w:val="24"/>
                <w:highlight w:val="none"/>
                <w:lang w:eastAsia="zh-CN"/>
              </w:rPr>
              <w:t>。</w:t>
            </w:r>
          </w:p>
        </w:tc>
      </w:tr>
      <w:tr w14:paraId="5114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EEF378D">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ascii="宋体" w:hAnsi="宋体" w:eastAsia="宋体"/>
                <w:color w:val="auto"/>
                <w:sz w:val="24"/>
                <w:highlight w:val="none"/>
                <w:lang w:val="en-US" w:eastAsia="zh-CN"/>
              </w:rPr>
              <w:t>3</w:t>
            </w:r>
          </w:p>
        </w:tc>
        <w:tc>
          <w:tcPr>
            <w:tcW w:w="796" w:type="pct"/>
            <w:vAlign w:val="center"/>
          </w:tcPr>
          <w:p w14:paraId="0C9BF0DE">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olor w:val="auto"/>
                <w:sz w:val="24"/>
                <w:szCs w:val="18"/>
                <w:highlight w:val="none"/>
                <w:lang w:val="en-US" w:eastAsia="zh-CN"/>
              </w:rPr>
              <w:t>供应商</w:t>
            </w:r>
            <w:r>
              <w:rPr>
                <w:rFonts w:hint="eastAsia" w:ascii="宋体" w:hAnsi="宋体" w:eastAsia="宋体" w:cs="宋体"/>
                <w:color w:val="auto"/>
                <w:sz w:val="24"/>
                <w:szCs w:val="24"/>
                <w:highlight w:val="none"/>
              </w:rPr>
              <w:t>信用记录</w:t>
            </w:r>
          </w:p>
        </w:tc>
        <w:tc>
          <w:tcPr>
            <w:tcW w:w="2268" w:type="pct"/>
            <w:vAlign w:val="center"/>
          </w:tcPr>
          <w:p w14:paraId="21095904">
            <w:pPr>
              <w:keepNext w:val="0"/>
              <w:keepLines w:val="0"/>
              <w:pageBreakBefore w:val="0"/>
              <w:widowControl w:val="0"/>
              <w:kinsoku/>
              <w:wordWrap/>
              <w:overflowPunct/>
              <w:topLinePunct w:val="0"/>
              <w:autoSpaceDE/>
              <w:autoSpaceDN/>
              <w:bidi w:val="0"/>
              <w:spacing w:after="50" w:line="288" w:lineRule="auto"/>
              <w:ind w:right="-10" w:rightChars="0"/>
              <w:jc w:val="left"/>
              <w:textAlignment w:val="auto"/>
              <w:rPr>
                <w:rFonts w:ascii="Calibri" w:hAnsi="Calibri" w:cs="Times New Roman"/>
                <w:color w:val="auto"/>
                <w:kern w:val="2"/>
                <w:sz w:val="24"/>
                <w:szCs w:val="22"/>
                <w:highlight w:val="none"/>
              </w:rPr>
            </w:pPr>
            <w:r>
              <w:rPr>
                <w:rFonts w:hint="eastAsia" w:cs="宋体"/>
                <w:sz w:val="24"/>
                <w:szCs w:val="24"/>
                <w:lang w:val="en-US" w:eastAsia="zh-CN"/>
              </w:rPr>
              <w:t>供应商</w:t>
            </w:r>
            <w:r>
              <w:rPr>
                <w:rFonts w:hint="eastAsia" w:ascii="宋体" w:hAnsi="宋体" w:eastAsia="宋体" w:cs="宋体"/>
                <w:sz w:val="24"/>
                <w:szCs w:val="24"/>
                <w:lang w:val="zh-CN" w:eastAsia="zh-CN"/>
              </w:rPr>
              <w:t>不得存在</w:t>
            </w:r>
            <w:r>
              <w:rPr>
                <w:rFonts w:hint="eastAsia" w:cs="宋体"/>
                <w:sz w:val="24"/>
                <w:szCs w:val="24"/>
                <w:lang w:val="en-US" w:eastAsia="zh-CN"/>
              </w:rPr>
              <w:t>供应商</w:t>
            </w:r>
            <w:r>
              <w:rPr>
                <w:rFonts w:hint="eastAsia" w:ascii="宋体" w:hAnsi="宋体" w:eastAsia="宋体" w:cs="宋体"/>
                <w:sz w:val="24"/>
                <w:szCs w:val="24"/>
                <w:lang w:val="zh-CN" w:eastAsia="zh-CN"/>
              </w:rPr>
              <w:t>须</w:t>
            </w:r>
            <w:r>
              <w:rPr>
                <w:rFonts w:hint="eastAsia" w:ascii="宋体" w:hAnsi="宋体" w:eastAsia="宋体" w:cs="宋体"/>
                <w:sz w:val="24"/>
                <w:szCs w:val="24"/>
                <w:highlight w:val="none"/>
                <w:lang w:val="zh-CN" w:eastAsia="zh-CN"/>
              </w:rPr>
              <w:t>知正文第1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val="zh-CN" w:eastAsia="zh-CN"/>
              </w:rPr>
              <w:t>.</w:t>
            </w:r>
            <w:r>
              <w:rPr>
                <w:rFonts w:hint="eastAsia" w:ascii="宋体" w:hAnsi="宋体" w:eastAsia="宋体" w:cs="宋体"/>
                <w:sz w:val="24"/>
                <w:szCs w:val="24"/>
                <w:highlight w:val="none"/>
                <w:lang w:val="en-US" w:eastAsia="zh-CN"/>
              </w:rPr>
              <w:t>3条中</w:t>
            </w:r>
            <w:r>
              <w:rPr>
                <w:rFonts w:hint="eastAsia" w:ascii="宋体" w:hAnsi="宋体" w:eastAsia="宋体"/>
                <w:color w:val="auto"/>
                <w:sz w:val="24"/>
                <w:szCs w:val="28"/>
                <w:highlight w:val="none"/>
              </w:rPr>
              <w:t>的</w:t>
            </w:r>
            <w:r>
              <w:rPr>
                <w:rFonts w:hint="eastAsia" w:ascii="宋体" w:hAnsi="宋体" w:eastAsia="宋体"/>
                <w:color w:val="auto"/>
                <w:sz w:val="24"/>
                <w:szCs w:val="18"/>
                <w:highlight w:val="none"/>
              </w:rPr>
              <w:t>不良信用记录情形</w:t>
            </w:r>
          </w:p>
        </w:tc>
        <w:tc>
          <w:tcPr>
            <w:tcW w:w="1524" w:type="pct"/>
            <w:vAlign w:val="center"/>
          </w:tcPr>
          <w:p w14:paraId="66C37545">
            <w:pPr>
              <w:keepNext w:val="0"/>
              <w:keepLines w:val="0"/>
              <w:pageBreakBefore w:val="0"/>
              <w:widowControl w:val="0"/>
              <w:kinsoku/>
              <w:wordWrap/>
              <w:overflowPunct/>
              <w:topLinePunct w:val="0"/>
              <w:autoSpaceDE/>
              <w:autoSpaceDN/>
              <w:bidi w:val="0"/>
              <w:spacing w:line="288" w:lineRule="auto"/>
              <w:jc w:val="left"/>
              <w:textAlignment w:val="auto"/>
              <w:rPr>
                <w:rFonts w:hint="eastAsia" w:cs="Times New Roman"/>
                <w:color w:val="auto"/>
                <w:kern w:val="2"/>
                <w:sz w:val="24"/>
                <w:szCs w:val="22"/>
                <w:highlight w:val="none"/>
              </w:rPr>
            </w:pPr>
            <w:r>
              <w:rPr>
                <w:rFonts w:hint="eastAsia" w:ascii="宋体" w:hAnsi="宋体" w:eastAsia="宋体" w:cs="宋体"/>
                <w:sz w:val="24"/>
                <w:szCs w:val="24"/>
              </w:rPr>
              <w:t>无须</w:t>
            </w:r>
            <w:r>
              <w:rPr>
                <w:rFonts w:hint="eastAsia" w:ascii="宋体" w:hAnsi="宋体" w:eastAsia="宋体" w:cs="宋体"/>
                <w:sz w:val="24"/>
                <w:szCs w:val="24"/>
                <w:lang w:val="en-US" w:eastAsia="zh-CN"/>
              </w:rPr>
              <w:t>供应商提</w:t>
            </w:r>
            <w:r>
              <w:rPr>
                <w:rFonts w:hint="eastAsia" w:ascii="宋体" w:hAnsi="宋体" w:eastAsia="宋体" w:cs="宋体"/>
                <w:sz w:val="24"/>
                <w:szCs w:val="24"/>
              </w:rPr>
              <w:t>供，由采购人或采购代理机构查询。</w:t>
            </w:r>
          </w:p>
        </w:tc>
      </w:tr>
      <w:tr w14:paraId="7AEC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5F45690F">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bookmarkStart w:id="120" w:name="OLE_LINK1" w:colFirst="1" w:colLast="3"/>
            <w:r>
              <w:rPr>
                <w:rFonts w:hint="eastAsia" w:ascii="宋体" w:hAnsi="宋体" w:eastAsia="宋体"/>
                <w:color w:val="auto"/>
                <w:sz w:val="24"/>
                <w:highlight w:val="none"/>
                <w:lang w:val="en-US" w:eastAsia="zh-CN"/>
              </w:rPr>
              <w:t>4</w:t>
            </w:r>
          </w:p>
        </w:tc>
        <w:tc>
          <w:tcPr>
            <w:tcW w:w="796" w:type="pct"/>
            <w:vAlign w:val="center"/>
          </w:tcPr>
          <w:p w14:paraId="2BC93770">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宋体" w:hAnsi="宋体" w:eastAsia="宋体" w:cs="宋体"/>
                <w:color w:val="auto"/>
                <w:sz w:val="24"/>
                <w:szCs w:val="24"/>
                <w:highlight w:val="none"/>
              </w:rPr>
              <w:t>中小企业证明文件</w:t>
            </w:r>
          </w:p>
        </w:tc>
        <w:tc>
          <w:tcPr>
            <w:tcW w:w="2268" w:type="pct"/>
            <w:vAlign w:val="top"/>
          </w:tcPr>
          <w:p w14:paraId="6C20AC83">
            <w:pPr>
              <w:keepNext w:val="0"/>
              <w:keepLines w:val="0"/>
              <w:pageBreakBefore w:val="0"/>
              <w:widowControl w:val="0"/>
              <w:kinsoku/>
              <w:wordWrap/>
              <w:overflowPunct/>
              <w:topLinePunct w:val="0"/>
              <w:autoSpaceDE/>
              <w:autoSpaceDN/>
              <w:bidi w:val="0"/>
              <w:spacing w:after="50" w:line="288" w:lineRule="auto"/>
              <w:ind w:right="-10"/>
              <w:jc w:val="left"/>
              <w:textAlignment w:val="auto"/>
              <w:rPr>
                <w:rFonts w:ascii="Calibri" w:hAnsi="Calibri" w:cs="Times New Roman"/>
                <w:color w:val="auto"/>
                <w:kern w:val="2"/>
                <w:sz w:val="24"/>
                <w:szCs w:val="22"/>
                <w:highlight w:val="none"/>
              </w:rPr>
            </w:pPr>
            <w:r>
              <w:rPr>
                <w:rFonts w:hint="eastAsia" w:ascii="宋体" w:hAnsi="宋体" w:eastAsia="宋体" w:cs="宋体"/>
                <w:color w:val="auto"/>
                <w:sz w:val="24"/>
                <w:szCs w:val="24"/>
                <w:highlight w:val="none"/>
              </w:rPr>
              <w:t>专门面向中小企业采购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供《中小企业声明函》或《残疾人福利性单位声明函》或由省级以上监狱管理局、戒毒管理局（含新疆生产建设兵团）出具的属于监狱企业的证明文件。</w:t>
            </w:r>
          </w:p>
        </w:tc>
        <w:tc>
          <w:tcPr>
            <w:tcW w:w="1524" w:type="pct"/>
            <w:vAlign w:val="center"/>
          </w:tcPr>
          <w:p w14:paraId="7AF274D3">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hint="eastAsia" w:cs="Times New Roman"/>
                <w:color w:val="auto"/>
                <w:kern w:val="2"/>
                <w:sz w:val="24"/>
                <w:szCs w:val="22"/>
                <w:highlight w:val="none"/>
              </w:rPr>
            </w:pPr>
            <w:r>
              <w:rPr>
                <w:rFonts w:hint="eastAsia" w:ascii="宋体" w:hAnsi="宋体" w:eastAsia="宋体"/>
                <w:color w:val="auto"/>
                <w:sz w:val="24"/>
                <w:highlight w:val="none"/>
              </w:rPr>
              <w:t>详见第六章</w:t>
            </w:r>
            <w:r>
              <w:rPr>
                <w:rFonts w:hint="eastAsia" w:ascii="宋体" w:hAnsi="宋体" w:eastAsia="宋体"/>
                <w:color w:val="auto"/>
                <w:sz w:val="24"/>
                <w:highlight w:val="none"/>
                <w:lang w:val="en-US" w:eastAsia="zh-CN"/>
              </w:rPr>
              <w:t>响应</w:t>
            </w:r>
            <w:r>
              <w:rPr>
                <w:rFonts w:hint="eastAsia" w:ascii="宋体" w:hAnsi="宋体" w:eastAsia="宋体"/>
                <w:color w:val="auto"/>
                <w:sz w:val="24"/>
                <w:highlight w:val="none"/>
              </w:rPr>
              <w:t>文件格式</w:t>
            </w:r>
            <w:r>
              <w:rPr>
                <w:rFonts w:hint="eastAsia" w:ascii="宋体" w:hAnsi="宋体" w:eastAsia="宋体"/>
                <w:color w:val="auto"/>
                <w:sz w:val="24"/>
                <w:highlight w:val="none"/>
                <w:lang w:eastAsia="zh-CN"/>
              </w:rPr>
              <w:t>。</w:t>
            </w:r>
          </w:p>
        </w:tc>
      </w:tr>
      <w:bookmarkEnd w:id="120"/>
      <w:tr w14:paraId="5D70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10" w:type="pct"/>
            <w:vAlign w:val="center"/>
          </w:tcPr>
          <w:p w14:paraId="10340148">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color w:val="auto"/>
                <w:sz w:val="24"/>
                <w:highlight w:val="none"/>
                <w:lang w:val="en-US" w:eastAsia="zh-CN"/>
              </w:rPr>
              <w:t>5</w:t>
            </w:r>
          </w:p>
        </w:tc>
        <w:tc>
          <w:tcPr>
            <w:tcW w:w="796" w:type="pct"/>
            <w:vAlign w:val="center"/>
          </w:tcPr>
          <w:p w14:paraId="23A01CC6">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4"/>
                <w:highlight w:val="none"/>
              </w:rPr>
            </w:pPr>
            <w:r>
              <w:rPr>
                <w:rFonts w:ascii="宋体" w:hAnsi="宋体" w:eastAsia="宋体" w:cs="宋体"/>
                <w:spacing w:val="10"/>
                <w:sz w:val="24"/>
                <w:szCs w:val="24"/>
              </w:rPr>
              <w:t>其他特定资格要求</w:t>
            </w:r>
          </w:p>
        </w:tc>
        <w:tc>
          <w:tcPr>
            <w:tcW w:w="2268" w:type="pct"/>
            <w:vAlign w:val="center"/>
          </w:tcPr>
          <w:p w14:paraId="0DF971E6">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2"/>
                <w:highlight w:val="none"/>
              </w:rPr>
            </w:pPr>
            <w:r>
              <w:rPr>
                <w:rFonts w:ascii="宋体" w:hAnsi="宋体" w:eastAsia="宋体" w:cs="宋体"/>
                <w:spacing w:val="10"/>
                <w:sz w:val="24"/>
                <w:szCs w:val="24"/>
              </w:rPr>
              <w:t>如有，见第一章《</w:t>
            </w:r>
            <w:r>
              <w:rPr>
                <w:rFonts w:hint="eastAsia" w:ascii="宋体" w:hAnsi="宋体" w:eastAsia="宋体" w:cs="宋体"/>
                <w:spacing w:val="10"/>
                <w:sz w:val="24"/>
                <w:szCs w:val="24"/>
                <w:lang w:val="en-US" w:eastAsia="zh-CN"/>
              </w:rPr>
              <w:t>磋商</w:t>
            </w:r>
            <w:r>
              <w:rPr>
                <w:rFonts w:ascii="宋体" w:hAnsi="宋体" w:eastAsia="宋体" w:cs="宋体"/>
                <w:spacing w:val="10"/>
                <w:sz w:val="24"/>
                <w:szCs w:val="24"/>
              </w:rPr>
              <w:t>邀请》</w:t>
            </w:r>
          </w:p>
        </w:tc>
        <w:tc>
          <w:tcPr>
            <w:tcW w:w="1524" w:type="pct"/>
            <w:vAlign w:val="center"/>
          </w:tcPr>
          <w:p w14:paraId="2EA42300">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hint="eastAsia" w:cs="Times New Roman"/>
                <w:color w:val="auto"/>
                <w:kern w:val="2"/>
                <w:sz w:val="24"/>
                <w:szCs w:val="28"/>
                <w:highlight w:val="none"/>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4CA0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664B47F3">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s="Times New Roman" w:asciiTheme="minorEastAsia" w:hAnsiTheme="minorEastAsia" w:eastAsiaTheme="minorEastAsia"/>
                <w:color w:val="auto"/>
                <w:kern w:val="2"/>
                <w:sz w:val="24"/>
                <w:szCs w:val="22"/>
                <w:highlight w:val="none"/>
                <w:lang w:val="en-US" w:eastAsia="zh-CN"/>
              </w:rPr>
              <w:t>6</w:t>
            </w:r>
          </w:p>
        </w:tc>
        <w:tc>
          <w:tcPr>
            <w:tcW w:w="796" w:type="pct"/>
            <w:vAlign w:val="center"/>
          </w:tcPr>
          <w:p w14:paraId="0A6D2C1B">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color w:val="auto"/>
                <w:kern w:val="2"/>
                <w:sz w:val="24"/>
                <w:highlight w:val="none"/>
              </w:rPr>
              <w:t>授权书</w:t>
            </w:r>
          </w:p>
        </w:tc>
        <w:tc>
          <w:tcPr>
            <w:tcW w:w="2268" w:type="pct"/>
            <w:vAlign w:val="center"/>
          </w:tcPr>
          <w:p w14:paraId="15ED0F6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ascii="Calibri" w:hAnsi="Calibri" w:cs="Times New Roman"/>
                <w:color w:val="auto"/>
                <w:kern w:val="2"/>
                <w:sz w:val="24"/>
                <w:szCs w:val="22"/>
                <w:highlight w:val="none"/>
              </w:rPr>
            </w:pPr>
            <w:r>
              <w:rPr>
                <w:rFonts w:hint="eastAsia" w:cs="Times New Roman"/>
                <w:color w:val="auto"/>
                <w:kern w:val="2"/>
                <w:sz w:val="24"/>
                <w:szCs w:val="22"/>
                <w:highlight w:val="none"/>
              </w:rPr>
              <w:t>符合</w:t>
            </w:r>
            <w:r>
              <w:rPr>
                <w:rFonts w:hint="eastAsia" w:cs="Times New Roman"/>
                <w:color w:val="auto"/>
                <w:kern w:val="2"/>
                <w:sz w:val="24"/>
                <w:szCs w:val="22"/>
                <w:highlight w:val="none"/>
                <w:lang w:val="en-US" w:eastAsia="zh-CN"/>
              </w:rPr>
              <w:t>磋商</w:t>
            </w:r>
            <w:r>
              <w:rPr>
                <w:rFonts w:hint="eastAsia" w:cs="Times New Roman"/>
                <w:color w:val="auto"/>
                <w:kern w:val="2"/>
                <w:sz w:val="24"/>
                <w:szCs w:val="22"/>
                <w:highlight w:val="none"/>
              </w:rPr>
              <w:t>文件要求。</w:t>
            </w:r>
          </w:p>
        </w:tc>
        <w:tc>
          <w:tcPr>
            <w:tcW w:w="1524" w:type="pct"/>
            <w:vAlign w:val="center"/>
          </w:tcPr>
          <w:p w14:paraId="5EA815A3">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cs="Times New Roman"/>
                <w:color w:val="auto"/>
                <w:kern w:val="2"/>
                <w:sz w:val="24"/>
                <w:szCs w:val="22"/>
                <w:highlight w:val="none"/>
              </w:rPr>
            </w:pPr>
          </w:p>
        </w:tc>
      </w:tr>
      <w:tr w14:paraId="4947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3C5DC392">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s="Times New Roman" w:asciiTheme="minorEastAsia" w:hAnsiTheme="minorEastAsia" w:eastAsiaTheme="minorEastAsia"/>
                <w:color w:val="auto"/>
                <w:kern w:val="2"/>
                <w:sz w:val="24"/>
                <w:szCs w:val="22"/>
                <w:highlight w:val="none"/>
                <w:lang w:val="en-US" w:eastAsia="zh-CN"/>
              </w:rPr>
              <w:t>7</w:t>
            </w:r>
          </w:p>
        </w:tc>
        <w:tc>
          <w:tcPr>
            <w:tcW w:w="796" w:type="pct"/>
            <w:vAlign w:val="center"/>
          </w:tcPr>
          <w:p w14:paraId="2E4D45C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color w:val="auto"/>
                <w:kern w:val="2"/>
                <w:sz w:val="24"/>
                <w:highlight w:val="none"/>
                <w:lang w:val="en-US" w:eastAsia="zh-CN"/>
              </w:rPr>
              <w:t>磋商</w:t>
            </w:r>
            <w:r>
              <w:rPr>
                <w:rFonts w:hint="eastAsia" w:cs="Times New Roman"/>
                <w:color w:val="auto"/>
                <w:kern w:val="2"/>
                <w:sz w:val="24"/>
                <w:highlight w:val="none"/>
              </w:rPr>
              <w:t>响应函</w:t>
            </w:r>
          </w:p>
        </w:tc>
        <w:tc>
          <w:tcPr>
            <w:tcW w:w="2268" w:type="pct"/>
            <w:vAlign w:val="center"/>
          </w:tcPr>
          <w:p w14:paraId="6343854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ascii="Calibri" w:hAnsi="Calibri" w:cs="Times New Roman"/>
                <w:color w:val="auto"/>
                <w:kern w:val="2"/>
                <w:sz w:val="24"/>
                <w:szCs w:val="22"/>
                <w:highlight w:val="none"/>
              </w:rPr>
            </w:pPr>
            <w:r>
              <w:rPr>
                <w:rFonts w:hint="eastAsia" w:cs="Times New Roman"/>
                <w:color w:val="auto"/>
                <w:kern w:val="2"/>
                <w:sz w:val="24"/>
                <w:szCs w:val="22"/>
                <w:highlight w:val="none"/>
              </w:rPr>
              <w:t>符合</w:t>
            </w:r>
            <w:r>
              <w:rPr>
                <w:rFonts w:hint="eastAsia" w:cs="Times New Roman"/>
                <w:color w:val="auto"/>
                <w:kern w:val="2"/>
                <w:sz w:val="24"/>
                <w:szCs w:val="22"/>
                <w:highlight w:val="none"/>
                <w:lang w:val="en-US" w:eastAsia="zh-CN"/>
              </w:rPr>
              <w:t>磋商</w:t>
            </w:r>
            <w:r>
              <w:rPr>
                <w:rFonts w:hint="eastAsia" w:cs="Times New Roman"/>
                <w:color w:val="auto"/>
                <w:kern w:val="2"/>
                <w:sz w:val="24"/>
                <w:szCs w:val="22"/>
                <w:highlight w:val="none"/>
              </w:rPr>
              <w:t>文件要求。</w:t>
            </w:r>
          </w:p>
        </w:tc>
        <w:tc>
          <w:tcPr>
            <w:tcW w:w="1524" w:type="pct"/>
            <w:vAlign w:val="center"/>
          </w:tcPr>
          <w:p w14:paraId="2E87AB16">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cs="Times New Roman"/>
                <w:color w:val="auto"/>
                <w:kern w:val="2"/>
                <w:sz w:val="24"/>
                <w:szCs w:val="22"/>
                <w:highlight w:val="none"/>
              </w:rPr>
            </w:pPr>
          </w:p>
        </w:tc>
      </w:tr>
      <w:tr w14:paraId="6616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553BFFA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hint="eastAsia" w:eastAsia="宋体" w:cs="Times New Roman"/>
                <w:color w:val="auto"/>
                <w:kern w:val="2"/>
                <w:sz w:val="24"/>
                <w:szCs w:val="22"/>
                <w:highlight w:val="none"/>
                <w:lang w:eastAsia="zh-CN"/>
              </w:rPr>
            </w:pPr>
            <w:r>
              <w:rPr>
                <w:rFonts w:hint="eastAsia"/>
                <w:color w:val="auto"/>
                <w:sz w:val="24"/>
                <w:highlight w:val="none"/>
                <w:lang w:val="en-US" w:eastAsia="zh-CN"/>
              </w:rPr>
              <w:t>8</w:t>
            </w:r>
          </w:p>
        </w:tc>
        <w:tc>
          <w:tcPr>
            <w:tcW w:w="796" w:type="pct"/>
            <w:vAlign w:val="center"/>
          </w:tcPr>
          <w:p w14:paraId="18CC8A69">
            <w:pPr>
              <w:keepNext w:val="0"/>
              <w:keepLines w:val="0"/>
              <w:pageBreakBefore w:val="0"/>
              <w:widowControl w:val="0"/>
              <w:kinsoku/>
              <w:wordWrap/>
              <w:overflowPunct/>
              <w:topLinePunct w:val="0"/>
              <w:autoSpaceDE/>
              <w:autoSpaceDN/>
              <w:bidi w:val="0"/>
              <w:spacing w:after="50" w:line="288" w:lineRule="auto"/>
              <w:ind w:right="-10" w:rightChars="0"/>
              <w:jc w:val="center"/>
              <w:textAlignment w:val="auto"/>
              <w:rPr>
                <w:rFonts w:ascii="Calibri" w:hAnsi="Calibri" w:cs="Times New Roman"/>
                <w:color w:val="auto"/>
                <w:kern w:val="2"/>
                <w:sz w:val="24"/>
                <w:szCs w:val="24"/>
                <w:highlight w:val="none"/>
              </w:rPr>
            </w:pPr>
            <w:r>
              <w:rPr>
                <w:rFonts w:hint="eastAsia" w:asciiTheme="minorEastAsia" w:hAnsiTheme="minorEastAsia" w:eastAsiaTheme="minorEastAsia"/>
                <w:color w:val="auto"/>
                <w:sz w:val="24"/>
                <w:szCs w:val="28"/>
                <w:highlight w:val="none"/>
                <w:lang w:val="en-US" w:eastAsia="zh-CN"/>
              </w:rPr>
              <w:t>磋商</w:t>
            </w:r>
            <w:r>
              <w:rPr>
                <w:rFonts w:hint="eastAsia" w:asciiTheme="minorEastAsia" w:hAnsiTheme="minorEastAsia" w:eastAsiaTheme="minorEastAsia"/>
                <w:color w:val="auto"/>
                <w:sz w:val="24"/>
                <w:szCs w:val="28"/>
                <w:highlight w:val="none"/>
              </w:rPr>
              <w:t>报价</w:t>
            </w:r>
          </w:p>
        </w:tc>
        <w:tc>
          <w:tcPr>
            <w:tcW w:w="2268" w:type="pct"/>
            <w:vAlign w:val="center"/>
          </w:tcPr>
          <w:p w14:paraId="79965440">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cs="Times New Roman"/>
                <w:color w:val="auto"/>
                <w:kern w:val="2"/>
                <w:sz w:val="24"/>
                <w:szCs w:val="22"/>
                <w:highlight w:val="none"/>
              </w:rPr>
            </w:pPr>
            <w:r>
              <w:rPr>
                <w:rFonts w:hint="eastAsia" w:asciiTheme="minorEastAsia" w:hAnsiTheme="minorEastAsia" w:eastAsiaTheme="minorEastAsia"/>
                <w:color w:val="auto"/>
                <w:sz w:val="24"/>
                <w:szCs w:val="28"/>
                <w:highlight w:val="none"/>
              </w:rPr>
              <w:t>符合</w:t>
            </w:r>
            <w:r>
              <w:rPr>
                <w:rFonts w:hint="eastAsia" w:cs="Times New Roman"/>
                <w:color w:val="auto"/>
                <w:kern w:val="2"/>
                <w:sz w:val="24"/>
                <w:szCs w:val="22"/>
                <w:highlight w:val="none"/>
                <w:lang w:val="en-US" w:eastAsia="zh-CN"/>
              </w:rPr>
              <w:t>磋商</w:t>
            </w:r>
            <w:r>
              <w:rPr>
                <w:rFonts w:hint="eastAsia"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lang w:val="en-US" w:eastAsia="zh-CN"/>
              </w:rPr>
              <w:t>要求</w:t>
            </w:r>
          </w:p>
        </w:tc>
        <w:tc>
          <w:tcPr>
            <w:tcW w:w="1524" w:type="pct"/>
            <w:vAlign w:val="center"/>
          </w:tcPr>
          <w:p w14:paraId="45767BB0">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both"/>
              <w:textAlignment w:val="auto"/>
              <w:rPr>
                <w:rFonts w:hint="eastAsia" w:cs="Times New Roman"/>
                <w:color w:val="auto"/>
                <w:kern w:val="2"/>
                <w:sz w:val="24"/>
                <w:szCs w:val="22"/>
                <w:highlight w:val="none"/>
              </w:rPr>
            </w:pPr>
          </w:p>
        </w:tc>
      </w:tr>
      <w:tr w14:paraId="20FB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Align w:val="center"/>
          </w:tcPr>
          <w:p w14:paraId="25D05D7B">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cs="Times New Roman"/>
                <w:color w:val="auto"/>
                <w:kern w:val="2"/>
                <w:sz w:val="24"/>
                <w:szCs w:val="22"/>
                <w:highlight w:val="none"/>
              </w:rPr>
            </w:pPr>
            <w:r>
              <w:rPr>
                <w:rFonts w:hint="eastAsia" w:cs="Times New Roman" w:asciiTheme="minorEastAsia" w:hAnsiTheme="minorEastAsia" w:eastAsiaTheme="minorEastAsia"/>
                <w:color w:val="auto"/>
                <w:kern w:val="2"/>
                <w:sz w:val="24"/>
                <w:szCs w:val="22"/>
                <w:highlight w:val="none"/>
                <w:lang w:val="en-US" w:eastAsia="zh-CN"/>
              </w:rPr>
              <w:t>9</w:t>
            </w:r>
          </w:p>
        </w:tc>
        <w:tc>
          <w:tcPr>
            <w:tcW w:w="796" w:type="pct"/>
            <w:vAlign w:val="center"/>
          </w:tcPr>
          <w:p w14:paraId="037ACB05">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center"/>
              <w:textAlignment w:val="auto"/>
              <w:rPr>
                <w:rFonts w:ascii="Calibri" w:hAnsi="Calibri" w:cs="Times New Roman"/>
                <w:color w:val="auto"/>
                <w:kern w:val="2"/>
                <w:sz w:val="24"/>
                <w:szCs w:val="24"/>
                <w:highlight w:val="none"/>
              </w:rPr>
            </w:pPr>
            <w:r>
              <w:rPr>
                <w:rFonts w:hint="eastAsia" w:cs="Times New Roman" w:asciiTheme="minorEastAsia" w:hAnsiTheme="minorEastAsia" w:eastAsiaTheme="minorEastAsia"/>
                <w:color w:val="auto"/>
                <w:kern w:val="2"/>
                <w:sz w:val="24"/>
                <w:szCs w:val="22"/>
                <w:highlight w:val="none"/>
                <w:lang w:val="en-US" w:eastAsia="zh-CN"/>
              </w:rPr>
              <w:t>其他</w:t>
            </w:r>
          </w:p>
        </w:tc>
        <w:tc>
          <w:tcPr>
            <w:tcW w:w="2268" w:type="pct"/>
            <w:shd w:val="clear" w:color="auto" w:fill="auto"/>
            <w:vAlign w:val="center"/>
          </w:tcPr>
          <w:p w14:paraId="3B9CBEF9">
            <w:pPr>
              <w:keepNext w:val="0"/>
              <w:keepLines w:val="0"/>
              <w:pageBreakBefore w:val="0"/>
              <w:widowControl w:val="0"/>
              <w:kinsoku/>
              <w:wordWrap/>
              <w:overflowPunct/>
              <w:topLinePunct w:val="0"/>
              <w:autoSpaceDE/>
              <w:autoSpaceDN/>
              <w:bidi w:val="0"/>
              <w:spacing w:after="50" w:line="288" w:lineRule="auto"/>
              <w:ind w:right="-10" w:rightChars="0"/>
              <w:jc w:val="both"/>
              <w:textAlignment w:val="auto"/>
              <w:rPr>
                <w:rFonts w:ascii="Calibri" w:hAnsi="Calibri" w:eastAsia="宋体" w:cs="Times New Roman"/>
                <w:color w:val="auto"/>
                <w:kern w:val="2"/>
                <w:sz w:val="24"/>
                <w:szCs w:val="22"/>
                <w:highlight w:val="none"/>
                <w:lang w:val="en-US" w:eastAsia="zh-CN" w:bidi="ar-SA"/>
              </w:rPr>
            </w:pPr>
            <w:r>
              <w:rPr>
                <w:rFonts w:hint="eastAsia" w:asciiTheme="minorEastAsia" w:hAnsiTheme="minorEastAsia" w:eastAsiaTheme="minorEastAsia"/>
                <w:color w:val="auto"/>
                <w:sz w:val="24"/>
                <w:szCs w:val="28"/>
                <w:highlight w:val="none"/>
              </w:rPr>
              <w:t>符合</w:t>
            </w:r>
            <w:r>
              <w:rPr>
                <w:rFonts w:hint="eastAsia" w:cs="Times New Roman"/>
                <w:color w:val="auto"/>
                <w:kern w:val="2"/>
                <w:sz w:val="24"/>
                <w:szCs w:val="22"/>
                <w:highlight w:val="none"/>
                <w:lang w:val="en-US" w:eastAsia="zh-CN"/>
              </w:rPr>
              <w:t>磋商</w:t>
            </w:r>
            <w:r>
              <w:rPr>
                <w:rFonts w:hint="eastAsia" w:asciiTheme="minorEastAsia" w:hAnsiTheme="minorEastAsia" w:eastAsiaTheme="minorEastAsia"/>
                <w:color w:val="auto"/>
                <w:sz w:val="24"/>
                <w:highlight w:val="none"/>
              </w:rPr>
              <w:t>文件</w:t>
            </w:r>
            <w:r>
              <w:rPr>
                <w:rFonts w:hint="eastAsia" w:asciiTheme="minorEastAsia" w:hAnsiTheme="minorEastAsia" w:eastAsiaTheme="minorEastAsia"/>
                <w:color w:val="auto"/>
                <w:sz w:val="24"/>
                <w:highlight w:val="none"/>
                <w:lang w:val="en-US" w:eastAsia="zh-CN"/>
              </w:rPr>
              <w:t>要求</w:t>
            </w:r>
          </w:p>
        </w:tc>
        <w:tc>
          <w:tcPr>
            <w:tcW w:w="1524" w:type="pct"/>
            <w:vAlign w:val="center"/>
          </w:tcPr>
          <w:p w14:paraId="6901BA4A">
            <w:pPr>
              <w:keepNext w:val="0"/>
              <w:keepLines w:val="0"/>
              <w:pageBreakBefore w:val="0"/>
              <w:widowControl w:val="0"/>
              <w:kinsoku/>
              <w:wordWrap/>
              <w:overflowPunct/>
              <w:topLinePunct w:val="0"/>
              <w:autoSpaceDE/>
              <w:autoSpaceDN/>
              <w:bidi w:val="0"/>
              <w:adjustRightInd w:val="0"/>
              <w:snapToGrid w:val="0"/>
              <w:spacing w:line="288" w:lineRule="auto"/>
              <w:ind w:right="-10" w:rightChars="0"/>
              <w:jc w:val="left"/>
              <w:textAlignment w:val="auto"/>
              <w:rPr>
                <w:rFonts w:hint="eastAsia" w:asciiTheme="majorEastAsia" w:hAnsiTheme="majorEastAsia" w:eastAsiaTheme="majorEastAsia"/>
                <w:color w:val="auto"/>
                <w:sz w:val="24"/>
                <w:highlight w:val="none"/>
              </w:rPr>
            </w:pPr>
          </w:p>
        </w:tc>
      </w:tr>
      <w:tr w14:paraId="356E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475" w:type="pct"/>
            <w:gridSpan w:val="3"/>
            <w:tcBorders>
              <w:bottom w:val="single" w:color="auto" w:sz="4" w:space="0"/>
            </w:tcBorders>
            <w:vAlign w:val="center"/>
          </w:tcPr>
          <w:p w14:paraId="78DBE63A">
            <w:pPr>
              <w:keepNext w:val="0"/>
              <w:keepLines w:val="0"/>
              <w:pageBreakBefore w:val="0"/>
              <w:widowControl w:val="0"/>
              <w:kinsoku/>
              <w:wordWrap/>
              <w:overflowPunct/>
              <w:topLinePunct w:val="0"/>
              <w:autoSpaceDE/>
              <w:autoSpaceDN/>
              <w:bidi w:val="0"/>
              <w:adjustRightInd w:val="0"/>
              <w:snapToGrid w:val="0"/>
              <w:spacing w:line="288" w:lineRule="auto"/>
              <w:ind w:right="-10"/>
              <w:jc w:val="left"/>
              <w:textAlignment w:val="auto"/>
              <w:rPr>
                <w:rFonts w:ascii="Calibri" w:hAnsi="Calibri" w:cs="Times New Roman"/>
                <w:color w:val="auto"/>
                <w:kern w:val="2"/>
                <w:sz w:val="24"/>
                <w:szCs w:val="22"/>
                <w:highlight w:val="none"/>
              </w:rPr>
            </w:pPr>
            <w:r>
              <w:rPr>
                <w:rFonts w:hint="eastAsia" w:ascii="Calibri" w:hAnsi="Calibri" w:cs="Times New Roman"/>
                <w:color w:val="auto"/>
                <w:kern w:val="2"/>
                <w:sz w:val="24"/>
                <w:szCs w:val="22"/>
                <w:highlight w:val="none"/>
              </w:rPr>
              <w:t>评审指标通过标准：供应商必须通过上述全部指标。</w:t>
            </w:r>
          </w:p>
        </w:tc>
        <w:tc>
          <w:tcPr>
            <w:tcW w:w="1524" w:type="pct"/>
            <w:tcBorders>
              <w:bottom w:val="single" w:color="auto" w:sz="4" w:space="0"/>
            </w:tcBorders>
            <w:vAlign w:val="center"/>
          </w:tcPr>
          <w:p w14:paraId="0B25EC08">
            <w:pPr>
              <w:keepNext w:val="0"/>
              <w:keepLines w:val="0"/>
              <w:pageBreakBefore w:val="0"/>
              <w:widowControl w:val="0"/>
              <w:kinsoku/>
              <w:wordWrap/>
              <w:overflowPunct/>
              <w:topLinePunct w:val="0"/>
              <w:autoSpaceDE/>
              <w:autoSpaceDN/>
              <w:bidi w:val="0"/>
              <w:adjustRightInd w:val="0"/>
              <w:snapToGrid w:val="0"/>
              <w:spacing w:line="288" w:lineRule="auto"/>
              <w:ind w:right="-10"/>
              <w:jc w:val="left"/>
              <w:textAlignment w:val="auto"/>
              <w:rPr>
                <w:rFonts w:hint="eastAsia" w:ascii="Calibri" w:hAnsi="Calibri" w:cs="Times New Roman"/>
                <w:color w:val="auto"/>
                <w:kern w:val="2"/>
                <w:sz w:val="24"/>
                <w:szCs w:val="22"/>
                <w:highlight w:val="none"/>
              </w:rPr>
            </w:pPr>
          </w:p>
        </w:tc>
      </w:tr>
    </w:tbl>
    <w:p w14:paraId="24EA0B8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初审指标通过标准：</w:t>
      </w:r>
      <w:r>
        <w:rPr>
          <w:rFonts w:hint="eastAsia" w:asciiTheme="minorEastAsia" w:hAnsiTheme="minorEastAsia" w:eastAsiaTheme="minorEastAsia"/>
          <w:color w:val="auto"/>
          <w:sz w:val="24"/>
          <w:highlight w:val="none"/>
        </w:rPr>
        <w:t>供应商必须通过初审表中的全部评审指标。</w:t>
      </w:r>
    </w:p>
    <w:p w14:paraId="79E6B4C4">
      <w:pPr>
        <w:spacing w:line="360" w:lineRule="auto"/>
        <w:ind w:firstLine="435"/>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2.2综合评分</w:t>
      </w:r>
    </w:p>
    <w:p w14:paraId="573763A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磋商小组按照下表对</w:t>
      </w:r>
      <w:r>
        <w:rPr>
          <w:rFonts w:hint="eastAsia"/>
          <w:color w:val="auto"/>
          <w:sz w:val="24"/>
          <w:highlight w:val="none"/>
        </w:rPr>
        <w:t>进入综合评分的所有供应商的</w:t>
      </w:r>
      <w:r>
        <w:rPr>
          <w:rFonts w:hint="eastAsia" w:asciiTheme="minorEastAsia" w:hAnsiTheme="minorEastAsia" w:eastAsiaTheme="minorEastAsia"/>
          <w:color w:val="auto"/>
          <w:sz w:val="24"/>
          <w:highlight w:val="none"/>
        </w:rPr>
        <w:t>响应文件进行综合评分。</w:t>
      </w:r>
    </w:p>
    <w:p w14:paraId="2544767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本项目综合评分满分为1</w:t>
      </w:r>
      <w:r>
        <w:rPr>
          <w:rFonts w:asciiTheme="minorEastAsia" w:hAnsiTheme="minorEastAsia" w:eastAsiaTheme="minorEastAsia"/>
          <w:color w:val="auto"/>
          <w:sz w:val="24"/>
          <w:highlight w:val="none"/>
        </w:rPr>
        <w:t>00</w:t>
      </w:r>
      <w:r>
        <w:rPr>
          <w:rFonts w:hint="eastAsia" w:asciiTheme="minorEastAsia" w:hAnsiTheme="minorEastAsia" w:eastAsiaTheme="minorEastAsia"/>
          <w:color w:val="auto"/>
          <w:sz w:val="24"/>
          <w:highlight w:val="none"/>
        </w:rPr>
        <w:t>分，其中：技术资信分值占总分值的权重为</w:t>
      </w:r>
      <w:r>
        <w:rPr>
          <w:rFonts w:hint="eastAsia" w:asciiTheme="minorEastAsia" w:hAnsiTheme="minorEastAsia" w:eastAsiaTheme="minorEastAsia"/>
          <w:color w:val="auto"/>
          <w:sz w:val="24"/>
          <w:highlight w:val="none"/>
          <w:u w:val="single"/>
          <w:lang w:val="en-US" w:eastAsia="zh-CN"/>
        </w:rPr>
        <w:t>80</w:t>
      </w:r>
      <w:r>
        <w:rPr>
          <w:rFonts w:asciiTheme="minorEastAsia" w:hAnsiTheme="minorEastAsia" w:eastAsiaTheme="minorEastAsia"/>
          <w:color w:val="auto"/>
          <w:sz w:val="24"/>
          <w:highlight w:val="none"/>
        </w:rPr>
        <w:t>%，价格分值占总分值的权重为</w:t>
      </w:r>
      <w:r>
        <w:rPr>
          <w:rFonts w:hint="eastAsia" w:asciiTheme="minorEastAsia" w:hAnsiTheme="minorEastAsia" w:eastAsiaTheme="minorEastAsia"/>
          <w:color w:val="auto"/>
          <w:sz w:val="24"/>
          <w:highlight w:val="none"/>
          <w:u w:val="single"/>
          <w:lang w:val="en-US" w:eastAsia="zh-CN"/>
        </w:rPr>
        <w:t>20</w:t>
      </w:r>
      <w:r>
        <w:rPr>
          <w:rFonts w:asciiTheme="minorEastAsia" w:hAnsiTheme="minorEastAsia" w:eastAsiaTheme="minorEastAsia"/>
          <w:color w:val="auto"/>
          <w:sz w:val="24"/>
          <w:highlight w:val="none"/>
        </w:rPr>
        <w:t>%。具体评分细则如下：</w:t>
      </w:r>
    </w:p>
    <w:p w14:paraId="2F986942">
      <w:pPr>
        <w:spacing w:line="360" w:lineRule="auto"/>
        <w:ind w:firstLine="435"/>
        <w:rPr>
          <w:rFonts w:asciiTheme="minorEastAsia" w:hAnsiTheme="minorEastAsia" w:eastAsiaTheme="minorEastAsia"/>
          <w:color w:val="auto"/>
          <w:sz w:val="24"/>
          <w:highlight w:val="none"/>
        </w:rPr>
      </w:pPr>
    </w:p>
    <w:tbl>
      <w:tblPr>
        <w:tblStyle w:val="56"/>
        <w:tblW w:w="53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554"/>
        <w:gridCol w:w="5785"/>
        <w:gridCol w:w="1452"/>
      </w:tblGrid>
      <w:tr w14:paraId="1ED7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62" w:type="pct"/>
            <w:tcBorders>
              <w:top w:val="single" w:color="auto" w:sz="4" w:space="0"/>
              <w:left w:val="single" w:color="auto" w:sz="4" w:space="0"/>
              <w:bottom w:val="single" w:color="auto" w:sz="4" w:space="0"/>
              <w:right w:val="single" w:color="auto" w:sz="4" w:space="0"/>
            </w:tcBorders>
            <w:vAlign w:val="center"/>
          </w:tcPr>
          <w:p w14:paraId="6154709D">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类别</w:t>
            </w:r>
          </w:p>
        </w:tc>
        <w:tc>
          <w:tcPr>
            <w:tcW w:w="766" w:type="pct"/>
            <w:tcBorders>
              <w:top w:val="single" w:color="auto" w:sz="4" w:space="0"/>
              <w:left w:val="single" w:color="auto" w:sz="4" w:space="0"/>
              <w:bottom w:val="single" w:color="auto" w:sz="4" w:space="0"/>
              <w:right w:val="single" w:color="auto" w:sz="4" w:space="0"/>
            </w:tcBorders>
            <w:vAlign w:val="center"/>
          </w:tcPr>
          <w:p w14:paraId="19078593">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评分内容</w:t>
            </w:r>
          </w:p>
        </w:tc>
        <w:tc>
          <w:tcPr>
            <w:tcW w:w="2854" w:type="pct"/>
            <w:tcBorders>
              <w:top w:val="single" w:color="auto" w:sz="4" w:space="0"/>
              <w:left w:val="single" w:color="auto" w:sz="4" w:space="0"/>
              <w:bottom w:val="single" w:color="auto" w:sz="4" w:space="0"/>
              <w:right w:val="single" w:color="auto" w:sz="4" w:space="0"/>
            </w:tcBorders>
            <w:vAlign w:val="center"/>
          </w:tcPr>
          <w:p w14:paraId="18C50F36">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评分标准</w:t>
            </w:r>
          </w:p>
        </w:tc>
        <w:tc>
          <w:tcPr>
            <w:tcW w:w="716" w:type="pct"/>
            <w:tcBorders>
              <w:top w:val="single" w:color="auto" w:sz="4" w:space="0"/>
              <w:left w:val="single" w:color="auto" w:sz="4" w:space="0"/>
              <w:bottom w:val="single" w:color="auto" w:sz="4" w:space="0"/>
              <w:right w:val="single" w:color="auto" w:sz="4" w:space="0"/>
            </w:tcBorders>
            <w:vAlign w:val="center"/>
          </w:tcPr>
          <w:p w14:paraId="27CDDEC7">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分值范围</w:t>
            </w:r>
          </w:p>
        </w:tc>
      </w:tr>
      <w:tr w14:paraId="4234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restart"/>
            <w:tcBorders>
              <w:top w:val="single" w:color="auto" w:sz="4" w:space="0"/>
              <w:left w:val="single" w:color="auto" w:sz="4" w:space="0"/>
              <w:right w:val="single" w:color="auto" w:sz="4" w:space="0"/>
            </w:tcBorders>
            <w:vAlign w:val="center"/>
          </w:tcPr>
          <w:p w14:paraId="7F3E2741">
            <w:pPr>
              <w:spacing w:line="24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技术资信分</w:t>
            </w:r>
          </w:p>
          <w:p w14:paraId="62DB8D61">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lang w:val="en-US" w:eastAsia="zh-CN"/>
              </w:rPr>
              <w:t>80</w:t>
            </w:r>
            <w:r>
              <w:rPr>
                <w:rFonts w:hint="eastAsia" w:asciiTheme="minorEastAsia" w:hAnsiTheme="minorEastAsia" w:eastAsiaTheme="minorEastAsia"/>
                <w:color w:val="auto"/>
                <w:sz w:val="24"/>
                <w:highlight w:val="none"/>
              </w:rPr>
              <w:t>分）</w:t>
            </w:r>
          </w:p>
        </w:tc>
        <w:tc>
          <w:tcPr>
            <w:tcW w:w="766" w:type="pct"/>
            <w:tcBorders>
              <w:top w:val="single" w:color="auto" w:sz="4" w:space="0"/>
              <w:left w:val="single" w:color="auto" w:sz="4" w:space="0"/>
              <w:bottom w:val="single" w:color="auto" w:sz="4" w:space="0"/>
              <w:right w:val="single" w:color="auto" w:sz="4" w:space="0"/>
            </w:tcBorders>
            <w:vAlign w:val="center"/>
          </w:tcPr>
          <w:p w14:paraId="3B3EA6FB">
            <w:pPr>
              <w:spacing w:line="240" w:lineRule="auto"/>
              <w:jc w:val="center"/>
              <w:rPr>
                <w:rFonts w:ascii="Times New Roman" w:hAnsi="Times New Roman"/>
                <w:b/>
                <w:color w:val="auto"/>
                <w:kern w:val="0"/>
                <w:sz w:val="24"/>
                <w:szCs w:val="24"/>
                <w:highlight w:val="none"/>
              </w:rPr>
            </w:pPr>
            <w:r>
              <w:rPr>
                <w:rFonts w:ascii="Times New Roman" w:hAnsi="Times New Roman"/>
                <w:b/>
                <w:color w:val="auto"/>
                <w:kern w:val="0"/>
                <w:sz w:val="24"/>
                <w:szCs w:val="24"/>
                <w:highlight w:val="none"/>
              </w:rPr>
              <w:t>供应商业绩</w:t>
            </w:r>
          </w:p>
          <w:p w14:paraId="7B48B7E3">
            <w:pPr>
              <w:spacing w:line="240" w:lineRule="auto"/>
              <w:jc w:val="center"/>
              <w:rPr>
                <w:rFonts w:asciiTheme="minorEastAsia" w:hAnsiTheme="minorEastAsia" w:eastAsiaTheme="minorEastAsia"/>
                <w:bCs/>
                <w:color w:val="auto"/>
                <w:sz w:val="24"/>
                <w:highlight w:val="none"/>
              </w:rPr>
            </w:pP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15</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6CB8071E">
            <w:pPr>
              <w:widowControl/>
              <w:adjustRightInd w:val="0"/>
              <w:snapToGrid w:val="0"/>
              <w:spacing w:line="240" w:lineRule="auto"/>
              <w:rPr>
                <w:rFonts w:ascii="Times New Roman" w:hAnsi="Times New Roman"/>
                <w:bCs/>
                <w:color w:val="auto"/>
                <w:sz w:val="24"/>
                <w:szCs w:val="24"/>
                <w:highlight w:val="none"/>
              </w:rPr>
            </w:pPr>
            <w:r>
              <w:rPr>
                <w:rFonts w:hint="eastAsia" w:ascii="Times New Roman" w:hAnsi="Times New Roman"/>
                <w:bCs/>
                <w:color w:val="auto"/>
                <w:sz w:val="24"/>
                <w:szCs w:val="24"/>
                <w:highlight w:val="none"/>
                <w:lang w:val="en-US" w:eastAsia="zh-CN"/>
              </w:rPr>
              <w:t>供应商</w:t>
            </w:r>
            <w:r>
              <w:rPr>
                <w:rFonts w:hint="eastAsia" w:ascii="Times New Roman" w:hAnsi="Times New Roman"/>
                <w:bCs/>
                <w:color w:val="auto"/>
                <w:sz w:val="24"/>
                <w:szCs w:val="24"/>
                <w:highlight w:val="none"/>
              </w:rPr>
              <w:t>自2</w:t>
            </w:r>
            <w:r>
              <w:rPr>
                <w:rFonts w:hint="default" w:ascii="Times New Roman" w:hAnsi="Times New Roman"/>
                <w:bCs/>
                <w:color w:val="auto"/>
                <w:sz w:val="24"/>
                <w:szCs w:val="24"/>
                <w:highlight w:val="none"/>
                <w:lang w:val="en-US"/>
              </w:rPr>
              <w:t>02</w:t>
            </w:r>
            <w:r>
              <w:rPr>
                <w:rFonts w:hint="eastAsia" w:ascii="Times New Roman" w:hAnsi="Times New Roman"/>
                <w:bCs/>
                <w:color w:val="auto"/>
                <w:sz w:val="24"/>
                <w:szCs w:val="24"/>
                <w:highlight w:val="none"/>
                <w:lang w:val="en-US" w:eastAsia="zh-CN"/>
              </w:rPr>
              <w:t>3</w:t>
            </w:r>
            <w:r>
              <w:rPr>
                <w:rFonts w:hint="eastAsia" w:ascii="Times New Roman" w:hAnsi="Times New Roman"/>
                <w:bCs/>
                <w:color w:val="auto"/>
                <w:sz w:val="24"/>
                <w:szCs w:val="24"/>
                <w:highlight w:val="none"/>
              </w:rPr>
              <w:t>年1月</w:t>
            </w:r>
            <w:r>
              <w:rPr>
                <w:rFonts w:hint="eastAsia" w:ascii="Times New Roman" w:hAnsi="Times New Roman"/>
                <w:bCs/>
                <w:color w:val="auto"/>
                <w:sz w:val="24"/>
                <w:szCs w:val="24"/>
                <w:highlight w:val="none"/>
                <w:lang w:val="en-US" w:eastAsia="zh-CN"/>
              </w:rPr>
              <w:t>1</w:t>
            </w:r>
            <w:r>
              <w:rPr>
                <w:rFonts w:hint="eastAsia" w:ascii="Times New Roman" w:hAnsi="Times New Roman"/>
                <w:bCs/>
                <w:color w:val="auto"/>
                <w:sz w:val="24"/>
                <w:szCs w:val="24"/>
                <w:highlight w:val="none"/>
              </w:rPr>
              <w:t>日以来（以合同签订时间为准），每提供一个</w:t>
            </w:r>
            <w:r>
              <w:rPr>
                <w:rFonts w:hint="eastAsia" w:ascii="Times New Roman" w:hAnsi="Times New Roman"/>
                <w:bCs/>
                <w:color w:val="auto"/>
                <w:sz w:val="24"/>
                <w:szCs w:val="24"/>
                <w:highlight w:val="none"/>
                <w:lang w:val="en-US" w:eastAsia="zh-CN"/>
              </w:rPr>
              <w:t>水利工程</w:t>
            </w:r>
            <w:r>
              <w:rPr>
                <w:rStyle w:val="271"/>
                <w:rFonts w:hint="default" w:ascii="Times New Roman" w:hAnsi="Times New Roman" w:eastAsia="宋体" w:cs="Times New Roman"/>
                <w:b w:val="0"/>
                <w:bCs w:val="0"/>
                <w:color w:val="auto"/>
                <w:sz w:val="24"/>
                <w:szCs w:val="24"/>
                <w:highlight w:val="none"/>
                <w:lang w:val="en-US" w:eastAsia="zh-CN"/>
              </w:rPr>
              <w:t>施工</w:t>
            </w:r>
            <w:r>
              <w:rPr>
                <w:rStyle w:val="271"/>
                <w:rFonts w:hint="default" w:ascii="Times New Roman" w:hAnsi="Times New Roman" w:eastAsia="宋体" w:cs="Times New Roman"/>
                <w:b w:val="0"/>
                <w:bCs w:val="0"/>
                <w:color w:val="auto"/>
                <w:sz w:val="24"/>
                <w:szCs w:val="24"/>
                <w:highlight w:val="none"/>
              </w:rPr>
              <w:t>业绩</w:t>
            </w:r>
            <w:r>
              <w:rPr>
                <w:rFonts w:hint="eastAsia" w:ascii="Times New Roman" w:hAnsi="Times New Roman"/>
                <w:bCs/>
                <w:color w:val="auto"/>
                <w:sz w:val="24"/>
                <w:szCs w:val="24"/>
                <w:highlight w:val="none"/>
              </w:rPr>
              <w:t>得5分，满分</w:t>
            </w:r>
            <w:r>
              <w:rPr>
                <w:rFonts w:hint="eastAsia" w:ascii="Times New Roman" w:hAnsi="Times New Roman"/>
                <w:bCs/>
                <w:color w:val="auto"/>
                <w:sz w:val="24"/>
                <w:szCs w:val="24"/>
                <w:highlight w:val="none"/>
                <w:lang w:val="en-US" w:eastAsia="zh-CN"/>
              </w:rPr>
              <w:t>15</w:t>
            </w:r>
            <w:r>
              <w:rPr>
                <w:rFonts w:hint="eastAsia" w:ascii="Times New Roman" w:hAnsi="Times New Roman"/>
                <w:bCs/>
                <w:color w:val="auto"/>
                <w:sz w:val="24"/>
                <w:szCs w:val="24"/>
                <w:highlight w:val="none"/>
              </w:rPr>
              <w:t>分；</w:t>
            </w:r>
          </w:p>
          <w:p w14:paraId="4E246FDC">
            <w:pPr>
              <w:spacing w:line="240" w:lineRule="auto"/>
              <w:jc w:val="left"/>
              <w:rPr>
                <w:rFonts w:asciiTheme="minorEastAsia" w:hAnsiTheme="minorEastAsia" w:eastAsiaTheme="minorEastAsia"/>
                <w:bCs/>
                <w:color w:val="auto"/>
                <w:sz w:val="24"/>
                <w:highlight w:val="none"/>
              </w:rPr>
            </w:pPr>
            <w:r>
              <w:rPr>
                <w:rStyle w:val="271"/>
                <w:rFonts w:hint="eastAsia" w:ascii="Times New Roman" w:hAnsi="Times New Roman"/>
                <w:b/>
                <w:bCs/>
                <w:color w:val="auto"/>
                <w:sz w:val="24"/>
                <w:szCs w:val="24"/>
                <w:highlight w:val="none"/>
                <w:lang w:val="en-US" w:eastAsia="zh-CN"/>
              </w:rPr>
              <w:t>注：响</w:t>
            </w:r>
            <w:r>
              <w:rPr>
                <w:rStyle w:val="271"/>
                <w:rFonts w:hint="eastAsia" w:ascii="Times New Roman" w:hAnsi="Times New Roman" w:eastAsia="宋体" w:cs="Times New Roman"/>
                <w:b/>
                <w:bCs/>
                <w:color w:val="auto"/>
                <w:sz w:val="24"/>
                <w:szCs w:val="24"/>
                <w:highlight w:val="none"/>
                <w:lang w:val="en-US" w:eastAsia="zh-CN"/>
              </w:rPr>
              <w:t>应文件中须同时提供①合同；②合同工程完工验收鉴定书（或合同工程验收鉴定书或竣工验收鉴定书或竣工验收报告）</w:t>
            </w:r>
            <w:r>
              <w:rPr>
                <w:rStyle w:val="271"/>
                <w:rFonts w:hint="default" w:ascii="Times New Roman" w:hAnsi="Times New Roman" w:eastAsia="宋体" w:cs="Times New Roman"/>
                <w:b/>
                <w:bCs/>
                <w:color w:val="auto"/>
                <w:sz w:val="24"/>
                <w:szCs w:val="24"/>
                <w:highlight w:val="none"/>
                <w:lang w:val="en-US" w:eastAsia="zh-CN"/>
              </w:rPr>
              <w:t>扫描件</w:t>
            </w:r>
            <w:r>
              <w:rPr>
                <w:rStyle w:val="271"/>
                <w:rFonts w:hint="eastAsia" w:ascii="Times New Roman" w:hAnsi="Times New Roman" w:eastAsia="宋体" w:cs="Times New Roman"/>
                <w:b/>
                <w:bCs/>
                <w:color w:val="auto"/>
                <w:sz w:val="24"/>
                <w:szCs w:val="24"/>
                <w:highlight w:val="none"/>
                <w:lang w:val="en-US" w:eastAsia="zh-CN"/>
              </w:rPr>
              <w:t>。如上述材料不能体现业绩时间、项目内容等关键评审因素的，可补充提供合同甲方或行政主管部门出具的证明文件。</w:t>
            </w:r>
          </w:p>
        </w:tc>
        <w:tc>
          <w:tcPr>
            <w:tcW w:w="716" w:type="pct"/>
            <w:tcBorders>
              <w:top w:val="single" w:color="auto" w:sz="4" w:space="0"/>
              <w:left w:val="single" w:color="auto" w:sz="4" w:space="0"/>
              <w:bottom w:val="single" w:color="auto" w:sz="4" w:space="0"/>
              <w:right w:val="single" w:color="auto" w:sz="4" w:space="0"/>
            </w:tcBorders>
            <w:vAlign w:val="center"/>
          </w:tcPr>
          <w:p w14:paraId="33313F54">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0-15分</w:t>
            </w:r>
          </w:p>
        </w:tc>
      </w:tr>
      <w:tr w14:paraId="7FEF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11769134">
            <w:pPr>
              <w:spacing w:line="240" w:lineRule="auto"/>
              <w:ind w:firstLine="435"/>
              <w:jc w:val="center"/>
              <w:rPr>
                <w:rFonts w:asciiTheme="minorEastAsia" w:hAnsiTheme="minorEastAsia" w:eastAsiaTheme="minorEastAsia"/>
                <w:b/>
                <w:bCs/>
                <w:color w:val="auto"/>
                <w:sz w:val="24"/>
                <w:highlight w:val="none"/>
              </w:rPr>
            </w:pPr>
          </w:p>
        </w:tc>
        <w:tc>
          <w:tcPr>
            <w:tcW w:w="766" w:type="pct"/>
            <w:tcBorders>
              <w:top w:val="single" w:color="auto" w:sz="4" w:space="0"/>
              <w:left w:val="single" w:color="auto" w:sz="4" w:space="0"/>
              <w:bottom w:val="single" w:color="auto" w:sz="4" w:space="0"/>
              <w:right w:val="single" w:color="auto" w:sz="4" w:space="0"/>
            </w:tcBorders>
            <w:vAlign w:val="center"/>
          </w:tcPr>
          <w:p w14:paraId="5DB90A81">
            <w:pPr>
              <w:spacing w:line="240" w:lineRule="auto"/>
              <w:jc w:val="center"/>
              <w:rPr>
                <w:rFonts w:asciiTheme="minorEastAsia" w:hAnsiTheme="minorEastAsia" w:eastAsiaTheme="minorEastAsia"/>
                <w:color w:val="auto"/>
                <w:sz w:val="24"/>
                <w:highlight w:val="none"/>
              </w:rPr>
            </w:pPr>
            <w:r>
              <w:rPr>
                <w:rFonts w:hint="eastAsia" w:ascii="Times New Roman" w:hAnsi="Times New Roman"/>
                <w:b/>
                <w:bCs/>
                <w:color w:val="auto"/>
                <w:sz w:val="24"/>
                <w:szCs w:val="24"/>
                <w:highlight w:val="none"/>
                <w:lang w:val="en-US" w:eastAsia="zh-CN"/>
              </w:rPr>
              <w:t>供应商认证证书</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3</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36BEA030">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供应商具有经中国国家认证认可监督管理委员会认证机构颁发的有效的下列认证的：</w:t>
            </w:r>
          </w:p>
          <w:p w14:paraId="187DF9CA">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(1）质量管理体系认证；</w:t>
            </w:r>
          </w:p>
          <w:p w14:paraId="0E35CA49">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(2）环境管理体系认证；</w:t>
            </w:r>
          </w:p>
          <w:p w14:paraId="2A5DA35C">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(3）职业健康安全管理体系认证；</w:t>
            </w:r>
          </w:p>
          <w:p w14:paraId="1EE09617">
            <w:pPr>
              <w:spacing w:line="240" w:lineRule="auto"/>
              <w:jc w:val="left"/>
              <w:rPr>
                <w:rFonts w:cs="宋体" w:asciiTheme="minorEastAsia" w:hAnsiTheme="minorEastAsia" w:eastAsiaTheme="minorEastAsia"/>
                <w:bCs/>
                <w:color w:val="auto"/>
                <w:sz w:val="24"/>
                <w:szCs w:val="24"/>
                <w:highlight w:val="none"/>
              </w:rPr>
            </w:pPr>
            <w:r>
              <w:rPr>
                <w:rFonts w:hint="eastAsia" w:cs="宋体" w:asciiTheme="minorEastAsia" w:hAnsiTheme="minorEastAsia" w:eastAsiaTheme="minorEastAsia"/>
                <w:bCs/>
                <w:color w:val="auto"/>
                <w:sz w:val="24"/>
                <w:szCs w:val="24"/>
                <w:highlight w:val="none"/>
              </w:rPr>
              <w:t>每提供1个得</w:t>
            </w:r>
            <w:r>
              <w:rPr>
                <w:rFonts w:hint="eastAsia" w:cs="宋体" w:asciiTheme="minorEastAsia" w:hAnsiTheme="minorEastAsia" w:eastAsiaTheme="minorEastAsia"/>
                <w:bCs/>
                <w:color w:val="auto"/>
                <w:sz w:val="24"/>
                <w:szCs w:val="24"/>
                <w:highlight w:val="none"/>
                <w:lang w:val="en-US" w:eastAsia="zh-CN"/>
              </w:rPr>
              <w:t>1</w:t>
            </w:r>
            <w:r>
              <w:rPr>
                <w:rFonts w:hint="eastAsia" w:cs="宋体" w:asciiTheme="minorEastAsia" w:hAnsiTheme="minorEastAsia" w:eastAsiaTheme="minorEastAsia"/>
                <w:bCs/>
                <w:color w:val="auto"/>
                <w:sz w:val="24"/>
                <w:szCs w:val="24"/>
                <w:highlight w:val="none"/>
              </w:rPr>
              <w:t>分，满分</w:t>
            </w:r>
            <w:r>
              <w:rPr>
                <w:rFonts w:hint="eastAsia" w:cs="宋体" w:asciiTheme="minorEastAsia" w:hAnsiTheme="minorEastAsia" w:eastAsiaTheme="minorEastAsia"/>
                <w:bCs/>
                <w:color w:val="auto"/>
                <w:sz w:val="24"/>
                <w:szCs w:val="24"/>
                <w:highlight w:val="none"/>
                <w:lang w:val="en-US" w:eastAsia="zh-CN"/>
              </w:rPr>
              <w:t>3</w:t>
            </w:r>
            <w:r>
              <w:rPr>
                <w:rFonts w:hint="eastAsia" w:cs="宋体" w:asciiTheme="minorEastAsia" w:hAnsiTheme="minorEastAsia" w:eastAsiaTheme="minorEastAsia"/>
                <w:bCs/>
                <w:color w:val="auto"/>
                <w:sz w:val="24"/>
                <w:szCs w:val="24"/>
                <w:highlight w:val="none"/>
              </w:rPr>
              <w:t>分。</w:t>
            </w:r>
          </w:p>
          <w:p w14:paraId="5AD00991">
            <w:pPr>
              <w:spacing w:line="240" w:lineRule="auto"/>
              <w:jc w:val="left"/>
              <w:rPr>
                <w:rFonts w:asciiTheme="minorEastAsia" w:hAnsiTheme="minorEastAsia" w:eastAsiaTheme="minorEastAsia"/>
                <w:color w:val="auto"/>
                <w:sz w:val="24"/>
                <w:highlight w:val="none"/>
              </w:rPr>
            </w:pPr>
            <w:r>
              <w:rPr>
                <w:rFonts w:hint="eastAsia" w:cs="宋体" w:asciiTheme="minorEastAsia" w:hAnsiTheme="minorEastAsia" w:eastAsiaTheme="minorEastAsia"/>
                <w:b/>
                <w:color w:val="auto"/>
                <w:sz w:val="24"/>
                <w:szCs w:val="24"/>
                <w:highlight w:val="none"/>
              </w:rPr>
              <w:t>注：响应文件中须提供以上认证证书的扫描件及中国国家认证认可监督管理委员会网站查询截图，否则不得分。</w:t>
            </w:r>
          </w:p>
        </w:tc>
        <w:tc>
          <w:tcPr>
            <w:tcW w:w="716" w:type="pct"/>
            <w:tcBorders>
              <w:top w:val="single" w:color="auto" w:sz="4" w:space="0"/>
              <w:left w:val="single" w:color="auto" w:sz="4" w:space="0"/>
              <w:bottom w:val="single" w:color="auto" w:sz="4" w:space="0"/>
              <w:right w:val="single" w:color="auto" w:sz="4" w:space="0"/>
            </w:tcBorders>
            <w:vAlign w:val="center"/>
          </w:tcPr>
          <w:p w14:paraId="7EF3869F">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3</w:t>
            </w:r>
            <w:r>
              <w:rPr>
                <w:rFonts w:hint="eastAsia" w:ascii="宋体" w:hAnsi="宋体" w:eastAsia="宋体"/>
                <w:b/>
                <w:bCs/>
                <w:color w:val="auto"/>
                <w:sz w:val="24"/>
                <w:szCs w:val="24"/>
                <w:highlight w:val="none"/>
                <w:lang w:val="en-US" w:eastAsia="zh-CN"/>
              </w:rPr>
              <w:t>分</w:t>
            </w:r>
          </w:p>
        </w:tc>
      </w:tr>
      <w:tr w14:paraId="4FB5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2" w:type="pct"/>
            <w:vMerge w:val="continue"/>
            <w:tcBorders>
              <w:left w:val="single" w:color="auto" w:sz="4" w:space="0"/>
              <w:right w:val="single" w:color="auto" w:sz="4" w:space="0"/>
            </w:tcBorders>
            <w:vAlign w:val="center"/>
          </w:tcPr>
          <w:p w14:paraId="67F1B76C">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right w:val="single" w:color="auto" w:sz="4" w:space="0"/>
            </w:tcBorders>
            <w:vAlign w:val="center"/>
          </w:tcPr>
          <w:p w14:paraId="068644D7">
            <w:pPr>
              <w:spacing w:line="240" w:lineRule="auto"/>
              <w:jc w:val="center"/>
              <w:rPr>
                <w:rFonts w:asciiTheme="minorEastAsia" w:hAnsiTheme="minorEastAsia" w:eastAsiaTheme="minorEastAsia"/>
                <w:color w:val="auto"/>
                <w:sz w:val="24"/>
                <w:highlight w:val="none"/>
              </w:rPr>
            </w:pPr>
            <w:r>
              <w:rPr>
                <w:rStyle w:val="271"/>
                <w:rFonts w:hint="eastAsia" w:ascii="Times New Roman" w:hAnsi="Times New Roman" w:cs="Times New Roman"/>
                <w:b/>
                <w:bCs/>
                <w:color w:val="auto"/>
                <w:sz w:val="24"/>
                <w:szCs w:val="24"/>
                <w:highlight w:val="none"/>
                <w:lang w:eastAsia="zh-CN"/>
              </w:rPr>
              <w:t>项目经理</w:t>
            </w:r>
            <w:r>
              <w:rPr>
                <w:rStyle w:val="271"/>
                <w:rFonts w:hint="eastAsia" w:ascii="Times New Roman" w:hAnsi="Times New Roman" w:cs="Times New Roman"/>
                <w:b/>
                <w:bCs/>
                <w:color w:val="auto"/>
                <w:sz w:val="24"/>
                <w:szCs w:val="24"/>
                <w:highlight w:val="none"/>
                <w:lang w:val="en-US" w:eastAsia="zh-CN"/>
              </w:rPr>
              <w:t>实力</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14</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shd w:val="clear" w:color="auto" w:fill="auto"/>
            <w:vAlign w:val="center"/>
          </w:tcPr>
          <w:p w14:paraId="58B315C8">
            <w:pPr>
              <w:widowControl/>
              <w:adjustRightInd w:val="0"/>
              <w:snapToGrid w:val="0"/>
              <w:spacing w:line="240" w:lineRule="auto"/>
              <w:rPr>
                <w:rStyle w:val="271"/>
                <w:rFonts w:hint="eastAsia" w:ascii="Times New Roman" w:hAnsi="Times New Roman"/>
                <w:color w:val="auto"/>
                <w:sz w:val="24"/>
                <w:szCs w:val="24"/>
                <w:highlight w:val="none"/>
                <w:lang w:eastAsia="zh-CN"/>
              </w:rPr>
            </w:pPr>
            <w:r>
              <w:rPr>
                <w:rStyle w:val="271"/>
                <w:rFonts w:hint="eastAsia" w:ascii="Times New Roman" w:hAnsi="Times New Roman"/>
                <w:color w:val="auto"/>
                <w:sz w:val="24"/>
                <w:szCs w:val="24"/>
                <w:highlight w:val="none"/>
                <w:lang w:eastAsia="zh-CN"/>
              </w:rPr>
              <w:t>（</w:t>
            </w:r>
            <w:r>
              <w:rPr>
                <w:rStyle w:val="271"/>
                <w:rFonts w:hint="eastAsia" w:ascii="Times New Roman" w:hAnsi="Times New Roman"/>
                <w:color w:val="auto"/>
                <w:sz w:val="24"/>
                <w:szCs w:val="24"/>
                <w:highlight w:val="none"/>
                <w:lang w:val="en-US" w:eastAsia="zh-CN"/>
              </w:rPr>
              <w:t>1）供应商拟任</w:t>
            </w:r>
            <w:r>
              <w:rPr>
                <w:rStyle w:val="271"/>
                <w:rFonts w:hint="eastAsia" w:ascii="Times New Roman" w:hAnsi="Times New Roman"/>
                <w:color w:val="auto"/>
                <w:sz w:val="24"/>
                <w:szCs w:val="24"/>
                <w:highlight w:val="none"/>
                <w:lang w:eastAsia="zh-CN"/>
              </w:rPr>
              <w:t>项目经理</w:t>
            </w:r>
            <w:r>
              <w:rPr>
                <w:rStyle w:val="271"/>
                <w:rFonts w:hint="eastAsia" w:ascii="Times New Roman" w:hAnsi="Times New Roman"/>
                <w:color w:val="auto"/>
                <w:sz w:val="24"/>
                <w:szCs w:val="24"/>
                <w:highlight w:val="none"/>
                <w:lang w:val="en-US" w:eastAsia="zh-CN"/>
              </w:rPr>
              <w:t>每</w:t>
            </w:r>
            <w:r>
              <w:rPr>
                <w:rStyle w:val="271"/>
                <w:rFonts w:ascii="Times New Roman" w:hAnsi="Times New Roman"/>
                <w:color w:val="auto"/>
                <w:sz w:val="24"/>
                <w:szCs w:val="24"/>
                <w:highlight w:val="none"/>
              </w:rPr>
              <w:t>具有</w:t>
            </w:r>
            <w:r>
              <w:rPr>
                <w:rStyle w:val="271"/>
                <w:rFonts w:hint="eastAsia" w:ascii="Times New Roman" w:hAnsi="Times New Roman"/>
                <w:color w:val="auto"/>
                <w:sz w:val="24"/>
                <w:szCs w:val="24"/>
                <w:highlight w:val="none"/>
                <w:lang w:val="en-US" w:eastAsia="zh-CN"/>
              </w:rPr>
              <w:t>一个水利工程</w:t>
            </w:r>
            <w:r>
              <w:rPr>
                <w:rStyle w:val="271"/>
                <w:rFonts w:hint="default" w:ascii="Times New Roman" w:hAnsi="Times New Roman" w:eastAsia="宋体" w:cs="Times New Roman"/>
                <w:b w:val="0"/>
                <w:bCs w:val="0"/>
                <w:color w:val="auto"/>
                <w:sz w:val="24"/>
                <w:szCs w:val="24"/>
                <w:highlight w:val="none"/>
                <w:lang w:val="en-US" w:eastAsia="zh-CN"/>
              </w:rPr>
              <w:t>项目</w:t>
            </w:r>
            <w:r>
              <w:rPr>
                <w:rStyle w:val="271"/>
                <w:rFonts w:hint="eastAsia" w:ascii="Times New Roman" w:hAnsi="Times New Roman" w:eastAsia="宋体" w:cs="Times New Roman"/>
                <w:b w:val="0"/>
                <w:bCs w:val="0"/>
                <w:color w:val="auto"/>
                <w:sz w:val="24"/>
                <w:szCs w:val="24"/>
                <w:highlight w:val="none"/>
                <w:lang w:val="en-US" w:eastAsia="zh-CN"/>
              </w:rPr>
              <w:t>经理</w:t>
            </w:r>
            <w:r>
              <w:rPr>
                <w:rStyle w:val="271"/>
                <w:rFonts w:hint="eastAsia" w:ascii="Times New Roman" w:hAnsi="Times New Roman" w:cs="Times New Roman"/>
                <w:b w:val="0"/>
                <w:bCs w:val="0"/>
                <w:color w:val="auto"/>
                <w:sz w:val="24"/>
                <w:szCs w:val="24"/>
                <w:highlight w:val="none"/>
                <w:lang w:val="en-US" w:eastAsia="zh-CN"/>
              </w:rPr>
              <w:t>(或技术负责人）</w:t>
            </w:r>
            <w:r>
              <w:rPr>
                <w:rStyle w:val="271"/>
                <w:rFonts w:hint="default" w:ascii="Times New Roman" w:hAnsi="Times New Roman" w:eastAsia="宋体" w:cs="Times New Roman"/>
                <w:b w:val="0"/>
                <w:bCs w:val="0"/>
                <w:color w:val="auto"/>
                <w:sz w:val="24"/>
                <w:szCs w:val="24"/>
                <w:highlight w:val="none"/>
                <w:lang w:val="en-US" w:eastAsia="zh-CN"/>
              </w:rPr>
              <w:t>施工</w:t>
            </w:r>
            <w:r>
              <w:rPr>
                <w:rStyle w:val="271"/>
                <w:rFonts w:hint="default" w:ascii="Times New Roman" w:hAnsi="Times New Roman" w:eastAsia="宋体" w:cs="Times New Roman"/>
                <w:b w:val="0"/>
                <w:bCs w:val="0"/>
                <w:color w:val="auto"/>
                <w:sz w:val="24"/>
                <w:szCs w:val="24"/>
                <w:highlight w:val="none"/>
              </w:rPr>
              <w:t>业绩</w:t>
            </w:r>
            <w:r>
              <w:rPr>
                <w:rStyle w:val="271"/>
                <w:rFonts w:hint="eastAsia" w:ascii="Times New Roman" w:hAnsi="Times New Roman"/>
                <w:color w:val="auto"/>
                <w:sz w:val="24"/>
                <w:szCs w:val="24"/>
                <w:highlight w:val="none"/>
                <w:lang w:val="en-US" w:eastAsia="zh-CN"/>
              </w:rPr>
              <w:t>得5</w:t>
            </w:r>
            <w:r>
              <w:rPr>
                <w:rStyle w:val="271"/>
                <w:rFonts w:ascii="Times New Roman" w:hAnsi="Times New Roman"/>
                <w:color w:val="auto"/>
                <w:sz w:val="24"/>
                <w:szCs w:val="24"/>
                <w:highlight w:val="none"/>
              </w:rPr>
              <w:t>分，最多得</w:t>
            </w:r>
            <w:r>
              <w:rPr>
                <w:rStyle w:val="271"/>
                <w:rFonts w:hint="eastAsia" w:ascii="Times New Roman" w:hAnsi="Times New Roman"/>
                <w:color w:val="auto"/>
                <w:sz w:val="24"/>
                <w:szCs w:val="24"/>
                <w:highlight w:val="none"/>
                <w:lang w:val="en-US" w:eastAsia="zh-CN"/>
              </w:rPr>
              <w:t>10</w:t>
            </w:r>
            <w:r>
              <w:rPr>
                <w:rStyle w:val="271"/>
                <w:rFonts w:ascii="Times New Roman" w:hAnsi="Times New Roman"/>
                <w:color w:val="auto"/>
                <w:sz w:val="24"/>
                <w:szCs w:val="24"/>
                <w:highlight w:val="none"/>
              </w:rPr>
              <w:t>分</w:t>
            </w:r>
            <w:r>
              <w:rPr>
                <w:rStyle w:val="271"/>
                <w:rFonts w:hint="eastAsia" w:ascii="Times New Roman" w:hAnsi="Times New Roman"/>
                <w:color w:val="auto"/>
                <w:sz w:val="24"/>
                <w:szCs w:val="24"/>
                <w:highlight w:val="none"/>
                <w:lang w:eastAsia="zh-CN"/>
              </w:rPr>
              <w:t>。</w:t>
            </w:r>
          </w:p>
          <w:p w14:paraId="0A9808B7">
            <w:pPr>
              <w:spacing w:line="240" w:lineRule="auto"/>
              <w:jc w:val="left"/>
              <w:rPr>
                <w:rFonts w:asciiTheme="minorEastAsia" w:hAnsiTheme="minorEastAsia" w:eastAsiaTheme="minorEastAsia" w:cstheme="minorBidi"/>
                <w:color w:val="auto"/>
                <w:sz w:val="24"/>
                <w:highlight w:val="none"/>
                <w:lang w:val="en-US" w:eastAsia="zh-CN" w:bidi="ar-SA"/>
              </w:rPr>
            </w:pPr>
            <w:r>
              <w:rPr>
                <w:rStyle w:val="271"/>
                <w:rFonts w:hint="eastAsia" w:ascii="Times New Roman" w:hAnsi="Times New Roman"/>
                <w:b/>
                <w:bCs/>
                <w:color w:val="auto"/>
                <w:sz w:val="24"/>
                <w:szCs w:val="24"/>
                <w:highlight w:val="none"/>
                <w:lang w:val="en-US" w:eastAsia="zh-CN"/>
              </w:rPr>
              <w:t>注：响应文件中须同时提供①合同；②</w:t>
            </w:r>
            <w:r>
              <w:rPr>
                <w:rStyle w:val="271"/>
                <w:rFonts w:hint="eastAsia" w:ascii="Times New Roman" w:hAnsi="Times New Roman" w:eastAsia="宋体" w:cs="Times New Roman"/>
                <w:b/>
                <w:bCs/>
                <w:color w:val="auto"/>
                <w:sz w:val="24"/>
                <w:szCs w:val="24"/>
                <w:highlight w:val="none"/>
                <w:lang w:val="en-US" w:eastAsia="zh-CN"/>
              </w:rPr>
              <w:t>合同工程完工验收鉴定书（或合同工程验收鉴定书或竣工验收鉴定书或竣工验收报告）</w:t>
            </w:r>
            <w:r>
              <w:rPr>
                <w:rStyle w:val="271"/>
                <w:rFonts w:hint="default" w:ascii="Times New Roman" w:hAnsi="Times New Roman" w:eastAsia="宋体" w:cs="Times New Roman"/>
                <w:b/>
                <w:bCs/>
                <w:color w:val="auto"/>
                <w:sz w:val="24"/>
                <w:szCs w:val="24"/>
                <w:highlight w:val="none"/>
                <w:lang w:val="en-US" w:eastAsia="zh-CN"/>
              </w:rPr>
              <w:t>扫描件</w:t>
            </w:r>
            <w:r>
              <w:rPr>
                <w:rStyle w:val="271"/>
                <w:rFonts w:hint="eastAsia" w:ascii="Times New Roman" w:hAnsi="Times New Roman"/>
                <w:b/>
                <w:bCs/>
                <w:color w:val="auto"/>
                <w:sz w:val="24"/>
                <w:szCs w:val="24"/>
                <w:highlight w:val="none"/>
                <w:lang w:val="en-US" w:eastAsia="zh-CN"/>
              </w:rPr>
              <w:t>。如上述材料不能体现项目内容、项目经理姓名等关键评审因素的，可补充提供合同甲方或行</w:t>
            </w:r>
            <w:r>
              <w:rPr>
                <w:rStyle w:val="271"/>
                <w:rFonts w:hint="eastAsia" w:ascii="Times New Roman" w:hAnsi="Times New Roman" w:eastAsia="宋体" w:cs="Times New Roman"/>
                <w:b/>
                <w:bCs/>
                <w:color w:val="auto"/>
                <w:sz w:val="24"/>
                <w:szCs w:val="24"/>
                <w:highlight w:val="none"/>
                <w:lang w:val="en-US" w:eastAsia="zh-CN"/>
              </w:rPr>
              <w:t>政主管部门出具的证明文件。③</w:t>
            </w:r>
            <w:r>
              <w:rPr>
                <w:rStyle w:val="271"/>
                <w:rFonts w:hint="default" w:ascii="Times New Roman" w:hAnsi="Times New Roman" w:eastAsia="宋体" w:cs="Times New Roman"/>
                <w:b/>
                <w:bCs/>
                <w:color w:val="auto"/>
                <w:sz w:val="24"/>
                <w:szCs w:val="24"/>
                <w:highlight w:val="none"/>
                <w:lang w:val="en-US" w:eastAsia="zh-CN"/>
              </w:rPr>
              <w:t>对于个人业绩，</w:t>
            </w:r>
            <w:r>
              <w:rPr>
                <w:rStyle w:val="271"/>
                <w:rFonts w:hint="eastAsia" w:ascii="Times New Roman" w:hAnsi="Times New Roman" w:eastAsia="宋体" w:cs="Times New Roman"/>
                <w:b/>
                <w:bCs/>
                <w:color w:val="auto"/>
                <w:sz w:val="24"/>
                <w:szCs w:val="24"/>
                <w:highlight w:val="none"/>
                <w:lang w:val="en-US" w:eastAsia="zh-CN"/>
              </w:rPr>
              <w:t>在合同履行过程中项目经理、技术负责人发生变更的，响应文件中应附发包人同意变更的证明材料。</w:t>
            </w:r>
          </w:p>
        </w:tc>
        <w:tc>
          <w:tcPr>
            <w:tcW w:w="716" w:type="pct"/>
            <w:vMerge w:val="restart"/>
            <w:tcBorders>
              <w:top w:val="single" w:color="auto" w:sz="4" w:space="0"/>
              <w:left w:val="single" w:color="auto" w:sz="4" w:space="0"/>
              <w:right w:val="single" w:color="auto" w:sz="4" w:space="0"/>
            </w:tcBorders>
            <w:vAlign w:val="center"/>
          </w:tcPr>
          <w:p w14:paraId="261E99F8">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0-14分</w:t>
            </w:r>
          </w:p>
        </w:tc>
      </w:tr>
      <w:tr w14:paraId="7327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662" w:type="pct"/>
            <w:vMerge w:val="continue"/>
            <w:tcBorders>
              <w:left w:val="single" w:color="auto" w:sz="4" w:space="0"/>
              <w:right w:val="single" w:color="auto" w:sz="4" w:space="0"/>
            </w:tcBorders>
            <w:vAlign w:val="center"/>
          </w:tcPr>
          <w:p w14:paraId="3FBFA605">
            <w:pPr>
              <w:spacing w:line="240" w:lineRule="auto"/>
              <w:jc w:val="left"/>
            </w:pPr>
          </w:p>
        </w:tc>
        <w:tc>
          <w:tcPr>
            <w:tcW w:w="766" w:type="pct"/>
            <w:vMerge w:val="continue"/>
            <w:tcBorders>
              <w:left w:val="single" w:color="auto" w:sz="4" w:space="0"/>
              <w:bottom w:val="single" w:color="auto" w:sz="4" w:space="0"/>
              <w:right w:val="single" w:color="auto" w:sz="4" w:space="0"/>
            </w:tcBorders>
            <w:vAlign w:val="center"/>
          </w:tcPr>
          <w:p w14:paraId="1A708714">
            <w:pPr>
              <w:spacing w:line="240" w:lineRule="auto"/>
              <w:jc w:val="left"/>
            </w:pPr>
          </w:p>
        </w:tc>
        <w:tc>
          <w:tcPr>
            <w:tcW w:w="2854" w:type="pct"/>
            <w:tcBorders>
              <w:top w:val="single" w:color="auto" w:sz="4" w:space="0"/>
              <w:left w:val="single" w:color="auto" w:sz="4" w:space="0"/>
              <w:bottom w:val="single" w:color="auto" w:sz="4" w:space="0"/>
              <w:right w:val="single" w:color="auto" w:sz="4" w:space="0"/>
            </w:tcBorders>
            <w:shd w:val="clear" w:color="auto" w:fill="auto"/>
            <w:vAlign w:val="center"/>
          </w:tcPr>
          <w:p w14:paraId="27E356E3">
            <w:pPr>
              <w:widowControl/>
              <w:numPr>
                <w:ilvl w:val="0"/>
                <w:numId w:val="0"/>
              </w:numPr>
              <w:adjustRightInd w:val="0"/>
              <w:snapToGrid w:val="0"/>
              <w:spacing w:line="240" w:lineRule="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rPr>
              <w:t>拟任</w:t>
            </w:r>
            <w:r>
              <w:rPr>
                <w:rFonts w:hint="eastAsia" w:ascii="Times New Roman" w:hAnsi="Times New Roman"/>
                <w:bCs/>
                <w:color w:val="auto"/>
                <w:sz w:val="24"/>
                <w:szCs w:val="24"/>
                <w:highlight w:val="none"/>
                <w:lang w:val="en-US" w:eastAsia="zh-CN"/>
              </w:rPr>
              <w:t>项目经理</w:t>
            </w:r>
            <w:r>
              <w:rPr>
                <w:rFonts w:hint="eastAsia" w:ascii="Times New Roman" w:hAnsi="Times New Roman"/>
                <w:bCs/>
                <w:color w:val="auto"/>
                <w:sz w:val="24"/>
                <w:szCs w:val="24"/>
                <w:highlight w:val="none"/>
              </w:rPr>
              <w:t>具有</w:t>
            </w:r>
            <w:r>
              <w:rPr>
                <w:rFonts w:hint="eastAsia" w:ascii="Times New Roman" w:hAnsi="Times New Roman"/>
                <w:bCs/>
                <w:color w:val="auto"/>
                <w:sz w:val="24"/>
                <w:szCs w:val="24"/>
                <w:highlight w:val="none"/>
                <w:lang w:val="en-US" w:eastAsia="zh-CN"/>
              </w:rPr>
              <w:t>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rPr>
              <w:t>高级</w:t>
            </w:r>
            <w:r>
              <w:rPr>
                <w:rFonts w:hint="eastAsia" w:ascii="Times New Roman" w:hAnsi="Times New Roman"/>
                <w:bCs/>
                <w:color w:val="auto"/>
                <w:sz w:val="24"/>
                <w:szCs w:val="24"/>
                <w:highlight w:val="none"/>
                <w:lang w:val="en-US" w:eastAsia="zh-CN"/>
              </w:rPr>
              <w:t>及以上技术</w:t>
            </w:r>
            <w:r>
              <w:rPr>
                <w:rFonts w:hint="eastAsia" w:ascii="Times New Roman" w:hAnsi="Times New Roman"/>
                <w:bCs/>
                <w:color w:val="auto"/>
                <w:sz w:val="24"/>
                <w:szCs w:val="24"/>
                <w:highlight w:val="none"/>
              </w:rPr>
              <w:t>职称的得</w:t>
            </w:r>
            <w:r>
              <w:rPr>
                <w:rFonts w:hint="eastAsia" w:ascii="Times New Roman" w:hAnsi="Times New Roman"/>
                <w:bCs/>
                <w:color w:val="auto"/>
                <w:sz w:val="24"/>
                <w:szCs w:val="24"/>
                <w:highlight w:val="none"/>
                <w:lang w:val="en-US" w:eastAsia="zh-CN"/>
              </w:rPr>
              <w:t>4</w:t>
            </w:r>
            <w:r>
              <w:rPr>
                <w:rFonts w:hint="eastAsia" w:ascii="Times New Roman" w:hAnsi="Times New Roman"/>
                <w:bCs/>
                <w:color w:val="auto"/>
                <w:sz w:val="24"/>
                <w:szCs w:val="24"/>
                <w:highlight w:val="none"/>
              </w:rPr>
              <w:t>分</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具有水利工程相关专业中级技术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得3分，具有水利工程相关专业初级技术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得1分，本小项最多得4分</w:t>
            </w:r>
            <w:r>
              <w:rPr>
                <w:rFonts w:hint="eastAsia" w:ascii="Times New Roman" w:hAnsi="Times New Roman"/>
                <w:bCs/>
                <w:color w:val="auto"/>
                <w:sz w:val="24"/>
                <w:szCs w:val="24"/>
                <w:highlight w:val="none"/>
                <w:lang w:eastAsia="zh-CN"/>
              </w:rPr>
              <w:t>。</w:t>
            </w:r>
          </w:p>
          <w:p w14:paraId="69E420BF">
            <w:pPr>
              <w:spacing w:line="240" w:lineRule="auto"/>
              <w:jc w:val="left"/>
              <w:rPr>
                <w:rStyle w:val="271"/>
                <w:rFonts w:hint="eastAsia" w:ascii="Times New Roman" w:hAnsi="Times New Roman"/>
                <w:b/>
                <w:bCs/>
                <w:color w:val="auto"/>
                <w:sz w:val="24"/>
                <w:szCs w:val="24"/>
                <w:highlight w:val="none"/>
                <w:lang w:val="en-US" w:eastAsia="zh-CN"/>
              </w:rPr>
            </w:pPr>
            <w:r>
              <w:rPr>
                <w:rStyle w:val="271"/>
                <w:rFonts w:hint="eastAsia" w:ascii="Times New Roman" w:hAnsi="Times New Roman"/>
                <w:b/>
                <w:bCs/>
                <w:color w:val="auto"/>
                <w:sz w:val="24"/>
                <w:szCs w:val="24"/>
                <w:highlight w:val="none"/>
                <w:lang w:val="en-US" w:eastAsia="zh-CN"/>
              </w:rPr>
              <w:t>注：响应文件中须提供有效的人员职称证书证明材料。</w:t>
            </w:r>
          </w:p>
        </w:tc>
        <w:tc>
          <w:tcPr>
            <w:tcW w:w="716" w:type="pct"/>
            <w:vMerge w:val="continue"/>
            <w:tcBorders>
              <w:left w:val="single" w:color="auto" w:sz="4" w:space="0"/>
              <w:bottom w:val="single" w:color="auto" w:sz="4" w:space="0"/>
              <w:right w:val="single" w:color="auto" w:sz="4" w:space="0"/>
            </w:tcBorders>
            <w:vAlign w:val="center"/>
          </w:tcPr>
          <w:p w14:paraId="3A2FB0B6">
            <w:pPr>
              <w:spacing w:line="240" w:lineRule="auto"/>
              <w:jc w:val="left"/>
              <w:rPr>
                <w:rStyle w:val="271"/>
                <w:rFonts w:hint="eastAsia" w:ascii="Times New Roman" w:hAnsi="Times New Roman"/>
                <w:b/>
                <w:bCs/>
                <w:color w:val="auto"/>
                <w:sz w:val="24"/>
                <w:szCs w:val="24"/>
                <w:highlight w:val="none"/>
                <w:lang w:val="en-US" w:eastAsia="zh-CN"/>
              </w:rPr>
            </w:pPr>
          </w:p>
        </w:tc>
      </w:tr>
      <w:tr w14:paraId="7948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0E388152">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bottom w:val="single" w:color="auto" w:sz="4" w:space="0"/>
              <w:right w:val="single" w:color="auto" w:sz="4" w:space="0"/>
            </w:tcBorders>
            <w:vAlign w:val="center"/>
          </w:tcPr>
          <w:p w14:paraId="4421CD17">
            <w:pPr>
              <w:spacing w:line="240" w:lineRule="auto"/>
              <w:jc w:val="center"/>
              <w:rPr>
                <w:rFonts w:asciiTheme="minorEastAsia" w:hAnsiTheme="minorEastAsia" w:eastAsiaTheme="minorEastAsia"/>
                <w:color w:val="auto"/>
                <w:sz w:val="24"/>
                <w:highlight w:val="none"/>
              </w:rPr>
            </w:pPr>
            <w:r>
              <w:rPr>
                <w:rStyle w:val="271"/>
                <w:rFonts w:hint="eastAsia" w:ascii="Times New Roman" w:hAnsi="Times New Roman" w:cs="Times New Roman"/>
                <w:b/>
                <w:bCs/>
                <w:color w:val="auto"/>
                <w:sz w:val="24"/>
                <w:szCs w:val="24"/>
                <w:highlight w:val="none"/>
                <w:lang w:val="en-US" w:eastAsia="zh-CN"/>
              </w:rPr>
              <w:t>项目组</w:t>
            </w:r>
            <w:r>
              <w:rPr>
                <w:rStyle w:val="271"/>
                <w:rFonts w:hint="eastAsia" w:ascii="Times New Roman" w:hAnsi="Times New Roman" w:eastAsia="宋体" w:cs="Times New Roman"/>
                <w:b/>
                <w:bCs/>
                <w:color w:val="auto"/>
                <w:sz w:val="24"/>
                <w:szCs w:val="24"/>
                <w:highlight w:val="none"/>
              </w:rPr>
              <w:t>人员配置</w:t>
            </w:r>
            <w:r>
              <w:rPr>
                <w:rFonts w:hint="eastAsia" w:ascii="宋体" w:hAnsi="宋体" w:eastAsia="宋体"/>
                <w:b/>
                <w:bCs/>
                <w:color w:val="auto"/>
                <w:sz w:val="24"/>
                <w:szCs w:val="24"/>
                <w:highlight w:val="none"/>
              </w:rPr>
              <w:t>（</w:t>
            </w:r>
            <w:r>
              <w:rPr>
                <w:rFonts w:hint="eastAsia"/>
                <w:b/>
                <w:bCs/>
                <w:color w:val="auto"/>
                <w:sz w:val="24"/>
                <w:szCs w:val="24"/>
                <w:highlight w:val="none"/>
                <w:u w:val="single"/>
                <w:lang w:val="en-US" w:eastAsia="zh-CN"/>
              </w:rPr>
              <w:t>8</w:t>
            </w:r>
            <w:r>
              <w:rPr>
                <w:rFonts w:hint="eastAsia" w:ascii="宋体" w:hAnsi="宋体" w:eastAsia="宋体"/>
                <w:b/>
                <w:bCs/>
                <w:color w:val="auto"/>
                <w:sz w:val="24"/>
                <w:szCs w:val="24"/>
                <w:highlight w:val="none"/>
              </w:rPr>
              <w:t>分）</w:t>
            </w:r>
          </w:p>
        </w:tc>
        <w:tc>
          <w:tcPr>
            <w:tcW w:w="2854" w:type="pct"/>
            <w:tcBorders>
              <w:top w:val="single" w:color="auto" w:sz="4" w:space="0"/>
              <w:left w:val="single" w:color="auto" w:sz="4" w:space="0"/>
              <w:bottom w:val="single" w:color="auto" w:sz="4" w:space="0"/>
              <w:right w:val="single" w:color="auto" w:sz="4" w:space="0"/>
            </w:tcBorders>
            <w:vAlign w:val="center"/>
          </w:tcPr>
          <w:p w14:paraId="1AF541FC">
            <w:pPr>
              <w:widowControl/>
              <w:numPr>
                <w:ilvl w:val="0"/>
                <w:numId w:val="5"/>
              </w:numPr>
              <w:adjustRightInd w:val="0"/>
              <w:snapToGrid w:val="0"/>
              <w:spacing w:line="240" w:lineRule="auto"/>
              <w:rPr>
                <w:rFonts w:hint="eastAsia" w:ascii="Times New Roman" w:hAnsi="Times New Roman"/>
                <w:bCs/>
                <w:color w:val="auto"/>
                <w:sz w:val="24"/>
                <w:szCs w:val="24"/>
                <w:highlight w:val="none"/>
                <w:lang w:eastAsia="zh-CN"/>
              </w:rPr>
            </w:pP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rPr>
              <w:t>拟任</w:t>
            </w:r>
            <w:r>
              <w:rPr>
                <w:rFonts w:hint="eastAsia" w:ascii="Times New Roman" w:hAnsi="Times New Roman"/>
                <w:bCs/>
                <w:color w:val="auto"/>
                <w:sz w:val="24"/>
                <w:szCs w:val="24"/>
                <w:highlight w:val="none"/>
                <w:lang w:eastAsia="zh-CN"/>
              </w:rPr>
              <w:t>技术负责人</w:t>
            </w:r>
            <w:r>
              <w:rPr>
                <w:rFonts w:hint="eastAsia" w:ascii="Times New Roman" w:hAnsi="Times New Roman"/>
                <w:bCs/>
                <w:color w:val="auto"/>
                <w:sz w:val="24"/>
                <w:szCs w:val="24"/>
                <w:highlight w:val="none"/>
              </w:rPr>
              <w:t>具有</w:t>
            </w:r>
            <w:r>
              <w:rPr>
                <w:rFonts w:hint="eastAsia" w:ascii="Times New Roman" w:hAnsi="Times New Roman"/>
                <w:bCs/>
                <w:color w:val="auto"/>
                <w:sz w:val="24"/>
                <w:szCs w:val="24"/>
                <w:highlight w:val="none"/>
                <w:lang w:val="en-US" w:eastAsia="zh-CN"/>
              </w:rPr>
              <w:t>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rPr>
              <w:t>高级</w:t>
            </w:r>
            <w:r>
              <w:rPr>
                <w:rFonts w:hint="eastAsia" w:ascii="Times New Roman" w:hAnsi="Times New Roman"/>
                <w:bCs/>
                <w:color w:val="auto"/>
                <w:sz w:val="24"/>
                <w:szCs w:val="24"/>
                <w:highlight w:val="none"/>
                <w:lang w:val="en-US" w:eastAsia="zh-CN"/>
              </w:rPr>
              <w:t>及以上技术</w:t>
            </w:r>
            <w:r>
              <w:rPr>
                <w:rFonts w:hint="eastAsia" w:ascii="Times New Roman" w:hAnsi="Times New Roman"/>
                <w:bCs/>
                <w:color w:val="auto"/>
                <w:sz w:val="24"/>
                <w:szCs w:val="24"/>
                <w:highlight w:val="none"/>
              </w:rPr>
              <w:t>职称的得</w:t>
            </w:r>
            <w:r>
              <w:rPr>
                <w:rFonts w:hint="eastAsia" w:ascii="Times New Roman" w:hAnsi="Times New Roman"/>
                <w:bCs/>
                <w:color w:val="auto"/>
                <w:sz w:val="24"/>
                <w:szCs w:val="24"/>
                <w:highlight w:val="none"/>
                <w:lang w:val="en-US" w:eastAsia="zh-CN"/>
              </w:rPr>
              <w:t>4</w:t>
            </w:r>
            <w:r>
              <w:rPr>
                <w:rFonts w:hint="eastAsia" w:ascii="Times New Roman" w:hAnsi="Times New Roman"/>
                <w:bCs/>
                <w:color w:val="auto"/>
                <w:sz w:val="24"/>
                <w:szCs w:val="24"/>
                <w:highlight w:val="none"/>
              </w:rPr>
              <w:t>分</w:t>
            </w: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具有水利工程相关</w:t>
            </w:r>
            <w:r>
              <w:rPr>
                <w:rStyle w:val="271"/>
                <w:rFonts w:hint="eastAsia" w:ascii="Times New Roman" w:hAnsi="Times New Roman"/>
                <w:color w:val="auto"/>
                <w:sz w:val="24"/>
                <w:szCs w:val="24"/>
                <w:highlight w:val="none"/>
                <w:lang w:val="en-US" w:eastAsia="zh-CN"/>
              </w:rPr>
              <w:t>专业</w:t>
            </w:r>
            <w:r>
              <w:rPr>
                <w:rFonts w:hint="eastAsia" w:ascii="Times New Roman" w:hAnsi="Times New Roman"/>
                <w:bCs/>
                <w:color w:val="auto"/>
                <w:sz w:val="24"/>
                <w:szCs w:val="24"/>
                <w:highlight w:val="none"/>
                <w:lang w:val="en-US" w:eastAsia="zh-CN"/>
              </w:rPr>
              <w:t>中级技术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得3分，具有水利工程相关专业初级技术</w:t>
            </w:r>
            <w:r>
              <w:rPr>
                <w:rFonts w:hint="eastAsia" w:ascii="Times New Roman" w:hAnsi="Times New Roman"/>
                <w:bCs/>
                <w:color w:val="auto"/>
                <w:sz w:val="24"/>
                <w:szCs w:val="24"/>
                <w:highlight w:val="none"/>
              </w:rPr>
              <w:t>职称的</w:t>
            </w:r>
            <w:r>
              <w:rPr>
                <w:rFonts w:hint="eastAsia" w:ascii="Times New Roman" w:hAnsi="Times New Roman"/>
                <w:bCs/>
                <w:color w:val="auto"/>
                <w:sz w:val="24"/>
                <w:szCs w:val="24"/>
                <w:highlight w:val="none"/>
                <w:lang w:val="en-US" w:eastAsia="zh-CN"/>
              </w:rPr>
              <w:t>得1分，本小项最多得4分</w:t>
            </w:r>
            <w:r>
              <w:rPr>
                <w:rFonts w:hint="eastAsia" w:ascii="Times New Roman" w:hAnsi="Times New Roman"/>
                <w:bCs/>
                <w:color w:val="auto"/>
                <w:sz w:val="24"/>
                <w:szCs w:val="24"/>
                <w:highlight w:val="none"/>
                <w:lang w:eastAsia="zh-CN"/>
              </w:rPr>
              <w:t>。</w:t>
            </w:r>
          </w:p>
          <w:p w14:paraId="68D43F7B">
            <w:pPr>
              <w:widowControl/>
              <w:adjustRightInd w:val="0"/>
              <w:snapToGrid w:val="0"/>
              <w:spacing w:line="240" w:lineRule="auto"/>
              <w:rPr>
                <w:rFonts w:asciiTheme="minorEastAsia" w:hAnsiTheme="minorEastAsia" w:eastAsiaTheme="minorEastAsia"/>
                <w:color w:val="auto"/>
                <w:sz w:val="24"/>
                <w:highlight w:val="none"/>
              </w:rPr>
            </w:pPr>
            <w:r>
              <w:rPr>
                <w:rStyle w:val="271"/>
                <w:rFonts w:hint="eastAsia" w:ascii="Times New Roman" w:hAnsi="Times New Roman"/>
                <w:b/>
                <w:bCs/>
                <w:color w:val="auto"/>
                <w:sz w:val="24"/>
                <w:szCs w:val="24"/>
                <w:highlight w:val="none"/>
                <w:lang w:val="en-US" w:eastAsia="zh-CN"/>
              </w:rPr>
              <w:t>注：响应文件中须提供有效的人员职称证书证明材料。</w:t>
            </w:r>
          </w:p>
        </w:tc>
        <w:tc>
          <w:tcPr>
            <w:tcW w:w="716" w:type="pct"/>
            <w:tcBorders>
              <w:top w:val="single" w:color="auto" w:sz="4" w:space="0"/>
              <w:left w:val="single" w:color="auto" w:sz="4" w:space="0"/>
              <w:bottom w:val="single" w:color="auto" w:sz="4" w:space="0"/>
              <w:right w:val="single" w:color="auto" w:sz="4" w:space="0"/>
            </w:tcBorders>
            <w:vAlign w:val="center"/>
          </w:tcPr>
          <w:p w14:paraId="47861A4A">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4</w:t>
            </w:r>
            <w:r>
              <w:rPr>
                <w:rFonts w:hint="eastAsia" w:ascii="宋体" w:hAnsi="宋体" w:eastAsia="宋体"/>
                <w:b/>
                <w:bCs/>
                <w:color w:val="auto"/>
                <w:sz w:val="24"/>
                <w:szCs w:val="24"/>
                <w:highlight w:val="none"/>
                <w:lang w:val="en-US" w:eastAsia="zh-CN"/>
              </w:rPr>
              <w:t>分</w:t>
            </w:r>
          </w:p>
        </w:tc>
      </w:tr>
      <w:tr w14:paraId="56D5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563239EB">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3C708C59">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608B6F29">
            <w:pPr>
              <w:widowControl/>
              <w:adjustRightInd w:val="0"/>
              <w:snapToGrid w:val="0"/>
              <w:spacing w:line="240" w:lineRule="auto"/>
              <w:jc w:val="left"/>
              <w:rPr>
                <w:rFonts w:asciiTheme="minorEastAsia" w:hAnsiTheme="minorEastAsia" w:eastAsiaTheme="minorEastAsia"/>
                <w:color w:val="auto"/>
                <w:sz w:val="24"/>
                <w:highlight w:val="none"/>
              </w:rPr>
            </w:pPr>
            <w:r>
              <w:rPr>
                <w:rFonts w:hint="eastAsia" w:ascii="Times New Roman" w:hAnsi="Times New Roman"/>
                <w:bCs/>
                <w:color w:val="auto"/>
                <w:sz w:val="24"/>
                <w:szCs w:val="24"/>
                <w:highlight w:val="none"/>
                <w:lang w:eastAsia="zh-CN"/>
              </w:rPr>
              <w:t>（</w:t>
            </w:r>
            <w:r>
              <w:rPr>
                <w:rFonts w:hint="eastAsia" w:ascii="Times New Roman" w:hAnsi="Times New Roman"/>
                <w:bCs/>
                <w:color w:val="auto"/>
                <w:sz w:val="24"/>
                <w:szCs w:val="24"/>
                <w:highlight w:val="none"/>
                <w:lang w:val="en-US" w:eastAsia="zh-CN"/>
              </w:rPr>
              <w:t>2）</w:t>
            </w:r>
            <w:r>
              <w:rPr>
                <w:rFonts w:hint="eastAsia" w:ascii="Times New Roman" w:hAnsi="Times New Roman"/>
                <w:bCs/>
                <w:color w:val="auto"/>
                <w:sz w:val="24"/>
                <w:szCs w:val="24"/>
                <w:highlight w:val="none"/>
                <w:lang w:eastAsia="zh-CN"/>
              </w:rPr>
              <w:t>供应商</w:t>
            </w:r>
            <w:r>
              <w:rPr>
                <w:rFonts w:hint="eastAsia" w:ascii="Times New Roman" w:hAnsi="Times New Roman"/>
                <w:bCs/>
                <w:color w:val="auto"/>
                <w:sz w:val="24"/>
                <w:szCs w:val="24"/>
                <w:highlight w:val="none"/>
                <w:lang w:val="en-US" w:eastAsia="zh-CN"/>
              </w:rPr>
              <w:t>为项目实施进行的</w:t>
            </w:r>
            <w:r>
              <w:rPr>
                <w:rFonts w:ascii="Times New Roman" w:hAnsi="Times New Roman"/>
                <w:bCs/>
                <w:color w:val="auto"/>
                <w:sz w:val="24"/>
                <w:szCs w:val="24"/>
                <w:highlight w:val="none"/>
                <w:lang w:val="zh-CN"/>
              </w:rPr>
              <w:t>组织机构设置、</w:t>
            </w:r>
            <w:r>
              <w:rPr>
                <w:rFonts w:hint="eastAsia" w:ascii="Times New Roman" w:hAnsi="Times New Roman"/>
                <w:bCs/>
                <w:color w:val="auto"/>
                <w:sz w:val="24"/>
                <w:szCs w:val="24"/>
                <w:highlight w:val="none"/>
                <w:lang w:val="en-US" w:eastAsia="zh-CN"/>
              </w:rPr>
              <w:t>人员资质数量、</w:t>
            </w:r>
            <w:r>
              <w:rPr>
                <w:rFonts w:ascii="Times New Roman" w:hAnsi="Times New Roman"/>
                <w:bCs/>
                <w:color w:val="auto"/>
                <w:sz w:val="24"/>
                <w:szCs w:val="24"/>
                <w:highlight w:val="none"/>
                <w:lang w:val="zh-CN"/>
              </w:rPr>
              <w:t>分工协作</w:t>
            </w:r>
            <w:r>
              <w:rPr>
                <w:rFonts w:hint="eastAsia" w:ascii="Times New Roman" w:hAnsi="Times New Roman"/>
                <w:bCs/>
                <w:color w:val="auto"/>
                <w:sz w:val="24"/>
                <w:szCs w:val="24"/>
                <w:highlight w:val="none"/>
                <w:lang w:val="en-US" w:eastAsia="zh-CN"/>
              </w:rPr>
              <w:t>安排</w:t>
            </w:r>
            <w:r>
              <w:rPr>
                <w:rFonts w:ascii="Times New Roman" w:hAnsi="Times New Roman"/>
                <w:bCs/>
                <w:color w:val="auto"/>
                <w:sz w:val="24"/>
                <w:szCs w:val="24"/>
                <w:highlight w:val="none"/>
                <w:lang w:val="zh-CN"/>
              </w:rPr>
              <w:t>（</w:t>
            </w:r>
            <w:r>
              <w:rPr>
                <w:rFonts w:hint="eastAsia" w:ascii="Times New Roman" w:hAnsi="Times New Roman"/>
                <w:bCs/>
                <w:color w:val="auto"/>
                <w:sz w:val="24"/>
                <w:szCs w:val="24"/>
                <w:highlight w:val="none"/>
                <w:lang w:val="en-US" w:eastAsia="zh-CN"/>
              </w:rPr>
              <w:t>人员设置</w:t>
            </w:r>
            <w:r>
              <w:rPr>
                <w:rFonts w:ascii="Times New Roman" w:hAnsi="Times New Roman"/>
                <w:bCs/>
                <w:color w:val="auto"/>
                <w:sz w:val="24"/>
                <w:szCs w:val="24"/>
                <w:highlight w:val="none"/>
                <w:lang w:val="zh-CN"/>
              </w:rPr>
              <w:t>包括但不限于</w:t>
            </w:r>
            <w:r>
              <w:rPr>
                <w:rFonts w:hint="eastAsia" w:ascii="Times New Roman" w:hAnsi="Times New Roman"/>
                <w:bCs/>
                <w:color w:val="auto"/>
                <w:sz w:val="24"/>
                <w:szCs w:val="24"/>
                <w:highlight w:val="none"/>
                <w:lang w:val="zh-CN"/>
              </w:rPr>
              <w:t>项目经理</w:t>
            </w:r>
            <w:r>
              <w:rPr>
                <w:rFonts w:ascii="Times New Roman" w:hAnsi="Times New Roman"/>
                <w:bCs/>
                <w:color w:val="auto"/>
                <w:sz w:val="24"/>
                <w:szCs w:val="24"/>
                <w:highlight w:val="none"/>
                <w:lang w:val="zh-CN"/>
              </w:rPr>
              <w:t>、</w:t>
            </w:r>
            <w:r>
              <w:rPr>
                <w:rFonts w:hint="eastAsia" w:ascii="Times New Roman" w:hAnsi="Times New Roman"/>
                <w:bCs/>
                <w:color w:val="auto"/>
                <w:sz w:val="24"/>
                <w:szCs w:val="24"/>
                <w:highlight w:val="none"/>
                <w:lang w:val="en-US" w:eastAsia="zh-CN"/>
              </w:rPr>
              <w:t>技术负责人、</w:t>
            </w:r>
            <w:r>
              <w:rPr>
                <w:rFonts w:ascii="Times New Roman" w:hAnsi="Times New Roman"/>
                <w:bCs/>
                <w:color w:val="auto"/>
                <w:sz w:val="24"/>
                <w:szCs w:val="24"/>
                <w:highlight w:val="none"/>
                <w:lang w:val="zh-CN"/>
              </w:rPr>
              <w:t>施工员、质检员、安全员等）：从组织结构形式、人员配备、专业匹配、职称、执业资格等进行综合评审，人员配备合理、完全符合项目需求的，得</w:t>
            </w:r>
            <w:r>
              <w:rPr>
                <w:rFonts w:hint="eastAsia" w:ascii="Times New Roman" w:hAnsi="Times New Roman"/>
                <w:bCs/>
                <w:color w:val="auto"/>
                <w:sz w:val="24"/>
                <w:szCs w:val="24"/>
                <w:highlight w:val="none"/>
                <w:lang w:val="en-US" w:eastAsia="zh-CN"/>
              </w:rPr>
              <w:t>4</w:t>
            </w:r>
            <w:r>
              <w:rPr>
                <w:rFonts w:ascii="Times New Roman" w:hAnsi="Times New Roman"/>
                <w:bCs/>
                <w:color w:val="auto"/>
                <w:sz w:val="24"/>
                <w:szCs w:val="24"/>
                <w:highlight w:val="none"/>
                <w:lang w:val="zh-CN"/>
              </w:rPr>
              <w:t>分；人员配备较合理、较符合项目需求的，得</w:t>
            </w:r>
            <w:r>
              <w:rPr>
                <w:rFonts w:hint="eastAsia" w:ascii="Times New Roman" w:hAnsi="Times New Roman"/>
                <w:bCs/>
                <w:color w:val="auto"/>
                <w:sz w:val="24"/>
                <w:szCs w:val="24"/>
                <w:highlight w:val="none"/>
                <w:lang w:val="en-US" w:eastAsia="zh-CN"/>
              </w:rPr>
              <w:t>3</w:t>
            </w:r>
            <w:r>
              <w:rPr>
                <w:rFonts w:ascii="Times New Roman" w:hAnsi="Times New Roman"/>
                <w:bCs/>
                <w:color w:val="auto"/>
                <w:sz w:val="24"/>
                <w:szCs w:val="24"/>
                <w:highlight w:val="none"/>
                <w:lang w:val="zh-CN"/>
              </w:rPr>
              <w:t>分；人员配备基本合理、基本符合项目需求的，得</w:t>
            </w:r>
            <w:r>
              <w:rPr>
                <w:rFonts w:hint="eastAsia" w:ascii="Times New Roman" w:hAnsi="Times New Roman"/>
                <w:bCs/>
                <w:color w:val="auto"/>
                <w:sz w:val="24"/>
                <w:szCs w:val="24"/>
                <w:highlight w:val="none"/>
                <w:lang w:val="en-US" w:eastAsia="zh-CN"/>
              </w:rPr>
              <w:t>2</w:t>
            </w:r>
            <w:r>
              <w:rPr>
                <w:rFonts w:ascii="Times New Roman" w:hAnsi="Times New Roman"/>
                <w:bCs/>
                <w:color w:val="auto"/>
                <w:sz w:val="24"/>
                <w:szCs w:val="24"/>
                <w:highlight w:val="none"/>
                <w:lang w:val="zh-CN"/>
              </w:rPr>
              <w:t>分；人员配备不合理、不符合项目需求的，得</w:t>
            </w:r>
            <w:r>
              <w:rPr>
                <w:rFonts w:hint="eastAsia" w:ascii="Times New Roman" w:hAnsi="Times New Roman"/>
                <w:bCs/>
                <w:color w:val="auto"/>
                <w:sz w:val="24"/>
                <w:szCs w:val="24"/>
                <w:highlight w:val="none"/>
                <w:lang w:val="en-US" w:eastAsia="zh-CN"/>
              </w:rPr>
              <w:t>1</w:t>
            </w:r>
            <w:r>
              <w:rPr>
                <w:rFonts w:ascii="Times New Roman" w:hAnsi="Times New Roman"/>
                <w:bCs/>
                <w:color w:val="auto"/>
                <w:sz w:val="24"/>
                <w:szCs w:val="24"/>
                <w:highlight w:val="none"/>
                <w:lang w:val="zh-CN"/>
              </w:rPr>
              <w:t>分；未提供的不得分。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7D3D1050">
            <w:pPr>
              <w:spacing w:line="240" w:lineRule="auto"/>
              <w:jc w:val="center"/>
              <w:rPr>
                <w:rFonts w:asciiTheme="minorEastAsia" w:hAnsiTheme="minorEastAsia" w:eastAsiaTheme="minorEastAsia"/>
                <w:b/>
                <w:bCs/>
                <w:color w:val="auto"/>
                <w:sz w:val="24"/>
                <w:highlight w:val="none"/>
              </w:rPr>
            </w:pPr>
            <w:r>
              <w:rPr>
                <w:rFonts w:hint="eastAsia" w:ascii="宋体" w:hAnsi="宋体" w:eastAsia="宋体"/>
                <w:b/>
                <w:bCs/>
                <w:color w:val="auto"/>
                <w:sz w:val="24"/>
                <w:szCs w:val="24"/>
                <w:highlight w:val="none"/>
                <w:lang w:val="en-US" w:eastAsia="zh-CN"/>
              </w:rPr>
              <w:t>0-</w:t>
            </w:r>
            <w:r>
              <w:rPr>
                <w:rFonts w:hint="eastAsia"/>
                <w:b/>
                <w:bCs/>
                <w:color w:val="auto"/>
                <w:sz w:val="24"/>
                <w:szCs w:val="24"/>
                <w:highlight w:val="none"/>
                <w:lang w:val="en-US" w:eastAsia="zh-CN"/>
              </w:rPr>
              <w:t>4</w:t>
            </w:r>
            <w:r>
              <w:rPr>
                <w:rFonts w:hint="eastAsia" w:ascii="宋体" w:hAnsi="宋体" w:eastAsia="宋体"/>
                <w:b/>
                <w:bCs/>
                <w:color w:val="auto"/>
                <w:sz w:val="24"/>
                <w:szCs w:val="24"/>
                <w:highlight w:val="none"/>
                <w:lang w:val="en-US" w:eastAsia="zh-CN"/>
              </w:rPr>
              <w:t>分</w:t>
            </w:r>
          </w:p>
        </w:tc>
      </w:tr>
      <w:tr w14:paraId="54C1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restart"/>
            <w:tcBorders>
              <w:left w:val="single" w:color="auto" w:sz="4" w:space="0"/>
              <w:right w:val="single" w:color="auto" w:sz="4" w:space="0"/>
            </w:tcBorders>
            <w:vAlign w:val="center"/>
          </w:tcPr>
          <w:p w14:paraId="35D16149">
            <w:pPr>
              <w:spacing w:line="240" w:lineRule="auto"/>
              <w:ind w:firstLine="435"/>
              <w:jc w:val="center"/>
              <w:rPr>
                <w:rFonts w:asciiTheme="minorEastAsia" w:hAnsiTheme="minorEastAsia" w:eastAsiaTheme="minorEastAsia"/>
                <w:b/>
                <w:bCs/>
                <w:color w:val="auto"/>
                <w:sz w:val="24"/>
                <w:highlight w:val="none"/>
              </w:rPr>
            </w:pPr>
          </w:p>
        </w:tc>
        <w:tc>
          <w:tcPr>
            <w:tcW w:w="766" w:type="pct"/>
            <w:vMerge w:val="restart"/>
            <w:tcBorders>
              <w:top w:val="single" w:color="auto" w:sz="4" w:space="0"/>
              <w:left w:val="single" w:color="auto" w:sz="4" w:space="0"/>
              <w:bottom w:val="single" w:color="auto" w:sz="4" w:space="0"/>
              <w:right w:val="single" w:color="auto" w:sz="4" w:space="0"/>
            </w:tcBorders>
            <w:vAlign w:val="center"/>
          </w:tcPr>
          <w:p w14:paraId="747B0777">
            <w:pPr>
              <w:spacing w:line="240" w:lineRule="auto"/>
              <w:jc w:val="center"/>
              <w:rPr>
                <w:rFonts w:asciiTheme="minorEastAsia" w:hAnsiTheme="minorEastAsia" w:eastAsiaTheme="minorEastAsia"/>
                <w:bCs/>
                <w:color w:val="auto"/>
                <w:sz w:val="24"/>
                <w:highlight w:val="none"/>
              </w:rPr>
            </w:pPr>
            <w:r>
              <w:rPr>
                <w:rFonts w:hint="eastAsia" w:ascii="Times New Roman" w:hAnsi="Times New Roman"/>
                <w:b/>
                <w:bCs/>
                <w:color w:val="auto"/>
                <w:sz w:val="24"/>
                <w:szCs w:val="24"/>
                <w:highlight w:val="none"/>
                <w:lang w:val="en-US" w:eastAsia="zh-CN"/>
              </w:rPr>
              <w:t>施工组织设计（</w:t>
            </w:r>
            <w:r>
              <w:rPr>
                <w:rFonts w:hint="eastAsia" w:ascii="宋体" w:hAnsi="宋体" w:eastAsia="宋体"/>
                <w:b/>
                <w:bCs/>
                <w:color w:val="auto"/>
                <w:sz w:val="24"/>
                <w:szCs w:val="24"/>
                <w:highlight w:val="none"/>
                <w:lang w:val="en-US" w:eastAsia="zh-CN"/>
              </w:rPr>
              <w:t>40）分</w:t>
            </w:r>
          </w:p>
        </w:tc>
        <w:tc>
          <w:tcPr>
            <w:tcW w:w="2854" w:type="pct"/>
            <w:tcBorders>
              <w:top w:val="single" w:color="auto" w:sz="4" w:space="0"/>
              <w:left w:val="single" w:color="auto" w:sz="4" w:space="0"/>
              <w:bottom w:val="single" w:color="auto" w:sz="4" w:space="0"/>
              <w:right w:val="single" w:color="auto" w:sz="4" w:space="0"/>
            </w:tcBorders>
            <w:vAlign w:val="center"/>
          </w:tcPr>
          <w:p w14:paraId="3470AE8F">
            <w:pPr>
              <w:topLinePunct/>
              <w:adjustRightInd w:val="0"/>
              <w:snapToGrid w:val="0"/>
              <w:spacing w:line="240" w:lineRule="auto"/>
              <w:rPr>
                <w:rFonts w:ascii="Times New Roman" w:hAnsi="Times New Roman"/>
                <w:b/>
                <w:bCs/>
                <w:color w:val="auto"/>
                <w:sz w:val="24"/>
                <w:szCs w:val="24"/>
                <w:highlight w:val="none"/>
                <w:lang w:val="zh-CN"/>
              </w:rPr>
            </w:pPr>
            <w:r>
              <w:rPr>
                <w:rFonts w:ascii="Times New Roman" w:hAnsi="Times New Roman"/>
                <w:b/>
                <w:bCs/>
                <w:color w:val="auto"/>
                <w:sz w:val="24"/>
                <w:szCs w:val="24"/>
                <w:highlight w:val="none"/>
                <w:lang w:val="zh-CN"/>
              </w:rPr>
              <w:t>1</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主要施工方案与技术措施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主要分部施工方法符合</w:t>
            </w:r>
            <w:r>
              <w:rPr>
                <w:rFonts w:hint="eastAsia" w:ascii="Times New Roman" w:hAnsi="Times New Roman"/>
                <w:b/>
                <w:bCs/>
                <w:color w:val="auto"/>
                <w:sz w:val="24"/>
                <w:szCs w:val="24"/>
                <w:highlight w:val="none"/>
                <w:lang w:val="en-US" w:eastAsia="zh-CN"/>
              </w:rPr>
              <w:t>现场实际情况</w:t>
            </w:r>
            <w:r>
              <w:rPr>
                <w:rFonts w:ascii="Times New Roman" w:hAnsi="Times New Roman"/>
                <w:b/>
                <w:bCs/>
                <w:color w:val="auto"/>
                <w:sz w:val="24"/>
                <w:szCs w:val="24"/>
                <w:highlight w:val="none"/>
                <w:lang w:val="zh-CN"/>
              </w:rPr>
              <w:t>，有详尽的施工技术方案，工艺先进、方法科学合理、可行，能切实指导</w:t>
            </w:r>
            <w:r>
              <w:rPr>
                <w:rFonts w:hint="eastAsia" w:ascii="Times New Roman" w:hAnsi="Times New Roman"/>
                <w:b/>
                <w:bCs/>
                <w:color w:val="auto"/>
                <w:sz w:val="24"/>
                <w:szCs w:val="24"/>
                <w:highlight w:val="none"/>
                <w:lang w:val="en-US" w:eastAsia="zh-CN"/>
              </w:rPr>
              <w:t>现场</w:t>
            </w:r>
            <w:r>
              <w:rPr>
                <w:rFonts w:ascii="Times New Roman" w:hAnsi="Times New Roman"/>
                <w:b/>
                <w:bCs/>
                <w:color w:val="auto"/>
                <w:sz w:val="24"/>
                <w:szCs w:val="24"/>
                <w:highlight w:val="none"/>
                <w:lang w:val="zh-CN"/>
              </w:rPr>
              <w:t>施工并确保安全。</w:t>
            </w:r>
          </w:p>
          <w:p w14:paraId="6D47C9E7">
            <w:pPr>
              <w:numPr>
                <w:ilvl w:val="0"/>
                <w:numId w:val="0"/>
              </w:numPr>
              <w:topLinePunct/>
              <w:adjustRightInd w:val="0"/>
              <w:snapToGrid w:val="0"/>
              <w:spacing w:line="240" w:lineRule="auto"/>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05F57B73">
            <w:pPr>
              <w:topLinePunct/>
              <w:adjustRightInd w:val="0"/>
              <w:snapToGrid w:val="0"/>
              <w:spacing w:line="240" w:lineRule="auto"/>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E9CCD43">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69B2C7B1">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5771BF95">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3DB5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22F473D3">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0A1E658C">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185D242A">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2</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施工安全保障体系</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是否健全，施工现场管理人员安全生产职责是否明确，是否针对工程特点、周边环境和施工工艺，确定危险源并制定具体的防护措施，同时体现出安全保证措施。</w:t>
            </w:r>
          </w:p>
          <w:p w14:paraId="2CE50D83">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787DD763">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4F7A97D4">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2936841A">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402E0C2C">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09E0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0472B90E">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5F3408F6">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4DDCA800">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lang w:val="en-US" w:eastAsia="zh-CN"/>
              </w:rPr>
              <w:t>3.</w:t>
            </w:r>
            <w:r>
              <w:rPr>
                <w:rFonts w:ascii="Times New Roman" w:hAnsi="Times New Roman"/>
                <w:b/>
                <w:bCs/>
                <w:color w:val="auto"/>
                <w:sz w:val="24"/>
                <w:szCs w:val="24"/>
                <w:highlight w:val="none"/>
                <w:lang w:val="zh-CN"/>
              </w:rPr>
              <w:t>工程进度计划与措施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在施工工艺、方法、材料采购、劳动力安排等方面有保证工程进度的具体措施且措施得当。有控制工期的施工进度计划及进度表或施工网络图，各项计划图</w:t>
            </w:r>
            <w:r>
              <w:rPr>
                <w:rFonts w:hint="eastAsia" w:ascii="Times New Roman" w:hAnsi="Times New Roman"/>
                <w:b/>
                <w:bCs/>
                <w:color w:val="auto"/>
                <w:sz w:val="24"/>
                <w:szCs w:val="24"/>
                <w:highlight w:val="none"/>
                <w:lang w:val="en-US" w:eastAsia="zh-CN"/>
              </w:rPr>
              <w:t>表</w:t>
            </w:r>
            <w:r>
              <w:rPr>
                <w:rFonts w:ascii="Times New Roman" w:hAnsi="Times New Roman"/>
                <w:b/>
                <w:bCs/>
                <w:color w:val="auto"/>
                <w:sz w:val="24"/>
                <w:szCs w:val="24"/>
                <w:highlight w:val="none"/>
                <w:lang w:val="zh-CN"/>
              </w:rPr>
              <w:t>编制完善，安排科学合理，符合项目施工实际要求。</w:t>
            </w:r>
          </w:p>
          <w:p w14:paraId="4055D059">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57140688">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5E4B906E">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，内</w:t>
            </w:r>
            <w:r>
              <w:rPr>
                <w:rFonts w:hint="eastAsia" w:ascii="Times New Roman" w:hAnsi="Times New Roman" w:eastAsia="宋体"/>
                <w:color w:val="auto"/>
                <w:sz w:val="24"/>
                <w:szCs w:val="24"/>
                <w:highlight w:val="none"/>
                <w:lang w:val="zh-CN" w:eastAsia="zh-CN"/>
              </w:rPr>
              <w:t>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790A03E5">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106D709">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6582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51B7E34E">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723D164E">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2E30535F">
            <w:p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b/>
                <w:bCs/>
                <w:color w:val="auto"/>
                <w:sz w:val="24"/>
                <w:szCs w:val="24"/>
                <w:highlight w:val="none"/>
              </w:rPr>
              <w:t>4</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工程施工重点难点施工方案</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对工程建设中的重点、难点是否进行分析，是否和实际情况相符，以及是否提出了有针对性的技术措施或方案。</w:t>
            </w:r>
          </w:p>
          <w:p w14:paraId="337560C3">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0623E64E">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2551E1DA">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400DB5E3">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ED35313">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13B3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4012638A">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4902FE3D">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2B7CDEAF">
            <w:pPr>
              <w:topLinePunct/>
              <w:adjustRightInd w:val="0"/>
              <w:snapToGrid w:val="0"/>
              <w:spacing w:line="240" w:lineRule="auto"/>
              <w:jc w:val="left"/>
              <w:rPr>
                <w:rFonts w:hint="eastAsia"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5</w:t>
            </w:r>
            <w:r>
              <w:rPr>
                <w:rFonts w:hint="eastAsia" w:ascii="Times New Roman" w:hAnsi="Times New Roman"/>
                <w:b/>
                <w:bCs/>
                <w:color w:val="auto"/>
                <w:sz w:val="24"/>
                <w:szCs w:val="24"/>
                <w:highlight w:val="none"/>
                <w:lang w:val="zh-CN"/>
              </w:rPr>
              <w:t>.</w:t>
            </w:r>
            <w:r>
              <w:rPr>
                <w:rFonts w:hint="eastAsia" w:ascii="Times New Roman" w:hAnsi="Times New Roman"/>
                <w:b/>
                <w:bCs/>
                <w:color w:val="auto"/>
                <w:sz w:val="24"/>
                <w:szCs w:val="24"/>
                <w:highlight w:val="none"/>
                <w:lang w:val="en-US" w:eastAsia="zh-CN"/>
              </w:rPr>
              <w:t>施工机械班组及设备工具：</w:t>
            </w:r>
            <w:r>
              <w:rPr>
                <w:rFonts w:hint="eastAsia" w:ascii="Times New Roman" w:hAnsi="Times New Roman"/>
                <w:b/>
                <w:bCs/>
                <w:color w:val="auto"/>
                <w:sz w:val="24"/>
                <w:szCs w:val="24"/>
                <w:highlight w:val="none"/>
                <w:lang w:val="zh-CN"/>
              </w:rPr>
              <w:t>各主要施工方法符合项目实际，须有详尽的施工技术方案，工艺先进、方法科学合理、可行，能指导具体施工并确保安全。拟投入的施工材料、机械、设备、机具、劳动力有详细计划且计划周密，满足施工需要。</w:t>
            </w:r>
          </w:p>
          <w:p w14:paraId="682E34F9">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41034558">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7F83C8AD">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2B75AB31">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39B55C44">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3832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3F4B85EB">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31500523">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7C258B92">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6</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文明施工、环境保护措施</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能否针对本工程项目特点制定科学、可行的现场文明施工、环境保护措施，减少施工对周边环境的影响。</w:t>
            </w:r>
          </w:p>
          <w:p w14:paraId="53B69A42">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64CBCFD1">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4DDE18B4">
            <w:pPr>
              <w:numPr>
                <w:ilvl w:val="0"/>
                <w:numId w:val="0"/>
              </w:numPr>
              <w:topLinePunct/>
              <w:adjustRightInd w:val="0"/>
              <w:snapToGrid w:val="0"/>
              <w:spacing w:line="240" w:lineRule="auto"/>
              <w:jc w:val="left"/>
              <w:rPr>
                <w:rFonts w:hint="eastAsia" w:ascii="Times New Roman" w:hAnsi="Times New Roman" w:eastAsia="宋体"/>
                <w:color w:val="auto"/>
                <w:sz w:val="24"/>
                <w:szCs w:val="24"/>
                <w:highlight w:val="none"/>
                <w:lang w:val="zh-CN" w:eastAsia="zh-CN"/>
              </w:rPr>
            </w:pPr>
            <w:r>
              <w:rPr>
                <w:rFonts w:ascii="Times New Roman" w:hAnsi="Times New Roman"/>
                <w:color w:val="auto"/>
                <w:sz w:val="24"/>
                <w:szCs w:val="24"/>
                <w:highlight w:val="none"/>
                <w:lang w:val="zh-CN"/>
              </w:rPr>
              <w:t>（</w:t>
            </w:r>
            <w:r>
              <w:rPr>
                <w:rFonts w:hint="eastAsia" w:ascii="Times New Roman" w:hAnsi="Times New Roman" w:eastAsia="宋体"/>
                <w:color w:val="auto"/>
                <w:sz w:val="24"/>
                <w:szCs w:val="24"/>
                <w:highlight w:val="none"/>
                <w:lang w:val="en-US" w:eastAsia="zh-CN"/>
              </w:rPr>
              <w:t>3</w:t>
            </w:r>
            <w:r>
              <w:rPr>
                <w:rFonts w:hint="eastAsia" w:ascii="Times New Roman" w:hAnsi="Times New Roman" w:eastAsia="宋体"/>
                <w:color w:val="auto"/>
                <w:sz w:val="24"/>
                <w:szCs w:val="24"/>
                <w:highlight w:val="none"/>
                <w:lang w:val="zh-CN" w:eastAsia="zh-CN"/>
              </w:rPr>
              <w:t>）覆盖</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全面、要点</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突出、针对性</w:t>
            </w:r>
            <w:r>
              <w:rPr>
                <w:rFonts w:hint="eastAsia" w:ascii="Times New Roman" w:hAnsi="Times New Roman" w:eastAsia="宋体"/>
                <w:color w:val="auto"/>
                <w:sz w:val="24"/>
                <w:szCs w:val="24"/>
                <w:highlight w:val="none"/>
                <w:lang w:val="en-US" w:eastAsia="zh-CN"/>
              </w:rPr>
              <w:t>不强</w:t>
            </w:r>
            <w:r>
              <w:rPr>
                <w:rFonts w:hint="eastAsia" w:ascii="Times New Roman" w:hAnsi="Times New Roman" w:eastAsia="宋体"/>
                <w:color w:val="auto"/>
                <w:sz w:val="24"/>
                <w:szCs w:val="24"/>
                <w:highlight w:val="none"/>
                <w:lang w:val="zh-CN" w:eastAsia="zh-CN"/>
              </w:rPr>
              <w:t>，内容</w:t>
            </w:r>
            <w:r>
              <w:rPr>
                <w:rFonts w:hint="eastAsia" w:ascii="Times New Roman" w:hAnsi="Times New Roman" w:eastAsia="宋体"/>
                <w:color w:val="auto"/>
                <w:sz w:val="24"/>
                <w:szCs w:val="24"/>
                <w:highlight w:val="none"/>
                <w:lang w:val="en-US" w:eastAsia="zh-CN"/>
              </w:rPr>
              <w:t>不完整</w:t>
            </w:r>
            <w:r>
              <w:rPr>
                <w:rFonts w:hint="eastAsia" w:ascii="Times New Roman" w:hAnsi="Times New Roman" w:eastAsia="宋体"/>
                <w:color w:val="auto"/>
                <w:sz w:val="24"/>
                <w:szCs w:val="24"/>
                <w:highlight w:val="none"/>
                <w:lang w:val="zh-CN" w:eastAsia="zh-CN"/>
              </w:rPr>
              <w:t>，表述</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清晰，与本项目实际需求</w:t>
            </w:r>
            <w:r>
              <w:rPr>
                <w:rFonts w:hint="eastAsia" w:ascii="Times New Roman" w:hAnsi="Times New Roman" w:eastAsia="宋体"/>
                <w:color w:val="auto"/>
                <w:sz w:val="24"/>
                <w:szCs w:val="24"/>
                <w:highlight w:val="none"/>
                <w:lang w:val="en-US" w:eastAsia="zh-CN"/>
              </w:rPr>
              <w:t>不适应</w:t>
            </w: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不</w:t>
            </w:r>
            <w:r>
              <w:rPr>
                <w:rFonts w:hint="eastAsia" w:ascii="Times New Roman" w:hAnsi="Times New Roman" w:eastAsia="宋体"/>
                <w:color w:val="auto"/>
                <w:sz w:val="24"/>
                <w:szCs w:val="24"/>
                <w:highlight w:val="none"/>
                <w:lang w:val="zh-CN" w:eastAsia="zh-CN"/>
              </w:rPr>
              <w:t>符合项目实施要求的得</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lang w:val="zh-CN" w:eastAsia="zh-CN"/>
              </w:rPr>
              <w:t>分；</w:t>
            </w:r>
          </w:p>
          <w:p w14:paraId="7555A3BC">
            <w:pPr>
              <w:numPr>
                <w:ilvl w:val="0"/>
                <w:numId w:val="0"/>
              </w:numPr>
              <w:topLinePunct/>
              <w:adjustRightInd w:val="0"/>
              <w:snapToGrid w:val="0"/>
              <w:spacing w:line="240" w:lineRule="auto"/>
              <w:ind w:left="0" w:leftChars="0" w:firstLine="0" w:firstLineChars="0"/>
              <w:jc w:val="left"/>
              <w:rPr>
                <w:rFonts w:hint="eastAsia" w:ascii="Times New Roman" w:hAnsi="Times New Roman"/>
                <w:bCs/>
                <w:color w:val="auto"/>
                <w:sz w:val="24"/>
                <w:szCs w:val="24"/>
                <w:highlight w:val="none"/>
                <w:lang w:eastAsia="zh-CN"/>
              </w:rPr>
            </w:pPr>
            <w:r>
              <w:rPr>
                <w:rFonts w:hint="eastAsia" w:ascii="Times New Roman" w:hAnsi="Times New Roman" w:eastAsia="宋体"/>
                <w:color w:val="auto"/>
                <w:sz w:val="24"/>
                <w:szCs w:val="24"/>
                <w:highlight w:val="none"/>
                <w:lang w:val="zh-CN" w:eastAsia="zh-CN"/>
              </w:rPr>
              <w:t>（</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lang w:val="zh-CN" w:eastAsia="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2A85646F">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61EC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1A6CAF69">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2F9E698E">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50E4CFB5">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7</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应急工作方案</w:t>
            </w:r>
            <w:r>
              <w:rPr>
                <w:rFonts w:hint="eastAsia" w:ascii="Times New Roman" w:hAnsi="Times New Roman"/>
                <w:b/>
                <w:bCs/>
                <w:color w:val="auto"/>
                <w:sz w:val="24"/>
                <w:szCs w:val="24"/>
                <w:highlight w:val="none"/>
                <w:lang w:val="zh-CN"/>
              </w:rPr>
              <w:t>：</w:t>
            </w:r>
            <w:r>
              <w:rPr>
                <w:rFonts w:ascii="Times New Roman" w:hAnsi="Times New Roman"/>
                <w:b/>
                <w:bCs/>
                <w:color w:val="auto"/>
                <w:sz w:val="24"/>
                <w:szCs w:val="24"/>
                <w:highlight w:val="none"/>
                <w:lang w:val="zh-CN"/>
              </w:rPr>
              <w:t>结合实际，制定紧急应急预案包括不限于列出制定应急预案、响应和恢复措施。</w:t>
            </w:r>
          </w:p>
          <w:p w14:paraId="61AE5B1E">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66B176B6">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8C5244D">
            <w:pPr>
              <w:topLinePunct/>
              <w:adjustRightInd w:val="0"/>
              <w:snapToGrid w:val="0"/>
              <w:spacing w:line="240" w:lineRule="auto"/>
              <w:jc w:val="left"/>
              <w:rPr>
                <w:rFonts w:ascii="Times New Roman" w:hAnsi="Times New Roman" w:eastAsia="宋体"/>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w:t>
            </w:r>
            <w:r>
              <w:rPr>
                <w:rFonts w:ascii="Times New Roman" w:hAnsi="Times New Roman" w:eastAsia="宋体"/>
                <w:color w:val="auto"/>
                <w:sz w:val="24"/>
                <w:szCs w:val="24"/>
                <w:highlight w:val="none"/>
                <w:lang w:val="zh-CN"/>
              </w:rPr>
              <w:t>覆盖</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全面、要点</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突出、针对性</w:t>
            </w:r>
            <w:r>
              <w:rPr>
                <w:rFonts w:hint="eastAsia" w:ascii="Times New Roman" w:hAnsi="Times New Roman" w:eastAsia="宋体"/>
                <w:color w:val="auto"/>
                <w:sz w:val="24"/>
                <w:szCs w:val="24"/>
                <w:highlight w:val="none"/>
                <w:lang w:val="zh-CN"/>
              </w:rPr>
              <w:t>不强</w:t>
            </w:r>
            <w:r>
              <w:rPr>
                <w:rFonts w:ascii="Times New Roman" w:hAnsi="Times New Roman" w:eastAsia="宋体"/>
                <w:color w:val="auto"/>
                <w:sz w:val="24"/>
                <w:szCs w:val="24"/>
                <w:highlight w:val="none"/>
                <w:lang w:val="zh-CN"/>
              </w:rPr>
              <w:t>，内容</w:t>
            </w:r>
            <w:r>
              <w:rPr>
                <w:rFonts w:hint="eastAsia" w:ascii="Times New Roman" w:hAnsi="Times New Roman" w:eastAsia="宋体"/>
                <w:color w:val="auto"/>
                <w:sz w:val="24"/>
                <w:szCs w:val="24"/>
                <w:highlight w:val="none"/>
                <w:lang w:val="zh-CN"/>
              </w:rPr>
              <w:t>不完整</w:t>
            </w:r>
            <w:r>
              <w:rPr>
                <w:rFonts w:ascii="Times New Roman" w:hAnsi="Times New Roman" w:eastAsia="宋体"/>
                <w:color w:val="auto"/>
                <w:sz w:val="24"/>
                <w:szCs w:val="24"/>
                <w:highlight w:val="none"/>
                <w:lang w:val="zh-CN"/>
              </w:rPr>
              <w:t>，表述</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清晰，与本项目实际需求</w:t>
            </w:r>
            <w:r>
              <w:rPr>
                <w:rFonts w:hint="eastAsia" w:ascii="Times New Roman" w:hAnsi="Times New Roman" w:eastAsia="宋体"/>
                <w:color w:val="auto"/>
                <w:sz w:val="24"/>
                <w:szCs w:val="24"/>
                <w:highlight w:val="none"/>
                <w:lang w:val="zh-CN"/>
              </w:rPr>
              <w:t>不适应</w:t>
            </w: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符合项目实施要求的得</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分；</w:t>
            </w:r>
          </w:p>
          <w:p w14:paraId="646D2536">
            <w:pPr>
              <w:topLinePunct/>
              <w:adjustRightInd w:val="0"/>
              <w:snapToGrid w:val="0"/>
              <w:spacing w:line="240" w:lineRule="auto"/>
              <w:jc w:val="left"/>
              <w:rPr>
                <w:rFonts w:hint="eastAsia" w:ascii="Times New Roman" w:hAnsi="Times New Roman"/>
                <w:bCs/>
                <w:color w:val="auto"/>
                <w:sz w:val="24"/>
                <w:szCs w:val="24"/>
                <w:highlight w:val="none"/>
                <w:lang w:eastAsia="zh-CN"/>
              </w:rPr>
            </w:pP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en-US" w:eastAsia="zh-CN"/>
              </w:rPr>
              <w:t>4</w:t>
            </w:r>
            <w:r>
              <w:rPr>
                <w:rFonts w:ascii="Times New Roman" w:hAnsi="Times New Roman" w:eastAsia="宋体"/>
                <w:color w:val="auto"/>
                <w:sz w:val="24"/>
                <w:szCs w:val="24"/>
                <w:highlight w:val="none"/>
                <w:lang w:val="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4FA6E1ED">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0E2A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Merge w:val="continue"/>
            <w:tcBorders>
              <w:left w:val="single" w:color="auto" w:sz="4" w:space="0"/>
              <w:right w:val="single" w:color="auto" w:sz="4" w:space="0"/>
            </w:tcBorders>
            <w:vAlign w:val="center"/>
          </w:tcPr>
          <w:p w14:paraId="2969FB18">
            <w:pPr>
              <w:spacing w:line="240" w:lineRule="auto"/>
              <w:ind w:firstLine="435"/>
              <w:jc w:val="center"/>
              <w:rPr>
                <w:rFonts w:asciiTheme="minorEastAsia" w:hAnsiTheme="minorEastAsia" w:eastAsiaTheme="minorEastAsia"/>
                <w:b/>
                <w:bCs/>
                <w:color w:val="auto"/>
                <w:sz w:val="24"/>
                <w:highlight w:val="none"/>
              </w:rPr>
            </w:pPr>
          </w:p>
        </w:tc>
        <w:tc>
          <w:tcPr>
            <w:tcW w:w="766" w:type="pct"/>
            <w:vMerge w:val="continue"/>
            <w:tcBorders>
              <w:top w:val="single" w:color="auto" w:sz="4" w:space="0"/>
              <w:left w:val="single" w:color="auto" w:sz="4" w:space="0"/>
              <w:bottom w:val="single" w:color="auto" w:sz="4" w:space="0"/>
              <w:right w:val="single" w:color="auto" w:sz="4" w:space="0"/>
            </w:tcBorders>
            <w:vAlign w:val="center"/>
          </w:tcPr>
          <w:p w14:paraId="5BA217F0">
            <w:pPr>
              <w:spacing w:line="240" w:lineRule="auto"/>
              <w:jc w:val="left"/>
              <w:rPr>
                <w:rFonts w:asciiTheme="minorEastAsia" w:hAnsiTheme="minorEastAsia" w:eastAsiaTheme="minorEastAsia"/>
                <w:bCs/>
                <w:color w:val="auto"/>
                <w:sz w:val="24"/>
                <w:highlight w:val="none"/>
              </w:rPr>
            </w:pPr>
          </w:p>
        </w:tc>
        <w:tc>
          <w:tcPr>
            <w:tcW w:w="2854" w:type="pct"/>
            <w:tcBorders>
              <w:top w:val="single" w:color="auto" w:sz="4" w:space="0"/>
              <w:left w:val="single" w:color="auto" w:sz="4" w:space="0"/>
              <w:bottom w:val="single" w:color="auto" w:sz="4" w:space="0"/>
              <w:right w:val="single" w:color="auto" w:sz="4" w:space="0"/>
            </w:tcBorders>
            <w:vAlign w:val="center"/>
          </w:tcPr>
          <w:p w14:paraId="1F2A0C35">
            <w:pPr>
              <w:topLinePunct/>
              <w:adjustRightInd w:val="0"/>
              <w:snapToGrid w:val="0"/>
              <w:spacing w:line="240" w:lineRule="auto"/>
              <w:jc w:val="left"/>
              <w:rPr>
                <w:rFonts w:ascii="Times New Roman" w:hAnsi="Times New Roman"/>
                <w:b/>
                <w:bCs/>
                <w:color w:val="auto"/>
                <w:sz w:val="24"/>
                <w:szCs w:val="24"/>
                <w:highlight w:val="none"/>
                <w:lang w:val="zh-CN"/>
              </w:rPr>
            </w:pPr>
            <w:r>
              <w:rPr>
                <w:rFonts w:hint="eastAsia" w:ascii="Times New Roman" w:hAnsi="Times New Roman"/>
                <w:b/>
                <w:bCs/>
                <w:color w:val="auto"/>
                <w:sz w:val="24"/>
                <w:szCs w:val="24"/>
                <w:highlight w:val="none"/>
              </w:rPr>
              <w:t>8.</w:t>
            </w:r>
            <w:r>
              <w:rPr>
                <w:rFonts w:ascii="Times New Roman" w:hAnsi="Times New Roman"/>
                <w:b/>
                <w:bCs/>
                <w:color w:val="auto"/>
                <w:sz w:val="24"/>
                <w:szCs w:val="24"/>
                <w:highlight w:val="none"/>
                <w:lang w:val="zh-CN"/>
              </w:rPr>
              <w:t>合理化建议</w:t>
            </w:r>
            <w:r>
              <w:rPr>
                <w:rFonts w:hint="eastAsia" w:ascii="Times New Roman" w:hAnsi="Times New Roman"/>
                <w:b/>
                <w:bCs/>
                <w:color w:val="auto"/>
                <w:sz w:val="24"/>
                <w:szCs w:val="24"/>
                <w:highlight w:val="none"/>
                <w:lang w:val="zh-CN"/>
              </w:rPr>
              <w:t>：供应商</w:t>
            </w:r>
            <w:r>
              <w:rPr>
                <w:rFonts w:hint="eastAsia" w:ascii="Times New Roman" w:hAnsi="Times New Roman"/>
                <w:b/>
                <w:bCs/>
                <w:color w:val="auto"/>
                <w:sz w:val="24"/>
                <w:szCs w:val="24"/>
                <w:highlight w:val="none"/>
              </w:rPr>
              <w:t>针对</w:t>
            </w:r>
            <w:r>
              <w:rPr>
                <w:rFonts w:hint="eastAsia" w:ascii="Times New Roman" w:hAnsi="Times New Roman"/>
                <w:b/>
                <w:bCs/>
                <w:color w:val="auto"/>
                <w:sz w:val="24"/>
                <w:szCs w:val="24"/>
                <w:highlight w:val="none"/>
                <w:lang w:val="zh-CN"/>
              </w:rPr>
              <w:t>本项目</w:t>
            </w:r>
            <w:r>
              <w:rPr>
                <w:rFonts w:hint="eastAsia" w:ascii="Times New Roman" w:hAnsi="Times New Roman"/>
                <w:b/>
                <w:bCs/>
                <w:color w:val="auto"/>
                <w:sz w:val="24"/>
                <w:szCs w:val="24"/>
                <w:highlight w:val="none"/>
              </w:rPr>
              <w:t>提出的</w:t>
            </w:r>
            <w:r>
              <w:rPr>
                <w:rFonts w:hint="eastAsia" w:ascii="Times New Roman" w:hAnsi="Times New Roman"/>
                <w:b/>
                <w:bCs/>
                <w:color w:val="auto"/>
                <w:sz w:val="24"/>
                <w:szCs w:val="24"/>
                <w:highlight w:val="none"/>
                <w:lang w:val="zh-CN"/>
              </w:rPr>
              <w:t>合理化建议。</w:t>
            </w:r>
          </w:p>
          <w:p w14:paraId="255C42E2">
            <w:pPr>
              <w:numPr>
                <w:ilvl w:val="0"/>
                <w:numId w:val="0"/>
              </w:numPr>
              <w:topLinePunct/>
              <w:adjustRightInd w:val="0"/>
              <w:snapToGrid w:val="0"/>
              <w:spacing w:line="240" w:lineRule="auto"/>
              <w:jc w:val="left"/>
              <w:rPr>
                <w:rFonts w:ascii="Times New Roman" w:hAnsi="Times New Roman"/>
                <w:color w:val="auto"/>
                <w:sz w:val="24"/>
                <w:szCs w:val="24"/>
                <w:highlight w:val="none"/>
                <w:lang w:val="zh-CN"/>
              </w:rPr>
            </w:pP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lang w:val="zh-CN"/>
              </w:rPr>
              <w:t>覆盖全面</w:t>
            </w:r>
            <w:r>
              <w:rPr>
                <w:rFonts w:hint="eastAsia" w:ascii="Times New Roman" w:hAnsi="Times New Roman"/>
                <w:color w:val="auto"/>
                <w:sz w:val="24"/>
                <w:szCs w:val="24"/>
                <w:highlight w:val="none"/>
                <w:lang w:val="en-US" w:eastAsia="zh-CN"/>
              </w:rPr>
              <w:t>详实</w:t>
            </w:r>
            <w:r>
              <w:rPr>
                <w:rFonts w:ascii="Times New Roman" w:hAnsi="Times New Roman"/>
                <w:color w:val="auto"/>
                <w:sz w:val="24"/>
                <w:szCs w:val="24"/>
                <w:highlight w:val="none"/>
                <w:lang w:val="zh-CN"/>
              </w:rPr>
              <w:t>、要点</w:t>
            </w:r>
            <w:r>
              <w:rPr>
                <w:rFonts w:hint="eastAsia" w:ascii="Times New Roman" w:hAnsi="Times New Roman"/>
                <w:color w:val="auto"/>
                <w:sz w:val="24"/>
                <w:szCs w:val="24"/>
                <w:highlight w:val="none"/>
                <w:lang w:val="en-US" w:eastAsia="zh-CN"/>
              </w:rPr>
              <w:t>亮点</w:t>
            </w:r>
            <w:r>
              <w:rPr>
                <w:rFonts w:ascii="Times New Roman" w:hAnsi="Times New Roman"/>
                <w:color w:val="auto"/>
                <w:sz w:val="24"/>
                <w:szCs w:val="24"/>
                <w:highlight w:val="none"/>
                <w:lang w:val="zh-CN"/>
              </w:rPr>
              <w:t>突出、</w:t>
            </w:r>
            <w:r>
              <w:rPr>
                <w:rFonts w:hint="eastAsia" w:ascii="Times New Roman" w:hAnsi="Times New Roman"/>
                <w:color w:val="auto"/>
                <w:sz w:val="24"/>
                <w:szCs w:val="24"/>
                <w:highlight w:val="none"/>
                <w:lang w:val="en-US" w:eastAsia="zh-CN"/>
              </w:rPr>
              <w:t>科学合理</w:t>
            </w:r>
            <w:r>
              <w:rPr>
                <w:rFonts w:ascii="Times New Roman" w:hAnsi="Times New Roman"/>
                <w:color w:val="auto"/>
                <w:sz w:val="24"/>
                <w:szCs w:val="24"/>
                <w:highlight w:val="none"/>
                <w:lang w:val="zh-CN"/>
              </w:rPr>
              <w:t>，内容完整</w:t>
            </w:r>
            <w:r>
              <w:rPr>
                <w:rFonts w:hint="eastAsia" w:ascii="Times New Roman" w:hAnsi="Times New Roman"/>
                <w:color w:val="auto"/>
                <w:sz w:val="24"/>
                <w:szCs w:val="24"/>
                <w:highlight w:val="none"/>
                <w:lang w:val="en-US" w:eastAsia="zh-CN"/>
              </w:rPr>
              <w:t>周密</w:t>
            </w:r>
            <w:r>
              <w:rPr>
                <w:rFonts w:ascii="Times New Roman" w:hAnsi="Times New Roman"/>
                <w:color w:val="auto"/>
                <w:sz w:val="24"/>
                <w:szCs w:val="24"/>
                <w:highlight w:val="none"/>
                <w:lang w:val="zh-CN"/>
              </w:rPr>
              <w:t>，表述清晰，</w:t>
            </w:r>
            <w:r>
              <w:rPr>
                <w:rFonts w:hint="eastAsia" w:ascii="Times New Roman" w:hAnsi="Times New Roman"/>
                <w:color w:val="auto"/>
                <w:sz w:val="24"/>
                <w:szCs w:val="24"/>
                <w:highlight w:val="none"/>
                <w:lang w:val="en-US" w:eastAsia="zh-CN"/>
              </w:rPr>
              <w:t>优于</w:t>
            </w:r>
            <w:r>
              <w:rPr>
                <w:rFonts w:ascii="Times New Roman" w:hAnsi="Times New Roman"/>
                <w:color w:val="auto"/>
                <w:sz w:val="24"/>
                <w:szCs w:val="24"/>
                <w:highlight w:val="none"/>
                <w:lang w:val="zh-CN"/>
              </w:rPr>
              <w:t>本项目实际需求</w:t>
            </w:r>
            <w:r>
              <w:rPr>
                <w:rFonts w:hint="eastAsia"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能高度配合有</w:t>
            </w:r>
            <w:r>
              <w:rPr>
                <w:rFonts w:ascii="Times New Roman" w:hAnsi="Times New Roman"/>
                <w:color w:val="auto"/>
                <w:sz w:val="24"/>
                <w:szCs w:val="24"/>
                <w:highlight w:val="none"/>
                <w:lang w:val="zh-CN"/>
              </w:rPr>
              <w:t>利于项目实施的得</w:t>
            </w:r>
            <w:r>
              <w:rPr>
                <w:rFonts w:hint="eastAsia" w:ascii="Times New Roman" w:hAnsi="Times New Roman"/>
                <w:color w:val="auto"/>
                <w:sz w:val="24"/>
                <w:szCs w:val="24"/>
                <w:highlight w:val="none"/>
              </w:rPr>
              <w:t>5</w:t>
            </w:r>
            <w:r>
              <w:rPr>
                <w:rFonts w:ascii="Times New Roman" w:hAnsi="Times New Roman"/>
                <w:color w:val="auto"/>
                <w:sz w:val="24"/>
                <w:szCs w:val="24"/>
                <w:highlight w:val="none"/>
                <w:lang w:val="zh-CN"/>
              </w:rPr>
              <w:t>分；</w:t>
            </w:r>
          </w:p>
          <w:p w14:paraId="1F13B5CF">
            <w:pPr>
              <w:topLinePunct/>
              <w:adjustRightInd w:val="0"/>
              <w:snapToGrid w:val="0"/>
              <w:spacing w:line="240" w:lineRule="auto"/>
              <w:jc w:val="left"/>
              <w:rPr>
                <w:rFonts w:ascii="Times New Roman" w:hAnsi="Times New Roman"/>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lang w:val="en-US" w:eastAsia="zh-CN"/>
              </w:rPr>
              <w:t>基本</w:t>
            </w:r>
            <w:r>
              <w:rPr>
                <w:rFonts w:ascii="Times New Roman" w:hAnsi="Times New Roman"/>
                <w:color w:val="auto"/>
                <w:sz w:val="24"/>
                <w:szCs w:val="24"/>
                <w:highlight w:val="none"/>
                <w:lang w:val="zh-CN"/>
              </w:rPr>
              <w:t>全面</w:t>
            </w:r>
            <w:r>
              <w:rPr>
                <w:rFonts w:hint="eastAsia" w:ascii="Times New Roman" w:hAnsi="Times New Roman"/>
                <w:color w:val="auto"/>
                <w:sz w:val="24"/>
                <w:szCs w:val="24"/>
                <w:highlight w:val="none"/>
                <w:lang w:val="en-US" w:eastAsia="zh-CN"/>
              </w:rPr>
              <w:t>合理</w:t>
            </w:r>
            <w:r>
              <w:rPr>
                <w:rFonts w:ascii="Times New Roman" w:hAnsi="Times New Roman"/>
                <w:color w:val="auto"/>
                <w:sz w:val="24"/>
                <w:szCs w:val="24"/>
                <w:highlight w:val="none"/>
                <w:lang w:val="zh-CN"/>
              </w:rPr>
              <w:t>，与本项目实际需求</w:t>
            </w:r>
            <w:r>
              <w:rPr>
                <w:rFonts w:hint="eastAsia" w:ascii="Times New Roman" w:hAnsi="Times New Roman"/>
                <w:color w:val="auto"/>
                <w:sz w:val="24"/>
                <w:szCs w:val="24"/>
                <w:highlight w:val="none"/>
                <w:lang w:val="en-US" w:eastAsia="zh-CN"/>
              </w:rPr>
              <w:t>基本</w:t>
            </w:r>
            <w:r>
              <w:rPr>
                <w:rFonts w:hint="eastAsia" w:ascii="Times New Roman" w:hAnsi="Times New Roman"/>
                <w:color w:val="auto"/>
                <w:sz w:val="24"/>
                <w:szCs w:val="24"/>
                <w:highlight w:val="none"/>
              </w:rPr>
              <w:t>适应</w:t>
            </w:r>
            <w:r>
              <w:rPr>
                <w:rFonts w:hint="eastAsia" w:ascii="Times New Roman" w:hAnsi="Times New Roman"/>
                <w:color w:val="auto"/>
                <w:sz w:val="24"/>
                <w:szCs w:val="24"/>
                <w:highlight w:val="none"/>
                <w:lang w:val="zh-CN"/>
              </w:rPr>
              <w:t>的</w:t>
            </w:r>
            <w:r>
              <w:rPr>
                <w:rFonts w:ascii="Times New Roman" w:hAnsi="Times New Roman"/>
                <w:color w:val="auto"/>
                <w:sz w:val="24"/>
                <w:szCs w:val="24"/>
                <w:highlight w:val="none"/>
                <w:lang w:val="zh-CN"/>
              </w:rPr>
              <w:t>得</w:t>
            </w:r>
            <w:r>
              <w:rPr>
                <w:rFonts w:hint="eastAsia" w:ascii="Times New Roman" w:hAnsi="Times New Roman"/>
                <w:color w:val="auto"/>
                <w:sz w:val="24"/>
                <w:szCs w:val="24"/>
                <w:highlight w:val="none"/>
              </w:rPr>
              <w:t>3</w:t>
            </w:r>
            <w:r>
              <w:rPr>
                <w:rFonts w:ascii="Times New Roman" w:hAnsi="Times New Roman"/>
                <w:color w:val="auto"/>
                <w:sz w:val="24"/>
                <w:szCs w:val="24"/>
                <w:highlight w:val="none"/>
                <w:lang w:val="zh-CN"/>
              </w:rPr>
              <w:t>分；</w:t>
            </w:r>
          </w:p>
          <w:p w14:paraId="3797C519">
            <w:pPr>
              <w:topLinePunct/>
              <w:adjustRightInd w:val="0"/>
              <w:snapToGrid w:val="0"/>
              <w:spacing w:line="240" w:lineRule="auto"/>
              <w:jc w:val="left"/>
              <w:rPr>
                <w:rFonts w:ascii="Times New Roman" w:hAnsi="Times New Roman" w:eastAsia="宋体"/>
                <w:color w:val="auto"/>
                <w:sz w:val="24"/>
                <w:szCs w:val="24"/>
                <w:highlight w:val="none"/>
                <w:lang w:val="zh-CN"/>
              </w:rPr>
            </w:pPr>
            <w:r>
              <w:rPr>
                <w:rFonts w:ascii="Times New Roman" w:hAnsi="Times New Roman"/>
                <w:color w:val="auto"/>
                <w:sz w:val="24"/>
                <w:szCs w:val="24"/>
                <w:highlight w:val="none"/>
                <w:lang w:val="zh-CN"/>
              </w:rPr>
              <w:t>（</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lang w:val="zh-CN"/>
              </w:rPr>
              <w:t>）覆盖</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全面、要点</w:t>
            </w:r>
            <w:r>
              <w:rPr>
                <w:rFonts w:hint="eastAsia" w:ascii="Times New Roman" w:hAnsi="Times New Roman"/>
                <w:color w:val="auto"/>
                <w:sz w:val="24"/>
                <w:szCs w:val="24"/>
                <w:highlight w:val="none"/>
              </w:rPr>
              <w:t>不</w:t>
            </w:r>
            <w:r>
              <w:rPr>
                <w:rFonts w:ascii="Times New Roman" w:hAnsi="Times New Roman"/>
                <w:color w:val="auto"/>
                <w:sz w:val="24"/>
                <w:szCs w:val="24"/>
                <w:highlight w:val="none"/>
                <w:lang w:val="zh-CN"/>
              </w:rPr>
              <w:t>突出、针对性</w:t>
            </w:r>
            <w:r>
              <w:rPr>
                <w:rFonts w:hint="eastAsia" w:ascii="Times New Roman" w:hAnsi="Times New Roman"/>
                <w:color w:val="auto"/>
                <w:sz w:val="24"/>
                <w:szCs w:val="24"/>
                <w:highlight w:val="none"/>
              </w:rPr>
              <w:t>不强</w:t>
            </w:r>
            <w:r>
              <w:rPr>
                <w:rFonts w:ascii="Times New Roman" w:hAnsi="Times New Roman"/>
                <w:color w:val="auto"/>
                <w:sz w:val="24"/>
                <w:szCs w:val="24"/>
                <w:highlight w:val="none"/>
                <w:lang w:val="zh-CN"/>
              </w:rPr>
              <w:t>，内容</w:t>
            </w:r>
            <w:r>
              <w:rPr>
                <w:rFonts w:hint="eastAsia" w:ascii="Times New Roman" w:hAnsi="Times New Roman"/>
                <w:color w:val="auto"/>
                <w:sz w:val="24"/>
                <w:szCs w:val="24"/>
                <w:highlight w:val="none"/>
              </w:rPr>
              <w:t>不完整</w:t>
            </w:r>
            <w:r>
              <w:rPr>
                <w:rFonts w:ascii="Times New Roman" w:hAnsi="Times New Roman"/>
                <w:color w:val="auto"/>
                <w:sz w:val="24"/>
                <w:szCs w:val="24"/>
                <w:highlight w:val="none"/>
                <w:lang w:val="zh-CN"/>
              </w:rPr>
              <w:t>，</w:t>
            </w:r>
            <w:r>
              <w:rPr>
                <w:rFonts w:ascii="Times New Roman" w:hAnsi="Times New Roman" w:eastAsia="宋体"/>
                <w:color w:val="auto"/>
                <w:sz w:val="24"/>
                <w:szCs w:val="24"/>
                <w:highlight w:val="none"/>
                <w:lang w:val="zh-CN"/>
              </w:rPr>
              <w:t>表述</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清晰，与本项目实际需求</w:t>
            </w:r>
            <w:r>
              <w:rPr>
                <w:rFonts w:hint="eastAsia" w:ascii="Times New Roman" w:hAnsi="Times New Roman" w:eastAsia="宋体"/>
                <w:color w:val="auto"/>
                <w:sz w:val="24"/>
                <w:szCs w:val="24"/>
                <w:highlight w:val="none"/>
                <w:lang w:val="zh-CN"/>
              </w:rPr>
              <w:t>不适应</w:t>
            </w: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zh-CN"/>
              </w:rPr>
              <w:t>不</w:t>
            </w:r>
            <w:r>
              <w:rPr>
                <w:rFonts w:ascii="Times New Roman" w:hAnsi="Times New Roman" w:eastAsia="宋体"/>
                <w:color w:val="auto"/>
                <w:sz w:val="24"/>
                <w:szCs w:val="24"/>
                <w:highlight w:val="none"/>
                <w:lang w:val="zh-CN"/>
              </w:rPr>
              <w:t>符合项目实施要求的得</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分；</w:t>
            </w:r>
          </w:p>
          <w:p w14:paraId="13087D57">
            <w:pPr>
              <w:topLinePunct/>
              <w:adjustRightInd w:val="0"/>
              <w:snapToGrid w:val="0"/>
              <w:spacing w:line="240" w:lineRule="auto"/>
              <w:jc w:val="left"/>
              <w:rPr>
                <w:rFonts w:hint="eastAsia" w:ascii="Times New Roman" w:hAnsi="Times New Roman"/>
                <w:bCs/>
                <w:color w:val="auto"/>
                <w:sz w:val="24"/>
                <w:szCs w:val="24"/>
                <w:highlight w:val="none"/>
                <w:lang w:eastAsia="zh-CN"/>
              </w:rPr>
            </w:pPr>
            <w:r>
              <w:rPr>
                <w:rFonts w:ascii="Times New Roman" w:hAnsi="Times New Roman" w:eastAsia="宋体"/>
                <w:color w:val="auto"/>
                <w:sz w:val="24"/>
                <w:szCs w:val="24"/>
                <w:highlight w:val="none"/>
                <w:lang w:val="zh-CN"/>
              </w:rPr>
              <w:t>（</w:t>
            </w:r>
            <w:r>
              <w:rPr>
                <w:rFonts w:hint="eastAsia" w:ascii="Times New Roman" w:hAnsi="Times New Roman" w:eastAsia="宋体"/>
                <w:color w:val="auto"/>
                <w:sz w:val="24"/>
                <w:szCs w:val="24"/>
                <w:highlight w:val="none"/>
                <w:lang w:val="en-US" w:eastAsia="zh-CN"/>
              </w:rPr>
              <w:t>4</w:t>
            </w:r>
            <w:r>
              <w:rPr>
                <w:rFonts w:ascii="Times New Roman" w:hAnsi="Times New Roman" w:eastAsia="宋体"/>
                <w:color w:val="auto"/>
                <w:sz w:val="24"/>
                <w:szCs w:val="24"/>
                <w:highlight w:val="none"/>
                <w:lang w:val="zh-CN"/>
              </w:rPr>
              <w:t>）未提供的不得分。</w:t>
            </w:r>
          </w:p>
        </w:tc>
        <w:tc>
          <w:tcPr>
            <w:tcW w:w="716" w:type="pct"/>
            <w:tcBorders>
              <w:top w:val="single" w:color="auto" w:sz="4" w:space="0"/>
              <w:left w:val="single" w:color="auto" w:sz="4" w:space="0"/>
              <w:bottom w:val="single" w:color="auto" w:sz="4" w:space="0"/>
              <w:right w:val="single" w:color="auto" w:sz="4" w:space="0"/>
            </w:tcBorders>
            <w:vAlign w:val="center"/>
          </w:tcPr>
          <w:p w14:paraId="6E6E3BF3">
            <w:pPr>
              <w:spacing w:line="240" w:lineRule="auto"/>
              <w:jc w:val="center"/>
              <w:rPr>
                <w:rFonts w:hint="eastAsia" w:ascii="宋体" w:hAnsi="宋体" w:eastAsia="宋体"/>
                <w:b/>
                <w:bCs/>
                <w:color w:val="auto"/>
                <w:sz w:val="24"/>
                <w:szCs w:val="24"/>
                <w:highlight w:val="none"/>
                <w:lang w:val="en-US" w:eastAsia="zh-CN"/>
              </w:rPr>
            </w:pPr>
            <w:r>
              <w:rPr>
                <w:rFonts w:hint="eastAsia" w:ascii="宋体" w:hAnsi="宋体" w:eastAsia="宋体"/>
                <w:b/>
                <w:bCs/>
                <w:color w:val="auto"/>
                <w:sz w:val="24"/>
                <w:szCs w:val="24"/>
                <w:highlight w:val="none"/>
                <w:lang w:val="en-US" w:eastAsia="zh-CN"/>
              </w:rPr>
              <w:t>0-5分</w:t>
            </w:r>
          </w:p>
        </w:tc>
      </w:tr>
      <w:tr w14:paraId="1CA9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tcBorders>
              <w:left w:val="single" w:color="auto" w:sz="4" w:space="0"/>
              <w:right w:val="single" w:color="auto" w:sz="4" w:space="0"/>
            </w:tcBorders>
            <w:vAlign w:val="center"/>
          </w:tcPr>
          <w:p w14:paraId="59F7D8D5">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价格分</w:t>
            </w:r>
          </w:p>
          <w:p w14:paraId="6007D867">
            <w:pPr>
              <w:spacing w:line="24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w:t>
            </w:r>
            <w:r>
              <w:rPr>
                <w:rFonts w:hint="eastAsia" w:asciiTheme="minorEastAsia" w:hAnsiTheme="minorEastAsia" w:eastAsiaTheme="minorEastAsia"/>
                <w:b/>
                <w:bCs/>
                <w:color w:val="auto"/>
                <w:sz w:val="24"/>
                <w:highlight w:val="none"/>
                <w:u w:val="single"/>
                <w:lang w:val="en-US" w:eastAsia="zh-CN"/>
              </w:rPr>
              <w:t>20</w:t>
            </w:r>
            <w:r>
              <w:rPr>
                <w:rFonts w:hint="eastAsia" w:asciiTheme="minorEastAsia" w:hAnsiTheme="minorEastAsia" w:eastAsiaTheme="minorEastAsia"/>
                <w:b/>
                <w:bCs/>
                <w:color w:val="auto"/>
                <w:sz w:val="24"/>
                <w:highlight w:val="none"/>
              </w:rPr>
              <w:t>分）</w:t>
            </w:r>
          </w:p>
        </w:tc>
        <w:tc>
          <w:tcPr>
            <w:tcW w:w="4337" w:type="pct"/>
            <w:gridSpan w:val="3"/>
            <w:tcBorders>
              <w:top w:val="single" w:color="auto" w:sz="4" w:space="0"/>
              <w:left w:val="single" w:color="auto" w:sz="4" w:space="0"/>
              <w:bottom w:val="single" w:color="auto" w:sz="4" w:space="0"/>
              <w:right w:val="single" w:color="auto" w:sz="4" w:space="0"/>
            </w:tcBorders>
            <w:vAlign w:val="center"/>
          </w:tcPr>
          <w:p w14:paraId="19704D22">
            <w:pPr>
              <w:spacing w:line="24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价格分统一采用低价优先法，即满足磋商文件要求且最后报价最低的供应商的价格为磋商基准价，其价格分为满分</w:t>
            </w:r>
            <w:r>
              <w:rPr>
                <w:rFonts w:hint="eastAsia" w:asciiTheme="minorEastAsia" w:hAnsiTheme="minorEastAsia" w:eastAsiaTheme="minorEastAsia"/>
                <w:color w:val="auto"/>
                <w:sz w:val="24"/>
                <w:highlight w:val="none"/>
                <w:u w:val="single"/>
                <w:lang w:val="en-US" w:eastAsia="zh-CN"/>
              </w:rPr>
              <w:t>20</w:t>
            </w:r>
            <w:r>
              <w:rPr>
                <w:rFonts w:hint="eastAsia" w:asciiTheme="minorEastAsia" w:hAnsiTheme="minorEastAsia" w:eastAsiaTheme="minorEastAsia"/>
                <w:color w:val="auto"/>
                <w:sz w:val="24"/>
                <w:highlight w:val="none"/>
              </w:rPr>
              <w:t>分。其他供应商的价格分统一按照下列公式计算：</w:t>
            </w:r>
          </w:p>
          <w:p w14:paraId="657ABDA6">
            <w:pPr>
              <w:spacing w:line="240"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磋商报价得分＝（磋商基准价/</w:t>
            </w:r>
            <w:r>
              <w:rPr>
                <w:rFonts w:hint="eastAsia"/>
                <w:color w:val="auto"/>
                <w:sz w:val="24"/>
                <w:highlight w:val="none"/>
              </w:rPr>
              <w:t>最后磋商</w:t>
            </w:r>
            <w:r>
              <w:rPr>
                <w:rFonts w:hint="eastAsia" w:asciiTheme="minorEastAsia" w:hAnsiTheme="minorEastAsia" w:eastAsiaTheme="minorEastAsia"/>
                <w:color w:val="auto"/>
                <w:sz w:val="24"/>
                <w:highlight w:val="none"/>
              </w:rPr>
              <w:t>报价）×</w:t>
            </w:r>
            <w:r>
              <w:rPr>
                <w:rFonts w:hint="eastAsia" w:asciiTheme="minorEastAsia" w:hAnsiTheme="minorEastAsia" w:eastAsiaTheme="minorEastAsia"/>
                <w:color w:val="auto"/>
                <w:sz w:val="24"/>
                <w:highlight w:val="none"/>
                <w:u w:val="single"/>
                <w:lang w:val="en-US" w:eastAsia="zh-CN"/>
              </w:rPr>
              <w:t>20</w:t>
            </w:r>
            <w:r>
              <w:rPr>
                <w:rFonts w:hint="eastAsia" w:asciiTheme="minorEastAsia" w:hAnsiTheme="minorEastAsia" w:eastAsiaTheme="minorEastAsia"/>
                <w:color w:val="auto"/>
                <w:sz w:val="24"/>
                <w:highlight w:val="none"/>
              </w:rPr>
              <w:t>％×100</w:t>
            </w:r>
          </w:p>
        </w:tc>
      </w:tr>
    </w:tbl>
    <w:p w14:paraId="2A1208C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rPr>
        <w:t>分值汇总</w:t>
      </w:r>
    </w:p>
    <w:p w14:paraId="2F1CEEC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1）磋商小组各成员应当独立对每个有效响应的文件进行评价、打分，然后汇总每个供应商每项评分因素的得分，再取各位评委评分之平均值，四舍五入保留至小数点后两位数，得到该供应商的技术资信分。</w:t>
      </w:r>
    </w:p>
    <w:p w14:paraId="5A2C89B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2）将每个供应商的技术资信分加上根据上述标准计算出的价格分，即为该供应商的综合总得分。</w:t>
      </w:r>
    </w:p>
    <w:p w14:paraId="72D2F41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评审顺序：第1包→</w:t>
      </w:r>
      <w:r>
        <w:rPr>
          <w:rFonts w:hint="eastAsia" w:asciiTheme="minorEastAsia" w:hAnsiTheme="minorEastAsia" w:eastAsiaTheme="minorEastAsia"/>
          <w:color w:val="auto"/>
          <w:sz w:val="24"/>
          <w:highlight w:val="none"/>
          <w:lang w:eastAsia="zh-CN"/>
        </w:rPr>
        <w:t>第</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lang w:eastAsia="zh-CN"/>
        </w:rPr>
        <w:t>包</w:t>
      </w:r>
      <w:r>
        <w:rPr>
          <w:rFonts w:hint="eastAsia" w:asciiTheme="minorEastAsia" w:hAnsiTheme="minorEastAsia" w:eastAsiaTheme="minorEastAsia"/>
          <w:color w:val="auto"/>
          <w:sz w:val="24"/>
          <w:highlight w:val="none"/>
        </w:rPr>
        <w:t>→第3包→第4包→第5包→第</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包→第</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包→第</w:t>
      </w:r>
      <w:r>
        <w:rPr>
          <w:rFonts w:hint="eastAsia" w:asciiTheme="minorEastAsia" w:hAnsiTheme="minorEastAsia" w:eastAsiaTheme="minorEastAsia"/>
          <w:color w:val="auto"/>
          <w:sz w:val="24"/>
          <w:highlight w:val="none"/>
          <w:lang w:val="en-US" w:eastAsia="zh-CN"/>
        </w:rPr>
        <w:t>8</w:t>
      </w:r>
      <w:r>
        <w:rPr>
          <w:rFonts w:hint="eastAsia" w:asciiTheme="minorEastAsia" w:hAnsiTheme="minorEastAsia" w:eastAsiaTheme="minorEastAsia"/>
          <w:color w:val="auto"/>
          <w:sz w:val="24"/>
          <w:highlight w:val="none"/>
        </w:rPr>
        <w:t>包。</w:t>
      </w:r>
    </w:p>
    <w:p w14:paraId="7391168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推荐成交候选人的先后顺序：按照评审顺序进行推荐，即第1包→</w:t>
      </w:r>
      <w:r>
        <w:rPr>
          <w:rFonts w:hint="eastAsia" w:asciiTheme="minorEastAsia" w:hAnsiTheme="minorEastAsia" w:eastAsiaTheme="minorEastAsia"/>
          <w:color w:val="auto"/>
          <w:sz w:val="24"/>
          <w:highlight w:val="none"/>
          <w:lang w:eastAsia="zh-CN"/>
        </w:rPr>
        <w:t>第</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lang w:eastAsia="zh-CN"/>
        </w:rPr>
        <w:t>包</w:t>
      </w:r>
      <w:r>
        <w:rPr>
          <w:rFonts w:hint="eastAsia" w:asciiTheme="minorEastAsia" w:hAnsiTheme="minorEastAsia" w:eastAsiaTheme="minorEastAsia"/>
          <w:color w:val="auto"/>
          <w:sz w:val="24"/>
          <w:highlight w:val="none"/>
        </w:rPr>
        <w:t>→第3包→第4包→第5包→第</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包→第</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包→第</w:t>
      </w:r>
      <w:r>
        <w:rPr>
          <w:rFonts w:hint="eastAsia" w:asciiTheme="minorEastAsia" w:hAnsiTheme="minorEastAsia" w:eastAsiaTheme="minorEastAsia"/>
          <w:color w:val="auto"/>
          <w:sz w:val="24"/>
          <w:highlight w:val="none"/>
          <w:lang w:val="en-US" w:eastAsia="zh-CN"/>
        </w:rPr>
        <w:t>8</w:t>
      </w:r>
      <w:r>
        <w:rPr>
          <w:rFonts w:hint="eastAsia" w:asciiTheme="minorEastAsia" w:hAnsiTheme="minorEastAsia" w:eastAsiaTheme="minorEastAsia"/>
          <w:color w:val="auto"/>
          <w:sz w:val="24"/>
          <w:highlight w:val="none"/>
        </w:rPr>
        <w:t>包。</w:t>
      </w:r>
    </w:p>
    <w:p w14:paraId="56FCBF5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01BDC03C">
      <w:pPr>
        <w:spacing w:line="360" w:lineRule="auto"/>
        <w:jc w:val="center"/>
        <w:outlineLvl w:val="0"/>
        <w:rPr>
          <w:rFonts w:asciiTheme="minorEastAsia" w:hAnsiTheme="minorEastAsia" w:eastAsiaTheme="minorEastAsia"/>
          <w:b/>
          <w:color w:val="auto"/>
          <w:sz w:val="28"/>
          <w:highlight w:val="none"/>
        </w:rPr>
      </w:pPr>
      <w:bookmarkStart w:id="121" w:name="_Toc31277"/>
      <w:r>
        <w:rPr>
          <w:rFonts w:hint="eastAsia" w:asciiTheme="minorEastAsia" w:hAnsiTheme="minorEastAsia" w:eastAsiaTheme="minorEastAsia"/>
          <w:b/>
          <w:color w:val="auto"/>
          <w:sz w:val="28"/>
          <w:highlight w:val="none"/>
        </w:rPr>
        <w:t xml:space="preserve">第五章  </w:t>
      </w:r>
      <w:r>
        <w:rPr>
          <w:rFonts w:asciiTheme="minorEastAsia" w:hAnsiTheme="minorEastAsia" w:eastAsiaTheme="minorEastAsia"/>
          <w:b/>
          <w:color w:val="auto"/>
          <w:sz w:val="28"/>
          <w:highlight w:val="none"/>
        </w:rPr>
        <w:t>政府采购合同</w:t>
      </w:r>
      <w:bookmarkEnd w:id="121"/>
    </w:p>
    <w:p w14:paraId="3BD71220">
      <w:pPr>
        <w:keepNext/>
        <w:keepLines/>
        <w:snapToGrid w:val="0"/>
        <w:spacing w:before="312" w:beforeLines="100" w:after="312" w:afterLines="100" w:line="360" w:lineRule="auto"/>
        <w:jc w:val="center"/>
        <w:outlineLvl w:val="1"/>
        <w:rPr>
          <w:rFonts w:cs="宋体"/>
          <w:b/>
          <w:bCs/>
          <w:color w:val="auto"/>
          <w:sz w:val="21"/>
          <w:szCs w:val="21"/>
        </w:rPr>
      </w:pPr>
      <w:bookmarkStart w:id="122" w:name="_Toc9907"/>
      <w:bookmarkStart w:id="123" w:name="_Toc130919120"/>
      <w:bookmarkStart w:id="124" w:name="_Toc28799376"/>
      <w:r>
        <w:rPr>
          <w:rFonts w:hint="eastAsia" w:cs="宋体"/>
          <w:b/>
          <w:bCs/>
          <w:color w:val="auto"/>
          <w:sz w:val="21"/>
          <w:szCs w:val="21"/>
        </w:rPr>
        <w:t>第一节  合同协议书</w:t>
      </w:r>
      <w:bookmarkEnd w:id="122"/>
      <w:bookmarkEnd w:id="123"/>
      <w:bookmarkEnd w:id="124"/>
    </w:p>
    <w:p w14:paraId="5EF6E444">
      <w:pPr>
        <w:spacing w:line="360" w:lineRule="auto"/>
        <w:rPr>
          <w:rFonts w:cs="宋体"/>
          <w:b/>
          <w:color w:val="auto"/>
          <w:sz w:val="24"/>
          <w:szCs w:val="24"/>
          <w:u w:val="single"/>
        </w:rPr>
      </w:pPr>
      <w:r>
        <w:rPr>
          <w:rFonts w:hint="eastAsia" w:cs="宋体"/>
          <w:b/>
          <w:color w:val="auto"/>
          <w:sz w:val="24"/>
          <w:szCs w:val="24"/>
        </w:rPr>
        <w:t>发包人（全称）：</w:t>
      </w:r>
      <w:r>
        <w:rPr>
          <w:rFonts w:hint="eastAsia" w:cs="宋体"/>
          <w:b/>
          <w:color w:val="auto"/>
          <w:sz w:val="24"/>
          <w:szCs w:val="24"/>
          <w:u w:val="single"/>
        </w:rPr>
        <w:t xml:space="preserve">        </w:t>
      </w:r>
    </w:p>
    <w:p w14:paraId="03829E62">
      <w:pPr>
        <w:spacing w:line="360" w:lineRule="auto"/>
        <w:rPr>
          <w:rFonts w:cs="宋体"/>
          <w:b/>
          <w:color w:val="auto"/>
          <w:sz w:val="24"/>
          <w:szCs w:val="24"/>
          <w:u w:val="single"/>
        </w:rPr>
      </w:pPr>
      <w:r>
        <w:rPr>
          <w:rFonts w:hint="eastAsia" w:cs="宋体"/>
          <w:b/>
          <w:color w:val="auto"/>
          <w:sz w:val="24"/>
          <w:szCs w:val="24"/>
        </w:rPr>
        <w:t>承包人（全称）：</w:t>
      </w:r>
      <w:r>
        <w:rPr>
          <w:rFonts w:hint="eastAsia" w:cs="宋体"/>
          <w:b/>
          <w:color w:val="auto"/>
          <w:sz w:val="24"/>
          <w:szCs w:val="24"/>
          <w:u w:val="single"/>
        </w:rPr>
        <w:t xml:space="preserve">        </w:t>
      </w:r>
    </w:p>
    <w:p w14:paraId="228FE406">
      <w:pPr>
        <w:spacing w:line="360" w:lineRule="auto"/>
        <w:rPr>
          <w:rFonts w:ascii="Times New Roman" w:hAnsi="Times New Roman" w:eastAsia="仿宋_GB2312" w:cs="Times New Roman"/>
          <w:b/>
          <w:color w:val="auto"/>
          <w:kern w:val="2"/>
          <w:sz w:val="30"/>
          <w:szCs w:val="30"/>
          <w:u w:val="single"/>
        </w:rPr>
      </w:pPr>
    </w:p>
    <w:p w14:paraId="767469FE">
      <w:pPr>
        <w:snapToGrid w:val="0"/>
        <w:spacing w:line="360" w:lineRule="auto"/>
        <w:ind w:firstLine="420" w:firstLineChars="200"/>
        <w:rPr>
          <w:rFonts w:cs="宋体"/>
          <w:color w:val="auto"/>
          <w:sz w:val="21"/>
          <w:szCs w:val="21"/>
        </w:rPr>
      </w:pPr>
      <w:r>
        <w:rPr>
          <w:rFonts w:hint="eastAsia" w:cs="宋体"/>
          <w:color w:val="auto"/>
          <w:sz w:val="21"/>
          <w:szCs w:val="21"/>
        </w:rPr>
        <w:t>根据《中华人民共和国民法典》《中华人民共和国建筑法》及有关法律规定，遵循平等、自愿、公平和诚实信用的原则，双方就</w:t>
      </w:r>
      <w:r>
        <w:rPr>
          <w:rFonts w:hint="eastAsia" w:cs="宋体"/>
          <w:color w:val="auto"/>
          <w:sz w:val="21"/>
          <w:szCs w:val="21"/>
          <w:u w:val="single"/>
        </w:rPr>
        <w:t xml:space="preserve">                       </w:t>
      </w:r>
      <w:r>
        <w:rPr>
          <w:rFonts w:hint="eastAsia" w:cs="宋体"/>
          <w:color w:val="auto"/>
          <w:sz w:val="21"/>
          <w:szCs w:val="21"/>
        </w:rPr>
        <w:t>工程施工及有关事项协商一致，共同达成如下协议：</w:t>
      </w:r>
    </w:p>
    <w:p w14:paraId="4A2454F6">
      <w:pPr>
        <w:snapToGrid w:val="0"/>
        <w:spacing w:line="360" w:lineRule="auto"/>
        <w:ind w:firstLine="422" w:firstLineChars="200"/>
        <w:rPr>
          <w:rFonts w:cs="宋体"/>
          <w:color w:val="auto"/>
          <w:sz w:val="21"/>
          <w:szCs w:val="21"/>
        </w:rPr>
      </w:pPr>
      <w:r>
        <w:rPr>
          <w:rFonts w:hint="eastAsia" w:cs="宋体"/>
          <w:b/>
          <w:color w:val="auto"/>
          <w:sz w:val="21"/>
          <w:szCs w:val="21"/>
        </w:rPr>
        <w:t>一、工程概况</w:t>
      </w:r>
    </w:p>
    <w:p w14:paraId="2D1F628A">
      <w:pPr>
        <w:snapToGrid w:val="0"/>
        <w:spacing w:line="360" w:lineRule="auto"/>
        <w:ind w:firstLine="411" w:firstLineChars="196"/>
        <w:rPr>
          <w:rFonts w:cs="宋体"/>
          <w:color w:val="auto"/>
          <w:sz w:val="21"/>
          <w:szCs w:val="21"/>
          <w:u w:val="single"/>
        </w:rPr>
      </w:pPr>
      <w:r>
        <w:rPr>
          <w:rFonts w:hint="eastAsia" w:cs="宋体"/>
          <w:bCs/>
          <w:color w:val="auto"/>
          <w:sz w:val="21"/>
          <w:szCs w:val="21"/>
        </w:rPr>
        <w:t>1. 工程名称</w:t>
      </w:r>
      <w:r>
        <w:rPr>
          <w:rFonts w:hint="eastAsia" w:cs="宋体"/>
          <w:color w:val="auto"/>
          <w:sz w:val="21"/>
          <w:szCs w:val="21"/>
        </w:rPr>
        <w:t>：</w:t>
      </w:r>
      <w:r>
        <w:rPr>
          <w:rFonts w:hint="eastAsia" w:cs="宋体"/>
          <w:color w:val="auto"/>
          <w:sz w:val="21"/>
          <w:szCs w:val="21"/>
          <w:u w:val="single"/>
        </w:rPr>
        <w:t xml:space="preserve">       </w:t>
      </w:r>
      <w:r>
        <w:rPr>
          <w:rFonts w:hint="eastAsia" w:cs="宋体"/>
          <w:color w:val="auto"/>
          <w:sz w:val="21"/>
          <w:szCs w:val="21"/>
        </w:rPr>
        <w:t>。</w:t>
      </w:r>
    </w:p>
    <w:p w14:paraId="33383DF0">
      <w:pPr>
        <w:snapToGrid w:val="0"/>
        <w:spacing w:line="360" w:lineRule="auto"/>
        <w:ind w:firstLine="411" w:firstLineChars="196"/>
        <w:rPr>
          <w:rFonts w:cs="宋体"/>
          <w:bCs/>
          <w:color w:val="auto"/>
          <w:sz w:val="21"/>
          <w:szCs w:val="21"/>
        </w:rPr>
      </w:pPr>
      <w:r>
        <w:rPr>
          <w:rFonts w:hint="eastAsia" w:cs="宋体"/>
          <w:bCs/>
          <w:color w:val="auto"/>
          <w:sz w:val="21"/>
          <w:szCs w:val="21"/>
        </w:rPr>
        <w:t>2. 工程地点：</w:t>
      </w:r>
      <w:r>
        <w:rPr>
          <w:rFonts w:hint="eastAsia" w:cs="宋体"/>
          <w:color w:val="auto"/>
          <w:sz w:val="21"/>
          <w:szCs w:val="21"/>
          <w:u w:val="single"/>
        </w:rPr>
        <w:t xml:space="preserve">       </w:t>
      </w:r>
      <w:r>
        <w:rPr>
          <w:rFonts w:hint="eastAsia" w:cs="宋体"/>
          <w:color w:val="auto"/>
          <w:sz w:val="21"/>
          <w:szCs w:val="21"/>
        </w:rPr>
        <w:t>。</w:t>
      </w:r>
    </w:p>
    <w:p w14:paraId="798C75C4">
      <w:pPr>
        <w:snapToGrid w:val="0"/>
        <w:spacing w:line="360" w:lineRule="auto"/>
        <w:ind w:firstLine="411" w:firstLineChars="196"/>
        <w:rPr>
          <w:rFonts w:cs="宋体"/>
          <w:bCs/>
          <w:color w:val="auto"/>
          <w:sz w:val="21"/>
          <w:szCs w:val="21"/>
        </w:rPr>
      </w:pPr>
      <w:r>
        <w:rPr>
          <w:rFonts w:hint="eastAsia" w:cs="宋体"/>
          <w:bCs/>
          <w:color w:val="auto"/>
          <w:sz w:val="21"/>
          <w:szCs w:val="21"/>
        </w:rPr>
        <w:t>3. 工程立项批准文号：</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bCs/>
          <w:color w:val="auto"/>
          <w:sz w:val="21"/>
          <w:szCs w:val="21"/>
        </w:rPr>
        <w:t>。</w:t>
      </w:r>
    </w:p>
    <w:p w14:paraId="79B66551">
      <w:pPr>
        <w:snapToGrid w:val="0"/>
        <w:spacing w:line="360" w:lineRule="auto"/>
        <w:ind w:firstLine="411" w:firstLineChars="196"/>
        <w:rPr>
          <w:rFonts w:cs="宋体"/>
          <w:bCs/>
          <w:color w:val="auto"/>
          <w:sz w:val="21"/>
          <w:szCs w:val="21"/>
        </w:rPr>
      </w:pPr>
      <w:r>
        <w:rPr>
          <w:rFonts w:hint="eastAsia" w:cs="宋体"/>
          <w:bCs/>
          <w:color w:val="auto"/>
          <w:sz w:val="21"/>
          <w:szCs w:val="21"/>
        </w:rPr>
        <w:t>4. 资金来源：</w:t>
      </w:r>
      <w:r>
        <w:rPr>
          <w:rFonts w:hint="eastAsia" w:cs="宋体"/>
          <w:color w:val="auto"/>
          <w:sz w:val="21"/>
          <w:szCs w:val="21"/>
          <w:u w:val="single"/>
        </w:rPr>
        <w:t xml:space="preserve">       </w:t>
      </w:r>
      <w:r>
        <w:rPr>
          <w:rFonts w:hint="eastAsia" w:cs="宋体"/>
          <w:bCs/>
          <w:color w:val="auto"/>
          <w:sz w:val="21"/>
          <w:szCs w:val="21"/>
        </w:rPr>
        <w:t>。</w:t>
      </w:r>
    </w:p>
    <w:p w14:paraId="66AC8E2D">
      <w:pPr>
        <w:snapToGrid w:val="0"/>
        <w:spacing w:line="360" w:lineRule="auto"/>
        <w:ind w:firstLine="411" w:firstLineChars="196"/>
        <w:rPr>
          <w:rFonts w:cs="宋体"/>
          <w:bCs/>
          <w:color w:val="auto"/>
          <w:sz w:val="21"/>
          <w:szCs w:val="21"/>
        </w:rPr>
      </w:pPr>
      <w:r>
        <w:rPr>
          <w:rFonts w:hint="eastAsia" w:cs="宋体"/>
          <w:bCs/>
          <w:color w:val="auto"/>
          <w:sz w:val="21"/>
          <w:szCs w:val="21"/>
        </w:rPr>
        <w:t>5. 工程内容：</w:t>
      </w:r>
      <w:r>
        <w:rPr>
          <w:rFonts w:hint="eastAsia" w:cs="宋体"/>
          <w:color w:val="auto"/>
          <w:sz w:val="21"/>
          <w:szCs w:val="21"/>
          <w:u w:val="single"/>
        </w:rPr>
        <w:t xml:space="preserve">       </w:t>
      </w:r>
      <w:r>
        <w:rPr>
          <w:rFonts w:hint="eastAsia" w:cs="宋体"/>
          <w:bCs/>
          <w:color w:val="auto"/>
          <w:sz w:val="21"/>
          <w:szCs w:val="21"/>
        </w:rPr>
        <w:t>。</w:t>
      </w:r>
    </w:p>
    <w:p w14:paraId="3CFB1648">
      <w:pPr>
        <w:snapToGrid w:val="0"/>
        <w:spacing w:line="360" w:lineRule="auto"/>
        <w:ind w:firstLine="411" w:firstLineChars="196"/>
        <w:rPr>
          <w:rFonts w:cs="宋体"/>
          <w:bCs/>
          <w:color w:val="auto"/>
          <w:sz w:val="21"/>
          <w:szCs w:val="21"/>
        </w:rPr>
      </w:pPr>
      <w:r>
        <w:rPr>
          <w:rFonts w:hint="eastAsia" w:cs="宋体"/>
          <w:color w:val="auto"/>
          <w:sz w:val="21"/>
          <w:szCs w:val="21"/>
        </w:rPr>
        <w:t>群体工程应附《承包人承揽工程项目一览表》（附件1）。</w:t>
      </w:r>
    </w:p>
    <w:p w14:paraId="0749A6A5">
      <w:pPr>
        <w:snapToGrid w:val="0"/>
        <w:spacing w:line="360" w:lineRule="auto"/>
        <w:ind w:firstLine="411" w:firstLineChars="196"/>
        <w:rPr>
          <w:rFonts w:cs="宋体"/>
          <w:bCs/>
          <w:color w:val="auto"/>
          <w:sz w:val="21"/>
          <w:szCs w:val="21"/>
        </w:rPr>
      </w:pPr>
      <w:r>
        <w:rPr>
          <w:rFonts w:hint="eastAsia" w:cs="宋体"/>
          <w:bCs/>
          <w:color w:val="auto"/>
          <w:sz w:val="21"/>
          <w:szCs w:val="21"/>
        </w:rPr>
        <w:t>6. 工程承包范围：</w:t>
      </w:r>
    </w:p>
    <w:p w14:paraId="19869E77">
      <w:pPr>
        <w:snapToGrid w:val="0"/>
        <w:spacing w:line="360" w:lineRule="auto"/>
        <w:ind w:firstLine="405" w:firstLineChars="193"/>
        <w:rPr>
          <w:rFonts w:cs="宋体"/>
          <w:color w:val="auto"/>
          <w:sz w:val="21"/>
          <w:szCs w:val="21"/>
        </w:rPr>
      </w:pPr>
      <w:r>
        <w:rPr>
          <w:rFonts w:hint="eastAsia" w:cs="宋体"/>
          <w:color w:val="auto"/>
          <w:sz w:val="21"/>
          <w:szCs w:val="21"/>
          <w:u w:val="single"/>
        </w:rPr>
        <w:t xml:space="preserve">      </w:t>
      </w:r>
    </w:p>
    <w:p w14:paraId="02702D09">
      <w:pPr>
        <w:snapToGrid w:val="0"/>
        <w:spacing w:line="360" w:lineRule="auto"/>
        <w:ind w:firstLine="420" w:firstLineChars="200"/>
        <w:rPr>
          <w:rFonts w:cs="宋体"/>
          <w:color w:val="auto"/>
          <w:sz w:val="21"/>
          <w:szCs w:val="21"/>
        </w:rPr>
      </w:pPr>
      <w:r>
        <w:rPr>
          <w:rFonts w:hint="eastAsia" w:cs="宋体"/>
          <w:color w:val="auto"/>
          <w:sz w:val="21"/>
          <w:szCs w:val="21"/>
          <w:u w:val="single"/>
        </w:rPr>
        <w:t> </w:t>
      </w:r>
      <w:r>
        <w:rPr>
          <w:rFonts w:hint="eastAsia" w:cs="宋体"/>
          <w:color w:val="auto"/>
          <w:sz w:val="21"/>
          <w:szCs w:val="21"/>
        </w:rPr>
        <w:t>。</w:t>
      </w:r>
    </w:p>
    <w:p w14:paraId="7273BC1B">
      <w:pPr>
        <w:snapToGrid w:val="0"/>
        <w:spacing w:line="360" w:lineRule="auto"/>
        <w:ind w:firstLine="422" w:firstLineChars="200"/>
        <w:rPr>
          <w:rFonts w:cs="宋体"/>
          <w:b/>
          <w:color w:val="auto"/>
          <w:sz w:val="21"/>
          <w:szCs w:val="21"/>
        </w:rPr>
      </w:pPr>
      <w:bookmarkStart w:id="125" w:name="_Toc351203482"/>
      <w:r>
        <w:rPr>
          <w:rFonts w:hint="eastAsia" w:cs="宋体"/>
          <w:b/>
          <w:color w:val="auto"/>
          <w:sz w:val="21"/>
          <w:szCs w:val="21"/>
        </w:rPr>
        <w:t>二、合同工期</w:t>
      </w:r>
      <w:bookmarkEnd w:id="125"/>
    </w:p>
    <w:p w14:paraId="0F45206A">
      <w:pPr>
        <w:snapToGrid w:val="0"/>
        <w:spacing w:line="360" w:lineRule="auto"/>
        <w:ind w:firstLine="459"/>
        <w:rPr>
          <w:rFonts w:cs="宋体"/>
          <w:color w:val="auto"/>
          <w:sz w:val="21"/>
          <w:szCs w:val="21"/>
        </w:rPr>
      </w:pPr>
      <w:r>
        <w:rPr>
          <w:rFonts w:hint="eastAsia" w:cs="宋体"/>
          <w:color w:val="auto"/>
          <w:sz w:val="21"/>
          <w:szCs w:val="21"/>
        </w:rPr>
        <w:t>计划开工日期：</w:t>
      </w:r>
      <w:r>
        <w:rPr>
          <w:rFonts w:hint="eastAsia" w:cs="宋体"/>
          <w:color w:val="auto"/>
          <w:sz w:val="21"/>
          <w:szCs w:val="21"/>
          <w:u w:val="single"/>
        </w:rPr>
        <w:t></w:t>
      </w:r>
      <w:r>
        <w:rPr>
          <w:rFonts w:hint="eastAsia" w:cs="宋体"/>
          <w:color w:val="auto"/>
          <w:sz w:val="21"/>
          <w:szCs w:val="21"/>
        </w:rPr>
        <w:t>年</w:t>
      </w:r>
      <w:r>
        <w:rPr>
          <w:rFonts w:hint="eastAsia" w:cs="宋体"/>
          <w:color w:val="auto"/>
          <w:sz w:val="21"/>
          <w:szCs w:val="21"/>
          <w:u w:val="single"/>
        </w:rPr>
        <w:t></w:t>
      </w:r>
      <w:r>
        <w:rPr>
          <w:rFonts w:hint="eastAsia" w:cs="宋体"/>
          <w:color w:val="auto"/>
          <w:sz w:val="21"/>
          <w:szCs w:val="21"/>
        </w:rPr>
        <w:t>月</w:t>
      </w:r>
      <w:r>
        <w:rPr>
          <w:rFonts w:hint="eastAsia" w:cs="宋体"/>
          <w:color w:val="auto"/>
          <w:sz w:val="21"/>
          <w:szCs w:val="21"/>
          <w:u w:val="single"/>
        </w:rPr>
        <w:t></w:t>
      </w:r>
      <w:r>
        <w:rPr>
          <w:rFonts w:hint="eastAsia" w:cs="宋体"/>
          <w:color w:val="auto"/>
          <w:sz w:val="21"/>
          <w:szCs w:val="21"/>
        </w:rPr>
        <w:t>日。</w:t>
      </w:r>
    </w:p>
    <w:p w14:paraId="285791FD">
      <w:pPr>
        <w:snapToGrid w:val="0"/>
        <w:spacing w:line="360" w:lineRule="auto"/>
        <w:ind w:firstLine="459"/>
        <w:rPr>
          <w:rFonts w:cs="宋体"/>
          <w:color w:val="auto"/>
          <w:sz w:val="21"/>
          <w:szCs w:val="21"/>
        </w:rPr>
      </w:pPr>
      <w:r>
        <w:rPr>
          <w:rFonts w:hint="eastAsia" w:cs="宋体"/>
          <w:color w:val="auto"/>
          <w:sz w:val="21"/>
          <w:szCs w:val="21"/>
        </w:rPr>
        <w:t>计划</w:t>
      </w:r>
      <w:r>
        <w:rPr>
          <w:rFonts w:hint="eastAsia" w:cs="宋体"/>
          <w:color w:val="auto"/>
          <w:sz w:val="21"/>
          <w:szCs w:val="21"/>
          <w:lang w:eastAsia="zh-CN"/>
        </w:rPr>
        <w:t>完工</w:t>
      </w:r>
      <w:r>
        <w:rPr>
          <w:rFonts w:hint="eastAsia" w:cs="宋体"/>
          <w:color w:val="auto"/>
          <w:sz w:val="21"/>
          <w:szCs w:val="21"/>
        </w:rPr>
        <w:t>日期：</w:t>
      </w:r>
      <w:r>
        <w:rPr>
          <w:rFonts w:hint="eastAsia" w:cs="宋体"/>
          <w:color w:val="auto"/>
          <w:sz w:val="21"/>
          <w:szCs w:val="21"/>
          <w:u w:val="single"/>
        </w:rPr>
        <w:t></w:t>
      </w:r>
      <w:r>
        <w:rPr>
          <w:rFonts w:hint="eastAsia" w:cs="宋体"/>
          <w:color w:val="auto"/>
          <w:sz w:val="21"/>
          <w:szCs w:val="21"/>
        </w:rPr>
        <w:t>年</w:t>
      </w:r>
      <w:r>
        <w:rPr>
          <w:rFonts w:hint="eastAsia" w:cs="宋体"/>
          <w:color w:val="auto"/>
          <w:sz w:val="21"/>
          <w:szCs w:val="21"/>
          <w:u w:val="single"/>
        </w:rPr>
        <w:t></w:t>
      </w:r>
      <w:r>
        <w:rPr>
          <w:rFonts w:hint="eastAsia" w:cs="宋体"/>
          <w:color w:val="auto"/>
          <w:sz w:val="21"/>
          <w:szCs w:val="21"/>
        </w:rPr>
        <w:t>月</w:t>
      </w:r>
      <w:r>
        <w:rPr>
          <w:rFonts w:hint="eastAsia" w:cs="宋体"/>
          <w:color w:val="auto"/>
          <w:sz w:val="21"/>
          <w:szCs w:val="21"/>
          <w:u w:val="single"/>
        </w:rPr>
        <w:t></w:t>
      </w:r>
      <w:r>
        <w:rPr>
          <w:rFonts w:hint="eastAsia" w:cs="宋体"/>
          <w:color w:val="auto"/>
          <w:sz w:val="21"/>
          <w:szCs w:val="21"/>
        </w:rPr>
        <w:t>日。</w:t>
      </w:r>
    </w:p>
    <w:p w14:paraId="088A669E">
      <w:pPr>
        <w:snapToGrid w:val="0"/>
        <w:spacing w:line="360" w:lineRule="auto"/>
        <w:ind w:firstLine="459"/>
        <w:rPr>
          <w:rFonts w:cs="宋体"/>
          <w:color w:val="auto"/>
          <w:sz w:val="21"/>
          <w:szCs w:val="21"/>
        </w:rPr>
      </w:pPr>
      <w:r>
        <w:rPr>
          <w:rFonts w:hint="eastAsia" w:cs="宋体"/>
          <w:color w:val="auto"/>
          <w:sz w:val="21"/>
          <w:szCs w:val="21"/>
        </w:rPr>
        <w:t>工期总日历天数：</w:t>
      </w:r>
      <w:r>
        <w:rPr>
          <w:rFonts w:hint="eastAsia" w:cs="宋体"/>
          <w:color w:val="auto"/>
          <w:sz w:val="21"/>
          <w:szCs w:val="21"/>
          <w:u w:val="single"/>
        </w:rPr>
        <w:t></w:t>
      </w:r>
      <w:r>
        <w:rPr>
          <w:rFonts w:hint="eastAsia" w:cs="宋体"/>
          <w:color w:val="auto"/>
          <w:sz w:val="21"/>
          <w:szCs w:val="21"/>
        </w:rPr>
        <w:t>天。工期总日历天数与根据前述计划开</w:t>
      </w:r>
      <w:r>
        <w:rPr>
          <w:rFonts w:hint="eastAsia" w:cs="宋体"/>
          <w:color w:val="auto"/>
          <w:sz w:val="21"/>
          <w:szCs w:val="21"/>
          <w:lang w:eastAsia="zh-CN"/>
        </w:rPr>
        <w:t>完工</w:t>
      </w:r>
      <w:r>
        <w:rPr>
          <w:rFonts w:hint="eastAsia" w:cs="宋体"/>
          <w:color w:val="auto"/>
          <w:sz w:val="21"/>
          <w:szCs w:val="21"/>
        </w:rPr>
        <w:t>日期计算的工期天数不一致的，以工期总日历天数为准。</w:t>
      </w:r>
    </w:p>
    <w:p w14:paraId="77774311">
      <w:pPr>
        <w:snapToGrid w:val="0"/>
        <w:spacing w:line="360" w:lineRule="auto"/>
        <w:ind w:firstLine="422" w:firstLineChars="200"/>
        <w:rPr>
          <w:rFonts w:cs="宋体"/>
          <w:b/>
          <w:color w:val="auto"/>
          <w:sz w:val="21"/>
          <w:szCs w:val="21"/>
        </w:rPr>
      </w:pPr>
      <w:bookmarkStart w:id="126" w:name="_Toc351203483"/>
      <w:r>
        <w:rPr>
          <w:rFonts w:hint="eastAsia" w:cs="宋体"/>
          <w:b/>
          <w:color w:val="auto"/>
          <w:sz w:val="21"/>
          <w:szCs w:val="21"/>
        </w:rPr>
        <w:t>三、质量标准</w:t>
      </w:r>
      <w:bookmarkEnd w:id="126"/>
    </w:p>
    <w:p w14:paraId="233DE3C0">
      <w:pPr>
        <w:snapToGrid w:val="0"/>
        <w:spacing w:line="360" w:lineRule="auto"/>
        <w:ind w:firstLine="459"/>
        <w:rPr>
          <w:rFonts w:cs="宋体"/>
          <w:color w:val="auto"/>
          <w:sz w:val="21"/>
          <w:szCs w:val="21"/>
        </w:rPr>
      </w:pPr>
      <w:r>
        <w:rPr>
          <w:rFonts w:hint="eastAsia" w:cs="宋体"/>
          <w:color w:val="auto"/>
          <w:sz w:val="21"/>
          <w:szCs w:val="21"/>
        </w:rPr>
        <w:t>工程质量符合</w:t>
      </w:r>
      <w:r>
        <w:rPr>
          <w:rFonts w:hint="eastAsia" w:cs="宋体"/>
          <w:color w:val="auto"/>
          <w:sz w:val="21"/>
          <w:szCs w:val="21"/>
          <w:u w:val="single"/>
        </w:rPr>
        <w:t xml:space="preserve"> 合格 </w:t>
      </w:r>
      <w:r>
        <w:rPr>
          <w:rFonts w:hint="eastAsia" w:cs="宋体"/>
          <w:color w:val="auto"/>
          <w:sz w:val="21"/>
          <w:szCs w:val="21"/>
        </w:rPr>
        <w:t>标准。</w:t>
      </w:r>
    </w:p>
    <w:p w14:paraId="48DD0711">
      <w:pPr>
        <w:snapToGrid w:val="0"/>
        <w:spacing w:line="360" w:lineRule="auto"/>
        <w:ind w:firstLine="422" w:firstLineChars="200"/>
        <w:rPr>
          <w:rFonts w:cs="宋体"/>
          <w:b/>
          <w:color w:val="auto"/>
          <w:sz w:val="21"/>
          <w:szCs w:val="21"/>
        </w:rPr>
      </w:pPr>
      <w:bookmarkStart w:id="127" w:name="_Toc351203484"/>
      <w:r>
        <w:rPr>
          <w:rFonts w:hint="eastAsia" w:cs="宋体"/>
          <w:b/>
          <w:color w:val="auto"/>
          <w:sz w:val="21"/>
          <w:szCs w:val="21"/>
        </w:rPr>
        <w:t>四、签约合同价与合同价格形式</w:t>
      </w:r>
      <w:bookmarkEnd w:id="127"/>
    </w:p>
    <w:p w14:paraId="2EF94409">
      <w:pPr>
        <w:snapToGrid w:val="0"/>
        <w:spacing w:line="360" w:lineRule="auto"/>
        <w:ind w:firstLine="420" w:firstLineChars="200"/>
        <w:rPr>
          <w:rFonts w:cs="宋体"/>
          <w:color w:val="auto"/>
          <w:sz w:val="21"/>
          <w:szCs w:val="21"/>
        </w:rPr>
      </w:pPr>
      <w:r>
        <w:rPr>
          <w:rFonts w:hint="eastAsia" w:cs="宋体"/>
          <w:color w:val="auto"/>
          <w:sz w:val="21"/>
          <w:szCs w:val="21"/>
        </w:rPr>
        <w:t>1. 签约合同价为：</w:t>
      </w:r>
    </w:p>
    <w:p w14:paraId="5330B838">
      <w:pPr>
        <w:snapToGrid w:val="0"/>
        <w:spacing w:line="360" w:lineRule="auto"/>
        <w:ind w:firstLine="525" w:firstLineChars="2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w:t>
      </w:r>
      <w:r>
        <w:rPr>
          <w:rFonts w:hint="eastAsia" w:cs="宋体"/>
          <w:color w:val="auto"/>
          <w:sz w:val="21"/>
          <w:szCs w:val="21"/>
          <w:u w:val="single"/>
        </w:rPr>
        <w:t xml:space="preserve">            </w:t>
      </w:r>
      <w:r>
        <w:rPr>
          <w:rFonts w:hint="eastAsia" w:cs="宋体"/>
          <w:color w:val="auto"/>
          <w:sz w:val="21"/>
          <w:szCs w:val="21"/>
        </w:rPr>
        <w:t>元）；</w:t>
      </w:r>
    </w:p>
    <w:p w14:paraId="4A0DE8D8">
      <w:pPr>
        <w:snapToGrid w:val="0"/>
        <w:spacing w:line="360" w:lineRule="auto"/>
        <w:ind w:firstLine="420" w:firstLineChars="200"/>
        <w:rPr>
          <w:rFonts w:cs="宋体"/>
          <w:color w:val="auto"/>
          <w:sz w:val="21"/>
          <w:szCs w:val="21"/>
        </w:rPr>
      </w:pPr>
      <w:r>
        <w:rPr>
          <w:rFonts w:hint="eastAsia" w:cs="宋体"/>
          <w:color w:val="auto"/>
          <w:sz w:val="21"/>
          <w:szCs w:val="21"/>
        </w:rPr>
        <w:t>其中：</w:t>
      </w:r>
    </w:p>
    <w:p w14:paraId="0B9CE188">
      <w:pPr>
        <w:snapToGrid w:val="0"/>
        <w:spacing w:line="360" w:lineRule="auto"/>
        <w:ind w:firstLine="420" w:firstLineChars="200"/>
        <w:rPr>
          <w:rFonts w:cs="宋体"/>
          <w:color w:val="auto"/>
          <w:sz w:val="21"/>
          <w:szCs w:val="21"/>
        </w:rPr>
      </w:pPr>
      <w:r>
        <w:rPr>
          <w:rFonts w:hint="eastAsia" w:cs="宋体"/>
          <w:color w:val="auto"/>
          <w:sz w:val="21"/>
          <w:szCs w:val="21"/>
        </w:rPr>
        <w:t>（1）安全文明施工费：</w:t>
      </w:r>
    </w:p>
    <w:p w14:paraId="6B664A6C">
      <w:pPr>
        <w:snapToGrid w:val="0"/>
        <w:spacing w:line="360" w:lineRule="auto"/>
        <w:ind w:firstLine="945" w:firstLineChars="4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 xml:space="preserve"> （¥</w:t>
      </w:r>
      <w:r>
        <w:rPr>
          <w:rFonts w:hint="eastAsia" w:cs="宋体"/>
          <w:color w:val="auto"/>
          <w:sz w:val="21"/>
          <w:szCs w:val="21"/>
          <w:u w:val="single"/>
        </w:rPr>
        <w:t xml:space="preserve">          </w:t>
      </w:r>
      <w:r>
        <w:rPr>
          <w:rFonts w:hint="eastAsia" w:cs="宋体"/>
          <w:color w:val="auto"/>
          <w:sz w:val="21"/>
          <w:szCs w:val="21"/>
        </w:rPr>
        <w:t>元）；</w:t>
      </w:r>
    </w:p>
    <w:p w14:paraId="16818C23">
      <w:pPr>
        <w:snapToGrid w:val="0"/>
        <w:spacing w:line="360" w:lineRule="auto"/>
        <w:ind w:firstLine="420" w:firstLineChars="200"/>
        <w:rPr>
          <w:rFonts w:cs="宋体"/>
          <w:color w:val="auto"/>
          <w:sz w:val="21"/>
          <w:szCs w:val="21"/>
        </w:rPr>
      </w:pPr>
      <w:r>
        <w:rPr>
          <w:rFonts w:hint="eastAsia" w:cs="宋体"/>
          <w:color w:val="auto"/>
          <w:sz w:val="21"/>
          <w:szCs w:val="21"/>
        </w:rPr>
        <w:t>（2）材料和工程设备暂估价金额：</w:t>
      </w:r>
    </w:p>
    <w:p w14:paraId="1252AD15">
      <w:pPr>
        <w:snapToGrid w:val="0"/>
        <w:spacing w:line="360" w:lineRule="auto"/>
        <w:ind w:firstLine="945" w:firstLineChars="4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 xml:space="preserve"> （¥</w:t>
      </w:r>
      <w:r>
        <w:rPr>
          <w:rFonts w:hint="eastAsia" w:cs="宋体"/>
          <w:color w:val="auto"/>
          <w:sz w:val="21"/>
          <w:szCs w:val="21"/>
          <w:u w:val="single"/>
        </w:rPr>
        <w:t xml:space="preserve">          </w:t>
      </w:r>
      <w:r>
        <w:rPr>
          <w:rFonts w:hint="eastAsia" w:cs="宋体"/>
          <w:color w:val="auto"/>
          <w:sz w:val="21"/>
          <w:szCs w:val="21"/>
        </w:rPr>
        <w:t>元）；</w:t>
      </w:r>
    </w:p>
    <w:p w14:paraId="0FAF0501">
      <w:pPr>
        <w:snapToGrid w:val="0"/>
        <w:spacing w:line="360" w:lineRule="auto"/>
        <w:ind w:firstLine="420" w:firstLineChars="200"/>
        <w:rPr>
          <w:rFonts w:cs="宋体"/>
          <w:color w:val="auto"/>
          <w:sz w:val="21"/>
          <w:szCs w:val="21"/>
        </w:rPr>
      </w:pPr>
      <w:r>
        <w:rPr>
          <w:rFonts w:hint="eastAsia" w:cs="宋体"/>
          <w:color w:val="auto"/>
          <w:sz w:val="21"/>
          <w:szCs w:val="21"/>
        </w:rPr>
        <w:t>（3）专业工程暂估价金额：</w:t>
      </w:r>
    </w:p>
    <w:p w14:paraId="41BA1D0E">
      <w:pPr>
        <w:snapToGrid w:val="0"/>
        <w:spacing w:line="360" w:lineRule="auto"/>
        <w:ind w:firstLine="945" w:firstLineChars="4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 xml:space="preserve"> （¥</w:t>
      </w:r>
      <w:r>
        <w:rPr>
          <w:rFonts w:hint="eastAsia" w:cs="宋体"/>
          <w:color w:val="auto"/>
          <w:sz w:val="21"/>
          <w:szCs w:val="21"/>
          <w:u w:val="single"/>
        </w:rPr>
        <w:t xml:space="preserve">          </w:t>
      </w:r>
      <w:r>
        <w:rPr>
          <w:rFonts w:hint="eastAsia" w:cs="宋体"/>
          <w:color w:val="auto"/>
          <w:sz w:val="21"/>
          <w:szCs w:val="21"/>
        </w:rPr>
        <w:t>元）；</w:t>
      </w:r>
    </w:p>
    <w:p w14:paraId="2BCF30E0">
      <w:pPr>
        <w:snapToGrid w:val="0"/>
        <w:spacing w:line="360" w:lineRule="auto"/>
        <w:ind w:firstLine="420" w:firstLineChars="200"/>
        <w:rPr>
          <w:rFonts w:cs="宋体"/>
          <w:color w:val="auto"/>
          <w:sz w:val="21"/>
          <w:szCs w:val="21"/>
        </w:rPr>
      </w:pPr>
      <w:r>
        <w:rPr>
          <w:rFonts w:hint="eastAsia" w:cs="宋体"/>
          <w:color w:val="auto"/>
          <w:sz w:val="21"/>
          <w:szCs w:val="21"/>
        </w:rPr>
        <w:t>（4）暂列金额：</w:t>
      </w:r>
    </w:p>
    <w:p w14:paraId="7FE1C598">
      <w:pPr>
        <w:snapToGrid w:val="0"/>
        <w:spacing w:line="360" w:lineRule="auto"/>
        <w:ind w:firstLine="945" w:firstLineChars="450"/>
        <w:rPr>
          <w:rFonts w:cs="宋体"/>
          <w:color w:val="auto"/>
          <w:sz w:val="21"/>
          <w:szCs w:val="21"/>
        </w:rPr>
      </w:pPr>
      <w:r>
        <w:rPr>
          <w:rFonts w:hint="eastAsia" w:cs="宋体"/>
          <w:color w:val="auto"/>
          <w:sz w:val="21"/>
          <w:szCs w:val="21"/>
        </w:rPr>
        <w:t>人民币（大写）</w:t>
      </w:r>
      <w:r>
        <w:rPr>
          <w:rFonts w:hint="eastAsia" w:cs="宋体"/>
          <w:color w:val="auto"/>
          <w:sz w:val="21"/>
          <w:szCs w:val="21"/>
          <w:u w:val="single"/>
        </w:rPr>
        <w:t xml:space="preserve">              </w:t>
      </w:r>
      <w:r>
        <w:rPr>
          <w:rFonts w:hint="eastAsia" w:cs="宋体"/>
          <w:color w:val="auto"/>
          <w:sz w:val="21"/>
          <w:szCs w:val="21"/>
        </w:rPr>
        <w:t xml:space="preserve"> （¥</w:t>
      </w:r>
      <w:r>
        <w:rPr>
          <w:rFonts w:hint="eastAsia" w:cs="宋体"/>
          <w:color w:val="auto"/>
          <w:sz w:val="21"/>
          <w:szCs w:val="21"/>
          <w:u w:val="single"/>
        </w:rPr>
        <w:t xml:space="preserve">          </w:t>
      </w:r>
      <w:r>
        <w:rPr>
          <w:rFonts w:hint="eastAsia" w:cs="宋体"/>
          <w:color w:val="auto"/>
          <w:sz w:val="21"/>
          <w:szCs w:val="21"/>
        </w:rPr>
        <w:t>元）。</w:t>
      </w:r>
    </w:p>
    <w:p w14:paraId="26B312EF">
      <w:pPr>
        <w:numPr>
          <w:ilvl w:val="0"/>
          <w:numId w:val="6"/>
        </w:numPr>
        <w:snapToGrid w:val="0"/>
        <w:spacing w:line="360" w:lineRule="auto"/>
        <w:ind w:firstLine="420" w:firstLineChars="200"/>
        <w:rPr>
          <w:rFonts w:hint="eastAsia" w:cs="宋体"/>
          <w:color w:val="auto"/>
          <w:sz w:val="21"/>
          <w:szCs w:val="21"/>
        </w:rPr>
      </w:pPr>
      <w:r>
        <w:rPr>
          <w:rFonts w:hint="eastAsia" w:cs="宋体"/>
          <w:color w:val="auto"/>
          <w:sz w:val="21"/>
          <w:szCs w:val="21"/>
        </w:rPr>
        <w:t>合同价格形式：</w:t>
      </w:r>
      <w:r>
        <w:rPr>
          <w:rFonts w:hint="eastAsia" w:cs="宋体"/>
          <w:color w:val="auto"/>
          <w:sz w:val="21"/>
          <w:szCs w:val="21"/>
          <w:u w:val="single"/>
          <w:lang w:val="en-US" w:eastAsia="zh-CN"/>
        </w:rPr>
        <w:t>单价合同</w:t>
      </w:r>
      <w:r>
        <w:rPr>
          <w:rFonts w:hint="eastAsia" w:cs="宋体"/>
          <w:color w:val="auto"/>
          <w:sz w:val="21"/>
          <w:szCs w:val="21"/>
          <w:u w:val="single"/>
        </w:rPr>
        <w:t xml:space="preserve"> </w:t>
      </w:r>
      <w:r>
        <w:rPr>
          <w:rFonts w:hint="eastAsia" w:cs="宋体"/>
          <w:color w:val="auto"/>
          <w:sz w:val="21"/>
          <w:szCs w:val="21"/>
        </w:rPr>
        <w:t>。</w:t>
      </w:r>
    </w:p>
    <w:p w14:paraId="19C76B2E">
      <w:pPr>
        <w:adjustRightInd w:val="0"/>
        <w:snapToGrid w:val="0"/>
        <w:spacing w:line="360" w:lineRule="auto"/>
        <w:ind w:firstLine="422" w:firstLineChars="200"/>
        <w:rPr>
          <w:rFonts w:hint="eastAsia" w:ascii="宋体" w:hAnsi="宋体" w:eastAsia="宋体" w:cs="宋体"/>
          <w:b/>
          <w:bCs w:val="0"/>
          <w:color w:val="FF0000"/>
          <w:sz w:val="21"/>
          <w:szCs w:val="21"/>
          <w:highlight w:val="none"/>
        </w:rPr>
      </w:pPr>
      <w:r>
        <w:rPr>
          <w:rFonts w:hint="eastAsia" w:cs="宋体"/>
          <w:b/>
          <w:bCs w:val="0"/>
          <w:color w:val="FF0000"/>
          <w:sz w:val="21"/>
          <w:szCs w:val="21"/>
          <w:highlight w:val="none"/>
          <w:lang w:val="en-US" w:eastAsia="zh-CN"/>
        </w:rPr>
        <w:t>2.1</w:t>
      </w:r>
      <w:r>
        <w:rPr>
          <w:rFonts w:hint="eastAsia" w:ascii="宋体" w:hAnsi="宋体" w:eastAsia="宋体" w:cs="宋体"/>
          <w:b/>
          <w:bCs w:val="0"/>
          <w:color w:val="FF0000"/>
          <w:sz w:val="21"/>
          <w:szCs w:val="21"/>
          <w:highlight w:val="none"/>
        </w:rPr>
        <w:t>结算单价=</w:t>
      </w:r>
      <w:r>
        <w:rPr>
          <w:rFonts w:hint="eastAsia" w:cs="宋体"/>
          <w:b/>
          <w:bCs w:val="0"/>
          <w:color w:val="FF0000"/>
          <w:sz w:val="21"/>
          <w:szCs w:val="21"/>
          <w:highlight w:val="none"/>
          <w:lang w:eastAsia="zh-CN"/>
        </w:rPr>
        <w:t>（</w:t>
      </w:r>
      <w:r>
        <w:rPr>
          <w:rFonts w:hint="eastAsia" w:cs="宋体"/>
          <w:b/>
          <w:bCs w:val="0"/>
          <w:color w:val="FF0000"/>
          <w:sz w:val="21"/>
          <w:szCs w:val="21"/>
          <w:highlight w:val="none"/>
          <w:lang w:val="en-US" w:eastAsia="zh-CN"/>
        </w:rPr>
        <w:t>1-</w:t>
      </w:r>
      <w:r>
        <w:rPr>
          <w:rFonts w:hint="eastAsia" w:ascii="宋体" w:hAnsi="宋体" w:eastAsia="宋体" w:cs="宋体"/>
          <w:b/>
          <w:bCs w:val="0"/>
          <w:color w:val="FF0000"/>
          <w:sz w:val="21"/>
          <w:szCs w:val="21"/>
          <w:highlight w:val="none"/>
        </w:rPr>
        <w:t>供应商投标下浮率</w:t>
      </w:r>
      <w:r>
        <w:rPr>
          <w:rFonts w:hint="eastAsia" w:cs="宋体"/>
          <w:b/>
          <w:bCs w:val="0"/>
          <w:color w:val="FF0000"/>
          <w:sz w:val="21"/>
          <w:szCs w:val="21"/>
          <w:highlight w:val="none"/>
          <w:lang w:eastAsia="zh-CN"/>
        </w:rPr>
        <w:t>）</w:t>
      </w:r>
      <w:r>
        <w:rPr>
          <w:rFonts w:hint="eastAsia" w:ascii="宋体" w:hAnsi="宋体" w:eastAsia="宋体" w:cs="宋体"/>
          <w:b/>
          <w:bCs w:val="0"/>
          <w:color w:val="FF0000"/>
          <w:sz w:val="21"/>
          <w:szCs w:val="21"/>
          <w:highlight w:val="none"/>
        </w:rPr>
        <w:t>×采购人发布的最高限价的综合单价；</w:t>
      </w:r>
    </w:p>
    <w:p w14:paraId="0BC46F43">
      <w:pPr>
        <w:adjustRightInd w:val="0"/>
        <w:snapToGrid w:val="0"/>
        <w:spacing w:line="360" w:lineRule="auto"/>
        <w:ind w:firstLine="422" w:firstLineChars="200"/>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供应商投标下浮率=（最高投标限价-最后承诺报价）/最高投标限价×100%，此下浮率调整原则适用于合同内价格的计算及项目增减、变更时价格的计算。（</w:t>
      </w:r>
      <w:r>
        <w:rPr>
          <w:rFonts w:hint="eastAsia" w:cs="宋体"/>
          <w:b/>
          <w:bCs w:val="0"/>
          <w:color w:val="FF0000"/>
          <w:sz w:val="21"/>
          <w:szCs w:val="21"/>
          <w:highlight w:val="none"/>
          <w:lang w:val="en-US" w:eastAsia="zh-CN"/>
        </w:rPr>
        <w:t>①</w:t>
      </w:r>
      <w:r>
        <w:rPr>
          <w:rFonts w:hint="eastAsia" w:ascii="宋体" w:hAnsi="宋体" w:eastAsia="宋体" w:cs="宋体"/>
          <w:b/>
          <w:bCs w:val="0"/>
          <w:color w:val="FF0000"/>
          <w:sz w:val="21"/>
          <w:szCs w:val="21"/>
          <w:highlight w:val="none"/>
        </w:rPr>
        <w:t>以上最高投标限价、最后承诺报价</w:t>
      </w:r>
      <w:r>
        <w:rPr>
          <w:rFonts w:hint="eastAsia" w:cs="宋体"/>
          <w:b/>
          <w:bCs w:val="0"/>
          <w:color w:val="FF0000"/>
          <w:sz w:val="21"/>
          <w:szCs w:val="21"/>
          <w:highlight w:val="none"/>
          <w:lang w:val="en-US" w:eastAsia="zh-CN"/>
        </w:rPr>
        <w:t>参与计算时</w:t>
      </w:r>
      <w:r>
        <w:rPr>
          <w:rFonts w:hint="eastAsia" w:ascii="宋体" w:hAnsi="宋体" w:eastAsia="宋体" w:cs="宋体"/>
          <w:b/>
          <w:bCs w:val="0"/>
          <w:color w:val="FF0000"/>
          <w:sz w:val="21"/>
          <w:szCs w:val="21"/>
          <w:highlight w:val="none"/>
        </w:rPr>
        <w:t>均不含</w:t>
      </w:r>
      <w:r>
        <w:rPr>
          <w:rFonts w:hint="eastAsia" w:cs="宋体"/>
          <w:b/>
          <w:bCs w:val="0"/>
          <w:color w:val="FF0000"/>
          <w:sz w:val="21"/>
          <w:szCs w:val="21"/>
          <w:highlight w:val="none"/>
          <w:lang w:val="en-US" w:eastAsia="zh-CN"/>
        </w:rPr>
        <w:t>安全生产费</w:t>
      </w:r>
      <w:r>
        <w:rPr>
          <w:rFonts w:hint="eastAsia" w:ascii="宋体" w:hAnsi="宋体" w:eastAsia="宋体" w:cs="宋体"/>
          <w:b/>
          <w:bCs w:val="0"/>
          <w:color w:val="FF0000"/>
          <w:sz w:val="21"/>
          <w:szCs w:val="21"/>
          <w:highlight w:val="none"/>
        </w:rPr>
        <w:t>；</w:t>
      </w:r>
      <w:r>
        <w:rPr>
          <w:rFonts w:hint="eastAsia" w:cs="宋体"/>
          <w:b/>
          <w:bCs w:val="0"/>
          <w:color w:val="FF0000"/>
          <w:sz w:val="21"/>
          <w:szCs w:val="21"/>
          <w:highlight w:val="none"/>
          <w:lang w:val="en-US" w:eastAsia="zh-CN"/>
        </w:rPr>
        <w:t>②</w:t>
      </w:r>
      <w:r>
        <w:rPr>
          <w:rFonts w:hint="eastAsia" w:ascii="宋体" w:hAnsi="宋体" w:eastAsia="宋体" w:cs="宋体"/>
          <w:b/>
          <w:bCs w:val="0"/>
          <w:color w:val="FF0000"/>
          <w:sz w:val="21"/>
          <w:szCs w:val="21"/>
          <w:highlight w:val="none"/>
        </w:rPr>
        <w:t>计算结果保留小数点后两位，小数点后第三位“四舍五入”）</w:t>
      </w:r>
    </w:p>
    <w:p w14:paraId="05290B08">
      <w:pPr>
        <w:adjustRightInd w:val="0"/>
        <w:snapToGrid w:val="0"/>
        <w:spacing w:line="360" w:lineRule="auto"/>
        <w:ind w:firstLine="422" w:firstLineChars="200"/>
        <w:rPr>
          <w:rFonts w:hint="default" w:cs="宋体"/>
          <w:b/>
          <w:bCs/>
          <w:color w:val="FF0000"/>
          <w:sz w:val="21"/>
          <w:szCs w:val="21"/>
          <w:lang w:val="en-US" w:eastAsia="zh-CN"/>
        </w:rPr>
      </w:pPr>
      <w:r>
        <w:rPr>
          <w:rFonts w:hint="eastAsia" w:cs="宋体"/>
          <w:b/>
          <w:bCs w:val="0"/>
          <w:color w:val="FF0000"/>
          <w:sz w:val="21"/>
          <w:szCs w:val="21"/>
          <w:highlight w:val="none"/>
          <w:lang w:val="en-US" w:eastAsia="zh-CN"/>
        </w:rPr>
        <w:t>2.2（1）</w:t>
      </w:r>
      <w:r>
        <w:rPr>
          <w:rFonts w:hint="eastAsia" w:ascii="宋体" w:hAnsi="宋体" w:eastAsia="宋体" w:cs="宋体"/>
          <w:b/>
          <w:bCs w:val="0"/>
          <w:color w:val="FF0000"/>
          <w:sz w:val="21"/>
          <w:szCs w:val="21"/>
          <w:highlight w:val="none"/>
        </w:rPr>
        <w:t>安全生产费为固定价格，不参与下浮</w:t>
      </w:r>
      <w:r>
        <w:rPr>
          <w:rFonts w:hint="eastAsia" w:cs="宋体"/>
          <w:b/>
          <w:bCs w:val="0"/>
          <w:color w:val="FF0000"/>
          <w:sz w:val="21"/>
          <w:szCs w:val="21"/>
          <w:highlight w:val="none"/>
          <w:lang w:eastAsia="zh-CN"/>
        </w:rPr>
        <w:t>；（</w:t>
      </w:r>
      <w:r>
        <w:rPr>
          <w:rFonts w:hint="eastAsia" w:cs="宋体"/>
          <w:b/>
          <w:bCs w:val="0"/>
          <w:color w:val="FF0000"/>
          <w:sz w:val="21"/>
          <w:szCs w:val="21"/>
          <w:highlight w:val="none"/>
          <w:lang w:val="en-US" w:eastAsia="zh-CN"/>
        </w:rPr>
        <w:t>2）临时工程（如有）</w:t>
      </w:r>
      <w:r>
        <w:rPr>
          <w:rFonts w:hint="eastAsia" w:ascii="宋体" w:hAnsi="宋体" w:eastAsia="宋体" w:cs="宋体"/>
          <w:b/>
          <w:bCs w:val="0"/>
          <w:color w:val="FF0000"/>
          <w:sz w:val="21"/>
          <w:szCs w:val="21"/>
          <w:highlight w:val="none"/>
        </w:rPr>
        <w:t>按</w:t>
      </w:r>
      <w:r>
        <w:rPr>
          <w:rFonts w:hint="eastAsia" w:cs="宋体"/>
          <w:b/>
          <w:bCs w:val="0"/>
          <w:color w:val="FF0000"/>
          <w:sz w:val="21"/>
          <w:szCs w:val="21"/>
          <w:highlight w:val="none"/>
          <w:lang w:val="en-US" w:eastAsia="zh-CN"/>
        </w:rPr>
        <w:t>供应商投标下浮后计算出的临时工程单项总价进行结算</w:t>
      </w:r>
      <w:r>
        <w:rPr>
          <w:rFonts w:hint="eastAsia" w:ascii="宋体" w:hAnsi="宋体" w:eastAsia="宋体" w:cs="宋体"/>
          <w:b/>
          <w:bCs w:val="0"/>
          <w:color w:val="FF0000"/>
          <w:sz w:val="21"/>
          <w:szCs w:val="21"/>
          <w:highlight w:val="none"/>
        </w:rPr>
        <w:t>。</w:t>
      </w:r>
    </w:p>
    <w:p w14:paraId="628DA80C">
      <w:pPr>
        <w:adjustRightInd w:val="0"/>
        <w:snapToGrid w:val="0"/>
        <w:spacing w:line="360" w:lineRule="auto"/>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w:t>
      </w:r>
      <w:r>
        <w:rPr>
          <w:rFonts w:hint="eastAsia" w:cs="宋体"/>
          <w:b w:val="0"/>
          <w:bCs/>
          <w:color w:val="auto"/>
          <w:sz w:val="21"/>
          <w:szCs w:val="21"/>
          <w:highlight w:val="none"/>
          <w:lang w:val="en-US" w:eastAsia="zh-CN"/>
        </w:rPr>
        <w:t>付款方式</w:t>
      </w:r>
      <w:r>
        <w:rPr>
          <w:rFonts w:hint="eastAsia" w:ascii="宋体" w:hAnsi="宋体" w:eastAsia="宋体" w:cs="宋体"/>
          <w:b w:val="0"/>
          <w:bCs/>
          <w:color w:val="auto"/>
          <w:sz w:val="21"/>
          <w:szCs w:val="21"/>
          <w:highlight w:val="none"/>
        </w:rPr>
        <w:t>：</w:t>
      </w:r>
    </w:p>
    <w:p w14:paraId="3F0F7502">
      <w:pPr>
        <w:snapToGrid w:val="0"/>
        <w:spacing w:line="360" w:lineRule="auto"/>
        <w:ind w:firstLine="420" w:firstLineChars="200"/>
        <w:jc w:val="left"/>
        <w:rPr>
          <w:rFonts w:hint="eastAsia"/>
          <w:color w:val="auto"/>
          <w:sz w:val="21"/>
          <w:szCs w:val="21"/>
          <w:highlight w:val="none"/>
          <w:u w:val="single"/>
        </w:rPr>
      </w:pPr>
      <w:r>
        <w:rPr>
          <w:rFonts w:hint="eastAsia" w:cs="宋体"/>
          <w:b w:val="0"/>
          <w:bCs/>
          <w:color w:val="auto"/>
          <w:sz w:val="21"/>
          <w:szCs w:val="21"/>
          <w:highlight w:val="none"/>
          <w:u w:val="single"/>
          <w:lang w:val="en-US" w:eastAsia="zh-CN"/>
        </w:rPr>
        <w:t>①</w:t>
      </w:r>
      <w:r>
        <w:rPr>
          <w:rFonts w:hint="eastAsia" w:ascii="宋体" w:hAnsi="宋体" w:eastAsia="宋体" w:cs="宋体"/>
          <w:b w:val="0"/>
          <w:bCs/>
          <w:color w:val="auto"/>
          <w:sz w:val="21"/>
          <w:szCs w:val="21"/>
          <w:highlight w:val="none"/>
          <w:u w:val="single"/>
        </w:rPr>
        <w:t>合同签订后，经</w:t>
      </w:r>
      <w:r>
        <w:rPr>
          <w:rFonts w:hint="eastAsia" w:cs="宋体"/>
          <w:b w:val="0"/>
          <w:bCs/>
          <w:color w:val="auto"/>
          <w:sz w:val="21"/>
          <w:szCs w:val="21"/>
          <w:highlight w:val="none"/>
          <w:u w:val="single"/>
          <w:lang w:eastAsia="zh-CN"/>
        </w:rPr>
        <w:t>乙方</w:t>
      </w:r>
      <w:r>
        <w:rPr>
          <w:rFonts w:hint="eastAsia" w:ascii="宋体" w:hAnsi="宋体" w:eastAsia="宋体" w:cs="宋体"/>
          <w:b w:val="0"/>
          <w:bCs/>
          <w:color w:val="auto"/>
          <w:sz w:val="21"/>
          <w:szCs w:val="21"/>
          <w:highlight w:val="none"/>
          <w:u w:val="single"/>
        </w:rPr>
        <w:t>申请</w:t>
      </w:r>
      <w:r>
        <w:rPr>
          <w:rFonts w:hint="eastAsia" w:ascii="宋体" w:hAnsi="宋体" w:eastAsia="宋体" w:cs="宋体"/>
          <w:b w:val="0"/>
          <w:bCs/>
          <w:color w:val="auto"/>
          <w:sz w:val="21"/>
          <w:szCs w:val="21"/>
          <w:highlight w:val="none"/>
          <w:u w:val="single"/>
          <w:lang w:eastAsia="zh-CN"/>
        </w:rPr>
        <w:t>，</w:t>
      </w:r>
      <w:r>
        <w:rPr>
          <w:rFonts w:hint="eastAsia" w:ascii="宋体" w:hAnsi="宋体" w:eastAsia="宋体" w:cs="宋体"/>
          <w:b w:val="0"/>
          <w:bCs/>
          <w:color w:val="auto"/>
          <w:sz w:val="21"/>
          <w:szCs w:val="21"/>
          <w:highlight w:val="none"/>
          <w:u w:val="single"/>
          <w:lang w:val="en-US" w:eastAsia="zh-CN"/>
        </w:rPr>
        <w:t>合同甲方审核确认后</w:t>
      </w:r>
      <w:r>
        <w:rPr>
          <w:rFonts w:hint="eastAsia" w:ascii="宋体" w:hAnsi="宋体" w:eastAsia="宋体" w:cs="宋体"/>
          <w:b w:val="0"/>
          <w:bCs/>
          <w:color w:val="auto"/>
          <w:sz w:val="21"/>
          <w:szCs w:val="21"/>
          <w:highlight w:val="none"/>
          <w:u w:val="single"/>
        </w:rPr>
        <w:t>支付</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签约合同价的40%</w:t>
      </w:r>
      <w:r>
        <w:rPr>
          <w:rFonts w:hint="eastAsia" w:cs="宋体"/>
          <w:b w:val="0"/>
          <w:bCs/>
          <w:color w:val="auto"/>
          <w:sz w:val="21"/>
          <w:szCs w:val="21"/>
          <w:highlight w:val="none"/>
          <w:u w:val="single"/>
          <w:lang w:val="en-US" w:eastAsia="zh-CN"/>
        </w:rPr>
        <w:t>作为预付款</w:t>
      </w:r>
      <w:r>
        <w:rPr>
          <w:rFonts w:hint="eastAsia" w:ascii="宋体" w:hAnsi="宋体" w:eastAsia="宋体" w:cs="宋体"/>
          <w:b w:val="0"/>
          <w:bCs/>
          <w:color w:val="auto"/>
          <w:sz w:val="21"/>
          <w:szCs w:val="21"/>
          <w:highlight w:val="none"/>
          <w:u w:val="single"/>
        </w:rPr>
        <w:t>（</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须提交等额预付款担保）</w:t>
      </w:r>
      <w:r>
        <w:rPr>
          <w:rFonts w:hint="eastAsia"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按工程进度支付，完工验收并经结算审核后支付至结算价款的100%，并扣回所有预付款。</w:t>
      </w:r>
    </w:p>
    <w:p w14:paraId="4E0CC8EA">
      <w:pPr>
        <w:snapToGrid w:val="0"/>
        <w:spacing w:line="360" w:lineRule="auto"/>
        <w:ind w:firstLine="420" w:firstLineChars="200"/>
        <w:rPr>
          <w:rFonts w:hint="eastAsia" w:ascii="宋体" w:hAnsi="宋体" w:eastAsia="宋体" w:cs="宋体"/>
          <w:b w:val="0"/>
          <w:bCs/>
          <w:color w:val="auto"/>
          <w:sz w:val="21"/>
          <w:szCs w:val="21"/>
          <w:highlight w:val="none"/>
          <w:u w:val="single"/>
        </w:rPr>
      </w:pPr>
      <w:r>
        <w:rPr>
          <w:rFonts w:hint="eastAsia" w:cs="宋体"/>
          <w:b w:val="0"/>
          <w:bCs/>
          <w:color w:val="auto"/>
          <w:sz w:val="21"/>
          <w:szCs w:val="21"/>
          <w:highlight w:val="none"/>
          <w:u w:val="single"/>
          <w:lang w:val="en-US" w:eastAsia="zh-CN"/>
        </w:rPr>
        <w:t>②</w:t>
      </w:r>
      <w:r>
        <w:rPr>
          <w:rFonts w:hint="eastAsia" w:ascii="宋体" w:hAnsi="宋体" w:eastAsia="宋体" w:cs="宋体"/>
          <w:b w:val="0"/>
          <w:bCs/>
          <w:color w:val="auto"/>
          <w:sz w:val="21"/>
          <w:szCs w:val="21"/>
          <w:highlight w:val="none"/>
          <w:u w:val="single"/>
        </w:rPr>
        <w:t>在签订合同时，</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书面明确表示无需预付款，即</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无需提供预付款担保，按皖财购〔2022〕556号规定，合同甲方可不再支付预付款</w:t>
      </w:r>
      <w:r>
        <w:rPr>
          <w:rFonts w:hint="eastAsia" w:ascii="宋体" w:hAnsi="宋体" w:eastAsia="宋体"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w:t>
      </w:r>
    </w:p>
    <w:p w14:paraId="29CEA1B6">
      <w:pPr>
        <w:snapToGrid w:val="0"/>
        <w:spacing w:line="360" w:lineRule="auto"/>
        <w:ind w:firstLine="422" w:firstLineChars="200"/>
        <w:rPr>
          <w:rFonts w:cs="宋体"/>
          <w:b/>
          <w:color w:val="auto"/>
          <w:sz w:val="21"/>
          <w:szCs w:val="21"/>
        </w:rPr>
      </w:pPr>
      <w:bookmarkStart w:id="128" w:name="_Toc351203485"/>
      <w:r>
        <w:rPr>
          <w:rFonts w:hint="eastAsia" w:cs="宋体"/>
          <w:b/>
          <w:color w:val="auto"/>
          <w:sz w:val="21"/>
          <w:szCs w:val="21"/>
        </w:rPr>
        <w:t>五、</w:t>
      </w:r>
      <w:bookmarkEnd w:id="128"/>
      <w:r>
        <w:rPr>
          <w:rFonts w:hint="eastAsia" w:cs="宋体"/>
          <w:b/>
          <w:color w:val="auto"/>
          <w:sz w:val="21"/>
          <w:szCs w:val="21"/>
        </w:rPr>
        <w:t>项目经理</w:t>
      </w:r>
    </w:p>
    <w:p w14:paraId="3FF3B502">
      <w:pPr>
        <w:snapToGrid w:val="0"/>
        <w:spacing w:line="360" w:lineRule="auto"/>
        <w:ind w:firstLine="420" w:firstLineChars="200"/>
        <w:rPr>
          <w:rFonts w:cs="宋体"/>
          <w:color w:val="auto"/>
          <w:sz w:val="21"/>
          <w:szCs w:val="21"/>
        </w:rPr>
      </w:pPr>
      <w:r>
        <w:rPr>
          <w:rFonts w:hint="eastAsia" w:cs="宋体"/>
          <w:color w:val="auto"/>
          <w:sz w:val="21"/>
          <w:szCs w:val="21"/>
        </w:rPr>
        <w:t>承包人项目经理：</w:t>
      </w:r>
      <w:r>
        <w:rPr>
          <w:rFonts w:hint="eastAsia" w:cs="宋体"/>
          <w:color w:val="auto"/>
          <w:sz w:val="21"/>
          <w:szCs w:val="21"/>
          <w:u w:val="single"/>
        </w:rPr>
        <w:t>                     </w:t>
      </w:r>
      <w:r>
        <w:rPr>
          <w:rFonts w:hint="eastAsia" w:cs="宋体"/>
          <w:color w:val="auto"/>
          <w:sz w:val="21"/>
          <w:szCs w:val="21"/>
        </w:rPr>
        <w:t>。</w:t>
      </w:r>
    </w:p>
    <w:p w14:paraId="59C1E158">
      <w:pPr>
        <w:snapToGrid w:val="0"/>
        <w:spacing w:line="360" w:lineRule="auto"/>
        <w:ind w:firstLine="422" w:firstLineChars="200"/>
        <w:rPr>
          <w:rFonts w:cs="宋体"/>
          <w:b/>
          <w:color w:val="auto"/>
          <w:sz w:val="21"/>
          <w:szCs w:val="21"/>
        </w:rPr>
      </w:pPr>
      <w:bookmarkStart w:id="129" w:name="_Toc351203486"/>
      <w:r>
        <w:rPr>
          <w:rFonts w:hint="eastAsia" w:cs="宋体"/>
          <w:b/>
          <w:color w:val="auto"/>
          <w:sz w:val="21"/>
          <w:szCs w:val="21"/>
        </w:rPr>
        <w:t>六、合同文件构成</w:t>
      </w:r>
      <w:bookmarkEnd w:id="129"/>
    </w:p>
    <w:p w14:paraId="2F150FA5">
      <w:pPr>
        <w:snapToGrid w:val="0"/>
        <w:spacing w:line="360" w:lineRule="auto"/>
        <w:ind w:firstLine="420" w:firstLineChars="200"/>
        <w:rPr>
          <w:rFonts w:cs="宋体"/>
          <w:bCs/>
          <w:color w:val="auto"/>
          <w:sz w:val="21"/>
          <w:szCs w:val="21"/>
        </w:rPr>
      </w:pPr>
      <w:r>
        <w:rPr>
          <w:rFonts w:hint="eastAsia" w:cs="宋体"/>
          <w:bCs/>
          <w:color w:val="auto"/>
          <w:sz w:val="21"/>
          <w:szCs w:val="21"/>
        </w:rPr>
        <w:t>本协议书与下列文件一起构成合同文件：</w:t>
      </w:r>
    </w:p>
    <w:p w14:paraId="737A4437">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（1）中标通知书（如果有）；</w:t>
      </w:r>
    </w:p>
    <w:p w14:paraId="0C367A31">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 xml:space="preserve">（2）投标函及其附录（如果有）； </w:t>
      </w:r>
    </w:p>
    <w:p w14:paraId="2331F41E">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（3）专用合同条款及其附件；</w:t>
      </w:r>
    </w:p>
    <w:p w14:paraId="693C3858">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（4）通用合同条款；</w:t>
      </w:r>
    </w:p>
    <w:p w14:paraId="4CA0742C">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（5）技术标准和要求；</w:t>
      </w:r>
    </w:p>
    <w:p w14:paraId="547B3876">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（6）图纸；</w:t>
      </w:r>
    </w:p>
    <w:p w14:paraId="6462DA62">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（7）</w:t>
      </w:r>
      <w:r>
        <w:rPr>
          <w:rFonts w:hint="eastAsia" w:cs="宋体"/>
          <w:color w:val="auto"/>
          <w:sz w:val="21"/>
          <w:szCs w:val="21"/>
          <w:lang w:val="en-US" w:eastAsia="zh-CN"/>
        </w:rPr>
        <w:t>采购人发布的</w:t>
      </w:r>
      <w:r>
        <w:rPr>
          <w:rFonts w:hint="eastAsia" w:cs="宋体"/>
          <w:color w:val="auto"/>
          <w:sz w:val="21"/>
          <w:szCs w:val="21"/>
        </w:rPr>
        <w:t>工程量清单</w:t>
      </w:r>
      <w:r>
        <w:rPr>
          <w:rFonts w:hint="eastAsia" w:cs="宋体"/>
          <w:color w:val="auto"/>
          <w:sz w:val="21"/>
          <w:szCs w:val="21"/>
          <w:lang w:eastAsia="zh-CN"/>
        </w:rPr>
        <w:t>、</w:t>
      </w:r>
      <w:r>
        <w:rPr>
          <w:rFonts w:hint="eastAsia" w:cs="宋体"/>
          <w:color w:val="auto"/>
          <w:sz w:val="21"/>
          <w:szCs w:val="21"/>
          <w:lang w:val="en-US" w:eastAsia="zh-CN"/>
        </w:rPr>
        <w:t>最高投标限价</w:t>
      </w:r>
      <w:r>
        <w:rPr>
          <w:rFonts w:hint="eastAsia" w:cs="宋体"/>
          <w:color w:val="auto"/>
          <w:sz w:val="21"/>
          <w:szCs w:val="21"/>
        </w:rPr>
        <w:t>；</w:t>
      </w:r>
    </w:p>
    <w:p w14:paraId="2FF4EAF1">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（8）其他合同文件。</w:t>
      </w:r>
    </w:p>
    <w:p w14:paraId="1A5EEEBF">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在合同订立及履行过程中形成的与合同有关的文件均构成合同文件组成部分。</w:t>
      </w:r>
    </w:p>
    <w:p w14:paraId="52300D93">
      <w:pPr>
        <w:autoSpaceDE w:val="0"/>
        <w:autoSpaceDN w:val="0"/>
        <w:adjustRightInd w:val="0"/>
        <w:snapToGrid w:val="0"/>
        <w:spacing w:line="360" w:lineRule="auto"/>
        <w:ind w:firstLine="420" w:firstLineChars="200"/>
        <w:jc w:val="left"/>
        <w:rPr>
          <w:rFonts w:cs="宋体"/>
          <w:color w:val="auto"/>
          <w:sz w:val="21"/>
          <w:szCs w:val="21"/>
        </w:rPr>
      </w:pPr>
      <w:r>
        <w:rPr>
          <w:rFonts w:hint="eastAsia" w:cs="宋体"/>
          <w:color w:val="auto"/>
          <w:sz w:val="21"/>
          <w:szCs w:val="21"/>
        </w:rPr>
        <w:t>上述各项合同文件包括合同当事人就该项合同文件所作出的补充和修改，属于同一类内容的文件，应以最新签署的为准。专用合同条款及其附件须经合同当事人签字或盖章。</w:t>
      </w:r>
    </w:p>
    <w:p w14:paraId="6DE22068">
      <w:pPr>
        <w:snapToGrid w:val="0"/>
        <w:spacing w:line="360" w:lineRule="auto"/>
        <w:ind w:firstLine="422" w:firstLineChars="200"/>
        <w:rPr>
          <w:rFonts w:cs="宋体"/>
          <w:b/>
          <w:color w:val="auto"/>
          <w:sz w:val="21"/>
          <w:szCs w:val="21"/>
        </w:rPr>
      </w:pPr>
      <w:bookmarkStart w:id="130" w:name="_Toc351203487"/>
      <w:r>
        <w:rPr>
          <w:rFonts w:hint="eastAsia" w:cs="宋体"/>
          <w:b/>
          <w:color w:val="auto"/>
          <w:sz w:val="21"/>
          <w:szCs w:val="21"/>
        </w:rPr>
        <w:t>七、承诺</w:t>
      </w:r>
      <w:bookmarkEnd w:id="130"/>
    </w:p>
    <w:p w14:paraId="102E87C9">
      <w:pPr>
        <w:snapToGrid w:val="0"/>
        <w:spacing w:line="360" w:lineRule="auto"/>
        <w:ind w:firstLine="420" w:firstLineChars="200"/>
        <w:rPr>
          <w:rFonts w:cs="宋体"/>
          <w:bCs/>
          <w:color w:val="auto"/>
          <w:sz w:val="21"/>
          <w:szCs w:val="21"/>
        </w:rPr>
      </w:pPr>
      <w:r>
        <w:rPr>
          <w:rFonts w:hint="eastAsia" w:cs="宋体"/>
          <w:bCs/>
          <w:color w:val="auto"/>
          <w:sz w:val="21"/>
          <w:szCs w:val="21"/>
        </w:rPr>
        <w:t>1. 发包人承诺按照法律规定履行项目审批手续、筹集工程建设资金并按照合同约定的期限和方式支付合同价款。</w:t>
      </w:r>
    </w:p>
    <w:p w14:paraId="3D199C97">
      <w:pPr>
        <w:snapToGrid w:val="0"/>
        <w:spacing w:line="360" w:lineRule="auto"/>
        <w:ind w:firstLine="420" w:firstLineChars="200"/>
        <w:rPr>
          <w:rFonts w:cs="宋体"/>
          <w:bCs/>
          <w:color w:val="auto"/>
          <w:sz w:val="21"/>
          <w:szCs w:val="21"/>
        </w:rPr>
      </w:pPr>
      <w:r>
        <w:rPr>
          <w:rFonts w:hint="eastAsia" w:cs="宋体"/>
          <w:bCs/>
          <w:color w:val="auto"/>
          <w:sz w:val="21"/>
          <w:szCs w:val="21"/>
        </w:rPr>
        <w:t>2. 承包人承诺按照法律规定及合同约定组织完成工程施工，确保工程质量和安全，不进行转包及违法分包，并在缺陷责任期及保修期内承担相应的工程维修责任。</w:t>
      </w:r>
    </w:p>
    <w:p w14:paraId="4E3B8E45">
      <w:pPr>
        <w:snapToGrid w:val="0"/>
        <w:spacing w:line="360" w:lineRule="auto"/>
        <w:ind w:firstLine="420" w:firstLineChars="200"/>
        <w:rPr>
          <w:rFonts w:hint="eastAsia" w:cs="宋体"/>
          <w:bCs/>
          <w:color w:val="auto"/>
          <w:sz w:val="21"/>
          <w:szCs w:val="21"/>
        </w:rPr>
      </w:pPr>
      <w:r>
        <w:rPr>
          <w:rFonts w:hint="eastAsia" w:cs="宋体"/>
          <w:bCs/>
          <w:color w:val="auto"/>
          <w:sz w:val="21"/>
          <w:szCs w:val="21"/>
        </w:rPr>
        <w:t>3. 发包人和承包人通过招投标形式签订合同的，双方理解并承诺不再就同一工程另行签订与合同实质性内容相背离的协议。</w:t>
      </w:r>
    </w:p>
    <w:p w14:paraId="149C690C">
      <w:pPr>
        <w:snapToGrid w:val="0"/>
        <w:spacing w:line="360" w:lineRule="auto"/>
        <w:ind w:firstLine="420" w:firstLineChars="200"/>
        <w:rPr>
          <w:rFonts w:hint="default" w:eastAsia="宋体" w:cs="宋体"/>
          <w:bCs/>
          <w:color w:val="auto"/>
          <w:sz w:val="21"/>
          <w:szCs w:val="21"/>
          <w:lang w:val="en-US" w:eastAsia="zh-CN"/>
        </w:rPr>
      </w:pPr>
      <w:r>
        <w:rPr>
          <w:rFonts w:hint="eastAsia" w:cs="宋体"/>
          <w:bCs/>
          <w:color w:val="auto"/>
          <w:sz w:val="21"/>
          <w:szCs w:val="21"/>
          <w:lang w:val="en-US" w:eastAsia="zh-CN"/>
        </w:rPr>
        <w:t>4.承包人安全管理责任</w:t>
      </w:r>
    </w:p>
    <w:p w14:paraId="19C4AE5C">
      <w:pPr>
        <w:snapToGrid w:val="0"/>
        <w:spacing w:line="360" w:lineRule="auto"/>
        <w:ind w:firstLine="420" w:firstLineChars="2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1）</w:t>
      </w:r>
      <w:r>
        <w:rPr>
          <w:rFonts w:hint="eastAsia" w:cs="宋体"/>
          <w:b w:val="0"/>
          <w:bCs/>
          <w:color w:val="auto"/>
          <w:sz w:val="21"/>
          <w:szCs w:val="21"/>
          <w:highlight w:val="none"/>
        </w:rPr>
        <w:t>乙方在</w:t>
      </w:r>
      <w:r>
        <w:rPr>
          <w:rFonts w:hint="eastAsia" w:cs="宋体"/>
          <w:b w:val="0"/>
          <w:bCs/>
          <w:color w:val="auto"/>
          <w:sz w:val="21"/>
          <w:szCs w:val="21"/>
          <w:highlight w:val="yellow"/>
          <w:lang w:val="en-US" w:eastAsia="zh-CN"/>
        </w:rPr>
        <w:t>合同履约</w:t>
      </w:r>
      <w:r>
        <w:rPr>
          <w:rFonts w:hint="eastAsia" w:cs="宋体"/>
          <w:b w:val="0"/>
          <w:bCs/>
          <w:color w:val="auto"/>
          <w:sz w:val="21"/>
          <w:szCs w:val="21"/>
          <w:highlight w:val="none"/>
        </w:rPr>
        <w:t>过程中，应加强人员管理，确保人员工作安全，防范安全生产事故，乙方在履行本合同过程中发生的任何工伤或意外伤亡等，均由乙方负责处理并承担全部费用；若因此给发包方或第三方造成损失，由乙方予以全额赔偿。</w:t>
      </w:r>
    </w:p>
    <w:p w14:paraId="79614E8F">
      <w:pPr>
        <w:snapToGrid w:val="0"/>
        <w:spacing w:line="360" w:lineRule="auto"/>
        <w:ind w:firstLine="420" w:firstLineChars="2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2）</w:t>
      </w:r>
      <w:r>
        <w:rPr>
          <w:rFonts w:hint="eastAsia" w:cs="宋体"/>
          <w:b w:val="0"/>
          <w:bCs/>
          <w:color w:val="auto"/>
          <w:sz w:val="21"/>
          <w:szCs w:val="21"/>
          <w:highlight w:val="none"/>
        </w:rPr>
        <w:t>本项目所有从业人员购买以下保险（</w:t>
      </w:r>
      <w:r>
        <w:rPr>
          <w:rFonts w:hint="eastAsia" w:cs="宋体"/>
          <w:b w:val="0"/>
          <w:bCs/>
          <w:color w:val="auto"/>
          <w:sz w:val="21"/>
          <w:szCs w:val="21"/>
          <w:highlight w:val="none"/>
          <w:lang w:eastAsia="zh-CN"/>
        </w:rPr>
        <w:t>三者任选其一</w:t>
      </w:r>
      <w:r>
        <w:rPr>
          <w:rFonts w:hint="eastAsia" w:cs="宋体"/>
          <w:b w:val="0"/>
          <w:bCs/>
          <w:color w:val="auto"/>
          <w:sz w:val="21"/>
          <w:szCs w:val="21"/>
          <w:highlight w:val="none"/>
        </w:rPr>
        <w:t>）：</w:t>
      </w:r>
      <w:r>
        <w:rPr>
          <w:rFonts w:hint="eastAsia" w:cs="宋体"/>
          <w:b/>
          <w:bCs/>
          <w:color w:val="auto"/>
          <w:sz w:val="21"/>
          <w:szCs w:val="21"/>
          <w:highlight w:val="yellow"/>
          <w:u w:val="single"/>
        </w:rPr>
        <w:t>雇主责任险或</w:t>
      </w:r>
      <w:r>
        <w:rPr>
          <w:rFonts w:hint="eastAsia" w:cs="宋体"/>
          <w:b/>
          <w:bCs/>
          <w:color w:val="auto"/>
          <w:sz w:val="21"/>
          <w:szCs w:val="21"/>
          <w:highlight w:val="yellow"/>
          <w:u w:val="single"/>
          <w:lang w:eastAsia="zh-CN"/>
        </w:rPr>
        <w:t>团体意外险</w:t>
      </w:r>
      <w:r>
        <w:rPr>
          <w:rFonts w:hint="eastAsia" w:cs="宋体"/>
          <w:b/>
          <w:bCs/>
          <w:color w:val="auto"/>
          <w:sz w:val="21"/>
          <w:szCs w:val="21"/>
          <w:highlight w:val="yellow"/>
          <w:u w:val="single"/>
          <w:lang w:val="en-US" w:eastAsia="zh-CN"/>
        </w:rPr>
        <w:t>或安全生产责任险</w:t>
      </w:r>
      <w:r>
        <w:rPr>
          <w:rFonts w:hint="eastAsia" w:cs="宋体"/>
          <w:b w:val="0"/>
          <w:bCs/>
          <w:color w:val="auto"/>
          <w:sz w:val="21"/>
          <w:szCs w:val="21"/>
          <w:highlight w:val="none"/>
        </w:rPr>
        <w:t>，其保险费已包含在签约合同价中。</w:t>
      </w:r>
    </w:p>
    <w:p w14:paraId="067650EB">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lang w:eastAsia="zh-CN"/>
        </w:rPr>
        <w:t>（</w:t>
      </w:r>
      <w:r>
        <w:rPr>
          <w:rFonts w:hint="eastAsia" w:cs="宋体"/>
          <w:b w:val="0"/>
          <w:bCs/>
          <w:color w:val="auto"/>
          <w:sz w:val="21"/>
          <w:szCs w:val="21"/>
          <w:highlight w:val="none"/>
          <w:lang w:val="en-US" w:eastAsia="zh-CN"/>
        </w:rPr>
        <w:t>3）</w:t>
      </w:r>
      <w:r>
        <w:rPr>
          <w:rFonts w:hint="eastAsia" w:cs="宋体"/>
          <w:b w:val="0"/>
          <w:bCs/>
          <w:color w:val="auto"/>
          <w:sz w:val="21"/>
          <w:szCs w:val="21"/>
          <w:highlight w:val="none"/>
        </w:rPr>
        <w:t>安全承诺</w:t>
      </w:r>
      <w:r>
        <w:rPr>
          <w:rFonts w:hint="eastAsia" w:cs="宋体"/>
          <w:b w:val="0"/>
          <w:bCs/>
          <w:color w:val="auto"/>
          <w:sz w:val="21"/>
          <w:szCs w:val="21"/>
          <w:highlight w:val="none"/>
          <w:lang w:val="en-US" w:eastAsia="zh-CN"/>
        </w:rPr>
        <w:t>:</w:t>
      </w:r>
      <w:r>
        <w:rPr>
          <w:rFonts w:hint="eastAsia" w:cs="宋体"/>
          <w:b w:val="0"/>
          <w:bCs/>
          <w:color w:val="auto"/>
          <w:sz w:val="21"/>
          <w:szCs w:val="21"/>
          <w:highlight w:val="none"/>
        </w:rPr>
        <w:t>乙方承诺，作业过程中如出现作业人员未有效佩戴现场安全防护</w:t>
      </w:r>
      <w:r>
        <w:rPr>
          <w:rFonts w:hint="eastAsia" w:cs="宋体"/>
          <w:b w:val="0"/>
          <w:bCs/>
          <w:color w:val="auto"/>
          <w:sz w:val="21"/>
          <w:szCs w:val="21"/>
          <w:highlight w:val="none"/>
          <w:lang w:eastAsia="zh-CN"/>
        </w:rPr>
        <w:t>必需的</w:t>
      </w:r>
      <w:r>
        <w:rPr>
          <w:rFonts w:hint="eastAsia" w:cs="宋体"/>
          <w:b w:val="0"/>
          <w:bCs/>
          <w:color w:val="auto"/>
          <w:sz w:val="21"/>
          <w:szCs w:val="21"/>
          <w:highlight w:val="none"/>
        </w:rPr>
        <w:t>安全帽、安全绳、救生衣以及其他</w:t>
      </w:r>
      <w:r>
        <w:rPr>
          <w:rFonts w:hint="eastAsia" w:cs="宋体"/>
          <w:b w:val="0"/>
          <w:bCs/>
          <w:color w:val="auto"/>
          <w:sz w:val="21"/>
          <w:szCs w:val="21"/>
          <w:highlight w:val="none"/>
          <w:lang w:eastAsia="zh-CN"/>
        </w:rPr>
        <w:t>必需的</w:t>
      </w:r>
      <w:r>
        <w:rPr>
          <w:rFonts w:hint="eastAsia" w:cs="宋体"/>
          <w:b w:val="0"/>
          <w:bCs/>
          <w:color w:val="auto"/>
          <w:sz w:val="21"/>
          <w:szCs w:val="21"/>
          <w:highlight w:val="none"/>
          <w:lang w:val="en-US" w:eastAsia="zh-CN"/>
        </w:rPr>
        <w:t>作业</w:t>
      </w:r>
      <w:r>
        <w:rPr>
          <w:rFonts w:hint="eastAsia" w:cs="宋体"/>
          <w:b w:val="0"/>
          <w:bCs/>
          <w:color w:val="auto"/>
          <w:sz w:val="21"/>
          <w:szCs w:val="21"/>
          <w:highlight w:val="none"/>
        </w:rPr>
        <w:t>防护等安全防护用品，发生不安全行为的，每出现一次，从</w:t>
      </w:r>
      <w:r>
        <w:rPr>
          <w:rFonts w:hint="eastAsia" w:cs="宋体"/>
          <w:b w:val="0"/>
          <w:bCs/>
          <w:color w:val="auto"/>
          <w:sz w:val="21"/>
          <w:szCs w:val="21"/>
          <w:highlight w:val="yellow"/>
          <w:lang w:val="en-US" w:eastAsia="zh-CN"/>
        </w:rPr>
        <w:t>合同</w:t>
      </w:r>
      <w:r>
        <w:rPr>
          <w:rFonts w:hint="eastAsia" w:cs="宋体"/>
          <w:b w:val="0"/>
          <w:bCs/>
          <w:color w:val="auto"/>
          <w:sz w:val="21"/>
          <w:szCs w:val="21"/>
          <w:highlight w:val="none"/>
        </w:rPr>
        <w:t>结算价中自愿核减1000元，减完为止。</w:t>
      </w:r>
    </w:p>
    <w:p w14:paraId="0C6ED52C">
      <w:pPr>
        <w:snapToGrid w:val="0"/>
        <w:spacing w:line="360" w:lineRule="auto"/>
        <w:ind w:left="240" w:leftChars="120" w:firstLine="210" w:firstLineChars="100"/>
        <w:rPr>
          <w:rFonts w:hint="eastAsia" w:cs="宋体"/>
          <w:b w:val="0"/>
          <w:bCs/>
          <w:color w:val="auto"/>
          <w:sz w:val="21"/>
          <w:szCs w:val="21"/>
          <w:highlight w:val="none"/>
          <w:lang w:val="en-US" w:eastAsia="zh-CN"/>
        </w:rPr>
      </w:pPr>
      <w:r>
        <w:rPr>
          <w:rFonts w:hint="eastAsia" w:cs="宋体"/>
          <w:b w:val="0"/>
          <w:bCs/>
          <w:color w:val="auto"/>
          <w:sz w:val="21"/>
          <w:szCs w:val="21"/>
          <w:highlight w:val="none"/>
          <w:lang w:val="en-US" w:eastAsia="zh-CN"/>
        </w:rPr>
        <w:t>5.承包人保障农民工工资的承诺</w:t>
      </w:r>
    </w:p>
    <w:p w14:paraId="720035F6">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为保护农民工的合法权益，不拖欠农民工工资，</w:t>
      </w:r>
      <w:r>
        <w:rPr>
          <w:rFonts w:hint="eastAsia" w:cs="宋体"/>
          <w:b w:val="0"/>
          <w:bCs/>
          <w:color w:val="auto"/>
          <w:sz w:val="21"/>
          <w:szCs w:val="21"/>
          <w:highlight w:val="none"/>
          <w:lang w:val="en-US" w:eastAsia="zh-CN"/>
        </w:rPr>
        <w:t>我单位</w:t>
      </w:r>
      <w:r>
        <w:rPr>
          <w:rFonts w:hint="eastAsia" w:cs="宋体"/>
          <w:b w:val="0"/>
          <w:bCs/>
          <w:color w:val="auto"/>
          <w:sz w:val="21"/>
          <w:szCs w:val="21"/>
          <w:highlight w:val="none"/>
        </w:rPr>
        <w:t>中标</w:t>
      </w:r>
      <w:r>
        <w:rPr>
          <w:rFonts w:hint="eastAsia" w:cs="宋体"/>
          <w:b w:val="0"/>
          <w:bCs/>
          <w:color w:val="auto"/>
          <w:sz w:val="21"/>
          <w:szCs w:val="21"/>
          <w:highlight w:val="none"/>
          <w:lang w:val="en-US" w:eastAsia="zh-CN"/>
        </w:rPr>
        <w:t>后</w:t>
      </w:r>
      <w:r>
        <w:rPr>
          <w:rFonts w:hint="eastAsia" w:cs="宋体"/>
          <w:b w:val="0"/>
          <w:bCs/>
          <w:color w:val="auto"/>
          <w:sz w:val="21"/>
          <w:szCs w:val="21"/>
          <w:highlight w:val="none"/>
        </w:rPr>
        <w:t>承诺做到:</w:t>
      </w:r>
    </w:p>
    <w:p w14:paraId="59F6E116">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1.</w:t>
      </w:r>
      <w:r>
        <w:rPr>
          <w:rFonts w:hint="eastAsia" w:cs="宋体"/>
          <w:b w:val="0"/>
          <w:bCs/>
          <w:color w:val="auto"/>
          <w:sz w:val="21"/>
          <w:szCs w:val="21"/>
          <w:highlight w:val="none"/>
        </w:rPr>
        <w:t>严格按照《中华人民共和国劳动法》规定，不克扣或者无故拖欠</w:t>
      </w:r>
      <w:r>
        <w:rPr>
          <w:rFonts w:hint="eastAsia" w:cs="宋体"/>
          <w:b w:val="0"/>
          <w:bCs/>
          <w:color w:val="auto"/>
          <w:sz w:val="21"/>
          <w:szCs w:val="21"/>
          <w:highlight w:val="none"/>
          <w:lang w:val="en-US" w:eastAsia="zh-CN"/>
        </w:rPr>
        <w:t>本项目履约过程中</w:t>
      </w:r>
      <w:r>
        <w:rPr>
          <w:rFonts w:hint="eastAsia" w:cs="宋体"/>
          <w:b w:val="0"/>
          <w:bCs/>
          <w:color w:val="auto"/>
          <w:sz w:val="21"/>
          <w:szCs w:val="21"/>
          <w:highlight w:val="none"/>
        </w:rPr>
        <w:t>劳动者的工资</w:t>
      </w:r>
      <w:r>
        <w:rPr>
          <w:rFonts w:hint="eastAsia" w:cs="宋体"/>
          <w:b w:val="0"/>
          <w:bCs/>
          <w:color w:val="auto"/>
          <w:sz w:val="21"/>
          <w:szCs w:val="21"/>
          <w:highlight w:val="none"/>
          <w:lang w:val="en-US" w:eastAsia="zh-CN"/>
        </w:rPr>
        <w:t>及雇佣费用</w:t>
      </w:r>
      <w:r>
        <w:rPr>
          <w:rFonts w:hint="eastAsia" w:cs="宋体"/>
          <w:b w:val="0"/>
          <w:bCs/>
          <w:color w:val="auto"/>
          <w:sz w:val="21"/>
          <w:szCs w:val="21"/>
          <w:highlight w:val="none"/>
        </w:rPr>
        <w:t>。</w:t>
      </w:r>
    </w:p>
    <w:p w14:paraId="75E46428">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2.履约过程中所有劳动者的工资及雇佣费用，</w:t>
      </w:r>
      <w:r>
        <w:rPr>
          <w:rFonts w:hint="eastAsia" w:cs="宋体"/>
          <w:b w:val="0"/>
          <w:bCs/>
          <w:color w:val="auto"/>
          <w:sz w:val="21"/>
          <w:szCs w:val="21"/>
          <w:highlight w:val="none"/>
        </w:rPr>
        <w:t>将由我公司先行垫付。</w:t>
      </w:r>
    </w:p>
    <w:p w14:paraId="17BC2748">
      <w:pPr>
        <w:snapToGrid w:val="0"/>
        <w:spacing w:line="360" w:lineRule="auto"/>
        <w:ind w:left="240" w:leftChars="120" w:firstLine="210" w:firstLineChars="100"/>
        <w:rPr>
          <w:rFonts w:hint="eastAsia" w:cs="宋体"/>
          <w:b w:val="0"/>
          <w:bCs/>
          <w:color w:val="auto"/>
          <w:sz w:val="21"/>
          <w:szCs w:val="21"/>
          <w:highlight w:val="none"/>
        </w:rPr>
      </w:pPr>
      <w:r>
        <w:rPr>
          <w:rFonts w:hint="eastAsia" w:cs="宋体"/>
          <w:b w:val="0"/>
          <w:bCs/>
          <w:color w:val="auto"/>
          <w:sz w:val="21"/>
          <w:szCs w:val="21"/>
          <w:highlight w:val="none"/>
        </w:rPr>
        <w:t xml:space="preserve">   </w:t>
      </w:r>
      <w:r>
        <w:rPr>
          <w:rFonts w:hint="eastAsia" w:cs="宋体"/>
          <w:b w:val="0"/>
          <w:bCs/>
          <w:color w:val="auto"/>
          <w:sz w:val="21"/>
          <w:szCs w:val="21"/>
          <w:highlight w:val="none"/>
          <w:lang w:val="en-US" w:eastAsia="zh-CN"/>
        </w:rPr>
        <w:t>3.</w:t>
      </w:r>
      <w:r>
        <w:rPr>
          <w:rFonts w:hint="eastAsia" w:cs="宋体"/>
          <w:b w:val="0"/>
          <w:bCs/>
          <w:color w:val="auto"/>
          <w:sz w:val="21"/>
          <w:szCs w:val="21"/>
          <w:highlight w:val="none"/>
        </w:rPr>
        <w:t>如果发生违反规定拖欠或克扣农民工工资行为，本</w:t>
      </w:r>
      <w:r>
        <w:rPr>
          <w:rFonts w:hint="eastAsia" w:cs="宋体"/>
          <w:b w:val="0"/>
          <w:bCs/>
          <w:color w:val="auto"/>
          <w:sz w:val="21"/>
          <w:szCs w:val="21"/>
          <w:highlight w:val="none"/>
          <w:lang w:val="en-US" w:eastAsia="zh-CN"/>
        </w:rPr>
        <w:t>单位</w:t>
      </w:r>
      <w:r>
        <w:rPr>
          <w:rFonts w:hint="eastAsia" w:cs="宋体"/>
          <w:b w:val="0"/>
          <w:bCs/>
          <w:color w:val="auto"/>
          <w:sz w:val="21"/>
          <w:szCs w:val="21"/>
          <w:highlight w:val="none"/>
        </w:rPr>
        <w:t>支持</w:t>
      </w:r>
      <w:r>
        <w:rPr>
          <w:rFonts w:hint="eastAsia" w:cs="宋体"/>
          <w:b w:val="0"/>
          <w:bCs/>
          <w:color w:val="auto"/>
          <w:sz w:val="21"/>
          <w:szCs w:val="21"/>
          <w:highlight w:val="none"/>
          <w:lang w:val="en-US" w:eastAsia="zh-CN"/>
        </w:rPr>
        <w:t>甲方</w:t>
      </w:r>
      <w:r>
        <w:rPr>
          <w:rFonts w:hint="eastAsia" w:cs="宋体"/>
          <w:b w:val="0"/>
          <w:bCs/>
          <w:color w:val="auto"/>
          <w:sz w:val="21"/>
          <w:szCs w:val="21"/>
          <w:highlight w:val="none"/>
        </w:rPr>
        <w:t>依照有关规定</w:t>
      </w:r>
      <w:r>
        <w:rPr>
          <w:rFonts w:hint="eastAsia" w:cs="宋体"/>
          <w:b w:val="0"/>
          <w:bCs/>
          <w:color w:val="auto"/>
          <w:sz w:val="21"/>
          <w:szCs w:val="21"/>
          <w:highlight w:val="none"/>
          <w:lang w:val="en-US" w:eastAsia="zh-CN"/>
        </w:rPr>
        <w:t>对我单位</w:t>
      </w:r>
      <w:r>
        <w:rPr>
          <w:rFonts w:hint="eastAsia" w:cs="宋体"/>
          <w:b w:val="0"/>
          <w:bCs/>
          <w:color w:val="auto"/>
          <w:sz w:val="21"/>
          <w:szCs w:val="21"/>
          <w:highlight w:val="none"/>
        </w:rPr>
        <w:t>作出的</w:t>
      </w:r>
      <w:r>
        <w:rPr>
          <w:rFonts w:hint="eastAsia" w:cs="宋体"/>
          <w:b w:val="0"/>
          <w:bCs/>
          <w:color w:val="auto"/>
          <w:sz w:val="21"/>
          <w:szCs w:val="21"/>
          <w:highlight w:val="none"/>
          <w:lang w:val="en-US" w:eastAsia="zh-CN"/>
        </w:rPr>
        <w:t>相关措施（包括但不限于从履约保证金或工程进度款等款项中支付拖欠的农民工工资）</w:t>
      </w:r>
      <w:r>
        <w:rPr>
          <w:rFonts w:hint="eastAsia" w:cs="宋体"/>
          <w:b w:val="0"/>
          <w:bCs/>
          <w:color w:val="auto"/>
          <w:sz w:val="21"/>
          <w:szCs w:val="21"/>
          <w:highlight w:val="none"/>
        </w:rPr>
        <w:t>。</w:t>
      </w:r>
    </w:p>
    <w:p w14:paraId="147D9AF4">
      <w:pPr>
        <w:snapToGrid w:val="0"/>
        <w:spacing w:line="360" w:lineRule="auto"/>
        <w:ind w:firstLine="422" w:firstLineChars="200"/>
        <w:rPr>
          <w:rFonts w:cs="宋体"/>
          <w:b/>
          <w:color w:val="auto"/>
          <w:sz w:val="21"/>
          <w:szCs w:val="21"/>
        </w:rPr>
      </w:pPr>
      <w:bookmarkStart w:id="131" w:name="_Toc351203488"/>
      <w:r>
        <w:rPr>
          <w:rFonts w:hint="eastAsia" w:cs="宋体"/>
          <w:b/>
          <w:color w:val="auto"/>
          <w:sz w:val="21"/>
          <w:szCs w:val="21"/>
        </w:rPr>
        <w:t>八、词语含义</w:t>
      </w:r>
      <w:bookmarkEnd w:id="131"/>
    </w:p>
    <w:p w14:paraId="62C88165">
      <w:pPr>
        <w:snapToGrid w:val="0"/>
        <w:spacing w:line="360" w:lineRule="auto"/>
        <w:ind w:firstLine="420" w:firstLineChars="200"/>
        <w:rPr>
          <w:rFonts w:cs="宋体"/>
          <w:bCs/>
          <w:color w:val="auto"/>
          <w:sz w:val="21"/>
          <w:szCs w:val="21"/>
        </w:rPr>
      </w:pPr>
      <w:r>
        <w:rPr>
          <w:rFonts w:hint="eastAsia" w:cs="宋体"/>
          <w:bCs/>
          <w:color w:val="auto"/>
          <w:sz w:val="21"/>
          <w:szCs w:val="21"/>
        </w:rPr>
        <w:t>本协议书中词语含义与第二部分通用合同条款中赋予的含义相同。</w:t>
      </w:r>
    </w:p>
    <w:p w14:paraId="327B7ED4">
      <w:pPr>
        <w:snapToGrid w:val="0"/>
        <w:spacing w:line="360" w:lineRule="auto"/>
        <w:ind w:firstLine="422" w:firstLineChars="200"/>
        <w:rPr>
          <w:rFonts w:cs="宋体"/>
          <w:b/>
          <w:color w:val="auto"/>
          <w:sz w:val="21"/>
          <w:szCs w:val="21"/>
        </w:rPr>
      </w:pPr>
      <w:bookmarkStart w:id="132" w:name="_Toc351203489"/>
      <w:r>
        <w:rPr>
          <w:rFonts w:hint="eastAsia" w:cs="宋体"/>
          <w:b/>
          <w:color w:val="auto"/>
          <w:sz w:val="21"/>
          <w:szCs w:val="21"/>
        </w:rPr>
        <w:t>九、签订时间</w:t>
      </w:r>
      <w:bookmarkEnd w:id="132"/>
    </w:p>
    <w:p w14:paraId="17DF9F71">
      <w:pPr>
        <w:snapToGrid w:val="0"/>
        <w:spacing w:line="360" w:lineRule="auto"/>
        <w:ind w:firstLine="420" w:firstLineChars="200"/>
        <w:rPr>
          <w:rFonts w:cs="宋体"/>
          <w:bCs/>
          <w:color w:val="auto"/>
          <w:sz w:val="21"/>
          <w:szCs w:val="21"/>
        </w:rPr>
      </w:pPr>
      <w:r>
        <w:rPr>
          <w:rFonts w:hint="eastAsia" w:cs="宋体"/>
          <w:bCs/>
          <w:color w:val="auto"/>
          <w:sz w:val="21"/>
          <w:szCs w:val="21"/>
        </w:rPr>
        <w:t>本合同于</w:t>
      </w:r>
      <w:r>
        <w:rPr>
          <w:rFonts w:hint="eastAsia" w:cs="宋体"/>
          <w:bCs/>
          <w:color w:val="auto"/>
          <w:sz w:val="21"/>
          <w:szCs w:val="21"/>
          <w:u w:val="single"/>
        </w:rPr>
        <w:t xml:space="preserve">         </w:t>
      </w:r>
      <w:r>
        <w:rPr>
          <w:rFonts w:hint="eastAsia" w:cs="宋体"/>
          <w:bCs/>
          <w:color w:val="auto"/>
          <w:sz w:val="21"/>
          <w:szCs w:val="21"/>
        </w:rPr>
        <w:t>年</w:t>
      </w:r>
      <w:r>
        <w:rPr>
          <w:rFonts w:hint="eastAsia" w:cs="宋体"/>
          <w:bCs/>
          <w:color w:val="auto"/>
          <w:sz w:val="21"/>
          <w:szCs w:val="21"/>
          <w:u w:val="single"/>
        </w:rPr>
        <w:t xml:space="preserve">    </w:t>
      </w:r>
      <w:r>
        <w:rPr>
          <w:rFonts w:hint="eastAsia" w:cs="宋体"/>
          <w:bCs/>
          <w:color w:val="auto"/>
          <w:sz w:val="21"/>
          <w:szCs w:val="21"/>
        </w:rPr>
        <w:t>月</w:t>
      </w:r>
      <w:r>
        <w:rPr>
          <w:rFonts w:hint="eastAsia" w:cs="宋体"/>
          <w:bCs/>
          <w:color w:val="auto"/>
          <w:sz w:val="21"/>
          <w:szCs w:val="21"/>
          <w:u w:val="single"/>
        </w:rPr>
        <w:t xml:space="preserve">    </w:t>
      </w:r>
      <w:r>
        <w:rPr>
          <w:rFonts w:hint="eastAsia" w:cs="宋体"/>
          <w:bCs/>
          <w:color w:val="auto"/>
          <w:sz w:val="21"/>
          <w:szCs w:val="21"/>
        </w:rPr>
        <w:t>日签订。</w:t>
      </w:r>
    </w:p>
    <w:p w14:paraId="175D8C46">
      <w:pPr>
        <w:snapToGrid w:val="0"/>
        <w:spacing w:line="360" w:lineRule="auto"/>
        <w:ind w:firstLine="422" w:firstLineChars="200"/>
        <w:rPr>
          <w:rFonts w:cs="宋体"/>
          <w:b/>
          <w:color w:val="auto"/>
          <w:sz w:val="21"/>
          <w:szCs w:val="21"/>
        </w:rPr>
      </w:pPr>
      <w:bookmarkStart w:id="133" w:name="_Toc351203490"/>
      <w:r>
        <w:rPr>
          <w:rFonts w:hint="eastAsia" w:cs="宋体"/>
          <w:b/>
          <w:color w:val="auto"/>
          <w:sz w:val="21"/>
          <w:szCs w:val="21"/>
        </w:rPr>
        <w:t>十、签订地点</w:t>
      </w:r>
      <w:bookmarkEnd w:id="133"/>
    </w:p>
    <w:p w14:paraId="0F738335">
      <w:pPr>
        <w:snapToGrid w:val="0"/>
        <w:spacing w:line="360" w:lineRule="auto"/>
        <w:ind w:firstLine="420" w:firstLineChars="200"/>
        <w:rPr>
          <w:rFonts w:cs="宋体"/>
          <w:bCs/>
          <w:color w:val="auto"/>
          <w:sz w:val="21"/>
          <w:szCs w:val="21"/>
        </w:rPr>
      </w:pPr>
      <w:r>
        <w:rPr>
          <w:rFonts w:hint="eastAsia" w:cs="宋体"/>
          <w:bCs/>
          <w:color w:val="auto"/>
          <w:sz w:val="21"/>
          <w:szCs w:val="21"/>
        </w:rPr>
        <w:t>本合同在</w:t>
      </w:r>
      <w:r>
        <w:rPr>
          <w:rFonts w:hint="eastAsia" w:cs="宋体"/>
          <w:bCs/>
          <w:color w:val="auto"/>
          <w:sz w:val="21"/>
          <w:szCs w:val="21"/>
          <w:u w:val="single"/>
        </w:rPr>
        <w:t xml:space="preserve">                                    </w:t>
      </w:r>
      <w:r>
        <w:rPr>
          <w:rFonts w:hint="eastAsia" w:cs="宋体"/>
          <w:bCs/>
          <w:color w:val="auto"/>
          <w:sz w:val="21"/>
          <w:szCs w:val="21"/>
        </w:rPr>
        <w:t>签订。</w:t>
      </w:r>
    </w:p>
    <w:p w14:paraId="21DD6AE8">
      <w:pPr>
        <w:snapToGrid w:val="0"/>
        <w:spacing w:line="360" w:lineRule="auto"/>
        <w:ind w:firstLine="422" w:firstLineChars="200"/>
        <w:rPr>
          <w:rFonts w:cs="宋体"/>
          <w:b/>
          <w:color w:val="auto"/>
          <w:sz w:val="21"/>
          <w:szCs w:val="21"/>
        </w:rPr>
      </w:pPr>
      <w:bookmarkStart w:id="134" w:name="_Toc351203491"/>
      <w:r>
        <w:rPr>
          <w:rFonts w:hint="eastAsia" w:cs="宋体"/>
          <w:b/>
          <w:color w:val="auto"/>
          <w:sz w:val="21"/>
          <w:szCs w:val="21"/>
        </w:rPr>
        <w:t>十一、补充协议</w:t>
      </w:r>
      <w:bookmarkEnd w:id="134"/>
    </w:p>
    <w:p w14:paraId="1F6C0830">
      <w:pPr>
        <w:snapToGrid w:val="0"/>
        <w:spacing w:line="360" w:lineRule="auto"/>
        <w:ind w:firstLine="420" w:firstLineChars="200"/>
        <w:rPr>
          <w:rFonts w:cs="宋体"/>
          <w:b/>
          <w:bCs/>
          <w:color w:val="auto"/>
          <w:sz w:val="21"/>
          <w:szCs w:val="21"/>
        </w:rPr>
      </w:pPr>
      <w:r>
        <w:rPr>
          <w:rFonts w:hint="eastAsia" w:cs="宋体"/>
          <w:bCs/>
          <w:color w:val="auto"/>
          <w:sz w:val="21"/>
          <w:szCs w:val="21"/>
        </w:rPr>
        <w:t>合同未尽事宜，合同当事人另行签订补充协议，补充协议是合同的组成部分。</w:t>
      </w:r>
    </w:p>
    <w:p w14:paraId="62FB7FF2">
      <w:pPr>
        <w:snapToGrid w:val="0"/>
        <w:spacing w:line="360" w:lineRule="auto"/>
        <w:ind w:firstLine="422" w:firstLineChars="200"/>
        <w:rPr>
          <w:rFonts w:cs="宋体"/>
          <w:b/>
          <w:color w:val="auto"/>
          <w:sz w:val="21"/>
          <w:szCs w:val="21"/>
        </w:rPr>
      </w:pPr>
      <w:bookmarkStart w:id="135" w:name="_Toc351203492"/>
      <w:r>
        <w:rPr>
          <w:rFonts w:hint="eastAsia" w:cs="宋体"/>
          <w:b/>
          <w:color w:val="auto"/>
          <w:sz w:val="21"/>
          <w:szCs w:val="21"/>
        </w:rPr>
        <w:t>十二、合同生效</w:t>
      </w:r>
      <w:bookmarkEnd w:id="135"/>
    </w:p>
    <w:p w14:paraId="57998CC6">
      <w:pPr>
        <w:snapToGrid w:val="0"/>
        <w:spacing w:line="360" w:lineRule="auto"/>
        <w:ind w:firstLine="420" w:firstLineChars="200"/>
        <w:rPr>
          <w:rFonts w:cs="宋体"/>
          <w:bCs/>
          <w:color w:val="auto"/>
          <w:sz w:val="21"/>
          <w:szCs w:val="21"/>
        </w:rPr>
      </w:pPr>
      <w:r>
        <w:rPr>
          <w:rFonts w:hint="eastAsia" w:cs="宋体"/>
          <w:bCs/>
          <w:color w:val="auto"/>
          <w:sz w:val="21"/>
          <w:szCs w:val="21"/>
        </w:rPr>
        <w:t>本合同自</w:t>
      </w:r>
      <w:r>
        <w:rPr>
          <w:rFonts w:hint="eastAsia" w:cs="宋体"/>
          <w:bCs/>
          <w:color w:val="auto"/>
          <w:sz w:val="21"/>
          <w:szCs w:val="21"/>
          <w:u w:val="single"/>
        </w:rPr>
        <w:t xml:space="preserve">                                   </w:t>
      </w:r>
      <w:r>
        <w:rPr>
          <w:rFonts w:hint="eastAsia" w:cs="宋体"/>
          <w:bCs/>
          <w:color w:val="auto"/>
          <w:sz w:val="21"/>
          <w:szCs w:val="21"/>
        </w:rPr>
        <w:t>生效。</w:t>
      </w:r>
    </w:p>
    <w:p w14:paraId="443BC91C">
      <w:pPr>
        <w:snapToGrid w:val="0"/>
        <w:spacing w:line="360" w:lineRule="auto"/>
        <w:ind w:firstLine="422" w:firstLineChars="200"/>
        <w:rPr>
          <w:rFonts w:cs="宋体"/>
          <w:b/>
          <w:color w:val="auto"/>
          <w:sz w:val="21"/>
          <w:szCs w:val="21"/>
        </w:rPr>
      </w:pPr>
      <w:bookmarkStart w:id="136" w:name="_Toc351203493"/>
      <w:r>
        <w:rPr>
          <w:rFonts w:hint="eastAsia" w:cs="宋体"/>
          <w:b/>
          <w:color w:val="auto"/>
          <w:sz w:val="21"/>
          <w:szCs w:val="21"/>
        </w:rPr>
        <w:t>十三、合同份数</w:t>
      </w:r>
      <w:bookmarkEnd w:id="136"/>
    </w:p>
    <w:p w14:paraId="78CF1971">
      <w:pPr>
        <w:snapToGrid w:val="0"/>
        <w:spacing w:line="360" w:lineRule="auto"/>
        <w:ind w:firstLine="420" w:firstLineChars="200"/>
        <w:rPr>
          <w:rFonts w:cs="宋体"/>
          <w:bCs/>
          <w:color w:val="auto"/>
          <w:sz w:val="21"/>
          <w:szCs w:val="21"/>
        </w:rPr>
      </w:pPr>
      <w:r>
        <w:rPr>
          <w:rFonts w:hint="eastAsia" w:cs="宋体"/>
          <w:bCs/>
          <w:color w:val="auto"/>
          <w:sz w:val="21"/>
          <w:szCs w:val="21"/>
        </w:rPr>
        <w:t>本合同一式</w:t>
      </w:r>
      <w:r>
        <w:rPr>
          <w:rFonts w:hint="eastAsia" w:cs="宋体"/>
          <w:bCs/>
          <w:color w:val="auto"/>
          <w:sz w:val="21"/>
          <w:szCs w:val="21"/>
          <w:u w:val="single"/>
        </w:rPr>
        <w:t xml:space="preserve">    </w:t>
      </w:r>
      <w:r>
        <w:rPr>
          <w:rFonts w:hint="eastAsia" w:cs="宋体"/>
          <w:bCs/>
          <w:color w:val="auto"/>
          <w:sz w:val="21"/>
          <w:szCs w:val="21"/>
        </w:rPr>
        <w:t>份，均具有同等法律效力，发包人执</w:t>
      </w:r>
      <w:r>
        <w:rPr>
          <w:rFonts w:hint="eastAsia" w:cs="宋体"/>
          <w:bCs/>
          <w:color w:val="auto"/>
          <w:sz w:val="21"/>
          <w:szCs w:val="21"/>
          <w:u w:val="single"/>
        </w:rPr>
        <w:t xml:space="preserve">    </w:t>
      </w:r>
      <w:r>
        <w:rPr>
          <w:rFonts w:hint="eastAsia" w:cs="宋体"/>
          <w:bCs/>
          <w:color w:val="auto"/>
          <w:sz w:val="21"/>
          <w:szCs w:val="21"/>
        </w:rPr>
        <w:t>份，承包人执</w:t>
      </w:r>
      <w:r>
        <w:rPr>
          <w:rFonts w:hint="eastAsia" w:cs="宋体"/>
          <w:bCs/>
          <w:color w:val="auto"/>
          <w:sz w:val="21"/>
          <w:szCs w:val="21"/>
          <w:u w:val="single"/>
        </w:rPr>
        <w:t xml:space="preserve">    </w:t>
      </w:r>
      <w:r>
        <w:rPr>
          <w:rFonts w:hint="eastAsia" w:cs="宋体"/>
          <w:bCs/>
          <w:color w:val="auto"/>
          <w:sz w:val="21"/>
          <w:szCs w:val="21"/>
        </w:rPr>
        <w:t>份。</w:t>
      </w:r>
    </w:p>
    <w:p w14:paraId="43D70ED4">
      <w:pPr>
        <w:snapToGrid w:val="0"/>
        <w:spacing w:line="360" w:lineRule="auto"/>
        <w:rPr>
          <w:rFonts w:cs="宋体"/>
          <w:bCs/>
          <w:color w:val="auto"/>
          <w:sz w:val="21"/>
          <w:szCs w:val="21"/>
        </w:rPr>
      </w:pPr>
    </w:p>
    <w:p w14:paraId="5B47EB1B">
      <w:pPr>
        <w:snapToGrid w:val="0"/>
        <w:spacing w:line="360" w:lineRule="auto"/>
        <w:rPr>
          <w:rFonts w:cs="宋体"/>
          <w:color w:val="auto"/>
          <w:sz w:val="21"/>
          <w:szCs w:val="21"/>
        </w:rPr>
      </w:pPr>
      <w:r>
        <w:rPr>
          <w:rFonts w:hint="eastAsia" w:cs="宋体"/>
          <w:color w:val="auto"/>
          <w:sz w:val="21"/>
          <w:szCs w:val="21"/>
        </w:rPr>
        <w:t>发包人：</w:t>
      </w:r>
      <w:r>
        <w:rPr>
          <w:rFonts w:hint="eastAsia" w:cs="宋体"/>
          <w:color w:val="auto"/>
          <w:sz w:val="21"/>
          <w:szCs w:val="21"/>
          <w:u w:val="single"/>
        </w:rPr>
        <w:t>      （</w:t>
      </w:r>
      <w:r>
        <w:rPr>
          <w:rFonts w:hint="eastAsia" w:cs="宋体"/>
          <w:color w:val="auto"/>
          <w:sz w:val="21"/>
          <w:szCs w:val="21"/>
        </w:rPr>
        <w:t>公章）                 承包人：</w:t>
      </w:r>
      <w:r>
        <w:rPr>
          <w:rFonts w:hint="eastAsia" w:cs="宋体"/>
          <w:color w:val="auto"/>
          <w:sz w:val="21"/>
          <w:szCs w:val="21"/>
          <w:u w:val="single"/>
        </w:rPr>
        <w:t>        （</w:t>
      </w:r>
      <w:r>
        <w:rPr>
          <w:rFonts w:hint="eastAsia" w:cs="宋体"/>
          <w:color w:val="auto"/>
          <w:sz w:val="21"/>
          <w:szCs w:val="21"/>
        </w:rPr>
        <w:t>公章）</w:t>
      </w:r>
    </w:p>
    <w:p w14:paraId="2313F66E">
      <w:pPr>
        <w:snapToGrid w:val="0"/>
        <w:spacing w:line="360" w:lineRule="auto"/>
        <w:rPr>
          <w:rFonts w:cs="宋体"/>
          <w:color w:val="auto"/>
          <w:sz w:val="21"/>
          <w:szCs w:val="21"/>
        </w:rPr>
      </w:pPr>
      <w:r>
        <w:rPr>
          <w:rFonts w:hint="eastAsia" w:cs="宋体"/>
          <w:color w:val="auto"/>
          <w:sz w:val="21"/>
          <w:szCs w:val="21"/>
        </w:rPr>
        <w:t>法定代表人或其委托代理人：                 法定代表人或其委托代理人：</w:t>
      </w:r>
    </w:p>
    <w:p w14:paraId="454FADED">
      <w:pPr>
        <w:snapToGrid w:val="0"/>
        <w:spacing w:line="360" w:lineRule="auto"/>
        <w:rPr>
          <w:rFonts w:cs="宋体"/>
          <w:color w:val="auto"/>
          <w:sz w:val="21"/>
          <w:szCs w:val="21"/>
        </w:rPr>
      </w:pPr>
      <w:r>
        <w:rPr>
          <w:rFonts w:hint="eastAsia" w:cs="宋体"/>
          <w:color w:val="auto"/>
          <w:sz w:val="21"/>
          <w:szCs w:val="21"/>
        </w:rPr>
        <w:t>（签字）</w:t>
      </w:r>
      <w:r>
        <w:rPr>
          <w:rFonts w:hint="eastAsia" w:cs="宋体"/>
          <w:color w:val="auto"/>
          <w:sz w:val="21"/>
          <w:szCs w:val="21"/>
          <w:u w:val="single"/>
        </w:rPr>
        <w:t xml:space="preserve">                    </w:t>
      </w:r>
      <w:r>
        <w:rPr>
          <w:rFonts w:hint="eastAsia" w:cs="宋体"/>
          <w:color w:val="auto"/>
          <w:sz w:val="21"/>
          <w:szCs w:val="21"/>
        </w:rPr>
        <w:t xml:space="preserve">              （签字）</w:t>
      </w:r>
      <w:r>
        <w:rPr>
          <w:rFonts w:hint="eastAsia" w:cs="宋体"/>
          <w:color w:val="auto"/>
          <w:sz w:val="21"/>
          <w:szCs w:val="21"/>
          <w:u w:val="single"/>
        </w:rPr>
        <w:t xml:space="preserve">                   </w:t>
      </w:r>
    </w:p>
    <w:p w14:paraId="29A57020">
      <w:pPr>
        <w:tabs>
          <w:tab w:val="left" w:pos="4410"/>
        </w:tabs>
        <w:snapToGrid w:val="0"/>
        <w:spacing w:line="360" w:lineRule="auto"/>
        <w:rPr>
          <w:rFonts w:cs="宋体"/>
          <w:color w:val="auto"/>
          <w:sz w:val="21"/>
          <w:szCs w:val="21"/>
        </w:rPr>
      </w:pPr>
      <w:r>
        <w:rPr>
          <w:rFonts w:hint="eastAsia" w:cs="宋体"/>
          <w:color w:val="auto"/>
          <w:sz w:val="21"/>
          <w:szCs w:val="21"/>
        </w:rPr>
        <w:t>组织机构代码：</w:t>
      </w:r>
      <w:r>
        <w:rPr>
          <w:rFonts w:hint="eastAsia" w:cs="宋体"/>
          <w:color w:val="auto"/>
          <w:sz w:val="21"/>
          <w:szCs w:val="21"/>
          <w:u w:val="single"/>
        </w:rPr>
        <w:t xml:space="preserve">       </w:t>
      </w:r>
      <w:r>
        <w:rPr>
          <w:rFonts w:hint="eastAsia" w:cs="宋体"/>
          <w:color w:val="auto"/>
          <w:sz w:val="21"/>
          <w:szCs w:val="21"/>
        </w:rPr>
        <w:t xml:space="preserve">                组织机构代码：</w:t>
      </w:r>
      <w:r>
        <w:rPr>
          <w:rFonts w:hint="eastAsia" w:cs="宋体"/>
          <w:color w:val="auto"/>
          <w:sz w:val="21"/>
          <w:szCs w:val="21"/>
          <w:u w:val="single"/>
        </w:rPr>
        <w:t xml:space="preserve">        </w:t>
      </w:r>
    </w:p>
    <w:p w14:paraId="4BECD202">
      <w:pPr>
        <w:snapToGrid w:val="0"/>
        <w:spacing w:line="360" w:lineRule="auto"/>
        <w:rPr>
          <w:rFonts w:cs="宋体"/>
          <w:color w:val="auto"/>
          <w:sz w:val="21"/>
          <w:szCs w:val="21"/>
        </w:rPr>
      </w:pPr>
      <w:r>
        <w:rPr>
          <w:rFonts w:hint="eastAsia" w:cs="宋体"/>
          <w:color w:val="auto"/>
          <w:sz w:val="21"/>
          <w:szCs w:val="21"/>
        </w:rPr>
        <w:t>地  址：</w:t>
      </w:r>
      <w:r>
        <w:rPr>
          <w:rFonts w:hint="eastAsia" w:cs="宋体"/>
          <w:color w:val="auto"/>
          <w:sz w:val="21"/>
          <w:szCs w:val="21"/>
          <w:u w:val="single"/>
        </w:rPr>
        <w:t xml:space="preserve">     </w:t>
      </w:r>
      <w:r>
        <w:rPr>
          <w:rFonts w:hint="eastAsia" w:cs="宋体"/>
          <w:color w:val="auto"/>
          <w:sz w:val="21"/>
          <w:szCs w:val="21"/>
        </w:rPr>
        <w:t xml:space="preserve">                地  址：</w:t>
      </w:r>
      <w:r>
        <w:rPr>
          <w:rFonts w:hint="eastAsia" w:cs="宋体"/>
          <w:color w:val="auto"/>
          <w:sz w:val="21"/>
          <w:szCs w:val="21"/>
          <w:u w:val="single"/>
        </w:rPr>
        <w:t xml:space="preserve">     </w:t>
      </w:r>
    </w:p>
    <w:p w14:paraId="043D8DDF">
      <w:pPr>
        <w:snapToGrid w:val="0"/>
        <w:spacing w:line="360" w:lineRule="auto"/>
        <w:rPr>
          <w:rFonts w:cs="宋体"/>
          <w:color w:val="auto"/>
          <w:sz w:val="21"/>
          <w:szCs w:val="21"/>
        </w:rPr>
      </w:pPr>
      <w:r>
        <w:rPr>
          <w:rFonts w:hint="eastAsia" w:cs="宋体"/>
          <w:color w:val="auto"/>
          <w:sz w:val="21"/>
          <w:szCs w:val="21"/>
        </w:rPr>
        <w:t>邮政编码：</w:t>
      </w:r>
      <w:r>
        <w:rPr>
          <w:rFonts w:hint="eastAsia" w:cs="宋体"/>
          <w:color w:val="auto"/>
          <w:sz w:val="21"/>
          <w:szCs w:val="21"/>
          <w:u w:val="single"/>
        </w:rPr>
        <w:t xml:space="preserve">      </w:t>
      </w:r>
      <w:r>
        <w:rPr>
          <w:rFonts w:hint="eastAsia" w:cs="宋体"/>
          <w:color w:val="auto"/>
          <w:sz w:val="21"/>
          <w:szCs w:val="21"/>
        </w:rPr>
        <w:t xml:space="preserve">               邮政编码：</w:t>
      </w:r>
      <w:r>
        <w:rPr>
          <w:rFonts w:hint="eastAsia" w:cs="宋体"/>
          <w:color w:val="auto"/>
          <w:sz w:val="21"/>
          <w:szCs w:val="21"/>
          <w:u w:val="single"/>
        </w:rPr>
        <w:t xml:space="preserve"> </w:t>
      </w:r>
    </w:p>
    <w:p w14:paraId="277967D7">
      <w:pPr>
        <w:snapToGrid w:val="0"/>
        <w:spacing w:line="360" w:lineRule="auto"/>
        <w:rPr>
          <w:rFonts w:cs="宋体"/>
          <w:color w:val="auto"/>
          <w:sz w:val="21"/>
          <w:szCs w:val="21"/>
        </w:rPr>
      </w:pPr>
      <w:r>
        <w:rPr>
          <w:rFonts w:hint="eastAsia" w:cs="宋体"/>
          <w:color w:val="auto"/>
          <w:sz w:val="21"/>
          <w:szCs w:val="21"/>
        </w:rPr>
        <w:t>法定代表人：</w:t>
      </w:r>
      <w:r>
        <w:rPr>
          <w:rFonts w:hint="eastAsia" w:cs="宋体"/>
          <w:color w:val="auto"/>
          <w:sz w:val="21"/>
          <w:szCs w:val="21"/>
          <w:u w:val="single"/>
        </w:rPr>
        <w:t xml:space="preserve">           </w:t>
      </w:r>
      <w:r>
        <w:rPr>
          <w:rFonts w:hint="eastAsia" w:cs="宋体"/>
          <w:color w:val="auto"/>
          <w:sz w:val="21"/>
          <w:szCs w:val="21"/>
        </w:rPr>
        <w:t xml:space="preserve">                法定代表人：</w:t>
      </w:r>
      <w:r>
        <w:rPr>
          <w:rFonts w:hint="eastAsia" w:cs="宋体"/>
          <w:color w:val="auto"/>
          <w:sz w:val="21"/>
          <w:szCs w:val="21"/>
          <w:u w:val="single"/>
        </w:rPr>
        <w:t xml:space="preserve">          </w:t>
      </w:r>
    </w:p>
    <w:p w14:paraId="5A148175">
      <w:pPr>
        <w:snapToGrid w:val="0"/>
        <w:spacing w:line="360" w:lineRule="auto"/>
        <w:rPr>
          <w:rFonts w:cs="宋体"/>
          <w:color w:val="auto"/>
          <w:sz w:val="21"/>
          <w:szCs w:val="21"/>
        </w:rPr>
      </w:pPr>
      <w:r>
        <w:rPr>
          <w:rFonts w:hint="eastAsia" w:cs="宋体"/>
          <w:color w:val="auto"/>
          <w:sz w:val="21"/>
          <w:szCs w:val="21"/>
        </w:rPr>
        <w:t>委托代理人：</w:t>
      </w:r>
      <w:r>
        <w:rPr>
          <w:rFonts w:hint="eastAsia" w:cs="宋体"/>
          <w:color w:val="auto"/>
          <w:sz w:val="21"/>
          <w:szCs w:val="21"/>
          <w:u w:val="single"/>
        </w:rPr>
        <w:t xml:space="preserve">           </w:t>
      </w:r>
      <w:r>
        <w:rPr>
          <w:rFonts w:hint="eastAsia" w:cs="宋体"/>
          <w:color w:val="auto"/>
          <w:sz w:val="21"/>
          <w:szCs w:val="21"/>
        </w:rPr>
        <w:t xml:space="preserve">                委托代理人：</w:t>
      </w:r>
      <w:r>
        <w:rPr>
          <w:rFonts w:hint="eastAsia" w:cs="宋体"/>
          <w:color w:val="auto"/>
          <w:sz w:val="21"/>
          <w:szCs w:val="21"/>
          <w:u w:val="single"/>
        </w:rPr>
        <w:t xml:space="preserve">          </w:t>
      </w:r>
    </w:p>
    <w:p w14:paraId="4CB8CE02">
      <w:pPr>
        <w:snapToGrid w:val="0"/>
        <w:spacing w:line="360" w:lineRule="auto"/>
        <w:rPr>
          <w:rFonts w:cs="宋体"/>
          <w:color w:val="auto"/>
          <w:sz w:val="21"/>
          <w:szCs w:val="21"/>
        </w:rPr>
      </w:pPr>
      <w:r>
        <w:rPr>
          <w:rFonts w:hint="eastAsia" w:cs="宋体"/>
          <w:color w:val="auto"/>
          <w:sz w:val="21"/>
          <w:szCs w:val="21"/>
        </w:rPr>
        <w:t>电  话：</w:t>
      </w:r>
      <w:r>
        <w:rPr>
          <w:rFonts w:hint="eastAsia" w:cs="宋体"/>
          <w:color w:val="auto"/>
          <w:sz w:val="21"/>
          <w:szCs w:val="21"/>
          <w:u w:val="single"/>
        </w:rPr>
        <w:t xml:space="preserve">   </w:t>
      </w:r>
      <w:r>
        <w:rPr>
          <w:rFonts w:hint="eastAsia" w:cs="宋体"/>
          <w:color w:val="auto"/>
          <w:sz w:val="21"/>
          <w:szCs w:val="21"/>
        </w:rPr>
        <w:t xml:space="preserve">                电  话：</w:t>
      </w:r>
      <w:r>
        <w:rPr>
          <w:rFonts w:hint="eastAsia" w:cs="宋体"/>
          <w:color w:val="auto"/>
          <w:sz w:val="21"/>
          <w:szCs w:val="21"/>
          <w:u w:val="single"/>
        </w:rPr>
        <w:t xml:space="preserve">  </w:t>
      </w:r>
    </w:p>
    <w:p w14:paraId="76C6808F">
      <w:pPr>
        <w:snapToGrid w:val="0"/>
        <w:spacing w:line="360" w:lineRule="auto"/>
        <w:rPr>
          <w:rFonts w:cs="宋体"/>
          <w:color w:val="auto"/>
          <w:sz w:val="21"/>
          <w:szCs w:val="21"/>
        </w:rPr>
      </w:pPr>
      <w:r>
        <w:rPr>
          <w:rFonts w:hint="eastAsia" w:cs="宋体"/>
          <w:color w:val="auto"/>
          <w:sz w:val="21"/>
          <w:szCs w:val="21"/>
        </w:rPr>
        <w:t>传  真：</w:t>
      </w:r>
      <w:r>
        <w:rPr>
          <w:rFonts w:hint="eastAsia" w:cs="宋体"/>
          <w:color w:val="auto"/>
          <w:sz w:val="21"/>
          <w:szCs w:val="21"/>
          <w:u w:val="single"/>
        </w:rPr>
        <w:t xml:space="preserve">   </w:t>
      </w:r>
      <w:r>
        <w:rPr>
          <w:rFonts w:hint="eastAsia" w:cs="宋体"/>
          <w:color w:val="auto"/>
          <w:sz w:val="21"/>
          <w:szCs w:val="21"/>
        </w:rPr>
        <w:t xml:space="preserve">                传  真：</w:t>
      </w:r>
      <w:r>
        <w:rPr>
          <w:rFonts w:hint="eastAsia" w:cs="宋体"/>
          <w:color w:val="auto"/>
          <w:sz w:val="21"/>
          <w:szCs w:val="21"/>
          <w:u w:val="single"/>
        </w:rPr>
        <w:t>  </w:t>
      </w:r>
    </w:p>
    <w:p w14:paraId="5229F878">
      <w:pPr>
        <w:snapToGrid w:val="0"/>
        <w:spacing w:line="360" w:lineRule="auto"/>
        <w:rPr>
          <w:rFonts w:cs="宋体"/>
          <w:color w:val="auto"/>
          <w:sz w:val="21"/>
          <w:szCs w:val="21"/>
        </w:rPr>
      </w:pPr>
      <w:r>
        <w:rPr>
          <w:rFonts w:hint="eastAsia" w:cs="宋体"/>
          <w:color w:val="auto"/>
          <w:sz w:val="21"/>
          <w:szCs w:val="21"/>
        </w:rPr>
        <w:t>电子信箱：</w:t>
      </w:r>
      <w:r>
        <w:rPr>
          <w:rFonts w:hint="eastAsia" w:cs="宋体"/>
          <w:color w:val="auto"/>
          <w:sz w:val="21"/>
          <w:szCs w:val="21"/>
          <w:u w:val="single"/>
        </w:rPr>
        <w:t xml:space="preserve">                 </w:t>
      </w:r>
      <w:r>
        <w:rPr>
          <w:rFonts w:hint="eastAsia" w:cs="宋体"/>
          <w:color w:val="auto"/>
          <w:sz w:val="21"/>
          <w:szCs w:val="21"/>
        </w:rPr>
        <w:t xml:space="preserve">                电子信箱：</w:t>
      </w:r>
      <w:r>
        <w:rPr>
          <w:rFonts w:hint="eastAsia" w:cs="宋体"/>
          <w:color w:val="auto"/>
          <w:sz w:val="21"/>
          <w:szCs w:val="21"/>
          <w:u w:val="single"/>
        </w:rPr>
        <w:t></w:t>
      </w:r>
    </w:p>
    <w:p w14:paraId="5D21D154">
      <w:pPr>
        <w:snapToGrid w:val="0"/>
        <w:spacing w:line="360" w:lineRule="auto"/>
        <w:rPr>
          <w:rFonts w:cs="宋体"/>
          <w:color w:val="auto"/>
          <w:sz w:val="21"/>
          <w:szCs w:val="21"/>
        </w:rPr>
      </w:pPr>
      <w:r>
        <w:rPr>
          <w:rFonts w:hint="eastAsia" w:cs="宋体"/>
          <w:color w:val="auto"/>
          <w:sz w:val="21"/>
          <w:szCs w:val="21"/>
        </w:rPr>
        <w:t>开户银行：</w:t>
      </w:r>
      <w:r>
        <w:rPr>
          <w:rFonts w:hint="eastAsia" w:cs="宋体"/>
          <w:color w:val="auto"/>
          <w:sz w:val="21"/>
          <w:szCs w:val="21"/>
          <w:u w:val="single"/>
        </w:rPr>
        <w:t xml:space="preserve">   </w:t>
      </w:r>
      <w:r>
        <w:rPr>
          <w:rFonts w:hint="eastAsia" w:cs="宋体"/>
          <w:color w:val="auto"/>
          <w:sz w:val="21"/>
          <w:szCs w:val="21"/>
        </w:rPr>
        <w:t xml:space="preserve">                开户银行：</w:t>
      </w:r>
      <w:r>
        <w:rPr>
          <w:rFonts w:hint="eastAsia" w:cs="宋体"/>
          <w:color w:val="auto"/>
          <w:sz w:val="21"/>
          <w:szCs w:val="21"/>
          <w:u w:val="single"/>
        </w:rPr>
        <w:t></w:t>
      </w:r>
    </w:p>
    <w:p w14:paraId="0392DC1C">
      <w:pPr>
        <w:snapToGrid w:val="0"/>
        <w:spacing w:line="360" w:lineRule="auto"/>
        <w:rPr>
          <w:rFonts w:cs="宋体"/>
          <w:color w:val="auto"/>
          <w:sz w:val="21"/>
          <w:szCs w:val="21"/>
        </w:rPr>
      </w:pPr>
      <w:r>
        <w:rPr>
          <w:rFonts w:hint="eastAsia" w:cs="宋体"/>
          <w:color w:val="auto"/>
          <w:sz w:val="21"/>
          <w:szCs w:val="21"/>
        </w:rPr>
        <w:t>账  号：</w:t>
      </w:r>
      <w:r>
        <w:rPr>
          <w:rFonts w:hint="eastAsia" w:cs="宋体"/>
          <w:color w:val="auto"/>
          <w:sz w:val="21"/>
          <w:szCs w:val="21"/>
          <w:u w:val="single"/>
        </w:rPr>
        <w:t xml:space="preserve">       </w:t>
      </w:r>
      <w:r>
        <w:rPr>
          <w:rFonts w:hint="eastAsia" w:cs="宋体"/>
          <w:color w:val="auto"/>
          <w:sz w:val="21"/>
          <w:szCs w:val="21"/>
        </w:rPr>
        <w:t xml:space="preserve">                账  号：</w:t>
      </w:r>
      <w:r>
        <w:rPr>
          <w:rFonts w:hint="eastAsia" w:cs="宋体"/>
          <w:color w:val="auto"/>
          <w:sz w:val="21"/>
          <w:szCs w:val="21"/>
          <w:u w:val="single"/>
        </w:rPr>
        <w:t xml:space="preserve">   </w:t>
      </w:r>
    </w:p>
    <w:p w14:paraId="59973655">
      <w:pPr>
        <w:keepNext/>
        <w:keepLines/>
        <w:snapToGrid w:val="0"/>
        <w:spacing w:before="312" w:beforeLines="100" w:after="312" w:afterLines="100" w:line="360" w:lineRule="auto"/>
        <w:jc w:val="center"/>
        <w:outlineLvl w:val="1"/>
        <w:rPr>
          <w:rFonts w:cs="宋体"/>
          <w:bCs/>
          <w:color w:val="auto"/>
          <w:sz w:val="21"/>
          <w:szCs w:val="21"/>
        </w:rPr>
      </w:pPr>
      <w:r>
        <w:rPr>
          <w:rFonts w:hint="eastAsia" w:cs="宋体"/>
          <w:b/>
          <w:bCs/>
          <w:color w:val="auto"/>
          <w:sz w:val="21"/>
          <w:szCs w:val="21"/>
        </w:rPr>
        <w:br w:type="page"/>
      </w:r>
      <w:bookmarkStart w:id="137" w:name="_Toc130919121"/>
      <w:bookmarkStart w:id="138" w:name="_Toc30550"/>
      <w:bookmarkStart w:id="139" w:name="_Toc28799377"/>
      <w:r>
        <w:rPr>
          <w:rFonts w:hint="eastAsia" w:ascii="等线" w:hAnsi="等线" w:eastAsia="等线" w:cs="@仿宋_GB2312"/>
          <w:b/>
          <w:color w:val="auto"/>
          <w:kern w:val="2"/>
          <w:sz w:val="24"/>
        </w:rPr>
        <w:t>第二节  通用合同条款</w:t>
      </w:r>
      <w:bookmarkEnd w:id="137"/>
      <w:bookmarkEnd w:id="138"/>
      <w:bookmarkEnd w:id="139"/>
    </w:p>
    <w:p w14:paraId="21E4CD96">
      <w:pPr>
        <w:spacing w:line="360" w:lineRule="auto"/>
        <w:ind w:firstLine="560" w:firstLineChars="200"/>
        <w:rPr>
          <w:rFonts w:cs="Times New Roman"/>
          <w:snapToGrid w:val="0"/>
          <w:color w:val="auto"/>
          <w:sz w:val="28"/>
          <w:szCs w:val="24"/>
        </w:rPr>
      </w:pPr>
      <w:r>
        <w:rPr>
          <w:rFonts w:hint="eastAsia" w:cs="Times New Roman"/>
          <w:snapToGrid w:val="0"/>
          <w:color w:val="auto"/>
          <w:sz w:val="28"/>
          <w:szCs w:val="24"/>
        </w:rPr>
        <w:t>采用《建设工程施工合同（示范文本）》（GF-2017-0201）中通用合同条款。上述资料由承包人自行准备。</w:t>
      </w:r>
    </w:p>
    <w:p w14:paraId="2DA5A415">
      <w:pPr>
        <w:keepNext/>
        <w:keepLines/>
        <w:snapToGrid w:val="0"/>
        <w:spacing w:before="312" w:beforeLines="100" w:after="312" w:afterLines="100" w:line="360" w:lineRule="auto"/>
        <w:jc w:val="center"/>
        <w:outlineLvl w:val="1"/>
        <w:rPr>
          <w:rFonts w:cs="宋体"/>
          <w:bCs/>
          <w:color w:val="auto"/>
          <w:sz w:val="21"/>
          <w:szCs w:val="21"/>
        </w:rPr>
      </w:pPr>
      <w:r>
        <w:rPr>
          <w:rFonts w:hint="eastAsia" w:cs="宋体"/>
          <w:b/>
          <w:bCs/>
          <w:color w:val="auto"/>
          <w:sz w:val="21"/>
          <w:szCs w:val="21"/>
        </w:rPr>
        <w:br w:type="page"/>
      </w:r>
      <w:bookmarkStart w:id="140" w:name="_Toc28799378"/>
      <w:bookmarkStart w:id="141" w:name="_Toc31931"/>
      <w:bookmarkStart w:id="142" w:name="_Toc130919122"/>
      <w:r>
        <w:rPr>
          <w:rFonts w:hint="eastAsia" w:ascii="等线" w:hAnsi="等线" w:eastAsia="等线" w:cs="@仿宋_GB2312"/>
          <w:b/>
          <w:color w:val="auto"/>
          <w:kern w:val="2"/>
          <w:sz w:val="24"/>
        </w:rPr>
        <w:t>第三节  专用合同条款</w:t>
      </w:r>
      <w:bookmarkEnd w:id="140"/>
      <w:bookmarkEnd w:id="141"/>
      <w:bookmarkEnd w:id="142"/>
    </w:p>
    <w:p w14:paraId="7253FF3A">
      <w:pPr>
        <w:snapToGrid w:val="0"/>
        <w:spacing w:before="312" w:beforeLines="100" w:after="312" w:afterLines="100" w:line="360" w:lineRule="auto"/>
        <w:jc w:val="center"/>
        <w:outlineLvl w:val="2"/>
        <w:rPr>
          <w:rFonts w:cs="宋体"/>
          <w:color w:val="auto"/>
          <w:sz w:val="21"/>
          <w:szCs w:val="21"/>
        </w:rPr>
      </w:pPr>
      <w:bookmarkStart w:id="143" w:name="_Toc351203633"/>
      <w:r>
        <w:rPr>
          <w:rFonts w:hint="eastAsia" w:cs="宋体"/>
          <w:color w:val="auto"/>
          <w:sz w:val="21"/>
          <w:szCs w:val="21"/>
        </w:rPr>
        <w:t>专用合同条款数据表</w:t>
      </w:r>
    </w:p>
    <w:p w14:paraId="6206A012">
      <w:pPr>
        <w:pStyle w:val="22"/>
        <w:snapToGrid w:val="0"/>
        <w:spacing w:line="360" w:lineRule="auto"/>
        <w:ind w:left="400" w:firstLine="480"/>
        <w:rPr>
          <w:rFonts w:ascii="宋体" w:hAnsi="宋体" w:cs="宋体"/>
          <w:color w:val="auto"/>
          <w:szCs w:val="21"/>
        </w:rPr>
      </w:pPr>
      <w:r>
        <w:rPr>
          <w:rFonts w:hint="eastAsia" w:ascii="宋体" w:hAnsi="宋体" w:cs="宋体"/>
          <w:color w:val="auto"/>
          <w:szCs w:val="21"/>
        </w:rPr>
        <w:t>说明：本数据表是项目专用合同条款中适用于本招标项目的信息和数据的归纳与提示，是项目专用合同条款的组成部分。</w:t>
      </w:r>
    </w:p>
    <w:tbl>
      <w:tblPr>
        <w:tblStyle w:val="56"/>
        <w:tblW w:w="9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111"/>
        <w:gridCol w:w="7304"/>
      </w:tblGrid>
      <w:tr w14:paraId="4319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9" w:type="dxa"/>
            <w:vAlign w:val="center"/>
          </w:tcPr>
          <w:p w14:paraId="766550D4">
            <w:pPr>
              <w:snapToGrid w:val="0"/>
              <w:spacing w:before="100" w:beforeAutospacing="1" w:line="360" w:lineRule="auto"/>
              <w:ind w:left="-100" w:leftChars="-50" w:right="-100" w:rightChars="-50"/>
              <w:jc w:val="center"/>
              <w:rPr>
                <w:rFonts w:cs="宋体"/>
                <w:b/>
                <w:color w:val="auto"/>
                <w:sz w:val="21"/>
                <w:szCs w:val="21"/>
              </w:rPr>
            </w:pPr>
            <w:r>
              <w:rPr>
                <w:rFonts w:hint="eastAsia" w:cs="宋体"/>
                <w:b/>
                <w:color w:val="auto"/>
                <w:sz w:val="21"/>
                <w:szCs w:val="21"/>
              </w:rPr>
              <w:t>序号</w:t>
            </w:r>
          </w:p>
        </w:tc>
        <w:tc>
          <w:tcPr>
            <w:tcW w:w="1111" w:type="dxa"/>
            <w:vAlign w:val="center"/>
          </w:tcPr>
          <w:p w14:paraId="6493CE85">
            <w:pPr>
              <w:snapToGrid w:val="0"/>
              <w:spacing w:line="360" w:lineRule="auto"/>
              <w:ind w:left="-100" w:leftChars="-50" w:right="-100" w:rightChars="-50"/>
              <w:jc w:val="center"/>
              <w:rPr>
                <w:rFonts w:cs="宋体"/>
                <w:b/>
                <w:color w:val="auto"/>
                <w:sz w:val="21"/>
                <w:szCs w:val="21"/>
              </w:rPr>
            </w:pPr>
            <w:r>
              <w:rPr>
                <w:rFonts w:hint="eastAsia" w:cs="宋体"/>
                <w:b/>
                <w:color w:val="auto"/>
                <w:sz w:val="21"/>
                <w:szCs w:val="21"/>
              </w:rPr>
              <w:t>条目号</w:t>
            </w:r>
          </w:p>
        </w:tc>
        <w:tc>
          <w:tcPr>
            <w:tcW w:w="7304" w:type="dxa"/>
            <w:vAlign w:val="center"/>
          </w:tcPr>
          <w:p w14:paraId="7CC35BE3">
            <w:pPr>
              <w:snapToGrid w:val="0"/>
              <w:spacing w:line="360" w:lineRule="auto"/>
              <w:jc w:val="center"/>
              <w:rPr>
                <w:rFonts w:cs="宋体"/>
                <w:b/>
                <w:color w:val="auto"/>
                <w:sz w:val="21"/>
                <w:szCs w:val="21"/>
              </w:rPr>
            </w:pPr>
            <w:r>
              <w:rPr>
                <w:rFonts w:hint="eastAsia" w:cs="宋体"/>
                <w:b/>
                <w:color w:val="auto"/>
                <w:sz w:val="21"/>
                <w:szCs w:val="21"/>
              </w:rPr>
              <w:t>信息或数据</w:t>
            </w:r>
          </w:p>
        </w:tc>
      </w:tr>
      <w:tr w14:paraId="1374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5DFE612">
            <w:pPr>
              <w:numPr>
                <w:ilvl w:val="0"/>
                <w:numId w:val="7"/>
              </w:numPr>
              <w:snapToGrid w:val="0"/>
              <w:spacing w:line="360" w:lineRule="auto"/>
              <w:jc w:val="center"/>
              <w:rPr>
                <w:rFonts w:cs="宋体"/>
                <w:bCs/>
                <w:color w:val="auto"/>
                <w:kern w:val="2"/>
                <w:sz w:val="21"/>
                <w:szCs w:val="21"/>
              </w:rPr>
            </w:pPr>
          </w:p>
        </w:tc>
        <w:tc>
          <w:tcPr>
            <w:tcW w:w="1111" w:type="dxa"/>
            <w:vAlign w:val="center"/>
          </w:tcPr>
          <w:p w14:paraId="676C3A43">
            <w:pPr>
              <w:snapToGrid w:val="0"/>
              <w:spacing w:line="360" w:lineRule="auto"/>
              <w:jc w:val="center"/>
              <w:rPr>
                <w:rFonts w:cs="宋体"/>
                <w:bCs/>
                <w:color w:val="auto"/>
                <w:sz w:val="21"/>
                <w:szCs w:val="21"/>
              </w:rPr>
            </w:pPr>
            <w:r>
              <w:rPr>
                <w:rFonts w:hint="eastAsia" w:cs="宋体"/>
                <w:bCs/>
                <w:color w:val="auto"/>
                <w:sz w:val="21"/>
                <w:szCs w:val="21"/>
              </w:rPr>
              <w:t>2.5</w:t>
            </w:r>
          </w:p>
        </w:tc>
        <w:tc>
          <w:tcPr>
            <w:tcW w:w="7304" w:type="dxa"/>
            <w:vAlign w:val="center"/>
          </w:tcPr>
          <w:p w14:paraId="0F9509AF">
            <w:pPr>
              <w:snapToGrid w:val="0"/>
              <w:spacing w:line="360" w:lineRule="auto"/>
              <w:rPr>
                <w:rFonts w:hint="eastAsia" w:cs="宋体"/>
                <w:bCs/>
                <w:color w:val="auto"/>
                <w:sz w:val="21"/>
                <w:szCs w:val="21"/>
                <w:u w:val="single"/>
                <w:lang w:val="en-US" w:eastAsia="zh-CN"/>
              </w:rPr>
            </w:pPr>
            <w:r>
              <w:rPr>
                <w:rFonts w:hint="eastAsia" w:cs="宋体"/>
                <w:bCs/>
                <w:color w:val="auto"/>
                <w:sz w:val="21"/>
                <w:szCs w:val="21"/>
              </w:rPr>
              <w:t xml:space="preserve">发包人提供资金来源证明的期限要求： </w:t>
            </w:r>
            <w:r>
              <w:rPr>
                <w:rFonts w:hint="eastAsia" w:cs="宋体"/>
                <w:bCs/>
                <w:color w:val="auto"/>
                <w:sz w:val="21"/>
                <w:szCs w:val="21"/>
                <w:u w:val="single"/>
                <w:lang w:val="en-US" w:eastAsia="zh-CN"/>
              </w:rPr>
              <w:t>/</w:t>
            </w:r>
          </w:p>
          <w:p w14:paraId="79F618EA">
            <w:pPr>
              <w:snapToGrid w:val="0"/>
              <w:spacing w:line="360" w:lineRule="auto"/>
              <w:rPr>
                <w:rFonts w:cs="宋体"/>
                <w:bCs/>
                <w:color w:val="auto"/>
                <w:sz w:val="21"/>
                <w:szCs w:val="21"/>
              </w:rPr>
            </w:pPr>
            <w:r>
              <w:rPr>
                <w:rFonts w:hint="eastAsia" w:cs="宋体"/>
                <w:bCs/>
                <w:color w:val="auto"/>
                <w:sz w:val="21"/>
                <w:szCs w:val="21"/>
              </w:rPr>
              <w:t xml:space="preserve">发包人是否提供支付担保：  </w:t>
            </w:r>
            <w:r>
              <w:rPr>
                <w:rFonts w:hint="eastAsia" w:cs="宋体"/>
                <w:bCs/>
                <w:color w:val="auto"/>
                <w:sz w:val="21"/>
                <w:szCs w:val="21"/>
                <w:u w:val="single"/>
              </w:rPr>
              <w:t xml:space="preserve"> </w:t>
            </w:r>
            <w:r>
              <w:rPr>
                <w:rFonts w:hint="eastAsia" w:cs="宋体"/>
                <w:bCs/>
                <w:color w:val="auto"/>
                <w:sz w:val="21"/>
                <w:szCs w:val="21"/>
                <w:u w:val="single"/>
                <w:lang w:val="en-US" w:eastAsia="zh-CN"/>
              </w:rPr>
              <w:t>否</w:t>
            </w:r>
            <w:r>
              <w:rPr>
                <w:rFonts w:hint="eastAsia" w:cs="宋体"/>
                <w:bCs/>
                <w:color w:val="auto"/>
                <w:sz w:val="21"/>
                <w:szCs w:val="21"/>
                <w:u w:val="single"/>
              </w:rPr>
              <w:t xml:space="preserve"> </w:t>
            </w:r>
          </w:p>
          <w:p w14:paraId="30CA6EA3">
            <w:pPr>
              <w:snapToGrid w:val="0"/>
              <w:spacing w:line="360" w:lineRule="auto"/>
              <w:rPr>
                <w:rFonts w:cs="宋体"/>
                <w:bCs/>
                <w:color w:val="auto"/>
                <w:sz w:val="21"/>
                <w:szCs w:val="21"/>
                <w:u w:val="single"/>
              </w:rPr>
            </w:pPr>
            <w:r>
              <w:rPr>
                <w:rFonts w:hint="eastAsia" w:cs="宋体"/>
                <w:bCs/>
                <w:color w:val="auto"/>
                <w:sz w:val="21"/>
                <w:szCs w:val="21"/>
              </w:rPr>
              <w:t>发包人提供支付担保的形式：</w:t>
            </w:r>
            <w:r>
              <w:rPr>
                <w:rFonts w:hint="eastAsia" w:cs="宋体"/>
                <w:bCs/>
                <w:color w:val="auto"/>
                <w:sz w:val="21"/>
                <w:szCs w:val="21"/>
                <w:u w:val="single"/>
              </w:rPr>
              <w:t xml:space="preserve"> </w:t>
            </w:r>
            <w:r>
              <w:rPr>
                <w:rFonts w:hint="eastAsia" w:cs="宋体"/>
                <w:bCs/>
                <w:color w:val="auto"/>
                <w:sz w:val="21"/>
                <w:szCs w:val="21"/>
                <w:u w:val="single"/>
                <w:lang w:val="en-US" w:eastAsia="zh-CN"/>
              </w:rPr>
              <w:t>/</w:t>
            </w:r>
          </w:p>
        </w:tc>
      </w:tr>
      <w:tr w14:paraId="62D3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B337B94">
            <w:pPr>
              <w:numPr>
                <w:ilvl w:val="0"/>
                <w:numId w:val="7"/>
              </w:numPr>
              <w:snapToGrid w:val="0"/>
              <w:spacing w:line="360" w:lineRule="auto"/>
              <w:jc w:val="center"/>
              <w:rPr>
                <w:rFonts w:cs="宋体"/>
                <w:bCs/>
                <w:color w:val="auto"/>
                <w:kern w:val="2"/>
                <w:sz w:val="21"/>
                <w:szCs w:val="21"/>
              </w:rPr>
            </w:pPr>
          </w:p>
        </w:tc>
        <w:tc>
          <w:tcPr>
            <w:tcW w:w="1111" w:type="dxa"/>
            <w:vAlign w:val="center"/>
          </w:tcPr>
          <w:p w14:paraId="6EA4B8D2">
            <w:pPr>
              <w:snapToGrid w:val="0"/>
              <w:spacing w:line="360" w:lineRule="auto"/>
              <w:jc w:val="center"/>
              <w:rPr>
                <w:rFonts w:cs="宋体"/>
                <w:bCs/>
                <w:color w:val="auto"/>
                <w:kern w:val="2"/>
                <w:sz w:val="21"/>
                <w:szCs w:val="21"/>
              </w:rPr>
            </w:pPr>
            <w:r>
              <w:rPr>
                <w:rFonts w:hint="eastAsia" w:cs="宋体"/>
                <w:bCs/>
                <w:color w:val="auto"/>
                <w:sz w:val="21"/>
                <w:szCs w:val="21"/>
              </w:rPr>
              <w:t>3.2.1</w:t>
            </w:r>
          </w:p>
        </w:tc>
        <w:tc>
          <w:tcPr>
            <w:tcW w:w="7304" w:type="dxa"/>
            <w:vAlign w:val="center"/>
          </w:tcPr>
          <w:p w14:paraId="0AF29F1D">
            <w:pPr>
              <w:snapToGrid w:val="0"/>
              <w:spacing w:line="360" w:lineRule="auto"/>
              <w:rPr>
                <w:rFonts w:cs="宋体"/>
                <w:bCs/>
                <w:color w:val="auto"/>
                <w:sz w:val="21"/>
                <w:szCs w:val="21"/>
              </w:rPr>
            </w:pPr>
            <w:r>
              <w:rPr>
                <w:rFonts w:hint="eastAsia" w:cs="宋体"/>
                <w:bCs/>
                <w:color w:val="auto"/>
                <w:sz w:val="21"/>
                <w:szCs w:val="21"/>
              </w:rPr>
              <w:t>项目经理</w:t>
            </w:r>
          </w:p>
          <w:p w14:paraId="7C2CF89B">
            <w:pPr>
              <w:snapToGrid w:val="0"/>
              <w:spacing w:line="360" w:lineRule="auto"/>
              <w:rPr>
                <w:rFonts w:cs="宋体"/>
                <w:bCs/>
                <w:color w:val="auto"/>
                <w:sz w:val="21"/>
                <w:szCs w:val="21"/>
              </w:rPr>
            </w:pPr>
            <w:r>
              <w:rPr>
                <w:rFonts w:hint="eastAsia" w:cs="宋体"/>
                <w:bCs/>
                <w:color w:val="auto"/>
                <w:sz w:val="21"/>
                <w:szCs w:val="21"/>
              </w:rPr>
              <w:t>姓    名：</w:t>
            </w:r>
            <w:r>
              <w:rPr>
                <w:rFonts w:hint="eastAsia" w:cs="宋体"/>
                <w:bCs/>
                <w:color w:val="auto"/>
                <w:sz w:val="21"/>
                <w:szCs w:val="21"/>
                <w:u w:val="single"/>
              </w:rPr>
              <w:t xml:space="preserve">          </w:t>
            </w:r>
          </w:p>
          <w:p w14:paraId="2C9BBCC6">
            <w:pPr>
              <w:snapToGrid w:val="0"/>
              <w:spacing w:line="360" w:lineRule="auto"/>
              <w:rPr>
                <w:rFonts w:cs="宋体"/>
                <w:bCs/>
                <w:color w:val="auto"/>
                <w:sz w:val="21"/>
                <w:szCs w:val="21"/>
              </w:rPr>
            </w:pPr>
            <w:r>
              <w:rPr>
                <w:rFonts w:hint="eastAsia" w:cs="宋体"/>
                <w:bCs/>
                <w:color w:val="auto"/>
                <w:sz w:val="21"/>
                <w:szCs w:val="21"/>
              </w:rPr>
              <w:t>身份证号：</w:t>
            </w:r>
            <w:r>
              <w:rPr>
                <w:rFonts w:hint="eastAsia" w:cs="宋体"/>
                <w:bCs/>
                <w:color w:val="auto"/>
                <w:sz w:val="21"/>
                <w:szCs w:val="21"/>
                <w:u w:val="single"/>
              </w:rPr>
              <w:t xml:space="preserve">          </w:t>
            </w:r>
          </w:p>
          <w:p w14:paraId="6E637A26">
            <w:pPr>
              <w:snapToGrid w:val="0"/>
              <w:spacing w:line="360" w:lineRule="auto"/>
              <w:rPr>
                <w:rFonts w:cs="宋体"/>
                <w:bCs/>
                <w:color w:val="auto"/>
                <w:sz w:val="21"/>
                <w:szCs w:val="21"/>
              </w:rPr>
            </w:pPr>
            <w:r>
              <w:rPr>
                <w:rFonts w:hint="eastAsia" w:cs="宋体"/>
                <w:bCs/>
                <w:color w:val="auto"/>
                <w:sz w:val="21"/>
                <w:szCs w:val="21"/>
              </w:rPr>
              <w:t>建造师执业资格等级：</w:t>
            </w:r>
            <w:r>
              <w:rPr>
                <w:rFonts w:hint="eastAsia" w:cs="宋体"/>
                <w:bCs/>
                <w:color w:val="auto"/>
                <w:sz w:val="21"/>
                <w:szCs w:val="21"/>
                <w:u w:val="single"/>
              </w:rPr>
              <w:t xml:space="preserve">          </w:t>
            </w:r>
          </w:p>
          <w:p w14:paraId="37028D5A">
            <w:pPr>
              <w:snapToGrid w:val="0"/>
              <w:spacing w:line="360" w:lineRule="auto"/>
              <w:rPr>
                <w:rFonts w:cs="宋体"/>
                <w:bCs/>
                <w:color w:val="auto"/>
                <w:sz w:val="21"/>
                <w:szCs w:val="21"/>
              </w:rPr>
            </w:pPr>
            <w:r>
              <w:rPr>
                <w:rFonts w:hint="eastAsia" w:cs="宋体"/>
                <w:bCs/>
                <w:color w:val="auto"/>
                <w:sz w:val="21"/>
                <w:szCs w:val="21"/>
              </w:rPr>
              <w:t>建造师注册证书号：</w:t>
            </w:r>
            <w:r>
              <w:rPr>
                <w:rFonts w:hint="eastAsia" w:cs="宋体"/>
                <w:bCs/>
                <w:color w:val="auto"/>
                <w:sz w:val="21"/>
                <w:szCs w:val="21"/>
                <w:u w:val="single"/>
              </w:rPr>
              <w:t xml:space="preserve">            </w:t>
            </w:r>
          </w:p>
          <w:p w14:paraId="27178B1D">
            <w:pPr>
              <w:snapToGrid w:val="0"/>
              <w:spacing w:line="360" w:lineRule="auto"/>
              <w:rPr>
                <w:rFonts w:cs="宋体"/>
                <w:bCs/>
                <w:color w:val="auto"/>
                <w:sz w:val="21"/>
                <w:szCs w:val="21"/>
                <w:u w:val="single"/>
              </w:rPr>
            </w:pPr>
            <w:r>
              <w:rPr>
                <w:rFonts w:hint="eastAsia" w:cs="宋体"/>
                <w:bCs/>
                <w:color w:val="auto"/>
                <w:sz w:val="21"/>
                <w:szCs w:val="21"/>
              </w:rPr>
              <w:t>承包人对项目经理的授权范围如下：</w:t>
            </w:r>
            <w:r>
              <w:rPr>
                <w:rFonts w:hint="eastAsia" w:cs="宋体"/>
                <w:bCs/>
                <w:color w:val="auto"/>
                <w:sz w:val="21"/>
                <w:szCs w:val="21"/>
                <w:u w:val="single"/>
              </w:rPr>
              <w:t xml:space="preserve">            </w:t>
            </w:r>
          </w:p>
          <w:p w14:paraId="2684B2CF">
            <w:pPr>
              <w:snapToGrid w:val="0"/>
              <w:spacing w:line="360" w:lineRule="auto"/>
              <w:rPr>
                <w:rFonts w:cs="宋体"/>
                <w:bCs/>
                <w:color w:val="auto"/>
                <w:kern w:val="2"/>
                <w:sz w:val="21"/>
                <w:szCs w:val="21"/>
              </w:rPr>
            </w:pPr>
            <w:r>
              <w:rPr>
                <w:rFonts w:hint="eastAsia" w:cs="宋体"/>
                <w:bCs/>
                <w:color w:val="auto"/>
                <w:sz w:val="21"/>
                <w:szCs w:val="21"/>
              </w:rPr>
              <w:t>承包人项目经理每月在施工现场的时间：驻场时间每月不少于</w:t>
            </w:r>
            <w:r>
              <w:rPr>
                <w:rFonts w:hint="eastAsia" w:cs="宋体"/>
                <w:bCs/>
                <w:color w:val="auto"/>
                <w:sz w:val="21"/>
                <w:szCs w:val="21"/>
                <w:u w:val="single"/>
                <w:lang w:val="en-US" w:eastAsia="zh-CN"/>
              </w:rPr>
              <w:t>22</w:t>
            </w:r>
            <w:r>
              <w:rPr>
                <w:rFonts w:hint="eastAsia" w:cs="宋体"/>
                <w:bCs/>
                <w:color w:val="auto"/>
                <w:sz w:val="21"/>
                <w:szCs w:val="21"/>
              </w:rPr>
              <w:t>天，每天在岗工作时间不得少于</w:t>
            </w:r>
            <w:r>
              <w:rPr>
                <w:rFonts w:hint="eastAsia" w:cs="宋体"/>
                <w:bCs/>
                <w:color w:val="auto"/>
                <w:sz w:val="21"/>
                <w:szCs w:val="21"/>
                <w:u w:val="single"/>
              </w:rPr>
              <w:t xml:space="preserve"> </w:t>
            </w:r>
            <w:r>
              <w:rPr>
                <w:rFonts w:hint="eastAsia" w:cs="宋体"/>
                <w:bCs/>
                <w:color w:val="auto"/>
                <w:sz w:val="21"/>
                <w:szCs w:val="21"/>
                <w:u w:val="single"/>
                <w:lang w:val="en-US" w:eastAsia="zh-CN"/>
              </w:rPr>
              <w:t>8</w:t>
            </w:r>
            <w:r>
              <w:rPr>
                <w:rFonts w:hint="eastAsia" w:cs="宋体"/>
                <w:bCs/>
                <w:color w:val="auto"/>
                <w:sz w:val="21"/>
                <w:szCs w:val="21"/>
                <w:u w:val="single"/>
              </w:rPr>
              <w:t xml:space="preserve"> </w:t>
            </w:r>
            <w:r>
              <w:rPr>
                <w:rFonts w:hint="eastAsia" w:cs="宋体"/>
                <w:bCs/>
                <w:color w:val="auto"/>
                <w:sz w:val="21"/>
                <w:szCs w:val="21"/>
              </w:rPr>
              <w:t>小时。</w:t>
            </w:r>
          </w:p>
        </w:tc>
      </w:tr>
      <w:tr w14:paraId="5AC5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690BE08">
            <w:pPr>
              <w:numPr>
                <w:ilvl w:val="0"/>
                <w:numId w:val="7"/>
              </w:numPr>
              <w:snapToGrid w:val="0"/>
              <w:spacing w:line="360" w:lineRule="auto"/>
              <w:jc w:val="center"/>
              <w:rPr>
                <w:rFonts w:cs="宋体"/>
                <w:bCs/>
                <w:color w:val="auto"/>
                <w:kern w:val="2"/>
                <w:sz w:val="21"/>
                <w:szCs w:val="21"/>
              </w:rPr>
            </w:pPr>
          </w:p>
        </w:tc>
        <w:tc>
          <w:tcPr>
            <w:tcW w:w="1111" w:type="dxa"/>
            <w:vAlign w:val="center"/>
          </w:tcPr>
          <w:p w14:paraId="4C007806">
            <w:pPr>
              <w:snapToGrid w:val="0"/>
              <w:spacing w:line="360" w:lineRule="auto"/>
              <w:jc w:val="center"/>
              <w:rPr>
                <w:rFonts w:cs="宋体"/>
                <w:bCs/>
                <w:color w:val="auto"/>
                <w:kern w:val="2"/>
                <w:sz w:val="21"/>
                <w:szCs w:val="21"/>
              </w:rPr>
            </w:pPr>
            <w:r>
              <w:rPr>
                <w:rFonts w:hint="eastAsia" w:cs="宋体"/>
                <w:bCs/>
                <w:color w:val="auto"/>
                <w:sz w:val="21"/>
                <w:szCs w:val="21"/>
              </w:rPr>
              <w:t>3.7</w:t>
            </w:r>
          </w:p>
        </w:tc>
        <w:tc>
          <w:tcPr>
            <w:tcW w:w="7304" w:type="dxa"/>
            <w:vAlign w:val="center"/>
          </w:tcPr>
          <w:p w14:paraId="6E2CA1F2">
            <w:pPr>
              <w:snapToGrid w:val="0"/>
              <w:spacing w:line="360" w:lineRule="auto"/>
              <w:rPr>
                <w:rFonts w:cs="宋体"/>
                <w:bCs/>
                <w:color w:val="auto"/>
                <w:sz w:val="21"/>
                <w:szCs w:val="21"/>
              </w:rPr>
            </w:pPr>
            <w:r>
              <w:rPr>
                <w:rFonts w:hint="eastAsia" w:cs="宋体"/>
                <w:bCs/>
                <w:color w:val="auto"/>
                <w:sz w:val="21"/>
                <w:szCs w:val="21"/>
              </w:rPr>
              <w:t>承包人是否提供履约保证金：</w:t>
            </w:r>
            <w:r>
              <w:rPr>
                <w:rFonts w:hint="eastAsia" w:cs="宋体"/>
                <w:bCs/>
                <w:color w:val="auto"/>
                <w:sz w:val="21"/>
                <w:szCs w:val="21"/>
                <w:u w:val="single"/>
              </w:rPr>
              <w:t xml:space="preserve"> </w:t>
            </w:r>
            <w:r>
              <w:rPr>
                <w:rFonts w:hint="eastAsia" w:cs="宋体"/>
                <w:bCs/>
                <w:color w:val="auto"/>
                <w:sz w:val="21"/>
                <w:szCs w:val="21"/>
                <w:u w:val="single"/>
                <w:lang w:val="en-US" w:eastAsia="zh-CN"/>
              </w:rPr>
              <w:t>是</w:t>
            </w:r>
            <w:r>
              <w:rPr>
                <w:rFonts w:hint="eastAsia" w:cs="宋体"/>
                <w:bCs/>
                <w:color w:val="auto"/>
                <w:sz w:val="21"/>
                <w:szCs w:val="21"/>
                <w:u w:val="single"/>
              </w:rPr>
              <w:t xml:space="preserve"> </w:t>
            </w:r>
            <w:r>
              <w:rPr>
                <w:rFonts w:hint="eastAsia" w:cs="宋体"/>
                <w:bCs/>
                <w:color w:val="auto"/>
                <w:sz w:val="21"/>
                <w:szCs w:val="21"/>
              </w:rPr>
              <w:t>。</w:t>
            </w:r>
          </w:p>
          <w:p w14:paraId="1AC4689D">
            <w:pPr>
              <w:snapToGrid w:val="0"/>
              <w:spacing w:line="360" w:lineRule="auto"/>
              <w:rPr>
                <w:rFonts w:cs="宋体"/>
                <w:bCs/>
                <w:color w:val="auto"/>
                <w:sz w:val="21"/>
                <w:szCs w:val="21"/>
              </w:rPr>
            </w:pPr>
            <w:r>
              <w:rPr>
                <w:rFonts w:hint="eastAsia" w:cs="宋体"/>
                <w:bCs/>
                <w:color w:val="auto"/>
                <w:sz w:val="21"/>
                <w:szCs w:val="21"/>
              </w:rPr>
              <w:t>承包人提供履约保证金的形式：</w:t>
            </w:r>
            <w:r>
              <w:rPr>
                <w:rFonts w:hint="eastAsia" w:cs="宋体"/>
                <w:bCs/>
                <w:color w:val="auto"/>
                <w:sz w:val="21"/>
                <w:szCs w:val="21"/>
                <w:u w:val="single"/>
              </w:rPr>
              <w:t>转账/电汇</w:t>
            </w:r>
            <w:r>
              <w:rPr>
                <w:rFonts w:hint="eastAsia" w:cs="宋体"/>
                <w:bCs/>
                <w:color w:val="auto"/>
                <w:sz w:val="21"/>
                <w:szCs w:val="21"/>
                <w:u w:val="single"/>
                <w:lang w:eastAsia="zh-CN"/>
              </w:rPr>
              <w:t>、</w:t>
            </w:r>
            <w:r>
              <w:rPr>
                <w:rFonts w:hint="eastAsia" w:cs="宋体"/>
                <w:bCs/>
                <w:color w:val="auto"/>
                <w:sz w:val="21"/>
                <w:szCs w:val="21"/>
                <w:u w:val="single"/>
              </w:rPr>
              <w:t>支票</w:t>
            </w:r>
            <w:r>
              <w:rPr>
                <w:rFonts w:hint="eastAsia" w:cs="宋体"/>
                <w:bCs/>
                <w:color w:val="auto"/>
                <w:sz w:val="21"/>
                <w:szCs w:val="21"/>
                <w:u w:val="single"/>
                <w:lang w:eastAsia="zh-CN"/>
              </w:rPr>
              <w:t>、</w:t>
            </w:r>
            <w:r>
              <w:rPr>
                <w:rFonts w:hint="eastAsia" w:cs="宋体"/>
                <w:bCs/>
                <w:color w:val="auto"/>
                <w:sz w:val="21"/>
                <w:szCs w:val="21"/>
                <w:u w:val="single"/>
              </w:rPr>
              <w:t>汇票</w:t>
            </w:r>
            <w:r>
              <w:rPr>
                <w:rFonts w:hint="eastAsia" w:cs="宋体"/>
                <w:bCs/>
                <w:color w:val="auto"/>
                <w:sz w:val="21"/>
                <w:szCs w:val="21"/>
                <w:u w:val="single"/>
                <w:lang w:eastAsia="zh-CN"/>
              </w:rPr>
              <w:t>、</w:t>
            </w:r>
            <w:r>
              <w:rPr>
                <w:rFonts w:hint="eastAsia" w:cs="宋体"/>
                <w:bCs/>
                <w:color w:val="auto"/>
                <w:sz w:val="21"/>
                <w:szCs w:val="21"/>
                <w:u w:val="single"/>
              </w:rPr>
              <w:t>本票</w:t>
            </w:r>
            <w:r>
              <w:rPr>
                <w:rFonts w:hint="eastAsia" w:cs="宋体"/>
                <w:bCs/>
                <w:color w:val="auto"/>
                <w:sz w:val="21"/>
                <w:szCs w:val="21"/>
                <w:u w:val="single"/>
                <w:lang w:eastAsia="zh-CN"/>
              </w:rPr>
              <w:t>、</w:t>
            </w:r>
            <w:r>
              <w:rPr>
                <w:rFonts w:hint="eastAsia" w:cs="宋体"/>
                <w:bCs/>
                <w:color w:val="auto"/>
                <w:sz w:val="21"/>
                <w:szCs w:val="21"/>
                <w:u w:val="single"/>
              </w:rPr>
              <w:t>保险</w:t>
            </w:r>
            <w:r>
              <w:rPr>
                <w:rFonts w:hint="eastAsia" w:cs="宋体"/>
                <w:bCs/>
                <w:color w:val="auto"/>
                <w:sz w:val="21"/>
                <w:szCs w:val="21"/>
                <w:u w:val="single"/>
                <w:lang w:eastAsia="zh-CN"/>
              </w:rPr>
              <w:t>、</w:t>
            </w:r>
            <w:r>
              <w:rPr>
                <w:rFonts w:hint="eastAsia" w:cs="宋体"/>
                <w:bCs/>
                <w:color w:val="auto"/>
                <w:sz w:val="21"/>
                <w:szCs w:val="21"/>
                <w:u w:val="single"/>
              </w:rPr>
              <w:t>保函。</w:t>
            </w:r>
          </w:p>
          <w:p w14:paraId="7671FED2">
            <w:pPr>
              <w:snapToGrid w:val="0"/>
              <w:spacing w:line="360" w:lineRule="auto"/>
              <w:rPr>
                <w:rFonts w:cs="宋体"/>
                <w:bCs/>
                <w:color w:val="auto"/>
                <w:sz w:val="21"/>
                <w:szCs w:val="21"/>
              </w:rPr>
            </w:pPr>
            <w:r>
              <w:rPr>
                <w:rFonts w:hint="eastAsia" w:cs="宋体"/>
                <w:bCs/>
                <w:color w:val="auto"/>
                <w:sz w:val="21"/>
                <w:szCs w:val="21"/>
              </w:rPr>
              <w:t>履约保证金的金额：中标合同金额的</w:t>
            </w:r>
            <w:r>
              <w:rPr>
                <w:rFonts w:hint="eastAsia" w:cs="宋体"/>
                <w:bCs/>
                <w:color w:val="auto"/>
                <w:sz w:val="21"/>
                <w:szCs w:val="21"/>
                <w:u w:val="single"/>
                <w:lang w:val="en-US" w:eastAsia="zh-CN"/>
              </w:rPr>
              <w:t>2.5</w:t>
            </w:r>
            <w:r>
              <w:rPr>
                <w:rFonts w:hint="eastAsia" w:cs="宋体"/>
                <w:bCs/>
                <w:color w:val="auto"/>
                <w:sz w:val="21"/>
                <w:szCs w:val="21"/>
              </w:rPr>
              <w:t>%。</w:t>
            </w:r>
          </w:p>
          <w:p w14:paraId="7CB9B065">
            <w:pPr>
              <w:snapToGrid w:val="0"/>
              <w:spacing w:line="360" w:lineRule="auto"/>
              <w:rPr>
                <w:rFonts w:cs="宋体"/>
                <w:bCs/>
                <w:color w:val="auto"/>
                <w:sz w:val="21"/>
                <w:szCs w:val="21"/>
              </w:rPr>
            </w:pPr>
            <w:r>
              <w:rPr>
                <w:rFonts w:hint="eastAsia" w:cs="宋体"/>
                <w:bCs/>
                <w:color w:val="auto"/>
                <w:sz w:val="21"/>
                <w:szCs w:val="21"/>
              </w:rPr>
              <w:t>履约保证金提交期限的要求：</w:t>
            </w:r>
            <w:r>
              <w:rPr>
                <w:rFonts w:hint="eastAsia" w:cs="宋体"/>
                <w:bCs/>
                <w:color w:val="auto"/>
                <w:sz w:val="21"/>
                <w:szCs w:val="21"/>
                <w:u w:val="single"/>
              </w:rPr>
              <w:t>签订合同前。</w:t>
            </w:r>
          </w:p>
          <w:p w14:paraId="7DF97DDB">
            <w:pPr>
              <w:snapToGrid w:val="0"/>
              <w:spacing w:line="360" w:lineRule="auto"/>
              <w:rPr>
                <w:rFonts w:hint="eastAsia" w:cs="宋体"/>
                <w:bCs/>
                <w:color w:val="auto"/>
                <w:sz w:val="21"/>
                <w:szCs w:val="21"/>
                <w:u w:val="single"/>
              </w:rPr>
            </w:pPr>
            <w:r>
              <w:rPr>
                <w:rFonts w:hint="eastAsia" w:cs="宋体"/>
                <w:bCs/>
                <w:color w:val="auto"/>
                <w:sz w:val="21"/>
                <w:szCs w:val="21"/>
              </w:rPr>
              <w:t>履约保证金退还时限：</w:t>
            </w:r>
            <w:r>
              <w:rPr>
                <w:rFonts w:hint="eastAsia" w:cs="宋体"/>
                <w:bCs/>
                <w:color w:val="auto"/>
                <w:sz w:val="21"/>
                <w:szCs w:val="21"/>
                <w:u w:val="single"/>
              </w:rPr>
              <w:t>履约保证金在合同生效之日起至项目验收合格前一直有效，验收合格后经乙方申请，合同甲方确认后按规定及时将履约保证金款项退还给乙方或者解除履约担保。</w:t>
            </w:r>
          </w:p>
          <w:p w14:paraId="7BBDB017">
            <w:pPr>
              <w:snapToGrid w:val="0"/>
              <w:spacing w:line="360" w:lineRule="auto"/>
              <w:rPr>
                <w:rFonts w:hint="eastAsia" w:cs="宋体"/>
                <w:bCs/>
                <w:color w:val="auto"/>
                <w:sz w:val="21"/>
                <w:szCs w:val="21"/>
                <w:u w:val="single"/>
              </w:rPr>
            </w:pPr>
            <w:r>
              <w:rPr>
                <w:rFonts w:hint="eastAsia" w:cs="宋体"/>
                <w:bCs/>
                <w:color w:val="auto"/>
                <w:sz w:val="21"/>
                <w:szCs w:val="21"/>
                <w:u w:val="single"/>
              </w:rPr>
              <w:t>如果乙方不履行合同，履约保证金不予退还；如果乙方未能按合同约定全面履行义务，合同甲方有权从履约保证金中取得补偿或赔偿，同时不影响甲方要求乙方承担合同约定的超过履约保证金的违约责任的权利。</w:t>
            </w:r>
          </w:p>
          <w:p w14:paraId="53AFBAFF">
            <w:pPr>
              <w:snapToGrid w:val="0"/>
              <w:spacing w:line="360" w:lineRule="auto"/>
              <w:rPr>
                <w:rFonts w:hint="eastAsia" w:cs="宋体"/>
                <w:b/>
                <w:bCs w:val="0"/>
                <w:color w:val="auto"/>
                <w:sz w:val="21"/>
                <w:szCs w:val="21"/>
              </w:rPr>
            </w:pPr>
            <w:r>
              <w:rPr>
                <w:rFonts w:hint="eastAsia" w:cs="宋体"/>
                <w:b/>
                <w:bCs w:val="0"/>
                <w:color w:val="auto"/>
                <w:sz w:val="21"/>
                <w:szCs w:val="21"/>
              </w:rPr>
              <w:t>注意事项：</w:t>
            </w:r>
          </w:p>
          <w:p w14:paraId="267A4884">
            <w:pPr>
              <w:snapToGrid w:val="0"/>
              <w:spacing w:line="360" w:lineRule="auto"/>
              <w:rPr>
                <w:rFonts w:hint="eastAsia" w:cs="宋体"/>
                <w:b/>
                <w:bCs w:val="0"/>
                <w:color w:val="auto"/>
                <w:sz w:val="21"/>
                <w:szCs w:val="21"/>
              </w:rPr>
            </w:pPr>
            <w:r>
              <w:rPr>
                <w:rFonts w:hint="eastAsia" w:cs="宋体"/>
                <w:b/>
                <w:bCs w:val="0"/>
                <w:color w:val="auto"/>
                <w:sz w:val="21"/>
                <w:szCs w:val="21"/>
              </w:rPr>
              <w:t>（1）以上各类机构出具的以担保函、保证保险承担责任的方式均须满足无条件见索即付条件。</w:t>
            </w:r>
          </w:p>
          <w:p w14:paraId="6181D963">
            <w:pPr>
              <w:snapToGrid w:val="0"/>
              <w:spacing w:line="360" w:lineRule="auto"/>
              <w:rPr>
                <w:rFonts w:hint="eastAsia" w:eastAsia="宋体" w:cs="宋体"/>
                <w:bCs/>
                <w:color w:val="auto"/>
                <w:kern w:val="2"/>
                <w:sz w:val="21"/>
                <w:szCs w:val="21"/>
                <w:lang w:eastAsia="zh-CN"/>
              </w:rPr>
            </w:pPr>
            <w:r>
              <w:rPr>
                <w:rFonts w:hint="eastAsia" w:cs="宋体"/>
                <w:b/>
                <w:bCs w:val="0"/>
                <w:color w:val="auto"/>
                <w:sz w:val="21"/>
                <w:szCs w:val="21"/>
              </w:rPr>
              <w:t>（2）以担保函、保证保险形式缴纳履约保证金的，受益人和收取单位须为合同甲方。</w:t>
            </w:r>
          </w:p>
        </w:tc>
      </w:tr>
      <w:tr w14:paraId="290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44C4A6FD">
            <w:pPr>
              <w:numPr>
                <w:ilvl w:val="0"/>
                <w:numId w:val="7"/>
              </w:numPr>
              <w:snapToGrid w:val="0"/>
              <w:spacing w:line="360" w:lineRule="auto"/>
              <w:jc w:val="center"/>
              <w:rPr>
                <w:rFonts w:cs="宋体"/>
                <w:bCs/>
                <w:color w:val="auto"/>
                <w:sz w:val="21"/>
                <w:szCs w:val="21"/>
              </w:rPr>
            </w:pPr>
          </w:p>
        </w:tc>
        <w:tc>
          <w:tcPr>
            <w:tcW w:w="1111" w:type="dxa"/>
            <w:vAlign w:val="center"/>
          </w:tcPr>
          <w:p w14:paraId="24FE1266">
            <w:pPr>
              <w:snapToGrid w:val="0"/>
              <w:spacing w:line="360" w:lineRule="auto"/>
              <w:jc w:val="center"/>
              <w:rPr>
                <w:rFonts w:cs="宋体"/>
                <w:bCs/>
                <w:color w:val="auto"/>
                <w:sz w:val="21"/>
                <w:szCs w:val="21"/>
              </w:rPr>
            </w:pPr>
            <w:r>
              <w:rPr>
                <w:rFonts w:hint="eastAsia" w:cs="宋体"/>
                <w:bCs/>
                <w:color w:val="auto"/>
                <w:sz w:val="21"/>
                <w:szCs w:val="21"/>
              </w:rPr>
              <w:t>5.1.1</w:t>
            </w:r>
          </w:p>
        </w:tc>
        <w:tc>
          <w:tcPr>
            <w:tcW w:w="7304" w:type="dxa"/>
            <w:vAlign w:val="center"/>
          </w:tcPr>
          <w:p w14:paraId="500EBE33">
            <w:pPr>
              <w:snapToGrid w:val="0"/>
              <w:spacing w:line="360" w:lineRule="auto"/>
              <w:rPr>
                <w:rFonts w:cs="宋体"/>
                <w:bCs/>
                <w:color w:val="auto"/>
                <w:sz w:val="21"/>
                <w:szCs w:val="21"/>
              </w:rPr>
            </w:pPr>
            <w:r>
              <w:rPr>
                <w:rFonts w:hint="eastAsia" w:cs="宋体"/>
                <w:bCs/>
                <w:color w:val="auto"/>
                <w:sz w:val="21"/>
                <w:szCs w:val="21"/>
              </w:rPr>
              <w:t>5.1.1 特殊质量标准和要求：</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p w14:paraId="20BE2B0D">
            <w:pPr>
              <w:snapToGrid w:val="0"/>
              <w:spacing w:line="360" w:lineRule="auto"/>
              <w:rPr>
                <w:rFonts w:cs="宋体"/>
                <w:bCs/>
                <w:color w:val="auto"/>
                <w:sz w:val="21"/>
                <w:szCs w:val="21"/>
              </w:rPr>
            </w:pPr>
            <w:r>
              <w:rPr>
                <w:rFonts w:hint="eastAsia" w:cs="宋体"/>
                <w:bCs/>
                <w:color w:val="auto"/>
                <w:sz w:val="21"/>
                <w:szCs w:val="21"/>
              </w:rPr>
              <w:t>关于工程奖项的约定：</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p w14:paraId="4E59368D">
            <w:pPr>
              <w:snapToGrid w:val="0"/>
              <w:spacing w:line="360" w:lineRule="auto"/>
              <w:rPr>
                <w:rFonts w:cs="宋体"/>
                <w:bCs/>
                <w:color w:val="auto"/>
                <w:sz w:val="21"/>
                <w:szCs w:val="21"/>
              </w:rPr>
            </w:pPr>
            <w:r>
              <w:rPr>
                <w:rFonts w:hint="eastAsia" w:cs="宋体"/>
                <w:bCs/>
                <w:color w:val="auto"/>
                <w:sz w:val="21"/>
                <w:szCs w:val="21"/>
              </w:rPr>
              <w:t>关于建造要求：</w:t>
            </w:r>
          </w:p>
          <w:p w14:paraId="07D974AD">
            <w:pPr>
              <w:snapToGrid w:val="0"/>
              <w:spacing w:line="360" w:lineRule="auto"/>
              <w:rPr>
                <w:rFonts w:cs="宋体"/>
                <w:bCs/>
                <w:color w:val="auto"/>
                <w:sz w:val="21"/>
                <w:szCs w:val="21"/>
              </w:rPr>
            </w:pPr>
            <w:r>
              <w:rPr>
                <w:rFonts w:hint="eastAsia" w:cs="宋体"/>
                <w:bCs/>
                <w:color w:val="auto"/>
                <w:sz w:val="21"/>
                <w:szCs w:val="21"/>
              </w:rPr>
              <w:t>（1）绿色建筑等级要求：</w:t>
            </w:r>
            <w:r>
              <w:rPr>
                <w:rFonts w:hint="eastAsia" w:cs="宋体"/>
                <w:bCs/>
                <w:color w:val="auto"/>
                <w:sz w:val="21"/>
                <w:szCs w:val="21"/>
                <w:u w:val="single"/>
                <w:lang w:val="en-US" w:eastAsia="zh-CN"/>
              </w:rPr>
              <w:t>/</w:t>
            </w:r>
            <w:r>
              <w:rPr>
                <w:rFonts w:hint="eastAsia" w:cs="宋体"/>
                <w:bCs/>
                <w:color w:val="auto"/>
                <w:sz w:val="21"/>
                <w:szCs w:val="21"/>
              </w:rPr>
              <w:t>；</w:t>
            </w:r>
          </w:p>
          <w:p w14:paraId="56328658">
            <w:pPr>
              <w:snapToGrid w:val="0"/>
              <w:spacing w:line="360" w:lineRule="auto"/>
              <w:rPr>
                <w:rFonts w:cs="宋体"/>
                <w:bCs/>
                <w:color w:val="auto"/>
                <w:sz w:val="21"/>
                <w:szCs w:val="21"/>
              </w:rPr>
            </w:pPr>
            <w:r>
              <w:rPr>
                <w:rFonts w:hint="eastAsia" w:cs="宋体"/>
                <w:bCs/>
                <w:color w:val="auto"/>
                <w:sz w:val="21"/>
                <w:szCs w:val="21"/>
              </w:rPr>
              <w:t>（2）智慧工地管理要求：</w:t>
            </w:r>
            <w:r>
              <w:rPr>
                <w:rFonts w:hint="eastAsia" w:cs="宋体"/>
                <w:bCs/>
                <w:color w:val="auto"/>
                <w:sz w:val="21"/>
                <w:szCs w:val="21"/>
                <w:u w:val="single"/>
              </w:rPr>
              <w:t xml:space="preserve"> </w:t>
            </w:r>
            <w:r>
              <w:rPr>
                <w:rFonts w:hint="eastAsia" w:cs="宋体"/>
                <w:bCs/>
                <w:color w:val="auto"/>
                <w:sz w:val="21"/>
                <w:szCs w:val="21"/>
                <w:u w:val="single"/>
                <w:lang w:val="en-US" w:eastAsia="zh-CN"/>
              </w:rPr>
              <w:t>/</w:t>
            </w:r>
            <w:r>
              <w:rPr>
                <w:rFonts w:hint="eastAsia" w:cs="宋体"/>
                <w:bCs/>
                <w:color w:val="auto"/>
                <w:sz w:val="21"/>
                <w:szCs w:val="21"/>
              </w:rPr>
              <w:t>；</w:t>
            </w:r>
          </w:p>
          <w:p w14:paraId="2D220D8E">
            <w:pPr>
              <w:snapToGrid w:val="0"/>
              <w:spacing w:line="360" w:lineRule="auto"/>
              <w:rPr>
                <w:rFonts w:cs="宋体"/>
                <w:bCs/>
                <w:color w:val="auto"/>
                <w:sz w:val="21"/>
                <w:szCs w:val="21"/>
              </w:rPr>
            </w:pPr>
            <w:r>
              <w:rPr>
                <w:rFonts w:hint="eastAsia" w:cs="宋体"/>
                <w:bCs/>
                <w:color w:val="auto"/>
                <w:sz w:val="21"/>
                <w:szCs w:val="21"/>
              </w:rPr>
              <w:t>（3）建筑垃圾减量化目标：</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p w14:paraId="08BDAB46">
            <w:pPr>
              <w:snapToGrid w:val="0"/>
              <w:spacing w:line="360" w:lineRule="auto"/>
              <w:rPr>
                <w:rFonts w:cs="宋体"/>
                <w:bCs/>
                <w:color w:val="auto"/>
                <w:sz w:val="21"/>
                <w:szCs w:val="21"/>
              </w:rPr>
            </w:pPr>
            <w:r>
              <w:rPr>
                <w:rFonts w:hint="eastAsia" w:cs="宋体"/>
                <w:bCs/>
                <w:color w:val="auto"/>
                <w:sz w:val="21"/>
                <w:szCs w:val="21"/>
              </w:rPr>
              <w:t>（4）装配式建筑装配率要求：</w:t>
            </w:r>
            <w:r>
              <w:rPr>
                <w:rFonts w:hint="eastAsia" w:cs="宋体"/>
                <w:bCs/>
                <w:color w:val="auto"/>
                <w:sz w:val="21"/>
                <w:szCs w:val="21"/>
                <w:u w:val="single"/>
                <w:lang w:val="en-US" w:eastAsia="zh-CN"/>
              </w:rPr>
              <w:t>/</w:t>
            </w:r>
            <w:r>
              <w:rPr>
                <w:rFonts w:hint="eastAsia" w:cs="宋体"/>
                <w:bCs/>
                <w:color w:val="auto"/>
                <w:sz w:val="21"/>
                <w:szCs w:val="21"/>
              </w:rPr>
              <w:t>；</w:t>
            </w:r>
          </w:p>
        </w:tc>
      </w:tr>
      <w:tr w14:paraId="43A9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23C94184">
            <w:pPr>
              <w:numPr>
                <w:ilvl w:val="0"/>
                <w:numId w:val="7"/>
              </w:numPr>
              <w:snapToGrid w:val="0"/>
              <w:spacing w:line="360" w:lineRule="auto"/>
              <w:jc w:val="center"/>
              <w:rPr>
                <w:rFonts w:cs="宋体"/>
                <w:bCs/>
                <w:color w:val="auto"/>
                <w:kern w:val="2"/>
                <w:sz w:val="21"/>
                <w:szCs w:val="21"/>
              </w:rPr>
            </w:pPr>
          </w:p>
        </w:tc>
        <w:tc>
          <w:tcPr>
            <w:tcW w:w="1111" w:type="dxa"/>
            <w:vAlign w:val="center"/>
          </w:tcPr>
          <w:p w14:paraId="455D760C">
            <w:pPr>
              <w:snapToGrid w:val="0"/>
              <w:spacing w:line="360" w:lineRule="auto"/>
              <w:jc w:val="center"/>
              <w:rPr>
                <w:rFonts w:cs="宋体"/>
                <w:bCs/>
                <w:color w:val="auto"/>
                <w:kern w:val="2"/>
                <w:sz w:val="21"/>
                <w:szCs w:val="21"/>
              </w:rPr>
            </w:pPr>
            <w:r>
              <w:rPr>
                <w:rFonts w:hint="eastAsia" w:cs="宋体"/>
                <w:bCs/>
                <w:color w:val="auto"/>
                <w:sz w:val="21"/>
                <w:szCs w:val="21"/>
              </w:rPr>
              <w:t>7.5.2</w:t>
            </w:r>
          </w:p>
        </w:tc>
        <w:tc>
          <w:tcPr>
            <w:tcW w:w="7304" w:type="dxa"/>
            <w:tcBorders>
              <w:bottom w:val="single" w:color="auto" w:sz="4" w:space="0"/>
            </w:tcBorders>
            <w:vAlign w:val="center"/>
          </w:tcPr>
          <w:p w14:paraId="2EBB26AA">
            <w:pPr>
              <w:snapToGrid w:val="0"/>
              <w:spacing w:line="360" w:lineRule="auto"/>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因承包人原因造成工期延误，逾期</w:t>
            </w:r>
            <w:r>
              <w:rPr>
                <w:rFonts w:hint="eastAsia" w:cs="宋体"/>
                <w:bCs/>
                <w:color w:val="auto"/>
                <w:kern w:val="2"/>
                <w:sz w:val="21"/>
                <w:szCs w:val="21"/>
                <w:lang w:val="en-US" w:eastAsia="zh-CN"/>
              </w:rPr>
              <w:t>完工</w:t>
            </w:r>
            <w:r>
              <w:rPr>
                <w:rFonts w:hint="eastAsia" w:ascii="宋体" w:hAnsi="宋体" w:eastAsia="宋体" w:cs="宋体"/>
                <w:bCs/>
                <w:color w:val="auto"/>
                <w:kern w:val="2"/>
                <w:sz w:val="21"/>
                <w:szCs w:val="21"/>
              </w:rPr>
              <w:t>违约金的计算方法为：</w:t>
            </w:r>
          </w:p>
          <w:p w14:paraId="0B6F90CA">
            <w:pPr>
              <w:snapToGrid w:val="0"/>
              <w:spacing w:line="360" w:lineRule="auto"/>
              <w:rPr>
                <w:rFonts w:hint="eastAsia" w:ascii="宋体" w:hAnsi="宋体" w:eastAsia="宋体" w:cs="宋体"/>
                <w:b/>
                <w:bCs w:val="0"/>
                <w:color w:val="auto"/>
                <w:kern w:val="2"/>
                <w:sz w:val="21"/>
                <w:szCs w:val="21"/>
                <w:u w:val="single"/>
              </w:rPr>
            </w:pPr>
            <w:r>
              <w:rPr>
                <w:rFonts w:hint="eastAsia" w:ascii="宋体" w:hAnsi="宋体" w:eastAsia="宋体" w:cs="宋体"/>
                <w:b/>
                <w:bCs w:val="0"/>
                <w:color w:val="auto"/>
                <w:kern w:val="2"/>
                <w:sz w:val="21"/>
                <w:szCs w:val="21"/>
                <w:u w:val="single"/>
                <w:lang w:val="en-US" w:eastAsia="zh-CN"/>
              </w:rPr>
              <w:t>（1）除不可抗力外，如果承包人没有按照本合同约定的期限、地点和方式履行，那么发包人可要求承包人支付违约金，违约金按每延期一天按总合同价款的千分之一向发包人支付。</w:t>
            </w:r>
          </w:p>
          <w:p w14:paraId="501EB7B6">
            <w:pPr>
              <w:snapToGrid w:val="0"/>
              <w:spacing w:line="360" w:lineRule="auto"/>
              <w:rPr>
                <w:rFonts w:hint="eastAsia" w:ascii="宋体" w:hAnsi="宋体" w:eastAsia="宋体" w:cs="宋体"/>
                <w:b/>
                <w:bCs w:val="0"/>
                <w:color w:val="auto"/>
                <w:kern w:val="2"/>
                <w:sz w:val="21"/>
                <w:szCs w:val="21"/>
                <w:u w:val="single"/>
              </w:rPr>
            </w:pPr>
            <w:r>
              <w:rPr>
                <w:rFonts w:hint="eastAsia" w:ascii="宋体" w:hAnsi="宋体" w:eastAsia="宋体" w:cs="宋体"/>
                <w:b/>
                <w:bCs w:val="0"/>
                <w:color w:val="auto"/>
                <w:kern w:val="2"/>
                <w:sz w:val="21"/>
                <w:szCs w:val="21"/>
                <w:u w:val="single"/>
                <w:lang w:eastAsia="zh-CN"/>
              </w:rPr>
              <w:t>（</w:t>
            </w:r>
            <w:r>
              <w:rPr>
                <w:rFonts w:hint="eastAsia" w:ascii="宋体" w:hAnsi="宋体" w:eastAsia="宋体" w:cs="宋体"/>
                <w:b/>
                <w:bCs w:val="0"/>
                <w:color w:val="auto"/>
                <w:kern w:val="2"/>
                <w:sz w:val="21"/>
                <w:szCs w:val="21"/>
                <w:u w:val="single"/>
                <w:lang w:val="en-US" w:eastAsia="zh-CN"/>
              </w:rPr>
              <w:t>2）</w:t>
            </w:r>
            <w:r>
              <w:rPr>
                <w:rFonts w:hint="eastAsia" w:ascii="宋体" w:hAnsi="宋体" w:eastAsia="宋体" w:cs="宋体"/>
                <w:b/>
                <w:bCs w:val="0"/>
                <w:color w:val="auto"/>
                <w:kern w:val="2"/>
                <w:sz w:val="21"/>
                <w:szCs w:val="21"/>
                <w:u w:val="single"/>
              </w:rPr>
              <w:t>因乙方原因造成工程质量不合格的，乙方应无条件修复达到合同约定的质量标准；无法维修的，双方协商处理。发生该条违约时，甲方有权停止支付所有工程款项，不退还履约担保。</w:t>
            </w:r>
          </w:p>
          <w:p w14:paraId="3823D026">
            <w:pPr>
              <w:snapToGrid w:val="0"/>
              <w:spacing w:line="360" w:lineRule="auto"/>
              <w:rPr>
                <w:rFonts w:cs="宋体"/>
                <w:bCs/>
                <w:color w:val="auto"/>
                <w:kern w:val="2"/>
                <w:sz w:val="21"/>
                <w:szCs w:val="21"/>
              </w:rPr>
            </w:pPr>
            <w:r>
              <w:rPr>
                <w:rFonts w:hint="eastAsia" w:cs="宋体"/>
                <w:bCs/>
                <w:color w:val="auto"/>
                <w:kern w:val="2"/>
                <w:sz w:val="21"/>
                <w:szCs w:val="21"/>
              </w:rPr>
              <w:t>因承包人原因造成工期延误，逾期</w:t>
            </w:r>
            <w:r>
              <w:rPr>
                <w:rFonts w:hint="eastAsia" w:cs="宋体"/>
                <w:bCs/>
                <w:color w:val="auto"/>
                <w:kern w:val="2"/>
                <w:sz w:val="21"/>
                <w:szCs w:val="21"/>
                <w:lang w:val="en-US" w:eastAsia="zh-CN"/>
              </w:rPr>
              <w:t>完工</w:t>
            </w:r>
            <w:r>
              <w:rPr>
                <w:rFonts w:hint="eastAsia" w:cs="宋体"/>
                <w:bCs/>
                <w:color w:val="auto"/>
                <w:kern w:val="2"/>
                <w:sz w:val="21"/>
                <w:szCs w:val="21"/>
              </w:rPr>
              <w:t>违约金的上限：</w:t>
            </w:r>
            <w:r>
              <w:rPr>
                <w:rFonts w:hint="eastAsia" w:cs="宋体"/>
                <w:bCs/>
                <w:color w:val="auto"/>
                <w:kern w:val="2"/>
                <w:sz w:val="21"/>
                <w:szCs w:val="21"/>
                <w:u w:val="single"/>
              </w:rPr>
              <w:t>合同价款的10%</w:t>
            </w:r>
            <w:r>
              <w:rPr>
                <w:rFonts w:hint="eastAsia" w:cs="宋体"/>
                <w:bCs/>
                <w:color w:val="auto"/>
                <w:kern w:val="2"/>
                <w:sz w:val="21"/>
                <w:szCs w:val="21"/>
              </w:rPr>
              <w:t>。</w:t>
            </w:r>
          </w:p>
        </w:tc>
      </w:tr>
      <w:tr w14:paraId="5F55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42410EC">
            <w:pPr>
              <w:numPr>
                <w:ilvl w:val="0"/>
                <w:numId w:val="7"/>
              </w:numPr>
              <w:snapToGrid w:val="0"/>
              <w:spacing w:line="360" w:lineRule="auto"/>
              <w:jc w:val="center"/>
              <w:rPr>
                <w:rFonts w:cs="宋体"/>
                <w:bCs/>
                <w:color w:val="auto"/>
                <w:kern w:val="2"/>
                <w:sz w:val="21"/>
                <w:szCs w:val="21"/>
              </w:rPr>
            </w:pPr>
          </w:p>
        </w:tc>
        <w:tc>
          <w:tcPr>
            <w:tcW w:w="1111" w:type="dxa"/>
            <w:vAlign w:val="center"/>
          </w:tcPr>
          <w:p w14:paraId="7246C118">
            <w:pPr>
              <w:snapToGrid w:val="0"/>
              <w:spacing w:line="360" w:lineRule="auto"/>
              <w:jc w:val="center"/>
              <w:rPr>
                <w:rFonts w:cs="宋体"/>
                <w:bCs/>
                <w:color w:val="auto"/>
                <w:kern w:val="2"/>
                <w:sz w:val="21"/>
                <w:szCs w:val="21"/>
              </w:rPr>
            </w:pPr>
            <w:r>
              <w:rPr>
                <w:rFonts w:hint="eastAsia" w:cs="宋体"/>
                <w:bCs/>
                <w:color w:val="auto"/>
                <w:sz w:val="21"/>
                <w:szCs w:val="21"/>
              </w:rPr>
              <w:t>7.9.2</w:t>
            </w:r>
          </w:p>
        </w:tc>
        <w:tc>
          <w:tcPr>
            <w:tcW w:w="7304" w:type="dxa"/>
            <w:tcBorders>
              <w:bottom w:val="single" w:color="auto" w:sz="4" w:space="0"/>
            </w:tcBorders>
            <w:vAlign w:val="center"/>
          </w:tcPr>
          <w:p w14:paraId="79774BD1">
            <w:pPr>
              <w:snapToGrid w:val="0"/>
              <w:spacing w:line="360" w:lineRule="auto"/>
              <w:rPr>
                <w:rFonts w:cs="宋体"/>
                <w:bCs/>
                <w:color w:val="auto"/>
                <w:kern w:val="2"/>
                <w:sz w:val="21"/>
                <w:szCs w:val="21"/>
              </w:rPr>
            </w:pPr>
            <w:r>
              <w:rPr>
                <w:rFonts w:hint="eastAsia" w:cs="宋体"/>
                <w:color w:val="auto"/>
                <w:sz w:val="21"/>
                <w:szCs w:val="21"/>
              </w:rPr>
              <w:t>提前</w:t>
            </w:r>
            <w:r>
              <w:rPr>
                <w:rFonts w:hint="eastAsia" w:cs="宋体"/>
                <w:bCs/>
                <w:color w:val="auto"/>
                <w:kern w:val="2"/>
                <w:sz w:val="21"/>
                <w:szCs w:val="21"/>
                <w:lang w:val="en-US" w:eastAsia="zh-CN"/>
              </w:rPr>
              <w:t>完工</w:t>
            </w:r>
            <w:r>
              <w:rPr>
                <w:rFonts w:hint="eastAsia" w:cs="宋体"/>
                <w:color w:val="auto"/>
                <w:sz w:val="21"/>
                <w:szCs w:val="21"/>
              </w:rPr>
              <w:t>的奖励：</w:t>
            </w:r>
            <w:r>
              <w:rPr>
                <w:rFonts w:hint="eastAsia" w:cs="宋体"/>
                <w:color w:val="auto"/>
                <w:sz w:val="21"/>
                <w:szCs w:val="21"/>
                <w:u w:val="single"/>
              </w:rPr>
              <w:t>不奖励</w:t>
            </w:r>
            <w:r>
              <w:rPr>
                <w:rFonts w:hint="eastAsia" w:cs="宋体"/>
                <w:color w:val="auto"/>
                <w:sz w:val="21"/>
                <w:szCs w:val="21"/>
              </w:rPr>
              <w:t>。</w:t>
            </w:r>
          </w:p>
        </w:tc>
      </w:tr>
      <w:tr w14:paraId="2352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65A3BA8B">
            <w:pPr>
              <w:numPr>
                <w:ilvl w:val="0"/>
                <w:numId w:val="7"/>
              </w:numPr>
              <w:snapToGrid w:val="0"/>
              <w:spacing w:line="360" w:lineRule="auto"/>
              <w:jc w:val="center"/>
              <w:rPr>
                <w:rFonts w:cs="宋体"/>
                <w:bCs/>
                <w:color w:val="auto"/>
                <w:kern w:val="2"/>
                <w:sz w:val="21"/>
                <w:szCs w:val="21"/>
              </w:rPr>
            </w:pPr>
          </w:p>
        </w:tc>
        <w:tc>
          <w:tcPr>
            <w:tcW w:w="1111" w:type="dxa"/>
            <w:vAlign w:val="center"/>
          </w:tcPr>
          <w:p w14:paraId="61010A8E">
            <w:pPr>
              <w:snapToGrid w:val="0"/>
              <w:spacing w:line="360" w:lineRule="auto"/>
              <w:jc w:val="center"/>
              <w:rPr>
                <w:rFonts w:cs="宋体"/>
                <w:bCs/>
                <w:color w:val="auto"/>
                <w:kern w:val="2"/>
                <w:sz w:val="21"/>
                <w:szCs w:val="21"/>
              </w:rPr>
            </w:pPr>
            <w:r>
              <w:rPr>
                <w:rFonts w:hint="eastAsia" w:cs="宋体"/>
                <w:bCs/>
                <w:color w:val="auto"/>
                <w:sz w:val="21"/>
                <w:szCs w:val="21"/>
              </w:rPr>
              <w:t>11.1</w:t>
            </w:r>
          </w:p>
        </w:tc>
        <w:tc>
          <w:tcPr>
            <w:tcW w:w="7304" w:type="dxa"/>
            <w:tcBorders>
              <w:bottom w:val="single" w:color="auto" w:sz="4" w:space="0"/>
            </w:tcBorders>
            <w:vAlign w:val="center"/>
          </w:tcPr>
          <w:p w14:paraId="62761F7D">
            <w:pPr>
              <w:pStyle w:val="34"/>
              <w:tabs>
                <w:tab w:val="clear" w:pos="4153"/>
                <w:tab w:val="clear" w:pos="8306"/>
              </w:tabs>
              <w:spacing w:line="360" w:lineRule="auto"/>
              <w:rPr>
                <w:rFonts w:cs="宋体"/>
                <w:bCs/>
                <w:color w:val="auto"/>
                <w:kern w:val="2"/>
                <w:sz w:val="21"/>
                <w:szCs w:val="21"/>
              </w:rPr>
            </w:pPr>
            <w:r>
              <w:rPr>
                <w:rFonts w:hint="eastAsia" w:cs="宋体"/>
                <w:bCs/>
                <w:color w:val="auto"/>
                <w:kern w:val="2"/>
                <w:sz w:val="21"/>
                <w:szCs w:val="21"/>
              </w:rPr>
              <w:t>市场价格波动是否调整合同价格的约定：</w:t>
            </w:r>
            <w:r>
              <w:rPr>
                <w:rFonts w:hint="eastAsia" w:cs="宋体"/>
                <w:bCs/>
                <w:color w:val="auto"/>
                <w:kern w:val="2"/>
                <w:sz w:val="21"/>
                <w:szCs w:val="21"/>
                <w:u w:val="single"/>
                <w:lang w:val="en-US" w:eastAsia="zh-CN"/>
              </w:rPr>
              <w:t>不调整</w:t>
            </w:r>
            <w:r>
              <w:rPr>
                <w:rFonts w:hint="eastAsia" w:cs="宋体"/>
                <w:bCs/>
                <w:color w:val="auto"/>
                <w:kern w:val="2"/>
                <w:sz w:val="21"/>
                <w:szCs w:val="21"/>
              </w:rPr>
              <w:t>。</w:t>
            </w:r>
          </w:p>
        </w:tc>
      </w:tr>
      <w:tr w14:paraId="0644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44FB32AF">
            <w:pPr>
              <w:numPr>
                <w:ilvl w:val="0"/>
                <w:numId w:val="7"/>
              </w:numPr>
              <w:snapToGrid w:val="0"/>
              <w:spacing w:line="360" w:lineRule="auto"/>
              <w:jc w:val="center"/>
              <w:rPr>
                <w:rFonts w:cs="宋体"/>
                <w:bCs/>
                <w:color w:val="auto"/>
                <w:sz w:val="21"/>
                <w:szCs w:val="21"/>
              </w:rPr>
            </w:pPr>
          </w:p>
        </w:tc>
        <w:tc>
          <w:tcPr>
            <w:tcW w:w="1111" w:type="dxa"/>
            <w:vAlign w:val="center"/>
          </w:tcPr>
          <w:p w14:paraId="3D688C70">
            <w:pPr>
              <w:snapToGrid w:val="0"/>
              <w:spacing w:line="360" w:lineRule="auto"/>
              <w:jc w:val="center"/>
              <w:rPr>
                <w:rFonts w:cs="宋体"/>
                <w:bCs/>
                <w:color w:val="auto"/>
                <w:sz w:val="21"/>
                <w:szCs w:val="21"/>
              </w:rPr>
            </w:pPr>
            <w:r>
              <w:rPr>
                <w:rFonts w:hint="eastAsia" w:cs="宋体"/>
                <w:bCs/>
                <w:color w:val="auto"/>
                <w:sz w:val="21"/>
                <w:szCs w:val="21"/>
              </w:rPr>
              <w:t>12.1</w:t>
            </w:r>
          </w:p>
        </w:tc>
        <w:tc>
          <w:tcPr>
            <w:tcW w:w="7304" w:type="dxa"/>
            <w:tcBorders>
              <w:bottom w:val="single" w:color="auto" w:sz="4" w:space="0"/>
            </w:tcBorders>
            <w:vAlign w:val="center"/>
          </w:tcPr>
          <w:p w14:paraId="5D99E928">
            <w:pPr>
              <w:pStyle w:val="34"/>
              <w:tabs>
                <w:tab w:val="clear" w:pos="4153"/>
                <w:tab w:val="clear" w:pos="8306"/>
              </w:tabs>
              <w:spacing w:line="360" w:lineRule="auto"/>
              <w:rPr>
                <w:rFonts w:cs="宋体"/>
                <w:bCs/>
                <w:color w:val="auto"/>
                <w:sz w:val="21"/>
                <w:szCs w:val="21"/>
              </w:rPr>
            </w:pPr>
            <w:r>
              <w:rPr>
                <w:rFonts w:hint="eastAsia" w:cs="宋体"/>
                <w:bCs/>
                <w:color w:val="auto"/>
                <w:sz w:val="21"/>
                <w:szCs w:val="21"/>
              </w:rPr>
              <w:t>合同价格形式</w:t>
            </w:r>
          </w:p>
          <w:p w14:paraId="06E84683">
            <w:pPr>
              <w:pStyle w:val="34"/>
              <w:tabs>
                <w:tab w:val="clear" w:pos="4153"/>
                <w:tab w:val="clear" w:pos="8306"/>
              </w:tabs>
              <w:spacing w:line="360" w:lineRule="auto"/>
              <w:rPr>
                <w:rFonts w:cs="宋体"/>
                <w:bCs/>
                <w:color w:val="auto"/>
                <w:sz w:val="21"/>
                <w:szCs w:val="21"/>
              </w:rPr>
            </w:pPr>
            <w:r>
              <w:rPr>
                <w:rFonts w:hint="eastAsia" w:cs="宋体"/>
                <w:bCs/>
                <w:color w:val="auto"/>
                <w:sz w:val="21"/>
                <w:szCs w:val="21"/>
              </w:rPr>
              <w:t>(1)单价合同。</w:t>
            </w:r>
          </w:p>
          <w:p w14:paraId="6D061BF0">
            <w:pPr>
              <w:pStyle w:val="34"/>
              <w:tabs>
                <w:tab w:val="clear" w:pos="4153"/>
                <w:tab w:val="clear" w:pos="8306"/>
              </w:tabs>
              <w:spacing w:line="360" w:lineRule="auto"/>
              <w:rPr>
                <w:rFonts w:cs="宋体"/>
                <w:bCs/>
                <w:color w:val="auto"/>
                <w:sz w:val="21"/>
                <w:szCs w:val="21"/>
                <w:u w:val="single"/>
              </w:rPr>
            </w:pPr>
            <w:r>
              <w:rPr>
                <w:rFonts w:hint="eastAsia" w:cs="宋体"/>
                <w:bCs/>
                <w:color w:val="auto"/>
                <w:sz w:val="21"/>
                <w:szCs w:val="21"/>
              </w:rPr>
              <w:t>综合单价包含的风险范围：</w:t>
            </w:r>
            <w:r>
              <w:rPr>
                <w:rFonts w:hint="eastAsia" w:cs="宋体"/>
                <w:bCs/>
                <w:color w:val="auto"/>
                <w:sz w:val="21"/>
                <w:szCs w:val="21"/>
                <w:u w:val="single"/>
              </w:rPr>
              <w:t>材料价格、人工成本上涨，异常天气导致的工期延误</w:t>
            </w:r>
            <w:r>
              <w:rPr>
                <w:rFonts w:hint="eastAsia" w:cs="宋体"/>
                <w:bCs/>
                <w:color w:val="auto"/>
                <w:sz w:val="21"/>
                <w:szCs w:val="21"/>
                <w:u w:val="single"/>
                <w:lang w:val="en-US" w:eastAsia="zh-CN"/>
              </w:rPr>
              <w:t>等</w:t>
            </w:r>
            <w:r>
              <w:rPr>
                <w:rFonts w:hint="eastAsia" w:cs="宋体"/>
                <w:bCs/>
                <w:color w:val="auto"/>
                <w:sz w:val="21"/>
                <w:szCs w:val="21"/>
                <w:u w:val="single"/>
              </w:rPr>
              <w:t>。</w:t>
            </w:r>
          </w:p>
          <w:p w14:paraId="7FCAE1D5">
            <w:pPr>
              <w:pStyle w:val="34"/>
              <w:tabs>
                <w:tab w:val="clear" w:pos="4153"/>
                <w:tab w:val="clear" w:pos="8306"/>
              </w:tabs>
              <w:spacing w:line="360" w:lineRule="auto"/>
              <w:rPr>
                <w:rFonts w:cs="宋体"/>
                <w:bCs/>
                <w:color w:val="auto"/>
                <w:sz w:val="21"/>
                <w:szCs w:val="21"/>
              </w:rPr>
            </w:pPr>
            <w:r>
              <w:rPr>
                <w:rFonts w:hint="eastAsia" w:cs="宋体"/>
                <w:bCs/>
                <w:color w:val="auto"/>
                <w:sz w:val="21"/>
                <w:szCs w:val="21"/>
              </w:rPr>
              <w:t>风险费用的计算方法：</w:t>
            </w:r>
            <w:r>
              <w:rPr>
                <w:rFonts w:hint="eastAsia" w:cs="宋体"/>
                <w:bCs/>
                <w:color w:val="auto"/>
                <w:sz w:val="21"/>
                <w:szCs w:val="21"/>
                <w:u w:val="single"/>
              </w:rPr>
              <w:t xml:space="preserve">   供应商在</w:t>
            </w:r>
            <w:r>
              <w:rPr>
                <w:rFonts w:hint="eastAsia" w:cs="宋体"/>
                <w:bCs/>
                <w:color w:val="auto"/>
                <w:sz w:val="21"/>
                <w:szCs w:val="21"/>
                <w:u w:val="single"/>
                <w:lang w:val="en-US" w:eastAsia="zh-CN"/>
              </w:rPr>
              <w:t>投标</w:t>
            </w:r>
            <w:r>
              <w:rPr>
                <w:rFonts w:hint="eastAsia" w:cs="宋体"/>
                <w:bCs/>
                <w:color w:val="auto"/>
                <w:sz w:val="21"/>
                <w:szCs w:val="21"/>
                <w:u w:val="single"/>
              </w:rPr>
              <w:t>报价</w:t>
            </w:r>
            <w:r>
              <w:rPr>
                <w:rFonts w:hint="eastAsia" w:cs="宋体"/>
                <w:bCs/>
                <w:color w:val="auto"/>
                <w:sz w:val="21"/>
                <w:szCs w:val="21"/>
                <w:u w:val="single"/>
                <w:lang w:val="en-US" w:eastAsia="zh-CN"/>
              </w:rPr>
              <w:t>中</w:t>
            </w:r>
            <w:r>
              <w:rPr>
                <w:rFonts w:hint="eastAsia" w:cs="宋体"/>
                <w:bCs/>
                <w:color w:val="auto"/>
                <w:sz w:val="21"/>
                <w:szCs w:val="21"/>
                <w:u w:val="single"/>
              </w:rPr>
              <w:t xml:space="preserve">已经考虑，不再另行计取  </w:t>
            </w:r>
            <w:r>
              <w:rPr>
                <w:rFonts w:hint="eastAsia" w:cs="宋体"/>
                <w:bCs/>
                <w:color w:val="auto"/>
                <w:sz w:val="21"/>
                <w:szCs w:val="21"/>
              </w:rPr>
              <w:t>。</w:t>
            </w:r>
          </w:p>
          <w:p w14:paraId="3AE3811F">
            <w:pPr>
              <w:pStyle w:val="34"/>
              <w:tabs>
                <w:tab w:val="clear" w:pos="4153"/>
                <w:tab w:val="clear" w:pos="8306"/>
              </w:tabs>
              <w:spacing w:line="360" w:lineRule="auto"/>
              <w:rPr>
                <w:rFonts w:cs="宋体"/>
                <w:bCs/>
                <w:color w:val="auto"/>
                <w:sz w:val="21"/>
                <w:szCs w:val="21"/>
              </w:rPr>
            </w:pPr>
            <w:r>
              <w:rPr>
                <w:rFonts w:hint="eastAsia" w:cs="宋体"/>
                <w:bCs/>
                <w:color w:val="auto"/>
                <w:sz w:val="21"/>
                <w:szCs w:val="21"/>
              </w:rPr>
              <w:t>风险范围以外合同价格的调整方法：</w:t>
            </w:r>
            <w:r>
              <w:rPr>
                <w:rFonts w:hint="eastAsia" w:cs="宋体"/>
                <w:bCs/>
                <w:color w:val="auto"/>
                <w:sz w:val="21"/>
                <w:szCs w:val="21"/>
                <w:u w:val="single"/>
              </w:rPr>
              <w:t xml:space="preserve"> 不调整</w:t>
            </w:r>
            <w:r>
              <w:rPr>
                <w:rFonts w:hint="eastAsia" w:cs="宋体"/>
                <w:bCs/>
                <w:color w:val="auto"/>
                <w:sz w:val="21"/>
                <w:szCs w:val="21"/>
                <w:u w:val="single"/>
                <w:lang w:val="en-US" w:eastAsia="zh-CN"/>
              </w:rPr>
              <w:t xml:space="preserve"> </w:t>
            </w:r>
            <w:r>
              <w:rPr>
                <w:rFonts w:hint="eastAsia" w:cs="宋体"/>
                <w:bCs/>
                <w:color w:val="auto"/>
                <w:sz w:val="21"/>
                <w:szCs w:val="21"/>
              </w:rPr>
              <w:t>。</w:t>
            </w:r>
          </w:p>
          <w:p w14:paraId="1E37D42E">
            <w:pPr>
              <w:pStyle w:val="34"/>
              <w:tabs>
                <w:tab w:val="clear" w:pos="4153"/>
                <w:tab w:val="clear" w:pos="8306"/>
              </w:tabs>
              <w:spacing w:line="360" w:lineRule="auto"/>
              <w:rPr>
                <w:rFonts w:cs="宋体"/>
                <w:bCs/>
                <w:color w:val="auto"/>
                <w:sz w:val="21"/>
                <w:szCs w:val="21"/>
              </w:rPr>
            </w:pPr>
            <w:r>
              <w:rPr>
                <w:rFonts w:hint="eastAsia" w:cs="宋体"/>
                <w:bCs/>
                <w:color w:val="auto"/>
                <w:sz w:val="21"/>
                <w:szCs w:val="21"/>
              </w:rPr>
              <w:t>(2)总价合同。</w:t>
            </w:r>
          </w:p>
          <w:p w14:paraId="1FA8D0BB">
            <w:pPr>
              <w:pStyle w:val="34"/>
              <w:tabs>
                <w:tab w:val="clear" w:pos="4153"/>
                <w:tab w:val="clear" w:pos="8306"/>
              </w:tabs>
              <w:spacing w:line="360" w:lineRule="auto"/>
              <w:rPr>
                <w:rFonts w:hint="eastAsia" w:eastAsia="宋体" w:cs="宋体"/>
                <w:bCs/>
                <w:color w:val="auto"/>
                <w:sz w:val="21"/>
                <w:szCs w:val="21"/>
                <w:lang w:eastAsia="zh-CN"/>
              </w:rPr>
            </w:pPr>
            <w:r>
              <w:rPr>
                <w:rFonts w:hint="eastAsia" w:cs="宋体"/>
                <w:bCs/>
                <w:color w:val="auto"/>
                <w:sz w:val="21"/>
                <w:szCs w:val="21"/>
              </w:rPr>
              <w:t>总价包含的风险范围：</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u w:val="single"/>
                <w:lang w:eastAsia="zh-CN"/>
              </w:rPr>
              <w:t>。</w:t>
            </w:r>
          </w:p>
          <w:p w14:paraId="0B4FEB1E">
            <w:pPr>
              <w:pStyle w:val="34"/>
              <w:tabs>
                <w:tab w:val="clear" w:pos="4153"/>
                <w:tab w:val="clear" w:pos="8306"/>
              </w:tabs>
              <w:spacing w:line="360" w:lineRule="auto"/>
              <w:rPr>
                <w:rFonts w:cs="宋体"/>
                <w:bCs/>
                <w:color w:val="auto"/>
                <w:sz w:val="21"/>
                <w:szCs w:val="21"/>
              </w:rPr>
            </w:pPr>
            <w:r>
              <w:rPr>
                <w:rFonts w:hint="eastAsia" w:cs="宋体"/>
                <w:bCs/>
                <w:color w:val="auto"/>
                <w:sz w:val="21"/>
                <w:szCs w:val="21"/>
              </w:rPr>
              <w:t>风险费用的计算方法：</w:t>
            </w:r>
            <w:r>
              <w:rPr>
                <w:rFonts w:hint="eastAsia" w:cs="宋体"/>
                <w:bCs/>
                <w:color w:val="auto"/>
                <w:sz w:val="21"/>
                <w:szCs w:val="21"/>
                <w:u w:val="single"/>
                <w:lang w:val="en-US" w:eastAsia="zh-CN"/>
              </w:rPr>
              <w:t>/</w:t>
            </w:r>
            <w:r>
              <w:rPr>
                <w:rFonts w:hint="eastAsia" w:cs="宋体"/>
                <w:bCs/>
                <w:color w:val="auto"/>
                <w:sz w:val="21"/>
                <w:szCs w:val="21"/>
              </w:rPr>
              <w:t>。</w:t>
            </w:r>
          </w:p>
          <w:p w14:paraId="3B5E5572">
            <w:pPr>
              <w:pStyle w:val="34"/>
              <w:tabs>
                <w:tab w:val="clear" w:pos="4153"/>
                <w:tab w:val="clear" w:pos="8306"/>
              </w:tabs>
              <w:spacing w:line="360" w:lineRule="auto"/>
              <w:rPr>
                <w:rFonts w:cs="宋体"/>
                <w:bCs/>
                <w:color w:val="auto"/>
                <w:sz w:val="21"/>
                <w:szCs w:val="21"/>
              </w:rPr>
            </w:pPr>
            <w:r>
              <w:rPr>
                <w:rFonts w:hint="eastAsia" w:cs="宋体"/>
                <w:bCs/>
                <w:color w:val="auto"/>
                <w:sz w:val="21"/>
                <w:szCs w:val="21"/>
              </w:rPr>
              <w:t>风险范围以外合同价格的调整方法：</w:t>
            </w:r>
            <w:r>
              <w:rPr>
                <w:rFonts w:hint="eastAsia" w:cs="宋体"/>
                <w:bCs/>
                <w:color w:val="auto"/>
                <w:sz w:val="21"/>
                <w:szCs w:val="21"/>
                <w:u w:val="single"/>
                <w:lang w:val="en-US" w:eastAsia="zh-CN"/>
              </w:rPr>
              <w:t>/</w:t>
            </w:r>
            <w:r>
              <w:rPr>
                <w:rFonts w:hint="eastAsia" w:cs="宋体"/>
                <w:bCs/>
                <w:color w:val="auto"/>
                <w:sz w:val="21"/>
                <w:szCs w:val="21"/>
              </w:rPr>
              <w:t>。</w:t>
            </w:r>
          </w:p>
          <w:p w14:paraId="22F8FEFC">
            <w:pPr>
              <w:pStyle w:val="34"/>
              <w:tabs>
                <w:tab w:val="clear" w:pos="4153"/>
                <w:tab w:val="clear" w:pos="8306"/>
              </w:tabs>
              <w:spacing w:line="360" w:lineRule="auto"/>
              <w:rPr>
                <w:rFonts w:cs="宋体"/>
                <w:bCs/>
                <w:color w:val="auto"/>
                <w:sz w:val="21"/>
                <w:szCs w:val="21"/>
              </w:rPr>
            </w:pPr>
            <w:r>
              <w:rPr>
                <w:rFonts w:hint="eastAsia" w:cs="宋体"/>
                <w:bCs/>
                <w:color w:val="auto"/>
                <w:sz w:val="21"/>
                <w:szCs w:val="21"/>
              </w:rPr>
              <w:t>（3）其他价格方式：</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tc>
      </w:tr>
      <w:tr w14:paraId="7A3C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BF3A429">
            <w:pPr>
              <w:numPr>
                <w:ilvl w:val="0"/>
                <w:numId w:val="7"/>
              </w:numPr>
              <w:snapToGrid w:val="0"/>
              <w:spacing w:line="360" w:lineRule="auto"/>
              <w:jc w:val="center"/>
              <w:rPr>
                <w:rFonts w:cs="宋体"/>
                <w:bCs/>
                <w:color w:val="auto"/>
                <w:kern w:val="2"/>
                <w:sz w:val="21"/>
                <w:szCs w:val="21"/>
              </w:rPr>
            </w:pPr>
          </w:p>
        </w:tc>
        <w:tc>
          <w:tcPr>
            <w:tcW w:w="1111" w:type="dxa"/>
            <w:vAlign w:val="center"/>
          </w:tcPr>
          <w:p w14:paraId="446EB07F">
            <w:pPr>
              <w:snapToGrid w:val="0"/>
              <w:spacing w:line="360" w:lineRule="auto"/>
              <w:jc w:val="center"/>
              <w:rPr>
                <w:rFonts w:cs="宋体"/>
                <w:bCs/>
                <w:color w:val="auto"/>
                <w:kern w:val="2"/>
                <w:sz w:val="21"/>
                <w:szCs w:val="21"/>
              </w:rPr>
            </w:pPr>
            <w:r>
              <w:rPr>
                <w:rFonts w:hint="eastAsia" w:cs="宋体"/>
                <w:bCs/>
                <w:color w:val="auto"/>
                <w:sz w:val="21"/>
                <w:szCs w:val="21"/>
              </w:rPr>
              <w:t xml:space="preserve">12.2.1 </w:t>
            </w:r>
          </w:p>
        </w:tc>
        <w:tc>
          <w:tcPr>
            <w:tcW w:w="7304" w:type="dxa"/>
            <w:tcBorders>
              <w:bottom w:val="single" w:color="auto" w:sz="4" w:space="0"/>
            </w:tcBorders>
            <w:vAlign w:val="center"/>
          </w:tcPr>
          <w:p w14:paraId="5FBD6674">
            <w:pPr>
              <w:adjustRightInd w:val="0"/>
              <w:snapToGrid w:val="0"/>
              <w:spacing w:line="360" w:lineRule="auto"/>
              <w:rPr>
                <w:rFonts w:hint="eastAsia" w:cs="宋体"/>
                <w:bCs/>
                <w:color w:val="auto"/>
                <w:kern w:val="2"/>
                <w:sz w:val="21"/>
                <w:szCs w:val="21"/>
              </w:rPr>
            </w:pPr>
            <w:r>
              <w:rPr>
                <w:rFonts w:hint="eastAsia" w:cs="宋体"/>
                <w:bCs/>
                <w:color w:val="auto"/>
                <w:kern w:val="2"/>
                <w:sz w:val="21"/>
                <w:szCs w:val="21"/>
              </w:rPr>
              <w:t>预付款的支付</w:t>
            </w:r>
          </w:p>
          <w:p w14:paraId="4477319F">
            <w:pPr>
              <w:adjustRightInd w:val="0"/>
              <w:snapToGrid w:val="0"/>
              <w:spacing w:line="360" w:lineRule="auto"/>
              <w:rPr>
                <w:rFonts w:hint="eastAsia" w:cs="宋体"/>
                <w:bCs/>
                <w:color w:val="auto"/>
                <w:kern w:val="2"/>
                <w:sz w:val="21"/>
                <w:szCs w:val="21"/>
              </w:rPr>
            </w:pPr>
            <w:r>
              <w:rPr>
                <w:rFonts w:hint="eastAsia" w:cs="宋体"/>
                <w:bCs/>
                <w:color w:val="auto"/>
                <w:kern w:val="2"/>
                <w:sz w:val="21"/>
                <w:szCs w:val="21"/>
              </w:rPr>
              <w:t>预付款支付比例或金额：</w:t>
            </w:r>
            <w:r>
              <w:rPr>
                <w:rFonts w:hint="eastAsia" w:cs="宋体"/>
                <w:bCs/>
                <w:color w:val="auto"/>
                <w:kern w:val="2"/>
                <w:sz w:val="21"/>
                <w:szCs w:val="21"/>
                <w:u w:val="single"/>
              </w:rPr>
              <w:t>合同金额的40%</w:t>
            </w:r>
          </w:p>
          <w:p w14:paraId="21F048E6">
            <w:pPr>
              <w:adjustRightInd w:val="0"/>
              <w:snapToGrid w:val="0"/>
              <w:spacing w:line="360" w:lineRule="auto"/>
              <w:rPr>
                <w:rFonts w:hint="eastAsia" w:cs="宋体"/>
                <w:bCs/>
                <w:color w:val="auto"/>
                <w:kern w:val="2"/>
                <w:sz w:val="21"/>
                <w:szCs w:val="21"/>
                <w:u w:val="single"/>
              </w:rPr>
            </w:pPr>
            <w:r>
              <w:rPr>
                <w:rFonts w:hint="eastAsia" w:cs="宋体"/>
                <w:bCs/>
                <w:color w:val="auto"/>
                <w:kern w:val="2"/>
                <w:sz w:val="21"/>
                <w:szCs w:val="21"/>
              </w:rPr>
              <w:t>预付款支付期限：</w:t>
            </w:r>
            <w:r>
              <w:rPr>
                <w:rFonts w:hint="eastAsia" w:cs="宋体"/>
                <w:bCs/>
                <w:color w:val="auto"/>
                <w:kern w:val="2"/>
                <w:sz w:val="21"/>
                <w:szCs w:val="21"/>
                <w:u w:val="single"/>
              </w:rPr>
              <w:t>担保措施生效以及具备施工条件的前提下，经乙方申请，合同甲方审核确认后按规定及时支付预付价款。</w:t>
            </w:r>
          </w:p>
          <w:p w14:paraId="126B5077">
            <w:pPr>
              <w:adjustRightInd w:val="0"/>
              <w:snapToGrid w:val="0"/>
              <w:spacing w:line="360" w:lineRule="auto"/>
              <w:rPr>
                <w:rFonts w:hint="eastAsia" w:cs="宋体"/>
                <w:bCs/>
                <w:color w:val="auto"/>
                <w:kern w:val="2"/>
                <w:sz w:val="21"/>
                <w:szCs w:val="21"/>
              </w:rPr>
            </w:pPr>
            <w:r>
              <w:rPr>
                <w:rFonts w:hint="eastAsia" w:cs="宋体"/>
                <w:bCs/>
                <w:color w:val="auto"/>
                <w:kern w:val="2"/>
                <w:sz w:val="21"/>
                <w:szCs w:val="21"/>
              </w:rPr>
              <w:t xml:space="preserve">预付款扣回的方式： </w:t>
            </w:r>
            <w:r>
              <w:rPr>
                <w:rFonts w:hint="eastAsia" w:cs="宋体"/>
                <w:bCs/>
                <w:color w:val="auto"/>
                <w:kern w:val="2"/>
                <w:sz w:val="21"/>
                <w:szCs w:val="21"/>
                <w:u w:val="single"/>
              </w:rPr>
              <w:t>见付款方式。</w:t>
            </w:r>
          </w:p>
          <w:p w14:paraId="4EE54F08">
            <w:pPr>
              <w:adjustRightInd w:val="0"/>
              <w:snapToGrid w:val="0"/>
              <w:spacing w:line="360" w:lineRule="auto"/>
              <w:rPr>
                <w:rFonts w:cs="宋体"/>
                <w:bCs/>
                <w:color w:val="auto"/>
                <w:kern w:val="2"/>
                <w:sz w:val="21"/>
                <w:szCs w:val="21"/>
              </w:rPr>
            </w:pPr>
            <w:r>
              <w:rPr>
                <w:rFonts w:hint="eastAsia" w:cs="宋体"/>
                <w:b/>
                <w:bCs w:val="0"/>
                <w:color w:val="auto"/>
                <w:kern w:val="2"/>
                <w:sz w:val="21"/>
                <w:szCs w:val="21"/>
              </w:rPr>
              <w:t>注：在签订合同时，乙方书面明确表示无需预付款，即乙方无需提供预付款担保，按皖财购〔2022〕556号规定，合同甲方可不再支付预付款。</w:t>
            </w:r>
          </w:p>
        </w:tc>
      </w:tr>
      <w:tr w14:paraId="4ED7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29" w:type="dxa"/>
            <w:vAlign w:val="center"/>
          </w:tcPr>
          <w:p w14:paraId="4C94CDA3">
            <w:pPr>
              <w:numPr>
                <w:ilvl w:val="0"/>
                <w:numId w:val="7"/>
              </w:numPr>
              <w:snapToGrid w:val="0"/>
              <w:spacing w:line="360" w:lineRule="auto"/>
              <w:jc w:val="center"/>
              <w:rPr>
                <w:rFonts w:cs="宋体"/>
                <w:bCs/>
                <w:color w:val="auto"/>
                <w:kern w:val="2"/>
                <w:sz w:val="21"/>
                <w:szCs w:val="21"/>
              </w:rPr>
            </w:pPr>
          </w:p>
        </w:tc>
        <w:tc>
          <w:tcPr>
            <w:tcW w:w="1111" w:type="dxa"/>
            <w:vAlign w:val="center"/>
          </w:tcPr>
          <w:p w14:paraId="16DC1B30">
            <w:pPr>
              <w:snapToGrid w:val="0"/>
              <w:spacing w:line="360" w:lineRule="auto"/>
              <w:jc w:val="center"/>
              <w:rPr>
                <w:rFonts w:cs="宋体"/>
                <w:bCs/>
                <w:color w:val="auto"/>
                <w:kern w:val="2"/>
                <w:sz w:val="21"/>
                <w:szCs w:val="21"/>
              </w:rPr>
            </w:pPr>
            <w:r>
              <w:rPr>
                <w:rFonts w:hint="eastAsia" w:cs="宋体"/>
                <w:bCs/>
                <w:color w:val="auto"/>
                <w:sz w:val="21"/>
                <w:szCs w:val="21"/>
              </w:rPr>
              <w:t>12.2.2</w:t>
            </w:r>
          </w:p>
        </w:tc>
        <w:tc>
          <w:tcPr>
            <w:tcW w:w="7304" w:type="dxa"/>
            <w:tcBorders>
              <w:bottom w:val="single" w:color="auto" w:sz="4" w:space="0"/>
            </w:tcBorders>
            <w:vAlign w:val="center"/>
          </w:tcPr>
          <w:p w14:paraId="5F3CFD3E">
            <w:pPr>
              <w:adjustRightInd w:val="0"/>
              <w:snapToGrid w:val="0"/>
              <w:spacing w:line="360" w:lineRule="auto"/>
              <w:rPr>
                <w:rFonts w:cs="宋体"/>
                <w:bCs/>
                <w:color w:val="auto"/>
                <w:sz w:val="21"/>
                <w:szCs w:val="21"/>
              </w:rPr>
            </w:pPr>
            <w:r>
              <w:rPr>
                <w:rFonts w:hint="eastAsia" w:cs="宋体"/>
                <w:bCs/>
                <w:color w:val="auto"/>
                <w:sz w:val="21"/>
                <w:szCs w:val="21"/>
              </w:rPr>
              <w:t>预付款担保</w:t>
            </w:r>
          </w:p>
          <w:p w14:paraId="6A9C4B80">
            <w:pPr>
              <w:adjustRightInd w:val="0"/>
              <w:snapToGrid w:val="0"/>
              <w:spacing w:line="360" w:lineRule="auto"/>
              <w:rPr>
                <w:rFonts w:hint="default"/>
                <w:color w:val="auto"/>
                <w:sz w:val="21"/>
                <w:szCs w:val="21"/>
                <w:highlight w:val="none"/>
                <w:u w:val="single"/>
                <w:lang w:val="en-US" w:eastAsia="zh-CN"/>
              </w:rPr>
            </w:pPr>
            <w:r>
              <w:rPr>
                <w:rFonts w:hint="eastAsia" w:cs="宋体"/>
                <w:bCs/>
                <w:color w:val="auto"/>
                <w:sz w:val="21"/>
                <w:szCs w:val="21"/>
              </w:rPr>
              <w:t>承包人提交预付款担保的期限：</w:t>
            </w:r>
            <w:r>
              <w:rPr>
                <w:rFonts w:hint="eastAsia" w:cs="宋体"/>
                <w:bCs/>
                <w:color w:val="auto"/>
                <w:sz w:val="21"/>
                <w:szCs w:val="21"/>
                <w:highlight w:val="none"/>
                <w:u w:val="single"/>
              </w:rPr>
              <w:t>支付预付款前</w:t>
            </w:r>
            <w:r>
              <w:rPr>
                <w:rFonts w:hint="eastAsia" w:cs="宋体"/>
                <w:bCs/>
                <w:color w:val="auto"/>
                <w:sz w:val="21"/>
                <w:szCs w:val="21"/>
                <w:highlight w:val="none"/>
                <w:u w:val="single"/>
                <w:lang w:val="en-US" w:eastAsia="zh-CN"/>
              </w:rPr>
              <w:t>由乙方</w:t>
            </w:r>
            <w:r>
              <w:rPr>
                <w:rFonts w:hint="eastAsia" w:cs="宋体"/>
                <w:bCs/>
                <w:color w:val="auto"/>
                <w:sz w:val="21"/>
                <w:szCs w:val="21"/>
                <w:highlight w:val="none"/>
                <w:u w:val="single"/>
              </w:rPr>
              <w:t>提供给</w:t>
            </w:r>
            <w:r>
              <w:rPr>
                <w:rFonts w:hint="eastAsia" w:cs="宋体"/>
                <w:bCs/>
                <w:color w:val="auto"/>
                <w:sz w:val="21"/>
                <w:szCs w:val="21"/>
                <w:highlight w:val="none"/>
                <w:u w:val="single"/>
                <w:lang w:val="en-US" w:eastAsia="zh-CN"/>
              </w:rPr>
              <w:t>合同</w:t>
            </w:r>
            <w:r>
              <w:rPr>
                <w:rFonts w:hint="eastAsia" w:cs="宋体"/>
                <w:bCs/>
                <w:color w:val="auto"/>
                <w:sz w:val="21"/>
                <w:szCs w:val="21"/>
                <w:highlight w:val="none"/>
                <w:u w:val="single"/>
                <w:lang w:eastAsia="zh-CN"/>
              </w:rPr>
              <w:t>甲方</w:t>
            </w:r>
            <w:r>
              <w:rPr>
                <w:rFonts w:hint="eastAsia" w:cs="宋体"/>
                <w:bCs/>
                <w:color w:val="auto"/>
                <w:sz w:val="21"/>
                <w:szCs w:val="21"/>
                <w:highlight w:val="none"/>
                <w:u w:val="single"/>
              </w:rPr>
              <w:t>，担保期限至预付款全部扣回</w:t>
            </w:r>
            <w:r>
              <w:rPr>
                <w:rFonts w:hint="eastAsia" w:cs="宋体"/>
                <w:bCs/>
                <w:color w:val="auto"/>
                <w:sz w:val="21"/>
                <w:szCs w:val="21"/>
                <w:highlight w:val="none"/>
              </w:rPr>
              <w:t>。</w:t>
            </w:r>
          </w:p>
          <w:p w14:paraId="20DF03A6">
            <w:pPr>
              <w:adjustRightInd w:val="0"/>
              <w:snapToGrid w:val="0"/>
              <w:spacing w:line="360" w:lineRule="auto"/>
              <w:rPr>
                <w:rFonts w:hint="eastAsia"/>
                <w:color w:val="auto"/>
                <w:sz w:val="21"/>
                <w:szCs w:val="21"/>
                <w:highlight w:val="none"/>
                <w:u w:val="single"/>
                <w:lang w:eastAsia="zh-CN"/>
              </w:rPr>
            </w:pPr>
            <w:r>
              <w:rPr>
                <w:rFonts w:hint="eastAsia" w:cs="宋体"/>
                <w:bCs/>
                <w:color w:val="auto"/>
                <w:sz w:val="21"/>
                <w:szCs w:val="21"/>
              </w:rPr>
              <w:t>预付款担保的形式为：</w:t>
            </w:r>
            <w:r>
              <w:rPr>
                <w:rFonts w:hint="eastAsia"/>
                <w:color w:val="auto"/>
                <w:sz w:val="21"/>
                <w:szCs w:val="21"/>
                <w:highlight w:val="none"/>
                <w:u w:val="single"/>
              </w:rPr>
              <w:t>合同签订后</w:t>
            </w:r>
            <w:r>
              <w:rPr>
                <w:rFonts w:hint="eastAsia"/>
                <w:color w:val="auto"/>
                <w:sz w:val="21"/>
                <w:szCs w:val="21"/>
                <w:highlight w:val="none"/>
                <w:u w:val="single"/>
                <w:lang w:eastAsia="zh-CN"/>
              </w:rPr>
              <w:t>乙方</w:t>
            </w:r>
            <w:r>
              <w:rPr>
                <w:rFonts w:hint="eastAsia"/>
                <w:color w:val="auto"/>
                <w:sz w:val="21"/>
                <w:szCs w:val="21"/>
                <w:highlight w:val="none"/>
                <w:u w:val="single"/>
              </w:rPr>
              <w:t>须向</w:t>
            </w:r>
            <w:r>
              <w:rPr>
                <w:rFonts w:hint="eastAsia" w:cs="宋体"/>
                <w:bCs/>
                <w:color w:val="auto"/>
                <w:sz w:val="21"/>
                <w:szCs w:val="21"/>
                <w:highlight w:val="none"/>
                <w:u w:val="single"/>
                <w:lang w:val="en-US" w:eastAsia="zh-CN"/>
              </w:rPr>
              <w:t>合同</w:t>
            </w:r>
            <w:r>
              <w:rPr>
                <w:rFonts w:hint="eastAsia"/>
                <w:color w:val="auto"/>
                <w:sz w:val="21"/>
                <w:szCs w:val="21"/>
                <w:highlight w:val="none"/>
                <w:u w:val="single"/>
                <w:lang w:val="en-US" w:eastAsia="zh-CN"/>
              </w:rPr>
              <w:t>甲方</w:t>
            </w:r>
            <w:r>
              <w:rPr>
                <w:rFonts w:hint="eastAsia"/>
                <w:color w:val="auto"/>
                <w:sz w:val="21"/>
                <w:szCs w:val="21"/>
                <w:highlight w:val="none"/>
                <w:u w:val="single"/>
              </w:rPr>
              <w:t>提交银行、保险公司、担保公司等金融机构出具的金额为合同总价40%的预付款保函作为担保</w:t>
            </w:r>
            <w:r>
              <w:rPr>
                <w:rFonts w:hint="eastAsia"/>
                <w:color w:val="auto"/>
                <w:sz w:val="21"/>
                <w:szCs w:val="21"/>
                <w:highlight w:val="none"/>
                <w:u w:val="single"/>
                <w:lang w:eastAsia="zh-CN"/>
              </w:rPr>
              <w:t>。</w:t>
            </w:r>
          </w:p>
          <w:p w14:paraId="06413F2B">
            <w:pPr>
              <w:adjustRightInd w:val="0"/>
              <w:snapToGrid w:val="0"/>
              <w:spacing w:line="360" w:lineRule="auto"/>
              <w:rPr>
                <w:rFonts w:cs="宋体"/>
                <w:bCs/>
                <w:color w:val="auto"/>
                <w:kern w:val="2"/>
                <w:sz w:val="21"/>
                <w:szCs w:val="21"/>
              </w:rPr>
            </w:pPr>
            <w:r>
              <w:rPr>
                <w:rFonts w:hint="eastAsia"/>
                <w:b/>
                <w:bCs/>
                <w:color w:val="auto"/>
                <w:sz w:val="21"/>
                <w:szCs w:val="21"/>
                <w:highlight w:val="none"/>
              </w:rPr>
              <w:t>备注：①预付款支付前，</w:t>
            </w:r>
            <w:r>
              <w:rPr>
                <w:rFonts w:hint="eastAsia"/>
                <w:b/>
                <w:bCs/>
                <w:color w:val="auto"/>
                <w:sz w:val="21"/>
                <w:szCs w:val="21"/>
                <w:highlight w:val="none"/>
                <w:lang w:val="en-US" w:eastAsia="zh-CN"/>
              </w:rPr>
              <w:t>乙方</w:t>
            </w:r>
            <w:r>
              <w:rPr>
                <w:rFonts w:hint="eastAsia"/>
                <w:b/>
                <w:bCs/>
                <w:color w:val="auto"/>
                <w:sz w:val="21"/>
                <w:szCs w:val="21"/>
                <w:highlight w:val="none"/>
              </w:rPr>
              <w:t>须提交银行、保险公司、担保公司等金融机构出具的预付款保函（见索即付保函）；②在签订合同时，</w:t>
            </w:r>
            <w:r>
              <w:rPr>
                <w:rFonts w:hint="eastAsia"/>
                <w:b/>
                <w:bCs/>
                <w:color w:val="auto"/>
                <w:sz w:val="21"/>
                <w:szCs w:val="21"/>
                <w:highlight w:val="none"/>
                <w:lang w:val="en-US" w:eastAsia="zh-CN"/>
              </w:rPr>
              <w:t>乙方</w:t>
            </w:r>
            <w:r>
              <w:rPr>
                <w:rFonts w:hint="eastAsia"/>
                <w:b/>
                <w:bCs/>
                <w:color w:val="auto"/>
                <w:sz w:val="21"/>
                <w:szCs w:val="21"/>
                <w:highlight w:val="none"/>
              </w:rPr>
              <w:t>书面明确表示无需预付款，即</w:t>
            </w:r>
            <w:r>
              <w:rPr>
                <w:rFonts w:hint="eastAsia"/>
                <w:b/>
                <w:bCs/>
                <w:color w:val="auto"/>
                <w:sz w:val="21"/>
                <w:szCs w:val="21"/>
                <w:highlight w:val="none"/>
                <w:lang w:val="en-US" w:eastAsia="zh-CN"/>
              </w:rPr>
              <w:t>乙方</w:t>
            </w:r>
            <w:r>
              <w:rPr>
                <w:rFonts w:hint="eastAsia"/>
                <w:b/>
                <w:bCs/>
                <w:color w:val="auto"/>
                <w:sz w:val="21"/>
                <w:szCs w:val="21"/>
                <w:highlight w:val="none"/>
              </w:rPr>
              <w:t>无需提供预付款担保，按皖财购〔2022〕556号规定，合同</w:t>
            </w:r>
            <w:r>
              <w:rPr>
                <w:rFonts w:hint="eastAsia"/>
                <w:b/>
                <w:bCs/>
                <w:color w:val="auto"/>
                <w:sz w:val="21"/>
                <w:szCs w:val="21"/>
                <w:highlight w:val="none"/>
                <w:lang w:val="en-US" w:eastAsia="zh-CN"/>
              </w:rPr>
              <w:t>甲方</w:t>
            </w:r>
            <w:r>
              <w:rPr>
                <w:rFonts w:hint="eastAsia"/>
                <w:b/>
                <w:bCs/>
                <w:color w:val="auto"/>
                <w:sz w:val="21"/>
                <w:szCs w:val="21"/>
                <w:highlight w:val="none"/>
              </w:rPr>
              <w:t>可不再支付预付款；</w:t>
            </w:r>
          </w:p>
        </w:tc>
      </w:tr>
      <w:tr w14:paraId="2D9D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788002EC">
            <w:pPr>
              <w:numPr>
                <w:ilvl w:val="0"/>
                <w:numId w:val="7"/>
              </w:numPr>
              <w:snapToGrid w:val="0"/>
              <w:spacing w:line="360" w:lineRule="auto"/>
              <w:jc w:val="center"/>
              <w:rPr>
                <w:rFonts w:cs="宋体"/>
                <w:bCs/>
                <w:color w:val="auto"/>
                <w:kern w:val="2"/>
                <w:sz w:val="21"/>
                <w:szCs w:val="21"/>
              </w:rPr>
            </w:pPr>
          </w:p>
        </w:tc>
        <w:tc>
          <w:tcPr>
            <w:tcW w:w="1111" w:type="dxa"/>
            <w:vAlign w:val="center"/>
          </w:tcPr>
          <w:p w14:paraId="35DFFF13">
            <w:pPr>
              <w:snapToGrid w:val="0"/>
              <w:spacing w:line="360" w:lineRule="auto"/>
              <w:jc w:val="center"/>
              <w:rPr>
                <w:rFonts w:cs="宋体"/>
                <w:bCs/>
                <w:color w:val="auto"/>
                <w:sz w:val="21"/>
                <w:szCs w:val="21"/>
              </w:rPr>
            </w:pPr>
            <w:r>
              <w:rPr>
                <w:rFonts w:hint="eastAsia" w:cs="宋体"/>
                <w:bCs/>
                <w:color w:val="auto"/>
                <w:sz w:val="21"/>
                <w:szCs w:val="21"/>
              </w:rPr>
              <w:t>12.4.1</w:t>
            </w:r>
          </w:p>
        </w:tc>
        <w:tc>
          <w:tcPr>
            <w:tcW w:w="7304" w:type="dxa"/>
            <w:tcBorders>
              <w:bottom w:val="single" w:color="auto" w:sz="4" w:space="0"/>
            </w:tcBorders>
            <w:vAlign w:val="center"/>
          </w:tcPr>
          <w:p w14:paraId="3522A4D4">
            <w:pPr>
              <w:adjustRightInd w:val="0"/>
              <w:snapToGrid w:val="0"/>
              <w:spacing w:line="360" w:lineRule="auto"/>
              <w:rPr>
                <w:rFonts w:cs="宋体"/>
                <w:bCs/>
                <w:color w:val="auto"/>
                <w:sz w:val="21"/>
                <w:szCs w:val="21"/>
              </w:rPr>
            </w:pPr>
            <w:r>
              <w:rPr>
                <w:rFonts w:hint="eastAsia" w:cs="宋体"/>
                <w:bCs/>
                <w:color w:val="auto"/>
                <w:sz w:val="21"/>
                <w:szCs w:val="21"/>
              </w:rPr>
              <w:t>付款周期</w:t>
            </w:r>
          </w:p>
          <w:p w14:paraId="544BA9DB">
            <w:pPr>
              <w:snapToGrid w:val="0"/>
              <w:spacing w:line="360" w:lineRule="auto"/>
              <w:jc w:val="left"/>
              <w:rPr>
                <w:rFonts w:hint="eastAsia" w:cs="宋体"/>
                <w:b/>
                <w:bCs w:val="0"/>
                <w:color w:val="auto"/>
                <w:sz w:val="24"/>
                <w:szCs w:val="24"/>
                <w:highlight w:val="none"/>
                <w:u w:val="none"/>
                <w:lang w:val="en-US" w:eastAsia="zh-CN"/>
              </w:rPr>
            </w:pPr>
            <w:r>
              <w:rPr>
                <w:rFonts w:hint="eastAsia" w:cs="宋体"/>
                <w:bCs/>
                <w:color w:val="auto"/>
                <w:sz w:val="21"/>
                <w:szCs w:val="21"/>
              </w:rPr>
              <w:t>关于付款周期的约定：</w:t>
            </w:r>
          </w:p>
          <w:p w14:paraId="72CA480E">
            <w:pPr>
              <w:snapToGrid w:val="0"/>
              <w:spacing w:line="360" w:lineRule="auto"/>
              <w:jc w:val="left"/>
              <w:rPr>
                <w:rFonts w:hint="eastAsia"/>
                <w:color w:val="auto"/>
                <w:sz w:val="21"/>
                <w:szCs w:val="21"/>
                <w:highlight w:val="none"/>
                <w:u w:val="single"/>
              </w:rPr>
            </w:pPr>
            <w:r>
              <w:rPr>
                <w:rFonts w:hint="eastAsia" w:cs="宋体"/>
                <w:b w:val="0"/>
                <w:bCs/>
                <w:color w:val="auto"/>
                <w:sz w:val="21"/>
                <w:szCs w:val="21"/>
                <w:highlight w:val="none"/>
                <w:u w:val="single"/>
                <w:lang w:val="en-US" w:eastAsia="zh-CN"/>
              </w:rPr>
              <w:t>①</w:t>
            </w:r>
            <w:r>
              <w:rPr>
                <w:rFonts w:hint="eastAsia" w:ascii="宋体" w:hAnsi="宋体" w:eastAsia="宋体" w:cs="宋体"/>
                <w:b w:val="0"/>
                <w:bCs/>
                <w:color w:val="auto"/>
                <w:sz w:val="21"/>
                <w:szCs w:val="21"/>
                <w:highlight w:val="none"/>
                <w:u w:val="single"/>
              </w:rPr>
              <w:t>合同签订后，经</w:t>
            </w:r>
            <w:r>
              <w:rPr>
                <w:rFonts w:hint="eastAsia" w:cs="宋体"/>
                <w:b w:val="0"/>
                <w:bCs/>
                <w:color w:val="auto"/>
                <w:sz w:val="21"/>
                <w:szCs w:val="21"/>
                <w:highlight w:val="none"/>
                <w:u w:val="single"/>
                <w:lang w:eastAsia="zh-CN"/>
              </w:rPr>
              <w:t>乙方</w:t>
            </w:r>
            <w:r>
              <w:rPr>
                <w:rFonts w:hint="eastAsia" w:ascii="宋体" w:hAnsi="宋体" w:eastAsia="宋体" w:cs="宋体"/>
                <w:b w:val="0"/>
                <w:bCs/>
                <w:color w:val="auto"/>
                <w:sz w:val="21"/>
                <w:szCs w:val="21"/>
                <w:highlight w:val="none"/>
                <w:u w:val="single"/>
              </w:rPr>
              <w:t>申请</w:t>
            </w:r>
            <w:r>
              <w:rPr>
                <w:rFonts w:hint="eastAsia" w:ascii="宋体" w:hAnsi="宋体" w:eastAsia="宋体" w:cs="宋体"/>
                <w:b w:val="0"/>
                <w:bCs/>
                <w:color w:val="auto"/>
                <w:sz w:val="21"/>
                <w:szCs w:val="21"/>
                <w:highlight w:val="none"/>
                <w:u w:val="single"/>
                <w:lang w:eastAsia="zh-CN"/>
              </w:rPr>
              <w:t>，</w:t>
            </w:r>
            <w:r>
              <w:rPr>
                <w:rFonts w:hint="eastAsia" w:ascii="宋体" w:hAnsi="宋体" w:eastAsia="宋体" w:cs="宋体"/>
                <w:b w:val="0"/>
                <w:bCs/>
                <w:color w:val="auto"/>
                <w:sz w:val="21"/>
                <w:szCs w:val="21"/>
                <w:highlight w:val="none"/>
                <w:u w:val="single"/>
                <w:lang w:val="en-US" w:eastAsia="zh-CN"/>
              </w:rPr>
              <w:t>合同甲方审核确认后</w:t>
            </w:r>
            <w:r>
              <w:rPr>
                <w:rFonts w:hint="eastAsia" w:ascii="宋体" w:hAnsi="宋体" w:eastAsia="宋体" w:cs="宋体"/>
                <w:b w:val="0"/>
                <w:bCs/>
                <w:color w:val="auto"/>
                <w:sz w:val="21"/>
                <w:szCs w:val="21"/>
                <w:highlight w:val="none"/>
                <w:u w:val="single"/>
              </w:rPr>
              <w:t>支付</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签约合同价的40%</w:t>
            </w:r>
            <w:r>
              <w:rPr>
                <w:rFonts w:hint="eastAsia" w:cs="宋体"/>
                <w:b w:val="0"/>
                <w:bCs/>
                <w:color w:val="auto"/>
                <w:sz w:val="21"/>
                <w:szCs w:val="21"/>
                <w:highlight w:val="none"/>
                <w:u w:val="single"/>
                <w:lang w:val="en-US" w:eastAsia="zh-CN"/>
              </w:rPr>
              <w:t>作为预付款</w:t>
            </w:r>
            <w:r>
              <w:rPr>
                <w:rFonts w:hint="eastAsia" w:ascii="宋体" w:hAnsi="宋体" w:eastAsia="宋体" w:cs="宋体"/>
                <w:b w:val="0"/>
                <w:bCs/>
                <w:color w:val="auto"/>
                <w:sz w:val="21"/>
                <w:szCs w:val="21"/>
                <w:highlight w:val="none"/>
                <w:u w:val="single"/>
              </w:rPr>
              <w:t>（</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须提交等额预付款担保）</w:t>
            </w:r>
            <w:r>
              <w:rPr>
                <w:rFonts w:hint="eastAsia"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按工程进度支付，完工验收并经结算审核后支付至结算价款的100%，并扣回所有预付款。</w:t>
            </w:r>
          </w:p>
          <w:p w14:paraId="04EDA4DF">
            <w:pPr>
              <w:adjustRightInd w:val="0"/>
              <w:snapToGrid w:val="0"/>
              <w:spacing w:line="360" w:lineRule="auto"/>
              <w:rPr>
                <w:rFonts w:cs="宋体"/>
                <w:bCs/>
                <w:color w:val="auto"/>
                <w:sz w:val="21"/>
                <w:szCs w:val="21"/>
              </w:rPr>
            </w:pPr>
            <w:r>
              <w:rPr>
                <w:rFonts w:hint="eastAsia" w:cs="宋体"/>
                <w:b w:val="0"/>
                <w:bCs/>
                <w:color w:val="auto"/>
                <w:sz w:val="21"/>
                <w:szCs w:val="21"/>
                <w:highlight w:val="none"/>
                <w:u w:val="single"/>
                <w:lang w:val="en-US" w:eastAsia="zh-CN"/>
              </w:rPr>
              <w:t>②</w:t>
            </w:r>
            <w:r>
              <w:rPr>
                <w:rFonts w:hint="eastAsia" w:ascii="宋体" w:hAnsi="宋体" w:eastAsia="宋体" w:cs="宋体"/>
                <w:b w:val="0"/>
                <w:bCs/>
                <w:color w:val="auto"/>
                <w:sz w:val="21"/>
                <w:szCs w:val="21"/>
                <w:highlight w:val="none"/>
                <w:u w:val="single"/>
              </w:rPr>
              <w:t>在签订合同时，</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书面明确表示无需预付款，即</w:t>
            </w:r>
            <w:r>
              <w:rPr>
                <w:rFonts w:hint="eastAsia" w:cs="宋体"/>
                <w:b w:val="0"/>
                <w:bCs/>
                <w:color w:val="auto"/>
                <w:sz w:val="21"/>
                <w:szCs w:val="21"/>
                <w:highlight w:val="none"/>
                <w:u w:val="single"/>
                <w:lang w:val="en-US" w:eastAsia="zh-CN"/>
              </w:rPr>
              <w:t>乙方</w:t>
            </w:r>
            <w:r>
              <w:rPr>
                <w:rFonts w:hint="eastAsia" w:ascii="宋体" w:hAnsi="宋体" w:eastAsia="宋体" w:cs="宋体"/>
                <w:b w:val="0"/>
                <w:bCs/>
                <w:color w:val="auto"/>
                <w:sz w:val="21"/>
                <w:szCs w:val="21"/>
                <w:highlight w:val="none"/>
                <w:u w:val="single"/>
              </w:rPr>
              <w:t>无需提供预付款担保，按皖财购〔2022〕556号规定，合同甲方可不再支付预付款</w:t>
            </w:r>
            <w:r>
              <w:rPr>
                <w:rFonts w:hint="eastAsia" w:ascii="宋体" w:hAnsi="宋体" w:eastAsia="宋体" w:cs="宋体"/>
                <w:b w:val="0"/>
                <w:bCs/>
                <w:color w:val="auto"/>
                <w:sz w:val="21"/>
                <w:szCs w:val="21"/>
                <w:highlight w:val="none"/>
                <w:u w:val="single"/>
                <w:lang w:eastAsia="zh-CN"/>
              </w:rPr>
              <w:t>。</w:t>
            </w:r>
            <w:r>
              <w:rPr>
                <w:rFonts w:hint="eastAsia" w:cs="宋体"/>
                <w:b w:val="0"/>
                <w:bCs/>
                <w:color w:val="auto"/>
                <w:sz w:val="21"/>
                <w:szCs w:val="21"/>
                <w:highlight w:val="none"/>
                <w:u w:val="single"/>
                <w:lang w:val="en-US" w:eastAsia="zh-CN"/>
              </w:rPr>
              <w:t>合同价款</w:t>
            </w:r>
            <w:r>
              <w:rPr>
                <w:rFonts w:hint="eastAsia" w:ascii="宋体" w:hAnsi="宋体" w:eastAsia="宋体" w:cs="宋体"/>
                <w:b w:val="0"/>
                <w:bCs/>
                <w:color w:val="auto"/>
                <w:sz w:val="21"/>
                <w:szCs w:val="21"/>
                <w:highlight w:val="none"/>
                <w:u w:val="single"/>
              </w:rPr>
              <w:t>按工程进度支付，完工验收并经结算审核后支付至结算价款的100%。</w:t>
            </w:r>
          </w:p>
        </w:tc>
      </w:tr>
      <w:tr w14:paraId="6C3D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0140C80B">
            <w:pPr>
              <w:numPr>
                <w:ilvl w:val="0"/>
                <w:numId w:val="7"/>
              </w:numPr>
              <w:snapToGrid w:val="0"/>
              <w:spacing w:line="360" w:lineRule="auto"/>
              <w:jc w:val="center"/>
              <w:rPr>
                <w:rFonts w:cs="宋体"/>
                <w:bCs/>
                <w:color w:val="auto"/>
                <w:kern w:val="2"/>
                <w:sz w:val="21"/>
                <w:szCs w:val="21"/>
              </w:rPr>
            </w:pPr>
          </w:p>
        </w:tc>
        <w:tc>
          <w:tcPr>
            <w:tcW w:w="1111" w:type="dxa"/>
            <w:vAlign w:val="center"/>
          </w:tcPr>
          <w:p w14:paraId="2FEE81F9">
            <w:pPr>
              <w:snapToGrid w:val="0"/>
              <w:spacing w:line="360" w:lineRule="auto"/>
              <w:jc w:val="center"/>
              <w:rPr>
                <w:rFonts w:cs="宋体"/>
                <w:bCs/>
                <w:color w:val="auto"/>
                <w:kern w:val="2"/>
                <w:sz w:val="21"/>
                <w:szCs w:val="21"/>
              </w:rPr>
            </w:pPr>
            <w:r>
              <w:rPr>
                <w:rFonts w:hint="eastAsia" w:cs="宋体"/>
                <w:bCs/>
                <w:color w:val="auto"/>
                <w:sz w:val="21"/>
                <w:szCs w:val="21"/>
              </w:rPr>
              <w:t>15.2.1</w:t>
            </w:r>
          </w:p>
        </w:tc>
        <w:tc>
          <w:tcPr>
            <w:tcW w:w="7304" w:type="dxa"/>
            <w:vAlign w:val="center"/>
          </w:tcPr>
          <w:p w14:paraId="1A6DBC20">
            <w:pPr>
              <w:snapToGrid w:val="0"/>
              <w:spacing w:line="360" w:lineRule="auto"/>
              <w:rPr>
                <w:rFonts w:cs="宋体"/>
                <w:bCs/>
                <w:color w:val="auto"/>
                <w:kern w:val="2"/>
                <w:sz w:val="21"/>
                <w:szCs w:val="21"/>
              </w:rPr>
            </w:pPr>
            <w:r>
              <w:rPr>
                <w:rFonts w:hint="eastAsia" w:cs="宋体"/>
                <w:color w:val="auto"/>
                <w:sz w:val="21"/>
                <w:szCs w:val="21"/>
              </w:rPr>
              <w:t>缺陷责任期的具体期限：</w:t>
            </w:r>
            <w:r>
              <w:rPr>
                <w:rFonts w:hint="eastAsia" w:cs="宋体"/>
                <w:color w:val="auto"/>
                <w:sz w:val="21"/>
                <w:szCs w:val="21"/>
                <w:u w:val="single"/>
              </w:rPr>
              <w:t>工程通过完工验收之日起12个月。</w:t>
            </w:r>
          </w:p>
        </w:tc>
      </w:tr>
      <w:tr w14:paraId="36AF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9" w:type="dxa"/>
            <w:vAlign w:val="center"/>
          </w:tcPr>
          <w:p w14:paraId="3D020A79">
            <w:pPr>
              <w:numPr>
                <w:ilvl w:val="0"/>
                <w:numId w:val="7"/>
              </w:numPr>
              <w:snapToGrid w:val="0"/>
              <w:spacing w:line="360" w:lineRule="auto"/>
              <w:jc w:val="center"/>
              <w:rPr>
                <w:rFonts w:cs="宋体"/>
                <w:bCs/>
                <w:color w:val="auto"/>
                <w:kern w:val="2"/>
                <w:sz w:val="21"/>
                <w:szCs w:val="21"/>
              </w:rPr>
            </w:pPr>
          </w:p>
        </w:tc>
        <w:tc>
          <w:tcPr>
            <w:tcW w:w="1111" w:type="dxa"/>
            <w:vAlign w:val="center"/>
          </w:tcPr>
          <w:p w14:paraId="655BA647">
            <w:pPr>
              <w:snapToGrid w:val="0"/>
              <w:spacing w:line="360" w:lineRule="auto"/>
              <w:jc w:val="center"/>
              <w:rPr>
                <w:rFonts w:cs="宋体"/>
                <w:bCs/>
                <w:color w:val="auto"/>
                <w:kern w:val="2"/>
                <w:sz w:val="21"/>
                <w:szCs w:val="21"/>
              </w:rPr>
            </w:pPr>
            <w:r>
              <w:rPr>
                <w:rFonts w:hint="eastAsia" w:cs="宋体"/>
                <w:bCs/>
                <w:color w:val="auto"/>
                <w:sz w:val="21"/>
                <w:szCs w:val="21"/>
              </w:rPr>
              <w:t>15.3.1</w:t>
            </w:r>
          </w:p>
        </w:tc>
        <w:tc>
          <w:tcPr>
            <w:tcW w:w="7304" w:type="dxa"/>
            <w:vAlign w:val="center"/>
          </w:tcPr>
          <w:p w14:paraId="40AA6317">
            <w:pPr>
              <w:adjustRightInd w:val="0"/>
              <w:snapToGrid w:val="0"/>
              <w:spacing w:line="360" w:lineRule="auto"/>
              <w:rPr>
                <w:rFonts w:cs="宋体"/>
                <w:color w:val="auto"/>
                <w:sz w:val="21"/>
                <w:szCs w:val="21"/>
              </w:rPr>
            </w:pPr>
            <w:r>
              <w:rPr>
                <w:rFonts w:hint="eastAsia" w:cs="宋体"/>
                <w:color w:val="auto"/>
                <w:sz w:val="21"/>
                <w:szCs w:val="21"/>
              </w:rPr>
              <w:t>质量保证金可采用以下任意一种方式：</w:t>
            </w:r>
          </w:p>
          <w:p w14:paraId="63AD1E3F">
            <w:pPr>
              <w:adjustRightInd w:val="0"/>
              <w:snapToGrid w:val="0"/>
              <w:spacing w:line="360" w:lineRule="auto"/>
              <w:rPr>
                <w:rFonts w:cs="宋体"/>
                <w:color w:val="auto"/>
                <w:sz w:val="21"/>
                <w:szCs w:val="21"/>
              </w:rPr>
            </w:pPr>
            <w:r>
              <w:rPr>
                <w:rFonts w:hint="eastAsia" w:cs="宋体"/>
                <w:color w:val="auto"/>
                <w:sz w:val="21"/>
                <w:szCs w:val="21"/>
              </w:rPr>
              <w:t>（1）</w:t>
            </w:r>
            <w:r>
              <w:rPr>
                <w:rFonts w:hint="eastAsia" w:cs="宋体"/>
                <w:color w:val="auto"/>
                <w:sz w:val="21"/>
                <w:szCs w:val="21"/>
                <w:u w:val="single"/>
              </w:rPr>
              <w:t>由银行业金融机构、工程担保公司、保险机构出具银行保函、工程质量保险等担保方式，担保/保证金额为：结算价的3%；</w:t>
            </w:r>
          </w:p>
          <w:p w14:paraId="36B61724">
            <w:pPr>
              <w:adjustRightInd w:val="0"/>
              <w:snapToGrid w:val="0"/>
              <w:spacing w:line="360" w:lineRule="auto"/>
              <w:rPr>
                <w:rFonts w:hint="eastAsia" w:eastAsia="宋体" w:cs="宋体"/>
                <w:color w:val="auto"/>
                <w:sz w:val="21"/>
                <w:szCs w:val="21"/>
                <w:u w:val="none"/>
                <w:lang w:eastAsia="zh-CN"/>
              </w:rPr>
            </w:pPr>
            <w:r>
              <w:rPr>
                <w:rFonts w:hint="eastAsia" w:cs="宋体"/>
                <w:color w:val="auto"/>
                <w:sz w:val="21"/>
                <w:szCs w:val="21"/>
              </w:rPr>
              <w:t>（2）</w:t>
            </w:r>
            <w:r>
              <w:rPr>
                <w:rFonts w:hint="eastAsia" w:cs="宋体"/>
                <w:color w:val="auto"/>
                <w:sz w:val="21"/>
                <w:szCs w:val="21"/>
                <w:u w:val="single"/>
              </w:rPr>
              <w:t>在本工程结算支付前采用</w:t>
            </w:r>
            <w:r>
              <w:rPr>
                <w:rFonts w:hint="eastAsia" w:cs="宋体"/>
                <w:color w:val="auto"/>
                <w:sz w:val="21"/>
                <w:szCs w:val="21"/>
                <w:u w:val="single"/>
                <w:lang w:val="en-US" w:eastAsia="zh-CN"/>
              </w:rPr>
              <w:t>现金或</w:t>
            </w:r>
            <w:r>
              <w:rPr>
                <w:rFonts w:hint="eastAsia" w:cs="宋体"/>
                <w:color w:val="auto"/>
                <w:sz w:val="21"/>
                <w:szCs w:val="21"/>
                <w:u w:val="single"/>
              </w:rPr>
              <w:t>转账的方式缴纳，金额为结算价的3%</w:t>
            </w:r>
            <w:r>
              <w:rPr>
                <w:rFonts w:hint="eastAsia" w:cs="宋体"/>
                <w:color w:val="auto"/>
                <w:sz w:val="21"/>
                <w:szCs w:val="21"/>
                <w:u w:val="single"/>
                <w:lang w:eastAsia="zh-CN"/>
              </w:rPr>
              <w:t>；</w:t>
            </w:r>
          </w:p>
          <w:p w14:paraId="15F97694">
            <w:pPr>
              <w:adjustRightInd w:val="0"/>
              <w:snapToGrid w:val="0"/>
              <w:spacing w:line="360" w:lineRule="auto"/>
              <w:rPr>
                <w:rFonts w:cs="宋体"/>
                <w:bCs w:val="0"/>
                <w:color w:val="auto"/>
                <w:kern w:val="2"/>
                <w:sz w:val="21"/>
                <w:szCs w:val="21"/>
              </w:rPr>
            </w:pPr>
            <w:r>
              <w:rPr>
                <w:rFonts w:hint="eastAsia" w:cs="宋体"/>
                <w:color w:val="auto"/>
                <w:sz w:val="21"/>
                <w:szCs w:val="21"/>
              </w:rPr>
              <w:t>（3）其他方式：</w:t>
            </w:r>
            <w:r>
              <w:rPr>
                <w:rFonts w:hint="eastAsia" w:cs="宋体"/>
                <w:color w:val="auto"/>
                <w:sz w:val="21"/>
                <w:szCs w:val="21"/>
                <w:u w:val="single"/>
              </w:rPr>
              <w:t>在工程项目完工前，乙方按合同甲方要求提供履约保证金的，可在工程进入缺陷责任期时按照多退少补原则转为质量保证金</w:t>
            </w:r>
            <w:r>
              <w:rPr>
                <w:rFonts w:hint="eastAsia" w:cs="宋体"/>
                <w:color w:val="auto"/>
                <w:sz w:val="21"/>
                <w:szCs w:val="21"/>
                <w:u w:val="single"/>
                <w:lang w:eastAsia="zh-CN"/>
              </w:rPr>
              <w:t>，</w:t>
            </w:r>
            <w:r>
              <w:rPr>
                <w:rFonts w:hint="eastAsia" w:cs="宋体"/>
                <w:color w:val="auto"/>
                <w:sz w:val="21"/>
                <w:szCs w:val="21"/>
                <w:u w:val="single"/>
              </w:rPr>
              <w:t>金额为：结算价的3%。</w:t>
            </w:r>
          </w:p>
        </w:tc>
      </w:tr>
    </w:tbl>
    <w:p w14:paraId="6F737A1F">
      <w:pPr>
        <w:snapToGrid w:val="0"/>
        <w:spacing w:before="312" w:beforeLines="100" w:after="312" w:afterLines="100" w:line="360" w:lineRule="auto"/>
        <w:outlineLvl w:val="2"/>
        <w:rPr>
          <w:rFonts w:cs="宋体"/>
          <w:color w:val="auto"/>
          <w:sz w:val="21"/>
          <w:szCs w:val="21"/>
        </w:rPr>
      </w:pPr>
      <w:r>
        <w:rPr>
          <w:rFonts w:hint="eastAsia" w:cs="宋体"/>
          <w:color w:val="auto"/>
          <w:sz w:val="21"/>
          <w:szCs w:val="21"/>
        </w:rPr>
        <w:br w:type="page"/>
      </w:r>
      <w:r>
        <w:rPr>
          <w:rFonts w:hint="eastAsia" w:cs="宋体"/>
          <w:color w:val="auto"/>
          <w:sz w:val="21"/>
          <w:szCs w:val="21"/>
        </w:rPr>
        <w:t>1</w:t>
      </w:r>
      <w:bookmarkStart w:id="144" w:name="_Toc296890984"/>
      <w:bookmarkStart w:id="145" w:name="_Toc292559866"/>
      <w:bookmarkStart w:id="146" w:name="_Toc296503156"/>
      <w:bookmarkStart w:id="147" w:name="_Toc296346657"/>
      <w:bookmarkStart w:id="148" w:name="_Toc292559361"/>
      <w:bookmarkStart w:id="149" w:name="_Toc296944495"/>
      <w:bookmarkStart w:id="150" w:name="_Toc297120456"/>
      <w:bookmarkStart w:id="151" w:name="_Toc296891196"/>
      <w:bookmarkStart w:id="152" w:name="_Toc296347155"/>
      <w:bookmarkStart w:id="153" w:name="_Toc297048342"/>
      <w:r>
        <w:rPr>
          <w:rFonts w:hint="eastAsia" w:cs="宋体"/>
          <w:color w:val="auto"/>
          <w:sz w:val="21"/>
          <w:szCs w:val="21"/>
        </w:rPr>
        <w:t>. 一般约定</w:t>
      </w:r>
    </w:p>
    <w:bookmarkEnd w:id="144"/>
    <w:bookmarkEnd w:id="145"/>
    <w:bookmarkEnd w:id="146"/>
    <w:bookmarkEnd w:id="147"/>
    <w:bookmarkEnd w:id="148"/>
    <w:bookmarkEnd w:id="149"/>
    <w:bookmarkEnd w:id="150"/>
    <w:bookmarkEnd w:id="151"/>
    <w:bookmarkEnd w:id="152"/>
    <w:bookmarkEnd w:id="153"/>
    <w:p w14:paraId="42ECEFE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1.1 词语定义与解释</w:t>
      </w:r>
    </w:p>
    <w:p w14:paraId="77052BED">
      <w:pPr>
        <w:adjustRightInd w:val="0"/>
        <w:snapToGrid w:val="0"/>
        <w:spacing w:line="360" w:lineRule="auto"/>
        <w:ind w:firstLine="420" w:firstLineChars="200"/>
        <w:rPr>
          <w:rFonts w:cs="宋体"/>
          <w:color w:val="auto"/>
          <w:sz w:val="21"/>
          <w:szCs w:val="21"/>
        </w:rPr>
      </w:pPr>
      <w:r>
        <w:rPr>
          <w:rFonts w:hint="eastAsia" w:cs="宋体"/>
          <w:color w:val="auto"/>
          <w:sz w:val="21"/>
          <w:szCs w:val="21"/>
        </w:rPr>
        <w:t>1.1.1 合同</w:t>
      </w:r>
    </w:p>
    <w:p w14:paraId="010B8942">
      <w:pPr>
        <w:adjustRightInd w:val="0"/>
        <w:snapToGrid w:val="0"/>
        <w:spacing w:line="360" w:lineRule="auto"/>
        <w:ind w:firstLine="420" w:firstLineChars="200"/>
        <w:rPr>
          <w:rFonts w:hint="eastAsia" w:eastAsia="宋体" w:cs="宋体"/>
          <w:color w:val="auto"/>
          <w:sz w:val="21"/>
          <w:szCs w:val="21"/>
          <w:u w:val="single"/>
          <w:lang w:eastAsia="zh-CN"/>
        </w:rPr>
      </w:pPr>
      <w:r>
        <w:rPr>
          <w:rFonts w:hint="eastAsia" w:cs="宋体"/>
          <w:color w:val="auto"/>
          <w:sz w:val="21"/>
          <w:szCs w:val="21"/>
        </w:rPr>
        <w:t>1.1.1.10 其他合同文件包括：</w:t>
      </w:r>
      <w:r>
        <w:rPr>
          <w:rFonts w:hint="eastAsia" w:cs="宋体"/>
          <w:color w:val="auto"/>
          <w:sz w:val="21"/>
          <w:szCs w:val="21"/>
          <w:u w:val="single"/>
        </w:rPr>
        <w:t xml:space="preserve"> </w:t>
      </w:r>
      <w:r>
        <w:rPr>
          <w:rFonts w:hint="eastAsia" w:cs="宋体"/>
          <w:color w:val="auto"/>
          <w:sz w:val="21"/>
          <w:szCs w:val="21"/>
          <w:u w:val="single"/>
          <w:lang w:val="en-US" w:eastAsia="zh-CN"/>
        </w:rPr>
        <w:t>/</w:t>
      </w:r>
    </w:p>
    <w:p w14:paraId="00478499">
      <w:pPr>
        <w:adjustRightInd w:val="0"/>
        <w:snapToGrid w:val="0"/>
        <w:spacing w:line="360" w:lineRule="auto"/>
        <w:ind w:firstLine="420" w:firstLineChars="200"/>
        <w:rPr>
          <w:rFonts w:cs="宋体"/>
          <w:color w:val="auto"/>
          <w:sz w:val="21"/>
          <w:szCs w:val="21"/>
        </w:rPr>
      </w:pPr>
      <w:r>
        <w:rPr>
          <w:rFonts w:hint="eastAsia" w:cs="宋体"/>
          <w:color w:val="auto"/>
          <w:sz w:val="21"/>
          <w:szCs w:val="21"/>
        </w:rPr>
        <w:t>1.1.2 合同当事人及其他相关方</w:t>
      </w:r>
    </w:p>
    <w:p w14:paraId="311B1A0F">
      <w:pPr>
        <w:adjustRightInd w:val="0"/>
        <w:snapToGrid w:val="0"/>
        <w:spacing w:line="360" w:lineRule="auto"/>
        <w:ind w:firstLine="420" w:firstLineChars="200"/>
        <w:rPr>
          <w:rFonts w:cs="宋体"/>
          <w:color w:val="auto"/>
          <w:sz w:val="21"/>
          <w:szCs w:val="21"/>
        </w:rPr>
      </w:pPr>
      <w:r>
        <w:rPr>
          <w:rFonts w:hint="eastAsia" w:cs="宋体"/>
          <w:color w:val="auto"/>
          <w:sz w:val="21"/>
          <w:szCs w:val="21"/>
        </w:rPr>
        <w:t>1.1.2.4 监理人：</w:t>
      </w:r>
      <w:r>
        <w:rPr>
          <w:rFonts w:hint="eastAsia" w:cs="宋体"/>
          <w:color w:val="auto"/>
          <w:sz w:val="21"/>
          <w:szCs w:val="21"/>
          <w:u w:val="single"/>
        </w:rPr>
        <w:t xml:space="preserve"> </w:t>
      </w:r>
      <w:r>
        <w:rPr>
          <w:rFonts w:hint="eastAsia" w:cs="宋体"/>
          <w:color w:val="auto"/>
          <w:sz w:val="21"/>
          <w:szCs w:val="21"/>
          <w:u w:val="single"/>
          <w:lang w:val="en-US" w:eastAsia="zh-CN"/>
        </w:rPr>
        <w:t>/</w:t>
      </w:r>
    </w:p>
    <w:p w14:paraId="24A2A069">
      <w:pPr>
        <w:adjustRightInd w:val="0"/>
        <w:snapToGrid w:val="0"/>
        <w:spacing w:line="360" w:lineRule="auto"/>
        <w:ind w:firstLine="420" w:firstLineChars="200"/>
        <w:rPr>
          <w:rFonts w:cs="宋体"/>
          <w:color w:val="auto"/>
          <w:sz w:val="21"/>
          <w:szCs w:val="21"/>
        </w:rPr>
      </w:pPr>
      <w:r>
        <w:rPr>
          <w:rFonts w:hint="eastAsia" w:cs="宋体"/>
          <w:color w:val="auto"/>
          <w:sz w:val="21"/>
          <w:szCs w:val="21"/>
        </w:rPr>
        <w:t>1.1.2.5 设计人：</w:t>
      </w:r>
      <w:r>
        <w:rPr>
          <w:rFonts w:hint="eastAsia" w:cs="宋体"/>
          <w:color w:val="auto"/>
          <w:sz w:val="21"/>
          <w:szCs w:val="21"/>
          <w:lang w:val="en-US" w:eastAsia="zh-CN"/>
        </w:rPr>
        <w:t xml:space="preserve"> </w:t>
      </w:r>
      <w:r>
        <w:rPr>
          <w:rFonts w:hint="eastAsia" w:cs="宋体"/>
          <w:color w:val="auto"/>
          <w:sz w:val="21"/>
          <w:szCs w:val="21"/>
          <w:u w:val="single"/>
          <w:lang w:val="en-US" w:eastAsia="zh-CN"/>
        </w:rPr>
        <w:t>/</w:t>
      </w:r>
    </w:p>
    <w:p w14:paraId="661C3DF2">
      <w:pPr>
        <w:adjustRightInd w:val="0"/>
        <w:snapToGrid w:val="0"/>
        <w:spacing w:line="360" w:lineRule="auto"/>
        <w:ind w:firstLine="420" w:firstLineChars="200"/>
        <w:rPr>
          <w:rFonts w:cs="宋体"/>
          <w:color w:val="auto"/>
          <w:sz w:val="21"/>
          <w:szCs w:val="21"/>
        </w:rPr>
      </w:pPr>
      <w:r>
        <w:rPr>
          <w:rFonts w:hint="eastAsia" w:cs="宋体"/>
          <w:color w:val="auto"/>
          <w:sz w:val="21"/>
          <w:szCs w:val="21"/>
        </w:rPr>
        <w:t>1.1.3 工程和设备</w:t>
      </w:r>
    </w:p>
    <w:p w14:paraId="50F65CFF">
      <w:pPr>
        <w:adjustRightInd w:val="0"/>
        <w:snapToGrid w:val="0"/>
        <w:spacing w:line="360" w:lineRule="auto"/>
        <w:ind w:firstLine="420" w:firstLineChars="200"/>
        <w:rPr>
          <w:rFonts w:cs="宋体"/>
          <w:color w:val="auto"/>
          <w:sz w:val="21"/>
          <w:szCs w:val="21"/>
        </w:rPr>
      </w:pPr>
      <w:r>
        <w:rPr>
          <w:rFonts w:hint="eastAsia" w:cs="宋体"/>
          <w:color w:val="auto"/>
          <w:sz w:val="21"/>
          <w:szCs w:val="21"/>
        </w:rPr>
        <w:t>1.1.3.7 作为施工现场组成部分的其他场所包括：</w:t>
      </w:r>
      <w:r>
        <w:rPr>
          <w:rFonts w:hint="eastAsia" w:cs="宋体"/>
          <w:color w:val="auto"/>
          <w:sz w:val="21"/>
          <w:szCs w:val="21"/>
          <w:u w:val="single"/>
        </w:rPr>
        <w:t>指用于合同工程施工的场所，以及在合同中指定作为施工场地组成部分的其他场所，包括永久占地和临时占地。</w:t>
      </w:r>
    </w:p>
    <w:p w14:paraId="0AB2C056">
      <w:pPr>
        <w:adjustRightInd w:val="0"/>
        <w:snapToGrid w:val="0"/>
        <w:spacing w:line="360" w:lineRule="auto"/>
        <w:ind w:firstLine="420" w:firstLineChars="200"/>
        <w:rPr>
          <w:rFonts w:cs="宋体"/>
          <w:color w:val="auto"/>
          <w:sz w:val="21"/>
          <w:szCs w:val="21"/>
        </w:rPr>
      </w:pPr>
      <w:r>
        <w:rPr>
          <w:rFonts w:hint="eastAsia" w:cs="宋体"/>
          <w:color w:val="auto"/>
          <w:sz w:val="21"/>
          <w:szCs w:val="21"/>
        </w:rPr>
        <w:t>1.1.3.9 永久占地包括：</w:t>
      </w:r>
      <w:r>
        <w:rPr>
          <w:rFonts w:hint="eastAsia" w:cs="宋体"/>
          <w:color w:val="auto"/>
          <w:sz w:val="21"/>
          <w:szCs w:val="21"/>
          <w:u w:val="single"/>
        </w:rPr>
        <w:t xml:space="preserve"> 指发包人为建设本合同工程永久征用的场地</w:t>
      </w:r>
      <w:r>
        <w:rPr>
          <w:rFonts w:hint="eastAsia" w:cs="宋体"/>
          <w:color w:val="auto"/>
          <w:sz w:val="21"/>
          <w:szCs w:val="21"/>
        </w:rPr>
        <w:t>。</w:t>
      </w:r>
    </w:p>
    <w:p w14:paraId="65E35E63">
      <w:pPr>
        <w:adjustRightInd w:val="0"/>
        <w:snapToGrid w:val="0"/>
        <w:spacing w:line="360" w:lineRule="auto"/>
        <w:ind w:firstLine="420" w:firstLineChars="200"/>
        <w:rPr>
          <w:rFonts w:cs="宋体"/>
          <w:color w:val="auto"/>
          <w:sz w:val="21"/>
          <w:szCs w:val="21"/>
        </w:rPr>
      </w:pPr>
      <w:r>
        <w:rPr>
          <w:rFonts w:hint="eastAsia" w:cs="宋体"/>
          <w:color w:val="auto"/>
          <w:sz w:val="21"/>
          <w:szCs w:val="21"/>
        </w:rPr>
        <w:t>1.1.3.10 临时占地包括：</w:t>
      </w:r>
      <w:r>
        <w:rPr>
          <w:rFonts w:hint="eastAsia" w:cs="宋体"/>
          <w:color w:val="auto"/>
          <w:sz w:val="21"/>
          <w:szCs w:val="21"/>
          <w:u w:val="single"/>
        </w:rPr>
        <w:t xml:space="preserve"> 指</w:t>
      </w:r>
      <w:r>
        <w:rPr>
          <w:rFonts w:hint="eastAsia" w:cs="宋体"/>
          <w:color w:val="auto"/>
          <w:sz w:val="21"/>
          <w:szCs w:val="21"/>
          <w:u w:val="single"/>
          <w:lang w:val="en-US" w:eastAsia="zh-CN"/>
        </w:rPr>
        <w:t>发包人</w:t>
      </w:r>
      <w:r>
        <w:rPr>
          <w:rFonts w:hint="eastAsia" w:cs="宋体"/>
          <w:color w:val="auto"/>
          <w:sz w:val="21"/>
          <w:szCs w:val="21"/>
          <w:u w:val="single"/>
        </w:rPr>
        <w:t>为建设本合同工程临时征用，</w:t>
      </w:r>
      <w:r>
        <w:rPr>
          <w:rFonts w:hint="eastAsia" w:cs="宋体"/>
          <w:color w:val="auto"/>
          <w:sz w:val="21"/>
          <w:szCs w:val="21"/>
          <w:u w:val="single"/>
          <w:lang w:val="en-US" w:eastAsia="zh-CN"/>
        </w:rPr>
        <w:t>承包人</w:t>
      </w:r>
      <w:r>
        <w:rPr>
          <w:rFonts w:hint="eastAsia" w:cs="宋体"/>
          <w:color w:val="auto"/>
          <w:sz w:val="21"/>
          <w:szCs w:val="21"/>
          <w:u w:val="single"/>
        </w:rPr>
        <w:t>在完工后须按合同要求退还的场地；工程施工用地（含地面附着物）由</w:t>
      </w:r>
      <w:r>
        <w:rPr>
          <w:rFonts w:hint="eastAsia" w:cs="宋体"/>
          <w:color w:val="auto"/>
          <w:sz w:val="21"/>
          <w:szCs w:val="21"/>
          <w:u w:val="single"/>
          <w:lang w:val="en-US" w:eastAsia="zh-CN"/>
        </w:rPr>
        <w:t>发包人</w:t>
      </w:r>
      <w:r>
        <w:rPr>
          <w:rFonts w:hint="eastAsia" w:cs="宋体"/>
          <w:color w:val="auto"/>
          <w:sz w:val="21"/>
          <w:szCs w:val="21"/>
          <w:u w:val="single"/>
        </w:rPr>
        <w:t>负责与工程所在地的乡镇协调解决；</w:t>
      </w:r>
      <w:r>
        <w:rPr>
          <w:rFonts w:hint="eastAsia" w:cs="宋体"/>
          <w:color w:val="auto"/>
          <w:sz w:val="21"/>
          <w:szCs w:val="21"/>
          <w:u w:val="single"/>
          <w:lang w:val="en-US" w:eastAsia="zh-CN"/>
        </w:rPr>
        <w:t>发包人</w:t>
      </w:r>
      <w:r>
        <w:rPr>
          <w:rFonts w:hint="eastAsia" w:cs="宋体"/>
          <w:color w:val="auto"/>
          <w:sz w:val="21"/>
          <w:szCs w:val="21"/>
          <w:u w:val="single"/>
        </w:rPr>
        <w:t>负责办理永久占地和招标图示的临时用地范围内的征地搬迁工作，向</w:t>
      </w:r>
      <w:r>
        <w:rPr>
          <w:rFonts w:hint="eastAsia" w:cs="宋体"/>
          <w:color w:val="auto"/>
          <w:sz w:val="21"/>
          <w:szCs w:val="21"/>
          <w:u w:val="single"/>
          <w:lang w:val="en-US" w:eastAsia="zh-CN"/>
        </w:rPr>
        <w:t>承包人</w:t>
      </w:r>
      <w:r>
        <w:rPr>
          <w:rFonts w:hint="eastAsia" w:cs="宋体"/>
          <w:color w:val="auto"/>
          <w:sz w:val="21"/>
          <w:szCs w:val="21"/>
          <w:u w:val="single"/>
        </w:rPr>
        <w:t>提供永久用地和招标图示的临时用地，</w:t>
      </w:r>
      <w:r>
        <w:rPr>
          <w:rFonts w:hint="eastAsia" w:cs="宋体"/>
          <w:color w:val="auto"/>
          <w:sz w:val="21"/>
          <w:szCs w:val="21"/>
          <w:u w:val="single"/>
          <w:lang w:val="en-US" w:eastAsia="zh-CN"/>
        </w:rPr>
        <w:t>承包人</w:t>
      </w:r>
      <w:r>
        <w:rPr>
          <w:rFonts w:hint="eastAsia" w:cs="宋体"/>
          <w:color w:val="auto"/>
          <w:sz w:val="21"/>
          <w:szCs w:val="21"/>
          <w:u w:val="single"/>
        </w:rPr>
        <w:t>应无条件接受现场条件。永久占地由</w:t>
      </w:r>
      <w:r>
        <w:rPr>
          <w:rFonts w:hint="eastAsia" w:cs="宋体"/>
          <w:color w:val="auto"/>
          <w:sz w:val="21"/>
          <w:szCs w:val="21"/>
          <w:u w:val="single"/>
          <w:lang w:val="en-US" w:eastAsia="zh-CN"/>
        </w:rPr>
        <w:t>发包人</w:t>
      </w:r>
      <w:r>
        <w:rPr>
          <w:rFonts w:hint="eastAsia" w:cs="宋体"/>
          <w:color w:val="auto"/>
          <w:sz w:val="21"/>
          <w:szCs w:val="21"/>
          <w:u w:val="single"/>
        </w:rPr>
        <w:t>承担，临时用地</w:t>
      </w:r>
      <w:r>
        <w:rPr>
          <w:rFonts w:hint="eastAsia" w:cs="宋体"/>
          <w:color w:val="auto"/>
          <w:sz w:val="21"/>
          <w:szCs w:val="21"/>
          <w:u w:val="single"/>
          <w:lang w:val="en-US" w:eastAsia="zh-CN"/>
        </w:rPr>
        <w:t>发包人</w:t>
      </w:r>
      <w:r>
        <w:rPr>
          <w:rFonts w:hint="eastAsia" w:cs="宋体"/>
          <w:color w:val="auto"/>
          <w:sz w:val="21"/>
          <w:szCs w:val="21"/>
          <w:u w:val="single"/>
        </w:rPr>
        <w:t>负责协调，费用由</w:t>
      </w:r>
      <w:r>
        <w:rPr>
          <w:rFonts w:hint="eastAsia" w:cs="宋体"/>
          <w:color w:val="auto"/>
          <w:sz w:val="21"/>
          <w:szCs w:val="21"/>
          <w:u w:val="single"/>
          <w:lang w:val="en-US" w:eastAsia="zh-CN"/>
        </w:rPr>
        <w:t>承包人</w:t>
      </w:r>
      <w:r>
        <w:rPr>
          <w:rFonts w:hint="eastAsia" w:cs="宋体"/>
          <w:color w:val="auto"/>
          <w:sz w:val="21"/>
          <w:szCs w:val="21"/>
          <w:u w:val="single"/>
        </w:rPr>
        <w:t>承担。</w:t>
      </w:r>
      <w:r>
        <w:rPr>
          <w:rFonts w:hint="eastAsia" w:cs="宋体"/>
          <w:color w:val="auto"/>
          <w:sz w:val="21"/>
          <w:szCs w:val="21"/>
        </w:rPr>
        <w:t>。</w:t>
      </w:r>
    </w:p>
    <w:p w14:paraId="14E3698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1.3 法律 </w:t>
      </w:r>
    </w:p>
    <w:p w14:paraId="4D7E0BA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适用于合同的其他规范性文件：</w:t>
      </w:r>
      <w:r>
        <w:rPr>
          <w:rFonts w:hint="eastAsia" w:cs="宋体"/>
          <w:color w:val="auto"/>
          <w:sz w:val="21"/>
          <w:szCs w:val="21"/>
          <w:u w:val="single"/>
        </w:rPr>
        <w:t>《中华人民共和国民法典》、《中华人民共和国建筑法》、《中华人民共和国政府采购法》、《中华人民共和国招标投标法》、《建设工程质量管理条例》、《建设工程安全生产管理条例》等国家及工程所在地现行有效的法律法规和规章</w:t>
      </w:r>
      <w:r>
        <w:rPr>
          <w:rFonts w:hint="eastAsia" w:cs="宋体"/>
          <w:color w:val="auto"/>
          <w:sz w:val="21"/>
          <w:szCs w:val="21"/>
        </w:rPr>
        <w:t>。</w:t>
      </w:r>
    </w:p>
    <w:p w14:paraId="5E01477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1.4 标准和规范</w:t>
      </w:r>
    </w:p>
    <w:p w14:paraId="312350C9">
      <w:pPr>
        <w:adjustRightInd w:val="0"/>
        <w:snapToGrid w:val="0"/>
        <w:spacing w:line="360" w:lineRule="auto"/>
        <w:ind w:firstLine="420" w:firstLineChars="200"/>
        <w:rPr>
          <w:rFonts w:cs="宋体"/>
          <w:color w:val="auto"/>
          <w:sz w:val="21"/>
          <w:szCs w:val="21"/>
        </w:rPr>
      </w:pPr>
      <w:r>
        <w:rPr>
          <w:rFonts w:hint="eastAsia" w:cs="宋体"/>
          <w:color w:val="auto"/>
          <w:sz w:val="21"/>
          <w:szCs w:val="21"/>
        </w:rPr>
        <w:t>1.4.1 适用于工程的标准规范包括：</w:t>
      </w:r>
      <w:r>
        <w:rPr>
          <w:rFonts w:hint="eastAsia" w:cs="宋体"/>
          <w:color w:val="auto"/>
          <w:sz w:val="21"/>
          <w:szCs w:val="21"/>
          <w:u w:val="single"/>
        </w:rPr>
        <w:t xml:space="preserve"> 国家及工程所在地现行有效的法律法规和规章 </w:t>
      </w:r>
      <w:r>
        <w:rPr>
          <w:rFonts w:hint="eastAsia" w:cs="宋体"/>
          <w:color w:val="auto"/>
          <w:sz w:val="21"/>
          <w:szCs w:val="21"/>
        </w:rPr>
        <w:t>。</w:t>
      </w:r>
    </w:p>
    <w:p w14:paraId="6FB55527">
      <w:pPr>
        <w:adjustRightInd w:val="0"/>
        <w:snapToGrid w:val="0"/>
        <w:spacing w:line="360" w:lineRule="auto"/>
        <w:ind w:firstLine="420" w:firstLineChars="200"/>
        <w:rPr>
          <w:rFonts w:hint="eastAsia" w:cs="宋体"/>
          <w:color w:val="auto"/>
          <w:sz w:val="21"/>
          <w:szCs w:val="21"/>
          <w:lang w:eastAsia="zh-CN"/>
        </w:rPr>
      </w:pPr>
      <w:r>
        <w:rPr>
          <w:rFonts w:hint="eastAsia" w:cs="宋体"/>
          <w:color w:val="auto"/>
          <w:sz w:val="21"/>
          <w:szCs w:val="21"/>
        </w:rPr>
        <w:t>1.4.2 发包人提供国外标准、规范的名称：</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lang w:eastAsia="zh-CN"/>
        </w:rPr>
        <w:t>。</w:t>
      </w:r>
    </w:p>
    <w:p w14:paraId="6A1DDAE9">
      <w:pPr>
        <w:adjustRightInd w:val="0"/>
        <w:snapToGrid w:val="0"/>
        <w:spacing w:line="360" w:lineRule="auto"/>
        <w:ind w:firstLine="420" w:firstLineChars="200"/>
        <w:rPr>
          <w:rFonts w:cs="宋体"/>
          <w:color w:val="auto"/>
          <w:sz w:val="21"/>
          <w:szCs w:val="21"/>
        </w:rPr>
      </w:pPr>
      <w:r>
        <w:rPr>
          <w:rFonts w:hint="eastAsia" w:cs="宋体"/>
          <w:color w:val="auto"/>
          <w:sz w:val="21"/>
          <w:szCs w:val="21"/>
        </w:rPr>
        <w:t>1.4.3 发包人对工程的技术标准和功能要求的特殊要求：</w:t>
      </w:r>
      <w:r>
        <w:rPr>
          <w:rFonts w:hint="eastAsia" w:cs="宋体"/>
          <w:color w:val="auto"/>
          <w:sz w:val="21"/>
          <w:szCs w:val="21"/>
          <w:u w:val="single"/>
        </w:rPr>
        <w:t xml:space="preserve"> </w:t>
      </w:r>
      <w:r>
        <w:rPr>
          <w:rFonts w:hint="eastAsia" w:cs="宋体"/>
          <w:color w:val="auto"/>
          <w:sz w:val="21"/>
          <w:szCs w:val="21"/>
          <w:u w:val="single"/>
          <w:lang w:val="en-US" w:eastAsia="zh-CN"/>
        </w:rPr>
        <w:t>符合</w:t>
      </w:r>
      <w:r>
        <w:rPr>
          <w:rFonts w:hint="eastAsia" w:cs="宋体"/>
          <w:color w:val="auto"/>
          <w:sz w:val="21"/>
          <w:szCs w:val="21"/>
          <w:u w:val="single"/>
        </w:rPr>
        <w:t>国家及工程所在地现行有效的</w:t>
      </w:r>
      <w:r>
        <w:rPr>
          <w:rFonts w:hint="eastAsia" w:cs="宋体"/>
          <w:color w:val="auto"/>
          <w:sz w:val="21"/>
          <w:szCs w:val="21"/>
          <w:u w:val="single"/>
          <w:lang w:val="en-US" w:eastAsia="zh-CN"/>
        </w:rPr>
        <w:t>的技术标准和采购文件的要求</w:t>
      </w:r>
      <w:r>
        <w:rPr>
          <w:rFonts w:hint="eastAsia" w:cs="宋体"/>
          <w:color w:val="auto"/>
          <w:sz w:val="21"/>
          <w:szCs w:val="21"/>
          <w:u w:val="single"/>
        </w:rPr>
        <w:t xml:space="preserve"> </w:t>
      </w:r>
      <w:r>
        <w:rPr>
          <w:rFonts w:hint="eastAsia" w:cs="宋体"/>
          <w:color w:val="auto"/>
          <w:sz w:val="21"/>
          <w:szCs w:val="21"/>
        </w:rPr>
        <w:t>。</w:t>
      </w:r>
    </w:p>
    <w:p w14:paraId="5A3F3874">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1.5 合同文件的优先顺序</w:t>
      </w:r>
    </w:p>
    <w:p w14:paraId="2B43E8BE">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合同文件组成及优先顺序为：</w:t>
      </w:r>
      <w:r>
        <w:rPr>
          <w:rFonts w:hint="eastAsia" w:cs="宋体"/>
          <w:color w:val="auto"/>
          <w:sz w:val="21"/>
          <w:szCs w:val="21"/>
          <w:u w:val="single"/>
        </w:rPr>
        <w:t xml:space="preserve"> 组成合同的各项文件应互相解释，互为说明。除专用合同条款另有约定外，解释合同文件的优先顺序如下：</w:t>
      </w:r>
    </w:p>
    <w:p w14:paraId="6D75D986">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(l）合同协议书；</w:t>
      </w:r>
    </w:p>
    <w:p w14:paraId="41A70C92">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(2）中标通知书；</w:t>
      </w:r>
    </w:p>
    <w:p w14:paraId="7ED74855">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(3）</w:t>
      </w:r>
      <w:r>
        <w:rPr>
          <w:rFonts w:hint="eastAsia" w:cs="宋体"/>
          <w:color w:val="auto"/>
          <w:sz w:val="21"/>
          <w:szCs w:val="21"/>
          <w:u w:val="single"/>
          <w:lang w:val="en-US" w:eastAsia="zh-CN"/>
        </w:rPr>
        <w:t>磋商响应</w:t>
      </w:r>
      <w:r>
        <w:rPr>
          <w:rFonts w:hint="eastAsia" w:cs="宋体"/>
          <w:color w:val="auto"/>
          <w:sz w:val="21"/>
          <w:szCs w:val="21"/>
          <w:u w:val="single"/>
        </w:rPr>
        <w:t>函及</w:t>
      </w:r>
      <w:r>
        <w:rPr>
          <w:rFonts w:hint="eastAsia" w:cs="宋体"/>
          <w:color w:val="auto"/>
          <w:sz w:val="21"/>
          <w:szCs w:val="21"/>
          <w:u w:val="single"/>
          <w:lang w:val="en-US" w:eastAsia="zh-CN"/>
        </w:rPr>
        <w:t>最后承诺报价表</w:t>
      </w:r>
      <w:r>
        <w:rPr>
          <w:rFonts w:hint="eastAsia" w:cs="宋体"/>
          <w:color w:val="auto"/>
          <w:sz w:val="21"/>
          <w:szCs w:val="21"/>
          <w:u w:val="single"/>
        </w:rPr>
        <w:t>；</w:t>
      </w:r>
    </w:p>
    <w:p w14:paraId="1FBA34A9">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(4）专用合同条款；</w:t>
      </w:r>
    </w:p>
    <w:p w14:paraId="2E323A8A">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(5）通用合同条款；</w:t>
      </w:r>
    </w:p>
    <w:p w14:paraId="3AD4737E">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(6）技术标准和要求；</w:t>
      </w:r>
    </w:p>
    <w:p w14:paraId="1BF3AF0C">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(7）图纸；</w:t>
      </w:r>
    </w:p>
    <w:p w14:paraId="7D5648CF">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(8）已标价工程量清单</w:t>
      </w:r>
      <w:r>
        <w:rPr>
          <w:rFonts w:hint="eastAsia" w:cs="宋体"/>
          <w:color w:val="auto"/>
          <w:sz w:val="21"/>
          <w:szCs w:val="21"/>
          <w:u w:val="single"/>
          <w:lang w:eastAsia="zh-CN"/>
        </w:rPr>
        <w:t>（</w:t>
      </w:r>
      <w:r>
        <w:rPr>
          <w:rFonts w:hint="eastAsia" w:cs="宋体"/>
          <w:color w:val="auto"/>
          <w:sz w:val="21"/>
          <w:szCs w:val="21"/>
          <w:u w:val="single"/>
          <w:lang w:val="en-US" w:eastAsia="zh-CN"/>
        </w:rPr>
        <w:t>按照最后承诺报价表下浮后）</w:t>
      </w:r>
      <w:r>
        <w:rPr>
          <w:rFonts w:hint="eastAsia" w:cs="宋体"/>
          <w:color w:val="auto"/>
          <w:sz w:val="21"/>
          <w:szCs w:val="21"/>
          <w:u w:val="single"/>
        </w:rPr>
        <w:t>；</w:t>
      </w:r>
    </w:p>
    <w:p w14:paraId="5FA2336F">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u w:val="single"/>
        </w:rPr>
        <w:t xml:space="preserve">(9) 其他合同文件。 </w:t>
      </w:r>
    </w:p>
    <w:p w14:paraId="19A49830">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1.6 图纸和承包人文件</w:t>
      </w:r>
      <w:r>
        <w:rPr>
          <w:rFonts w:hint="eastAsia" w:cs="宋体"/>
          <w:bCs/>
          <w:color w:val="auto"/>
          <w:sz w:val="21"/>
          <w:szCs w:val="21"/>
        </w:rPr>
        <w:tab/>
      </w:r>
    </w:p>
    <w:p w14:paraId="58294BE3">
      <w:pPr>
        <w:adjustRightInd w:val="0"/>
        <w:snapToGrid w:val="0"/>
        <w:spacing w:line="360" w:lineRule="auto"/>
        <w:ind w:firstLine="420" w:firstLineChars="200"/>
        <w:rPr>
          <w:rFonts w:cs="宋体"/>
          <w:color w:val="auto"/>
          <w:sz w:val="21"/>
          <w:szCs w:val="21"/>
        </w:rPr>
      </w:pPr>
      <w:r>
        <w:rPr>
          <w:rFonts w:hint="eastAsia" w:cs="宋体"/>
          <w:color w:val="auto"/>
          <w:sz w:val="21"/>
          <w:szCs w:val="21"/>
        </w:rPr>
        <w:t>1.6.1 图纸的提供和交底</w:t>
      </w:r>
    </w:p>
    <w:p w14:paraId="64007BE9">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发包人向承包人提供图纸的期限：</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7CB2C2EF">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发包人向承包人提供图纸的数量：</w:t>
      </w:r>
      <w:r>
        <w:rPr>
          <w:rFonts w:hint="eastAsia" w:cs="宋体"/>
          <w:color w:val="auto"/>
          <w:sz w:val="21"/>
          <w:szCs w:val="21"/>
          <w:u w:val="single"/>
        </w:rPr>
        <w:t xml:space="preserve">提供 </w:t>
      </w:r>
      <w:r>
        <w:rPr>
          <w:rFonts w:hint="eastAsia" w:cs="宋体"/>
          <w:color w:val="auto"/>
          <w:sz w:val="21"/>
          <w:szCs w:val="21"/>
          <w:u w:val="single"/>
          <w:lang w:val="en-US" w:eastAsia="zh-CN"/>
        </w:rPr>
        <w:t>/</w:t>
      </w:r>
      <w:r>
        <w:rPr>
          <w:rFonts w:hint="eastAsia" w:cs="宋体"/>
          <w:color w:val="auto"/>
          <w:sz w:val="21"/>
          <w:szCs w:val="21"/>
          <w:u w:val="single"/>
        </w:rPr>
        <w:t>套（含</w:t>
      </w:r>
      <w:r>
        <w:rPr>
          <w:rFonts w:hint="eastAsia" w:cs="宋体"/>
          <w:color w:val="auto"/>
          <w:sz w:val="21"/>
          <w:szCs w:val="21"/>
          <w:u w:val="single"/>
          <w:lang w:eastAsia="zh-CN"/>
        </w:rPr>
        <w:t>完工</w:t>
      </w:r>
      <w:r>
        <w:rPr>
          <w:rFonts w:hint="eastAsia" w:cs="宋体"/>
          <w:color w:val="auto"/>
          <w:sz w:val="21"/>
          <w:szCs w:val="21"/>
          <w:u w:val="single"/>
        </w:rPr>
        <w:t xml:space="preserve">图 </w:t>
      </w:r>
      <w:r>
        <w:rPr>
          <w:rFonts w:hint="eastAsia" w:cs="宋体"/>
          <w:color w:val="auto"/>
          <w:sz w:val="21"/>
          <w:szCs w:val="21"/>
          <w:u w:val="single"/>
          <w:lang w:val="en-US" w:eastAsia="zh-CN"/>
        </w:rPr>
        <w:t>/</w:t>
      </w:r>
      <w:r>
        <w:rPr>
          <w:rFonts w:hint="eastAsia" w:cs="宋体"/>
          <w:color w:val="auto"/>
          <w:sz w:val="21"/>
          <w:szCs w:val="21"/>
          <w:u w:val="single"/>
        </w:rPr>
        <w:t xml:space="preserve"> 套），不足的由承包人自行复制，费用自理；</w:t>
      </w:r>
    </w:p>
    <w:p w14:paraId="52E969C4">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发包人向承包人提供图纸的内容：</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F50D67F">
      <w:pPr>
        <w:adjustRightInd w:val="0"/>
        <w:snapToGrid w:val="0"/>
        <w:spacing w:line="360" w:lineRule="auto"/>
        <w:ind w:firstLine="420" w:firstLineChars="200"/>
        <w:rPr>
          <w:rFonts w:cs="宋体"/>
          <w:color w:val="auto"/>
          <w:sz w:val="21"/>
          <w:szCs w:val="21"/>
        </w:rPr>
      </w:pPr>
      <w:r>
        <w:rPr>
          <w:rFonts w:hint="eastAsia" w:cs="宋体"/>
          <w:color w:val="auto"/>
          <w:sz w:val="21"/>
          <w:szCs w:val="21"/>
        </w:rPr>
        <w:t>1.6.4 承包人文件</w:t>
      </w:r>
    </w:p>
    <w:p w14:paraId="1BDFF5C3">
      <w:pPr>
        <w:adjustRightInd w:val="0"/>
        <w:snapToGrid w:val="0"/>
        <w:spacing w:line="360" w:lineRule="auto"/>
        <w:ind w:firstLine="420" w:firstLineChars="200"/>
        <w:rPr>
          <w:rFonts w:cs="宋体"/>
          <w:color w:val="auto"/>
          <w:sz w:val="21"/>
          <w:szCs w:val="21"/>
        </w:rPr>
      </w:pPr>
      <w:r>
        <w:rPr>
          <w:rFonts w:hint="eastAsia" w:cs="宋体"/>
          <w:color w:val="auto"/>
          <w:sz w:val="21"/>
          <w:szCs w:val="21"/>
        </w:rPr>
        <w:t>需要由承包人提供的文件，包括：</w:t>
      </w:r>
      <w:r>
        <w:rPr>
          <w:rFonts w:hint="eastAsia" w:cs="宋体"/>
          <w:color w:val="auto"/>
          <w:sz w:val="21"/>
          <w:szCs w:val="21"/>
          <w:u w:val="single"/>
        </w:rPr>
        <w:t xml:space="preserve"> </w:t>
      </w:r>
      <w:r>
        <w:rPr>
          <w:rFonts w:hint="eastAsia" w:cs="宋体"/>
          <w:b/>
          <w:bCs/>
          <w:color w:val="auto"/>
          <w:sz w:val="21"/>
          <w:szCs w:val="21"/>
          <w:u w:val="single"/>
        </w:rPr>
        <w:t>执行通用条款</w:t>
      </w:r>
      <w:r>
        <w:rPr>
          <w:rFonts w:hint="eastAsia" w:cs="宋体"/>
          <w:color w:val="auto"/>
          <w:sz w:val="21"/>
          <w:szCs w:val="21"/>
          <w:u w:val="single"/>
        </w:rPr>
        <w:t xml:space="preserve"> </w:t>
      </w:r>
      <w:r>
        <w:rPr>
          <w:rFonts w:hint="eastAsia" w:cs="宋体"/>
          <w:color w:val="auto"/>
          <w:sz w:val="21"/>
          <w:szCs w:val="21"/>
        </w:rPr>
        <w:t>；</w:t>
      </w:r>
    </w:p>
    <w:p w14:paraId="1E453B07">
      <w:pPr>
        <w:adjustRightInd w:val="0"/>
        <w:snapToGrid w:val="0"/>
        <w:spacing w:line="360" w:lineRule="auto"/>
        <w:ind w:firstLine="420" w:firstLineChars="200"/>
        <w:rPr>
          <w:rFonts w:cs="宋体"/>
          <w:b/>
          <w:bCs/>
          <w:color w:val="auto"/>
          <w:sz w:val="21"/>
          <w:szCs w:val="21"/>
        </w:rPr>
      </w:pPr>
      <w:r>
        <w:rPr>
          <w:rFonts w:hint="eastAsia" w:cs="宋体"/>
          <w:color w:val="auto"/>
          <w:sz w:val="21"/>
          <w:szCs w:val="21"/>
        </w:rPr>
        <w:t>承包人提供的文件的期限为：</w:t>
      </w:r>
      <w:r>
        <w:rPr>
          <w:rFonts w:hint="eastAsia" w:cs="宋体"/>
          <w:b/>
          <w:bCs/>
          <w:color w:val="auto"/>
          <w:sz w:val="21"/>
          <w:szCs w:val="21"/>
          <w:u w:val="single"/>
        </w:rPr>
        <w:t xml:space="preserve"> 执行通用条款 </w:t>
      </w:r>
      <w:r>
        <w:rPr>
          <w:rFonts w:hint="eastAsia" w:cs="宋体"/>
          <w:b/>
          <w:bCs/>
          <w:color w:val="auto"/>
          <w:sz w:val="21"/>
          <w:szCs w:val="21"/>
        </w:rPr>
        <w:t>；</w:t>
      </w:r>
    </w:p>
    <w:p w14:paraId="41B9A062">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承包人提供的文件的数量为：</w:t>
      </w:r>
      <w:r>
        <w:rPr>
          <w:rFonts w:hint="eastAsia" w:cs="宋体"/>
          <w:color w:val="auto"/>
          <w:sz w:val="21"/>
          <w:szCs w:val="21"/>
          <w:u w:val="single"/>
        </w:rPr>
        <w:t xml:space="preserve"> </w:t>
      </w:r>
      <w:r>
        <w:rPr>
          <w:rFonts w:hint="eastAsia" w:cs="宋体"/>
          <w:b/>
          <w:bCs/>
          <w:color w:val="auto"/>
          <w:sz w:val="21"/>
          <w:szCs w:val="21"/>
          <w:u w:val="single"/>
          <w:lang w:val="en-US" w:eastAsia="zh-CN"/>
        </w:rPr>
        <w:t>电子版一套，纸质版每包2套</w:t>
      </w:r>
      <w:r>
        <w:rPr>
          <w:rFonts w:hint="eastAsia" w:cs="宋体"/>
          <w:b/>
          <w:bCs/>
          <w:color w:val="auto"/>
          <w:sz w:val="21"/>
          <w:szCs w:val="21"/>
          <w:u w:val="single"/>
        </w:rPr>
        <w:t xml:space="preserve"> </w:t>
      </w:r>
      <w:r>
        <w:rPr>
          <w:rFonts w:hint="eastAsia" w:cs="宋体"/>
          <w:color w:val="auto"/>
          <w:sz w:val="21"/>
          <w:szCs w:val="21"/>
        </w:rPr>
        <w:t>；</w:t>
      </w:r>
    </w:p>
    <w:p w14:paraId="4DE4771C">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承包人提供的文件的形式为：</w:t>
      </w:r>
      <w:r>
        <w:rPr>
          <w:rFonts w:hint="eastAsia" w:cs="宋体"/>
          <w:color w:val="auto"/>
          <w:sz w:val="21"/>
          <w:szCs w:val="21"/>
          <w:u w:val="single"/>
        </w:rPr>
        <w:t xml:space="preserve"> </w:t>
      </w:r>
      <w:r>
        <w:rPr>
          <w:rFonts w:hint="eastAsia" w:cs="宋体"/>
          <w:b/>
          <w:bCs/>
          <w:color w:val="auto"/>
          <w:sz w:val="21"/>
          <w:szCs w:val="21"/>
          <w:u w:val="single"/>
          <w:lang w:val="en-US" w:eastAsia="zh-CN"/>
        </w:rPr>
        <w:t>电子版一套，纸质版每包2套</w:t>
      </w:r>
      <w:r>
        <w:rPr>
          <w:rFonts w:hint="eastAsia" w:cs="宋体"/>
          <w:b/>
          <w:bCs/>
          <w:color w:val="auto"/>
          <w:sz w:val="21"/>
          <w:szCs w:val="21"/>
          <w:u w:val="single"/>
        </w:rPr>
        <w:t xml:space="preserve">  </w:t>
      </w:r>
      <w:r>
        <w:rPr>
          <w:rFonts w:hint="eastAsia" w:cs="宋体"/>
          <w:b/>
          <w:bCs/>
          <w:color w:val="auto"/>
          <w:sz w:val="21"/>
          <w:szCs w:val="21"/>
        </w:rPr>
        <w:t>；</w:t>
      </w:r>
    </w:p>
    <w:p w14:paraId="22FB2981">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发包人审批承包人文件的期限：</w:t>
      </w:r>
      <w:r>
        <w:rPr>
          <w:rFonts w:hint="eastAsia" w:cs="宋体"/>
          <w:color w:val="auto"/>
          <w:sz w:val="21"/>
          <w:szCs w:val="21"/>
          <w:u w:val="single"/>
        </w:rPr>
        <w:t xml:space="preserve"> </w:t>
      </w:r>
      <w:r>
        <w:rPr>
          <w:rFonts w:hint="eastAsia" w:cs="宋体"/>
          <w:b/>
          <w:bCs/>
          <w:color w:val="auto"/>
          <w:sz w:val="21"/>
          <w:szCs w:val="21"/>
          <w:u w:val="single"/>
        </w:rPr>
        <w:t xml:space="preserve">执行通用条款 </w:t>
      </w:r>
      <w:r>
        <w:rPr>
          <w:rFonts w:hint="eastAsia" w:cs="宋体"/>
          <w:color w:val="auto"/>
          <w:sz w:val="21"/>
          <w:szCs w:val="21"/>
          <w:u w:val="single"/>
        </w:rPr>
        <w:t xml:space="preserve"> </w:t>
      </w:r>
      <w:r>
        <w:rPr>
          <w:rFonts w:hint="eastAsia" w:cs="宋体"/>
          <w:color w:val="auto"/>
          <w:sz w:val="21"/>
          <w:szCs w:val="21"/>
        </w:rPr>
        <w:t>。</w:t>
      </w:r>
    </w:p>
    <w:p w14:paraId="0A692F43">
      <w:pPr>
        <w:adjustRightInd w:val="0"/>
        <w:snapToGrid w:val="0"/>
        <w:spacing w:line="360" w:lineRule="auto"/>
        <w:ind w:firstLine="420" w:firstLineChars="200"/>
        <w:rPr>
          <w:rFonts w:cs="宋体"/>
          <w:color w:val="auto"/>
          <w:sz w:val="21"/>
          <w:szCs w:val="21"/>
        </w:rPr>
      </w:pPr>
      <w:r>
        <w:rPr>
          <w:rFonts w:hint="eastAsia" w:cs="宋体"/>
          <w:color w:val="auto"/>
          <w:sz w:val="21"/>
          <w:szCs w:val="21"/>
        </w:rPr>
        <w:t>1.6.5 图纸和承包人文件的保管</w:t>
      </w:r>
    </w:p>
    <w:p w14:paraId="1E918814">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关于图纸和承包人文件保管的约定：</w:t>
      </w:r>
      <w:r>
        <w:rPr>
          <w:rFonts w:hint="eastAsia" w:cs="宋体"/>
          <w:color w:val="auto"/>
          <w:sz w:val="21"/>
          <w:szCs w:val="21"/>
          <w:u w:val="single"/>
        </w:rPr>
        <w:t xml:space="preserve"> </w:t>
      </w:r>
      <w:r>
        <w:rPr>
          <w:rFonts w:hint="eastAsia" w:cs="宋体"/>
          <w:b/>
          <w:bCs/>
          <w:color w:val="auto"/>
          <w:sz w:val="21"/>
          <w:szCs w:val="21"/>
          <w:u w:val="single"/>
        </w:rPr>
        <w:t>执行通用条款</w:t>
      </w:r>
      <w:r>
        <w:rPr>
          <w:rFonts w:hint="eastAsia" w:cs="宋体"/>
          <w:color w:val="auto"/>
          <w:sz w:val="21"/>
          <w:szCs w:val="21"/>
          <w:u w:val="single"/>
        </w:rPr>
        <w:t xml:space="preserve"> </w:t>
      </w:r>
      <w:r>
        <w:rPr>
          <w:rFonts w:hint="eastAsia" w:cs="宋体"/>
          <w:color w:val="auto"/>
          <w:sz w:val="21"/>
          <w:szCs w:val="21"/>
        </w:rPr>
        <w:t>。</w:t>
      </w:r>
    </w:p>
    <w:p w14:paraId="6D05D1A8">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1.7 联络</w:t>
      </w:r>
    </w:p>
    <w:p w14:paraId="1BCFA2B8">
      <w:pPr>
        <w:adjustRightInd w:val="0"/>
        <w:snapToGrid w:val="0"/>
        <w:spacing w:line="360" w:lineRule="auto"/>
        <w:ind w:firstLine="420" w:firstLineChars="200"/>
        <w:rPr>
          <w:rFonts w:cs="宋体"/>
          <w:color w:val="auto"/>
          <w:sz w:val="21"/>
          <w:szCs w:val="21"/>
        </w:rPr>
      </w:pPr>
      <w:r>
        <w:rPr>
          <w:rFonts w:hint="eastAsia" w:cs="宋体"/>
          <w:color w:val="auto"/>
          <w:sz w:val="21"/>
          <w:szCs w:val="21"/>
        </w:rPr>
        <w:t>1.7.1 发包人和承包人应当在</w:t>
      </w:r>
      <w:r>
        <w:rPr>
          <w:rFonts w:hint="eastAsia" w:cs="宋体"/>
          <w:color w:val="auto"/>
          <w:sz w:val="21"/>
          <w:szCs w:val="21"/>
          <w:u w:val="single"/>
        </w:rPr>
        <w:t>7</w:t>
      </w:r>
      <w:r>
        <w:rPr>
          <w:rFonts w:hint="eastAsia" w:cs="宋体"/>
          <w:color w:val="auto"/>
          <w:sz w:val="21"/>
          <w:szCs w:val="21"/>
        </w:rPr>
        <w:t>天内将与合同有关的通知、批准、证明、证书、指示、指令、要求、请求、同意、意见、确定和决定等书面函件送达对方当事人。</w:t>
      </w:r>
    </w:p>
    <w:p w14:paraId="57CC0871">
      <w:pPr>
        <w:adjustRightInd w:val="0"/>
        <w:snapToGrid w:val="0"/>
        <w:spacing w:line="360" w:lineRule="auto"/>
        <w:ind w:firstLine="420" w:firstLineChars="200"/>
        <w:rPr>
          <w:rFonts w:cs="宋体"/>
          <w:color w:val="auto"/>
          <w:sz w:val="21"/>
          <w:szCs w:val="21"/>
        </w:rPr>
      </w:pPr>
      <w:r>
        <w:rPr>
          <w:rFonts w:hint="eastAsia" w:cs="宋体"/>
          <w:color w:val="auto"/>
          <w:sz w:val="21"/>
          <w:szCs w:val="21"/>
        </w:rPr>
        <w:t>1.7.2 发包人接收文件的地点：</w:t>
      </w:r>
      <w:r>
        <w:rPr>
          <w:rFonts w:hint="eastAsia" w:cs="宋体"/>
          <w:color w:val="auto"/>
          <w:sz w:val="21"/>
          <w:szCs w:val="21"/>
          <w:u w:val="single"/>
        </w:rPr>
        <w:t xml:space="preserve"> </w:t>
      </w:r>
      <w:r>
        <w:rPr>
          <w:rFonts w:hint="eastAsia" w:cs="宋体"/>
          <w:color w:val="auto"/>
          <w:sz w:val="21"/>
          <w:szCs w:val="21"/>
          <w:u w:val="single"/>
          <w:lang w:val="en-US" w:eastAsia="zh-CN"/>
        </w:rPr>
        <w:t>发包人指定地点</w:t>
      </w:r>
      <w:r>
        <w:rPr>
          <w:rFonts w:hint="eastAsia" w:cs="宋体"/>
          <w:color w:val="auto"/>
          <w:sz w:val="21"/>
          <w:szCs w:val="21"/>
          <w:u w:val="single"/>
        </w:rPr>
        <w:t xml:space="preserve"> </w:t>
      </w:r>
      <w:r>
        <w:rPr>
          <w:rFonts w:hint="eastAsia" w:cs="宋体"/>
          <w:color w:val="auto"/>
          <w:sz w:val="21"/>
          <w:szCs w:val="21"/>
        </w:rPr>
        <w:t>；</w:t>
      </w:r>
    </w:p>
    <w:p w14:paraId="62A399DA">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发包人指定的接收人为：</w:t>
      </w:r>
      <w:r>
        <w:rPr>
          <w:rFonts w:hint="eastAsia" w:cs="宋体"/>
          <w:color w:val="auto"/>
          <w:sz w:val="21"/>
          <w:szCs w:val="21"/>
          <w:u w:val="single"/>
        </w:rPr>
        <w:t xml:space="preserve">          </w:t>
      </w:r>
      <w:r>
        <w:rPr>
          <w:rFonts w:hint="eastAsia" w:cs="宋体"/>
          <w:color w:val="auto"/>
          <w:sz w:val="21"/>
          <w:szCs w:val="21"/>
        </w:rPr>
        <w:t>。</w:t>
      </w:r>
    </w:p>
    <w:p w14:paraId="58987822">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承包人接收文件的地点：</w:t>
      </w:r>
      <w:r>
        <w:rPr>
          <w:rFonts w:hint="eastAsia" w:cs="宋体"/>
          <w:color w:val="auto"/>
          <w:sz w:val="21"/>
          <w:szCs w:val="21"/>
          <w:u w:val="single"/>
        </w:rPr>
        <w:t xml:space="preserve"> </w:t>
      </w:r>
      <w:r>
        <w:rPr>
          <w:rFonts w:hint="eastAsia" w:cs="宋体"/>
          <w:color w:val="auto"/>
          <w:sz w:val="21"/>
          <w:szCs w:val="21"/>
          <w:u w:val="single"/>
          <w:lang w:val="en-US" w:eastAsia="zh-CN"/>
        </w:rPr>
        <w:t>发包人指定地点</w:t>
      </w:r>
      <w:r>
        <w:rPr>
          <w:rFonts w:hint="eastAsia" w:cs="宋体"/>
          <w:color w:val="auto"/>
          <w:sz w:val="21"/>
          <w:szCs w:val="21"/>
          <w:u w:val="single"/>
        </w:rPr>
        <w:t xml:space="preserve"> </w:t>
      </w:r>
      <w:r>
        <w:rPr>
          <w:rFonts w:hint="eastAsia" w:cs="宋体"/>
          <w:color w:val="auto"/>
          <w:sz w:val="21"/>
          <w:szCs w:val="21"/>
        </w:rPr>
        <w:t>；</w:t>
      </w:r>
    </w:p>
    <w:p w14:paraId="507BBFA8">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承包人指定的接收人为：</w:t>
      </w:r>
      <w:r>
        <w:rPr>
          <w:rFonts w:hint="eastAsia" w:cs="宋体"/>
          <w:color w:val="auto"/>
          <w:sz w:val="21"/>
          <w:szCs w:val="21"/>
          <w:u w:val="single"/>
        </w:rPr>
        <w:t xml:space="preserve">          </w:t>
      </w:r>
      <w:r>
        <w:rPr>
          <w:rFonts w:hint="eastAsia" w:cs="宋体"/>
          <w:color w:val="auto"/>
          <w:sz w:val="21"/>
          <w:szCs w:val="21"/>
        </w:rPr>
        <w:t>。</w:t>
      </w:r>
    </w:p>
    <w:p w14:paraId="6380BBD5">
      <w:pPr>
        <w:adjustRightInd w:val="0"/>
        <w:snapToGrid w:val="0"/>
        <w:spacing w:line="360" w:lineRule="auto"/>
        <w:ind w:firstLine="420" w:firstLineChars="200"/>
        <w:rPr>
          <w:rFonts w:cs="宋体"/>
          <w:color w:val="auto"/>
          <w:sz w:val="21"/>
          <w:szCs w:val="21"/>
        </w:rPr>
      </w:pPr>
      <w:r>
        <w:rPr>
          <w:rFonts w:hint="eastAsia" w:cs="宋体"/>
          <w:color w:val="auto"/>
          <w:sz w:val="21"/>
          <w:szCs w:val="21"/>
        </w:rPr>
        <w:t>监理人接收文件的地点：</w:t>
      </w:r>
      <w:r>
        <w:rPr>
          <w:rFonts w:hint="eastAsia" w:cs="宋体"/>
          <w:color w:val="auto"/>
          <w:sz w:val="21"/>
          <w:szCs w:val="21"/>
          <w:u w:val="single"/>
          <w:lang w:val="en-US" w:eastAsia="zh-CN"/>
        </w:rPr>
        <w:t>/</w:t>
      </w:r>
      <w:r>
        <w:rPr>
          <w:rFonts w:hint="eastAsia" w:cs="宋体"/>
          <w:color w:val="auto"/>
          <w:sz w:val="21"/>
          <w:szCs w:val="21"/>
        </w:rPr>
        <w:t>；</w:t>
      </w:r>
    </w:p>
    <w:p w14:paraId="5C2EAACD">
      <w:pPr>
        <w:adjustRightInd w:val="0"/>
        <w:snapToGrid w:val="0"/>
        <w:spacing w:line="360" w:lineRule="auto"/>
        <w:ind w:firstLine="420" w:firstLineChars="200"/>
        <w:rPr>
          <w:rFonts w:cs="宋体"/>
          <w:color w:val="auto"/>
          <w:sz w:val="21"/>
          <w:szCs w:val="21"/>
        </w:rPr>
      </w:pPr>
      <w:r>
        <w:rPr>
          <w:rFonts w:hint="eastAsia" w:cs="宋体"/>
          <w:color w:val="auto"/>
          <w:sz w:val="21"/>
          <w:szCs w:val="21"/>
        </w:rPr>
        <w:t>监理人指定的接收人为：</w:t>
      </w:r>
      <w:r>
        <w:rPr>
          <w:rFonts w:hint="eastAsia" w:cs="宋体"/>
          <w:color w:val="auto"/>
          <w:sz w:val="21"/>
          <w:szCs w:val="21"/>
          <w:u w:val="single"/>
          <w:lang w:val="en-US" w:eastAsia="zh-CN"/>
        </w:rPr>
        <w:t>/</w:t>
      </w:r>
      <w:r>
        <w:rPr>
          <w:rFonts w:hint="eastAsia" w:cs="宋体"/>
          <w:color w:val="auto"/>
          <w:sz w:val="21"/>
          <w:szCs w:val="21"/>
        </w:rPr>
        <w:t>。</w:t>
      </w:r>
    </w:p>
    <w:p w14:paraId="0D11B25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1.10 交通运输</w:t>
      </w:r>
    </w:p>
    <w:p w14:paraId="1A466659">
      <w:pPr>
        <w:adjustRightInd w:val="0"/>
        <w:snapToGrid w:val="0"/>
        <w:spacing w:line="360" w:lineRule="auto"/>
        <w:ind w:firstLine="420" w:firstLineChars="200"/>
        <w:rPr>
          <w:rFonts w:cs="宋体"/>
          <w:color w:val="auto"/>
          <w:sz w:val="21"/>
          <w:szCs w:val="21"/>
        </w:rPr>
      </w:pPr>
      <w:r>
        <w:rPr>
          <w:rFonts w:hint="eastAsia" w:cs="宋体"/>
          <w:color w:val="auto"/>
          <w:sz w:val="21"/>
          <w:szCs w:val="21"/>
        </w:rPr>
        <w:t>1</w:t>
      </w:r>
      <w:bookmarkStart w:id="154" w:name="_Toc312677986"/>
      <w:bookmarkStart w:id="155" w:name="_Toc304295521"/>
      <w:bookmarkStart w:id="156" w:name="_Toc318581155"/>
      <w:bookmarkStart w:id="157" w:name="_Toc300934943"/>
      <w:bookmarkStart w:id="158" w:name="_Toc303539100"/>
      <w:r>
        <w:rPr>
          <w:rFonts w:hint="eastAsia" w:cs="宋体"/>
          <w:color w:val="auto"/>
          <w:sz w:val="21"/>
          <w:szCs w:val="21"/>
        </w:rPr>
        <w:t>.10.1 出入现场的权利</w:t>
      </w:r>
    </w:p>
    <w:p w14:paraId="1B9E5F2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关于出入现场的权利的约定：</w:t>
      </w:r>
      <w:r>
        <w:rPr>
          <w:rFonts w:hint="eastAsia" w:cs="宋体"/>
          <w:color w:val="auto"/>
          <w:sz w:val="21"/>
          <w:szCs w:val="21"/>
          <w:u w:val="single"/>
        </w:rPr>
        <w:t xml:space="preserve"> </w:t>
      </w:r>
      <w:r>
        <w:rPr>
          <w:rFonts w:hint="eastAsia" w:cs="宋体"/>
          <w:color w:val="auto"/>
          <w:sz w:val="21"/>
          <w:szCs w:val="21"/>
          <w:u w:val="single"/>
          <w:lang w:val="en-US" w:eastAsia="zh-CN"/>
        </w:rPr>
        <w:t>非本项目相关人员不得随意出入</w:t>
      </w:r>
      <w:r>
        <w:rPr>
          <w:rFonts w:hint="eastAsia" w:cs="宋体"/>
          <w:color w:val="auto"/>
          <w:sz w:val="21"/>
          <w:szCs w:val="21"/>
          <w:u w:val="single"/>
        </w:rPr>
        <w:t xml:space="preserve"> </w:t>
      </w:r>
      <w:r>
        <w:rPr>
          <w:rFonts w:hint="eastAsia" w:cs="宋体"/>
          <w:color w:val="auto"/>
          <w:sz w:val="21"/>
          <w:szCs w:val="21"/>
        </w:rPr>
        <w:t>。</w:t>
      </w:r>
    </w:p>
    <w:bookmarkEnd w:id="154"/>
    <w:bookmarkEnd w:id="155"/>
    <w:bookmarkEnd w:id="156"/>
    <w:bookmarkEnd w:id="157"/>
    <w:bookmarkEnd w:id="158"/>
    <w:p w14:paraId="647CC432">
      <w:pPr>
        <w:adjustRightInd w:val="0"/>
        <w:snapToGrid w:val="0"/>
        <w:spacing w:line="360" w:lineRule="auto"/>
        <w:ind w:firstLine="420" w:firstLineChars="200"/>
        <w:rPr>
          <w:rFonts w:cs="宋体"/>
          <w:color w:val="auto"/>
          <w:sz w:val="21"/>
          <w:szCs w:val="21"/>
        </w:rPr>
      </w:pPr>
      <w:r>
        <w:rPr>
          <w:rFonts w:hint="eastAsia" w:cs="宋体"/>
          <w:color w:val="auto"/>
          <w:sz w:val="21"/>
          <w:szCs w:val="21"/>
        </w:rPr>
        <w:t>1</w:t>
      </w:r>
      <w:bookmarkStart w:id="159" w:name="_Toc304295522"/>
      <w:bookmarkStart w:id="160" w:name="_Toc318581156"/>
      <w:bookmarkStart w:id="161" w:name="_Toc312677987"/>
      <w:bookmarkStart w:id="162" w:name="_Toc303539101"/>
      <w:bookmarkStart w:id="163" w:name="_Toc300934944"/>
      <w:r>
        <w:rPr>
          <w:rFonts w:hint="eastAsia" w:cs="宋体"/>
          <w:color w:val="auto"/>
          <w:sz w:val="21"/>
          <w:szCs w:val="21"/>
        </w:rPr>
        <w:t>.10.3 场内交通</w:t>
      </w:r>
    </w:p>
    <w:p w14:paraId="157A9CC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关于场外交通和场内交通的边界的约定：</w:t>
      </w:r>
      <w:r>
        <w:rPr>
          <w:rFonts w:hint="eastAsia" w:cs="宋体"/>
          <w:color w:val="auto"/>
          <w:sz w:val="21"/>
          <w:szCs w:val="21"/>
          <w:u w:val="single"/>
        </w:rPr>
        <w:t xml:space="preserve"> 承包人在进行合同约定的各项工作时，不得侵害发包人与他人使用公用道路、水源、市政管网等公共设施的权利，避免对邻近的公共设施产生干扰。承包人占用或使用他人的施工场地，影响他人作业或生活的，应承担相应责任 </w:t>
      </w:r>
      <w:r>
        <w:rPr>
          <w:rFonts w:hint="eastAsia" w:cs="宋体"/>
          <w:color w:val="auto"/>
          <w:sz w:val="21"/>
          <w:szCs w:val="21"/>
        </w:rPr>
        <w:t>。</w:t>
      </w:r>
    </w:p>
    <w:p w14:paraId="62A295AC">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关于发包人向承包人免费提供满足工程施工需要的场内道路和交通设施的约定：</w:t>
      </w:r>
      <w:r>
        <w:rPr>
          <w:rFonts w:hint="eastAsia" w:cs="宋体"/>
          <w:color w:val="auto"/>
          <w:sz w:val="21"/>
          <w:szCs w:val="21"/>
          <w:u w:val="single"/>
        </w:rPr>
        <w:t xml:space="preserve"> </w:t>
      </w:r>
      <w:r>
        <w:rPr>
          <w:rFonts w:hint="eastAsia" w:cs="宋体"/>
          <w:color w:val="auto"/>
          <w:sz w:val="21"/>
          <w:szCs w:val="21"/>
          <w:u w:val="single"/>
          <w:lang w:val="en-US" w:eastAsia="zh-CN"/>
        </w:rPr>
        <w:t>发包</w:t>
      </w:r>
      <w:r>
        <w:rPr>
          <w:rFonts w:hint="eastAsia" w:cs="宋体"/>
          <w:color w:val="auto"/>
          <w:sz w:val="21"/>
          <w:szCs w:val="21"/>
          <w:u w:val="single"/>
        </w:rPr>
        <w:t>人应</w:t>
      </w:r>
      <w:r>
        <w:rPr>
          <w:rFonts w:hint="eastAsia" w:cs="宋体"/>
          <w:color w:val="auto"/>
          <w:sz w:val="21"/>
          <w:szCs w:val="21"/>
          <w:u w:val="single"/>
          <w:lang w:val="en-US" w:eastAsia="zh-CN"/>
        </w:rPr>
        <w:t>为</w:t>
      </w:r>
      <w:r>
        <w:rPr>
          <w:rFonts w:hint="eastAsia" w:cs="宋体"/>
          <w:color w:val="auto"/>
          <w:sz w:val="21"/>
          <w:szCs w:val="21"/>
          <w:u w:val="single"/>
        </w:rPr>
        <w:t>在施工场地或附近实施与工程有关的其他各项工作提供可能的条件。</w:t>
      </w:r>
      <w:bookmarkEnd w:id="159"/>
      <w:bookmarkEnd w:id="160"/>
      <w:bookmarkEnd w:id="161"/>
      <w:bookmarkEnd w:id="162"/>
      <w:bookmarkEnd w:id="163"/>
      <w:bookmarkStart w:id="164" w:name="_Toc318581157"/>
    </w:p>
    <w:p w14:paraId="1F8155B2">
      <w:pPr>
        <w:adjustRightInd w:val="0"/>
        <w:snapToGrid w:val="0"/>
        <w:spacing w:line="360" w:lineRule="auto"/>
        <w:ind w:firstLine="420" w:firstLineChars="200"/>
        <w:rPr>
          <w:rFonts w:cs="宋体"/>
          <w:color w:val="auto"/>
          <w:sz w:val="21"/>
          <w:szCs w:val="21"/>
        </w:rPr>
      </w:pPr>
      <w:r>
        <w:rPr>
          <w:rFonts w:hint="eastAsia" w:cs="宋体"/>
          <w:color w:val="auto"/>
          <w:sz w:val="21"/>
          <w:szCs w:val="21"/>
        </w:rPr>
        <w:t>1.10.4 超大件和超重件的运输</w:t>
      </w:r>
    </w:p>
    <w:p w14:paraId="3169BD08">
      <w:pPr>
        <w:adjustRightInd w:val="0"/>
        <w:snapToGrid w:val="0"/>
        <w:spacing w:line="360" w:lineRule="auto"/>
        <w:ind w:firstLine="420" w:firstLineChars="200"/>
        <w:rPr>
          <w:rFonts w:cs="宋体"/>
          <w:color w:val="auto"/>
          <w:sz w:val="21"/>
          <w:szCs w:val="21"/>
        </w:rPr>
      </w:pPr>
      <w:r>
        <w:rPr>
          <w:rFonts w:hint="eastAsia" w:cs="宋体"/>
          <w:color w:val="auto"/>
          <w:sz w:val="21"/>
          <w:szCs w:val="21"/>
        </w:rPr>
        <w:t>运输超大件或超重件所需的道路和桥梁临时加固改造费用和其他有关费用由</w:t>
      </w:r>
      <w:r>
        <w:rPr>
          <w:rFonts w:hint="eastAsia" w:cs="宋体"/>
          <w:color w:val="auto"/>
          <w:sz w:val="21"/>
          <w:szCs w:val="21"/>
          <w:u w:val="single"/>
        </w:rPr>
        <w:t xml:space="preserve"> </w:t>
      </w:r>
      <w:r>
        <w:rPr>
          <w:rFonts w:hint="eastAsia" w:cs="宋体"/>
          <w:color w:val="auto"/>
          <w:sz w:val="21"/>
          <w:szCs w:val="21"/>
          <w:u w:val="single"/>
          <w:lang w:val="en-US" w:eastAsia="zh-CN"/>
        </w:rPr>
        <w:t>承包人</w:t>
      </w:r>
      <w:r>
        <w:rPr>
          <w:rFonts w:hint="eastAsia" w:cs="宋体"/>
          <w:color w:val="auto"/>
          <w:sz w:val="21"/>
          <w:szCs w:val="21"/>
          <w:u w:val="single"/>
        </w:rPr>
        <w:t xml:space="preserve"> </w:t>
      </w:r>
      <w:r>
        <w:rPr>
          <w:rFonts w:hint="eastAsia" w:cs="宋体"/>
          <w:color w:val="auto"/>
          <w:sz w:val="21"/>
          <w:szCs w:val="21"/>
        </w:rPr>
        <w:t>承担。</w:t>
      </w:r>
    </w:p>
    <w:bookmarkEnd w:id="164"/>
    <w:p w14:paraId="5747A59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1.11 知识产权</w:t>
      </w:r>
    </w:p>
    <w:p w14:paraId="2C4AD089">
      <w:pPr>
        <w:adjustRightInd w:val="0"/>
        <w:snapToGrid w:val="0"/>
        <w:spacing w:line="360" w:lineRule="auto"/>
        <w:ind w:firstLine="420" w:firstLineChars="200"/>
        <w:rPr>
          <w:rFonts w:cs="宋体"/>
          <w:color w:val="auto"/>
          <w:sz w:val="21"/>
          <w:szCs w:val="21"/>
        </w:rPr>
      </w:pPr>
      <w:r>
        <w:rPr>
          <w:rFonts w:hint="eastAsia" w:cs="宋体"/>
          <w:color w:val="auto"/>
          <w:sz w:val="21"/>
          <w:szCs w:val="21"/>
        </w:rPr>
        <w:t>1.11.1 关于发包人提供给承包人的图纸、发包人为实施工程自行编制或委托编制的技术规范以及反映发包人关于合同要求或其他类似性质的文件的著作权的归属：</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6BD7A729">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关于发包人提供的上述文件的使用限制的要求：</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rPr>
        <w:t>。</w:t>
      </w:r>
    </w:p>
    <w:p w14:paraId="6F963D32">
      <w:pPr>
        <w:adjustRightInd w:val="0"/>
        <w:snapToGrid w:val="0"/>
        <w:spacing w:line="360" w:lineRule="auto"/>
        <w:ind w:firstLine="420" w:firstLineChars="200"/>
        <w:rPr>
          <w:rFonts w:cs="宋体"/>
          <w:color w:val="auto"/>
          <w:sz w:val="21"/>
          <w:szCs w:val="21"/>
        </w:rPr>
      </w:pPr>
      <w:r>
        <w:rPr>
          <w:rFonts w:hint="eastAsia" w:cs="宋体"/>
          <w:color w:val="auto"/>
          <w:sz w:val="21"/>
          <w:szCs w:val="21"/>
        </w:rPr>
        <w:t>1.11.2 关于承包人为实施工程所编制文件的著作权的归属：</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11414C46">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关于承包人提供的上述文件的使用限制的要求：</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BAE0AB8">
      <w:pPr>
        <w:adjustRightInd w:val="0"/>
        <w:snapToGrid w:val="0"/>
        <w:spacing w:line="360" w:lineRule="auto"/>
        <w:ind w:firstLine="420" w:firstLineChars="200"/>
        <w:rPr>
          <w:rFonts w:cs="宋体"/>
          <w:color w:val="auto"/>
          <w:sz w:val="21"/>
          <w:szCs w:val="21"/>
        </w:rPr>
      </w:pPr>
      <w:r>
        <w:rPr>
          <w:rFonts w:hint="eastAsia" w:cs="宋体"/>
          <w:color w:val="auto"/>
          <w:sz w:val="21"/>
          <w:szCs w:val="21"/>
        </w:rPr>
        <w:t>1.11.4 承包人在施工过程中所采用的专利、专有技术、技术秘密的使用费的承担方式：</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EBE22D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1.13 工程量清单错误的修正</w:t>
      </w:r>
    </w:p>
    <w:p w14:paraId="6AE5EB30">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出现工程量清单错误时，是否调整合同价格：</w:t>
      </w:r>
      <w:r>
        <w:rPr>
          <w:rFonts w:hint="eastAsia" w:cs="宋体"/>
          <w:color w:val="auto"/>
          <w:sz w:val="21"/>
          <w:szCs w:val="21"/>
          <w:u w:val="single"/>
        </w:rPr>
        <w:t xml:space="preserve">  除专用合同条款另有约定外，发包人提供的工程量清单，应被认为是准确的和完整的。出现下列情形之一时，发包人应予以修正，并相应调整合同价格：</w:t>
      </w:r>
    </w:p>
    <w:p w14:paraId="2DD52084">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（1）工程量清单存在缺项、漏项的；</w:t>
      </w:r>
    </w:p>
    <w:p w14:paraId="2F097610">
      <w:pPr>
        <w:adjustRightInd w:val="0"/>
        <w:snapToGrid w:val="0"/>
        <w:spacing w:line="360" w:lineRule="auto"/>
        <w:ind w:firstLine="420" w:firstLineChars="200"/>
        <w:rPr>
          <w:rFonts w:cs="宋体"/>
          <w:b/>
          <w:bCs/>
          <w:i/>
          <w:iCs/>
          <w:color w:val="auto"/>
          <w:kern w:val="2"/>
          <w:sz w:val="21"/>
          <w:szCs w:val="21"/>
        </w:rPr>
      </w:pPr>
      <w:r>
        <w:rPr>
          <w:rFonts w:hint="eastAsia" w:cs="宋体"/>
          <w:color w:val="auto"/>
          <w:sz w:val="21"/>
          <w:szCs w:val="21"/>
          <w:u w:val="single"/>
        </w:rPr>
        <w:t>（</w:t>
      </w:r>
      <w:r>
        <w:rPr>
          <w:rFonts w:hint="eastAsia" w:cs="宋体"/>
          <w:color w:val="auto"/>
          <w:sz w:val="21"/>
          <w:szCs w:val="21"/>
          <w:u w:val="single"/>
          <w:lang w:val="en-US" w:eastAsia="zh-CN"/>
        </w:rPr>
        <w:t>2</w:t>
      </w:r>
      <w:r>
        <w:rPr>
          <w:rFonts w:hint="eastAsia" w:cs="宋体"/>
          <w:color w:val="auto"/>
          <w:sz w:val="21"/>
          <w:szCs w:val="21"/>
          <w:u w:val="single"/>
        </w:rPr>
        <w:t>）未按照国家现行计量规范强制性规定计量的。</w:t>
      </w:r>
      <w:r>
        <w:rPr>
          <w:rFonts w:hint="eastAsia" w:cs="宋体"/>
          <w:b/>
          <w:bCs/>
          <w:i/>
          <w:iCs/>
          <w:color w:val="auto"/>
          <w:kern w:val="2"/>
          <w:sz w:val="21"/>
          <w:szCs w:val="21"/>
        </w:rPr>
        <w:t xml:space="preserve"> </w:t>
      </w:r>
    </w:p>
    <w:p w14:paraId="7F619769">
      <w:pPr>
        <w:adjustRightInd w:val="0"/>
        <w:snapToGrid w:val="0"/>
        <w:spacing w:line="360" w:lineRule="auto"/>
        <w:ind w:firstLine="420" w:firstLineChars="200"/>
        <w:rPr>
          <w:rFonts w:cs="宋体"/>
          <w:b/>
          <w:bCs/>
          <w:i/>
          <w:iCs/>
          <w:color w:val="auto"/>
          <w:kern w:val="2"/>
          <w:sz w:val="21"/>
          <w:szCs w:val="21"/>
          <w:shd w:val="clear" w:color="FFFFFF" w:fill="D9D9D9"/>
        </w:rPr>
      </w:pPr>
      <w:r>
        <w:rPr>
          <w:rFonts w:hint="eastAsia" w:cs="宋体"/>
          <w:color w:val="auto"/>
          <w:sz w:val="21"/>
          <w:szCs w:val="21"/>
        </w:rPr>
        <w:t>允许调整合同价格的工程量偏差范围：</w:t>
      </w:r>
      <w:r>
        <w:rPr>
          <w:rFonts w:hint="eastAsia" w:cs="宋体"/>
          <w:color w:val="auto"/>
          <w:sz w:val="21"/>
          <w:szCs w:val="21"/>
          <w:u w:val="single"/>
          <w:lang w:val="en-US" w:eastAsia="zh-CN"/>
        </w:rPr>
        <w:t>/</w:t>
      </w:r>
      <w:r>
        <w:rPr>
          <w:rFonts w:hint="eastAsia" w:cs="宋体"/>
          <w:b/>
          <w:bCs/>
          <w:i/>
          <w:iCs/>
          <w:color w:val="auto"/>
          <w:kern w:val="2"/>
          <w:sz w:val="21"/>
          <w:szCs w:val="21"/>
        </w:rPr>
        <w:t xml:space="preserve"> （备注：与合同补充条款相对应）。</w:t>
      </w:r>
    </w:p>
    <w:p w14:paraId="573B27E2">
      <w:pPr>
        <w:snapToGrid w:val="0"/>
        <w:spacing w:before="312" w:beforeLines="100" w:after="312" w:afterLines="100" w:line="360" w:lineRule="auto"/>
        <w:outlineLvl w:val="2"/>
        <w:rPr>
          <w:rFonts w:cs="宋体"/>
          <w:color w:val="auto"/>
          <w:sz w:val="21"/>
          <w:szCs w:val="21"/>
        </w:rPr>
      </w:pPr>
      <w:bookmarkStart w:id="165" w:name="_Toc351203634"/>
      <w:r>
        <w:rPr>
          <w:rFonts w:hint="eastAsia" w:cs="宋体"/>
          <w:color w:val="auto"/>
          <w:sz w:val="21"/>
          <w:szCs w:val="21"/>
        </w:rPr>
        <w:t>2</w:t>
      </w:r>
      <w:bookmarkStart w:id="166" w:name="_Toc297120457"/>
      <w:bookmarkStart w:id="167" w:name="_Toc296503157"/>
      <w:bookmarkStart w:id="168" w:name="_Toc292559362"/>
      <w:bookmarkStart w:id="169" w:name="_Toc296347156"/>
      <w:bookmarkStart w:id="170" w:name="_Toc296346658"/>
      <w:bookmarkStart w:id="171" w:name="_Toc296891197"/>
      <w:bookmarkStart w:id="172" w:name="_Toc292559867"/>
      <w:bookmarkStart w:id="173" w:name="_Toc296944496"/>
      <w:bookmarkStart w:id="174" w:name="_Toc297048343"/>
      <w:bookmarkStart w:id="175" w:name="_Toc296890985"/>
      <w:r>
        <w:rPr>
          <w:rFonts w:hint="eastAsia" w:cs="宋体"/>
          <w:color w:val="auto"/>
          <w:sz w:val="21"/>
          <w:szCs w:val="21"/>
        </w:rPr>
        <w:t>. 发包人</w:t>
      </w:r>
      <w:bookmarkEnd w:id="165"/>
    </w:p>
    <w:bookmarkEnd w:id="166"/>
    <w:bookmarkEnd w:id="167"/>
    <w:bookmarkEnd w:id="168"/>
    <w:bookmarkEnd w:id="169"/>
    <w:bookmarkEnd w:id="170"/>
    <w:bookmarkEnd w:id="171"/>
    <w:bookmarkEnd w:id="172"/>
    <w:bookmarkEnd w:id="173"/>
    <w:bookmarkEnd w:id="174"/>
    <w:bookmarkEnd w:id="175"/>
    <w:p w14:paraId="0F03D1CE">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2.2 发包人代表</w:t>
      </w:r>
    </w:p>
    <w:p w14:paraId="0FC0BFA2">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发包人代表：</w:t>
      </w:r>
    </w:p>
    <w:p w14:paraId="35061BA8">
      <w:pPr>
        <w:adjustRightInd w:val="0"/>
        <w:snapToGrid w:val="0"/>
        <w:spacing w:line="360" w:lineRule="auto"/>
        <w:ind w:firstLine="420" w:firstLineChars="200"/>
        <w:rPr>
          <w:rFonts w:cs="宋体"/>
          <w:color w:val="auto"/>
          <w:sz w:val="21"/>
          <w:szCs w:val="21"/>
        </w:rPr>
      </w:pPr>
      <w:r>
        <w:rPr>
          <w:rFonts w:hint="eastAsia" w:cs="宋体"/>
          <w:color w:val="auto"/>
          <w:sz w:val="21"/>
          <w:szCs w:val="21"/>
        </w:rPr>
        <w:t>姓    名：</w:t>
      </w:r>
      <w:r>
        <w:rPr>
          <w:rFonts w:hint="eastAsia" w:cs="宋体"/>
          <w:color w:val="auto"/>
          <w:sz w:val="21"/>
          <w:szCs w:val="21"/>
          <w:u w:val="single"/>
        </w:rPr>
        <w:t xml:space="preserve">                          </w:t>
      </w:r>
      <w:r>
        <w:rPr>
          <w:rFonts w:hint="eastAsia" w:cs="宋体"/>
          <w:color w:val="auto"/>
          <w:sz w:val="21"/>
          <w:szCs w:val="21"/>
        </w:rPr>
        <w:t>；</w:t>
      </w:r>
    </w:p>
    <w:p w14:paraId="51980871">
      <w:pPr>
        <w:adjustRightInd w:val="0"/>
        <w:snapToGrid w:val="0"/>
        <w:spacing w:line="360" w:lineRule="auto"/>
        <w:ind w:firstLine="420" w:firstLineChars="200"/>
        <w:rPr>
          <w:rFonts w:cs="宋体"/>
          <w:color w:val="auto"/>
          <w:sz w:val="21"/>
          <w:szCs w:val="21"/>
        </w:rPr>
      </w:pPr>
      <w:r>
        <w:rPr>
          <w:rFonts w:hint="eastAsia" w:cs="宋体"/>
          <w:color w:val="auto"/>
          <w:sz w:val="21"/>
          <w:szCs w:val="21"/>
        </w:rPr>
        <w:t>身份证号：</w:t>
      </w:r>
      <w:r>
        <w:rPr>
          <w:rFonts w:hint="eastAsia" w:cs="宋体"/>
          <w:color w:val="auto"/>
          <w:sz w:val="21"/>
          <w:szCs w:val="21"/>
          <w:u w:val="single"/>
        </w:rPr>
        <w:t xml:space="preserve">                          </w:t>
      </w:r>
      <w:r>
        <w:rPr>
          <w:rFonts w:hint="eastAsia" w:cs="宋体"/>
          <w:color w:val="auto"/>
          <w:sz w:val="21"/>
          <w:szCs w:val="21"/>
        </w:rPr>
        <w:t>；</w:t>
      </w:r>
    </w:p>
    <w:p w14:paraId="312683DF">
      <w:pPr>
        <w:adjustRightInd w:val="0"/>
        <w:snapToGrid w:val="0"/>
        <w:spacing w:line="360" w:lineRule="auto"/>
        <w:ind w:firstLine="420" w:firstLineChars="200"/>
        <w:rPr>
          <w:rFonts w:cs="宋体"/>
          <w:color w:val="auto"/>
          <w:sz w:val="21"/>
          <w:szCs w:val="21"/>
        </w:rPr>
      </w:pPr>
      <w:r>
        <w:rPr>
          <w:rFonts w:hint="eastAsia" w:cs="宋体"/>
          <w:color w:val="auto"/>
          <w:sz w:val="21"/>
          <w:szCs w:val="21"/>
        </w:rPr>
        <w:t>职    务：</w:t>
      </w:r>
      <w:r>
        <w:rPr>
          <w:rFonts w:hint="eastAsia" w:cs="宋体"/>
          <w:color w:val="auto"/>
          <w:sz w:val="21"/>
          <w:szCs w:val="21"/>
          <w:u w:val="single"/>
        </w:rPr>
        <w:t xml:space="preserve">                          </w:t>
      </w:r>
      <w:r>
        <w:rPr>
          <w:rFonts w:hint="eastAsia" w:cs="宋体"/>
          <w:color w:val="auto"/>
          <w:sz w:val="21"/>
          <w:szCs w:val="21"/>
        </w:rPr>
        <w:t>；</w:t>
      </w:r>
    </w:p>
    <w:p w14:paraId="2D932B9B">
      <w:pPr>
        <w:adjustRightInd w:val="0"/>
        <w:snapToGrid w:val="0"/>
        <w:spacing w:line="360" w:lineRule="auto"/>
        <w:ind w:firstLine="420" w:firstLineChars="200"/>
        <w:rPr>
          <w:rFonts w:cs="宋体"/>
          <w:color w:val="auto"/>
          <w:sz w:val="21"/>
          <w:szCs w:val="21"/>
        </w:rPr>
      </w:pPr>
      <w:r>
        <w:rPr>
          <w:rFonts w:hint="eastAsia" w:cs="宋体"/>
          <w:color w:val="auto"/>
          <w:sz w:val="21"/>
          <w:szCs w:val="21"/>
        </w:rPr>
        <w:t>联系电话：</w:t>
      </w:r>
      <w:r>
        <w:rPr>
          <w:rFonts w:hint="eastAsia" w:cs="宋体"/>
          <w:color w:val="auto"/>
          <w:sz w:val="21"/>
          <w:szCs w:val="21"/>
          <w:u w:val="single"/>
        </w:rPr>
        <w:t xml:space="preserve">                          </w:t>
      </w:r>
      <w:r>
        <w:rPr>
          <w:rFonts w:hint="eastAsia" w:cs="宋体"/>
          <w:color w:val="auto"/>
          <w:sz w:val="21"/>
          <w:szCs w:val="21"/>
        </w:rPr>
        <w:t>；</w:t>
      </w:r>
    </w:p>
    <w:p w14:paraId="64A889CF">
      <w:pPr>
        <w:adjustRightInd w:val="0"/>
        <w:snapToGrid w:val="0"/>
        <w:spacing w:line="360" w:lineRule="auto"/>
        <w:ind w:firstLine="420" w:firstLineChars="200"/>
        <w:rPr>
          <w:rFonts w:cs="宋体"/>
          <w:color w:val="auto"/>
          <w:sz w:val="21"/>
          <w:szCs w:val="21"/>
        </w:rPr>
      </w:pPr>
      <w:r>
        <w:rPr>
          <w:rFonts w:hint="eastAsia" w:cs="宋体"/>
          <w:color w:val="auto"/>
          <w:sz w:val="21"/>
          <w:szCs w:val="21"/>
        </w:rPr>
        <w:t>电子信箱：</w:t>
      </w:r>
      <w:r>
        <w:rPr>
          <w:rFonts w:hint="eastAsia" w:cs="宋体"/>
          <w:color w:val="auto"/>
          <w:sz w:val="21"/>
          <w:szCs w:val="21"/>
          <w:u w:val="single"/>
        </w:rPr>
        <w:t xml:space="preserve">                          </w:t>
      </w:r>
      <w:r>
        <w:rPr>
          <w:rFonts w:hint="eastAsia" w:cs="宋体"/>
          <w:color w:val="auto"/>
          <w:sz w:val="21"/>
          <w:szCs w:val="21"/>
        </w:rPr>
        <w:t>；</w:t>
      </w:r>
    </w:p>
    <w:p w14:paraId="7A4D0CF0">
      <w:pPr>
        <w:adjustRightInd w:val="0"/>
        <w:snapToGrid w:val="0"/>
        <w:spacing w:line="360" w:lineRule="auto"/>
        <w:ind w:firstLine="420" w:firstLineChars="200"/>
        <w:rPr>
          <w:rFonts w:cs="宋体"/>
          <w:color w:val="auto"/>
          <w:sz w:val="21"/>
          <w:szCs w:val="21"/>
        </w:rPr>
      </w:pPr>
      <w:r>
        <w:rPr>
          <w:rFonts w:hint="eastAsia" w:cs="宋体"/>
          <w:color w:val="auto"/>
          <w:sz w:val="21"/>
          <w:szCs w:val="21"/>
        </w:rPr>
        <w:t>通信地址：</w:t>
      </w:r>
      <w:r>
        <w:rPr>
          <w:rFonts w:hint="eastAsia" w:cs="宋体"/>
          <w:color w:val="auto"/>
          <w:sz w:val="21"/>
          <w:szCs w:val="21"/>
          <w:u w:val="single"/>
        </w:rPr>
        <w:t xml:space="preserve">                          </w:t>
      </w:r>
      <w:r>
        <w:rPr>
          <w:rFonts w:hint="eastAsia" w:cs="宋体"/>
          <w:color w:val="auto"/>
          <w:sz w:val="21"/>
          <w:szCs w:val="21"/>
        </w:rPr>
        <w:t>。</w:t>
      </w:r>
    </w:p>
    <w:p w14:paraId="2230779C">
      <w:pPr>
        <w:adjustRightInd w:val="0"/>
        <w:snapToGrid w:val="0"/>
        <w:spacing w:line="360" w:lineRule="auto"/>
        <w:ind w:firstLine="420" w:firstLineChars="200"/>
        <w:rPr>
          <w:rFonts w:cs="宋体"/>
          <w:b/>
          <w:strike/>
          <w:color w:val="auto"/>
          <w:sz w:val="21"/>
          <w:szCs w:val="21"/>
        </w:rPr>
      </w:pPr>
      <w:r>
        <w:rPr>
          <w:rFonts w:hint="eastAsia" w:cs="宋体"/>
          <w:color w:val="auto"/>
          <w:sz w:val="21"/>
          <w:szCs w:val="21"/>
        </w:rPr>
        <w:t>发包人对发包人代表的授权范围如下：</w:t>
      </w:r>
      <w:r>
        <w:rPr>
          <w:rFonts w:hint="eastAsia" w:cs="宋体"/>
          <w:color w:val="auto"/>
          <w:sz w:val="21"/>
          <w:szCs w:val="21"/>
          <w:u w:val="single"/>
        </w:rPr>
        <w:t xml:space="preserve">                          </w:t>
      </w:r>
      <w:r>
        <w:rPr>
          <w:rFonts w:hint="eastAsia" w:cs="宋体"/>
          <w:color w:val="auto"/>
          <w:sz w:val="21"/>
          <w:szCs w:val="21"/>
        </w:rPr>
        <w:t>。</w:t>
      </w:r>
    </w:p>
    <w:p w14:paraId="3B3DC10F">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2.4 施工现场、施工条件和基础资料的提供</w:t>
      </w:r>
    </w:p>
    <w:p w14:paraId="4E1BBCC2">
      <w:pPr>
        <w:adjustRightInd w:val="0"/>
        <w:snapToGrid w:val="0"/>
        <w:spacing w:line="360" w:lineRule="auto"/>
        <w:ind w:firstLine="420" w:firstLineChars="200"/>
        <w:rPr>
          <w:rFonts w:cs="宋体"/>
          <w:color w:val="auto"/>
          <w:sz w:val="21"/>
          <w:szCs w:val="21"/>
        </w:rPr>
      </w:pPr>
      <w:r>
        <w:rPr>
          <w:rFonts w:hint="eastAsia" w:cs="宋体"/>
          <w:color w:val="auto"/>
          <w:sz w:val="21"/>
          <w:szCs w:val="21"/>
        </w:rPr>
        <w:t>2.4.1 提供施工现场</w:t>
      </w:r>
    </w:p>
    <w:p w14:paraId="2C0B3B4D">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关于发包人移交施工现场的期限要求：</w:t>
      </w:r>
      <w:r>
        <w:rPr>
          <w:rFonts w:hint="eastAsia" w:cs="宋体"/>
          <w:color w:val="auto"/>
          <w:sz w:val="21"/>
          <w:szCs w:val="21"/>
          <w:u w:val="single"/>
        </w:rPr>
        <w:t>开工日期7天前</w:t>
      </w:r>
      <w:r>
        <w:rPr>
          <w:rFonts w:hint="eastAsia" w:cs="宋体"/>
          <w:color w:val="auto"/>
          <w:sz w:val="21"/>
          <w:szCs w:val="21"/>
        </w:rPr>
        <w:t>。</w:t>
      </w:r>
    </w:p>
    <w:p w14:paraId="6FF3F455">
      <w:pPr>
        <w:adjustRightInd w:val="0"/>
        <w:snapToGrid w:val="0"/>
        <w:spacing w:line="360" w:lineRule="auto"/>
        <w:ind w:firstLine="420" w:firstLineChars="200"/>
        <w:rPr>
          <w:rFonts w:cs="宋体"/>
          <w:color w:val="auto"/>
          <w:sz w:val="21"/>
          <w:szCs w:val="21"/>
        </w:rPr>
      </w:pPr>
      <w:r>
        <w:rPr>
          <w:rFonts w:hint="eastAsia" w:cs="宋体"/>
          <w:color w:val="auto"/>
          <w:sz w:val="21"/>
          <w:szCs w:val="21"/>
        </w:rPr>
        <w:t>2.4.2 提供施工条件</w:t>
      </w:r>
    </w:p>
    <w:p w14:paraId="3E3A1C1B">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关于发包人应负责提供施工所需要的条件，包括：</w:t>
      </w:r>
      <w:r>
        <w:rPr>
          <w:rFonts w:hint="eastAsia" w:cs="宋体"/>
          <w:b/>
          <w:bCs/>
          <w:color w:val="auto"/>
          <w:sz w:val="21"/>
          <w:szCs w:val="21"/>
          <w:u w:val="single"/>
        </w:rPr>
        <w:t>执行通用条款。</w:t>
      </w:r>
    </w:p>
    <w:p w14:paraId="7951416A">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2.5 资金来源证明及支付担保</w:t>
      </w:r>
    </w:p>
    <w:p w14:paraId="3CBA5B6A">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发包人提供资金来源证明的期限要求：</w:t>
      </w:r>
      <w:r>
        <w:rPr>
          <w:rFonts w:hint="eastAsia" w:cs="宋体"/>
          <w:color w:val="auto"/>
          <w:sz w:val="21"/>
          <w:szCs w:val="21"/>
          <w:u w:val="single"/>
        </w:rPr>
        <w:t>见《专用合同条款数据表》</w:t>
      </w:r>
      <w:r>
        <w:rPr>
          <w:rFonts w:hint="eastAsia" w:cs="宋体"/>
          <w:color w:val="auto"/>
          <w:sz w:val="21"/>
          <w:szCs w:val="21"/>
        </w:rPr>
        <w:t>。</w:t>
      </w:r>
    </w:p>
    <w:p w14:paraId="758BF00A">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发包人是否提供支付担保：</w:t>
      </w:r>
      <w:r>
        <w:rPr>
          <w:rFonts w:hint="eastAsia" w:cs="宋体"/>
          <w:color w:val="auto"/>
          <w:sz w:val="21"/>
          <w:szCs w:val="21"/>
          <w:u w:val="single"/>
        </w:rPr>
        <w:t>见《专用合同条款数据表》</w:t>
      </w:r>
      <w:r>
        <w:rPr>
          <w:rFonts w:hint="eastAsia" w:cs="宋体"/>
          <w:color w:val="auto"/>
          <w:sz w:val="21"/>
          <w:szCs w:val="21"/>
        </w:rPr>
        <w:t>。</w:t>
      </w:r>
    </w:p>
    <w:p w14:paraId="514585BF">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发包人提供支付担保的形式：</w:t>
      </w:r>
      <w:r>
        <w:rPr>
          <w:rFonts w:hint="eastAsia" w:cs="宋体"/>
          <w:color w:val="auto"/>
          <w:sz w:val="21"/>
          <w:szCs w:val="21"/>
          <w:u w:val="single"/>
        </w:rPr>
        <w:t>见《专用合同条款数据表》</w:t>
      </w:r>
      <w:r>
        <w:rPr>
          <w:rFonts w:hint="eastAsia" w:cs="宋体"/>
          <w:color w:val="auto"/>
          <w:sz w:val="21"/>
          <w:szCs w:val="21"/>
        </w:rPr>
        <w:t>。</w:t>
      </w:r>
    </w:p>
    <w:p w14:paraId="314E3EAE">
      <w:pPr>
        <w:snapToGrid w:val="0"/>
        <w:spacing w:before="312" w:beforeLines="100" w:after="312" w:afterLines="100" w:line="360" w:lineRule="auto"/>
        <w:outlineLvl w:val="2"/>
        <w:rPr>
          <w:rFonts w:cs="宋体"/>
          <w:color w:val="auto"/>
          <w:sz w:val="21"/>
          <w:szCs w:val="21"/>
        </w:rPr>
      </w:pPr>
      <w:bookmarkStart w:id="176" w:name="_Toc351203635"/>
      <w:r>
        <w:rPr>
          <w:rFonts w:hint="eastAsia" w:cs="宋体"/>
          <w:color w:val="auto"/>
          <w:sz w:val="21"/>
          <w:szCs w:val="21"/>
        </w:rPr>
        <w:t>3</w:t>
      </w:r>
      <w:bookmarkStart w:id="177" w:name="_Toc292559868"/>
      <w:bookmarkStart w:id="178" w:name="_Toc296347157"/>
      <w:bookmarkStart w:id="179" w:name="_Toc296503158"/>
      <w:bookmarkStart w:id="180" w:name="_Toc296890986"/>
      <w:bookmarkStart w:id="181" w:name="_Toc297048344"/>
      <w:bookmarkStart w:id="182" w:name="_Toc296891198"/>
      <w:bookmarkStart w:id="183" w:name="_Toc296944497"/>
      <w:bookmarkStart w:id="184" w:name="_Toc292559363"/>
      <w:bookmarkStart w:id="185" w:name="_Toc296346659"/>
      <w:bookmarkStart w:id="186" w:name="_Toc297120458"/>
      <w:r>
        <w:rPr>
          <w:rFonts w:hint="eastAsia" w:cs="宋体"/>
          <w:color w:val="auto"/>
          <w:sz w:val="21"/>
          <w:szCs w:val="21"/>
        </w:rPr>
        <w:t>. 承包人</w:t>
      </w:r>
      <w:bookmarkEnd w:id="176"/>
    </w:p>
    <w:bookmarkEnd w:id="177"/>
    <w:bookmarkEnd w:id="178"/>
    <w:bookmarkEnd w:id="179"/>
    <w:bookmarkEnd w:id="180"/>
    <w:bookmarkEnd w:id="181"/>
    <w:bookmarkEnd w:id="182"/>
    <w:bookmarkEnd w:id="183"/>
    <w:bookmarkEnd w:id="184"/>
    <w:bookmarkEnd w:id="185"/>
    <w:bookmarkEnd w:id="186"/>
    <w:p w14:paraId="7A7C85A7">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3.1 承包人的一般义务</w:t>
      </w:r>
    </w:p>
    <w:p w14:paraId="04FC9BC0">
      <w:pPr>
        <w:adjustRightInd w:val="0"/>
        <w:snapToGrid w:val="0"/>
        <w:spacing w:line="360" w:lineRule="auto"/>
        <w:ind w:firstLine="420" w:firstLineChars="200"/>
        <w:rPr>
          <w:rFonts w:cs="宋体"/>
          <w:color w:val="auto"/>
          <w:sz w:val="21"/>
          <w:szCs w:val="21"/>
        </w:rPr>
      </w:pPr>
      <w:r>
        <w:rPr>
          <w:rFonts w:hint="eastAsia" w:cs="宋体"/>
          <w:color w:val="auto"/>
          <w:sz w:val="21"/>
          <w:szCs w:val="21"/>
        </w:rPr>
        <w:t>（9）承包人提交的</w:t>
      </w:r>
      <w:r>
        <w:rPr>
          <w:rFonts w:hint="eastAsia" w:cs="宋体"/>
          <w:color w:val="auto"/>
          <w:sz w:val="21"/>
          <w:szCs w:val="21"/>
          <w:lang w:eastAsia="zh-CN"/>
        </w:rPr>
        <w:t>完工</w:t>
      </w:r>
      <w:r>
        <w:rPr>
          <w:rFonts w:hint="eastAsia" w:cs="宋体"/>
          <w:color w:val="auto"/>
          <w:sz w:val="21"/>
          <w:szCs w:val="21"/>
        </w:rPr>
        <w:t>资料的内容：</w:t>
      </w:r>
      <w:r>
        <w:rPr>
          <w:rFonts w:hint="eastAsia" w:cs="宋体"/>
          <w:color w:val="auto"/>
          <w:sz w:val="21"/>
          <w:szCs w:val="21"/>
          <w:u w:val="single"/>
          <w:lang w:val="en-US" w:eastAsia="zh-CN"/>
        </w:rPr>
        <w:t>/</w:t>
      </w:r>
      <w:r>
        <w:rPr>
          <w:rFonts w:hint="eastAsia" w:cs="宋体"/>
          <w:color w:val="auto"/>
          <w:sz w:val="21"/>
          <w:szCs w:val="21"/>
        </w:rPr>
        <w:t>。</w:t>
      </w:r>
    </w:p>
    <w:p w14:paraId="7ADF72F5">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承包人需要提交的</w:t>
      </w:r>
      <w:r>
        <w:rPr>
          <w:rFonts w:hint="eastAsia" w:cs="宋体"/>
          <w:color w:val="auto"/>
          <w:sz w:val="21"/>
          <w:szCs w:val="21"/>
          <w:lang w:eastAsia="zh-CN"/>
        </w:rPr>
        <w:t>完工</w:t>
      </w:r>
      <w:r>
        <w:rPr>
          <w:rFonts w:hint="eastAsia" w:cs="宋体"/>
          <w:color w:val="auto"/>
          <w:sz w:val="21"/>
          <w:szCs w:val="21"/>
        </w:rPr>
        <w:t>资料套数：</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7BAF91B">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承包人提交的</w:t>
      </w:r>
      <w:r>
        <w:rPr>
          <w:rFonts w:hint="eastAsia" w:cs="宋体"/>
          <w:color w:val="auto"/>
          <w:sz w:val="21"/>
          <w:szCs w:val="21"/>
          <w:lang w:eastAsia="zh-CN"/>
        </w:rPr>
        <w:t>完工</w:t>
      </w:r>
      <w:r>
        <w:rPr>
          <w:rFonts w:hint="eastAsia" w:cs="宋体"/>
          <w:color w:val="auto"/>
          <w:sz w:val="21"/>
          <w:szCs w:val="21"/>
        </w:rPr>
        <w:t>资料的费用承担：</w:t>
      </w:r>
      <w:r>
        <w:rPr>
          <w:rFonts w:hint="eastAsia" w:cs="宋体"/>
          <w:color w:val="auto"/>
          <w:sz w:val="21"/>
          <w:szCs w:val="21"/>
          <w:u w:val="single"/>
          <w:lang w:val="en-US" w:eastAsia="zh-CN"/>
        </w:rPr>
        <w:t>/</w:t>
      </w:r>
      <w:r>
        <w:rPr>
          <w:rFonts w:hint="eastAsia" w:cs="宋体"/>
          <w:color w:val="auto"/>
          <w:sz w:val="21"/>
          <w:szCs w:val="21"/>
        </w:rPr>
        <w:t>。</w:t>
      </w:r>
    </w:p>
    <w:p w14:paraId="1AE4D4CA">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承包人提交的</w:t>
      </w:r>
      <w:r>
        <w:rPr>
          <w:rFonts w:hint="eastAsia" w:cs="宋体"/>
          <w:color w:val="auto"/>
          <w:sz w:val="21"/>
          <w:szCs w:val="21"/>
          <w:lang w:eastAsia="zh-CN"/>
        </w:rPr>
        <w:t>完工</w:t>
      </w:r>
      <w:r>
        <w:rPr>
          <w:rFonts w:hint="eastAsia" w:cs="宋体"/>
          <w:color w:val="auto"/>
          <w:sz w:val="21"/>
          <w:szCs w:val="21"/>
        </w:rPr>
        <w:t>资料移交时间：</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44643F66">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承包人提交的</w:t>
      </w:r>
      <w:r>
        <w:rPr>
          <w:rFonts w:hint="eastAsia" w:cs="宋体"/>
          <w:color w:val="auto"/>
          <w:sz w:val="21"/>
          <w:szCs w:val="21"/>
          <w:lang w:eastAsia="zh-CN"/>
        </w:rPr>
        <w:t>完工</w:t>
      </w:r>
      <w:r>
        <w:rPr>
          <w:rFonts w:hint="eastAsia" w:cs="宋体"/>
          <w:color w:val="auto"/>
          <w:sz w:val="21"/>
          <w:szCs w:val="21"/>
        </w:rPr>
        <w:t>资料形式要求：</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3E8AE828">
      <w:pPr>
        <w:adjustRightInd w:val="0"/>
        <w:snapToGrid w:val="0"/>
        <w:spacing w:line="360" w:lineRule="auto"/>
        <w:ind w:firstLine="420" w:firstLineChars="200"/>
        <w:rPr>
          <w:rFonts w:cs="宋体"/>
          <w:color w:val="auto"/>
          <w:sz w:val="21"/>
          <w:szCs w:val="21"/>
        </w:rPr>
      </w:pPr>
      <w:r>
        <w:rPr>
          <w:rFonts w:hint="eastAsia" w:cs="宋体"/>
          <w:color w:val="auto"/>
          <w:sz w:val="21"/>
          <w:szCs w:val="21"/>
        </w:rPr>
        <w:t>（10）承包人应履行的其他义务：</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0420AD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3.2 项目经理</w:t>
      </w:r>
    </w:p>
    <w:p w14:paraId="25B0B4F2">
      <w:pPr>
        <w:adjustRightInd w:val="0"/>
        <w:snapToGrid w:val="0"/>
        <w:spacing w:line="360" w:lineRule="auto"/>
        <w:ind w:firstLine="420" w:firstLineChars="200"/>
        <w:rPr>
          <w:rFonts w:cs="宋体"/>
          <w:color w:val="auto"/>
          <w:sz w:val="21"/>
          <w:szCs w:val="21"/>
        </w:rPr>
      </w:pPr>
      <w:r>
        <w:rPr>
          <w:rFonts w:hint="eastAsia" w:cs="宋体"/>
          <w:color w:val="auto"/>
          <w:sz w:val="21"/>
          <w:szCs w:val="21"/>
        </w:rPr>
        <w:t>3.2.1 项目经理：</w:t>
      </w:r>
    </w:p>
    <w:p w14:paraId="6C41E713">
      <w:pPr>
        <w:adjustRightInd w:val="0"/>
        <w:snapToGrid w:val="0"/>
        <w:spacing w:line="360" w:lineRule="auto"/>
        <w:ind w:firstLine="420" w:firstLineChars="200"/>
        <w:rPr>
          <w:rFonts w:cs="宋体"/>
          <w:color w:val="auto"/>
          <w:sz w:val="21"/>
          <w:szCs w:val="21"/>
        </w:rPr>
      </w:pPr>
      <w:r>
        <w:rPr>
          <w:rFonts w:hint="eastAsia" w:cs="宋体"/>
          <w:color w:val="auto"/>
          <w:sz w:val="21"/>
          <w:szCs w:val="21"/>
        </w:rPr>
        <w:t>姓    名：</w:t>
      </w:r>
      <w:r>
        <w:rPr>
          <w:rFonts w:hint="eastAsia" w:cs="宋体"/>
          <w:color w:val="auto"/>
          <w:sz w:val="21"/>
          <w:szCs w:val="21"/>
          <w:u w:val="single"/>
        </w:rPr>
        <w:t>见《专用合同条款数据表》</w:t>
      </w:r>
      <w:r>
        <w:rPr>
          <w:rFonts w:hint="eastAsia" w:cs="宋体"/>
          <w:color w:val="auto"/>
          <w:sz w:val="21"/>
          <w:szCs w:val="21"/>
        </w:rPr>
        <w:t>；</w:t>
      </w:r>
    </w:p>
    <w:p w14:paraId="05D4CFF8">
      <w:pPr>
        <w:adjustRightInd w:val="0"/>
        <w:snapToGrid w:val="0"/>
        <w:spacing w:line="360" w:lineRule="auto"/>
        <w:ind w:firstLine="420" w:firstLineChars="200"/>
        <w:rPr>
          <w:rFonts w:cs="宋体"/>
          <w:color w:val="auto"/>
          <w:sz w:val="21"/>
          <w:szCs w:val="21"/>
        </w:rPr>
      </w:pPr>
      <w:r>
        <w:rPr>
          <w:rFonts w:hint="eastAsia" w:cs="宋体"/>
          <w:color w:val="auto"/>
          <w:sz w:val="21"/>
          <w:szCs w:val="21"/>
        </w:rPr>
        <w:t>身份证号：</w:t>
      </w:r>
      <w:r>
        <w:rPr>
          <w:rFonts w:hint="eastAsia" w:cs="宋体"/>
          <w:color w:val="auto"/>
          <w:sz w:val="21"/>
          <w:szCs w:val="21"/>
          <w:u w:val="single"/>
        </w:rPr>
        <w:t>见《专用合同条款数据表》</w:t>
      </w:r>
      <w:r>
        <w:rPr>
          <w:rFonts w:hint="eastAsia" w:cs="宋体"/>
          <w:color w:val="auto"/>
          <w:sz w:val="21"/>
          <w:szCs w:val="21"/>
        </w:rPr>
        <w:t>；</w:t>
      </w:r>
    </w:p>
    <w:p w14:paraId="4B20C09D">
      <w:pPr>
        <w:adjustRightInd w:val="0"/>
        <w:snapToGrid w:val="0"/>
        <w:spacing w:line="360" w:lineRule="auto"/>
        <w:ind w:firstLine="420" w:firstLineChars="200"/>
        <w:rPr>
          <w:rFonts w:cs="宋体"/>
          <w:color w:val="auto"/>
          <w:sz w:val="21"/>
          <w:szCs w:val="21"/>
        </w:rPr>
      </w:pPr>
      <w:r>
        <w:rPr>
          <w:rFonts w:hint="eastAsia" w:cs="宋体"/>
          <w:color w:val="auto"/>
          <w:sz w:val="21"/>
          <w:szCs w:val="21"/>
        </w:rPr>
        <w:t>建造师执业资格等级：</w:t>
      </w:r>
      <w:r>
        <w:rPr>
          <w:rFonts w:hint="eastAsia" w:cs="宋体"/>
          <w:color w:val="auto"/>
          <w:sz w:val="21"/>
          <w:szCs w:val="21"/>
          <w:u w:val="single"/>
        </w:rPr>
        <w:t>见《专用合同条款数据表》</w:t>
      </w:r>
      <w:r>
        <w:rPr>
          <w:rFonts w:hint="eastAsia" w:cs="宋体"/>
          <w:color w:val="auto"/>
          <w:sz w:val="21"/>
          <w:szCs w:val="21"/>
        </w:rPr>
        <w:t>；</w:t>
      </w:r>
    </w:p>
    <w:p w14:paraId="49D7C9B3">
      <w:pPr>
        <w:adjustRightInd w:val="0"/>
        <w:snapToGrid w:val="0"/>
        <w:spacing w:line="360" w:lineRule="auto"/>
        <w:ind w:firstLine="420" w:firstLineChars="200"/>
        <w:rPr>
          <w:rFonts w:cs="宋体"/>
          <w:color w:val="auto"/>
          <w:sz w:val="21"/>
          <w:szCs w:val="21"/>
        </w:rPr>
      </w:pPr>
      <w:r>
        <w:rPr>
          <w:rFonts w:hint="eastAsia" w:cs="宋体"/>
          <w:color w:val="auto"/>
          <w:sz w:val="21"/>
          <w:szCs w:val="21"/>
        </w:rPr>
        <w:t>建造师注册证书号：</w:t>
      </w:r>
      <w:r>
        <w:rPr>
          <w:rFonts w:hint="eastAsia" w:cs="宋体"/>
          <w:color w:val="auto"/>
          <w:sz w:val="21"/>
          <w:szCs w:val="21"/>
          <w:u w:val="single"/>
        </w:rPr>
        <w:t>见《专用合同条款数据表》</w:t>
      </w:r>
      <w:r>
        <w:rPr>
          <w:rFonts w:hint="eastAsia" w:cs="宋体"/>
          <w:color w:val="auto"/>
          <w:sz w:val="21"/>
          <w:szCs w:val="21"/>
        </w:rPr>
        <w:t>；</w:t>
      </w:r>
    </w:p>
    <w:p w14:paraId="3B8280E0">
      <w:pPr>
        <w:adjustRightInd w:val="0"/>
        <w:snapToGrid w:val="0"/>
        <w:spacing w:line="360" w:lineRule="auto"/>
        <w:ind w:firstLine="420" w:firstLineChars="200"/>
        <w:rPr>
          <w:rFonts w:cs="宋体"/>
          <w:color w:val="auto"/>
          <w:sz w:val="21"/>
          <w:szCs w:val="21"/>
        </w:rPr>
      </w:pPr>
      <w:r>
        <w:rPr>
          <w:rFonts w:hint="eastAsia" w:cs="宋体"/>
          <w:color w:val="auto"/>
          <w:sz w:val="21"/>
          <w:szCs w:val="21"/>
        </w:rPr>
        <w:t>建造师执业印章号：</w:t>
      </w:r>
      <w:r>
        <w:rPr>
          <w:rFonts w:hint="eastAsia" w:cs="宋体"/>
          <w:color w:val="auto"/>
          <w:sz w:val="21"/>
          <w:szCs w:val="21"/>
          <w:u w:val="single"/>
        </w:rPr>
        <w:t xml:space="preserve">                          </w:t>
      </w:r>
      <w:r>
        <w:rPr>
          <w:rFonts w:hint="eastAsia" w:cs="宋体"/>
          <w:color w:val="auto"/>
          <w:sz w:val="21"/>
          <w:szCs w:val="21"/>
        </w:rPr>
        <w:t>；</w:t>
      </w:r>
    </w:p>
    <w:p w14:paraId="33C043AD">
      <w:pPr>
        <w:adjustRightInd w:val="0"/>
        <w:snapToGrid w:val="0"/>
        <w:spacing w:line="360" w:lineRule="auto"/>
        <w:ind w:firstLine="420" w:firstLineChars="200"/>
        <w:rPr>
          <w:rFonts w:cs="宋体"/>
          <w:color w:val="auto"/>
          <w:sz w:val="21"/>
          <w:szCs w:val="21"/>
        </w:rPr>
      </w:pPr>
      <w:r>
        <w:rPr>
          <w:rFonts w:hint="eastAsia" w:cs="宋体"/>
          <w:color w:val="auto"/>
          <w:sz w:val="21"/>
          <w:szCs w:val="21"/>
        </w:rPr>
        <w:t>安全生产考核合格证书号：</w:t>
      </w:r>
      <w:r>
        <w:rPr>
          <w:rFonts w:hint="eastAsia" w:cs="宋体"/>
          <w:color w:val="auto"/>
          <w:sz w:val="21"/>
          <w:szCs w:val="21"/>
          <w:u w:val="single"/>
        </w:rPr>
        <w:t xml:space="preserve">                          </w:t>
      </w:r>
      <w:r>
        <w:rPr>
          <w:rFonts w:hint="eastAsia" w:cs="宋体"/>
          <w:color w:val="auto"/>
          <w:sz w:val="21"/>
          <w:szCs w:val="21"/>
        </w:rPr>
        <w:t>；</w:t>
      </w:r>
    </w:p>
    <w:p w14:paraId="1ECDB267">
      <w:pPr>
        <w:adjustRightInd w:val="0"/>
        <w:snapToGrid w:val="0"/>
        <w:spacing w:line="360" w:lineRule="auto"/>
        <w:ind w:firstLine="420" w:firstLineChars="200"/>
        <w:rPr>
          <w:rFonts w:cs="宋体"/>
          <w:color w:val="auto"/>
          <w:sz w:val="21"/>
          <w:szCs w:val="21"/>
        </w:rPr>
      </w:pPr>
      <w:r>
        <w:rPr>
          <w:rFonts w:hint="eastAsia" w:cs="宋体"/>
          <w:color w:val="auto"/>
          <w:sz w:val="21"/>
          <w:szCs w:val="21"/>
        </w:rPr>
        <w:t>联系电话：</w:t>
      </w:r>
      <w:r>
        <w:rPr>
          <w:rFonts w:hint="eastAsia" w:cs="宋体"/>
          <w:color w:val="auto"/>
          <w:sz w:val="21"/>
          <w:szCs w:val="21"/>
          <w:u w:val="single"/>
        </w:rPr>
        <w:t xml:space="preserve">                          </w:t>
      </w:r>
      <w:r>
        <w:rPr>
          <w:rFonts w:hint="eastAsia" w:cs="宋体"/>
          <w:color w:val="auto"/>
          <w:sz w:val="21"/>
          <w:szCs w:val="21"/>
        </w:rPr>
        <w:t>；</w:t>
      </w:r>
    </w:p>
    <w:p w14:paraId="7B1E443D">
      <w:pPr>
        <w:adjustRightInd w:val="0"/>
        <w:snapToGrid w:val="0"/>
        <w:spacing w:line="360" w:lineRule="auto"/>
        <w:ind w:firstLine="420" w:firstLineChars="200"/>
        <w:rPr>
          <w:rFonts w:cs="宋体"/>
          <w:color w:val="auto"/>
          <w:sz w:val="21"/>
          <w:szCs w:val="21"/>
        </w:rPr>
      </w:pPr>
      <w:r>
        <w:rPr>
          <w:rFonts w:hint="eastAsia" w:cs="宋体"/>
          <w:color w:val="auto"/>
          <w:sz w:val="21"/>
          <w:szCs w:val="21"/>
        </w:rPr>
        <w:t>电子信箱：</w:t>
      </w:r>
      <w:r>
        <w:rPr>
          <w:rFonts w:hint="eastAsia" w:cs="宋体"/>
          <w:color w:val="auto"/>
          <w:sz w:val="21"/>
          <w:szCs w:val="21"/>
          <w:u w:val="single"/>
        </w:rPr>
        <w:t xml:space="preserve">                          </w:t>
      </w:r>
      <w:r>
        <w:rPr>
          <w:rFonts w:hint="eastAsia" w:cs="宋体"/>
          <w:color w:val="auto"/>
          <w:sz w:val="21"/>
          <w:szCs w:val="21"/>
        </w:rPr>
        <w:t>；</w:t>
      </w:r>
    </w:p>
    <w:p w14:paraId="40573E0D">
      <w:pPr>
        <w:adjustRightInd w:val="0"/>
        <w:snapToGrid w:val="0"/>
        <w:spacing w:line="360" w:lineRule="auto"/>
        <w:ind w:firstLine="420" w:firstLineChars="200"/>
        <w:rPr>
          <w:rFonts w:cs="宋体"/>
          <w:color w:val="auto"/>
          <w:sz w:val="21"/>
          <w:szCs w:val="21"/>
        </w:rPr>
      </w:pPr>
      <w:r>
        <w:rPr>
          <w:rFonts w:hint="eastAsia" w:cs="宋体"/>
          <w:color w:val="auto"/>
          <w:sz w:val="21"/>
          <w:szCs w:val="21"/>
        </w:rPr>
        <w:t>通信地址：</w:t>
      </w:r>
      <w:r>
        <w:rPr>
          <w:rFonts w:hint="eastAsia" w:cs="宋体"/>
          <w:color w:val="auto"/>
          <w:sz w:val="21"/>
          <w:szCs w:val="21"/>
          <w:u w:val="single"/>
        </w:rPr>
        <w:t xml:space="preserve">                          </w:t>
      </w:r>
      <w:r>
        <w:rPr>
          <w:rFonts w:hint="eastAsia" w:cs="宋体"/>
          <w:color w:val="auto"/>
          <w:sz w:val="21"/>
          <w:szCs w:val="21"/>
        </w:rPr>
        <w:t>；</w:t>
      </w:r>
    </w:p>
    <w:p w14:paraId="03BF019C">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承包人对项目经理的授权范围如下：</w:t>
      </w:r>
      <w:r>
        <w:rPr>
          <w:rFonts w:hint="eastAsia" w:cs="宋体"/>
          <w:color w:val="auto"/>
          <w:sz w:val="21"/>
          <w:szCs w:val="21"/>
          <w:u w:val="single"/>
        </w:rPr>
        <w:t>见《专用合同条款数据表》</w:t>
      </w:r>
      <w:r>
        <w:rPr>
          <w:rFonts w:hint="eastAsia" w:cs="宋体"/>
          <w:color w:val="auto"/>
          <w:sz w:val="21"/>
          <w:szCs w:val="21"/>
        </w:rPr>
        <w:t>。</w:t>
      </w:r>
    </w:p>
    <w:p w14:paraId="0D20B7D1">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关于项目经理每月在施工现场的时间要求：</w:t>
      </w:r>
      <w:r>
        <w:rPr>
          <w:rFonts w:hint="eastAsia" w:cs="宋体"/>
          <w:color w:val="auto"/>
          <w:sz w:val="21"/>
          <w:szCs w:val="21"/>
          <w:u w:val="single"/>
        </w:rPr>
        <w:t>见《专用合同条款数据表》。</w:t>
      </w:r>
    </w:p>
    <w:p w14:paraId="290A0C86">
      <w:pPr>
        <w:adjustRightInd w:val="0"/>
        <w:snapToGrid w:val="0"/>
        <w:spacing w:line="360" w:lineRule="auto"/>
        <w:ind w:firstLine="420" w:firstLineChars="200"/>
        <w:rPr>
          <w:rFonts w:cs="宋体"/>
          <w:b/>
          <w:bCs/>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承包人未提交劳动合同，以及没有为项目经理缴纳社会保险证明的违约责任：</w:t>
      </w:r>
      <w:r>
        <w:rPr>
          <w:rFonts w:hint="eastAsia" w:cs="宋体"/>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u w:val="single"/>
          <w14:textFill>
            <w14:solidFill>
              <w14:schemeClr w14:val="tx1"/>
            </w14:solidFill>
          </w14:textFill>
        </w:rPr>
        <w:t>向发包人支付人民币</w:t>
      </w:r>
      <w:r>
        <w:rPr>
          <w:rFonts w:hint="eastAsia" w:cs="宋体"/>
          <w:b/>
          <w:bCs/>
          <w:color w:val="000000" w:themeColor="text1"/>
          <w:sz w:val="21"/>
          <w:szCs w:val="21"/>
          <w:u w:val="single"/>
          <w:lang w:val="en-US" w:eastAsia="zh-CN"/>
          <w14:textFill>
            <w14:solidFill>
              <w14:schemeClr w14:val="tx1"/>
            </w14:solidFill>
          </w14:textFill>
        </w:rPr>
        <w:t>壹</w:t>
      </w:r>
      <w:r>
        <w:rPr>
          <w:rFonts w:hint="eastAsia" w:cs="宋体"/>
          <w:b/>
          <w:bCs/>
          <w:color w:val="000000" w:themeColor="text1"/>
          <w:sz w:val="21"/>
          <w:szCs w:val="21"/>
          <w:u w:val="single"/>
          <w14:textFill>
            <w14:solidFill>
              <w14:schemeClr w14:val="tx1"/>
            </w14:solidFill>
          </w14:textFill>
        </w:rPr>
        <w:t>万元的违约金，违约金从履约保证金中扣除</w:t>
      </w:r>
      <w:r>
        <w:rPr>
          <w:rFonts w:hint="eastAsia" w:cs="宋体"/>
          <w:b/>
          <w:bCs/>
          <w:color w:val="000000" w:themeColor="text1"/>
          <w:sz w:val="21"/>
          <w:szCs w:val="21"/>
          <w:u w:val="single"/>
          <w:lang w:eastAsia="zh-CN"/>
          <w14:textFill>
            <w14:solidFill>
              <w14:schemeClr w14:val="tx1"/>
            </w14:solidFill>
          </w14:textFill>
        </w:rPr>
        <w:t>，</w:t>
      </w:r>
      <w:r>
        <w:rPr>
          <w:rFonts w:hint="eastAsia" w:cs="宋体"/>
          <w:b/>
          <w:bCs/>
          <w:color w:val="000000" w:themeColor="text1"/>
          <w:sz w:val="21"/>
          <w:szCs w:val="21"/>
          <w:u w:val="single"/>
          <w:lang w:val="en-US" w:eastAsia="zh-CN"/>
          <w14:textFill>
            <w14:solidFill>
              <w14:schemeClr w14:val="tx1"/>
            </w14:solidFill>
          </w14:textFill>
        </w:rPr>
        <w:t>同时发包人有权解除合同</w:t>
      </w:r>
      <w:r>
        <w:rPr>
          <w:rFonts w:hint="eastAsia" w:cs="宋体"/>
          <w:b/>
          <w:bCs/>
          <w:color w:val="000000" w:themeColor="text1"/>
          <w:sz w:val="21"/>
          <w:szCs w:val="21"/>
          <w:u w:val="single"/>
          <w14:textFill>
            <w14:solidFill>
              <w14:schemeClr w14:val="tx1"/>
            </w14:solidFill>
          </w14:textFill>
        </w:rPr>
        <w:t xml:space="preserve">  </w:t>
      </w:r>
      <w:r>
        <w:rPr>
          <w:rFonts w:hint="eastAsia" w:cs="宋体"/>
          <w:b/>
          <w:bCs/>
          <w:color w:val="000000" w:themeColor="text1"/>
          <w:sz w:val="21"/>
          <w:szCs w:val="21"/>
          <w14:textFill>
            <w14:solidFill>
              <w14:schemeClr w14:val="tx1"/>
            </w14:solidFill>
          </w14:textFill>
        </w:rPr>
        <w:t>。</w:t>
      </w:r>
    </w:p>
    <w:p w14:paraId="2D94CF64">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项目经理未经批准，擅自离开施工现场的违约责任：</w:t>
      </w:r>
      <w:r>
        <w:rPr>
          <w:rFonts w:hint="eastAsia" w:cs="宋体"/>
          <w:color w:val="000000" w:themeColor="text1"/>
          <w:sz w:val="21"/>
          <w:szCs w:val="21"/>
          <w:u w:val="single"/>
          <w14:textFill>
            <w14:solidFill>
              <w14:schemeClr w14:val="tx1"/>
            </w14:solidFill>
          </w14:textFill>
        </w:rPr>
        <w:t>承包人未能按照承诺到岗尽职的，发包人将视情况严重程度对其作出相应处理，给予警告并发出整改通知。如仍未及时整改，发包人有权责令其停工整改直至解除合同。发包人还将停止支付工程款项，扣留任何未付的工程进度款项补偿发包人的有关损失或工期延误的损失，并就此向承包人索赔。</w:t>
      </w:r>
    </w:p>
    <w:p w14:paraId="55238DC8">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3.2.3 承包人擅自更换项目经理的违约责任：</w:t>
      </w:r>
    </w:p>
    <w:p w14:paraId="6F0B43B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承包人不得擅自更换投标时所报项目经理，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w:t>
      </w:r>
    </w:p>
    <w:p w14:paraId="425364C8">
      <w:pPr>
        <w:adjustRightInd w:val="0"/>
        <w:snapToGrid w:val="0"/>
        <w:spacing w:line="360" w:lineRule="auto"/>
        <w:ind w:firstLine="420" w:firstLineChars="200"/>
        <w:rPr>
          <w:rFonts w:hint="default" w:cs="宋体"/>
          <w:color w:val="000000" w:themeColor="text1"/>
          <w:sz w:val="21"/>
          <w:szCs w:val="21"/>
          <w:u w:val="single"/>
          <w:lang w:val="en-US"/>
          <w14:textFill>
            <w14:solidFill>
              <w14:schemeClr w14:val="tx1"/>
            </w14:solidFill>
          </w14:textFill>
        </w:rPr>
      </w:pPr>
      <w:r>
        <w:rPr>
          <w:rFonts w:hint="eastAsia" w:cs="宋体"/>
          <w:color w:val="000000" w:themeColor="text1"/>
          <w:sz w:val="21"/>
          <w:szCs w:val="21"/>
          <w14:textFill>
            <w14:solidFill>
              <w14:schemeClr w14:val="tx1"/>
            </w14:solidFill>
          </w14:textFill>
        </w:rPr>
        <w:t>3.2.4 承包人无正当理由拒绝更换项目经理的违约责任：</w:t>
      </w:r>
      <w:r>
        <w:rPr>
          <w:rFonts w:hint="eastAsia" w:cs="宋体"/>
          <w:color w:val="000000" w:themeColor="text1"/>
          <w:sz w:val="21"/>
          <w:szCs w:val="21"/>
          <w:u w:val="single"/>
          <w14:textFill>
            <w14:solidFill>
              <w14:schemeClr w14:val="tx1"/>
            </w14:solidFill>
          </w14:textFill>
        </w:rPr>
        <w:t xml:space="preserve"> 向发包人支付人民币</w:t>
      </w:r>
      <w:r>
        <w:rPr>
          <w:rFonts w:hint="eastAsia" w:cs="宋体"/>
          <w:b/>
          <w:bCs/>
          <w:color w:val="000000" w:themeColor="text1"/>
          <w:sz w:val="21"/>
          <w:szCs w:val="21"/>
          <w:u w:val="single"/>
          <w:lang w:val="en-US" w:eastAsia="zh-CN"/>
          <w14:textFill>
            <w14:solidFill>
              <w14:schemeClr w14:val="tx1"/>
            </w14:solidFill>
          </w14:textFill>
        </w:rPr>
        <w:t>壹</w:t>
      </w:r>
    </w:p>
    <w:p w14:paraId="49D9EE7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万元违约金，同时承包人承担上述违约给发包人造成的一切损失。 </w:t>
      </w:r>
      <w:r>
        <w:rPr>
          <w:rFonts w:hint="eastAsia" w:cs="宋体"/>
          <w:color w:val="000000" w:themeColor="text1"/>
          <w:sz w:val="21"/>
          <w:szCs w:val="21"/>
          <w14:textFill>
            <w14:solidFill>
              <w14:schemeClr w14:val="tx1"/>
            </w14:solidFill>
          </w14:textFill>
        </w:rPr>
        <w:t>。</w:t>
      </w:r>
    </w:p>
    <w:p w14:paraId="4605FCBC">
      <w:pPr>
        <w:keepNext/>
        <w:keepLines/>
        <w:snapToGrid w:val="0"/>
        <w:spacing w:before="120" w:after="120" w:line="360" w:lineRule="auto"/>
        <w:ind w:firstLine="420" w:firstLineChars="200"/>
        <w:outlineLvl w:val="3"/>
        <w:rPr>
          <w:rFonts w:cs="宋体"/>
          <w:bCs/>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3.3 承包人人员</w:t>
      </w:r>
    </w:p>
    <w:p w14:paraId="4477A58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3.3.1 承包人提交项目管理机构及施工现场管理人员安排报告的期限：</w:t>
      </w:r>
      <w:r>
        <w:rPr>
          <w:rFonts w:hint="eastAsia" w:cs="宋体"/>
          <w:color w:val="000000" w:themeColor="text1"/>
          <w:sz w:val="21"/>
          <w:szCs w:val="21"/>
          <w:u w:val="single"/>
          <w:lang w:val="en-US" w:eastAsia="zh-CN"/>
          <w14:textFill>
            <w14:solidFill>
              <w14:schemeClr w14:val="tx1"/>
            </w14:solidFill>
          </w14:textFill>
        </w:rPr>
        <w:t>合同签订时提供</w:t>
      </w:r>
      <w:r>
        <w:rPr>
          <w:rFonts w:hint="eastAsia" w:cs="宋体"/>
          <w:color w:val="000000" w:themeColor="text1"/>
          <w:sz w:val="21"/>
          <w:szCs w:val="21"/>
          <w14:textFill>
            <w14:solidFill>
              <w14:schemeClr w14:val="tx1"/>
            </w14:solidFill>
          </w14:textFill>
        </w:rPr>
        <w:t>。</w:t>
      </w:r>
    </w:p>
    <w:p w14:paraId="43C586BB">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3.3.3 承包人无正当理由拒绝撤换主要施工管理人员的违约责任：</w:t>
      </w:r>
      <w:r>
        <w:rPr>
          <w:rFonts w:hint="eastAsia" w:cs="宋体"/>
          <w:color w:val="000000" w:themeColor="text1"/>
          <w:sz w:val="21"/>
          <w:szCs w:val="21"/>
          <w:u w:val="single"/>
          <w14:textFill>
            <w14:solidFill>
              <w14:schemeClr w14:val="tx1"/>
            </w14:solidFill>
          </w14:textFill>
        </w:rPr>
        <w:t xml:space="preserve"> 发包人有权解除合同，由此造成的损失由承包人自行承担，承包人还应赔偿由此造成发包人的全部损失。 </w:t>
      </w:r>
      <w:r>
        <w:rPr>
          <w:rFonts w:hint="eastAsia" w:cs="宋体"/>
          <w:color w:val="000000" w:themeColor="text1"/>
          <w:sz w:val="21"/>
          <w:szCs w:val="21"/>
          <w14:textFill>
            <w14:solidFill>
              <w14:schemeClr w14:val="tx1"/>
            </w14:solidFill>
          </w14:textFill>
        </w:rPr>
        <w:t>。</w:t>
      </w:r>
    </w:p>
    <w:p w14:paraId="31FE2642">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3.3.4 承包人主要施工管理人员离开施工现场的批准要求：</w:t>
      </w:r>
      <w:r>
        <w:rPr>
          <w:rFonts w:hint="eastAsia" w:cs="宋体"/>
          <w:color w:val="000000" w:themeColor="text1"/>
          <w:sz w:val="21"/>
          <w:szCs w:val="21"/>
          <w:u w:val="single"/>
          <w14:textFill>
            <w14:solidFill>
              <w14:schemeClr w14:val="tx1"/>
            </w14:solidFill>
          </w14:textFill>
        </w:rPr>
        <w:t xml:space="preserve"> 执行通用条款 </w:t>
      </w:r>
      <w:r>
        <w:rPr>
          <w:rFonts w:hint="eastAsia" w:cs="宋体"/>
          <w:color w:val="000000" w:themeColor="text1"/>
          <w:sz w:val="21"/>
          <w:szCs w:val="21"/>
          <w14:textFill>
            <w14:solidFill>
              <w14:schemeClr w14:val="tx1"/>
            </w14:solidFill>
          </w14:textFill>
        </w:rPr>
        <w:t>。</w:t>
      </w:r>
    </w:p>
    <w:p w14:paraId="192DE41D">
      <w:pPr>
        <w:adjustRightInd w:val="0"/>
        <w:snapToGrid w:val="0"/>
        <w:spacing w:line="360" w:lineRule="auto"/>
        <w:ind w:firstLine="424" w:firstLineChars="202"/>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3.3.5 承包人擅自更换主要施工管理人员的违约责任：</w:t>
      </w:r>
      <w:r>
        <w:rPr>
          <w:rFonts w:hint="eastAsia" w:cs="宋体"/>
          <w:color w:val="000000" w:themeColor="text1"/>
          <w:sz w:val="21"/>
          <w:szCs w:val="21"/>
          <w:u w:val="single"/>
          <w14:textFill>
            <w14:solidFill>
              <w14:schemeClr w14:val="tx1"/>
            </w14:solidFill>
          </w14:textFill>
        </w:rPr>
        <w:t>承包人不得擅自更换主要管理人员，否则发包人有权解除合同，由此造成的损失由承包人自行承担，承包人还应赔偿由此造成发包人的全部损失。确需更换的须在签订合同后，报经发包人同意后按相关规定办理，更换后的人员不得低于承包人投标时所报人员资质和技术水平。发包人如认为有必要，可要求对上述人员中的部分人员作出更好的调整。</w:t>
      </w:r>
    </w:p>
    <w:p w14:paraId="3B7E1285">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承包人主要施工管理人员擅自离开施工现场的违约责任：</w:t>
      </w:r>
      <w:r>
        <w:rPr>
          <w:rFonts w:hint="eastAsia" w:cs="宋体"/>
          <w:color w:val="auto"/>
          <w:sz w:val="21"/>
          <w:szCs w:val="21"/>
          <w:u w:val="single"/>
        </w:rPr>
        <w:t xml:space="preserve">   执行通用条款  </w:t>
      </w:r>
      <w:r>
        <w:rPr>
          <w:rFonts w:hint="eastAsia" w:cs="宋体"/>
          <w:color w:val="auto"/>
          <w:sz w:val="21"/>
          <w:szCs w:val="21"/>
        </w:rPr>
        <w:t>。</w:t>
      </w:r>
    </w:p>
    <w:p w14:paraId="1E7A962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w:t>
      </w:r>
      <w:bookmarkStart w:id="187" w:name="_Toc312677988"/>
      <w:bookmarkStart w:id="188" w:name="_Toc296346660"/>
      <w:bookmarkStart w:id="189" w:name="_Toc304295523"/>
      <w:bookmarkStart w:id="190" w:name="_Toc297048345"/>
      <w:bookmarkStart w:id="191" w:name="_Toc292559869"/>
      <w:bookmarkStart w:id="192" w:name="_Toc300934945"/>
      <w:bookmarkStart w:id="193" w:name="_Toc296503159"/>
      <w:bookmarkStart w:id="194" w:name="_Toc296890987"/>
      <w:bookmarkStart w:id="195" w:name="_Toc296944498"/>
      <w:bookmarkStart w:id="196" w:name="_Toc297120459"/>
      <w:bookmarkStart w:id="197" w:name="_Toc292559364"/>
      <w:bookmarkStart w:id="198" w:name="_Toc303539102"/>
      <w:bookmarkStart w:id="199" w:name="_Toc296891199"/>
      <w:bookmarkStart w:id="200" w:name="_Toc297216151"/>
      <w:bookmarkStart w:id="201" w:name="_Toc297123492"/>
      <w:bookmarkStart w:id="202" w:name="_Toc296347158"/>
      <w:r>
        <w:rPr>
          <w:rFonts w:hint="eastAsia" w:cs="宋体"/>
          <w:bCs/>
          <w:color w:val="auto"/>
          <w:sz w:val="21"/>
          <w:szCs w:val="21"/>
        </w:rPr>
        <w:t>.5 分包</w:t>
      </w:r>
    </w:p>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14:paraId="36DCDBED">
      <w:pPr>
        <w:adjustRightInd w:val="0"/>
        <w:snapToGrid w:val="0"/>
        <w:spacing w:line="360" w:lineRule="auto"/>
        <w:ind w:firstLine="420" w:firstLineChars="200"/>
        <w:rPr>
          <w:rFonts w:cs="宋体"/>
          <w:color w:val="auto"/>
          <w:sz w:val="21"/>
          <w:szCs w:val="21"/>
        </w:rPr>
      </w:pPr>
      <w:r>
        <w:rPr>
          <w:rFonts w:hint="eastAsia" w:cs="宋体"/>
          <w:color w:val="auto"/>
          <w:sz w:val="21"/>
          <w:szCs w:val="21"/>
        </w:rPr>
        <w:t>3</w:t>
      </w:r>
      <w:bookmarkStart w:id="203" w:name="_Toc296347159"/>
      <w:bookmarkStart w:id="204" w:name="_Toc303539103"/>
      <w:bookmarkStart w:id="205" w:name="_Toc296891200"/>
      <w:bookmarkStart w:id="206" w:name="_Toc296944499"/>
      <w:bookmarkStart w:id="207" w:name="_Toc297123493"/>
      <w:bookmarkStart w:id="208" w:name="_Toc300934946"/>
      <w:bookmarkStart w:id="209" w:name="_Toc292559870"/>
      <w:bookmarkStart w:id="210" w:name="_Toc297048346"/>
      <w:bookmarkStart w:id="211" w:name="_Toc304295524"/>
      <w:bookmarkStart w:id="212" w:name="_Toc296890988"/>
      <w:bookmarkStart w:id="213" w:name="_Toc297216152"/>
      <w:bookmarkStart w:id="214" w:name="_Toc297120460"/>
      <w:bookmarkStart w:id="215" w:name="_Toc296346661"/>
      <w:bookmarkStart w:id="216" w:name="_Toc292559365"/>
      <w:bookmarkStart w:id="217" w:name="_Toc296503160"/>
      <w:bookmarkStart w:id="218" w:name="_Toc318581158"/>
      <w:bookmarkStart w:id="219" w:name="_Toc312677989"/>
      <w:r>
        <w:rPr>
          <w:rFonts w:hint="eastAsia" w:cs="宋体"/>
          <w:color w:val="auto"/>
          <w:sz w:val="21"/>
          <w:szCs w:val="21"/>
        </w:rPr>
        <w:t>.5.1 分包的一般约定</w:t>
      </w:r>
    </w:p>
    <w:p w14:paraId="48F63C25">
      <w:pPr>
        <w:adjustRightInd w:val="0"/>
        <w:snapToGrid w:val="0"/>
        <w:spacing w:line="360" w:lineRule="auto"/>
        <w:ind w:firstLine="420" w:firstLineChars="200"/>
        <w:rPr>
          <w:rFonts w:cs="宋体"/>
          <w:color w:val="auto"/>
          <w:sz w:val="21"/>
          <w:szCs w:val="21"/>
        </w:rPr>
      </w:pPr>
      <w:r>
        <w:rPr>
          <w:rFonts w:hint="eastAsia" w:cs="宋体"/>
          <w:color w:val="auto"/>
          <w:sz w:val="21"/>
          <w:szCs w:val="21"/>
        </w:rPr>
        <w:t>禁止分包的工程包括：</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10B637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主体结构、关键性工作的范围：</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Start w:id="220" w:name="_Toc296891201"/>
      <w:bookmarkStart w:id="221" w:name="_Toc296346662"/>
      <w:bookmarkStart w:id="222" w:name="_Toc296347160"/>
      <w:bookmarkStart w:id="223" w:name="_Toc303539104"/>
      <w:bookmarkStart w:id="224" w:name="_Toc296503161"/>
      <w:bookmarkStart w:id="225" w:name="_Toc297123494"/>
      <w:bookmarkStart w:id="226" w:name="_Toc297216153"/>
      <w:bookmarkStart w:id="227" w:name="_Toc300934947"/>
      <w:bookmarkStart w:id="228" w:name="_Toc297048347"/>
      <w:bookmarkStart w:id="229" w:name="_Toc296944500"/>
      <w:bookmarkStart w:id="230" w:name="_Toc296890989"/>
      <w:bookmarkStart w:id="231" w:name="_Toc304295525"/>
      <w:bookmarkStart w:id="232" w:name="_Toc297120461"/>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14:paraId="65831A68">
      <w:pPr>
        <w:adjustRightInd w:val="0"/>
        <w:snapToGrid w:val="0"/>
        <w:spacing w:line="360" w:lineRule="auto"/>
        <w:ind w:firstLine="420" w:firstLineChars="200"/>
        <w:rPr>
          <w:rFonts w:cs="宋体"/>
          <w:color w:val="auto"/>
          <w:sz w:val="21"/>
          <w:szCs w:val="21"/>
        </w:rPr>
      </w:pPr>
      <w:r>
        <w:rPr>
          <w:rFonts w:hint="eastAsia" w:cs="宋体"/>
          <w:color w:val="auto"/>
          <w:sz w:val="21"/>
          <w:szCs w:val="21"/>
        </w:rPr>
        <w:t>3</w:t>
      </w:r>
      <w:bookmarkStart w:id="233" w:name="_Toc318581159"/>
      <w:bookmarkStart w:id="234" w:name="_Toc312677990"/>
      <w:r>
        <w:rPr>
          <w:rFonts w:hint="eastAsia" w:cs="宋体"/>
          <w:color w:val="auto"/>
          <w:sz w:val="21"/>
          <w:szCs w:val="21"/>
        </w:rPr>
        <w:t>.5.2 分包的确定</w:t>
      </w:r>
    </w:p>
    <w:p w14:paraId="0D57FCC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允许分包的专业工程包括：</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4855307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其他关于分包的约定：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32BE07D">
      <w:pPr>
        <w:adjustRightInd w:val="0"/>
        <w:snapToGrid w:val="0"/>
        <w:spacing w:line="360" w:lineRule="auto"/>
        <w:ind w:firstLine="420" w:firstLineChars="200"/>
        <w:rPr>
          <w:rFonts w:cs="宋体"/>
          <w:color w:val="auto"/>
          <w:sz w:val="21"/>
          <w:szCs w:val="21"/>
        </w:rPr>
      </w:pPr>
      <w:r>
        <w:rPr>
          <w:rFonts w:hint="eastAsia" w:cs="宋体"/>
          <w:color w:val="auto"/>
          <w:sz w:val="21"/>
          <w:szCs w:val="21"/>
        </w:rPr>
        <w:t>3.5.4 分包合同价款</w:t>
      </w:r>
    </w:p>
    <w:p w14:paraId="73D42666">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关于分包合同价款支付的约定：</w:t>
      </w:r>
      <w:r>
        <w:rPr>
          <w:rFonts w:hint="eastAsia" w:cs="宋体"/>
          <w:color w:val="auto"/>
          <w:sz w:val="21"/>
          <w:szCs w:val="21"/>
          <w:u w:val="single"/>
        </w:rPr>
        <w:t xml:space="preserve">          </w:t>
      </w:r>
      <w:r>
        <w:rPr>
          <w:rFonts w:hint="eastAsia" w:cs="宋体"/>
          <w:color w:val="auto"/>
          <w:sz w:val="21"/>
          <w:szCs w:val="21"/>
        </w:rPr>
        <w:t>。</w:t>
      </w:r>
    </w:p>
    <w:bookmarkEnd w:id="233"/>
    <w:bookmarkEnd w:id="234"/>
    <w:p w14:paraId="0F67CF38">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3.6 工程照管与成品、半成品保护</w:t>
      </w:r>
    </w:p>
    <w:p w14:paraId="1B99D37C">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承包人负责照管工程及工程相关的材料、工程设备的起始时间：</w:t>
      </w:r>
      <w:r>
        <w:rPr>
          <w:rFonts w:hint="eastAsia" w:cs="宋体"/>
          <w:color w:val="auto"/>
          <w:sz w:val="21"/>
          <w:szCs w:val="21"/>
          <w:u w:val="single"/>
        </w:rPr>
        <w:t>自发包人向承包人移交施工现场之日起，承包人应负责照管工程及工程相关的材料、工程设备，直到颁发工程接收证书之日止。</w:t>
      </w:r>
    </w:p>
    <w:p w14:paraId="69F1B234">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3.7 履约保证金</w:t>
      </w:r>
    </w:p>
    <w:p w14:paraId="2E48C02F">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承包人是否提供履约保证金：</w:t>
      </w:r>
      <w:r>
        <w:rPr>
          <w:rFonts w:hint="eastAsia" w:cs="宋体"/>
          <w:color w:val="auto"/>
          <w:sz w:val="21"/>
          <w:szCs w:val="21"/>
          <w:u w:val="single"/>
        </w:rPr>
        <w:t>见《专用合同条款数据表》</w:t>
      </w:r>
      <w:r>
        <w:rPr>
          <w:rFonts w:hint="eastAsia" w:cs="宋体"/>
          <w:color w:val="auto"/>
          <w:sz w:val="21"/>
          <w:szCs w:val="21"/>
        </w:rPr>
        <w:t>。</w:t>
      </w:r>
    </w:p>
    <w:p w14:paraId="51CE1467">
      <w:pPr>
        <w:adjustRightInd w:val="0"/>
        <w:snapToGrid w:val="0"/>
        <w:spacing w:line="360" w:lineRule="auto"/>
        <w:ind w:left="-70" w:leftChars="-35" w:firstLine="497" w:firstLineChars="237"/>
        <w:rPr>
          <w:rFonts w:cs="宋体"/>
          <w:b/>
          <w:color w:val="auto"/>
          <w:sz w:val="21"/>
          <w:szCs w:val="21"/>
        </w:rPr>
      </w:pPr>
      <w:r>
        <w:rPr>
          <w:rFonts w:hint="eastAsia" w:cs="宋体"/>
          <w:color w:val="auto"/>
          <w:sz w:val="21"/>
          <w:szCs w:val="21"/>
        </w:rPr>
        <w:t>承包人提供履约保证金的形式：</w:t>
      </w:r>
      <w:r>
        <w:rPr>
          <w:rFonts w:hint="eastAsia" w:cs="宋体"/>
          <w:color w:val="auto"/>
          <w:sz w:val="21"/>
          <w:szCs w:val="21"/>
          <w:u w:val="single"/>
        </w:rPr>
        <w:t>见《专用合同条款数据表》</w:t>
      </w:r>
      <w:r>
        <w:rPr>
          <w:rFonts w:hint="eastAsia" w:cs="宋体"/>
          <w:color w:val="auto"/>
          <w:sz w:val="21"/>
          <w:szCs w:val="21"/>
        </w:rPr>
        <w:t>。</w:t>
      </w:r>
    </w:p>
    <w:p w14:paraId="3DD2CF39">
      <w:pPr>
        <w:adjustRightInd w:val="0"/>
        <w:snapToGrid w:val="0"/>
        <w:spacing w:line="360" w:lineRule="auto"/>
        <w:ind w:firstLine="420" w:firstLineChars="200"/>
        <w:rPr>
          <w:rFonts w:cs="宋体"/>
          <w:color w:val="auto"/>
          <w:sz w:val="21"/>
          <w:szCs w:val="21"/>
        </w:rPr>
      </w:pPr>
      <w:r>
        <w:rPr>
          <w:rFonts w:hint="eastAsia" w:cs="宋体"/>
          <w:color w:val="auto"/>
          <w:sz w:val="21"/>
          <w:szCs w:val="21"/>
        </w:rPr>
        <w:t>履约保证金的金额：</w:t>
      </w:r>
      <w:r>
        <w:rPr>
          <w:rFonts w:hint="eastAsia" w:cs="宋体"/>
          <w:color w:val="auto"/>
          <w:sz w:val="21"/>
          <w:szCs w:val="21"/>
          <w:u w:val="single"/>
        </w:rPr>
        <w:t>见《专用合同条款数据表》</w:t>
      </w:r>
      <w:r>
        <w:rPr>
          <w:rFonts w:hint="eastAsia" w:cs="宋体"/>
          <w:color w:val="auto"/>
          <w:sz w:val="21"/>
          <w:szCs w:val="21"/>
        </w:rPr>
        <w:t>。</w:t>
      </w:r>
    </w:p>
    <w:p w14:paraId="2741B14E">
      <w:pPr>
        <w:adjustRightInd w:val="0"/>
        <w:snapToGrid w:val="0"/>
        <w:spacing w:line="360" w:lineRule="auto"/>
        <w:ind w:firstLine="420" w:firstLineChars="200"/>
        <w:rPr>
          <w:rFonts w:cs="宋体"/>
          <w:color w:val="auto"/>
          <w:sz w:val="21"/>
          <w:szCs w:val="21"/>
        </w:rPr>
      </w:pPr>
      <w:r>
        <w:rPr>
          <w:rFonts w:hint="eastAsia" w:cs="宋体"/>
          <w:color w:val="auto"/>
          <w:sz w:val="21"/>
          <w:szCs w:val="21"/>
        </w:rPr>
        <w:t>履约保证金提交期限的要求：</w:t>
      </w:r>
      <w:r>
        <w:rPr>
          <w:rFonts w:hint="eastAsia" w:cs="宋体"/>
          <w:color w:val="auto"/>
          <w:sz w:val="21"/>
          <w:szCs w:val="21"/>
          <w:u w:val="single"/>
        </w:rPr>
        <w:t>见《专用合同条款数据表》。</w:t>
      </w:r>
    </w:p>
    <w:p w14:paraId="409EDEB6">
      <w:pPr>
        <w:adjustRightInd w:val="0"/>
        <w:snapToGrid w:val="0"/>
        <w:spacing w:line="360" w:lineRule="auto"/>
        <w:ind w:firstLine="420" w:firstLineChars="200"/>
        <w:rPr>
          <w:rFonts w:cs="宋体"/>
          <w:strike/>
          <w:color w:val="auto"/>
          <w:sz w:val="21"/>
          <w:szCs w:val="21"/>
        </w:rPr>
      </w:pPr>
      <w:r>
        <w:rPr>
          <w:rFonts w:hint="eastAsia" w:cs="宋体"/>
          <w:bCs/>
          <w:snapToGrid w:val="0"/>
          <w:color w:val="auto"/>
          <w:sz w:val="21"/>
          <w:szCs w:val="21"/>
        </w:rPr>
        <w:t>履约保证金退还时限：</w:t>
      </w:r>
      <w:r>
        <w:rPr>
          <w:rFonts w:hint="eastAsia" w:cs="宋体"/>
          <w:color w:val="auto"/>
          <w:sz w:val="21"/>
          <w:szCs w:val="21"/>
          <w:u w:val="single"/>
        </w:rPr>
        <w:t>见《专用合同条款数据表》。</w:t>
      </w:r>
    </w:p>
    <w:p w14:paraId="22606F72">
      <w:pPr>
        <w:snapToGrid w:val="0"/>
        <w:spacing w:before="312" w:beforeLines="100" w:after="312" w:afterLines="100" w:line="360" w:lineRule="auto"/>
        <w:outlineLvl w:val="2"/>
        <w:rPr>
          <w:rFonts w:hint="eastAsia" w:cs="宋体"/>
          <w:bCs/>
          <w:color w:val="auto"/>
          <w:sz w:val="21"/>
          <w:szCs w:val="21"/>
          <w:lang w:val="en-US" w:eastAsia="zh-CN"/>
        </w:rPr>
      </w:pPr>
      <w:bookmarkStart w:id="235" w:name="_Toc351203636"/>
      <w:r>
        <w:rPr>
          <w:rFonts w:hint="eastAsia" w:cs="宋体"/>
          <w:color w:val="auto"/>
          <w:sz w:val="21"/>
          <w:szCs w:val="21"/>
        </w:rPr>
        <w:t>4</w:t>
      </w:r>
      <w:bookmarkStart w:id="236" w:name="_Toc296346663"/>
      <w:bookmarkStart w:id="237" w:name="_Toc296347161"/>
      <w:bookmarkStart w:id="238" w:name="_Toc297120462"/>
      <w:bookmarkStart w:id="239" w:name="_Toc296944501"/>
      <w:bookmarkStart w:id="240" w:name="_Toc296891202"/>
      <w:bookmarkStart w:id="241" w:name="_Toc292559366"/>
      <w:bookmarkStart w:id="242" w:name="_Toc296503162"/>
      <w:bookmarkStart w:id="243" w:name="_Toc292559871"/>
      <w:bookmarkStart w:id="244" w:name="_Toc267251413"/>
      <w:bookmarkStart w:id="245" w:name="_Toc296890990"/>
      <w:bookmarkStart w:id="246" w:name="_Toc297048348"/>
      <w:r>
        <w:rPr>
          <w:rFonts w:hint="eastAsia" w:cs="宋体"/>
          <w:color w:val="auto"/>
          <w:sz w:val="21"/>
          <w:szCs w:val="21"/>
        </w:rPr>
        <w:t>. 监</w:t>
      </w:r>
      <w:bookmarkEnd w:id="236"/>
      <w:bookmarkEnd w:id="237"/>
      <w:bookmarkEnd w:id="238"/>
      <w:bookmarkEnd w:id="239"/>
      <w:bookmarkEnd w:id="240"/>
      <w:bookmarkEnd w:id="241"/>
      <w:bookmarkEnd w:id="242"/>
      <w:bookmarkEnd w:id="243"/>
      <w:bookmarkEnd w:id="244"/>
      <w:bookmarkEnd w:id="245"/>
      <w:bookmarkEnd w:id="246"/>
      <w:r>
        <w:rPr>
          <w:rFonts w:hint="eastAsia" w:cs="宋体"/>
          <w:color w:val="auto"/>
          <w:sz w:val="21"/>
          <w:szCs w:val="21"/>
        </w:rPr>
        <w:t>理人</w:t>
      </w:r>
      <w:bookmarkEnd w:id="235"/>
      <w:bookmarkStart w:id="247" w:name="_Toc267251418"/>
      <w:bookmarkStart w:id="248" w:name="_Toc351203637"/>
      <w:r>
        <w:rPr>
          <w:rFonts w:hint="eastAsia" w:cs="宋体"/>
          <w:bCs/>
          <w:color w:val="auto"/>
          <w:sz w:val="21"/>
          <w:szCs w:val="21"/>
          <w:lang w:val="en-US" w:eastAsia="zh-CN"/>
        </w:rPr>
        <w:t>//</w:t>
      </w:r>
    </w:p>
    <w:p w14:paraId="583127B4">
      <w:pPr>
        <w:snapToGrid w:val="0"/>
        <w:spacing w:before="312" w:beforeLines="100" w:after="312" w:afterLines="100" w:line="360" w:lineRule="auto"/>
        <w:outlineLvl w:val="2"/>
        <w:rPr>
          <w:rFonts w:cs="宋体"/>
          <w:color w:val="auto"/>
          <w:sz w:val="21"/>
          <w:szCs w:val="21"/>
        </w:rPr>
      </w:pPr>
      <w:r>
        <w:rPr>
          <w:rFonts w:hint="eastAsia" w:cs="宋体"/>
          <w:color w:val="auto"/>
          <w:sz w:val="21"/>
          <w:szCs w:val="21"/>
        </w:rPr>
        <w:t>5</w:t>
      </w:r>
      <w:bookmarkEnd w:id="247"/>
      <w:bookmarkStart w:id="249" w:name="_Toc296890991"/>
      <w:bookmarkStart w:id="250" w:name="_Toc296944502"/>
      <w:bookmarkStart w:id="251" w:name="_Toc297120463"/>
      <w:bookmarkStart w:id="252" w:name="_Toc296503163"/>
      <w:bookmarkStart w:id="253" w:name="_Toc296346664"/>
      <w:bookmarkStart w:id="254" w:name="_Toc296347162"/>
      <w:bookmarkStart w:id="255" w:name="_Toc292559872"/>
      <w:bookmarkStart w:id="256" w:name="_Toc296891203"/>
      <w:bookmarkStart w:id="257" w:name="_Toc292559367"/>
      <w:bookmarkStart w:id="258" w:name="_Toc297048349"/>
      <w:r>
        <w:rPr>
          <w:rFonts w:hint="eastAsia" w:cs="宋体"/>
          <w:color w:val="auto"/>
          <w:sz w:val="21"/>
          <w:szCs w:val="21"/>
        </w:rPr>
        <w:t>. 工程质量</w:t>
      </w:r>
      <w:bookmarkEnd w:id="248"/>
    </w:p>
    <w:p w14:paraId="11A239F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5.1 质量要求</w:t>
      </w:r>
    </w:p>
    <w:p w14:paraId="230FEABC">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5</w:t>
      </w:r>
      <w:bookmarkStart w:id="259" w:name="_Toc312677997"/>
      <w:bookmarkStart w:id="260" w:name="_Toc297216155"/>
      <w:bookmarkStart w:id="261" w:name="_Toc318581164"/>
      <w:bookmarkStart w:id="262" w:name="_Toc297123496"/>
      <w:bookmarkStart w:id="263" w:name="_Toc300934949"/>
      <w:bookmarkStart w:id="264" w:name="_Toc303539106"/>
      <w:bookmarkStart w:id="265" w:name="_Toc304295527"/>
      <w:r>
        <w:rPr>
          <w:rFonts w:hint="eastAsia" w:cs="宋体"/>
          <w:color w:val="auto"/>
          <w:sz w:val="21"/>
          <w:szCs w:val="21"/>
        </w:rPr>
        <w:t>.1.1 特殊质量标准和要求：</w:t>
      </w:r>
      <w:r>
        <w:rPr>
          <w:rFonts w:hint="eastAsia" w:cs="宋体"/>
          <w:color w:val="auto"/>
          <w:sz w:val="21"/>
          <w:szCs w:val="21"/>
          <w:u w:val="single"/>
        </w:rPr>
        <w:t>见《专用合同条款数据表》</w:t>
      </w:r>
      <w:r>
        <w:rPr>
          <w:rFonts w:hint="eastAsia" w:cs="宋体"/>
          <w:color w:val="auto"/>
          <w:sz w:val="21"/>
          <w:szCs w:val="21"/>
        </w:rPr>
        <w:t>。</w:t>
      </w:r>
    </w:p>
    <w:p w14:paraId="57F2DB1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关于工程奖项的约定：</w:t>
      </w:r>
      <w:r>
        <w:rPr>
          <w:rFonts w:hint="eastAsia" w:cs="宋体"/>
          <w:color w:val="auto"/>
          <w:sz w:val="21"/>
          <w:szCs w:val="21"/>
          <w:u w:val="single"/>
        </w:rPr>
        <w:t>见《专用合同条款数据表》</w:t>
      </w:r>
      <w:r>
        <w:rPr>
          <w:rFonts w:hint="eastAsia" w:cs="宋体"/>
          <w:color w:val="auto"/>
          <w:sz w:val="21"/>
          <w:szCs w:val="21"/>
        </w:rPr>
        <w:t>。</w:t>
      </w:r>
    </w:p>
    <w:p w14:paraId="525FAF5F">
      <w:pPr>
        <w:snapToGrid w:val="0"/>
        <w:spacing w:line="360" w:lineRule="auto"/>
        <w:ind w:firstLine="420" w:firstLineChars="200"/>
        <w:jc w:val="left"/>
        <w:rPr>
          <w:rFonts w:cs="宋体"/>
          <w:color w:val="auto"/>
          <w:sz w:val="21"/>
          <w:szCs w:val="21"/>
        </w:rPr>
      </w:pPr>
      <w:bookmarkStart w:id="266" w:name="_Toc351203638"/>
      <w:r>
        <w:rPr>
          <w:rFonts w:hint="eastAsia" w:cs="宋体"/>
          <w:color w:val="auto"/>
          <w:sz w:val="21"/>
          <w:szCs w:val="21"/>
        </w:rPr>
        <w:t>关于建造要求：</w:t>
      </w:r>
    </w:p>
    <w:p w14:paraId="57573AB5">
      <w:pPr>
        <w:pStyle w:val="14"/>
        <w:snapToGrid w:val="0"/>
        <w:spacing w:line="360" w:lineRule="auto"/>
        <w:ind w:firstLine="480"/>
        <w:rPr>
          <w:rFonts w:hAnsi="宋体" w:cs="宋体"/>
          <w:color w:val="auto"/>
          <w:sz w:val="21"/>
          <w:szCs w:val="21"/>
        </w:rPr>
      </w:pPr>
      <w:r>
        <w:rPr>
          <w:rFonts w:hint="eastAsia" w:hAnsi="宋体" w:cs="宋体"/>
          <w:color w:val="auto"/>
          <w:sz w:val="21"/>
          <w:szCs w:val="21"/>
        </w:rPr>
        <w:t>（1）绿色建筑等级要求：</w:t>
      </w:r>
      <w:r>
        <w:rPr>
          <w:rFonts w:hint="eastAsia" w:hAnsi="宋体" w:cs="宋体"/>
          <w:color w:val="auto"/>
          <w:sz w:val="21"/>
          <w:szCs w:val="21"/>
          <w:u w:val="single"/>
        </w:rPr>
        <w:t>见《专用合同条款数据表》</w:t>
      </w:r>
      <w:r>
        <w:rPr>
          <w:rFonts w:hint="eastAsia" w:hAnsi="宋体" w:cs="宋体"/>
          <w:color w:val="auto"/>
          <w:sz w:val="21"/>
          <w:szCs w:val="21"/>
        </w:rPr>
        <w:t>；</w:t>
      </w:r>
    </w:p>
    <w:p w14:paraId="127A32D8">
      <w:pPr>
        <w:pStyle w:val="14"/>
        <w:snapToGrid w:val="0"/>
        <w:spacing w:line="360" w:lineRule="auto"/>
        <w:ind w:firstLine="480"/>
        <w:rPr>
          <w:rFonts w:hAnsi="宋体" w:cs="宋体"/>
          <w:color w:val="auto"/>
          <w:sz w:val="21"/>
          <w:szCs w:val="21"/>
        </w:rPr>
      </w:pPr>
      <w:r>
        <w:rPr>
          <w:rFonts w:hint="eastAsia" w:hAnsi="宋体" w:cs="宋体"/>
          <w:color w:val="auto"/>
          <w:sz w:val="21"/>
          <w:szCs w:val="21"/>
        </w:rPr>
        <w:t>（2）智慧工地管理要求：</w:t>
      </w:r>
      <w:r>
        <w:rPr>
          <w:rFonts w:hint="eastAsia" w:hAnsi="宋体" w:cs="宋体"/>
          <w:color w:val="auto"/>
          <w:sz w:val="21"/>
          <w:szCs w:val="21"/>
          <w:u w:val="single"/>
        </w:rPr>
        <w:t>见《专用合同条款数据表》</w:t>
      </w:r>
      <w:r>
        <w:rPr>
          <w:rFonts w:hint="eastAsia" w:hAnsi="宋体" w:cs="宋体"/>
          <w:color w:val="auto"/>
          <w:sz w:val="21"/>
          <w:szCs w:val="21"/>
        </w:rPr>
        <w:t>；</w:t>
      </w:r>
    </w:p>
    <w:p w14:paraId="5F7FC3D1">
      <w:pPr>
        <w:pStyle w:val="14"/>
        <w:snapToGrid w:val="0"/>
        <w:spacing w:line="360" w:lineRule="auto"/>
        <w:ind w:firstLine="480"/>
        <w:rPr>
          <w:rFonts w:hAnsi="宋体" w:cs="宋体"/>
          <w:color w:val="auto"/>
          <w:sz w:val="21"/>
          <w:szCs w:val="21"/>
        </w:rPr>
      </w:pPr>
      <w:r>
        <w:rPr>
          <w:rFonts w:hint="eastAsia" w:hAnsi="宋体" w:cs="宋体"/>
          <w:color w:val="auto"/>
          <w:sz w:val="21"/>
          <w:szCs w:val="21"/>
        </w:rPr>
        <w:t>（3）建筑垃圾减量化目标：</w:t>
      </w:r>
      <w:r>
        <w:rPr>
          <w:rFonts w:hint="eastAsia" w:hAnsi="宋体" w:cs="宋体"/>
          <w:color w:val="auto"/>
          <w:sz w:val="21"/>
          <w:szCs w:val="21"/>
          <w:u w:val="single"/>
        </w:rPr>
        <w:t>见《专用合同条款数据表》</w:t>
      </w:r>
      <w:r>
        <w:rPr>
          <w:rFonts w:hint="eastAsia" w:hAnsi="宋体" w:cs="宋体"/>
          <w:color w:val="auto"/>
          <w:sz w:val="21"/>
          <w:szCs w:val="21"/>
        </w:rPr>
        <w:t>；</w:t>
      </w:r>
    </w:p>
    <w:p w14:paraId="280AB9AB">
      <w:pPr>
        <w:snapToGrid w:val="0"/>
        <w:spacing w:line="360" w:lineRule="auto"/>
        <w:ind w:firstLine="420" w:firstLineChars="200"/>
        <w:jc w:val="left"/>
        <w:rPr>
          <w:rFonts w:cs="宋体"/>
          <w:color w:val="auto"/>
          <w:sz w:val="21"/>
          <w:szCs w:val="21"/>
        </w:rPr>
      </w:pPr>
      <w:r>
        <w:rPr>
          <w:rFonts w:hint="eastAsia" w:cs="宋体"/>
          <w:color w:val="auto"/>
          <w:sz w:val="21"/>
          <w:szCs w:val="21"/>
        </w:rPr>
        <w:t>（4）装配式建筑装配率要求：</w:t>
      </w:r>
      <w:r>
        <w:rPr>
          <w:rFonts w:hint="eastAsia" w:cs="宋体"/>
          <w:color w:val="auto"/>
          <w:sz w:val="21"/>
          <w:szCs w:val="21"/>
          <w:u w:val="single"/>
        </w:rPr>
        <w:t>见《专用合同条款数据表》</w:t>
      </w:r>
      <w:r>
        <w:rPr>
          <w:rFonts w:hint="eastAsia" w:cs="宋体"/>
          <w:color w:val="auto"/>
          <w:sz w:val="21"/>
          <w:szCs w:val="21"/>
        </w:rPr>
        <w:t>；</w:t>
      </w:r>
    </w:p>
    <w:p w14:paraId="1D76C28F">
      <w:pPr>
        <w:snapToGrid w:val="0"/>
        <w:spacing w:line="360" w:lineRule="auto"/>
        <w:ind w:firstLine="420" w:firstLineChars="200"/>
        <w:jc w:val="left"/>
        <w:rPr>
          <w:rFonts w:cs="宋体"/>
          <w:color w:val="auto"/>
          <w:sz w:val="21"/>
          <w:szCs w:val="21"/>
        </w:rPr>
      </w:pPr>
      <w:r>
        <w:rPr>
          <w:rFonts w:hint="eastAsia" w:cs="宋体"/>
          <w:color w:val="auto"/>
          <w:sz w:val="21"/>
          <w:szCs w:val="21"/>
        </w:rPr>
        <w:t>（5）</w:t>
      </w:r>
      <w:r>
        <w:rPr>
          <w:rFonts w:hint="eastAsia" w:cs="宋体"/>
          <w:color w:val="auto"/>
          <w:sz w:val="21"/>
          <w:szCs w:val="21"/>
          <w:u w:val="single"/>
        </w:rPr>
        <w:t>见《专用合同条款数据表》</w:t>
      </w:r>
      <w:r>
        <w:rPr>
          <w:rFonts w:hint="eastAsia" w:cs="宋体"/>
          <w:color w:val="auto"/>
          <w:sz w:val="21"/>
          <w:szCs w:val="21"/>
        </w:rPr>
        <w:t>。</w:t>
      </w:r>
    </w:p>
    <w:p w14:paraId="50B1748E">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5.3 隐蔽工程检查</w:t>
      </w:r>
    </w:p>
    <w:p w14:paraId="5F66DDC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5.3.2 承包人提前通知监理人隐蔽工程检查的期限的约定：</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68E6A103">
      <w:pPr>
        <w:adjustRightInd w:val="0"/>
        <w:snapToGrid w:val="0"/>
        <w:spacing w:line="360" w:lineRule="auto"/>
        <w:ind w:firstLine="420" w:firstLineChars="200"/>
        <w:rPr>
          <w:rFonts w:cs="宋体"/>
          <w:color w:val="auto"/>
          <w:sz w:val="21"/>
          <w:szCs w:val="21"/>
        </w:rPr>
      </w:pPr>
      <w:r>
        <w:rPr>
          <w:rFonts w:hint="eastAsia" w:cs="宋体"/>
          <w:color w:val="auto"/>
          <w:sz w:val="21"/>
          <w:szCs w:val="21"/>
        </w:rPr>
        <w:t>监理人不能按时进行检查时，应提前</w:t>
      </w:r>
      <w:r>
        <w:rPr>
          <w:rFonts w:hint="eastAsia" w:cs="宋体"/>
          <w:color w:val="auto"/>
          <w:sz w:val="21"/>
          <w:szCs w:val="21"/>
          <w:u w:val="single"/>
          <w:lang w:val="en-US" w:eastAsia="zh-CN"/>
        </w:rPr>
        <w:t>/</w:t>
      </w:r>
      <w:r>
        <w:rPr>
          <w:rFonts w:hint="eastAsia" w:cs="宋体"/>
          <w:color w:val="auto"/>
          <w:sz w:val="21"/>
          <w:szCs w:val="21"/>
        </w:rPr>
        <w:t>小时提交书面延期要求。</w:t>
      </w:r>
    </w:p>
    <w:p w14:paraId="4D5E96B5">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关于延期最长不得超过：</w:t>
      </w:r>
      <w:r>
        <w:rPr>
          <w:rFonts w:hint="eastAsia" w:cs="宋体"/>
          <w:color w:val="auto"/>
          <w:sz w:val="21"/>
          <w:szCs w:val="21"/>
          <w:u w:val="single"/>
          <w:lang w:val="en-US" w:eastAsia="zh-CN"/>
        </w:rPr>
        <w:t>/</w:t>
      </w:r>
      <w:r>
        <w:rPr>
          <w:rFonts w:hint="eastAsia" w:cs="宋体"/>
          <w:color w:val="auto"/>
          <w:sz w:val="21"/>
          <w:szCs w:val="21"/>
        </w:rPr>
        <w:t>小时。</w:t>
      </w:r>
    </w:p>
    <w:p w14:paraId="2935500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5</w:t>
      </w:r>
      <w:bookmarkStart w:id="267" w:name="_Toc337558762"/>
      <w:r>
        <w:rPr>
          <w:rFonts w:hint="eastAsia" w:cs="宋体"/>
          <w:bCs/>
          <w:color w:val="auto"/>
          <w:sz w:val="21"/>
          <w:szCs w:val="21"/>
        </w:rPr>
        <w:t>.4 不合格工程的处理</w:t>
      </w:r>
    </w:p>
    <w:bookmarkEnd w:id="267"/>
    <w:p w14:paraId="465695CD">
      <w:pPr>
        <w:snapToGrid w:val="0"/>
        <w:spacing w:line="360" w:lineRule="auto"/>
        <w:ind w:firstLine="420" w:firstLineChars="200"/>
        <w:jc w:val="left"/>
        <w:rPr>
          <w:rFonts w:cs="宋体"/>
          <w:color w:val="auto"/>
          <w:sz w:val="21"/>
          <w:szCs w:val="21"/>
        </w:rPr>
      </w:pPr>
      <w:r>
        <w:rPr>
          <w:rFonts w:hint="eastAsia" w:cs="宋体"/>
          <w:color w:val="auto"/>
          <w:sz w:val="21"/>
          <w:szCs w:val="21"/>
        </w:rPr>
        <w:t>本款补充5.4.3项：</w:t>
      </w:r>
    </w:p>
    <w:p w14:paraId="65F73522">
      <w:pPr>
        <w:snapToGrid w:val="0"/>
        <w:spacing w:line="360" w:lineRule="auto"/>
        <w:ind w:firstLine="420" w:firstLineChars="200"/>
        <w:jc w:val="left"/>
        <w:rPr>
          <w:rFonts w:cs="宋体"/>
          <w:color w:val="auto"/>
          <w:sz w:val="21"/>
          <w:szCs w:val="21"/>
        </w:rPr>
      </w:pPr>
      <w:r>
        <w:rPr>
          <w:rFonts w:hint="eastAsia" w:cs="宋体"/>
          <w:color w:val="auto"/>
          <w:sz w:val="21"/>
          <w:szCs w:val="21"/>
        </w:rPr>
        <w:t xml:space="preserve">5.4.3 </w:t>
      </w:r>
      <w:r>
        <w:rPr>
          <w:rFonts w:hint="eastAsia" w:cs="宋体"/>
          <w:color w:val="auto"/>
          <w:sz w:val="21"/>
          <w:szCs w:val="21"/>
          <w:lang w:val="en-US" w:eastAsia="zh-CN"/>
        </w:rPr>
        <w:t>/</w:t>
      </w:r>
      <w:r>
        <w:rPr>
          <w:rFonts w:hint="eastAsia" w:cs="宋体"/>
          <w:color w:val="auto"/>
          <w:sz w:val="21"/>
          <w:szCs w:val="21"/>
        </w:rPr>
        <w:t>。</w:t>
      </w:r>
    </w:p>
    <w:p w14:paraId="6488F19C">
      <w:pPr>
        <w:snapToGrid w:val="0"/>
        <w:spacing w:line="360" w:lineRule="auto"/>
        <w:ind w:firstLine="420" w:firstLineChars="200"/>
        <w:jc w:val="left"/>
        <w:rPr>
          <w:rFonts w:cs="宋体"/>
          <w:color w:val="auto"/>
          <w:sz w:val="21"/>
          <w:szCs w:val="21"/>
        </w:rPr>
      </w:pPr>
      <w:r>
        <w:rPr>
          <w:rFonts w:hint="eastAsia" w:cs="宋体"/>
          <w:color w:val="auto"/>
          <w:sz w:val="21"/>
          <w:szCs w:val="21"/>
        </w:rPr>
        <w:t>本条补充5.6款：</w:t>
      </w:r>
    </w:p>
    <w:p w14:paraId="4534F2F9">
      <w:pPr>
        <w:keepNext/>
        <w:keepLines/>
        <w:snapToGrid w:val="0"/>
        <w:spacing w:before="120" w:after="120" w:line="360" w:lineRule="auto"/>
        <w:ind w:firstLine="420" w:firstLineChars="200"/>
        <w:outlineLvl w:val="3"/>
        <w:rPr>
          <w:rFonts w:cs="宋体"/>
          <w:bCs/>
          <w:color w:val="auto"/>
          <w:sz w:val="21"/>
          <w:szCs w:val="21"/>
        </w:rPr>
      </w:pPr>
      <w:bookmarkStart w:id="268" w:name="_Toc532377348"/>
      <w:r>
        <w:rPr>
          <w:rFonts w:hint="eastAsia" w:cs="宋体"/>
          <w:bCs/>
          <w:color w:val="auto"/>
          <w:sz w:val="21"/>
          <w:szCs w:val="21"/>
        </w:rPr>
        <w:t>5.6 质量事故的处理</w:t>
      </w:r>
      <w:bookmarkEnd w:id="268"/>
    </w:p>
    <w:p w14:paraId="1B5B2C73">
      <w:pPr>
        <w:snapToGrid w:val="0"/>
        <w:spacing w:line="360" w:lineRule="auto"/>
        <w:ind w:firstLine="420" w:firstLineChars="200"/>
        <w:jc w:val="left"/>
        <w:rPr>
          <w:rFonts w:cs="宋体"/>
          <w:color w:val="auto"/>
          <w:sz w:val="21"/>
          <w:szCs w:val="21"/>
        </w:rPr>
      </w:pPr>
      <w:r>
        <w:rPr>
          <w:rFonts w:hint="eastAsia" w:cs="宋体"/>
          <w:color w:val="auto"/>
          <w:sz w:val="21"/>
          <w:szCs w:val="21"/>
        </w:rPr>
        <w:t>5.6.1 合同履行过程中，发生工程质量事故的调查处理按照国家现行规定处理。</w:t>
      </w:r>
    </w:p>
    <w:p w14:paraId="36580A59">
      <w:pPr>
        <w:snapToGrid w:val="0"/>
        <w:spacing w:line="360" w:lineRule="auto"/>
        <w:ind w:firstLine="420" w:firstLineChars="200"/>
        <w:jc w:val="left"/>
        <w:rPr>
          <w:rFonts w:cs="宋体"/>
          <w:color w:val="auto"/>
          <w:sz w:val="21"/>
          <w:szCs w:val="21"/>
        </w:rPr>
      </w:pPr>
      <w:r>
        <w:rPr>
          <w:rFonts w:hint="eastAsia" w:cs="宋体"/>
          <w:color w:val="auto"/>
          <w:sz w:val="21"/>
          <w:szCs w:val="21"/>
        </w:rPr>
        <w:t>5.6.2 发包人在对工程质量、安全和环境保护、水土保持等建设全过程管理中发现有技术、质量和其他问题的，可通过监理人责令承包人返工或整改；对存在的隐患，有权责令承包人予以解决，承包人按照合同中其他条款约定承担违约责任。</w:t>
      </w:r>
    </w:p>
    <w:p w14:paraId="41D75848">
      <w:pPr>
        <w:snapToGrid w:val="0"/>
        <w:spacing w:before="312" w:beforeLines="100" w:after="312" w:afterLines="100" w:line="360" w:lineRule="auto"/>
        <w:outlineLvl w:val="2"/>
        <w:rPr>
          <w:rFonts w:cs="宋体"/>
          <w:color w:val="auto"/>
          <w:sz w:val="21"/>
          <w:szCs w:val="21"/>
        </w:rPr>
      </w:pPr>
      <w:r>
        <w:rPr>
          <w:rFonts w:hint="eastAsia" w:cs="宋体"/>
          <w:color w:val="auto"/>
          <w:sz w:val="21"/>
          <w:szCs w:val="21"/>
        </w:rPr>
        <w:t>6. 安全文明施工与环境保护</w:t>
      </w:r>
      <w:bookmarkEnd w:id="266"/>
    </w:p>
    <w:p w14:paraId="4609F9F8">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6.1 安全文明施工</w:t>
      </w:r>
    </w:p>
    <w:p w14:paraId="223D024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6.1.1 项目安全生产的达标目标及相应事项的约定：</w:t>
      </w:r>
      <w:r>
        <w:rPr>
          <w:rFonts w:hint="eastAsia" w:cs="宋体"/>
          <w:color w:val="auto"/>
          <w:sz w:val="21"/>
          <w:szCs w:val="21"/>
          <w:u w:val="single"/>
        </w:rPr>
        <w:t xml:space="preserve">  执行国家、省、市有关</w:t>
      </w:r>
      <w:r>
        <w:rPr>
          <w:rFonts w:hint="eastAsia" w:cs="宋体"/>
          <w:color w:val="auto"/>
          <w:sz w:val="21"/>
          <w:szCs w:val="21"/>
          <w:u w:val="single"/>
          <w:lang w:val="en-US" w:eastAsia="zh-CN"/>
        </w:rPr>
        <w:t>安全生产</w:t>
      </w:r>
      <w:r>
        <w:rPr>
          <w:rFonts w:hint="eastAsia" w:cs="宋体"/>
          <w:color w:val="auto"/>
          <w:sz w:val="21"/>
          <w:szCs w:val="21"/>
          <w:u w:val="single"/>
        </w:rPr>
        <w:t xml:space="preserve">规定，确保安全生产的达标  </w:t>
      </w:r>
      <w:r>
        <w:rPr>
          <w:rFonts w:hint="eastAsia" w:cs="宋体"/>
          <w:color w:val="auto"/>
          <w:sz w:val="21"/>
          <w:szCs w:val="21"/>
        </w:rPr>
        <w:t>。</w:t>
      </w:r>
    </w:p>
    <w:p w14:paraId="299925EE">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6.1.4 关于治安保卫的特别约定：</w:t>
      </w:r>
      <w:r>
        <w:rPr>
          <w:rFonts w:hint="eastAsia" w:cs="宋体"/>
          <w:color w:val="auto"/>
          <w:sz w:val="21"/>
          <w:szCs w:val="21"/>
          <w:u w:val="single"/>
        </w:rPr>
        <w:t xml:space="preserve"> 执行国家、省、市有关</w:t>
      </w:r>
      <w:r>
        <w:rPr>
          <w:rFonts w:hint="eastAsia" w:cs="宋体"/>
          <w:color w:val="auto"/>
          <w:sz w:val="21"/>
          <w:szCs w:val="21"/>
          <w:u w:val="single"/>
          <w:lang w:val="en-US" w:eastAsia="zh-CN"/>
        </w:rPr>
        <w:t>治安保卫</w:t>
      </w:r>
      <w:r>
        <w:rPr>
          <w:rFonts w:hint="eastAsia" w:cs="宋体"/>
          <w:color w:val="auto"/>
          <w:sz w:val="21"/>
          <w:szCs w:val="21"/>
          <w:u w:val="single"/>
        </w:rPr>
        <w:t xml:space="preserve">规定  </w:t>
      </w:r>
      <w:r>
        <w:rPr>
          <w:rFonts w:hint="eastAsia" w:cs="宋体"/>
          <w:color w:val="auto"/>
          <w:sz w:val="21"/>
          <w:szCs w:val="21"/>
        </w:rPr>
        <w:t>。</w:t>
      </w:r>
    </w:p>
    <w:p w14:paraId="239EB9C4">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关于编制施工场地治安管理计划的约定：</w:t>
      </w:r>
      <w:r>
        <w:rPr>
          <w:rFonts w:hint="eastAsia" w:cs="宋体"/>
          <w:color w:val="auto"/>
          <w:sz w:val="21"/>
          <w:szCs w:val="21"/>
          <w:u w:val="single"/>
        </w:rPr>
        <w:t xml:space="preserve">  执行国家、省、市有关</w:t>
      </w:r>
      <w:r>
        <w:rPr>
          <w:rFonts w:hint="eastAsia" w:cs="宋体"/>
          <w:color w:val="auto"/>
          <w:sz w:val="21"/>
          <w:szCs w:val="21"/>
          <w:u w:val="single"/>
          <w:lang w:val="en-US" w:eastAsia="zh-CN"/>
        </w:rPr>
        <w:t>治安管理规定</w:t>
      </w:r>
      <w:r>
        <w:rPr>
          <w:rFonts w:hint="eastAsia" w:cs="宋体"/>
          <w:color w:val="auto"/>
          <w:sz w:val="21"/>
          <w:szCs w:val="21"/>
          <w:u w:val="single"/>
        </w:rPr>
        <w:t xml:space="preserve">  </w:t>
      </w:r>
      <w:r>
        <w:rPr>
          <w:rFonts w:hint="eastAsia" w:cs="宋体"/>
          <w:color w:val="auto"/>
          <w:sz w:val="21"/>
          <w:szCs w:val="21"/>
        </w:rPr>
        <w:t>。</w:t>
      </w:r>
    </w:p>
    <w:p w14:paraId="1B0F960D">
      <w:pPr>
        <w:adjustRightInd w:val="0"/>
        <w:snapToGrid w:val="0"/>
        <w:spacing w:line="360" w:lineRule="auto"/>
        <w:ind w:firstLine="420" w:firstLineChars="200"/>
        <w:rPr>
          <w:rFonts w:cs="宋体"/>
          <w:color w:val="auto"/>
          <w:sz w:val="21"/>
          <w:szCs w:val="21"/>
        </w:rPr>
      </w:pPr>
      <w:r>
        <w:rPr>
          <w:rFonts w:hint="eastAsia" w:cs="宋体"/>
          <w:color w:val="auto"/>
          <w:sz w:val="21"/>
          <w:szCs w:val="21"/>
        </w:rPr>
        <w:t>6.1.5 文明施工</w:t>
      </w:r>
    </w:p>
    <w:p w14:paraId="35B6A74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合同当事人对文明施工的要求：</w:t>
      </w:r>
      <w:r>
        <w:rPr>
          <w:rFonts w:hint="eastAsia" w:cs="宋体"/>
          <w:color w:val="auto"/>
          <w:sz w:val="21"/>
          <w:szCs w:val="21"/>
          <w:u w:val="single"/>
        </w:rPr>
        <w:t xml:space="preserve">  执行国家、省、市有关规定，确保文明施工  </w:t>
      </w:r>
      <w:r>
        <w:rPr>
          <w:rFonts w:hint="eastAsia" w:cs="宋体"/>
          <w:color w:val="auto"/>
          <w:sz w:val="21"/>
          <w:szCs w:val="21"/>
        </w:rPr>
        <w:t>。</w:t>
      </w:r>
    </w:p>
    <w:p w14:paraId="1CFF2712">
      <w:pPr>
        <w:adjustRightInd w:val="0"/>
        <w:snapToGrid w:val="0"/>
        <w:spacing w:line="360" w:lineRule="auto"/>
        <w:ind w:firstLine="420" w:firstLineChars="200"/>
        <w:rPr>
          <w:rFonts w:cs="宋体"/>
          <w:color w:val="auto"/>
          <w:sz w:val="21"/>
          <w:szCs w:val="21"/>
        </w:rPr>
      </w:pPr>
      <w:r>
        <w:rPr>
          <w:rFonts w:hint="eastAsia" w:cs="宋体"/>
          <w:color w:val="auto"/>
          <w:sz w:val="21"/>
          <w:szCs w:val="21"/>
        </w:rPr>
        <w:t>6.1.6 关于安全文明施工费支付比例和支付期限的约定：</w:t>
      </w:r>
      <w:r>
        <w:rPr>
          <w:rFonts w:hint="eastAsia" w:cs="宋体"/>
          <w:color w:val="auto"/>
          <w:sz w:val="21"/>
          <w:szCs w:val="21"/>
          <w:u w:val="single"/>
        </w:rPr>
        <w:t xml:space="preserve"> 与工程进度款同期支付 </w:t>
      </w:r>
      <w:r>
        <w:rPr>
          <w:rFonts w:hint="eastAsia" w:cs="宋体"/>
          <w:color w:val="auto"/>
          <w:sz w:val="21"/>
          <w:szCs w:val="21"/>
        </w:rPr>
        <w:t>。</w:t>
      </w:r>
    </w:p>
    <w:bookmarkEnd w:id="259"/>
    <w:bookmarkEnd w:id="260"/>
    <w:bookmarkEnd w:id="261"/>
    <w:bookmarkEnd w:id="262"/>
    <w:bookmarkEnd w:id="263"/>
    <w:bookmarkEnd w:id="264"/>
    <w:bookmarkEnd w:id="265"/>
    <w:p w14:paraId="42A75786">
      <w:pPr>
        <w:snapToGrid w:val="0"/>
        <w:spacing w:before="312" w:beforeLines="100" w:after="312" w:afterLines="100" w:line="360" w:lineRule="auto"/>
        <w:outlineLvl w:val="2"/>
        <w:rPr>
          <w:rFonts w:cs="宋体"/>
          <w:color w:val="auto"/>
          <w:sz w:val="21"/>
          <w:szCs w:val="21"/>
        </w:rPr>
      </w:pPr>
      <w:bookmarkStart w:id="269" w:name="_Toc351203639"/>
      <w:r>
        <w:rPr>
          <w:rFonts w:hint="eastAsia" w:cs="宋体"/>
          <w:color w:val="auto"/>
          <w:sz w:val="21"/>
          <w:szCs w:val="21"/>
        </w:rPr>
        <w:t>7. 工期和进度</w:t>
      </w:r>
      <w:bookmarkEnd w:id="269"/>
    </w:p>
    <w:p w14:paraId="2D7D7F7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7.1 施工组织设计</w:t>
      </w:r>
    </w:p>
    <w:p w14:paraId="530AA34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7.1.1 合同当事人约定的施工组织设计应包括的其他内容：</w:t>
      </w:r>
      <w:r>
        <w:rPr>
          <w:rFonts w:hint="eastAsia" w:cs="宋体"/>
          <w:color w:val="auto"/>
          <w:sz w:val="21"/>
          <w:szCs w:val="21"/>
          <w:u w:val="single"/>
        </w:rPr>
        <w:t>总进度计划须含网络图、横道图。</w:t>
      </w:r>
    </w:p>
    <w:p w14:paraId="5A5AA834">
      <w:pPr>
        <w:adjustRightInd w:val="0"/>
        <w:snapToGrid w:val="0"/>
        <w:spacing w:line="360" w:lineRule="auto"/>
        <w:ind w:firstLine="420" w:firstLineChars="200"/>
        <w:rPr>
          <w:rFonts w:cs="宋体"/>
          <w:color w:val="auto"/>
          <w:sz w:val="21"/>
          <w:szCs w:val="21"/>
        </w:rPr>
      </w:pPr>
      <w:r>
        <w:rPr>
          <w:rFonts w:hint="eastAsia" w:cs="宋体"/>
          <w:color w:val="auto"/>
          <w:sz w:val="21"/>
          <w:szCs w:val="21"/>
        </w:rPr>
        <w:t>7.1.2 施工组织设计的提交和修改</w:t>
      </w:r>
    </w:p>
    <w:p w14:paraId="6D1C48B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承包人提交详细施工组织设计的期限的约定：</w:t>
      </w:r>
      <w:r>
        <w:rPr>
          <w:rFonts w:hint="eastAsia" w:cs="宋体"/>
          <w:color w:val="auto"/>
          <w:sz w:val="21"/>
          <w:szCs w:val="21"/>
          <w:u w:val="single"/>
        </w:rPr>
        <w:t xml:space="preserve">  执行通用条款 </w:t>
      </w:r>
      <w:r>
        <w:rPr>
          <w:rFonts w:hint="eastAsia" w:cs="宋体"/>
          <w:color w:val="auto"/>
          <w:sz w:val="21"/>
          <w:szCs w:val="21"/>
        </w:rPr>
        <w:t>。</w:t>
      </w:r>
    </w:p>
    <w:p w14:paraId="4ADDF5F8">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发包人和监理人在收到详细的施工组织设计后确认或提出修改意见的期限：</w:t>
      </w:r>
      <w:r>
        <w:rPr>
          <w:rFonts w:hint="eastAsia" w:cs="宋体"/>
          <w:color w:val="auto"/>
          <w:sz w:val="21"/>
          <w:szCs w:val="21"/>
          <w:u w:val="single"/>
        </w:rPr>
        <w:t xml:space="preserve"> 执行通用条款  </w:t>
      </w:r>
      <w:r>
        <w:rPr>
          <w:rFonts w:hint="eastAsia" w:cs="宋体"/>
          <w:color w:val="auto"/>
          <w:sz w:val="21"/>
          <w:szCs w:val="21"/>
        </w:rPr>
        <w:t>。</w:t>
      </w:r>
    </w:p>
    <w:p w14:paraId="2CB2223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w:t>
      </w:r>
      <w:bookmarkStart w:id="270" w:name="_Toc312678005"/>
      <w:bookmarkStart w:id="271" w:name="_Toc300934966"/>
      <w:bookmarkStart w:id="272" w:name="_Toc297216173"/>
      <w:bookmarkStart w:id="273" w:name="_Toc304295541"/>
      <w:bookmarkStart w:id="274" w:name="_Toc297123514"/>
      <w:bookmarkStart w:id="275" w:name="_Toc303539123"/>
      <w:bookmarkStart w:id="276" w:name="_Toc312677479"/>
      <w:r>
        <w:rPr>
          <w:rFonts w:hint="eastAsia" w:cs="宋体"/>
          <w:bCs/>
          <w:color w:val="auto"/>
          <w:sz w:val="21"/>
          <w:szCs w:val="21"/>
        </w:rPr>
        <w:t>.2 施工进度计划</w:t>
      </w:r>
    </w:p>
    <w:p w14:paraId="4332A870">
      <w:pPr>
        <w:adjustRightInd w:val="0"/>
        <w:snapToGrid w:val="0"/>
        <w:spacing w:line="360" w:lineRule="auto"/>
        <w:ind w:firstLine="420" w:firstLineChars="200"/>
        <w:rPr>
          <w:rFonts w:cs="宋体"/>
          <w:color w:val="auto"/>
          <w:sz w:val="21"/>
          <w:szCs w:val="21"/>
        </w:rPr>
      </w:pPr>
      <w:r>
        <w:rPr>
          <w:rFonts w:hint="eastAsia" w:cs="宋体"/>
          <w:color w:val="auto"/>
          <w:sz w:val="21"/>
          <w:szCs w:val="21"/>
        </w:rPr>
        <w:t>7.2.2 施工进度计划的修订</w:t>
      </w:r>
    </w:p>
    <w:p w14:paraId="4BF1180D">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发包人和监理人在收到修订的施工进度计划后确认或提出修改意见的期限：</w:t>
      </w:r>
      <w:r>
        <w:rPr>
          <w:rFonts w:hint="eastAsia" w:cs="宋体"/>
          <w:color w:val="auto"/>
          <w:sz w:val="21"/>
          <w:szCs w:val="21"/>
          <w:u w:val="single"/>
        </w:rPr>
        <w:t xml:space="preserve">  执行通用条</w:t>
      </w:r>
    </w:p>
    <w:p w14:paraId="2D9F425B">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款</w:t>
      </w:r>
    </w:p>
    <w:p w14:paraId="0DE533C2">
      <w:pPr>
        <w:adjustRightInd w:val="0"/>
        <w:snapToGrid w:val="0"/>
        <w:spacing w:line="360" w:lineRule="auto"/>
        <w:ind w:firstLine="420" w:firstLineChars="200"/>
        <w:rPr>
          <w:rFonts w:cs="宋体"/>
          <w:color w:val="auto"/>
          <w:sz w:val="21"/>
          <w:szCs w:val="21"/>
        </w:rPr>
      </w:pPr>
      <w:r>
        <w:rPr>
          <w:rFonts w:hint="eastAsia" w:cs="宋体"/>
          <w:color w:val="auto"/>
          <w:sz w:val="21"/>
          <w:szCs w:val="21"/>
          <w:u w:val="single"/>
        </w:rPr>
        <w:t xml:space="preserve">  </w:t>
      </w:r>
      <w:r>
        <w:rPr>
          <w:rFonts w:hint="eastAsia" w:cs="宋体"/>
          <w:color w:val="auto"/>
          <w:sz w:val="21"/>
          <w:szCs w:val="21"/>
        </w:rPr>
        <w:t>。</w:t>
      </w:r>
    </w:p>
    <w:p w14:paraId="27845831">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7.3 开工</w:t>
      </w:r>
    </w:p>
    <w:p w14:paraId="43C8AB1A">
      <w:pPr>
        <w:adjustRightInd w:val="0"/>
        <w:snapToGrid w:val="0"/>
        <w:spacing w:line="360" w:lineRule="auto"/>
        <w:ind w:firstLine="420" w:firstLineChars="200"/>
        <w:rPr>
          <w:rFonts w:cs="宋体"/>
          <w:color w:val="auto"/>
          <w:sz w:val="21"/>
          <w:szCs w:val="21"/>
        </w:rPr>
      </w:pPr>
      <w:r>
        <w:rPr>
          <w:rFonts w:hint="eastAsia" w:cs="宋体"/>
          <w:color w:val="auto"/>
          <w:sz w:val="21"/>
          <w:szCs w:val="21"/>
        </w:rPr>
        <w:t>7.3.1 开工准备</w:t>
      </w:r>
    </w:p>
    <w:p w14:paraId="0085DE79">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关于承包人提交工程开工报审表的期限：</w:t>
      </w:r>
      <w:r>
        <w:rPr>
          <w:rFonts w:hint="eastAsia" w:cs="宋体"/>
          <w:color w:val="auto"/>
          <w:sz w:val="21"/>
          <w:szCs w:val="21"/>
          <w:u w:val="single"/>
        </w:rPr>
        <w:t xml:space="preserve">       </w:t>
      </w:r>
      <w:r>
        <w:rPr>
          <w:rFonts w:hint="eastAsia" w:cs="宋体"/>
          <w:color w:val="auto"/>
          <w:sz w:val="21"/>
          <w:szCs w:val="21"/>
        </w:rPr>
        <w:t>。</w:t>
      </w:r>
    </w:p>
    <w:p w14:paraId="4E481FA7">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关于发包人应完成的其他开工准备工作及期限：</w:t>
      </w:r>
      <w:r>
        <w:rPr>
          <w:rFonts w:hint="eastAsia" w:cs="宋体"/>
          <w:color w:val="auto"/>
          <w:sz w:val="21"/>
          <w:szCs w:val="21"/>
          <w:u w:val="single"/>
        </w:rPr>
        <w:t xml:space="preserve">       </w:t>
      </w:r>
      <w:r>
        <w:rPr>
          <w:rFonts w:hint="eastAsia" w:cs="宋体"/>
          <w:color w:val="auto"/>
          <w:sz w:val="21"/>
          <w:szCs w:val="21"/>
        </w:rPr>
        <w:t>。</w:t>
      </w:r>
    </w:p>
    <w:p w14:paraId="04A5BC0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关于承包人应完成的其他开工准备工作及期限：</w:t>
      </w:r>
      <w:r>
        <w:rPr>
          <w:rFonts w:hint="eastAsia" w:cs="宋体"/>
          <w:color w:val="auto"/>
          <w:sz w:val="21"/>
          <w:szCs w:val="21"/>
          <w:u w:val="single"/>
        </w:rPr>
        <w:t xml:space="preserve">       </w:t>
      </w:r>
      <w:r>
        <w:rPr>
          <w:rFonts w:hint="eastAsia" w:cs="宋体"/>
          <w:color w:val="auto"/>
          <w:sz w:val="21"/>
          <w:szCs w:val="21"/>
        </w:rPr>
        <w:t>。</w:t>
      </w:r>
    </w:p>
    <w:p w14:paraId="0BC7F3FA">
      <w:pPr>
        <w:adjustRightInd w:val="0"/>
        <w:snapToGrid w:val="0"/>
        <w:spacing w:line="360" w:lineRule="auto"/>
        <w:ind w:firstLine="420" w:firstLineChars="200"/>
        <w:rPr>
          <w:rFonts w:cs="宋体"/>
          <w:color w:val="auto"/>
          <w:sz w:val="21"/>
          <w:szCs w:val="21"/>
        </w:rPr>
      </w:pPr>
      <w:r>
        <w:rPr>
          <w:rFonts w:hint="eastAsia" w:cs="宋体"/>
          <w:color w:val="auto"/>
          <w:sz w:val="21"/>
          <w:szCs w:val="21"/>
        </w:rPr>
        <w:t>7.3.2 开工通知</w:t>
      </w:r>
    </w:p>
    <w:p w14:paraId="144891D1">
      <w:pPr>
        <w:adjustRightInd w:val="0"/>
        <w:snapToGrid w:val="0"/>
        <w:spacing w:line="360" w:lineRule="auto"/>
        <w:ind w:firstLine="420" w:firstLineChars="200"/>
        <w:rPr>
          <w:rFonts w:cs="宋体"/>
          <w:color w:val="auto"/>
          <w:sz w:val="21"/>
          <w:szCs w:val="21"/>
        </w:rPr>
      </w:pPr>
      <w:r>
        <w:rPr>
          <w:rFonts w:hint="eastAsia" w:cs="宋体"/>
          <w:color w:val="auto"/>
          <w:sz w:val="21"/>
          <w:szCs w:val="21"/>
        </w:rPr>
        <w:t>因发包人原因造成监理人未能在计划开工日期之日起</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rPr>
        <w:t>天内发出开工通知的，承包人有权提出价格调整要求，或者解除合同。</w:t>
      </w:r>
    </w:p>
    <w:bookmarkEnd w:id="270"/>
    <w:bookmarkEnd w:id="271"/>
    <w:bookmarkEnd w:id="272"/>
    <w:bookmarkEnd w:id="273"/>
    <w:bookmarkEnd w:id="274"/>
    <w:bookmarkEnd w:id="275"/>
    <w:bookmarkEnd w:id="276"/>
    <w:p w14:paraId="0CB2064C">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7.4 测量放线</w:t>
      </w:r>
    </w:p>
    <w:p w14:paraId="6EFE2ADB">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7.4.1 发包人通过监理人向承包人提供测量基准点、基准线和水准点及其书面资料的期限：</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DCB014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w:t>
      </w:r>
      <w:bookmarkStart w:id="277" w:name="_Toc297123516"/>
      <w:bookmarkStart w:id="278" w:name="_Toc312677484"/>
      <w:bookmarkStart w:id="279" w:name="_Toc297216175"/>
      <w:bookmarkStart w:id="280" w:name="_Toc304295546"/>
      <w:bookmarkStart w:id="281" w:name="_Toc303539125"/>
      <w:bookmarkStart w:id="282" w:name="_Toc312678010"/>
      <w:bookmarkStart w:id="283" w:name="_Toc300934968"/>
      <w:r>
        <w:rPr>
          <w:rFonts w:hint="eastAsia" w:cs="宋体"/>
          <w:bCs/>
          <w:color w:val="auto"/>
          <w:sz w:val="21"/>
          <w:szCs w:val="21"/>
        </w:rPr>
        <w:t>.5 工期延误</w:t>
      </w:r>
    </w:p>
    <w:bookmarkEnd w:id="277"/>
    <w:bookmarkEnd w:id="278"/>
    <w:bookmarkEnd w:id="279"/>
    <w:bookmarkEnd w:id="280"/>
    <w:bookmarkEnd w:id="281"/>
    <w:bookmarkEnd w:id="282"/>
    <w:bookmarkEnd w:id="283"/>
    <w:p w14:paraId="426EBE35">
      <w:pPr>
        <w:adjustRightInd w:val="0"/>
        <w:snapToGrid w:val="0"/>
        <w:spacing w:line="360" w:lineRule="auto"/>
        <w:ind w:firstLine="420" w:firstLineChars="200"/>
        <w:rPr>
          <w:rFonts w:cs="宋体"/>
          <w:color w:val="auto"/>
          <w:sz w:val="21"/>
          <w:szCs w:val="21"/>
        </w:rPr>
      </w:pPr>
      <w:r>
        <w:rPr>
          <w:rFonts w:hint="eastAsia" w:cs="宋体"/>
          <w:color w:val="auto"/>
          <w:sz w:val="21"/>
          <w:szCs w:val="21"/>
        </w:rPr>
        <w:t>7.5.1 因发包人原因导致工期延误</w:t>
      </w:r>
    </w:p>
    <w:p w14:paraId="0BB3170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（7）因发包人原因导致工期延误的其他情形：</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7FFB627">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7</w:t>
      </w:r>
      <w:bookmarkStart w:id="284" w:name="_Toc312677486"/>
      <w:bookmarkStart w:id="285" w:name="_Toc312678012"/>
      <w:bookmarkStart w:id="286" w:name="_Toc318581169"/>
      <w:bookmarkStart w:id="287" w:name="_Toc297123518"/>
      <w:bookmarkStart w:id="288" w:name="_Toc304295548"/>
      <w:bookmarkStart w:id="289" w:name="_Toc303539127"/>
      <w:bookmarkStart w:id="290" w:name="_Toc300934970"/>
      <w:bookmarkStart w:id="291" w:name="_Toc297216177"/>
      <w:r>
        <w:rPr>
          <w:rFonts w:hint="eastAsia" w:cs="宋体"/>
          <w:color w:val="000000" w:themeColor="text1"/>
          <w:sz w:val="21"/>
          <w:szCs w:val="21"/>
          <w14:textFill>
            <w14:solidFill>
              <w14:schemeClr w14:val="tx1"/>
            </w14:solidFill>
          </w14:textFill>
        </w:rPr>
        <w:t>.5.2 因承包人原因导致工期延误</w:t>
      </w:r>
    </w:p>
    <w:bookmarkEnd w:id="284"/>
    <w:bookmarkEnd w:id="285"/>
    <w:bookmarkEnd w:id="286"/>
    <w:p w14:paraId="295FF367">
      <w:pPr>
        <w:adjustRightInd w:val="0"/>
        <w:snapToGrid w:val="0"/>
        <w:spacing w:line="360" w:lineRule="auto"/>
        <w:ind w:firstLine="422" w:firstLineChars="200"/>
        <w:rPr>
          <w:rFonts w:cs="宋体"/>
          <w:b/>
          <w:bCs/>
          <w:color w:val="000000" w:themeColor="text1"/>
          <w:sz w:val="21"/>
          <w:szCs w:val="21"/>
          <w:u w:val="single"/>
          <w14:textFill>
            <w14:solidFill>
              <w14:schemeClr w14:val="tx1"/>
            </w14:solidFill>
          </w14:textFill>
        </w:rPr>
      </w:pPr>
      <w:r>
        <w:rPr>
          <w:rFonts w:hint="eastAsia" w:cs="宋体"/>
          <w:b/>
          <w:bCs/>
          <w:color w:val="000000" w:themeColor="text1"/>
          <w:sz w:val="21"/>
          <w:szCs w:val="21"/>
          <w:u w:val="single"/>
          <w14:textFill>
            <w14:solidFill>
              <w14:schemeClr w14:val="tx1"/>
            </w14:solidFill>
          </w14:textFill>
        </w:rPr>
        <w:t>因</w:t>
      </w:r>
      <w:bookmarkStart w:id="292" w:name="_Toc312677487"/>
      <w:bookmarkStart w:id="293" w:name="_Toc312678013"/>
      <w:bookmarkStart w:id="294" w:name="_Toc318581170"/>
      <w:r>
        <w:rPr>
          <w:rFonts w:hint="eastAsia" w:cs="宋体"/>
          <w:b/>
          <w:bCs/>
          <w:color w:val="000000" w:themeColor="text1"/>
          <w:sz w:val="21"/>
          <w:szCs w:val="21"/>
          <w:u w:val="single"/>
          <w14:textFill>
            <w14:solidFill>
              <w14:schemeClr w14:val="tx1"/>
            </w14:solidFill>
          </w14:textFill>
        </w:rPr>
        <w:t>承包人原因造成工期延误，逾期</w:t>
      </w:r>
      <w:r>
        <w:rPr>
          <w:rFonts w:hint="eastAsia" w:cs="宋体"/>
          <w:b/>
          <w:bCs/>
          <w:color w:val="000000" w:themeColor="text1"/>
          <w:sz w:val="21"/>
          <w:szCs w:val="21"/>
          <w:u w:val="single"/>
          <w:lang w:val="en-US" w:eastAsia="zh-CN"/>
          <w14:textFill>
            <w14:solidFill>
              <w14:schemeClr w14:val="tx1"/>
            </w14:solidFill>
          </w14:textFill>
        </w:rPr>
        <w:t>完工</w:t>
      </w:r>
      <w:r>
        <w:rPr>
          <w:rFonts w:hint="eastAsia" w:cs="宋体"/>
          <w:b/>
          <w:bCs/>
          <w:color w:val="000000" w:themeColor="text1"/>
          <w:sz w:val="21"/>
          <w:szCs w:val="21"/>
          <w:u w:val="single"/>
          <w14:textFill>
            <w14:solidFill>
              <w14:schemeClr w14:val="tx1"/>
            </w14:solidFill>
          </w14:textFill>
        </w:rPr>
        <w:t>违约金的计算方法为：每延期</w:t>
      </w:r>
      <w:r>
        <w:rPr>
          <w:rFonts w:hint="eastAsia" w:cs="宋体"/>
          <w:b/>
          <w:bCs/>
          <w:color w:val="000000" w:themeColor="text1"/>
          <w:sz w:val="21"/>
          <w:szCs w:val="21"/>
          <w:u w:val="single"/>
          <w:lang w:val="en-US" w:eastAsia="zh-CN"/>
          <w14:textFill>
            <w14:solidFill>
              <w14:schemeClr w14:val="tx1"/>
            </w14:solidFill>
          </w14:textFill>
        </w:rPr>
        <w:t>完工</w:t>
      </w:r>
      <w:r>
        <w:rPr>
          <w:rFonts w:hint="eastAsia" w:cs="宋体"/>
          <w:b/>
          <w:bCs/>
          <w:color w:val="000000" w:themeColor="text1"/>
          <w:sz w:val="21"/>
          <w:szCs w:val="21"/>
          <w:u w:val="single"/>
          <w14:textFill>
            <w14:solidFill>
              <w14:schemeClr w14:val="tx1"/>
            </w14:solidFill>
          </w14:textFill>
        </w:rPr>
        <w:t>一天，承包人支付发包人</w:t>
      </w:r>
      <w:r>
        <w:rPr>
          <w:rFonts w:hint="eastAsia" w:cs="宋体"/>
          <w:b/>
          <w:bCs/>
          <w:color w:val="000000" w:themeColor="text1"/>
          <w:sz w:val="21"/>
          <w:szCs w:val="21"/>
          <w:u w:val="single"/>
          <w:lang w:val="en-US" w:eastAsia="zh-CN"/>
          <w14:textFill>
            <w14:solidFill>
              <w14:schemeClr w14:val="tx1"/>
            </w14:solidFill>
          </w14:textFill>
        </w:rPr>
        <w:t>签约</w:t>
      </w:r>
      <w:r>
        <w:rPr>
          <w:rFonts w:hint="eastAsia" w:cs="宋体"/>
          <w:b/>
          <w:bCs/>
          <w:color w:val="000000" w:themeColor="text1"/>
          <w:sz w:val="21"/>
          <w:szCs w:val="21"/>
          <w:u w:val="single"/>
          <w14:textFill>
            <w14:solidFill>
              <w14:schemeClr w14:val="tx1"/>
            </w14:solidFill>
          </w14:textFill>
        </w:rPr>
        <w:t>合同价款的万分之二的违约金；</w:t>
      </w:r>
      <w:r>
        <w:rPr>
          <w:rFonts w:hint="eastAsia" w:cs="宋体"/>
          <w:b/>
          <w:bCs/>
          <w:color w:val="000000" w:themeColor="text1"/>
          <w:sz w:val="21"/>
          <w:szCs w:val="21"/>
          <w:u w:val="single"/>
          <w:lang w:val="en-US" w:eastAsia="zh-CN"/>
          <w14:textFill>
            <w14:solidFill>
              <w14:schemeClr w14:val="tx1"/>
            </w14:solidFill>
          </w14:textFill>
        </w:rPr>
        <w:t>因承包人责任导致</w:t>
      </w:r>
      <w:r>
        <w:rPr>
          <w:rFonts w:hint="eastAsia" w:cs="宋体"/>
          <w:b/>
          <w:bCs/>
          <w:color w:val="000000" w:themeColor="text1"/>
          <w:sz w:val="21"/>
          <w:szCs w:val="21"/>
          <w:u w:val="single"/>
          <w14:textFill>
            <w14:solidFill>
              <w14:schemeClr w14:val="tx1"/>
            </w14:solidFill>
          </w14:textFill>
        </w:rPr>
        <w:t>工程延期 28 天以上的，每天按</w:t>
      </w:r>
      <w:r>
        <w:rPr>
          <w:rFonts w:hint="eastAsia" w:cs="宋体"/>
          <w:b/>
          <w:bCs/>
          <w:color w:val="000000" w:themeColor="text1"/>
          <w:sz w:val="21"/>
          <w:szCs w:val="21"/>
          <w:u w:val="single"/>
          <w:lang w:val="en-US" w:eastAsia="zh-CN"/>
          <w14:textFill>
            <w14:solidFill>
              <w14:schemeClr w14:val="tx1"/>
            </w14:solidFill>
          </w14:textFill>
        </w:rPr>
        <w:t>签约</w:t>
      </w:r>
      <w:r>
        <w:rPr>
          <w:rFonts w:hint="eastAsia" w:cs="宋体"/>
          <w:b/>
          <w:bCs/>
          <w:color w:val="000000" w:themeColor="text1"/>
          <w:sz w:val="21"/>
          <w:szCs w:val="21"/>
          <w:u w:val="single"/>
          <w14:textFill>
            <w14:solidFill>
              <w14:schemeClr w14:val="tx1"/>
            </w14:solidFill>
          </w14:textFill>
        </w:rPr>
        <w:t>合同价款</w:t>
      </w:r>
      <w:r>
        <w:rPr>
          <w:rFonts w:hint="eastAsia" w:cs="宋体"/>
          <w:b/>
          <w:bCs/>
          <w:color w:val="000000" w:themeColor="text1"/>
          <w:sz w:val="21"/>
          <w:szCs w:val="21"/>
          <w:u w:val="single"/>
          <w:lang w:val="en-US" w:eastAsia="zh-CN"/>
          <w14:textFill>
            <w14:solidFill>
              <w14:schemeClr w14:val="tx1"/>
            </w14:solidFill>
          </w14:textFill>
        </w:rPr>
        <w:t>的</w:t>
      </w:r>
      <w:r>
        <w:rPr>
          <w:rFonts w:hint="eastAsia" w:cs="宋体"/>
          <w:b/>
          <w:bCs/>
          <w:color w:val="000000" w:themeColor="text1"/>
          <w:sz w:val="21"/>
          <w:szCs w:val="21"/>
          <w:u w:val="single"/>
          <w14:textFill>
            <w14:solidFill>
              <w14:schemeClr w14:val="tx1"/>
            </w14:solidFill>
          </w14:textFill>
        </w:rPr>
        <w:t>万分之五向发包人支付违约金；延期</w:t>
      </w:r>
      <w:r>
        <w:rPr>
          <w:rFonts w:hint="eastAsia" w:cs="宋体"/>
          <w:b/>
          <w:bCs/>
          <w:color w:val="000000" w:themeColor="text1"/>
          <w:sz w:val="21"/>
          <w:szCs w:val="21"/>
          <w:u w:val="single"/>
          <w:lang w:val="en-US" w:eastAsia="zh-CN"/>
          <w14:textFill>
            <w14:solidFill>
              <w14:schemeClr w14:val="tx1"/>
            </w14:solidFill>
          </w14:textFill>
        </w:rPr>
        <w:t>完工</w:t>
      </w:r>
      <w:r>
        <w:rPr>
          <w:rFonts w:hint="eastAsia" w:cs="宋体"/>
          <w:b/>
          <w:bCs/>
          <w:color w:val="000000" w:themeColor="text1"/>
          <w:sz w:val="21"/>
          <w:szCs w:val="21"/>
          <w:u w:val="single"/>
          <w14:textFill>
            <w14:solidFill>
              <w14:schemeClr w14:val="tx1"/>
            </w14:solidFill>
          </w14:textFill>
        </w:rPr>
        <w:t>56天以上的，发包人有权解除合同，并追究连带损失。</w:t>
      </w:r>
      <w:bookmarkEnd w:id="287"/>
      <w:bookmarkEnd w:id="288"/>
      <w:bookmarkEnd w:id="289"/>
      <w:bookmarkEnd w:id="290"/>
      <w:bookmarkEnd w:id="291"/>
      <w:bookmarkEnd w:id="292"/>
      <w:bookmarkEnd w:id="293"/>
    </w:p>
    <w:bookmarkEnd w:id="294"/>
    <w:p w14:paraId="4D8105EA">
      <w:pPr>
        <w:adjustRightInd w:val="0"/>
        <w:snapToGrid w:val="0"/>
        <w:spacing w:line="360" w:lineRule="auto"/>
        <w:ind w:firstLine="420" w:firstLineChars="200"/>
        <w:rPr>
          <w:rFonts w:hint="eastAsia" w:ascii="宋体" w:hAnsi="宋体" w:eastAsia="宋体" w:cs="宋体"/>
          <w:b/>
          <w:bCs/>
          <w:color w:val="000000" w:themeColor="text1"/>
          <w:sz w:val="21"/>
          <w:szCs w:val="21"/>
          <w:u w:val="single"/>
          <w:lang w:val="en-US" w:eastAsia="zh-CN"/>
          <w14:textFill>
            <w14:solidFill>
              <w14:schemeClr w14:val="tx1"/>
            </w14:solidFill>
          </w14:textFill>
        </w:rPr>
      </w:pPr>
      <w:r>
        <w:rPr>
          <w:rFonts w:hint="eastAsia" w:cs="宋体"/>
          <w:color w:val="000000" w:themeColor="text1"/>
          <w:sz w:val="21"/>
          <w:szCs w:val="21"/>
          <w14:textFill>
            <w14:solidFill>
              <w14:schemeClr w14:val="tx1"/>
            </w14:solidFill>
          </w14:textFill>
        </w:rPr>
        <w:t>因承包人原因造成工期延误，逾</w:t>
      </w:r>
      <w:bookmarkStart w:id="295" w:name="_Toc318581171"/>
      <w:bookmarkStart w:id="296" w:name="_Toc312678014"/>
      <w:r>
        <w:rPr>
          <w:rFonts w:hint="eastAsia" w:cs="宋体"/>
          <w:color w:val="000000" w:themeColor="text1"/>
          <w:sz w:val="21"/>
          <w:szCs w:val="21"/>
          <w14:textFill>
            <w14:solidFill>
              <w14:schemeClr w14:val="tx1"/>
            </w14:solidFill>
          </w14:textFill>
        </w:rPr>
        <w:t>期</w:t>
      </w:r>
      <w:r>
        <w:rPr>
          <w:rFonts w:hint="eastAsia" w:cs="宋体"/>
          <w:color w:val="000000" w:themeColor="text1"/>
          <w:sz w:val="21"/>
          <w:szCs w:val="21"/>
          <w:lang w:eastAsia="zh-CN"/>
          <w14:textFill>
            <w14:solidFill>
              <w14:schemeClr w14:val="tx1"/>
            </w14:solidFill>
          </w14:textFill>
        </w:rPr>
        <w:t>完工</w:t>
      </w:r>
      <w:r>
        <w:rPr>
          <w:rFonts w:hint="eastAsia" w:cs="宋体"/>
          <w:color w:val="000000" w:themeColor="text1"/>
          <w:sz w:val="21"/>
          <w:szCs w:val="21"/>
          <w14:textFill>
            <w14:solidFill>
              <w14:schemeClr w14:val="tx1"/>
            </w14:solidFill>
          </w14:textFill>
        </w:rPr>
        <w:t>违约金的上限：</w:t>
      </w:r>
      <w:r>
        <w:rPr>
          <w:rFonts w:hint="eastAsia" w:ascii="宋体" w:hAnsi="宋体" w:eastAsia="宋体" w:cs="宋体"/>
          <w:b/>
          <w:bCs/>
          <w:color w:val="000000" w:themeColor="text1"/>
          <w:sz w:val="21"/>
          <w:szCs w:val="21"/>
          <w:u w:val="single"/>
          <w:lang w:val="en-US" w:eastAsia="zh-CN"/>
          <w14:textFill>
            <w14:solidFill>
              <w14:schemeClr w14:val="tx1"/>
            </w14:solidFill>
          </w14:textFill>
        </w:rPr>
        <w:t>违约金最高限额为</w:t>
      </w:r>
      <w:r>
        <w:rPr>
          <w:rFonts w:hint="eastAsia" w:cs="宋体"/>
          <w:b/>
          <w:bCs/>
          <w:color w:val="000000" w:themeColor="text1"/>
          <w:sz w:val="21"/>
          <w:szCs w:val="21"/>
          <w:u w:val="single"/>
          <w:lang w:val="en-US" w:eastAsia="zh-CN"/>
          <w14:textFill>
            <w14:solidFill>
              <w14:schemeClr w14:val="tx1"/>
            </w14:solidFill>
          </w14:textFill>
        </w:rPr>
        <w:t>签约</w:t>
      </w:r>
      <w:r>
        <w:rPr>
          <w:rFonts w:hint="eastAsia" w:ascii="宋体" w:hAnsi="宋体" w:eastAsia="宋体" w:cs="宋体"/>
          <w:b/>
          <w:bCs/>
          <w:color w:val="000000" w:themeColor="text1"/>
          <w:sz w:val="21"/>
          <w:szCs w:val="21"/>
          <w:u w:val="single"/>
          <w:lang w:val="en-US" w:eastAsia="zh-CN"/>
          <w14:textFill>
            <w14:solidFill>
              <w14:schemeClr w14:val="tx1"/>
            </w14:solidFill>
          </w14:textFill>
        </w:rPr>
        <w:t>合同价款的10%。</w:t>
      </w:r>
    </w:p>
    <w:bookmarkEnd w:id="295"/>
    <w:bookmarkEnd w:id="296"/>
    <w:p w14:paraId="7F1E6A9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w:t>
      </w:r>
      <w:bookmarkStart w:id="297" w:name="_Toc312678015"/>
      <w:bookmarkStart w:id="298" w:name="_Toc304295549"/>
      <w:bookmarkStart w:id="299" w:name="_Toc300934971"/>
      <w:bookmarkStart w:id="300" w:name="_Toc297216178"/>
      <w:bookmarkStart w:id="301" w:name="_Toc303539128"/>
      <w:bookmarkStart w:id="302" w:name="_Toc297123519"/>
      <w:r>
        <w:rPr>
          <w:rFonts w:hint="eastAsia" w:cs="宋体"/>
          <w:bCs/>
          <w:color w:val="auto"/>
          <w:sz w:val="21"/>
          <w:szCs w:val="21"/>
        </w:rPr>
        <w:t>.6 不</w:t>
      </w:r>
      <w:bookmarkEnd w:id="297"/>
      <w:bookmarkEnd w:id="298"/>
      <w:bookmarkEnd w:id="299"/>
      <w:bookmarkEnd w:id="300"/>
      <w:bookmarkEnd w:id="301"/>
      <w:bookmarkEnd w:id="302"/>
      <w:r>
        <w:rPr>
          <w:rFonts w:hint="eastAsia" w:cs="宋体"/>
          <w:bCs/>
          <w:color w:val="auto"/>
          <w:sz w:val="21"/>
          <w:szCs w:val="21"/>
        </w:rPr>
        <w:t>利物质条件</w:t>
      </w:r>
    </w:p>
    <w:p w14:paraId="01F63AB3">
      <w:pPr>
        <w:adjustRightInd w:val="0"/>
        <w:snapToGrid w:val="0"/>
        <w:spacing w:line="360" w:lineRule="auto"/>
        <w:ind w:firstLine="420" w:firstLineChars="200"/>
        <w:rPr>
          <w:rFonts w:cs="宋体"/>
          <w:b/>
          <w:color w:val="auto"/>
          <w:sz w:val="21"/>
          <w:szCs w:val="21"/>
          <w:u w:val="single"/>
        </w:rPr>
      </w:pPr>
      <w:bookmarkStart w:id="303" w:name="_Toc312678016"/>
      <w:bookmarkStart w:id="304" w:name="_Toc304295550"/>
      <w:bookmarkStart w:id="305" w:name="_Toc297216179"/>
      <w:bookmarkStart w:id="306" w:name="_Toc318581172"/>
      <w:bookmarkStart w:id="307" w:name="_Toc297123520"/>
      <w:bookmarkStart w:id="308" w:name="_Toc300934972"/>
      <w:bookmarkStart w:id="309" w:name="_Toc303539129"/>
      <w:r>
        <w:rPr>
          <w:rFonts w:hint="eastAsia" w:cs="宋体"/>
          <w:color w:val="auto"/>
          <w:sz w:val="21"/>
          <w:szCs w:val="21"/>
        </w:rPr>
        <w:t>不利物质条件的其他情形和有关约定：</w:t>
      </w:r>
      <w:r>
        <w:rPr>
          <w:rFonts w:hint="eastAsia" w:cs="宋体"/>
          <w:color w:val="auto"/>
          <w:sz w:val="21"/>
          <w:szCs w:val="21"/>
          <w:u w:val="single"/>
        </w:rPr>
        <w:t xml:space="preserve"> 执行通用条款</w:t>
      </w:r>
      <w:r>
        <w:rPr>
          <w:rFonts w:hint="eastAsia" w:cs="宋体"/>
          <w:color w:val="auto"/>
          <w:sz w:val="21"/>
          <w:szCs w:val="21"/>
        </w:rPr>
        <w:t>。</w:t>
      </w:r>
    </w:p>
    <w:bookmarkEnd w:id="303"/>
    <w:bookmarkEnd w:id="304"/>
    <w:bookmarkEnd w:id="305"/>
    <w:bookmarkEnd w:id="306"/>
    <w:bookmarkEnd w:id="307"/>
    <w:bookmarkEnd w:id="308"/>
    <w:bookmarkEnd w:id="309"/>
    <w:p w14:paraId="7EED1C7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7</w:t>
      </w:r>
      <w:bookmarkStart w:id="310" w:name="_Toc304295551"/>
      <w:bookmarkStart w:id="311" w:name="_Toc297123521"/>
      <w:bookmarkStart w:id="312" w:name="_Toc297216180"/>
      <w:bookmarkStart w:id="313" w:name="_Toc300934973"/>
      <w:bookmarkStart w:id="314" w:name="_Toc303539130"/>
      <w:bookmarkStart w:id="315" w:name="_Toc312678017"/>
      <w:r>
        <w:rPr>
          <w:rFonts w:hint="eastAsia" w:cs="宋体"/>
          <w:bCs/>
          <w:color w:val="auto"/>
          <w:sz w:val="21"/>
          <w:szCs w:val="21"/>
        </w:rPr>
        <w:t>.7 异常恶劣的气候条件</w:t>
      </w:r>
    </w:p>
    <w:bookmarkEnd w:id="310"/>
    <w:bookmarkEnd w:id="311"/>
    <w:bookmarkEnd w:id="312"/>
    <w:bookmarkEnd w:id="313"/>
    <w:bookmarkEnd w:id="314"/>
    <w:bookmarkEnd w:id="315"/>
    <w:p w14:paraId="6957A3AD">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发包人和承包人同意以下情形视为异常恶劣的气候条件：</w:t>
      </w:r>
    </w:p>
    <w:p w14:paraId="58A0D61E">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（1）平均风力达 10 级以上，或者阵风 12 级以上并可能持续。</w:t>
      </w:r>
    </w:p>
    <w:p w14:paraId="22EC7CF5">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u w:val="single"/>
        </w:rPr>
        <w:t>（2）3 小时内降雨量将达 50 毫米以上，或者已达 50 毫米以上且降雨可能</w:t>
      </w:r>
    </w:p>
    <w:p w14:paraId="4CF43C9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u w:val="single"/>
        </w:rPr>
        <w:t>持续。</w:t>
      </w:r>
    </w:p>
    <w:p w14:paraId="6DBE6DCC">
      <w:pPr>
        <w:keepNext/>
        <w:keepLines/>
        <w:snapToGrid w:val="0"/>
        <w:spacing w:before="120" w:after="120" w:line="360" w:lineRule="auto"/>
        <w:ind w:firstLine="420" w:firstLineChars="200"/>
        <w:outlineLvl w:val="3"/>
        <w:rPr>
          <w:rFonts w:hint="eastAsia" w:eastAsia="宋体" w:cs="宋体"/>
          <w:bCs/>
          <w:color w:val="auto"/>
          <w:sz w:val="21"/>
          <w:szCs w:val="21"/>
          <w:lang w:eastAsia="zh-CN"/>
        </w:rPr>
      </w:pPr>
      <w:r>
        <w:rPr>
          <w:rFonts w:hint="eastAsia" w:cs="宋体"/>
          <w:bCs/>
          <w:color w:val="auto"/>
          <w:sz w:val="21"/>
          <w:szCs w:val="21"/>
        </w:rPr>
        <w:t>7.9 提前</w:t>
      </w:r>
      <w:r>
        <w:rPr>
          <w:rFonts w:hint="eastAsia" w:cs="宋体"/>
          <w:bCs/>
          <w:color w:val="auto"/>
          <w:sz w:val="21"/>
          <w:szCs w:val="21"/>
          <w:lang w:eastAsia="zh-CN"/>
        </w:rPr>
        <w:t>完工</w:t>
      </w:r>
    </w:p>
    <w:p w14:paraId="75644540">
      <w:pPr>
        <w:adjustRightInd w:val="0"/>
        <w:snapToGrid w:val="0"/>
        <w:spacing w:line="360" w:lineRule="auto"/>
        <w:ind w:firstLine="420" w:firstLineChars="200"/>
        <w:rPr>
          <w:rFonts w:cs="宋体"/>
          <w:color w:val="auto"/>
          <w:sz w:val="21"/>
          <w:szCs w:val="21"/>
        </w:rPr>
      </w:pPr>
      <w:r>
        <w:rPr>
          <w:rFonts w:hint="eastAsia" w:cs="宋体"/>
          <w:color w:val="auto"/>
          <w:sz w:val="21"/>
          <w:szCs w:val="21"/>
        </w:rPr>
        <w:t>7.9.2 提前</w:t>
      </w:r>
      <w:r>
        <w:rPr>
          <w:rFonts w:hint="eastAsia" w:cs="宋体"/>
          <w:color w:val="auto"/>
          <w:sz w:val="21"/>
          <w:szCs w:val="21"/>
          <w:lang w:eastAsia="zh-CN"/>
        </w:rPr>
        <w:t>完工</w:t>
      </w:r>
      <w:r>
        <w:rPr>
          <w:rFonts w:hint="eastAsia" w:cs="宋体"/>
          <w:color w:val="auto"/>
          <w:sz w:val="21"/>
          <w:szCs w:val="21"/>
        </w:rPr>
        <w:t>的奖励：</w:t>
      </w:r>
      <w:r>
        <w:rPr>
          <w:rFonts w:hint="eastAsia" w:cs="宋体"/>
          <w:color w:val="auto"/>
          <w:sz w:val="21"/>
          <w:szCs w:val="21"/>
          <w:u w:val="single"/>
          <w:lang w:val="en-US" w:eastAsia="zh-CN"/>
        </w:rPr>
        <w:t>/</w:t>
      </w:r>
      <w:r>
        <w:rPr>
          <w:rFonts w:hint="eastAsia" w:cs="宋体"/>
          <w:color w:val="auto"/>
          <w:sz w:val="21"/>
          <w:szCs w:val="21"/>
        </w:rPr>
        <w:t>。</w:t>
      </w:r>
    </w:p>
    <w:p w14:paraId="24563900">
      <w:pPr>
        <w:snapToGrid w:val="0"/>
        <w:spacing w:before="312" w:beforeLines="100" w:after="312" w:afterLines="100" w:line="360" w:lineRule="auto"/>
        <w:outlineLvl w:val="2"/>
        <w:rPr>
          <w:rFonts w:cs="宋体"/>
          <w:color w:val="auto"/>
          <w:sz w:val="21"/>
          <w:szCs w:val="21"/>
        </w:rPr>
      </w:pPr>
      <w:bookmarkStart w:id="316" w:name="_Toc351203640"/>
      <w:r>
        <w:rPr>
          <w:rFonts w:hint="eastAsia" w:cs="宋体"/>
          <w:color w:val="auto"/>
          <w:sz w:val="21"/>
          <w:szCs w:val="21"/>
        </w:rPr>
        <w:t>8. 材料与设备</w:t>
      </w:r>
      <w:bookmarkEnd w:id="316"/>
    </w:p>
    <w:bookmarkEnd w:id="249"/>
    <w:bookmarkEnd w:id="250"/>
    <w:bookmarkEnd w:id="251"/>
    <w:bookmarkEnd w:id="252"/>
    <w:bookmarkEnd w:id="253"/>
    <w:bookmarkEnd w:id="254"/>
    <w:bookmarkEnd w:id="255"/>
    <w:bookmarkEnd w:id="256"/>
    <w:bookmarkEnd w:id="257"/>
    <w:bookmarkEnd w:id="258"/>
    <w:p w14:paraId="365F9334">
      <w:pPr>
        <w:adjustRightInd w:val="0"/>
        <w:snapToGrid w:val="0"/>
        <w:spacing w:line="360" w:lineRule="auto"/>
        <w:ind w:firstLine="420" w:firstLineChars="200"/>
        <w:rPr>
          <w:rFonts w:cs="宋体"/>
          <w:color w:val="auto"/>
          <w:sz w:val="21"/>
          <w:szCs w:val="21"/>
        </w:rPr>
      </w:pPr>
      <w:r>
        <w:rPr>
          <w:rFonts w:hint="eastAsia" w:cs="宋体"/>
          <w:color w:val="auto"/>
          <w:sz w:val="21"/>
          <w:szCs w:val="21"/>
        </w:rPr>
        <w:t>8</w:t>
      </w:r>
      <w:bookmarkStart w:id="317" w:name="_Toc296347166"/>
      <w:bookmarkStart w:id="318" w:name="_Toc296503167"/>
      <w:bookmarkStart w:id="319" w:name="_Toc304295556"/>
      <w:bookmarkStart w:id="320" w:name="_Toc296891207"/>
      <w:bookmarkStart w:id="321" w:name="_Toc297216186"/>
      <w:bookmarkStart w:id="322" w:name="_Toc296944506"/>
      <w:bookmarkStart w:id="323" w:name="_Toc292559372"/>
      <w:bookmarkStart w:id="324" w:name="_Toc303539136"/>
      <w:bookmarkStart w:id="325" w:name="_Toc312677493"/>
      <w:bookmarkStart w:id="326" w:name="_Toc297123527"/>
      <w:bookmarkStart w:id="327" w:name="_Toc297048353"/>
      <w:bookmarkStart w:id="328" w:name="_Toc296890995"/>
      <w:bookmarkStart w:id="329" w:name="_Toc280868654"/>
      <w:bookmarkStart w:id="330" w:name="_Toc296346668"/>
      <w:bookmarkStart w:id="331" w:name="_Toc312678019"/>
      <w:bookmarkStart w:id="332" w:name="_Toc297120467"/>
      <w:bookmarkStart w:id="333" w:name="_Toc292559877"/>
      <w:bookmarkStart w:id="334" w:name="_Toc300934979"/>
      <w:bookmarkStart w:id="335" w:name="_Toc267251424"/>
      <w:bookmarkStart w:id="336" w:name="_Toc280868655"/>
      <w:bookmarkStart w:id="337" w:name="_Toc280868656"/>
      <w:r>
        <w:rPr>
          <w:rFonts w:hint="eastAsia" w:cs="宋体"/>
          <w:color w:val="auto"/>
          <w:sz w:val="21"/>
          <w:szCs w:val="21"/>
        </w:rPr>
        <w:t>.4 材料与工程设备的保管与使用</w:t>
      </w: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14:paraId="24B97C25">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8</w:t>
      </w:r>
      <w:bookmarkStart w:id="338" w:name="_Toc292559373"/>
      <w:bookmarkStart w:id="339" w:name="_Toc292559878"/>
      <w:bookmarkStart w:id="340" w:name="_Toc296890996"/>
      <w:bookmarkStart w:id="341" w:name="_Toc296944507"/>
      <w:bookmarkStart w:id="342" w:name="_Toc296346669"/>
      <w:bookmarkStart w:id="343" w:name="_Toc297048354"/>
      <w:bookmarkStart w:id="344" w:name="_Toc300934980"/>
      <w:bookmarkStart w:id="345" w:name="_Toc303539137"/>
      <w:bookmarkStart w:id="346" w:name="_Toc297123528"/>
      <w:bookmarkStart w:id="347" w:name="_Toc312678020"/>
      <w:bookmarkStart w:id="348" w:name="_Toc297216187"/>
      <w:bookmarkStart w:id="349" w:name="_Toc312677494"/>
      <w:bookmarkStart w:id="350" w:name="_Toc296347167"/>
      <w:bookmarkStart w:id="351" w:name="_Toc296503168"/>
      <w:bookmarkStart w:id="352" w:name="_Toc296891208"/>
      <w:bookmarkStart w:id="353" w:name="_Toc297120468"/>
      <w:bookmarkStart w:id="354" w:name="_Toc318581173"/>
      <w:bookmarkStart w:id="355" w:name="_Toc304295557"/>
      <w:r>
        <w:rPr>
          <w:rFonts w:hint="eastAsia" w:cs="宋体"/>
          <w:color w:val="auto"/>
          <w:sz w:val="21"/>
          <w:szCs w:val="21"/>
        </w:rPr>
        <w:t>.4.1 发包人供应的材料设备的保管费用的承担：</w:t>
      </w:r>
      <w:r>
        <w:rPr>
          <w:rFonts w:hint="eastAsia" w:cs="宋体"/>
          <w:color w:val="auto"/>
          <w:sz w:val="21"/>
          <w:szCs w:val="21"/>
          <w:u w:val="single"/>
        </w:rPr>
        <w:t xml:space="preserve"> 发包人供应的材料和工程设备使用前，由承包人负责检验，相关检验和保管费用由承包人承担 </w:t>
      </w:r>
      <w:r>
        <w:rPr>
          <w:rFonts w:hint="eastAsia" w:cs="宋体"/>
          <w:color w:val="auto"/>
          <w:sz w:val="21"/>
          <w:szCs w:val="21"/>
        </w:rPr>
        <w:t>。</w:t>
      </w:r>
      <w:bookmarkEnd w:id="338"/>
      <w:bookmarkEnd w:id="339"/>
    </w:p>
    <w:p w14:paraId="7A86EF6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8.6 样品</w:t>
      </w:r>
    </w:p>
    <w:p w14:paraId="08B83F95">
      <w:pPr>
        <w:adjustRightInd w:val="0"/>
        <w:snapToGrid w:val="0"/>
        <w:spacing w:line="360" w:lineRule="auto"/>
        <w:ind w:firstLine="420" w:firstLineChars="200"/>
        <w:rPr>
          <w:rFonts w:cs="宋体"/>
          <w:color w:val="auto"/>
          <w:sz w:val="21"/>
          <w:szCs w:val="21"/>
        </w:rPr>
      </w:pPr>
      <w:r>
        <w:rPr>
          <w:rFonts w:hint="eastAsia" w:cs="宋体"/>
          <w:color w:val="auto"/>
          <w:sz w:val="21"/>
          <w:szCs w:val="21"/>
        </w:rPr>
        <w:t>8.6.1 样品的报送与封存</w:t>
      </w:r>
    </w:p>
    <w:p w14:paraId="582DEDF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需要承包人报送样品的材料或工程设备，样品的种类、名称、规格、数量要求：</w:t>
      </w:r>
      <w:r>
        <w:rPr>
          <w:rFonts w:hint="eastAsia" w:cs="宋体"/>
          <w:color w:val="auto"/>
          <w:sz w:val="21"/>
          <w:szCs w:val="21"/>
          <w:lang w:val="en-US" w:eastAsia="zh-CN"/>
        </w:rPr>
        <w:t>/</w:t>
      </w:r>
      <w:r>
        <w:rPr>
          <w:rFonts w:hint="eastAsia" w:cs="宋体"/>
          <w:color w:val="auto"/>
          <w:sz w:val="21"/>
          <w:szCs w:val="21"/>
          <w:u w:val="single"/>
        </w:rPr>
        <w:t xml:space="preserve"> </w:t>
      </w:r>
      <w:r>
        <w:rPr>
          <w:rFonts w:hint="eastAsia" w:cs="宋体"/>
          <w:color w:val="auto"/>
          <w:sz w:val="21"/>
          <w:szCs w:val="21"/>
        </w:rPr>
        <w:t>。</w:t>
      </w:r>
    </w:p>
    <w:p w14:paraId="46E73C33">
      <w:pPr>
        <w:adjustRightInd w:val="0"/>
        <w:snapToGrid w:val="0"/>
        <w:spacing w:line="360" w:lineRule="auto"/>
        <w:ind w:firstLine="420" w:firstLineChars="200"/>
        <w:rPr>
          <w:rFonts w:cs="宋体"/>
          <w:color w:val="auto"/>
          <w:sz w:val="21"/>
          <w:szCs w:val="21"/>
        </w:rPr>
      </w:pPr>
      <w:r>
        <w:rPr>
          <w:rFonts w:hint="eastAsia" w:cs="宋体"/>
          <w:color w:val="auto"/>
          <w:sz w:val="21"/>
          <w:szCs w:val="21"/>
        </w:rPr>
        <w:t>8.8 施工设备和临时设施</w:t>
      </w:r>
    </w:p>
    <w:p w14:paraId="3A56F168">
      <w:pPr>
        <w:adjustRightInd w:val="0"/>
        <w:snapToGrid w:val="0"/>
        <w:spacing w:line="360" w:lineRule="auto"/>
        <w:ind w:firstLine="420" w:firstLineChars="200"/>
        <w:rPr>
          <w:rFonts w:cs="宋体"/>
          <w:color w:val="auto"/>
          <w:sz w:val="21"/>
          <w:szCs w:val="21"/>
        </w:rPr>
      </w:pPr>
      <w:r>
        <w:rPr>
          <w:rFonts w:hint="eastAsia" w:cs="宋体"/>
          <w:color w:val="auto"/>
          <w:sz w:val="21"/>
          <w:szCs w:val="21"/>
        </w:rPr>
        <w:t>8.8.1 承包人提供的施工设备和临时设施</w:t>
      </w:r>
    </w:p>
    <w:p w14:paraId="0E185A0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关于修建临时设施费用承担的约定：</w:t>
      </w:r>
      <w:r>
        <w:rPr>
          <w:rFonts w:hint="eastAsia" w:cs="宋体"/>
          <w:color w:val="auto"/>
          <w:sz w:val="21"/>
          <w:szCs w:val="21"/>
          <w:u w:val="single"/>
        </w:rPr>
        <w:t xml:space="preserve">承包人承担 </w:t>
      </w:r>
      <w:r>
        <w:rPr>
          <w:rFonts w:hint="eastAsia" w:cs="宋体"/>
          <w:color w:val="auto"/>
          <w:sz w:val="21"/>
          <w:szCs w:val="21"/>
        </w:rPr>
        <w:t>。</w:t>
      </w:r>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14:paraId="7048700D">
      <w:pPr>
        <w:snapToGrid w:val="0"/>
        <w:spacing w:before="312" w:beforeLines="100" w:after="312" w:afterLines="100" w:line="360" w:lineRule="auto"/>
        <w:outlineLvl w:val="2"/>
        <w:rPr>
          <w:rFonts w:cs="宋体"/>
          <w:color w:val="auto"/>
          <w:sz w:val="21"/>
          <w:szCs w:val="21"/>
        </w:rPr>
      </w:pPr>
      <w:bookmarkStart w:id="356" w:name="_Toc351203641"/>
      <w:r>
        <w:rPr>
          <w:rFonts w:hint="eastAsia" w:cs="宋体"/>
          <w:color w:val="auto"/>
          <w:sz w:val="21"/>
          <w:szCs w:val="21"/>
        </w:rPr>
        <w:t>9</w:t>
      </w:r>
      <w:bookmarkEnd w:id="335"/>
      <w:bookmarkEnd w:id="336"/>
      <w:bookmarkEnd w:id="337"/>
      <w:bookmarkStart w:id="357" w:name="_Toc300934982"/>
      <w:bookmarkStart w:id="358" w:name="_Toc304295559"/>
      <w:bookmarkStart w:id="359" w:name="_Toc297216192"/>
      <w:bookmarkStart w:id="360" w:name="_Toc312677495"/>
      <w:bookmarkStart w:id="361" w:name="_Toc297123533"/>
      <w:bookmarkStart w:id="362" w:name="_Toc312678021"/>
      <w:bookmarkStart w:id="363" w:name="_Toc303539139"/>
      <w:bookmarkStart w:id="364" w:name="_Toc296891001"/>
      <w:bookmarkStart w:id="365" w:name="_Toc297048359"/>
      <w:bookmarkStart w:id="366" w:name="_Toc296944512"/>
      <w:bookmarkStart w:id="367" w:name="_Toc292559378"/>
      <w:bookmarkStart w:id="368" w:name="_Toc292559883"/>
      <w:bookmarkStart w:id="369" w:name="_Toc296346674"/>
      <w:bookmarkStart w:id="370" w:name="_Toc297120473"/>
      <w:bookmarkStart w:id="371" w:name="_Toc296891213"/>
      <w:bookmarkStart w:id="372" w:name="_Toc296503173"/>
      <w:bookmarkStart w:id="373" w:name="_Toc267251428"/>
      <w:bookmarkStart w:id="374" w:name="_Toc267251427"/>
      <w:bookmarkStart w:id="375" w:name="_Toc296347172"/>
      <w:r>
        <w:rPr>
          <w:rFonts w:hint="eastAsia" w:cs="宋体"/>
          <w:color w:val="auto"/>
          <w:sz w:val="21"/>
          <w:szCs w:val="21"/>
        </w:rPr>
        <w:t>. 试验与检验</w:t>
      </w:r>
      <w:bookmarkEnd w:id="356"/>
    </w:p>
    <w:bookmarkEnd w:id="357"/>
    <w:bookmarkEnd w:id="358"/>
    <w:bookmarkEnd w:id="359"/>
    <w:bookmarkEnd w:id="360"/>
    <w:bookmarkEnd w:id="361"/>
    <w:bookmarkEnd w:id="362"/>
    <w:bookmarkEnd w:id="363"/>
    <w:p w14:paraId="035F3680">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9</w:t>
      </w:r>
      <w:bookmarkStart w:id="376" w:name="_Toc300934983"/>
      <w:bookmarkStart w:id="377" w:name="_Toc297123534"/>
      <w:bookmarkStart w:id="378" w:name="_Toc297216193"/>
      <w:bookmarkStart w:id="379" w:name="_Toc312677496"/>
      <w:bookmarkStart w:id="380" w:name="_Toc303539140"/>
      <w:bookmarkStart w:id="381" w:name="_Toc304295560"/>
      <w:bookmarkStart w:id="382" w:name="_Toc312678022"/>
      <w:r>
        <w:rPr>
          <w:rFonts w:hint="eastAsia" w:cs="宋体"/>
          <w:bCs/>
          <w:color w:val="auto"/>
          <w:sz w:val="21"/>
          <w:szCs w:val="21"/>
        </w:rPr>
        <w:t>.1 试验设备与试验人员</w:t>
      </w:r>
    </w:p>
    <w:bookmarkEnd w:id="376"/>
    <w:bookmarkEnd w:id="377"/>
    <w:bookmarkEnd w:id="378"/>
    <w:bookmarkEnd w:id="379"/>
    <w:bookmarkEnd w:id="380"/>
    <w:bookmarkEnd w:id="381"/>
    <w:bookmarkEnd w:id="382"/>
    <w:p w14:paraId="3F098363">
      <w:pPr>
        <w:adjustRightInd w:val="0"/>
        <w:snapToGrid w:val="0"/>
        <w:spacing w:line="360" w:lineRule="auto"/>
        <w:ind w:firstLine="420" w:firstLineChars="200"/>
        <w:rPr>
          <w:rFonts w:cs="宋体"/>
          <w:color w:val="auto"/>
          <w:sz w:val="21"/>
          <w:szCs w:val="21"/>
        </w:rPr>
      </w:pPr>
      <w:r>
        <w:rPr>
          <w:rFonts w:hint="eastAsia" w:cs="宋体"/>
          <w:color w:val="auto"/>
          <w:sz w:val="21"/>
          <w:szCs w:val="21"/>
        </w:rPr>
        <w:t>9</w:t>
      </w:r>
      <w:bookmarkStart w:id="383" w:name="_Toc304295561"/>
      <w:bookmarkStart w:id="384" w:name="_Toc300934984"/>
      <w:bookmarkStart w:id="385" w:name="_Toc297123535"/>
      <w:bookmarkStart w:id="386" w:name="_Toc297216194"/>
      <w:bookmarkStart w:id="387" w:name="_Toc312678023"/>
      <w:bookmarkStart w:id="388" w:name="_Toc312677497"/>
      <w:bookmarkStart w:id="389" w:name="_Toc303539141"/>
      <w:bookmarkStart w:id="390" w:name="_Toc318581174"/>
      <w:r>
        <w:rPr>
          <w:rFonts w:hint="eastAsia" w:cs="宋体"/>
          <w:color w:val="auto"/>
          <w:sz w:val="21"/>
          <w:szCs w:val="21"/>
        </w:rPr>
        <w:t>.1.2 试验设备</w:t>
      </w:r>
    </w:p>
    <w:p w14:paraId="4EC4B89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施工现场需要配置的试验场所</w:t>
      </w:r>
      <w:bookmarkEnd w:id="383"/>
      <w:bookmarkEnd w:id="384"/>
      <w:bookmarkEnd w:id="385"/>
      <w:bookmarkEnd w:id="386"/>
      <w:bookmarkEnd w:id="387"/>
      <w:bookmarkEnd w:id="388"/>
      <w:bookmarkEnd w:id="389"/>
      <w:bookmarkStart w:id="391" w:name="_Toc312677498"/>
      <w:bookmarkStart w:id="392" w:name="_Toc300934985"/>
      <w:bookmarkStart w:id="393" w:name="_Toc303539142"/>
      <w:bookmarkStart w:id="394" w:name="_Toc312678024"/>
      <w:bookmarkStart w:id="395" w:name="_Toc297216195"/>
      <w:bookmarkStart w:id="396" w:name="_Toc304295562"/>
      <w:bookmarkStart w:id="397" w:name="_Toc297123536"/>
      <w:r>
        <w:rPr>
          <w:rFonts w:hint="eastAsia" w:cs="宋体"/>
          <w:color w:val="auto"/>
          <w:sz w:val="21"/>
          <w:szCs w:val="21"/>
        </w:rPr>
        <w:t xml:space="preserve">：  </w:t>
      </w:r>
      <w:r>
        <w:rPr>
          <w:rFonts w:hint="eastAsia" w:cs="宋体"/>
          <w:color w:val="auto"/>
          <w:sz w:val="21"/>
          <w:szCs w:val="21"/>
          <w:u w:val="single"/>
        </w:rPr>
        <w:t xml:space="preserve">  执行通用条款  </w:t>
      </w:r>
      <w:r>
        <w:rPr>
          <w:rFonts w:hint="eastAsia" w:cs="宋体"/>
          <w:color w:val="auto"/>
          <w:sz w:val="21"/>
          <w:szCs w:val="21"/>
        </w:rPr>
        <w:t>。</w:t>
      </w:r>
    </w:p>
    <w:p w14:paraId="06C6F5B2">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施工现场需要配备的试验设备：</w:t>
      </w:r>
      <w:r>
        <w:rPr>
          <w:rFonts w:hint="eastAsia" w:cs="宋体"/>
          <w:color w:val="auto"/>
          <w:sz w:val="21"/>
          <w:szCs w:val="21"/>
          <w:u w:val="single"/>
        </w:rPr>
        <w:t xml:space="preserve">   执行通用条款   </w:t>
      </w:r>
      <w:r>
        <w:rPr>
          <w:rFonts w:hint="eastAsia" w:cs="宋体"/>
          <w:color w:val="auto"/>
          <w:sz w:val="21"/>
          <w:szCs w:val="21"/>
        </w:rPr>
        <w:t>。</w:t>
      </w:r>
    </w:p>
    <w:p w14:paraId="09940F3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施工现场需要具备的其他试验条件：</w:t>
      </w:r>
      <w:r>
        <w:rPr>
          <w:rFonts w:hint="eastAsia" w:cs="宋体"/>
          <w:color w:val="auto"/>
          <w:sz w:val="21"/>
          <w:szCs w:val="21"/>
          <w:u w:val="single"/>
        </w:rPr>
        <w:t xml:space="preserve"> 执行通用条款  </w:t>
      </w:r>
      <w:r>
        <w:rPr>
          <w:rFonts w:hint="eastAsia" w:cs="宋体"/>
          <w:color w:val="auto"/>
          <w:sz w:val="21"/>
          <w:szCs w:val="21"/>
        </w:rPr>
        <w:t>。</w:t>
      </w:r>
    </w:p>
    <w:p w14:paraId="78E4860F">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9.4 现场工艺试验 </w:t>
      </w:r>
    </w:p>
    <w:p w14:paraId="714360C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现场工艺试验的有关约定：</w:t>
      </w:r>
      <w:r>
        <w:rPr>
          <w:rFonts w:hint="eastAsia" w:cs="宋体"/>
          <w:color w:val="auto"/>
          <w:sz w:val="21"/>
          <w:szCs w:val="21"/>
          <w:u w:val="single"/>
        </w:rPr>
        <w:t xml:space="preserve">  执行通用条款      </w:t>
      </w:r>
      <w:r>
        <w:rPr>
          <w:rFonts w:hint="eastAsia" w:cs="宋体"/>
          <w:color w:val="auto"/>
          <w:sz w:val="21"/>
          <w:szCs w:val="21"/>
        </w:rPr>
        <w:t>。</w:t>
      </w:r>
    </w:p>
    <w:bookmarkEnd w:id="390"/>
    <w:bookmarkEnd w:id="391"/>
    <w:bookmarkEnd w:id="392"/>
    <w:bookmarkEnd w:id="393"/>
    <w:bookmarkEnd w:id="394"/>
    <w:bookmarkEnd w:id="395"/>
    <w:bookmarkEnd w:id="396"/>
    <w:bookmarkEnd w:id="397"/>
    <w:p w14:paraId="14AD670E">
      <w:pPr>
        <w:snapToGrid w:val="0"/>
        <w:spacing w:before="312" w:beforeLines="100" w:after="312" w:afterLines="100" w:line="360" w:lineRule="auto"/>
        <w:outlineLvl w:val="2"/>
        <w:rPr>
          <w:rFonts w:cs="宋体"/>
          <w:color w:val="auto"/>
          <w:sz w:val="21"/>
          <w:szCs w:val="21"/>
        </w:rPr>
      </w:pPr>
      <w:bookmarkStart w:id="398" w:name="_Toc351203642"/>
      <w:r>
        <w:rPr>
          <w:rFonts w:hint="eastAsia" w:cs="宋体"/>
          <w:color w:val="auto"/>
          <w:sz w:val="21"/>
          <w:szCs w:val="21"/>
        </w:rPr>
        <w:t>1</w:t>
      </w:r>
      <w:bookmarkEnd w:id="364"/>
      <w:bookmarkEnd w:id="365"/>
      <w:bookmarkEnd w:id="366"/>
      <w:bookmarkEnd w:id="367"/>
      <w:bookmarkEnd w:id="368"/>
      <w:bookmarkEnd w:id="369"/>
      <w:bookmarkEnd w:id="370"/>
      <w:bookmarkEnd w:id="371"/>
      <w:bookmarkEnd w:id="372"/>
      <w:bookmarkEnd w:id="373"/>
      <w:bookmarkEnd w:id="374"/>
      <w:bookmarkEnd w:id="375"/>
      <w:bookmarkStart w:id="399" w:name="_Toc300934989"/>
      <w:bookmarkStart w:id="400" w:name="_Toc296891021"/>
      <w:bookmarkStart w:id="401" w:name="_Toc303539146"/>
      <w:bookmarkStart w:id="402" w:name="_Toc296503193"/>
      <w:bookmarkStart w:id="403" w:name="_Toc297120493"/>
      <w:bookmarkStart w:id="404" w:name="_Toc297123540"/>
      <w:bookmarkStart w:id="405" w:name="_Toc296944532"/>
      <w:bookmarkStart w:id="406" w:name="_Toc304295566"/>
      <w:bookmarkStart w:id="407" w:name="_Toc292559398"/>
      <w:bookmarkStart w:id="408" w:name="_Toc296347192"/>
      <w:bookmarkStart w:id="409" w:name="_Toc297048379"/>
      <w:bookmarkStart w:id="410" w:name="_Toc292559903"/>
      <w:bookmarkStart w:id="411" w:name="_Toc296346694"/>
      <w:bookmarkStart w:id="412" w:name="_Toc296891233"/>
      <w:bookmarkStart w:id="413" w:name="_Toc297216199"/>
      <w:bookmarkStart w:id="414" w:name="_Toc312677499"/>
      <w:bookmarkStart w:id="415" w:name="_Toc312678025"/>
      <w:bookmarkStart w:id="416" w:name="_Toc267251441"/>
      <w:bookmarkStart w:id="417" w:name="_Toc267251435"/>
      <w:bookmarkStart w:id="418" w:name="_Toc267251439"/>
      <w:bookmarkStart w:id="419" w:name="_Toc267251437"/>
      <w:bookmarkStart w:id="420" w:name="_Toc267251440"/>
      <w:bookmarkStart w:id="421" w:name="_Toc267251433"/>
      <w:bookmarkStart w:id="422" w:name="_Toc267251442"/>
      <w:r>
        <w:rPr>
          <w:rFonts w:hint="eastAsia" w:cs="宋体"/>
          <w:color w:val="auto"/>
          <w:sz w:val="21"/>
          <w:szCs w:val="21"/>
        </w:rPr>
        <w:t>0. 变更</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bookmarkEnd w:id="414"/>
    <w:bookmarkEnd w:id="415"/>
    <w:p w14:paraId="0C8C02F4">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w:t>
      </w:r>
      <w:bookmarkStart w:id="423" w:name="_Toc297120494"/>
      <w:bookmarkStart w:id="424" w:name="_Toc303539147"/>
      <w:bookmarkStart w:id="425" w:name="_Toc297216200"/>
      <w:bookmarkStart w:id="426" w:name="_Toc304295567"/>
      <w:bookmarkStart w:id="427" w:name="_Toc296346695"/>
      <w:bookmarkStart w:id="428" w:name="_Toc296503194"/>
      <w:bookmarkStart w:id="429" w:name="_Toc300934990"/>
      <w:bookmarkStart w:id="430" w:name="_Toc296347193"/>
      <w:bookmarkStart w:id="431" w:name="_Toc312678026"/>
      <w:bookmarkStart w:id="432" w:name="_Toc292559904"/>
      <w:bookmarkStart w:id="433" w:name="_Toc296891022"/>
      <w:bookmarkStart w:id="434" w:name="_Toc297123541"/>
      <w:bookmarkStart w:id="435" w:name="_Toc297048380"/>
      <w:bookmarkStart w:id="436" w:name="_Toc296944533"/>
      <w:bookmarkStart w:id="437" w:name="_Toc292559399"/>
      <w:bookmarkStart w:id="438" w:name="_Toc296891234"/>
      <w:bookmarkStart w:id="439" w:name="_Toc312677500"/>
      <w:r>
        <w:rPr>
          <w:rFonts w:hint="eastAsia" w:cs="宋体"/>
          <w:bCs/>
          <w:color w:val="auto"/>
          <w:sz w:val="21"/>
          <w:szCs w:val="21"/>
        </w:rPr>
        <w:t>0.1 变更的范围</w:t>
      </w:r>
    </w:p>
    <w:p w14:paraId="771E9679">
      <w:pPr>
        <w:keepNext/>
        <w:keepLines/>
        <w:snapToGrid w:val="0"/>
        <w:spacing w:before="120" w:after="120" w:line="360" w:lineRule="auto"/>
        <w:ind w:firstLine="420" w:firstLineChars="200"/>
        <w:outlineLvl w:val="3"/>
        <w:rPr>
          <w:rFonts w:hint="eastAsia" w:cs="宋体"/>
          <w:color w:val="auto"/>
          <w:sz w:val="21"/>
          <w:szCs w:val="21"/>
        </w:rPr>
      </w:pPr>
      <w:r>
        <w:rPr>
          <w:rFonts w:hint="eastAsia" w:cs="宋体"/>
          <w:color w:val="auto"/>
          <w:sz w:val="21"/>
          <w:szCs w:val="21"/>
        </w:rPr>
        <w:t>关于变更的范围的约定：执行通用合同条款，但发包人发布的变更指令，承包人须无条件执行，承包人拒不执行的，发包人有权委托第三方进行实施，变更工程价款金额为发包人与第三方签订的承包合同额，变更工程价款由本合同承包人承担，在结算时由发包人予以扣除。并且每发生一次拒绝执行情况，承包人须向发包人支付</w:t>
      </w:r>
      <w:r>
        <w:rPr>
          <w:rFonts w:hint="eastAsia" w:cs="宋体"/>
          <w:color w:val="auto"/>
          <w:sz w:val="21"/>
          <w:szCs w:val="21"/>
          <w:u w:val="single"/>
          <w:lang w:val="en-US" w:eastAsia="zh-CN"/>
        </w:rPr>
        <w:t>伍</w:t>
      </w:r>
      <w:r>
        <w:rPr>
          <w:rFonts w:hint="eastAsia" w:cs="宋体"/>
          <w:color w:val="auto"/>
          <w:sz w:val="21"/>
          <w:szCs w:val="21"/>
          <w:u w:val="single"/>
        </w:rPr>
        <w:t>万元/次</w:t>
      </w:r>
      <w:r>
        <w:rPr>
          <w:rFonts w:hint="eastAsia" w:cs="宋体"/>
          <w:color w:val="auto"/>
          <w:sz w:val="21"/>
          <w:szCs w:val="21"/>
        </w:rPr>
        <w:t xml:space="preserve">的违约金  。 </w:t>
      </w:r>
    </w:p>
    <w:p w14:paraId="2E1816C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10.4 变更估价</w:t>
      </w:r>
    </w:p>
    <w:p w14:paraId="5D244BF7">
      <w:pPr>
        <w:adjustRightInd w:val="0"/>
        <w:snapToGrid w:val="0"/>
        <w:spacing w:line="360" w:lineRule="auto"/>
        <w:ind w:firstLine="420" w:firstLineChars="200"/>
        <w:rPr>
          <w:rFonts w:cs="宋体"/>
          <w:color w:val="auto"/>
          <w:sz w:val="21"/>
          <w:szCs w:val="21"/>
        </w:rPr>
      </w:pPr>
      <w:r>
        <w:rPr>
          <w:rFonts w:hint="eastAsia" w:cs="宋体"/>
          <w:color w:val="auto"/>
          <w:sz w:val="21"/>
          <w:szCs w:val="21"/>
        </w:rPr>
        <w:t>10.4.1 变更估价原则</w:t>
      </w:r>
    </w:p>
    <w:p w14:paraId="0A45BB53">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关于变更估价的约定：</w:t>
      </w:r>
    </w:p>
    <w:p w14:paraId="039AF196">
      <w:pPr>
        <w:adjustRightInd w:val="0"/>
        <w:snapToGrid w:val="0"/>
        <w:spacing w:line="360" w:lineRule="auto"/>
        <w:ind w:firstLine="422" w:firstLineChars="200"/>
        <w:rPr>
          <w:rFonts w:hint="eastAsia" w:ascii="宋体" w:hAnsi="宋体" w:eastAsia="宋体" w:cs="宋体"/>
          <w:color w:val="auto"/>
          <w:sz w:val="21"/>
          <w:szCs w:val="21"/>
        </w:rPr>
      </w:pPr>
      <w:r>
        <w:rPr>
          <w:rFonts w:hint="eastAsia" w:cs="宋体"/>
          <w:b/>
          <w:color w:val="auto"/>
          <w:sz w:val="21"/>
          <w:szCs w:val="21"/>
        </w:rPr>
        <w:t>10.4.1.1 因工程变更引起已标价工程量清单项目或其工程数量发生变化时，按下列规定调整：</w:t>
      </w:r>
      <w:r>
        <w:rPr>
          <w:rFonts w:hint="eastAsia" w:ascii="宋体" w:hAnsi="宋体" w:eastAsia="宋体" w:cs="宋体"/>
          <w:color w:val="auto"/>
          <w:sz w:val="21"/>
          <w:szCs w:val="21"/>
        </w:rPr>
        <w:t>由于设计</w:t>
      </w:r>
      <w:r>
        <w:rPr>
          <w:rFonts w:hint="eastAsia" w:cs="宋体"/>
          <w:color w:val="auto"/>
          <w:sz w:val="21"/>
          <w:szCs w:val="21"/>
          <w:lang w:eastAsia="zh-CN"/>
        </w:rPr>
        <w:t>（</w:t>
      </w:r>
      <w:r>
        <w:rPr>
          <w:rFonts w:hint="eastAsia" w:cs="宋体"/>
          <w:color w:val="auto"/>
          <w:sz w:val="21"/>
          <w:szCs w:val="21"/>
          <w:lang w:val="en-US" w:eastAsia="zh-CN"/>
        </w:rPr>
        <w:t>工程）</w:t>
      </w:r>
      <w:r>
        <w:rPr>
          <w:rFonts w:hint="eastAsia" w:ascii="宋体" w:hAnsi="宋体" w:eastAsia="宋体" w:cs="宋体"/>
          <w:color w:val="auto"/>
          <w:sz w:val="21"/>
          <w:szCs w:val="21"/>
        </w:rPr>
        <w:t>变更、签证等引起的</w:t>
      </w:r>
      <w:r>
        <w:rPr>
          <w:rFonts w:hint="eastAsia" w:cs="宋体"/>
          <w:color w:val="auto"/>
          <w:sz w:val="21"/>
          <w:szCs w:val="21"/>
          <w:lang w:val="en-US" w:eastAsia="zh-CN"/>
        </w:rPr>
        <w:t>合同外的</w:t>
      </w:r>
      <w:r>
        <w:rPr>
          <w:rFonts w:hint="eastAsia" w:ascii="宋体" w:hAnsi="宋体" w:eastAsia="宋体" w:cs="宋体"/>
          <w:color w:val="auto"/>
          <w:sz w:val="21"/>
          <w:szCs w:val="21"/>
        </w:rPr>
        <w:t>工程量变化，按实际调整。设计</w:t>
      </w:r>
      <w:r>
        <w:rPr>
          <w:rFonts w:hint="eastAsia" w:cs="宋体"/>
          <w:color w:val="auto"/>
          <w:sz w:val="21"/>
          <w:szCs w:val="21"/>
          <w:lang w:eastAsia="zh-CN"/>
        </w:rPr>
        <w:t>（</w:t>
      </w:r>
      <w:r>
        <w:rPr>
          <w:rFonts w:hint="eastAsia" w:cs="宋体"/>
          <w:color w:val="auto"/>
          <w:sz w:val="21"/>
          <w:szCs w:val="21"/>
          <w:lang w:val="en-US" w:eastAsia="zh-CN"/>
        </w:rPr>
        <w:t>工程）</w:t>
      </w:r>
      <w:r>
        <w:rPr>
          <w:rFonts w:hint="eastAsia" w:ascii="宋体" w:hAnsi="宋体" w:eastAsia="宋体" w:cs="宋体"/>
          <w:color w:val="auto"/>
          <w:sz w:val="21"/>
          <w:szCs w:val="21"/>
        </w:rPr>
        <w:t>变更、签证引起新的工程量清单项目，其相应综合单价按以下规则由承包人提出，经发包人、发包人</w:t>
      </w:r>
      <w:r>
        <w:rPr>
          <w:rFonts w:hint="eastAsia" w:cs="宋体"/>
          <w:color w:val="auto"/>
          <w:sz w:val="21"/>
          <w:szCs w:val="21"/>
          <w:lang w:val="en-US" w:eastAsia="zh-CN"/>
        </w:rPr>
        <w:t>或其</w:t>
      </w:r>
      <w:r>
        <w:rPr>
          <w:rFonts w:hint="eastAsia" w:ascii="宋体" w:hAnsi="宋体" w:eastAsia="宋体" w:cs="宋体"/>
          <w:color w:val="auto"/>
          <w:sz w:val="21"/>
          <w:szCs w:val="21"/>
        </w:rPr>
        <w:t>委托的审核单位共同确认后作为结算依据，变更、签证程序执行</w:t>
      </w:r>
      <w:r>
        <w:rPr>
          <w:rFonts w:hint="eastAsia" w:cs="宋体"/>
          <w:color w:val="auto"/>
          <w:sz w:val="21"/>
          <w:szCs w:val="21"/>
          <w:lang w:val="en-US" w:eastAsia="zh-CN"/>
        </w:rPr>
        <w:t>安徽省</w:t>
      </w:r>
      <w:r>
        <w:rPr>
          <w:rFonts w:hint="eastAsia" w:ascii="宋体" w:hAnsi="宋体" w:eastAsia="宋体" w:cs="宋体"/>
          <w:color w:val="auto"/>
          <w:sz w:val="21"/>
          <w:szCs w:val="21"/>
        </w:rPr>
        <w:t xml:space="preserve">相关文件规定。 </w:t>
      </w:r>
    </w:p>
    <w:p w14:paraId="2284B7A6">
      <w:pPr>
        <w:numPr>
          <w:ilvl w:val="0"/>
          <w:numId w:val="8"/>
        </w:numPr>
        <w:adjustRightInd w:val="0"/>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最高投标限价中已列项目，按</w:t>
      </w:r>
      <w:r>
        <w:rPr>
          <w:rFonts w:hint="eastAsia" w:cs="宋体"/>
          <w:color w:val="auto"/>
          <w:sz w:val="21"/>
          <w:szCs w:val="21"/>
          <w:lang w:val="en-US" w:eastAsia="zh-CN"/>
        </w:rPr>
        <w:t>采购文件及合同要求进行计算</w:t>
      </w:r>
      <w:r>
        <w:rPr>
          <w:rFonts w:hint="eastAsia" w:ascii="宋体" w:hAnsi="宋体" w:eastAsia="宋体" w:cs="宋体"/>
          <w:color w:val="auto"/>
          <w:sz w:val="21"/>
          <w:szCs w:val="21"/>
        </w:rPr>
        <w:t>。</w:t>
      </w:r>
    </w:p>
    <w:p w14:paraId="682C9B0B">
      <w:pPr>
        <w:numPr>
          <w:ilvl w:val="0"/>
          <w:numId w:val="8"/>
        </w:numPr>
        <w:adjustRightInd w:val="0"/>
        <w:snapToGrid w:val="0"/>
        <w:spacing w:line="360" w:lineRule="auto"/>
        <w:ind w:firstLine="420" w:firstLineChars="200"/>
        <w:rPr>
          <w:rFonts w:hint="eastAsia" w:cs="宋体"/>
          <w:b w:val="0"/>
          <w:color w:val="auto"/>
          <w:sz w:val="21"/>
          <w:szCs w:val="21"/>
          <w:u w:val="none"/>
        </w:rPr>
      </w:pPr>
      <w:r>
        <w:rPr>
          <w:rFonts w:hint="eastAsia" w:ascii="宋体" w:hAnsi="宋体" w:eastAsia="宋体" w:cs="宋体"/>
          <w:color w:val="auto"/>
          <w:sz w:val="21"/>
          <w:szCs w:val="21"/>
        </w:rPr>
        <w:t>如工程量清单与施工图纸不一致；工程量清单描述不清的；工程量清单中未列的项目及数量有差异的项目，由承包人在投标报价中自行考虑费用，视为承包人已列入投标总价中。</w:t>
      </w:r>
    </w:p>
    <w:p w14:paraId="2B1C07F1">
      <w:pPr>
        <w:adjustRightInd w:val="0"/>
        <w:snapToGrid w:val="0"/>
        <w:spacing w:before="0" w:beforeLines="-2147483648" w:line="360" w:lineRule="auto"/>
        <w:ind w:firstLine="420" w:firstLineChars="200"/>
        <w:rPr>
          <w:rFonts w:hint="eastAsia" w:cs="宋体"/>
          <w:b w:val="0"/>
          <w:color w:val="auto"/>
          <w:sz w:val="21"/>
          <w:szCs w:val="21"/>
        </w:rPr>
      </w:pPr>
      <w:r>
        <w:rPr>
          <w:rFonts w:hint="eastAsia" w:ascii="宋体" w:hAnsi="宋体" w:eastAsia="宋体" w:cs="宋体"/>
          <w:color w:val="auto"/>
          <w:sz w:val="21"/>
          <w:szCs w:val="21"/>
        </w:rPr>
        <w:t>c.工程变更中的报价：发包人最高投标限价中有相同或类似综合单价的，按相同或类似综合单价*</w:t>
      </w:r>
      <w:r>
        <w:rPr>
          <w:rFonts w:hint="eastAsia" w:cs="宋体"/>
          <w:color w:val="auto"/>
          <w:sz w:val="21"/>
          <w:szCs w:val="21"/>
          <w:lang w:eastAsia="zh-CN"/>
        </w:rPr>
        <w:t>（</w:t>
      </w:r>
      <w:r>
        <w:rPr>
          <w:rFonts w:hint="eastAsia" w:cs="宋体"/>
          <w:color w:val="auto"/>
          <w:sz w:val="21"/>
          <w:szCs w:val="21"/>
          <w:lang w:val="en-US" w:eastAsia="zh-CN"/>
        </w:rPr>
        <w:t>1-最终投标下浮</w:t>
      </w:r>
      <w:r>
        <w:rPr>
          <w:rFonts w:hint="eastAsia" w:ascii="宋体" w:hAnsi="宋体" w:eastAsia="宋体" w:cs="宋体"/>
          <w:color w:val="auto"/>
          <w:sz w:val="21"/>
          <w:szCs w:val="21"/>
        </w:rPr>
        <w:t>率</w:t>
      </w:r>
      <w:r>
        <w:rPr>
          <w:rFonts w:hint="eastAsia" w:cs="宋体"/>
          <w:color w:val="auto"/>
          <w:sz w:val="21"/>
          <w:szCs w:val="21"/>
          <w:lang w:eastAsia="zh-CN"/>
        </w:rPr>
        <w:t>）</w:t>
      </w:r>
      <w:r>
        <w:rPr>
          <w:rFonts w:hint="eastAsia" w:ascii="宋体" w:hAnsi="宋体" w:eastAsia="宋体" w:cs="宋体"/>
          <w:color w:val="auto"/>
          <w:sz w:val="21"/>
          <w:szCs w:val="21"/>
        </w:rPr>
        <w:t>记取；承包人投标报价中无相同或类似综合单价的，参照</w:t>
      </w:r>
      <w:r>
        <w:rPr>
          <w:rFonts w:hint="eastAsia" w:cs="宋体"/>
          <w:color w:val="auto"/>
          <w:sz w:val="21"/>
          <w:szCs w:val="21"/>
          <w:lang w:val="en-US" w:eastAsia="zh-CN"/>
        </w:rPr>
        <w:t>采购</w:t>
      </w:r>
      <w:r>
        <w:rPr>
          <w:rFonts w:hint="eastAsia" w:ascii="宋体" w:hAnsi="宋体" w:eastAsia="宋体" w:cs="宋体"/>
          <w:color w:val="auto"/>
          <w:sz w:val="21"/>
          <w:szCs w:val="21"/>
        </w:rPr>
        <w:t>文件重新组价；其中材料价格按发包人最高投标限价中的材料价格执行；若最高投标限价中没有，执行编制最高投标限价时采用的</w:t>
      </w:r>
      <w:r>
        <w:rPr>
          <w:rFonts w:hint="eastAsia" w:ascii="宋体" w:hAnsi="宋体" w:eastAsia="宋体" w:cs="宋体"/>
          <w:i w:val="0"/>
          <w:iCs w:val="0"/>
          <w:caps w:val="0"/>
          <w:color w:val="auto"/>
          <w:spacing w:val="0"/>
          <w:sz w:val="21"/>
          <w:szCs w:val="21"/>
          <w:shd w:val="clear" w:fill="auto"/>
        </w:rPr>
        <w:t>安徽省建设工程造价管理总站</w:t>
      </w:r>
      <w:r>
        <w:rPr>
          <w:rFonts w:hint="eastAsia" w:cs="宋体"/>
          <w:i w:val="0"/>
          <w:iCs w:val="0"/>
          <w:caps w:val="0"/>
          <w:color w:val="auto"/>
          <w:spacing w:val="0"/>
          <w:sz w:val="21"/>
          <w:szCs w:val="21"/>
          <w:shd w:val="clear" w:fill="auto"/>
          <w:lang w:val="en-US" w:eastAsia="zh-CN"/>
        </w:rPr>
        <w:t>项目所在地</w:t>
      </w:r>
      <w:r>
        <w:rPr>
          <w:rFonts w:hint="eastAsia" w:ascii="宋体" w:hAnsi="宋体" w:eastAsia="宋体" w:cs="宋体"/>
          <w:color w:val="auto"/>
          <w:sz w:val="21"/>
          <w:szCs w:val="21"/>
        </w:rPr>
        <w:t>同期发布的信息价，发布的信息价中若没有，</w:t>
      </w:r>
      <w:r>
        <w:rPr>
          <w:rFonts w:hint="eastAsia" w:cs="宋体"/>
          <w:color w:val="auto"/>
          <w:sz w:val="21"/>
          <w:szCs w:val="21"/>
          <w:lang w:val="en-US" w:eastAsia="zh-CN"/>
        </w:rPr>
        <w:t>按照项目周边地区发布的信息价格执行</w:t>
      </w:r>
      <w:r>
        <w:rPr>
          <w:rFonts w:hint="eastAsia" w:ascii="宋体" w:hAnsi="宋体" w:eastAsia="宋体" w:cs="宋体"/>
          <w:color w:val="auto"/>
          <w:sz w:val="21"/>
          <w:szCs w:val="21"/>
        </w:rPr>
        <w:t>。重新组价部分按最高限价与承包人投标报价的</w:t>
      </w:r>
      <w:r>
        <w:rPr>
          <w:rFonts w:hint="eastAsia" w:cs="宋体"/>
          <w:b/>
          <w:bCs/>
          <w:color w:val="auto"/>
          <w:sz w:val="21"/>
          <w:szCs w:val="21"/>
          <w:lang w:val="en-US" w:eastAsia="zh-CN"/>
        </w:rPr>
        <w:t>投标下浮率</w:t>
      </w:r>
      <w:r>
        <w:rPr>
          <w:rFonts w:hint="eastAsia" w:ascii="宋体" w:hAnsi="宋体" w:eastAsia="宋体" w:cs="宋体"/>
          <w:color w:val="auto"/>
          <w:sz w:val="21"/>
          <w:szCs w:val="21"/>
        </w:rPr>
        <w:t xml:space="preserve">同比例下浮后进行结算。 </w:t>
      </w:r>
    </w:p>
    <w:p w14:paraId="41694B69">
      <w:pPr>
        <w:adjustRightInd w:val="0"/>
        <w:snapToGrid w:val="0"/>
        <w:spacing w:before="93" w:beforeLines="30" w:line="360" w:lineRule="auto"/>
        <w:ind w:firstLine="420" w:firstLineChars="200"/>
        <w:rPr>
          <w:rFonts w:cs="宋体"/>
          <w:b/>
          <w:strike/>
          <w:color w:val="auto"/>
          <w:sz w:val="21"/>
          <w:szCs w:val="21"/>
          <w:u w:val="single"/>
        </w:rPr>
      </w:pPr>
      <w:r>
        <w:rPr>
          <w:rFonts w:hint="eastAsia" w:cs="宋体"/>
          <w:b w:val="0"/>
          <w:bCs/>
          <w:color w:val="auto"/>
          <w:sz w:val="21"/>
          <w:szCs w:val="21"/>
        </w:rPr>
        <w:t>10.4.1.2 工程变更引起施工方案改变并使措施项目发生变化时，承包人提出调整措施项目费的，应事前将拟实施的方案提交发包人确认，并应详细说明与原方案措施项目相比的变化情况。拟实施的方案经发承包双方确认后执行，并应按照下列规定调整措施项目费：</w:t>
      </w:r>
      <w:r>
        <w:rPr>
          <w:rFonts w:hint="eastAsia" w:cs="宋体"/>
          <w:b w:val="0"/>
          <w:bCs/>
          <w:color w:val="auto"/>
          <w:sz w:val="21"/>
          <w:szCs w:val="21"/>
          <w:u w:val="single"/>
          <w:lang w:val="en-US" w:eastAsia="zh-CN"/>
        </w:rPr>
        <w:t>/</w:t>
      </w:r>
      <w:r>
        <w:rPr>
          <w:rFonts w:hint="eastAsia" w:cs="宋体"/>
          <w:b/>
          <w:color w:val="auto"/>
          <w:sz w:val="21"/>
          <w:szCs w:val="21"/>
          <w:u w:val="single"/>
        </w:rPr>
        <w:t>。</w:t>
      </w:r>
    </w:p>
    <w:p w14:paraId="3613C6EE">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Start w:id="440" w:name="_Toc297048383"/>
      <w:bookmarkStart w:id="441" w:name="_Toc303539150"/>
      <w:bookmarkStart w:id="442" w:name="_Toc296891025"/>
      <w:bookmarkStart w:id="443" w:name="_Toc297120497"/>
      <w:bookmarkStart w:id="444" w:name="_Toc296346698"/>
      <w:bookmarkStart w:id="445" w:name="_Toc296347196"/>
      <w:bookmarkStart w:id="446" w:name="_Toc296503197"/>
      <w:bookmarkStart w:id="447" w:name="_Toc292559402"/>
      <w:bookmarkStart w:id="448" w:name="_Toc296891237"/>
      <w:bookmarkStart w:id="449" w:name="_Toc300934993"/>
      <w:bookmarkStart w:id="450" w:name="_Toc297216203"/>
      <w:bookmarkStart w:id="451" w:name="_Toc296944536"/>
      <w:bookmarkStart w:id="452" w:name="_Toc297123544"/>
      <w:bookmarkStart w:id="453" w:name="_Toc292559907"/>
      <w:bookmarkStart w:id="454" w:name="_Toc304295570"/>
      <w:bookmarkStart w:id="455" w:name="_Toc312677503"/>
      <w:bookmarkStart w:id="456" w:name="_Toc312678029"/>
      <w:r>
        <w:rPr>
          <w:rFonts w:hint="eastAsia" w:cs="宋体"/>
          <w:bCs/>
          <w:color w:val="auto"/>
          <w:sz w:val="21"/>
          <w:szCs w:val="21"/>
        </w:rPr>
        <w:t>0.5 承</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Start w:id="457" w:name="_Toc297123545"/>
      <w:bookmarkStart w:id="458" w:name="_Toc296891031"/>
      <w:bookmarkStart w:id="459" w:name="_Toc296346704"/>
      <w:bookmarkStart w:id="460" w:name="_Toc297120503"/>
      <w:bookmarkStart w:id="461" w:name="_Toc303539151"/>
      <w:bookmarkStart w:id="462" w:name="_Toc296944542"/>
      <w:bookmarkStart w:id="463" w:name="_Toc297216204"/>
      <w:bookmarkStart w:id="464" w:name="_Toc296347202"/>
      <w:bookmarkStart w:id="465" w:name="_Toc300934994"/>
      <w:bookmarkStart w:id="466" w:name="_Toc296503203"/>
      <w:bookmarkStart w:id="467" w:name="_Toc296891243"/>
      <w:bookmarkStart w:id="468" w:name="_Toc292559913"/>
      <w:bookmarkStart w:id="469" w:name="_Toc292559408"/>
      <w:bookmarkStart w:id="470" w:name="_Toc297048389"/>
      <w:r>
        <w:rPr>
          <w:rFonts w:hint="eastAsia" w:cs="宋体"/>
          <w:bCs/>
          <w:color w:val="auto"/>
          <w:sz w:val="21"/>
          <w:szCs w:val="21"/>
        </w:rPr>
        <w:t>包人的合理化建议</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14:paraId="2EF3393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监理人审查承包人合理化建议的期限：</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73BADB65">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发包人审批承包人合理化建议的期限：</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44046E6">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w:t>
      </w:r>
      <w:bookmarkStart w:id="471" w:name="_Toc296347203"/>
      <w:bookmarkStart w:id="472" w:name="_Toc296891032"/>
      <w:bookmarkStart w:id="473" w:name="_Toc297048390"/>
      <w:bookmarkStart w:id="474" w:name="_Toc300934995"/>
      <w:bookmarkStart w:id="475" w:name="_Toc304295571"/>
      <w:bookmarkStart w:id="476" w:name="_Toc292559409"/>
      <w:bookmarkStart w:id="477" w:name="_Toc297123546"/>
      <w:bookmarkStart w:id="478" w:name="_Toc318581175"/>
      <w:bookmarkStart w:id="479" w:name="_Toc297120504"/>
      <w:bookmarkStart w:id="480" w:name="_Toc297216205"/>
      <w:bookmarkStart w:id="481" w:name="_Toc292559914"/>
      <w:bookmarkStart w:id="482" w:name="_Toc296503204"/>
      <w:bookmarkStart w:id="483" w:name="_Toc312678030"/>
      <w:bookmarkStart w:id="484" w:name="_Toc296346705"/>
      <w:bookmarkStart w:id="485" w:name="_Toc296944543"/>
      <w:bookmarkStart w:id="486" w:name="_Toc303539152"/>
      <w:bookmarkStart w:id="487" w:name="_Toc312677504"/>
      <w:bookmarkStart w:id="488" w:name="_Toc296891244"/>
      <w:r>
        <w:rPr>
          <w:rFonts w:hint="eastAsia" w:cs="宋体"/>
          <w:color w:val="auto"/>
          <w:sz w:val="21"/>
          <w:szCs w:val="21"/>
        </w:rPr>
        <w:t>包人提出的合理化建议降低了合同价格或者提高了工程经济效益的奖励的方法和金额为：</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14:paraId="300682E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w:t>
      </w:r>
      <w:bookmarkStart w:id="489" w:name="_Toc312678033"/>
      <w:bookmarkStart w:id="490" w:name="_Toc304295574"/>
      <w:bookmarkStart w:id="491" w:name="_Toc292559404"/>
      <w:bookmarkStart w:id="492" w:name="_Toc297123548"/>
      <w:bookmarkStart w:id="493" w:name="_Toc292559909"/>
      <w:bookmarkStart w:id="494" w:name="_Toc296891239"/>
      <w:bookmarkStart w:id="495" w:name="_Toc297120499"/>
      <w:bookmarkStart w:id="496" w:name="_Toc296891027"/>
      <w:bookmarkStart w:id="497" w:name="_Toc312677507"/>
      <w:bookmarkStart w:id="498" w:name="_Toc296944538"/>
      <w:bookmarkStart w:id="499" w:name="_Toc297216207"/>
      <w:bookmarkStart w:id="500" w:name="_Toc296346700"/>
      <w:bookmarkStart w:id="501" w:name="_Toc296347198"/>
      <w:bookmarkStart w:id="502" w:name="_Toc303539154"/>
      <w:bookmarkStart w:id="503" w:name="_Toc297048385"/>
      <w:bookmarkStart w:id="504" w:name="_Toc296503199"/>
      <w:bookmarkStart w:id="505" w:name="_Toc300934997"/>
      <w:r>
        <w:rPr>
          <w:rFonts w:hint="eastAsia" w:cs="宋体"/>
          <w:bCs/>
          <w:color w:val="auto"/>
          <w:sz w:val="21"/>
          <w:szCs w:val="21"/>
        </w:rPr>
        <w:t>0.7 暂估价</w:t>
      </w:r>
    </w:p>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14:paraId="2099E0E6">
      <w:pPr>
        <w:adjustRightInd w:val="0"/>
        <w:snapToGrid w:val="0"/>
        <w:spacing w:line="360" w:lineRule="auto"/>
        <w:ind w:firstLine="420" w:firstLineChars="200"/>
        <w:rPr>
          <w:rFonts w:cs="宋体"/>
          <w:color w:val="auto"/>
          <w:sz w:val="21"/>
          <w:szCs w:val="21"/>
        </w:rPr>
      </w:pPr>
      <w:r>
        <w:rPr>
          <w:rFonts w:hint="eastAsia" w:cs="宋体"/>
          <w:color w:val="auto"/>
          <w:sz w:val="21"/>
          <w:szCs w:val="21"/>
        </w:rPr>
        <w:t>暂</w:t>
      </w:r>
      <w:bookmarkStart w:id="506" w:name="_Toc312678034"/>
      <w:bookmarkStart w:id="507" w:name="_Toc318581176"/>
      <w:bookmarkStart w:id="508" w:name="_Toc312677508"/>
      <w:r>
        <w:rPr>
          <w:rFonts w:hint="eastAsia" w:cs="宋体"/>
          <w:color w:val="auto"/>
          <w:sz w:val="21"/>
          <w:szCs w:val="21"/>
        </w:rPr>
        <w:t>估价材料和工程设备的明细见附件12：《暂估价一览表》。</w:t>
      </w:r>
    </w:p>
    <w:bookmarkEnd w:id="506"/>
    <w:bookmarkEnd w:id="507"/>
    <w:bookmarkEnd w:id="508"/>
    <w:p w14:paraId="55C02B07">
      <w:pPr>
        <w:adjustRightInd w:val="0"/>
        <w:snapToGrid w:val="0"/>
        <w:spacing w:line="360" w:lineRule="auto"/>
        <w:ind w:firstLine="420" w:firstLineChars="200"/>
        <w:rPr>
          <w:rFonts w:cs="宋体"/>
          <w:color w:val="auto"/>
          <w:sz w:val="21"/>
          <w:szCs w:val="21"/>
        </w:rPr>
      </w:pPr>
      <w:r>
        <w:rPr>
          <w:rFonts w:hint="eastAsia" w:cs="宋体"/>
          <w:color w:val="auto"/>
          <w:sz w:val="21"/>
          <w:szCs w:val="21"/>
        </w:rPr>
        <w:t>1</w:t>
      </w:r>
      <w:bookmarkStart w:id="509" w:name="_Toc318581177"/>
      <w:bookmarkStart w:id="510" w:name="_Toc312678035"/>
      <w:bookmarkStart w:id="511" w:name="_Toc312677509"/>
      <w:r>
        <w:rPr>
          <w:rFonts w:hint="eastAsia" w:cs="宋体"/>
          <w:color w:val="auto"/>
          <w:sz w:val="21"/>
          <w:szCs w:val="21"/>
        </w:rPr>
        <w:t>0.7.1 依法必须招标的暂估价项目</w:t>
      </w:r>
      <w:r>
        <w:rPr>
          <w:rFonts w:hint="eastAsia" w:cs="宋体"/>
          <w:color w:val="auto"/>
          <w:sz w:val="21"/>
          <w:szCs w:val="21"/>
          <w:lang w:val="en-US" w:eastAsia="zh-CN"/>
        </w:rPr>
        <w:t>/。</w:t>
      </w:r>
    </w:p>
    <w:bookmarkEnd w:id="509"/>
    <w:bookmarkEnd w:id="510"/>
    <w:bookmarkEnd w:id="511"/>
    <w:p w14:paraId="2E0D1034">
      <w:pPr>
        <w:adjustRightInd w:val="0"/>
        <w:snapToGrid w:val="0"/>
        <w:spacing w:line="360" w:lineRule="auto"/>
        <w:ind w:firstLine="420" w:firstLineChars="200"/>
        <w:rPr>
          <w:rFonts w:cs="宋体"/>
          <w:color w:val="auto"/>
          <w:sz w:val="21"/>
          <w:szCs w:val="21"/>
        </w:rPr>
      </w:pPr>
      <w:r>
        <w:rPr>
          <w:rFonts w:hint="eastAsia" w:cs="宋体"/>
          <w:color w:val="auto"/>
          <w:sz w:val="21"/>
          <w:szCs w:val="21"/>
        </w:rPr>
        <w:t>10.7.2 不属于依法必须招标的暂估价项目</w:t>
      </w:r>
    </w:p>
    <w:p w14:paraId="0A119721">
      <w:pPr>
        <w:adjustRightInd w:val="0"/>
        <w:snapToGrid w:val="0"/>
        <w:spacing w:line="360" w:lineRule="auto"/>
        <w:ind w:firstLine="420" w:firstLineChars="200"/>
        <w:rPr>
          <w:rFonts w:cs="宋体"/>
          <w:color w:val="auto"/>
          <w:sz w:val="21"/>
          <w:szCs w:val="21"/>
        </w:rPr>
      </w:pPr>
      <w:r>
        <w:rPr>
          <w:rFonts w:hint="eastAsia" w:cs="宋体"/>
          <w:color w:val="auto"/>
          <w:sz w:val="21"/>
          <w:szCs w:val="21"/>
        </w:rPr>
        <w:t>对于不属于依法必须招标的暂估价项目的确认和批准采取第</w:t>
      </w:r>
      <w:r>
        <w:rPr>
          <w:rFonts w:hint="eastAsia" w:cs="宋体"/>
          <w:color w:val="auto"/>
          <w:sz w:val="21"/>
          <w:szCs w:val="21"/>
          <w:u w:val="single"/>
          <w:lang w:val="en-US" w:eastAsia="zh-CN"/>
        </w:rPr>
        <w:t>/</w:t>
      </w:r>
      <w:r>
        <w:rPr>
          <w:rFonts w:hint="eastAsia" w:cs="宋体"/>
          <w:color w:val="auto"/>
          <w:sz w:val="21"/>
          <w:szCs w:val="21"/>
        </w:rPr>
        <w:t>种方式确定。</w:t>
      </w:r>
    </w:p>
    <w:p w14:paraId="1E554367">
      <w:pPr>
        <w:adjustRightInd w:val="0"/>
        <w:snapToGrid w:val="0"/>
        <w:spacing w:line="360" w:lineRule="auto"/>
        <w:ind w:firstLine="420" w:firstLineChars="200"/>
        <w:rPr>
          <w:rFonts w:cs="宋体"/>
          <w:color w:val="auto"/>
          <w:sz w:val="21"/>
          <w:szCs w:val="21"/>
        </w:rPr>
      </w:pPr>
      <w:r>
        <w:rPr>
          <w:rFonts w:hint="eastAsia" w:cs="宋体"/>
          <w:color w:val="auto"/>
          <w:sz w:val="21"/>
          <w:szCs w:val="21"/>
        </w:rPr>
        <w:t>第3种方式：承包人直接实施的暂估价项目</w:t>
      </w:r>
    </w:p>
    <w:p w14:paraId="3DC0C776">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承包人直接实施的暂估价项目的约定：</w:t>
      </w:r>
      <w:r>
        <w:rPr>
          <w:rFonts w:hint="eastAsia" w:cs="宋体"/>
          <w:color w:val="auto"/>
          <w:sz w:val="21"/>
          <w:szCs w:val="21"/>
          <w:u w:val="single"/>
        </w:rPr>
        <w:t xml:space="preserve">  /  </w:t>
      </w:r>
      <w:r>
        <w:rPr>
          <w:rFonts w:hint="eastAsia" w:cs="宋体"/>
          <w:color w:val="auto"/>
          <w:sz w:val="21"/>
          <w:szCs w:val="21"/>
        </w:rPr>
        <w:t>。</w:t>
      </w:r>
    </w:p>
    <w:p w14:paraId="5CE43D81">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10.8 暂列金额</w:t>
      </w:r>
    </w:p>
    <w:p w14:paraId="00B2125B">
      <w:pPr>
        <w:adjustRightInd w:val="0"/>
        <w:snapToGrid w:val="0"/>
        <w:spacing w:line="360" w:lineRule="auto"/>
        <w:ind w:firstLine="420" w:firstLineChars="200"/>
        <w:rPr>
          <w:rFonts w:cs="宋体"/>
          <w:color w:val="auto"/>
          <w:sz w:val="21"/>
          <w:szCs w:val="21"/>
        </w:rPr>
      </w:pPr>
      <w:r>
        <w:rPr>
          <w:rFonts w:hint="eastAsia" w:cs="宋体"/>
          <w:color w:val="auto"/>
          <w:sz w:val="21"/>
          <w:szCs w:val="21"/>
        </w:rPr>
        <w:t>合同当事人关于暂列金额使用的约定：</w:t>
      </w:r>
      <w:r>
        <w:rPr>
          <w:rFonts w:hint="eastAsia" w:cs="宋体"/>
          <w:color w:val="auto"/>
          <w:sz w:val="21"/>
          <w:szCs w:val="21"/>
          <w:u w:val="single"/>
        </w:rPr>
        <w:t xml:space="preserve">  </w:t>
      </w:r>
      <w:r>
        <w:rPr>
          <w:rFonts w:hint="eastAsia" w:cs="宋体"/>
          <w:color w:val="auto"/>
          <w:sz w:val="21"/>
          <w:szCs w:val="21"/>
          <w:u w:val="single"/>
          <w:lang w:val="en-US" w:eastAsia="zh-CN"/>
        </w:rPr>
        <w:t>执行通用条款</w:t>
      </w:r>
      <w:r>
        <w:rPr>
          <w:rFonts w:hint="eastAsia" w:cs="宋体"/>
          <w:color w:val="auto"/>
          <w:sz w:val="21"/>
          <w:szCs w:val="21"/>
          <w:u w:val="single"/>
        </w:rPr>
        <w:t xml:space="preserve">  </w:t>
      </w:r>
      <w:r>
        <w:rPr>
          <w:rFonts w:hint="eastAsia" w:cs="宋体"/>
          <w:color w:val="auto"/>
          <w:sz w:val="21"/>
          <w:szCs w:val="21"/>
        </w:rPr>
        <w:t>。</w:t>
      </w:r>
    </w:p>
    <w:p w14:paraId="7D0F9163">
      <w:pPr>
        <w:snapToGrid w:val="0"/>
        <w:spacing w:before="312" w:beforeLines="100" w:after="312" w:afterLines="100" w:line="360" w:lineRule="auto"/>
        <w:outlineLvl w:val="2"/>
        <w:rPr>
          <w:rFonts w:cs="宋体"/>
          <w:color w:val="auto"/>
          <w:sz w:val="21"/>
          <w:szCs w:val="21"/>
        </w:rPr>
      </w:pPr>
      <w:bookmarkStart w:id="512" w:name="_Toc351203643"/>
      <w:r>
        <w:rPr>
          <w:rFonts w:hint="eastAsia" w:cs="宋体"/>
          <w:color w:val="auto"/>
          <w:sz w:val="21"/>
          <w:szCs w:val="21"/>
        </w:rPr>
        <w:t>11. 价格调整</w:t>
      </w:r>
      <w:bookmarkEnd w:id="512"/>
    </w:p>
    <w:p w14:paraId="3BC6A991">
      <w:pPr>
        <w:keepNext/>
        <w:keepLines/>
        <w:snapToGrid w:val="0"/>
        <w:spacing w:before="120" w:after="120" w:line="360" w:lineRule="auto"/>
        <w:ind w:firstLine="420" w:firstLineChars="200"/>
        <w:outlineLvl w:val="3"/>
        <w:rPr>
          <w:rFonts w:cs="宋体"/>
          <w:bCs/>
          <w:color w:val="auto"/>
          <w:sz w:val="21"/>
          <w:szCs w:val="21"/>
        </w:rPr>
      </w:pPr>
      <w:bookmarkStart w:id="513" w:name="_Toc297120501"/>
      <w:bookmarkStart w:id="514" w:name="_Toc296944540"/>
      <w:bookmarkStart w:id="515" w:name="_Toc296503201"/>
      <w:bookmarkStart w:id="516" w:name="_Toc297123550"/>
      <w:bookmarkStart w:id="517" w:name="_Toc303539157"/>
      <w:bookmarkStart w:id="518" w:name="_Toc296891029"/>
      <w:bookmarkStart w:id="519" w:name="_Toc292559911"/>
      <w:bookmarkStart w:id="520" w:name="_Toc304295577"/>
      <w:bookmarkStart w:id="521" w:name="_Toc300935000"/>
      <w:bookmarkStart w:id="522" w:name="_Toc296347200"/>
      <w:bookmarkStart w:id="523" w:name="_Toc292559406"/>
      <w:bookmarkStart w:id="524" w:name="_Toc297048387"/>
      <w:bookmarkStart w:id="525" w:name="_Toc312678039"/>
      <w:bookmarkStart w:id="526" w:name="_Toc296891241"/>
      <w:bookmarkStart w:id="527" w:name="_Toc296346702"/>
      <w:bookmarkStart w:id="528" w:name="_Toc297216209"/>
      <w:r>
        <w:rPr>
          <w:rFonts w:hint="eastAsia" w:cs="宋体"/>
          <w:bCs/>
          <w:color w:val="auto"/>
          <w:sz w:val="21"/>
          <w:szCs w:val="21"/>
        </w:rPr>
        <w:t>11.1 市场价格波动引起的调整</w:t>
      </w:r>
    </w:p>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14:paraId="044580DF">
      <w:pPr>
        <w:adjustRightInd w:val="0"/>
        <w:snapToGrid w:val="0"/>
        <w:spacing w:line="360" w:lineRule="auto"/>
        <w:ind w:firstLine="420" w:firstLineChars="200"/>
        <w:rPr>
          <w:rFonts w:cs="宋体"/>
          <w:color w:val="auto"/>
          <w:sz w:val="21"/>
          <w:szCs w:val="21"/>
        </w:rPr>
      </w:pPr>
      <w:r>
        <w:rPr>
          <w:rFonts w:hint="eastAsia" w:cs="宋体"/>
          <w:color w:val="auto"/>
          <w:sz w:val="21"/>
          <w:szCs w:val="21"/>
        </w:rPr>
        <w:t>市场价格波动是否调整合同价格的约定：</w:t>
      </w:r>
      <w:r>
        <w:rPr>
          <w:rFonts w:hint="eastAsia" w:cs="宋体"/>
          <w:color w:val="auto"/>
          <w:sz w:val="21"/>
          <w:szCs w:val="21"/>
          <w:u w:val="single"/>
        </w:rPr>
        <w:t>见《专用合同条款数据表》</w:t>
      </w:r>
      <w:r>
        <w:rPr>
          <w:rFonts w:hint="eastAsia" w:cs="宋体"/>
          <w:color w:val="auto"/>
          <w:sz w:val="21"/>
          <w:szCs w:val="21"/>
        </w:rPr>
        <w:t>。</w:t>
      </w:r>
    </w:p>
    <w:p w14:paraId="469D16C0">
      <w:pPr>
        <w:adjustRightInd w:val="0"/>
        <w:snapToGrid w:val="0"/>
        <w:spacing w:line="360" w:lineRule="auto"/>
        <w:ind w:firstLine="420" w:firstLineChars="200"/>
        <w:rPr>
          <w:rFonts w:cs="宋体"/>
          <w:color w:val="auto"/>
          <w:sz w:val="21"/>
          <w:szCs w:val="21"/>
        </w:rPr>
      </w:pPr>
      <w:r>
        <w:rPr>
          <w:rFonts w:hint="eastAsia" w:cs="宋体"/>
          <w:color w:val="auto"/>
          <w:sz w:val="21"/>
          <w:szCs w:val="21"/>
        </w:rPr>
        <w:t>因市场价格波动调整合同价格，采用以下第</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种方式对合同价格进行调整：</w:t>
      </w:r>
    </w:p>
    <w:p w14:paraId="0BC7E77A">
      <w:pPr>
        <w:adjustRightInd w:val="0"/>
        <w:snapToGrid w:val="0"/>
        <w:spacing w:line="360" w:lineRule="auto"/>
        <w:ind w:firstLine="420" w:firstLineChars="200"/>
        <w:rPr>
          <w:rFonts w:cs="宋体"/>
          <w:color w:val="auto"/>
          <w:sz w:val="21"/>
          <w:szCs w:val="21"/>
        </w:rPr>
      </w:pPr>
      <w:r>
        <w:rPr>
          <w:rFonts w:hint="eastAsia" w:cs="宋体"/>
          <w:color w:val="auto"/>
          <w:sz w:val="21"/>
          <w:szCs w:val="21"/>
        </w:rPr>
        <w:t>第1种方式：采用价格指数进行价格调整。</w:t>
      </w:r>
    </w:p>
    <w:p w14:paraId="61E26D0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关于各可调因子、定值和变值权重，以及基本价格指数及其来源的约定：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 xml:space="preserve">； </w:t>
      </w:r>
    </w:p>
    <w:p w14:paraId="3FC5396B">
      <w:pPr>
        <w:adjustRightInd w:val="0"/>
        <w:snapToGrid w:val="0"/>
        <w:spacing w:line="360" w:lineRule="auto"/>
        <w:ind w:firstLine="420" w:firstLineChars="200"/>
        <w:rPr>
          <w:rFonts w:cs="宋体"/>
          <w:color w:val="auto"/>
          <w:sz w:val="21"/>
          <w:szCs w:val="21"/>
        </w:rPr>
      </w:pPr>
      <w:r>
        <w:rPr>
          <w:rFonts w:hint="eastAsia" w:cs="宋体"/>
          <w:color w:val="auto"/>
          <w:sz w:val="21"/>
          <w:szCs w:val="21"/>
        </w:rPr>
        <w:t>第2种方式：采用造价信息进行价格调整。</w:t>
      </w:r>
    </w:p>
    <w:p w14:paraId="14CD9EAC">
      <w:pPr>
        <w:adjustRightInd w:val="0"/>
        <w:snapToGrid w:val="0"/>
        <w:spacing w:line="360" w:lineRule="auto"/>
        <w:ind w:firstLine="420" w:firstLineChars="200"/>
        <w:rPr>
          <w:rFonts w:cs="宋体"/>
          <w:color w:val="auto"/>
          <w:sz w:val="21"/>
          <w:szCs w:val="21"/>
        </w:rPr>
      </w:pPr>
      <w:r>
        <w:rPr>
          <w:rFonts w:hint="eastAsia" w:cs="宋体"/>
          <w:color w:val="auto"/>
          <w:sz w:val="21"/>
          <w:szCs w:val="21"/>
        </w:rPr>
        <w:t>（1）可调整价格的主要材料范围的约定：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77A747F3">
      <w:pPr>
        <w:adjustRightInd w:val="0"/>
        <w:snapToGrid w:val="0"/>
        <w:spacing w:line="360" w:lineRule="auto"/>
        <w:ind w:firstLine="420" w:firstLineChars="200"/>
        <w:rPr>
          <w:rFonts w:cs="宋体"/>
          <w:color w:val="auto"/>
          <w:sz w:val="21"/>
          <w:szCs w:val="21"/>
        </w:rPr>
      </w:pPr>
      <w:r>
        <w:rPr>
          <w:rFonts w:hint="eastAsia" w:cs="宋体"/>
          <w:color w:val="auto"/>
          <w:sz w:val="21"/>
          <w:szCs w:val="21"/>
        </w:rPr>
        <w:t>（2）主要材料价差调整周期的约定：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4010997B">
      <w:pPr>
        <w:adjustRightInd w:val="0"/>
        <w:snapToGrid w:val="0"/>
        <w:spacing w:line="360" w:lineRule="auto"/>
        <w:ind w:firstLine="420" w:firstLineChars="200"/>
        <w:rPr>
          <w:rFonts w:cs="宋体"/>
          <w:color w:val="auto"/>
          <w:sz w:val="21"/>
          <w:szCs w:val="21"/>
        </w:rPr>
      </w:pPr>
      <w:r>
        <w:rPr>
          <w:rFonts w:hint="eastAsia" w:cs="宋体"/>
          <w:color w:val="auto"/>
          <w:sz w:val="21"/>
          <w:szCs w:val="21"/>
        </w:rPr>
        <w:t>（3）主要材料价差调整计算方法的约定：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46D31BC4">
      <w:pPr>
        <w:adjustRightInd w:val="0"/>
        <w:snapToGrid w:val="0"/>
        <w:spacing w:line="360" w:lineRule="auto"/>
        <w:ind w:firstLine="420" w:firstLineChars="200"/>
        <w:rPr>
          <w:rFonts w:cs="宋体"/>
          <w:color w:val="auto"/>
          <w:sz w:val="21"/>
          <w:szCs w:val="21"/>
        </w:rPr>
      </w:pPr>
      <w:r>
        <w:rPr>
          <w:rFonts w:hint="eastAsia" w:cs="宋体"/>
          <w:color w:val="auto"/>
          <w:sz w:val="21"/>
          <w:szCs w:val="21"/>
        </w:rPr>
        <w:t>（4）主要材料价差调整时间的约定：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BB4E5C6">
      <w:pPr>
        <w:adjustRightInd w:val="0"/>
        <w:snapToGrid w:val="0"/>
        <w:spacing w:line="360" w:lineRule="auto"/>
        <w:ind w:firstLine="420" w:firstLineChars="200"/>
        <w:rPr>
          <w:rFonts w:cs="宋体"/>
          <w:color w:val="auto"/>
          <w:sz w:val="21"/>
          <w:szCs w:val="21"/>
        </w:rPr>
      </w:pPr>
      <w:r>
        <w:rPr>
          <w:rFonts w:hint="eastAsia" w:cs="宋体"/>
          <w:color w:val="auto"/>
          <w:sz w:val="21"/>
          <w:szCs w:val="21"/>
        </w:rPr>
        <w:t>（2）关于基准价格的约定：</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3FBA8A36">
      <w:pPr>
        <w:adjustRightInd w:val="0"/>
        <w:snapToGrid w:val="0"/>
        <w:spacing w:line="360" w:lineRule="auto"/>
        <w:ind w:firstLine="420" w:firstLineChars="200"/>
        <w:rPr>
          <w:rFonts w:cs="宋体"/>
          <w:color w:val="auto"/>
          <w:sz w:val="21"/>
          <w:szCs w:val="21"/>
        </w:rPr>
      </w:pPr>
      <w:r>
        <w:rPr>
          <w:rFonts w:hint="eastAsia" w:cs="宋体"/>
          <w:color w:val="auto"/>
          <w:sz w:val="21"/>
          <w:szCs w:val="21"/>
        </w:rPr>
        <w:t>①承包人在已标价工程量清单或预算书中载明的材料单价低于基准价格的：专用合同条款合同履行期间材料单价涨幅以基准价格为基础超过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%时，或材料单价跌幅以已标价工程量清单或预算书中载明材料单价为基础超过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%时，其超过部分据实调整。</w:t>
      </w:r>
    </w:p>
    <w:p w14:paraId="067E2D54">
      <w:pPr>
        <w:adjustRightInd w:val="0"/>
        <w:snapToGrid w:val="0"/>
        <w:spacing w:line="360" w:lineRule="auto"/>
        <w:ind w:firstLine="420" w:firstLineChars="200"/>
        <w:rPr>
          <w:rFonts w:cs="宋体"/>
          <w:color w:val="auto"/>
          <w:sz w:val="21"/>
          <w:szCs w:val="21"/>
        </w:rPr>
      </w:pPr>
      <w:r>
        <w:rPr>
          <w:rFonts w:hint="eastAsia" w:cs="宋体"/>
          <w:color w:val="auto"/>
          <w:sz w:val="21"/>
          <w:szCs w:val="21"/>
        </w:rPr>
        <w:t>②承包人在已标价工程量清单或预算书中载明的材料单价高于基准价格的：专用合同条款合同履行期间材料单价跌幅以基准价格为基础超过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%时，材料单价涨幅以已标价工程量清单或预算书中载明材料单价为基础超过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%时，其超过部分据实调整。</w:t>
      </w:r>
    </w:p>
    <w:p w14:paraId="682B8B44">
      <w:pPr>
        <w:adjustRightInd w:val="0"/>
        <w:snapToGrid w:val="0"/>
        <w:spacing w:line="360" w:lineRule="auto"/>
        <w:ind w:firstLine="420" w:firstLineChars="200"/>
        <w:rPr>
          <w:rFonts w:cs="宋体"/>
          <w:color w:val="auto"/>
          <w:sz w:val="21"/>
          <w:szCs w:val="21"/>
        </w:rPr>
      </w:pPr>
      <w:r>
        <w:rPr>
          <w:rFonts w:hint="eastAsia" w:cs="宋体"/>
          <w:color w:val="auto"/>
          <w:sz w:val="21"/>
          <w:szCs w:val="21"/>
        </w:rPr>
        <w:t>③承包人在已标价工程量清单或预算书中载明的材料单价等于基准单价的：专用合同条款合同履行期间材料单价涨跌幅以基准单价为基础超过±</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%时，其超过部分据实调整。</w:t>
      </w:r>
    </w:p>
    <w:p w14:paraId="0A616776">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第3种方式：其他价格调整方式：</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bookmarkEnd w:id="416"/>
    <w:bookmarkEnd w:id="417"/>
    <w:bookmarkEnd w:id="418"/>
    <w:bookmarkEnd w:id="419"/>
    <w:bookmarkEnd w:id="420"/>
    <w:bookmarkEnd w:id="421"/>
    <w:p w14:paraId="702152F9">
      <w:pPr>
        <w:snapToGrid w:val="0"/>
        <w:spacing w:before="312" w:beforeLines="100" w:after="312" w:afterLines="100" w:line="360" w:lineRule="auto"/>
        <w:outlineLvl w:val="2"/>
        <w:rPr>
          <w:rFonts w:cs="宋体"/>
          <w:color w:val="auto"/>
          <w:sz w:val="21"/>
          <w:szCs w:val="21"/>
        </w:rPr>
      </w:pPr>
      <w:bookmarkStart w:id="529" w:name="_Toc296503205"/>
      <w:bookmarkStart w:id="530" w:name="_Toc297048391"/>
      <w:bookmarkStart w:id="531" w:name="_Toc296891245"/>
      <w:bookmarkStart w:id="532" w:name="_Toc296347204"/>
      <w:bookmarkStart w:id="533" w:name="_Toc296891033"/>
      <w:bookmarkStart w:id="534" w:name="_Toc297120505"/>
      <w:bookmarkStart w:id="535" w:name="_Toc292559410"/>
      <w:bookmarkStart w:id="536" w:name="_Toc296346706"/>
      <w:bookmarkStart w:id="537" w:name="_Toc296944544"/>
      <w:bookmarkStart w:id="538" w:name="_Toc292559915"/>
      <w:bookmarkStart w:id="539" w:name="_Toc351203644"/>
      <w:bookmarkStart w:id="540" w:name="_Toc303539159"/>
      <w:bookmarkStart w:id="541" w:name="_Toc304295579"/>
      <w:bookmarkStart w:id="542" w:name="_Toc297216211"/>
      <w:bookmarkStart w:id="543" w:name="_Toc300935002"/>
      <w:bookmarkStart w:id="544" w:name="_Toc312678040"/>
      <w:bookmarkStart w:id="545" w:name="_Toc297123552"/>
      <w:r>
        <w:rPr>
          <w:rFonts w:hint="eastAsia" w:cs="宋体"/>
          <w:color w:val="auto"/>
          <w:sz w:val="21"/>
          <w:szCs w:val="21"/>
        </w:rPr>
        <w:t xml:space="preserve">12. </w:t>
      </w:r>
      <w:bookmarkEnd w:id="529"/>
      <w:bookmarkEnd w:id="530"/>
      <w:bookmarkEnd w:id="531"/>
      <w:bookmarkEnd w:id="532"/>
      <w:bookmarkEnd w:id="533"/>
      <w:bookmarkEnd w:id="534"/>
      <w:bookmarkEnd w:id="535"/>
      <w:bookmarkEnd w:id="536"/>
      <w:bookmarkEnd w:id="537"/>
      <w:bookmarkEnd w:id="538"/>
      <w:r>
        <w:rPr>
          <w:rFonts w:hint="eastAsia" w:cs="宋体"/>
          <w:color w:val="auto"/>
          <w:sz w:val="21"/>
          <w:szCs w:val="21"/>
        </w:rPr>
        <w:t>合同价格、计量与支付</w:t>
      </w:r>
      <w:bookmarkEnd w:id="539"/>
    </w:p>
    <w:bookmarkEnd w:id="540"/>
    <w:bookmarkEnd w:id="541"/>
    <w:bookmarkEnd w:id="542"/>
    <w:bookmarkEnd w:id="543"/>
    <w:bookmarkEnd w:id="544"/>
    <w:bookmarkEnd w:id="545"/>
    <w:p w14:paraId="677F5259">
      <w:pPr>
        <w:keepNext/>
        <w:keepLines/>
        <w:snapToGrid w:val="0"/>
        <w:spacing w:before="120" w:after="120" w:line="360" w:lineRule="auto"/>
        <w:ind w:firstLine="420" w:firstLineChars="200"/>
        <w:outlineLvl w:val="3"/>
        <w:rPr>
          <w:rFonts w:cs="宋体"/>
          <w:bCs/>
          <w:color w:val="auto"/>
          <w:sz w:val="21"/>
          <w:szCs w:val="21"/>
        </w:rPr>
      </w:pPr>
      <w:bookmarkStart w:id="546" w:name="_Toc292559411"/>
      <w:bookmarkStart w:id="547" w:name="_Toc267251461"/>
      <w:bookmarkStart w:id="548" w:name="_Toc292559916"/>
      <w:bookmarkStart w:id="549" w:name="_Toc297048392"/>
      <w:bookmarkStart w:id="550" w:name="_Toc296346707"/>
      <w:bookmarkStart w:id="551" w:name="_Toc296891246"/>
      <w:bookmarkStart w:id="552" w:name="_Toc297120506"/>
      <w:bookmarkStart w:id="553" w:name="_Toc296891034"/>
      <w:bookmarkStart w:id="554" w:name="_Toc296347205"/>
      <w:bookmarkStart w:id="555" w:name="_Toc296503206"/>
      <w:bookmarkStart w:id="556" w:name="_Toc296944545"/>
      <w:bookmarkStart w:id="557" w:name="_Toc300935003"/>
      <w:bookmarkStart w:id="558" w:name="_Toc303539160"/>
      <w:bookmarkStart w:id="559" w:name="_Toc304295580"/>
      <w:bookmarkStart w:id="560" w:name="_Toc297123553"/>
      <w:bookmarkStart w:id="561" w:name="_Toc297216212"/>
      <w:bookmarkStart w:id="562" w:name="_Toc312678041"/>
      <w:r>
        <w:rPr>
          <w:rFonts w:hint="eastAsia" w:cs="宋体"/>
          <w:bCs/>
          <w:color w:val="auto"/>
          <w:sz w:val="21"/>
          <w:szCs w:val="21"/>
        </w:rPr>
        <w:t>12.1 合</w:t>
      </w:r>
      <w:bookmarkEnd w:id="546"/>
      <w:bookmarkEnd w:id="547"/>
      <w:bookmarkEnd w:id="548"/>
      <w:r>
        <w:rPr>
          <w:rFonts w:hint="eastAsia" w:cs="宋体"/>
          <w:bCs/>
          <w:color w:val="auto"/>
          <w:sz w:val="21"/>
          <w:szCs w:val="21"/>
        </w:rPr>
        <w:t>同价</w:t>
      </w:r>
      <w:bookmarkEnd w:id="549"/>
      <w:bookmarkEnd w:id="550"/>
      <w:bookmarkEnd w:id="551"/>
      <w:bookmarkEnd w:id="552"/>
      <w:bookmarkEnd w:id="553"/>
      <w:bookmarkEnd w:id="554"/>
      <w:bookmarkEnd w:id="555"/>
      <w:bookmarkEnd w:id="556"/>
      <w:r>
        <w:rPr>
          <w:rFonts w:hint="eastAsia" w:cs="宋体"/>
          <w:bCs/>
          <w:color w:val="auto"/>
          <w:sz w:val="21"/>
          <w:szCs w:val="21"/>
        </w:rPr>
        <w:t>格形式</w:t>
      </w:r>
    </w:p>
    <w:bookmarkEnd w:id="557"/>
    <w:bookmarkEnd w:id="558"/>
    <w:bookmarkEnd w:id="559"/>
    <w:bookmarkEnd w:id="560"/>
    <w:bookmarkEnd w:id="561"/>
    <w:bookmarkEnd w:id="562"/>
    <w:p w14:paraId="19AA5ED4">
      <w:pPr>
        <w:adjustRightInd w:val="0"/>
        <w:snapToGrid w:val="0"/>
        <w:spacing w:line="360" w:lineRule="auto"/>
        <w:ind w:firstLine="420" w:firstLineChars="200"/>
        <w:rPr>
          <w:rFonts w:cs="宋体"/>
          <w:color w:val="auto"/>
          <w:sz w:val="21"/>
          <w:szCs w:val="21"/>
        </w:rPr>
      </w:pPr>
      <w:r>
        <w:rPr>
          <w:rFonts w:hint="eastAsia" w:cs="宋体"/>
          <w:color w:val="auto"/>
          <w:sz w:val="21"/>
          <w:szCs w:val="21"/>
        </w:rPr>
        <w:t>（1）单价合同。</w:t>
      </w:r>
    </w:p>
    <w:p w14:paraId="20687217">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综合单价包含的风险范围：</w:t>
      </w:r>
      <w:r>
        <w:rPr>
          <w:rFonts w:hint="eastAsia" w:cs="宋体"/>
          <w:color w:val="auto"/>
          <w:sz w:val="21"/>
          <w:szCs w:val="21"/>
          <w:u w:val="single"/>
        </w:rPr>
        <w:t>见《专用合同条款数据表》</w:t>
      </w:r>
      <w:r>
        <w:rPr>
          <w:rFonts w:hint="eastAsia" w:cs="宋体"/>
          <w:color w:val="auto"/>
          <w:sz w:val="21"/>
          <w:szCs w:val="21"/>
        </w:rPr>
        <w:t>。</w:t>
      </w:r>
    </w:p>
    <w:p w14:paraId="3EC26397">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风险费用的计算方法：</w:t>
      </w:r>
      <w:r>
        <w:rPr>
          <w:rFonts w:hint="eastAsia" w:cs="宋体"/>
          <w:color w:val="auto"/>
          <w:sz w:val="21"/>
          <w:szCs w:val="21"/>
          <w:u w:val="single"/>
        </w:rPr>
        <w:t>见《专用合同条款数据表》</w:t>
      </w:r>
      <w:r>
        <w:rPr>
          <w:rFonts w:hint="eastAsia" w:cs="宋体"/>
          <w:color w:val="auto"/>
          <w:sz w:val="21"/>
          <w:szCs w:val="21"/>
        </w:rPr>
        <w:t>。</w:t>
      </w:r>
    </w:p>
    <w:p w14:paraId="728712D9">
      <w:pPr>
        <w:adjustRightInd w:val="0"/>
        <w:snapToGrid w:val="0"/>
        <w:spacing w:line="360" w:lineRule="auto"/>
        <w:ind w:firstLine="420" w:firstLineChars="200"/>
        <w:rPr>
          <w:rFonts w:cs="宋体"/>
          <w:color w:val="auto"/>
          <w:sz w:val="21"/>
          <w:szCs w:val="21"/>
        </w:rPr>
      </w:pPr>
      <w:r>
        <w:rPr>
          <w:rFonts w:hint="eastAsia" w:cs="宋体"/>
          <w:color w:val="auto"/>
          <w:sz w:val="21"/>
          <w:szCs w:val="21"/>
        </w:rPr>
        <w:t>风险范围以外合同价格的调整方法：</w:t>
      </w:r>
      <w:r>
        <w:rPr>
          <w:rFonts w:hint="eastAsia" w:cs="宋体"/>
          <w:color w:val="auto"/>
          <w:sz w:val="21"/>
          <w:szCs w:val="21"/>
          <w:u w:val="single"/>
        </w:rPr>
        <w:t>见《专用合同条款数据表》</w:t>
      </w:r>
      <w:r>
        <w:rPr>
          <w:rFonts w:hint="eastAsia" w:cs="宋体"/>
          <w:color w:val="auto"/>
          <w:sz w:val="21"/>
          <w:szCs w:val="21"/>
        </w:rPr>
        <w:t>。</w:t>
      </w:r>
    </w:p>
    <w:p w14:paraId="7F8A9161">
      <w:pPr>
        <w:adjustRightInd w:val="0"/>
        <w:snapToGrid w:val="0"/>
        <w:spacing w:line="360" w:lineRule="auto"/>
        <w:ind w:firstLine="420" w:firstLineChars="200"/>
        <w:rPr>
          <w:rFonts w:cs="宋体"/>
          <w:color w:val="auto"/>
          <w:sz w:val="21"/>
          <w:szCs w:val="21"/>
        </w:rPr>
      </w:pPr>
      <w:r>
        <w:rPr>
          <w:rFonts w:hint="eastAsia" w:cs="宋体"/>
          <w:color w:val="auto"/>
          <w:sz w:val="21"/>
          <w:szCs w:val="21"/>
        </w:rPr>
        <w:t>（2）总价合同。</w:t>
      </w:r>
    </w:p>
    <w:p w14:paraId="2AF0A303">
      <w:pPr>
        <w:adjustRightInd w:val="0"/>
        <w:snapToGrid w:val="0"/>
        <w:spacing w:line="360" w:lineRule="auto"/>
        <w:ind w:firstLine="420" w:firstLineChars="200"/>
        <w:rPr>
          <w:rFonts w:cs="宋体"/>
          <w:b/>
          <w:color w:val="auto"/>
          <w:sz w:val="21"/>
          <w:szCs w:val="21"/>
        </w:rPr>
      </w:pPr>
      <w:r>
        <w:rPr>
          <w:rFonts w:hint="eastAsia" w:cs="宋体"/>
          <w:color w:val="auto"/>
          <w:sz w:val="21"/>
          <w:szCs w:val="21"/>
        </w:rPr>
        <w:t>总价包含的风险范围：</w:t>
      </w:r>
      <w:r>
        <w:rPr>
          <w:rFonts w:hint="eastAsia" w:cs="宋体"/>
          <w:color w:val="auto"/>
          <w:sz w:val="21"/>
          <w:szCs w:val="21"/>
          <w:u w:val="single"/>
        </w:rPr>
        <w:t>见《专用合同条款数据表》</w:t>
      </w:r>
      <w:r>
        <w:rPr>
          <w:rFonts w:hint="eastAsia" w:cs="宋体"/>
          <w:color w:val="auto"/>
          <w:sz w:val="21"/>
          <w:szCs w:val="21"/>
        </w:rPr>
        <w:t>。</w:t>
      </w:r>
    </w:p>
    <w:p w14:paraId="459C62A8">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风险费用的计算方法：</w:t>
      </w:r>
      <w:r>
        <w:rPr>
          <w:rFonts w:hint="eastAsia" w:cs="宋体"/>
          <w:color w:val="auto"/>
          <w:sz w:val="21"/>
          <w:szCs w:val="21"/>
          <w:u w:val="single"/>
        </w:rPr>
        <w:t>见《专用合同条款数据表》</w:t>
      </w:r>
      <w:r>
        <w:rPr>
          <w:rFonts w:hint="eastAsia" w:cs="宋体"/>
          <w:color w:val="auto"/>
          <w:sz w:val="21"/>
          <w:szCs w:val="21"/>
        </w:rPr>
        <w:t>。</w:t>
      </w:r>
    </w:p>
    <w:p w14:paraId="4F4D8D93">
      <w:pPr>
        <w:adjustRightInd w:val="0"/>
        <w:snapToGrid w:val="0"/>
        <w:spacing w:line="360" w:lineRule="auto"/>
        <w:ind w:firstLine="420" w:firstLineChars="200"/>
        <w:rPr>
          <w:rFonts w:cs="宋体"/>
          <w:color w:val="auto"/>
          <w:sz w:val="21"/>
          <w:szCs w:val="21"/>
        </w:rPr>
      </w:pPr>
      <w:r>
        <w:rPr>
          <w:rFonts w:hint="eastAsia" w:cs="宋体"/>
          <w:color w:val="auto"/>
          <w:sz w:val="21"/>
          <w:szCs w:val="21"/>
        </w:rPr>
        <w:t>风险范围以外合同价格的调整方法：</w:t>
      </w:r>
      <w:r>
        <w:rPr>
          <w:rFonts w:hint="eastAsia" w:cs="宋体"/>
          <w:color w:val="auto"/>
          <w:sz w:val="21"/>
          <w:szCs w:val="21"/>
          <w:u w:val="single"/>
        </w:rPr>
        <w:t>见《专用合同条款数据表》</w:t>
      </w:r>
      <w:r>
        <w:rPr>
          <w:rFonts w:hint="eastAsia" w:cs="宋体"/>
          <w:color w:val="auto"/>
          <w:sz w:val="21"/>
          <w:szCs w:val="21"/>
        </w:rPr>
        <w:t>。</w:t>
      </w:r>
    </w:p>
    <w:p w14:paraId="1E024CC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（3）其他价格方式：</w:t>
      </w:r>
      <w:r>
        <w:rPr>
          <w:rFonts w:hint="eastAsia" w:cs="宋体"/>
          <w:color w:val="auto"/>
          <w:sz w:val="21"/>
          <w:szCs w:val="21"/>
          <w:u w:val="single"/>
        </w:rPr>
        <w:t>见《专用合同条款数据表》</w:t>
      </w:r>
      <w:r>
        <w:rPr>
          <w:rFonts w:hint="eastAsia" w:cs="宋体"/>
          <w:color w:val="auto"/>
          <w:sz w:val="21"/>
          <w:szCs w:val="21"/>
        </w:rPr>
        <w:t>。</w:t>
      </w:r>
    </w:p>
    <w:p w14:paraId="251E7F32">
      <w:pPr>
        <w:keepNext/>
        <w:keepLines/>
        <w:snapToGrid w:val="0"/>
        <w:spacing w:before="120" w:after="120" w:line="360" w:lineRule="auto"/>
        <w:ind w:firstLine="420" w:firstLineChars="200"/>
        <w:outlineLvl w:val="3"/>
        <w:rPr>
          <w:rFonts w:cs="宋体"/>
          <w:bCs/>
          <w:color w:val="auto"/>
          <w:sz w:val="21"/>
          <w:szCs w:val="21"/>
        </w:rPr>
      </w:pPr>
      <w:bookmarkStart w:id="563" w:name="_Toc300935004"/>
      <w:bookmarkStart w:id="564" w:name="_Toc303539161"/>
      <w:bookmarkStart w:id="565" w:name="_Toc297123554"/>
      <w:bookmarkStart w:id="566" w:name="_Toc297216213"/>
      <w:bookmarkStart w:id="567" w:name="_Toc304295581"/>
      <w:bookmarkStart w:id="568" w:name="_Toc312678042"/>
      <w:bookmarkStart w:id="569" w:name="_Toc296346708"/>
      <w:bookmarkStart w:id="570" w:name="_Toc292559917"/>
      <w:bookmarkStart w:id="571" w:name="_Toc296891247"/>
      <w:bookmarkStart w:id="572" w:name="_Toc296503207"/>
      <w:bookmarkStart w:id="573" w:name="_Toc296347206"/>
      <w:bookmarkStart w:id="574" w:name="_Toc296944546"/>
      <w:bookmarkStart w:id="575" w:name="_Toc297120507"/>
      <w:bookmarkStart w:id="576" w:name="_Toc297048393"/>
      <w:bookmarkStart w:id="577" w:name="_Toc292559412"/>
      <w:bookmarkStart w:id="578" w:name="_Toc296891035"/>
      <w:r>
        <w:rPr>
          <w:rFonts w:hint="eastAsia" w:cs="宋体"/>
          <w:bCs/>
          <w:color w:val="auto"/>
          <w:sz w:val="21"/>
          <w:szCs w:val="21"/>
        </w:rPr>
        <w:t>12.2 预付款</w:t>
      </w:r>
    </w:p>
    <w:bookmarkEnd w:id="563"/>
    <w:bookmarkEnd w:id="564"/>
    <w:bookmarkEnd w:id="565"/>
    <w:bookmarkEnd w:id="566"/>
    <w:bookmarkEnd w:id="567"/>
    <w:bookmarkEnd w:id="568"/>
    <w:p w14:paraId="4FB12B31">
      <w:pPr>
        <w:adjustRightInd w:val="0"/>
        <w:snapToGrid w:val="0"/>
        <w:spacing w:line="360" w:lineRule="auto"/>
        <w:ind w:firstLine="420" w:firstLineChars="200"/>
        <w:rPr>
          <w:rFonts w:cs="宋体"/>
          <w:color w:val="auto"/>
          <w:sz w:val="21"/>
          <w:szCs w:val="21"/>
        </w:rPr>
      </w:pPr>
      <w:r>
        <w:rPr>
          <w:rFonts w:hint="eastAsia" w:cs="宋体"/>
          <w:color w:val="auto"/>
          <w:sz w:val="21"/>
          <w:szCs w:val="21"/>
        </w:rPr>
        <w:t>12.2.1 预付款的支付</w:t>
      </w:r>
    </w:p>
    <w:p w14:paraId="28C0992D">
      <w:pPr>
        <w:adjustRightInd w:val="0"/>
        <w:snapToGrid w:val="0"/>
        <w:spacing w:line="360" w:lineRule="auto"/>
        <w:ind w:firstLine="420" w:firstLineChars="200"/>
        <w:rPr>
          <w:rFonts w:cs="宋体"/>
          <w:color w:val="auto"/>
          <w:sz w:val="21"/>
          <w:szCs w:val="21"/>
        </w:rPr>
      </w:pPr>
      <w:r>
        <w:rPr>
          <w:rFonts w:hint="eastAsia" w:cs="宋体"/>
          <w:color w:val="auto"/>
          <w:sz w:val="21"/>
          <w:szCs w:val="21"/>
        </w:rPr>
        <w:t>预付款支付比例或金额：</w:t>
      </w:r>
      <w:r>
        <w:rPr>
          <w:rFonts w:hint="eastAsia" w:cs="宋体"/>
          <w:color w:val="auto"/>
          <w:sz w:val="21"/>
          <w:szCs w:val="21"/>
          <w:u w:val="single"/>
        </w:rPr>
        <w:t>见《专用合同条款数据表》</w:t>
      </w:r>
      <w:r>
        <w:rPr>
          <w:rFonts w:hint="eastAsia" w:cs="宋体"/>
          <w:color w:val="auto"/>
          <w:sz w:val="21"/>
          <w:szCs w:val="21"/>
        </w:rPr>
        <w:t>。</w:t>
      </w:r>
    </w:p>
    <w:p w14:paraId="176EF81F">
      <w:pPr>
        <w:adjustRightInd w:val="0"/>
        <w:snapToGrid w:val="0"/>
        <w:spacing w:line="360" w:lineRule="auto"/>
        <w:ind w:firstLine="420" w:firstLineChars="200"/>
        <w:rPr>
          <w:rFonts w:cs="宋体"/>
          <w:color w:val="auto"/>
          <w:sz w:val="21"/>
          <w:szCs w:val="21"/>
        </w:rPr>
      </w:pPr>
      <w:r>
        <w:rPr>
          <w:rFonts w:hint="eastAsia" w:cs="宋体"/>
          <w:color w:val="auto"/>
          <w:sz w:val="21"/>
          <w:szCs w:val="21"/>
        </w:rPr>
        <w:t>预付款支付期限：</w:t>
      </w:r>
      <w:r>
        <w:rPr>
          <w:rFonts w:hint="eastAsia" w:cs="宋体"/>
          <w:color w:val="auto"/>
          <w:sz w:val="21"/>
          <w:szCs w:val="21"/>
          <w:u w:val="single"/>
        </w:rPr>
        <w:t>见《专用合同条款数据表》</w:t>
      </w:r>
      <w:r>
        <w:rPr>
          <w:rFonts w:hint="eastAsia" w:cs="宋体"/>
          <w:color w:val="auto"/>
          <w:sz w:val="21"/>
          <w:szCs w:val="21"/>
        </w:rPr>
        <w:t>。</w:t>
      </w:r>
    </w:p>
    <w:p w14:paraId="4255644A">
      <w:pPr>
        <w:adjustRightInd w:val="0"/>
        <w:snapToGrid w:val="0"/>
        <w:spacing w:line="360" w:lineRule="auto"/>
        <w:ind w:firstLine="420" w:firstLineChars="200"/>
        <w:rPr>
          <w:rFonts w:cs="宋体"/>
          <w:color w:val="auto"/>
          <w:sz w:val="21"/>
          <w:szCs w:val="21"/>
        </w:rPr>
      </w:pPr>
      <w:r>
        <w:rPr>
          <w:rFonts w:hint="eastAsia" w:cs="宋体"/>
          <w:color w:val="auto"/>
          <w:sz w:val="21"/>
          <w:szCs w:val="21"/>
        </w:rPr>
        <w:t>预付款扣回的方式：</w:t>
      </w:r>
      <w:r>
        <w:rPr>
          <w:rFonts w:hint="eastAsia" w:cs="宋体"/>
          <w:color w:val="auto"/>
          <w:sz w:val="21"/>
          <w:szCs w:val="21"/>
          <w:u w:val="single"/>
        </w:rPr>
        <w:t>见《专用合同条款数据表》</w:t>
      </w:r>
      <w:r>
        <w:rPr>
          <w:rFonts w:hint="eastAsia" w:cs="宋体"/>
          <w:color w:val="auto"/>
          <w:sz w:val="21"/>
          <w:szCs w:val="21"/>
        </w:rPr>
        <w:t>。</w:t>
      </w:r>
    </w:p>
    <w:p w14:paraId="31FF5958">
      <w:pPr>
        <w:adjustRightInd w:val="0"/>
        <w:snapToGrid w:val="0"/>
        <w:spacing w:line="360" w:lineRule="auto"/>
        <w:ind w:firstLine="420" w:firstLineChars="200"/>
        <w:rPr>
          <w:rFonts w:cs="宋体"/>
          <w:color w:val="auto"/>
          <w:sz w:val="21"/>
          <w:szCs w:val="21"/>
        </w:rPr>
      </w:pPr>
      <w:r>
        <w:rPr>
          <w:rFonts w:hint="eastAsia" w:cs="宋体"/>
          <w:color w:val="auto"/>
          <w:sz w:val="21"/>
          <w:szCs w:val="21"/>
        </w:rPr>
        <w:t>12.2.2 预付款担保</w:t>
      </w:r>
    </w:p>
    <w:p w14:paraId="2546CF26">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承包人提交预付款担保的期限：</w:t>
      </w:r>
      <w:r>
        <w:rPr>
          <w:rFonts w:hint="eastAsia" w:cs="宋体"/>
          <w:color w:val="auto"/>
          <w:sz w:val="21"/>
          <w:szCs w:val="21"/>
          <w:u w:val="single"/>
        </w:rPr>
        <w:t>见《专用合同条款数据表》</w:t>
      </w:r>
      <w:r>
        <w:rPr>
          <w:rFonts w:hint="eastAsia" w:cs="宋体"/>
          <w:color w:val="auto"/>
          <w:sz w:val="21"/>
          <w:szCs w:val="21"/>
        </w:rPr>
        <w:t>。</w:t>
      </w:r>
    </w:p>
    <w:p w14:paraId="05D749BE">
      <w:pPr>
        <w:adjustRightInd w:val="0"/>
        <w:snapToGrid w:val="0"/>
        <w:spacing w:line="360" w:lineRule="auto"/>
        <w:ind w:firstLine="420" w:firstLineChars="200"/>
        <w:rPr>
          <w:rFonts w:cs="宋体"/>
          <w:color w:val="auto"/>
          <w:sz w:val="21"/>
          <w:szCs w:val="21"/>
        </w:rPr>
      </w:pPr>
      <w:r>
        <w:rPr>
          <w:rFonts w:hint="eastAsia" w:cs="宋体"/>
          <w:color w:val="auto"/>
          <w:sz w:val="21"/>
          <w:szCs w:val="21"/>
        </w:rPr>
        <w:t>预付款担保的形式为：</w:t>
      </w:r>
      <w:r>
        <w:rPr>
          <w:rFonts w:hint="eastAsia" w:cs="宋体"/>
          <w:color w:val="auto"/>
          <w:sz w:val="21"/>
          <w:szCs w:val="21"/>
          <w:u w:val="single"/>
        </w:rPr>
        <w:t>见《专用合同条款数据表》</w:t>
      </w:r>
      <w:r>
        <w:rPr>
          <w:rFonts w:hint="eastAsia" w:cs="宋体"/>
          <w:color w:val="auto"/>
          <w:sz w:val="21"/>
          <w:szCs w:val="21"/>
        </w:rPr>
        <w:t>。</w:t>
      </w:r>
    </w:p>
    <w:bookmarkEnd w:id="569"/>
    <w:bookmarkEnd w:id="570"/>
    <w:bookmarkEnd w:id="571"/>
    <w:bookmarkEnd w:id="572"/>
    <w:bookmarkEnd w:id="573"/>
    <w:bookmarkEnd w:id="574"/>
    <w:bookmarkEnd w:id="575"/>
    <w:bookmarkEnd w:id="576"/>
    <w:bookmarkEnd w:id="577"/>
    <w:bookmarkEnd w:id="578"/>
    <w:p w14:paraId="3CE791CD">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12.3 计量</w:t>
      </w:r>
    </w:p>
    <w:p w14:paraId="43B54A94">
      <w:pPr>
        <w:adjustRightInd w:val="0"/>
        <w:snapToGrid w:val="0"/>
        <w:spacing w:line="360" w:lineRule="auto"/>
        <w:ind w:firstLine="420" w:firstLineChars="200"/>
        <w:rPr>
          <w:rFonts w:cs="宋体"/>
          <w:color w:val="auto"/>
          <w:sz w:val="21"/>
          <w:szCs w:val="21"/>
        </w:rPr>
      </w:pPr>
      <w:r>
        <w:rPr>
          <w:rFonts w:hint="eastAsia" w:cs="宋体"/>
          <w:color w:val="auto"/>
          <w:sz w:val="21"/>
          <w:szCs w:val="21"/>
        </w:rPr>
        <w:t>12.3.1 计量原则</w:t>
      </w:r>
    </w:p>
    <w:p w14:paraId="6BCD908A">
      <w:pPr>
        <w:adjustRightInd w:val="0"/>
        <w:snapToGrid w:val="0"/>
        <w:spacing w:line="360" w:lineRule="auto"/>
        <w:ind w:firstLine="420" w:firstLineChars="200"/>
        <w:rPr>
          <w:rFonts w:cs="宋体"/>
          <w:b/>
          <w:color w:val="auto"/>
          <w:sz w:val="21"/>
          <w:szCs w:val="21"/>
        </w:rPr>
      </w:pPr>
      <w:r>
        <w:rPr>
          <w:rFonts w:hint="eastAsia" w:cs="宋体"/>
          <w:color w:val="auto"/>
          <w:sz w:val="21"/>
          <w:szCs w:val="21"/>
        </w:rPr>
        <w:t>工程量计算规则：</w:t>
      </w:r>
      <w:r>
        <w:rPr>
          <w:rFonts w:hint="eastAsia" w:cs="宋体"/>
          <w:color w:val="auto"/>
          <w:sz w:val="21"/>
          <w:szCs w:val="21"/>
          <w:u w:val="single"/>
        </w:rPr>
        <w:t>按招标工程量清单及最高投标限价所采用的规范及配套文件等</w:t>
      </w:r>
      <w:r>
        <w:rPr>
          <w:rFonts w:hint="eastAsia" w:cs="宋体"/>
          <w:b/>
          <w:color w:val="auto"/>
          <w:sz w:val="21"/>
          <w:szCs w:val="21"/>
        </w:rPr>
        <w:t>。</w:t>
      </w:r>
    </w:p>
    <w:p w14:paraId="73D6FC4D">
      <w:pPr>
        <w:adjustRightInd w:val="0"/>
        <w:snapToGrid w:val="0"/>
        <w:spacing w:line="360" w:lineRule="auto"/>
        <w:ind w:firstLine="420" w:firstLineChars="200"/>
        <w:rPr>
          <w:rFonts w:cs="宋体"/>
          <w:color w:val="auto"/>
          <w:sz w:val="21"/>
          <w:szCs w:val="21"/>
        </w:rPr>
      </w:pPr>
      <w:r>
        <w:rPr>
          <w:rFonts w:hint="eastAsia" w:cs="宋体"/>
          <w:color w:val="auto"/>
          <w:sz w:val="21"/>
          <w:szCs w:val="21"/>
        </w:rPr>
        <w:t>12.3.2 计量周期</w:t>
      </w:r>
    </w:p>
    <w:p w14:paraId="2C0C319B">
      <w:pPr>
        <w:adjustRightInd w:val="0"/>
        <w:snapToGrid w:val="0"/>
        <w:spacing w:line="360" w:lineRule="auto"/>
        <w:ind w:firstLine="420" w:firstLineChars="200"/>
        <w:rPr>
          <w:rFonts w:cs="宋体"/>
          <w:b/>
          <w:color w:val="auto"/>
          <w:sz w:val="21"/>
          <w:szCs w:val="21"/>
        </w:rPr>
      </w:pPr>
      <w:r>
        <w:rPr>
          <w:rFonts w:hint="eastAsia" w:cs="宋体"/>
          <w:color w:val="auto"/>
          <w:sz w:val="21"/>
          <w:szCs w:val="21"/>
        </w:rPr>
        <w:t>关于计量周期的约定</w:t>
      </w:r>
      <w:r>
        <w:rPr>
          <w:rFonts w:hint="eastAsia" w:cs="宋体"/>
          <w:b/>
          <w:color w:val="auto"/>
          <w:sz w:val="21"/>
          <w:szCs w:val="21"/>
        </w:rPr>
        <w:t>：</w:t>
      </w:r>
      <w:r>
        <w:rPr>
          <w:rFonts w:hint="eastAsia" w:cs="宋体"/>
          <w:color w:val="auto"/>
          <w:sz w:val="21"/>
          <w:szCs w:val="21"/>
          <w:u w:val="single"/>
        </w:rPr>
        <w:t xml:space="preserve"> </w:t>
      </w:r>
      <w:r>
        <w:rPr>
          <w:rFonts w:hint="eastAsia" w:cs="宋体"/>
          <w:color w:val="auto"/>
          <w:sz w:val="21"/>
          <w:szCs w:val="21"/>
          <w:u w:val="single"/>
          <w:lang w:val="en-US" w:eastAsia="zh-CN"/>
        </w:rPr>
        <w:t xml:space="preserve">根据项目实际情况，由合同甲方确定 </w:t>
      </w:r>
      <w:r>
        <w:rPr>
          <w:rFonts w:hint="eastAsia" w:cs="宋体"/>
          <w:b/>
          <w:color w:val="auto"/>
          <w:sz w:val="21"/>
          <w:szCs w:val="21"/>
        </w:rPr>
        <w:t>。</w:t>
      </w:r>
    </w:p>
    <w:p w14:paraId="554347A5">
      <w:pPr>
        <w:adjustRightInd w:val="0"/>
        <w:snapToGrid w:val="0"/>
        <w:spacing w:line="360" w:lineRule="auto"/>
        <w:ind w:firstLine="420" w:firstLineChars="200"/>
        <w:rPr>
          <w:rFonts w:cs="宋体"/>
          <w:color w:val="auto"/>
          <w:sz w:val="21"/>
          <w:szCs w:val="21"/>
        </w:rPr>
      </w:pPr>
      <w:r>
        <w:rPr>
          <w:rFonts w:hint="eastAsia" w:cs="宋体"/>
          <w:color w:val="auto"/>
          <w:sz w:val="21"/>
          <w:szCs w:val="21"/>
        </w:rPr>
        <w:t>12.3.3 单价合同的计量</w:t>
      </w:r>
    </w:p>
    <w:p w14:paraId="534662FA">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关于单价合同计量的约定：</w:t>
      </w:r>
      <w:r>
        <w:rPr>
          <w:rFonts w:hint="eastAsia" w:cs="宋体"/>
          <w:color w:val="auto"/>
          <w:sz w:val="21"/>
          <w:szCs w:val="21"/>
          <w:u w:val="single"/>
        </w:rPr>
        <w:t xml:space="preserve">  /  </w:t>
      </w:r>
      <w:r>
        <w:rPr>
          <w:rFonts w:hint="eastAsia" w:cs="宋体"/>
          <w:color w:val="auto"/>
          <w:sz w:val="21"/>
          <w:szCs w:val="21"/>
        </w:rPr>
        <w:t>。</w:t>
      </w:r>
    </w:p>
    <w:p w14:paraId="39A00C18">
      <w:pPr>
        <w:adjustRightInd w:val="0"/>
        <w:snapToGrid w:val="0"/>
        <w:spacing w:line="360" w:lineRule="auto"/>
        <w:ind w:firstLine="420" w:firstLineChars="200"/>
        <w:rPr>
          <w:rFonts w:cs="宋体"/>
          <w:color w:val="auto"/>
          <w:sz w:val="21"/>
          <w:szCs w:val="21"/>
        </w:rPr>
      </w:pPr>
      <w:r>
        <w:rPr>
          <w:rFonts w:hint="eastAsia" w:cs="宋体"/>
          <w:color w:val="auto"/>
          <w:sz w:val="21"/>
          <w:szCs w:val="21"/>
        </w:rPr>
        <w:t>12.3.4 总价合同的计量</w:t>
      </w:r>
    </w:p>
    <w:p w14:paraId="6F960F47">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关于总价合同计量的约定：</w:t>
      </w:r>
      <w:r>
        <w:rPr>
          <w:rFonts w:hint="eastAsia" w:cs="宋体"/>
          <w:color w:val="auto"/>
          <w:sz w:val="21"/>
          <w:szCs w:val="21"/>
          <w:u w:val="single"/>
        </w:rPr>
        <w:t xml:space="preserve">       </w:t>
      </w:r>
      <w:r>
        <w:rPr>
          <w:rFonts w:hint="eastAsia" w:cs="宋体"/>
          <w:color w:val="auto"/>
          <w:sz w:val="21"/>
          <w:szCs w:val="21"/>
        </w:rPr>
        <w:t>。</w:t>
      </w:r>
    </w:p>
    <w:p w14:paraId="74A304E5">
      <w:pPr>
        <w:adjustRightInd w:val="0"/>
        <w:snapToGrid w:val="0"/>
        <w:spacing w:line="360" w:lineRule="auto"/>
        <w:ind w:firstLine="420" w:firstLineChars="200"/>
        <w:rPr>
          <w:rFonts w:cs="宋体"/>
          <w:color w:val="auto"/>
          <w:sz w:val="21"/>
          <w:szCs w:val="21"/>
        </w:rPr>
      </w:pPr>
      <w:r>
        <w:rPr>
          <w:rFonts w:hint="eastAsia" w:cs="宋体"/>
          <w:color w:val="auto"/>
          <w:sz w:val="21"/>
          <w:szCs w:val="21"/>
        </w:rPr>
        <w:t>12.3.5 总价合同采用支付分解表计量支付的，是否适用第12.3.4项〔总价合同的计量〕约定进行计量：</w:t>
      </w:r>
      <w:r>
        <w:rPr>
          <w:rFonts w:hint="eastAsia" w:cs="宋体"/>
          <w:color w:val="auto"/>
          <w:sz w:val="21"/>
          <w:szCs w:val="21"/>
          <w:u w:val="single"/>
        </w:rPr>
        <w:t xml:space="preserve">    </w:t>
      </w:r>
      <w:r>
        <w:rPr>
          <w:rFonts w:hint="eastAsia" w:cs="宋体"/>
          <w:b/>
          <w:color w:val="auto"/>
          <w:sz w:val="21"/>
          <w:szCs w:val="21"/>
        </w:rPr>
        <w:t>。</w:t>
      </w:r>
    </w:p>
    <w:p w14:paraId="4DB45371">
      <w:pPr>
        <w:adjustRightInd w:val="0"/>
        <w:snapToGrid w:val="0"/>
        <w:spacing w:line="360" w:lineRule="auto"/>
        <w:ind w:firstLine="420" w:firstLineChars="200"/>
        <w:rPr>
          <w:rFonts w:cs="宋体"/>
          <w:color w:val="auto"/>
          <w:sz w:val="21"/>
          <w:szCs w:val="21"/>
        </w:rPr>
      </w:pPr>
      <w:r>
        <w:rPr>
          <w:rFonts w:hint="eastAsia" w:cs="宋体"/>
          <w:color w:val="auto"/>
          <w:sz w:val="21"/>
          <w:szCs w:val="21"/>
        </w:rPr>
        <w:t>12.3.6 其他价格形式合同的计量</w:t>
      </w:r>
    </w:p>
    <w:p w14:paraId="518017CD">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其他价格形式的计量方式和程序：</w:t>
      </w:r>
      <w:r>
        <w:rPr>
          <w:rFonts w:hint="eastAsia" w:cs="宋体"/>
          <w:color w:val="auto"/>
          <w:sz w:val="21"/>
          <w:szCs w:val="21"/>
          <w:u w:val="single"/>
        </w:rPr>
        <w:t xml:space="preserve">    </w:t>
      </w:r>
      <w:r>
        <w:rPr>
          <w:rFonts w:hint="eastAsia" w:cs="宋体"/>
          <w:color w:val="auto"/>
          <w:sz w:val="21"/>
          <w:szCs w:val="21"/>
        </w:rPr>
        <w:t>。</w:t>
      </w:r>
    </w:p>
    <w:p w14:paraId="6904D878">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12.4 工程进度款支付</w:t>
      </w:r>
    </w:p>
    <w:p w14:paraId="53EBF793">
      <w:pPr>
        <w:adjustRightInd w:val="0"/>
        <w:snapToGrid w:val="0"/>
        <w:spacing w:line="360" w:lineRule="auto"/>
        <w:ind w:firstLine="420" w:firstLineChars="200"/>
        <w:rPr>
          <w:rFonts w:cs="宋体"/>
          <w:color w:val="auto"/>
          <w:sz w:val="21"/>
          <w:szCs w:val="21"/>
        </w:rPr>
      </w:pPr>
      <w:bookmarkStart w:id="579" w:name="_Toc296891251"/>
      <w:bookmarkStart w:id="580" w:name="_Toc296347210"/>
      <w:bookmarkStart w:id="581" w:name="_Toc297123556"/>
      <w:bookmarkStart w:id="582" w:name="_Toc292559921"/>
      <w:bookmarkStart w:id="583" w:name="_Toc296891039"/>
      <w:bookmarkStart w:id="584" w:name="_Toc297048397"/>
      <w:bookmarkStart w:id="585" w:name="_Toc296346712"/>
      <w:bookmarkStart w:id="586" w:name="_Toc300935006"/>
      <w:bookmarkStart w:id="587" w:name="_Toc296503211"/>
      <w:bookmarkStart w:id="588" w:name="_Toc303539163"/>
      <w:bookmarkStart w:id="589" w:name="_Toc292559416"/>
      <w:bookmarkStart w:id="590" w:name="_Toc297216215"/>
      <w:bookmarkStart w:id="591" w:name="_Toc296944550"/>
      <w:bookmarkStart w:id="592" w:name="_Toc297120511"/>
      <w:r>
        <w:rPr>
          <w:rFonts w:hint="eastAsia" w:cs="宋体"/>
          <w:color w:val="auto"/>
          <w:sz w:val="21"/>
          <w:szCs w:val="21"/>
        </w:rPr>
        <w:t>12.4.1 付款周期</w:t>
      </w:r>
    </w:p>
    <w:p w14:paraId="54751577">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关于付款周期的约定：</w:t>
      </w:r>
      <w:r>
        <w:rPr>
          <w:rFonts w:hint="eastAsia" w:cs="宋体"/>
          <w:color w:val="auto"/>
          <w:sz w:val="21"/>
          <w:szCs w:val="21"/>
          <w:u w:val="single"/>
        </w:rPr>
        <w:t>见《专用合同条款数据表》</w:t>
      </w:r>
      <w:r>
        <w:rPr>
          <w:rFonts w:hint="eastAsia" w:cs="宋体"/>
          <w:color w:val="auto"/>
          <w:sz w:val="21"/>
          <w:szCs w:val="21"/>
        </w:rPr>
        <w:t>。</w:t>
      </w:r>
    </w:p>
    <w:p w14:paraId="0725B262">
      <w:pPr>
        <w:adjustRightInd w:val="0"/>
        <w:snapToGrid w:val="0"/>
        <w:spacing w:line="360" w:lineRule="auto"/>
        <w:ind w:firstLine="420" w:firstLineChars="200"/>
        <w:rPr>
          <w:rFonts w:cs="宋体"/>
          <w:color w:val="auto"/>
          <w:sz w:val="21"/>
          <w:szCs w:val="21"/>
        </w:rPr>
      </w:pPr>
      <w:r>
        <w:rPr>
          <w:rFonts w:hint="eastAsia" w:cs="宋体"/>
          <w:color w:val="auto"/>
          <w:sz w:val="21"/>
          <w:szCs w:val="21"/>
        </w:rPr>
        <w:t>12.4.2 进度付款申请单的编制</w:t>
      </w:r>
    </w:p>
    <w:p w14:paraId="352868A7">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关于进度付款申请单编制的约定：</w:t>
      </w:r>
      <w:r>
        <w:rPr>
          <w:rFonts w:hint="eastAsia" w:cs="宋体"/>
          <w:color w:val="auto"/>
          <w:sz w:val="21"/>
          <w:szCs w:val="21"/>
          <w:u w:val="single"/>
        </w:rPr>
        <w:t xml:space="preserve">    </w:t>
      </w:r>
      <w:r>
        <w:rPr>
          <w:rFonts w:hint="eastAsia" w:cs="宋体"/>
          <w:color w:val="auto"/>
          <w:sz w:val="21"/>
          <w:szCs w:val="21"/>
        </w:rPr>
        <w:t>。</w:t>
      </w:r>
    </w:p>
    <w:p w14:paraId="58281F1F">
      <w:pPr>
        <w:adjustRightInd w:val="0"/>
        <w:snapToGrid w:val="0"/>
        <w:spacing w:line="360" w:lineRule="auto"/>
        <w:ind w:firstLine="420" w:firstLineChars="200"/>
        <w:rPr>
          <w:rFonts w:cs="宋体"/>
          <w:color w:val="auto"/>
          <w:sz w:val="21"/>
          <w:szCs w:val="21"/>
        </w:rPr>
      </w:pPr>
      <w:r>
        <w:rPr>
          <w:rFonts w:hint="eastAsia" w:cs="宋体"/>
          <w:color w:val="auto"/>
          <w:sz w:val="21"/>
          <w:szCs w:val="21"/>
        </w:rPr>
        <w:t>1</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Pr>
          <w:rFonts w:hint="eastAsia" w:cs="宋体"/>
          <w:color w:val="auto"/>
          <w:sz w:val="21"/>
          <w:szCs w:val="21"/>
        </w:rPr>
        <w:t>2.4.3 进度付款申请单的提交</w:t>
      </w:r>
    </w:p>
    <w:p w14:paraId="0E4C5A76">
      <w:pPr>
        <w:adjustRightInd w:val="0"/>
        <w:snapToGrid w:val="0"/>
        <w:spacing w:line="360" w:lineRule="auto"/>
        <w:ind w:firstLine="420" w:firstLineChars="200"/>
        <w:rPr>
          <w:rFonts w:cs="宋体"/>
          <w:color w:val="auto"/>
          <w:sz w:val="21"/>
          <w:szCs w:val="21"/>
        </w:rPr>
      </w:pPr>
      <w:r>
        <w:rPr>
          <w:rFonts w:hint="eastAsia" w:cs="宋体"/>
          <w:color w:val="auto"/>
          <w:sz w:val="21"/>
          <w:szCs w:val="21"/>
        </w:rPr>
        <w:t>（1）单价合同进度付款申请单提交的约定：</w:t>
      </w:r>
      <w:r>
        <w:rPr>
          <w:rFonts w:hint="eastAsia" w:cs="宋体"/>
          <w:color w:val="auto"/>
          <w:sz w:val="21"/>
          <w:szCs w:val="21"/>
          <w:u w:val="single"/>
        </w:rPr>
        <w:t xml:space="preserve">  /  </w:t>
      </w:r>
      <w:r>
        <w:rPr>
          <w:rFonts w:hint="eastAsia" w:cs="宋体"/>
          <w:color w:val="auto"/>
          <w:sz w:val="21"/>
          <w:szCs w:val="21"/>
        </w:rPr>
        <w:t>。</w:t>
      </w:r>
    </w:p>
    <w:p w14:paraId="5D028F7A">
      <w:pPr>
        <w:adjustRightInd w:val="0"/>
        <w:snapToGrid w:val="0"/>
        <w:spacing w:line="360" w:lineRule="auto"/>
        <w:ind w:firstLine="420" w:firstLineChars="200"/>
        <w:rPr>
          <w:rFonts w:cs="宋体"/>
          <w:color w:val="auto"/>
          <w:sz w:val="21"/>
          <w:szCs w:val="21"/>
        </w:rPr>
      </w:pPr>
      <w:r>
        <w:rPr>
          <w:rFonts w:hint="eastAsia" w:cs="宋体"/>
          <w:color w:val="auto"/>
          <w:sz w:val="21"/>
          <w:szCs w:val="21"/>
        </w:rPr>
        <w:t>（2）总价合同进度付款申请单提交的约定：</w:t>
      </w:r>
      <w:r>
        <w:rPr>
          <w:rFonts w:hint="eastAsia" w:cs="宋体"/>
          <w:color w:val="auto"/>
          <w:sz w:val="21"/>
          <w:szCs w:val="21"/>
          <w:u w:val="single"/>
        </w:rPr>
        <w:t xml:space="preserve">   </w:t>
      </w:r>
      <w:r>
        <w:rPr>
          <w:rFonts w:hint="eastAsia" w:cs="宋体"/>
          <w:color w:val="auto"/>
          <w:sz w:val="21"/>
          <w:szCs w:val="21"/>
        </w:rPr>
        <w:t>。</w:t>
      </w:r>
    </w:p>
    <w:p w14:paraId="7882895E">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（3）其他价格形式合同进度付款申请单提交的约定：</w:t>
      </w:r>
      <w:r>
        <w:rPr>
          <w:rFonts w:hint="eastAsia" w:cs="宋体"/>
          <w:color w:val="auto"/>
          <w:sz w:val="21"/>
          <w:szCs w:val="21"/>
          <w:u w:val="single"/>
        </w:rPr>
        <w:t xml:space="preserve">  /  </w:t>
      </w:r>
      <w:r>
        <w:rPr>
          <w:rFonts w:hint="eastAsia" w:cs="宋体"/>
          <w:color w:val="auto"/>
          <w:sz w:val="21"/>
          <w:szCs w:val="21"/>
        </w:rPr>
        <w:t>。</w:t>
      </w:r>
    </w:p>
    <w:p w14:paraId="57BB2A12">
      <w:pPr>
        <w:adjustRightInd w:val="0"/>
        <w:snapToGrid w:val="0"/>
        <w:spacing w:line="360" w:lineRule="auto"/>
        <w:ind w:firstLine="420" w:firstLineChars="200"/>
        <w:rPr>
          <w:rFonts w:cs="宋体"/>
          <w:color w:val="auto"/>
          <w:sz w:val="21"/>
          <w:szCs w:val="21"/>
        </w:rPr>
      </w:pPr>
      <w:r>
        <w:rPr>
          <w:rFonts w:hint="eastAsia" w:cs="宋体"/>
          <w:color w:val="auto"/>
          <w:sz w:val="21"/>
          <w:szCs w:val="21"/>
        </w:rPr>
        <w:t>12.4.4 进度款审核和支付</w:t>
      </w:r>
    </w:p>
    <w:p w14:paraId="4B208F6E">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（1）监理人审查并报送发包人的期限：</w:t>
      </w:r>
      <w:r>
        <w:rPr>
          <w:rFonts w:hint="eastAsia" w:cs="宋体"/>
          <w:color w:val="auto"/>
          <w:sz w:val="21"/>
          <w:szCs w:val="21"/>
          <w:u w:val="single"/>
        </w:rPr>
        <w:t xml:space="preserve">    </w:t>
      </w:r>
      <w:r>
        <w:rPr>
          <w:rFonts w:hint="eastAsia" w:cs="宋体"/>
          <w:color w:val="auto"/>
          <w:sz w:val="21"/>
          <w:szCs w:val="21"/>
        </w:rPr>
        <w:t>。</w:t>
      </w:r>
    </w:p>
    <w:p w14:paraId="36C4DE46">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发包人完成审批并签发进度款支付证书的期限：</w:t>
      </w:r>
      <w:r>
        <w:rPr>
          <w:rFonts w:hint="eastAsia" w:cs="宋体"/>
          <w:color w:val="auto"/>
          <w:sz w:val="21"/>
          <w:szCs w:val="21"/>
          <w:u w:val="single"/>
        </w:rPr>
        <w:t xml:space="preserve">    </w:t>
      </w:r>
      <w:r>
        <w:rPr>
          <w:rFonts w:hint="eastAsia" w:cs="宋体"/>
          <w:color w:val="auto"/>
          <w:sz w:val="21"/>
          <w:szCs w:val="21"/>
        </w:rPr>
        <w:t>。</w:t>
      </w:r>
    </w:p>
    <w:p w14:paraId="684AC716">
      <w:pPr>
        <w:adjustRightInd w:val="0"/>
        <w:snapToGrid w:val="0"/>
        <w:spacing w:line="360" w:lineRule="auto"/>
        <w:ind w:firstLine="420" w:firstLineChars="200"/>
        <w:rPr>
          <w:rFonts w:cs="宋体"/>
          <w:b/>
          <w:color w:val="auto"/>
          <w:sz w:val="21"/>
          <w:szCs w:val="21"/>
        </w:rPr>
      </w:pPr>
      <w:r>
        <w:rPr>
          <w:rFonts w:hint="eastAsia" w:cs="宋体"/>
          <w:color w:val="auto"/>
          <w:sz w:val="21"/>
          <w:szCs w:val="21"/>
        </w:rPr>
        <w:t>（2）发包人支付进度款的期限：</w:t>
      </w:r>
      <w:r>
        <w:rPr>
          <w:rFonts w:hint="eastAsia" w:cs="宋体"/>
          <w:color w:val="auto"/>
          <w:sz w:val="21"/>
          <w:szCs w:val="21"/>
          <w:u w:val="single"/>
        </w:rPr>
        <w:t xml:space="preserve">    </w:t>
      </w:r>
      <w:r>
        <w:rPr>
          <w:rFonts w:hint="eastAsia" w:cs="宋体"/>
          <w:color w:val="auto"/>
          <w:sz w:val="21"/>
          <w:szCs w:val="21"/>
        </w:rPr>
        <w:t>。</w:t>
      </w:r>
    </w:p>
    <w:p w14:paraId="710F699C">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发包人逾期支付进度款的违约金的计算方式</w:t>
      </w:r>
      <w:r>
        <w:rPr>
          <w:rFonts w:hint="eastAsia" w:cs="宋体"/>
          <w:color w:val="auto"/>
          <w:sz w:val="21"/>
          <w:szCs w:val="21"/>
          <w:u w:val="single"/>
        </w:rPr>
        <w:t xml:space="preserve">    </w:t>
      </w:r>
      <w:r>
        <w:rPr>
          <w:rFonts w:hint="eastAsia" w:cs="宋体"/>
          <w:color w:val="auto"/>
          <w:sz w:val="21"/>
          <w:szCs w:val="21"/>
        </w:rPr>
        <w:t>。</w:t>
      </w:r>
    </w:p>
    <w:p w14:paraId="3E2C072D">
      <w:pPr>
        <w:adjustRightInd w:val="0"/>
        <w:snapToGrid w:val="0"/>
        <w:spacing w:line="360" w:lineRule="auto"/>
        <w:ind w:firstLine="420" w:firstLineChars="200"/>
        <w:rPr>
          <w:rFonts w:cs="宋体"/>
          <w:color w:val="auto"/>
          <w:sz w:val="21"/>
          <w:szCs w:val="21"/>
        </w:rPr>
      </w:pPr>
      <w:r>
        <w:rPr>
          <w:rFonts w:hint="eastAsia" w:cs="宋体"/>
          <w:color w:val="auto"/>
          <w:sz w:val="21"/>
          <w:szCs w:val="21"/>
        </w:rPr>
        <w:t>12.4.6 支付分解表的编制</w:t>
      </w:r>
    </w:p>
    <w:p w14:paraId="017CC2D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（2）总价合同支付分解表的编制与审批：</w:t>
      </w:r>
      <w:r>
        <w:rPr>
          <w:rFonts w:hint="eastAsia" w:cs="宋体"/>
          <w:color w:val="auto"/>
          <w:sz w:val="21"/>
          <w:szCs w:val="21"/>
          <w:u w:val="single"/>
        </w:rPr>
        <w:t xml:space="preserve">  /  </w:t>
      </w:r>
      <w:r>
        <w:rPr>
          <w:rFonts w:hint="eastAsia" w:cs="宋体"/>
          <w:color w:val="auto"/>
          <w:sz w:val="21"/>
          <w:szCs w:val="21"/>
        </w:rPr>
        <w:t>。</w:t>
      </w:r>
    </w:p>
    <w:p w14:paraId="1A401728">
      <w:pPr>
        <w:adjustRightInd w:val="0"/>
        <w:snapToGrid w:val="0"/>
        <w:spacing w:line="360" w:lineRule="auto"/>
        <w:ind w:firstLine="420" w:firstLineChars="200"/>
        <w:rPr>
          <w:rFonts w:cs="宋体"/>
          <w:color w:val="auto"/>
          <w:sz w:val="21"/>
          <w:szCs w:val="21"/>
        </w:rPr>
      </w:pPr>
      <w:r>
        <w:rPr>
          <w:rFonts w:hint="eastAsia" w:cs="宋体"/>
          <w:color w:val="auto"/>
          <w:sz w:val="21"/>
          <w:szCs w:val="21"/>
        </w:rPr>
        <w:t>（3）单价合同的总价项目支付分解表的编制与审批：</w:t>
      </w:r>
      <w:r>
        <w:rPr>
          <w:rFonts w:hint="eastAsia" w:cs="宋体"/>
          <w:color w:val="auto"/>
          <w:sz w:val="21"/>
          <w:szCs w:val="21"/>
          <w:u w:val="single"/>
        </w:rPr>
        <w:t xml:space="preserve">  /  </w:t>
      </w:r>
      <w:r>
        <w:rPr>
          <w:rFonts w:hint="eastAsia" w:cs="宋体"/>
          <w:color w:val="auto"/>
          <w:sz w:val="21"/>
          <w:szCs w:val="21"/>
        </w:rPr>
        <w:t>。</w:t>
      </w:r>
    </w:p>
    <w:p w14:paraId="2A264390">
      <w:pPr>
        <w:adjustRightInd w:val="0"/>
        <w:snapToGrid w:val="0"/>
        <w:spacing w:line="360" w:lineRule="auto"/>
        <w:ind w:firstLine="420" w:firstLineChars="200"/>
        <w:rPr>
          <w:rFonts w:cs="宋体"/>
          <w:bCs/>
          <w:color w:val="auto"/>
          <w:sz w:val="21"/>
          <w:szCs w:val="21"/>
        </w:rPr>
      </w:pPr>
      <w:r>
        <w:rPr>
          <w:rFonts w:hint="eastAsia" w:cs="宋体"/>
          <w:bCs/>
          <w:color w:val="auto"/>
          <w:sz w:val="21"/>
          <w:szCs w:val="21"/>
        </w:rPr>
        <w:t>12.4.7 农民工工资管理</w:t>
      </w:r>
    </w:p>
    <w:p w14:paraId="0A86BA2E">
      <w:pPr>
        <w:adjustRightInd w:val="0"/>
        <w:snapToGrid w:val="0"/>
        <w:spacing w:line="360" w:lineRule="auto"/>
        <w:ind w:firstLine="420" w:firstLineChars="200"/>
        <w:rPr>
          <w:rFonts w:cs="宋体"/>
          <w:bCs/>
          <w:color w:val="auto"/>
          <w:sz w:val="21"/>
          <w:szCs w:val="21"/>
        </w:rPr>
      </w:pPr>
      <w:r>
        <w:rPr>
          <w:rFonts w:hint="eastAsia" w:cs="宋体"/>
          <w:color w:val="auto"/>
          <w:sz w:val="21"/>
          <w:szCs w:val="21"/>
        </w:rPr>
        <w:t>（1）</w:t>
      </w:r>
      <w:r>
        <w:rPr>
          <w:rFonts w:hint="eastAsia" w:cs="宋体"/>
          <w:bCs/>
          <w:color w:val="auto"/>
          <w:sz w:val="21"/>
          <w:szCs w:val="21"/>
        </w:rPr>
        <w:t>本工程农民工工资实行专用账户管理，承包人设立的专用账户开户行为</w:t>
      </w:r>
      <w:r>
        <w:rPr>
          <w:rFonts w:hint="eastAsia" w:cs="宋体"/>
          <w:bCs/>
          <w:color w:val="auto"/>
          <w:sz w:val="21"/>
          <w:szCs w:val="21"/>
          <w:u w:val="single"/>
        </w:rPr>
        <w:t>：</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，账号：</w:t>
      </w:r>
      <w:r>
        <w:rPr>
          <w:rFonts w:hint="eastAsia" w:cs="宋体"/>
          <w:bCs/>
          <w:color w:val="auto"/>
          <w:sz w:val="21"/>
          <w:szCs w:val="21"/>
          <w:u w:val="single"/>
        </w:rPr>
        <w:t xml:space="preserve"> </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w:t>
      </w:r>
    </w:p>
    <w:p w14:paraId="20A23CC7">
      <w:pPr>
        <w:adjustRightInd w:val="0"/>
        <w:snapToGrid w:val="0"/>
        <w:spacing w:line="360" w:lineRule="auto"/>
        <w:ind w:firstLine="420" w:firstLineChars="200"/>
        <w:rPr>
          <w:rFonts w:cs="宋体"/>
          <w:bCs/>
          <w:color w:val="auto"/>
          <w:sz w:val="21"/>
          <w:szCs w:val="21"/>
        </w:rPr>
      </w:pPr>
      <w:r>
        <w:rPr>
          <w:rFonts w:hint="eastAsia" w:cs="宋体"/>
          <w:color w:val="auto"/>
          <w:sz w:val="21"/>
          <w:szCs w:val="21"/>
        </w:rPr>
        <w:t>（2）</w:t>
      </w:r>
      <w:r>
        <w:rPr>
          <w:rFonts w:hint="eastAsia" w:cs="宋体"/>
          <w:bCs/>
          <w:color w:val="auto"/>
          <w:sz w:val="21"/>
          <w:szCs w:val="21"/>
        </w:rPr>
        <w:t>本工程工资性工程款</w:t>
      </w:r>
      <w:r>
        <w:rPr>
          <w:rFonts w:hint="eastAsia" w:cs="宋体"/>
          <w:bCs/>
          <w:color w:val="auto"/>
          <w:sz w:val="21"/>
          <w:szCs w:val="21"/>
          <w:u w:val="single"/>
        </w:rPr>
        <w:t xml:space="preserve">  </w:t>
      </w:r>
      <w:r>
        <w:rPr>
          <w:rFonts w:hint="eastAsia" w:cs="宋体"/>
          <w:bCs/>
          <w:color w:val="auto"/>
          <w:sz w:val="21"/>
          <w:szCs w:val="21"/>
          <w:u w:val="single"/>
          <w:lang w:val="en-US" w:eastAsia="zh-CN"/>
        </w:rPr>
        <w:t>/</w:t>
      </w:r>
      <w:r>
        <w:rPr>
          <w:rFonts w:hint="eastAsia" w:cs="宋体"/>
          <w:bCs/>
          <w:color w:val="auto"/>
          <w:sz w:val="21"/>
          <w:szCs w:val="21"/>
          <w:u w:val="single"/>
        </w:rPr>
        <w:t xml:space="preserve">  </w:t>
      </w:r>
      <w:r>
        <w:rPr>
          <w:rFonts w:hint="eastAsia" w:cs="宋体"/>
          <w:bCs/>
          <w:color w:val="auto"/>
          <w:sz w:val="21"/>
          <w:szCs w:val="21"/>
        </w:rPr>
        <w:t>元。</w:t>
      </w:r>
    </w:p>
    <w:p w14:paraId="371A4BB2">
      <w:pPr>
        <w:adjustRightInd w:val="0"/>
        <w:snapToGrid w:val="0"/>
        <w:spacing w:line="360" w:lineRule="auto"/>
        <w:ind w:firstLine="420" w:firstLineChars="200"/>
        <w:rPr>
          <w:rFonts w:cs="宋体"/>
          <w:bCs/>
          <w:color w:val="auto"/>
          <w:sz w:val="21"/>
          <w:szCs w:val="21"/>
        </w:rPr>
      </w:pPr>
      <w:r>
        <w:rPr>
          <w:rFonts w:hint="eastAsia" w:cs="宋体"/>
          <w:color w:val="auto"/>
          <w:sz w:val="21"/>
          <w:szCs w:val="21"/>
        </w:rPr>
        <w:t>（3）</w:t>
      </w:r>
      <w:r>
        <w:rPr>
          <w:rFonts w:hint="eastAsia" w:cs="宋体"/>
          <w:bCs/>
          <w:color w:val="auto"/>
          <w:sz w:val="21"/>
          <w:szCs w:val="21"/>
        </w:rPr>
        <w:t>发包人于每月25日前将工资性工程进度款转入农民工工资专用账户。</w:t>
      </w:r>
    </w:p>
    <w:p w14:paraId="4965AE0A">
      <w:pPr>
        <w:adjustRightInd w:val="0"/>
        <w:snapToGrid w:val="0"/>
        <w:spacing w:line="360" w:lineRule="auto"/>
        <w:ind w:firstLine="420" w:firstLineChars="200"/>
        <w:rPr>
          <w:rFonts w:cs="宋体"/>
          <w:bCs/>
          <w:color w:val="auto"/>
          <w:sz w:val="21"/>
          <w:szCs w:val="21"/>
        </w:rPr>
      </w:pPr>
      <w:r>
        <w:rPr>
          <w:rFonts w:hint="eastAsia" w:cs="宋体"/>
          <w:color w:val="auto"/>
          <w:sz w:val="21"/>
          <w:szCs w:val="21"/>
        </w:rPr>
        <w:t>（4）</w:t>
      </w:r>
      <w:r>
        <w:rPr>
          <w:rFonts w:hint="eastAsia" w:cs="宋体"/>
          <w:bCs/>
          <w:color w:val="auto"/>
          <w:sz w:val="21"/>
          <w:szCs w:val="21"/>
        </w:rPr>
        <w:t>承包人每月25日前上报本工程农民工工资清单，每月10日前委托开设农民工工资专用账户的银行支付农民工工资。</w:t>
      </w:r>
    </w:p>
    <w:p w14:paraId="7C2C221C">
      <w:pPr>
        <w:adjustRightInd w:val="0"/>
        <w:snapToGrid w:val="0"/>
        <w:spacing w:line="360" w:lineRule="auto"/>
        <w:ind w:firstLine="420" w:firstLineChars="200"/>
        <w:rPr>
          <w:rFonts w:cs="宋体"/>
          <w:b/>
          <w:color w:val="auto"/>
          <w:sz w:val="21"/>
          <w:szCs w:val="21"/>
        </w:rPr>
      </w:pPr>
      <w:r>
        <w:rPr>
          <w:rFonts w:hint="eastAsia" w:cs="宋体"/>
          <w:color w:val="auto"/>
          <w:sz w:val="21"/>
          <w:szCs w:val="21"/>
        </w:rPr>
        <w:t>（5）</w:t>
      </w:r>
      <w:r>
        <w:rPr>
          <w:rFonts w:hint="eastAsia" w:cs="宋体"/>
          <w:bCs/>
          <w:color w:val="auto"/>
          <w:sz w:val="21"/>
          <w:szCs w:val="21"/>
        </w:rPr>
        <w:t>工程</w:t>
      </w:r>
      <w:r>
        <w:rPr>
          <w:rFonts w:hint="eastAsia" w:cs="宋体"/>
          <w:bCs/>
          <w:color w:val="auto"/>
          <w:sz w:val="21"/>
          <w:szCs w:val="21"/>
          <w:lang w:eastAsia="zh-CN"/>
        </w:rPr>
        <w:t>完工</w:t>
      </w:r>
      <w:r>
        <w:rPr>
          <w:rFonts w:hint="eastAsia" w:cs="宋体"/>
          <w:bCs/>
          <w:color w:val="auto"/>
          <w:sz w:val="21"/>
          <w:szCs w:val="21"/>
        </w:rPr>
        <w:t>后，经项目部农民工维权组确认无农民工工资拖欠后，发、承双方办理农民工工资专用账户撤销手续，农民工工资专用账户余额划至本合同约定的承包人账户。</w:t>
      </w:r>
    </w:p>
    <w:bookmarkEnd w:id="422"/>
    <w:p w14:paraId="08A6065C">
      <w:pPr>
        <w:snapToGrid w:val="0"/>
        <w:spacing w:before="312" w:beforeLines="100" w:after="312" w:afterLines="100" w:line="360" w:lineRule="auto"/>
        <w:outlineLvl w:val="2"/>
        <w:rPr>
          <w:rFonts w:cs="宋体"/>
          <w:color w:val="auto"/>
          <w:sz w:val="21"/>
          <w:szCs w:val="21"/>
        </w:rPr>
      </w:pPr>
      <w:bookmarkStart w:id="593" w:name="_Toc351203645"/>
      <w:bookmarkStart w:id="594" w:name="_Toc312678053"/>
      <w:bookmarkStart w:id="595" w:name="_Toc297216223"/>
      <w:bookmarkStart w:id="596" w:name="_Toc296346720"/>
      <w:bookmarkStart w:id="597" w:name="_Toc304295593"/>
      <w:bookmarkStart w:id="598" w:name="_Toc292559424"/>
      <w:bookmarkStart w:id="599" w:name="_Toc296503219"/>
      <w:bookmarkStart w:id="600" w:name="_Toc303539172"/>
      <w:bookmarkStart w:id="601" w:name="_Toc297048405"/>
      <w:bookmarkStart w:id="602" w:name="_Toc296891259"/>
      <w:bookmarkStart w:id="603" w:name="_Toc292559929"/>
      <w:bookmarkStart w:id="604" w:name="_Toc296944558"/>
      <w:bookmarkStart w:id="605" w:name="_Toc296891047"/>
      <w:bookmarkStart w:id="606" w:name="_Toc296347218"/>
      <w:bookmarkStart w:id="607" w:name="_Toc300935015"/>
      <w:bookmarkStart w:id="608" w:name="_Toc297123564"/>
      <w:bookmarkStart w:id="609" w:name="_Toc297120519"/>
      <w:r>
        <w:rPr>
          <w:rFonts w:hint="eastAsia" w:cs="宋体"/>
          <w:color w:val="auto"/>
          <w:sz w:val="21"/>
          <w:szCs w:val="21"/>
        </w:rPr>
        <w:t>13. 验收和工程试车</w:t>
      </w:r>
      <w:bookmarkEnd w:id="593"/>
    </w:p>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14:paraId="1FBBA94D">
      <w:pPr>
        <w:keepNext/>
        <w:keepLines/>
        <w:snapToGrid w:val="0"/>
        <w:spacing w:before="120" w:after="120" w:line="360" w:lineRule="auto"/>
        <w:jc w:val="left"/>
        <w:outlineLvl w:val="2"/>
        <w:rPr>
          <w:rFonts w:cs="宋体"/>
          <w:bCs/>
          <w:color w:val="auto"/>
          <w:sz w:val="21"/>
          <w:szCs w:val="21"/>
        </w:rPr>
      </w:pPr>
      <w:r>
        <w:rPr>
          <w:rFonts w:hint="eastAsia" w:cs="宋体"/>
          <w:bCs/>
          <w:color w:val="auto"/>
          <w:sz w:val="21"/>
          <w:szCs w:val="21"/>
        </w:rPr>
        <w:t>13.1 分部分项工程验收</w:t>
      </w:r>
    </w:p>
    <w:p w14:paraId="03AB2C3F">
      <w:pPr>
        <w:adjustRightInd w:val="0"/>
        <w:snapToGrid w:val="0"/>
        <w:spacing w:line="360" w:lineRule="auto"/>
        <w:ind w:firstLine="420" w:firstLineChars="200"/>
        <w:rPr>
          <w:rFonts w:cs="宋体"/>
          <w:color w:val="auto"/>
          <w:sz w:val="21"/>
          <w:szCs w:val="21"/>
        </w:rPr>
      </w:pPr>
      <w:r>
        <w:rPr>
          <w:rFonts w:hint="eastAsia" w:cs="宋体"/>
          <w:color w:val="auto"/>
          <w:sz w:val="21"/>
          <w:szCs w:val="21"/>
        </w:rPr>
        <w:t>13.1.2 监理人不能按时进行验收时，应提前</w:t>
      </w:r>
      <w:r>
        <w:rPr>
          <w:rFonts w:hint="eastAsia" w:cs="宋体"/>
          <w:color w:val="auto"/>
          <w:sz w:val="21"/>
          <w:szCs w:val="21"/>
          <w:u w:val="single"/>
        </w:rPr>
        <w:t>24</w:t>
      </w:r>
      <w:r>
        <w:rPr>
          <w:rFonts w:hint="eastAsia" w:cs="宋体"/>
          <w:color w:val="auto"/>
          <w:sz w:val="21"/>
          <w:szCs w:val="21"/>
        </w:rPr>
        <w:t>小时提交书面延期要求。</w:t>
      </w:r>
    </w:p>
    <w:p w14:paraId="76C23E5D">
      <w:pPr>
        <w:adjustRightInd w:val="0"/>
        <w:snapToGrid w:val="0"/>
        <w:spacing w:line="360" w:lineRule="auto"/>
        <w:ind w:firstLine="420" w:firstLineChars="200"/>
        <w:rPr>
          <w:rFonts w:cs="宋体"/>
          <w:b/>
          <w:color w:val="auto"/>
          <w:sz w:val="21"/>
          <w:szCs w:val="21"/>
        </w:rPr>
      </w:pPr>
      <w:r>
        <w:rPr>
          <w:rFonts w:hint="eastAsia" w:cs="宋体"/>
          <w:color w:val="auto"/>
          <w:sz w:val="21"/>
          <w:szCs w:val="21"/>
        </w:rPr>
        <w:t>关于延期最长不得超过：</w:t>
      </w:r>
      <w:r>
        <w:rPr>
          <w:rFonts w:hint="eastAsia" w:cs="宋体"/>
          <w:color w:val="auto"/>
          <w:sz w:val="21"/>
          <w:szCs w:val="21"/>
          <w:u w:val="single"/>
        </w:rPr>
        <w:t>48</w:t>
      </w:r>
      <w:r>
        <w:rPr>
          <w:rFonts w:hint="eastAsia" w:cs="宋体"/>
          <w:color w:val="auto"/>
          <w:sz w:val="21"/>
          <w:szCs w:val="21"/>
        </w:rPr>
        <w:t>小时。</w:t>
      </w:r>
    </w:p>
    <w:p w14:paraId="26E661E2">
      <w:pPr>
        <w:keepNext/>
        <w:keepLines/>
        <w:snapToGrid w:val="0"/>
        <w:spacing w:before="120" w:after="120" w:line="360" w:lineRule="auto"/>
        <w:ind w:firstLine="420" w:firstLineChars="200"/>
        <w:outlineLvl w:val="3"/>
        <w:rPr>
          <w:rFonts w:hint="eastAsia" w:eastAsia="宋体" w:cs="宋体"/>
          <w:bCs/>
          <w:color w:val="auto"/>
          <w:sz w:val="21"/>
          <w:szCs w:val="21"/>
          <w:lang w:eastAsia="zh-CN"/>
        </w:rPr>
      </w:pPr>
      <w:bookmarkStart w:id="610" w:name="_Toc297216224"/>
      <w:bookmarkStart w:id="611" w:name="_Toc296346724"/>
      <w:bookmarkStart w:id="612" w:name="_Toc296891051"/>
      <w:bookmarkStart w:id="613" w:name="_Toc296347222"/>
      <w:bookmarkStart w:id="614" w:name="_Toc296891263"/>
      <w:bookmarkStart w:id="615" w:name="_Toc296503223"/>
      <w:bookmarkStart w:id="616" w:name="_Toc300935016"/>
      <w:bookmarkStart w:id="617" w:name="_Toc303539173"/>
      <w:bookmarkStart w:id="618" w:name="_Toc296944562"/>
      <w:bookmarkStart w:id="619" w:name="_Toc292559428"/>
      <w:bookmarkStart w:id="620" w:name="_Toc312678056"/>
      <w:bookmarkStart w:id="621" w:name="_Toc297123565"/>
      <w:bookmarkStart w:id="622" w:name="_Toc292559933"/>
      <w:bookmarkStart w:id="623" w:name="_Toc304295596"/>
      <w:bookmarkStart w:id="624" w:name="_Toc297048409"/>
      <w:bookmarkStart w:id="625" w:name="_Toc297120523"/>
      <w:bookmarkStart w:id="626" w:name="_Toc267251472"/>
      <w:bookmarkStart w:id="627" w:name="_Toc267251475"/>
      <w:bookmarkStart w:id="628" w:name="_Toc267251470"/>
      <w:bookmarkStart w:id="629" w:name="_Toc267251476"/>
      <w:bookmarkStart w:id="630" w:name="_Toc267251471"/>
      <w:bookmarkStart w:id="631" w:name="_Toc267251473"/>
      <w:bookmarkStart w:id="632" w:name="_Toc267251474"/>
      <w:r>
        <w:rPr>
          <w:rFonts w:hint="eastAsia" w:cs="宋体"/>
          <w:bCs/>
          <w:color w:val="auto"/>
          <w:sz w:val="21"/>
          <w:szCs w:val="21"/>
        </w:rPr>
        <w:t xml:space="preserve">13.2 </w:t>
      </w:r>
      <w:r>
        <w:rPr>
          <w:rFonts w:hint="eastAsia" w:cs="宋体"/>
          <w:bCs/>
          <w:color w:val="auto"/>
          <w:sz w:val="21"/>
          <w:szCs w:val="21"/>
          <w:lang w:eastAsia="zh-CN"/>
        </w:rPr>
        <w:t>完工验收</w:t>
      </w:r>
    </w:p>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14:paraId="5CB45186">
      <w:pPr>
        <w:adjustRightInd w:val="0"/>
        <w:snapToGrid w:val="0"/>
        <w:spacing w:line="360" w:lineRule="auto"/>
        <w:ind w:firstLine="420" w:firstLineChars="200"/>
        <w:rPr>
          <w:rFonts w:cs="宋体"/>
          <w:color w:val="auto"/>
          <w:sz w:val="21"/>
          <w:szCs w:val="21"/>
        </w:rPr>
      </w:pPr>
      <w:bookmarkStart w:id="633" w:name="_Toc280868704"/>
      <w:bookmarkStart w:id="634" w:name="_Toc280868705"/>
      <w:bookmarkStart w:id="635" w:name="_Toc280868706"/>
      <w:bookmarkStart w:id="636" w:name="_Toc280868707"/>
      <w:bookmarkStart w:id="637" w:name="_Toc280868708"/>
      <w:bookmarkStart w:id="638" w:name="_Toc280868709"/>
      <w:r>
        <w:rPr>
          <w:rFonts w:hint="eastAsia" w:cs="宋体"/>
          <w:color w:val="auto"/>
          <w:sz w:val="21"/>
          <w:szCs w:val="21"/>
        </w:rPr>
        <w:t xml:space="preserve">13.2.2 </w:t>
      </w:r>
      <w:r>
        <w:rPr>
          <w:rFonts w:hint="eastAsia" w:cs="宋体"/>
          <w:color w:val="auto"/>
          <w:sz w:val="21"/>
          <w:szCs w:val="21"/>
          <w:lang w:eastAsia="zh-CN"/>
        </w:rPr>
        <w:t>完工验收</w:t>
      </w:r>
      <w:r>
        <w:rPr>
          <w:rFonts w:hint="eastAsia" w:cs="宋体"/>
          <w:color w:val="auto"/>
          <w:sz w:val="21"/>
          <w:szCs w:val="21"/>
        </w:rPr>
        <w:t>程序</w:t>
      </w:r>
    </w:p>
    <w:bookmarkEnd w:id="633"/>
    <w:p w14:paraId="718D5C3A">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w:t>
      </w:r>
      <w:r>
        <w:rPr>
          <w:rFonts w:hint="eastAsia" w:cs="宋体"/>
          <w:color w:val="auto"/>
          <w:sz w:val="21"/>
          <w:szCs w:val="21"/>
          <w:lang w:eastAsia="zh-CN"/>
        </w:rPr>
        <w:t>完工验收</w:t>
      </w:r>
      <w:r>
        <w:rPr>
          <w:rFonts w:hint="eastAsia" w:cs="宋体"/>
          <w:color w:val="auto"/>
          <w:sz w:val="21"/>
          <w:szCs w:val="21"/>
        </w:rPr>
        <w:t>程序的约定：</w:t>
      </w:r>
      <w:r>
        <w:rPr>
          <w:rFonts w:hint="eastAsia" w:cs="宋体"/>
          <w:color w:val="auto"/>
          <w:sz w:val="21"/>
          <w:szCs w:val="21"/>
          <w:u w:val="single"/>
        </w:rPr>
        <w:t>执行通用条款</w:t>
      </w:r>
      <w:r>
        <w:rPr>
          <w:rFonts w:hint="eastAsia" w:cs="宋体"/>
          <w:color w:val="auto"/>
          <w:sz w:val="21"/>
          <w:szCs w:val="21"/>
        </w:rPr>
        <w:t>。</w:t>
      </w:r>
    </w:p>
    <w:p w14:paraId="2438E53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发包人不按照本项约定组织</w:t>
      </w:r>
      <w:r>
        <w:rPr>
          <w:rFonts w:hint="eastAsia" w:cs="宋体"/>
          <w:color w:val="auto"/>
          <w:sz w:val="21"/>
          <w:szCs w:val="21"/>
          <w:lang w:eastAsia="zh-CN"/>
        </w:rPr>
        <w:t>完工验收</w:t>
      </w:r>
      <w:r>
        <w:rPr>
          <w:rFonts w:hint="eastAsia" w:cs="宋体"/>
          <w:color w:val="auto"/>
          <w:sz w:val="21"/>
          <w:szCs w:val="21"/>
        </w:rPr>
        <w:t>、颁发工程接收证书的违约金的计算方法：</w:t>
      </w:r>
      <w:r>
        <w:rPr>
          <w:rFonts w:hint="eastAsia" w:cs="宋体"/>
          <w:color w:val="auto"/>
          <w:sz w:val="21"/>
          <w:szCs w:val="21"/>
          <w:u w:val="single"/>
        </w:rPr>
        <w:t>执行通用条款</w:t>
      </w:r>
      <w:r>
        <w:rPr>
          <w:rFonts w:hint="eastAsia" w:cs="宋体"/>
          <w:color w:val="auto"/>
          <w:sz w:val="21"/>
          <w:szCs w:val="21"/>
        </w:rPr>
        <w:t>。</w:t>
      </w:r>
    </w:p>
    <w:bookmarkEnd w:id="634"/>
    <w:p w14:paraId="4D0CB550">
      <w:pPr>
        <w:adjustRightInd w:val="0"/>
        <w:snapToGrid w:val="0"/>
        <w:spacing w:line="360" w:lineRule="auto"/>
        <w:ind w:firstLine="420" w:firstLineChars="200"/>
        <w:rPr>
          <w:rFonts w:cs="宋体"/>
          <w:color w:val="auto"/>
          <w:sz w:val="21"/>
          <w:szCs w:val="21"/>
        </w:rPr>
      </w:pPr>
      <w:r>
        <w:rPr>
          <w:rFonts w:hint="eastAsia" w:cs="宋体"/>
          <w:color w:val="auto"/>
          <w:sz w:val="21"/>
          <w:szCs w:val="21"/>
        </w:rPr>
        <w:t>13.2.5 移交、接收全部与部分工程</w:t>
      </w:r>
    </w:p>
    <w:bookmarkEnd w:id="635"/>
    <w:p w14:paraId="15F5B9B9">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承包人向发包人移交工程的期限：</w:t>
      </w:r>
      <w:r>
        <w:rPr>
          <w:rFonts w:hint="eastAsia" w:cs="宋体"/>
          <w:color w:val="auto"/>
          <w:sz w:val="21"/>
          <w:szCs w:val="21"/>
          <w:u w:val="single"/>
        </w:rPr>
        <w:t>执行通用条款</w:t>
      </w:r>
      <w:r>
        <w:rPr>
          <w:rFonts w:hint="eastAsia" w:cs="宋体"/>
          <w:color w:val="auto"/>
          <w:sz w:val="21"/>
          <w:szCs w:val="21"/>
        </w:rPr>
        <w:t>。</w:t>
      </w:r>
    </w:p>
    <w:p w14:paraId="73534BA9">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发包人未按本合同约定接收全部或部分工程的，违约金的计算方法为：</w:t>
      </w:r>
      <w:r>
        <w:rPr>
          <w:rFonts w:hint="eastAsia" w:cs="宋体"/>
          <w:color w:val="auto"/>
          <w:sz w:val="21"/>
          <w:szCs w:val="21"/>
          <w:u w:val="single"/>
        </w:rPr>
        <w:t>执行通用条款</w:t>
      </w:r>
      <w:r>
        <w:rPr>
          <w:rFonts w:hint="eastAsia" w:cs="宋体"/>
          <w:color w:val="auto"/>
          <w:sz w:val="21"/>
          <w:szCs w:val="21"/>
        </w:rPr>
        <w:t>。</w:t>
      </w:r>
    </w:p>
    <w:bookmarkEnd w:id="636"/>
    <w:p w14:paraId="2E0924F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承包人未按时移交工程的，违约金的计算方法为：</w:t>
      </w:r>
      <w:r>
        <w:rPr>
          <w:rFonts w:hint="eastAsia" w:cs="宋体"/>
          <w:color w:val="auto"/>
          <w:sz w:val="21"/>
          <w:szCs w:val="21"/>
          <w:u w:val="single"/>
        </w:rPr>
        <w:t>执行通用条款</w:t>
      </w:r>
      <w:r>
        <w:rPr>
          <w:rFonts w:hint="eastAsia" w:cs="宋体"/>
          <w:color w:val="auto"/>
          <w:sz w:val="21"/>
          <w:szCs w:val="21"/>
        </w:rPr>
        <w:t>。</w:t>
      </w:r>
    </w:p>
    <w:p w14:paraId="00D0206D">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13.3 工程试车</w:t>
      </w:r>
    </w:p>
    <w:bookmarkEnd w:id="637"/>
    <w:p w14:paraId="04BF5B9A">
      <w:pPr>
        <w:adjustRightInd w:val="0"/>
        <w:snapToGrid w:val="0"/>
        <w:spacing w:line="360" w:lineRule="auto"/>
        <w:ind w:firstLine="420" w:firstLineChars="200"/>
        <w:rPr>
          <w:rFonts w:cs="宋体"/>
          <w:color w:val="auto"/>
          <w:sz w:val="21"/>
          <w:szCs w:val="21"/>
        </w:rPr>
      </w:pPr>
      <w:r>
        <w:rPr>
          <w:rFonts w:hint="eastAsia" w:cs="宋体"/>
          <w:color w:val="auto"/>
          <w:sz w:val="21"/>
          <w:szCs w:val="21"/>
        </w:rPr>
        <w:t>13.3.1 试车程序</w:t>
      </w:r>
    </w:p>
    <w:p w14:paraId="4C1FAD32">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工程试车内容：</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34B236DD">
      <w:pPr>
        <w:adjustRightInd w:val="0"/>
        <w:snapToGrid w:val="0"/>
        <w:spacing w:line="360" w:lineRule="auto"/>
        <w:ind w:firstLine="420" w:firstLineChars="200"/>
        <w:rPr>
          <w:rFonts w:cs="宋体"/>
          <w:color w:val="auto"/>
          <w:sz w:val="21"/>
          <w:szCs w:val="21"/>
        </w:rPr>
      </w:pPr>
      <w:r>
        <w:rPr>
          <w:rFonts w:hint="eastAsia" w:cs="宋体"/>
          <w:color w:val="auto"/>
          <w:sz w:val="21"/>
          <w:szCs w:val="21"/>
        </w:rPr>
        <w:t>（1）单机无负荷试车费用由</w:t>
      </w:r>
      <w:r>
        <w:rPr>
          <w:rFonts w:hint="eastAsia" w:cs="宋体"/>
          <w:color w:val="auto"/>
          <w:sz w:val="21"/>
          <w:szCs w:val="21"/>
          <w:u w:val="single"/>
        </w:rPr>
        <w:t>试车消耗的生产性原材料由发包人承担；试车其他费用（包括试车所需水电油等费用）由承包人在投标报价中综合考虑并</w:t>
      </w:r>
      <w:r>
        <w:rPr>
          <w:rFonts w:hint="eastAsia" w:cs="宋体"/>
          <w:color w:val="auto"/>
          <w:sz w:val="21"/>
          <w:szCs w:val="21"/>
        </w:rPr>
        <w:t>承担；</w:t>
      </w:r>
    </w:p>
    <w:p w14:paraId="769EAC19">
      <w:pPr>
        <w:adjustRightInd w:val="0"/>
        <w:snapToGrid w:val="0"/>
        <w:spacing w:line="360" w:lineRule="auto"/>
        <w:ind w:firstLine="420" w:firstLineChars="200"/>
        <w:rPr>
          <w:rFonts w:cs="宋体"/>
          <w:color w:val="auto"/>
          <w:sz w:val="21"/>
          <w:szCs w:val="21"/>
        </w:rPr>
      </w:pPr>
      <w:r>
        <w:rPr>
          <w:rFonts w:hint="eastAsia" w:cs="宋体"/>
          <w:color w:val="auto"/>
          <w:sz w:val="21"/>
          <w:szCs w:val="21"/>
        </w:rPr>
        <w:t>（2）无负荷联动试车费用由</w:t>
      </w:r>
      <w:r>
        <w:rPr>
          <w:rFonts w:hint="eastAsia" w:cs="宋体"/>
          <w:color w:val="auto"/>
          <w:sz w:val="21"/>
          <w:szCs w:val="21"/>
          <w:u w:val="single"/>
        </w:rPr>
        <w:t>试车消耗的生产性原材料由发包人承担；试车其他费用（包括试车所需水电油等费用）由承包人在投标报价中综合考虑并</w:t>
      </w:r>
      <w:r>
        <w:rPr>
          <w:rFonts w:hint="eastAsia" w:cs="宋体"/>
          <w:color w:val="auto"/>
          <w:sz w:val="21"/>
          <w:szCs w:val="21"/>
        </w:rPr>
        <w:t>承担。</w:t>
      </w:r>
    </w:p>
    <w:p w14:paraId="534EA090">
      <w:pPr>
        <w:adjustRightInd w:val="0"/>
        <w:snapToGrid w:val="0"/>
        <w:spacing w:line="360" w:lineRule="auto"/>
        <w:ind w:firstLine="420" w:firstLineChars="200"/>
        <w:rPr>
          <w:rFonts w:cs="宋体"/>
          <w:color w:val="auto"/>
          <w:sz w:val="21"/>
          <w:szCs w:val="21"/>
        </w:rPr>
      </w:pPr>
      <w:r>
        <w:rPr>
          <w:rFonts w:hint="eastAsia" w:cs="宋体"/>
          <w:color w:val="auto"/>
          <w:sz w:val="21"/>
          <w:szCs w:val="21"/>
        </w:rPr>
        <w:t>13.3.3 投料试车</w:t>
      </w:r>
    </w:p>
    <w:p w14:paraId="3C10E61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关于投料试车相关事项的约定：</w:t>
      </w:r>
      <w:r>
        <w:rPr>
          <w:rFonts w:hint="eastAsia" w:cs="宋体"/>
          <w:color w:val="auto"/>
          <w:sz w:val="21"/>
          <w:szCs w:val="21"/>
          <w:u w:val="single"/>
        </w:rPr>
        <w:t>执行通用条款</w:t>
      </w:r>
      <w:r>
        <w:rPr>
          <w:rFonts w:hint="eastAsia" w:cs="宋体"/>
          <w:color w:val="auto"/>
          <w:sz w:val="21"/>
          <w:szCs w:val="21"/>
        </w:rPr>
        <w:t>。</w:t>
      </w:r>
    </w:p>
    <w:p w14:paraId="19082F1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13.6 </w:t>
      </w:r>
      <w:r>
        <w:rPr>
          <w:rFonts w:hint="eastAsia" w:cs="宋体"/>
          <w:bCs/>
          <w:color w:val="auto"/>
          <w:sz w:val="21"/>
          <w:szCs w:val="21"/>
          <w:lang w:val="en-US" w:eastAsia="zh-CN"/>
        </w:rPr>
        <w:t>完工</w:t>
      </w:r>
      <w:r>
        <w:rPr>
          <w:rFonts w:hint="eastAsia" w:cs="宋体"/>
          <w:bCs/>
          <w:color w:val="auto"/>
          <w:sz w:val="21"/>
          <w:szCs w:val="21"/>
        </w:rPr>
        <w:t>退场</w:t>
      </w:r>
    </w:p>
    <w:p w14:paraId="54B19DF1">
      <w:pPr>
        <w:adjustRightInd w:val="0"/>
        <w:snapToGrid w:val="0"/>
        <w:spacing w:line="360" w:lineRule="auto"/>
        <w:ind w:firstLine="420" w:firstLineChars="200"/>
        <w:rPr>
          <w:rFonts w:cs="宋体"/>
          <w:color w:val="auto"/>
          <w:sz w:val="21"/>
          <w:szCs w:val="21"/>
        </w:rPr>
      </w:pPr>
      <w:r>
        <w:rPr>
          <w:rFonts w:hint="eastAsia" w:cs="宋体"/>
          <w:color w:val="auto"/>
          <w:sz w:val="21"/>
          <w:szCs w:val="21"/>
        </w:rPr>
        <w:t xml:space="preserve">13.6.1 </w:t>
      </w:r>
      <w:r>
        <w:rPr>
          <w:rFonts w:hint="eastAsia" w:cs="宋体"/>
          <w:color w:val="auto"/>
          <w:sz w:val="21"/>
          <w:szCs w:val="21"/>
          <w:lang w:eastAsia="zh-CN"/>
        </w:rPr>
        <w:t>完工</w:t>
      </w:r>
      <w:r>
        <w:rPr>
          <w:rFonts w:hint="eastAsia" w:cs="宋体"/>
          <w:color w:val="auto"/>
          <w:sz w:val="21"/>
          <w:szCs w:val="21"/>
        </w:rPr>
        <w:t>退场</w:t>
      </w:r>
    </w:p>
    <w:p w14:paraId="597D9483">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承包人完成</w:t>
      </w:r>
      <w:r>
        <w:rPr>
          <w:rFonts w:hint="eastAsia" w:cs="宋体"/>
          <w:color w:val="auto"/>
          <w:sz w:val="21"/>
          <w:szCs w:val="21"/>
          <w:lang w:eastAsia="zh-CN"/>
        </w:rPr>
        <w:t>完工</w:t>
      </w:r>
      <w:r>
        <w:rPr>
          <w:rFonts w:hint="eastAsia" w:cs="宋体"/>
          <w:color w:val="auto"/>
          <w:sz w:val="21"/>
          <w:szCs w:val="21"/>
        </w:rPr>
        <w:t>退场的期限：</w:t>
      </w:r>
      <w:r>
        <w:rPr>
          <w:rFonts w:hint="eastAsia" w:cs="宋体"/>
          <w:color w:val="auto"/>
          <w:sz w:val="21"/>
          <w:szCs w:val="21"/>
          <w:u w:val="single"/>
        </w:rPr>
        <w:t xml:space="preserve">  </w:t>
      </w:r>
      <w:r>
        <w:rPr>
          <w:rFonts w:hint="eastAsia" w:cs="宋体"/>
          <w:color w:val="auto"/>
          <w:sz w:val="21"/>
          <w:szCs w:val="21"/>
          <w:u w:val="single"/>
          <w:lang w:val="en-US" w:eastAsia="zh-CN"/>
        </w:rPr>
        <w:t>10日历天</w:t>
      </w:r>
      <w:r>
        <w:rPr>
          <w:rFonts w:hint="eastAsia" w:cs="宋体"/>
          <w:color w:val="auto"/>
          <w:sz w:val="21"/>
          <w:szCs w:val="21"/>
          <w:u w:val="single"/>
        </w:rPr>
        <w:t xml:space="preserve">  </w:t>
      </w:r>
      <w:r>
        <w:rPr>
          <w:rFonts w:hint="eastAsia" w:cs="宋体"/>
          <w:color w:val="auto"/>
          <w:sz w:val="21"/>
          <w:szCs w:val="21"/>
        </w:rPr>
        <w:t>。</w:t>
      </w:r>
    </w:p>
    <w:p w14:paraId="1C96F53A">
      <w:pPr>
        <w:snapToGrid w:val="0"/>
        <w:spacing w:before="312" w:beforeLines="100" w:after="312" w:afterLines="100" w:line="360" w:lineRule="auto"/>
        <w:outlineLvl w:val="2"/>
        <w:rPr>
          <w:rFonts w:cs="宋体"/>
          <w:color w:val="auto"/>
          <w:sz w:val="21"/>
          <w:szCs w:val="21"/>
        </w:rPr>
      </w:pPr>
      <w:bookmarkStart w:id="639" w:name="_Toc351203646"/>
      <w:r>
        <w:rPr>
          <w:rFonts w:hint="eastAsia" w:cs="宋体"/>
          <w:color w:val="auto"/>
          <w:sz w:val="21"/>
          <w:szCs w:val="21"/>
        </w:rPr>
        <w:t xml:space="preserve">14. </w:t>
      </w:r>
      <w:r>
        <w:rPr>
          <w:rFonts w:hint="eastAsia" w:cs="宋体"/>
          <w:color w:val="auto"/>
          <w:sz w:val="21"/>
          <w:szCs w:val="21"/>
          <w:lang w:eastAsia="zh-CN"/>
        </w:rPr>
        <w:t>完工</w:t>
      </w:r>
      <w:r>
        <w:rPr>
          <w:rFonts w:hint="eastAsia" w:cs="宋体"/>
          <w:color w:val="auto"/>
          <w:sz w:val="21"/>
          <w:szCs w:val="21"/>
        </w:rPr>
        <w:t>结算</w:t>
      </w:r>
      <w:bookmarkEnd w:id="639"/>
    </w:p>
    <w:p w14:paraId="1A598E2A">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14.1 </w:t>
      </w:r>
      <w:r>
        <w:rPr>
          <w:rFonts w:hint="eastAsia" w:cs="宋体"/>
          <w:bCs/>
          <w:color w:val="auto"/>
          <w:sz w:val="21"/>
          <w:szCs w:val="21"/>
          <w:lang w:eastAsia="zh-CN"/>
        </w:rPr>
        <w:t>完工</w:t>
      </w:r>
      <w:r>
        <w:rPr>
          <w:rFonts w:hint="eastAsia" w:cs="宋体"/>
          <w:bCs/>
          <w:color w:val="auto"/>
          <w:sz w:val="21"/>
          <w:szCs w:val="21"/>
        </w:rPr>
        <w:t>结算申请</w:t>
      </w:r>
    </w:p>
    <w:p w14:paraId="7270963A">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w:t>
      </w:r>
      <w:r>
        <w:rPr>
          <w:rFonts w:hint="eastAsia" w:cs="宋体"/>
          <w:color w:val="auto"/>
          <w:sz w:val="21"/>
          <w:szCs w:val="21"/>
          <w:lang w:eastAsia="zh-CN"/>
        </w:rPr>
        <w:t>完工</w:t>
      </w:r>
      <w:r>
        <w:rPr>
          <w:rFonts w:hint="eastAsia" w:cs="宋体"/>
          <w:color w:val="auto"/>
          <w:sz w:val="21"/>
          <w:szCs w:val="21"/>
        </w:rPr>
        <w:t>结算申请单的期限：</w:t>
      </w:r>
      <w:r>
        <w:rPr>
          <w:rFonts w:hint="eastAsia" w:cs="宋体"/>
          <w:color w:val="auto"/>
          <w:sz w:val="21"/>
          <w:szCs w:val="21"/>
          <w:u w:val="single"/>
        </w:rPr>
        <w:t>承包人应在工程</w:t>
      </w:r>
      <w:r>
        <w:rPr>
          <w:rFonts w:hint="eastAsia" w:cs="宋体"/>
          <w:color w:val="auto"/>
          <w:sz w:val="21"/>
          <w:szCs w:val="21"/>
          <w:u w:val="single"/>
          <w:lang w:eastAsia="zh-CN"/>
        </w:rPr>
        <w:t>完工验收</w:t>
      </w:r>
      <w:r>
        <w:rPr>
          <w:rFonts w:hint="eastAsia" w:cs="宋体"/>
          <w:color w:val="auto"/>
          <w:sz w:val="21"/>
          <w:szCs w:val="21"/>
          <w:u w:val="single"/>
        </w:rPr>
        <w:t>合格后28天内</w:t>
      </w:r>
      <w:r>
        <w:rPr>
          <w:rFonts w:hint="eastAsia" w:cs="宋体"/>
          <w:color w:val="auto"/>
          <w:sz w:val="21"/>
          <w:szCs w:val="21"/>
        </w:rPr>
        <w:t>。</w:t>
      </w:r>
    </w:p>
    <w:p w14:paraId="03D44708">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lang w:eastAsia="zh-CN"/>
        </w:rPr>
        <w:t>完工</w:t>
      </w:r>
      <w:r>
        <w:rPr>
          <w:rFonts w:hint="eastAsia" w:cs="宋体"/>
          <w:color w:val="auto"/>
          <w:sz w:val="21"/>
          <w:szCs w:val="21"/>
        </w:rPr>
        <w:t>结算申请单应包括的内容：</w:t>
      </w:r>
      <w:r>
        <w:rPr>
          <w:rFonts w:hint="eastAsia" w:cs="宋体"/>
          <w:color w:val="auto"/>
          <w:sz w:val="21"/>
          <w:szCs w:val="21"/>
          <w:u w:val="single"/>
        </w:rPr>
        <w:t>执行通用条款</w:t>
      </w:r>
      <w:r>
        <w:rPr>
          <w:rFonts w:hint="eastAsia" w:cs="宋体"/>
          <w:color w:val="auto"/>
          <w:sz w:val="21"/>
          <w:szCs w:val="21"/>
        </w:rPr>
        <w:t>。</w:t>
      </w:r>
    </w:p>
    <w:p w14:paraId="299D8312">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 xml:space="preserve">14.2 </w:t>
      </w:r>
      <w:r>
        <w:rPr>
          <w:rFonts w:hint="eastAsia" w:cs="宋体"/>
          <w:bCs/>
          <w:color w:val="auto"/>
          <w:sz w:val="21"/>
          <w:szCs w:val="21"/>
          <w:lang w:eastAsia="zh-CN"/>
        </w:rPr>
        <w:t>完工</w:t>
      </w:r>
      <w:r>
        <w:rPr>
          <w:rFonts w:hint="eastAsia" w:cs="宋体"/>
          <w:bCs/>
          <w:color w:val="auto"/>
          <w:sz w:val="21"/>
          <w:szCs w:val="21"/>
        </w:rPr>
        <w:t>结算审核</w:t>
      </w:r>
    </w:p>
    <w:p w14:paraId="798507E0">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发包人审批</w:t>
      </w:r>
      <w:r>
        <w:rPr>
          <w:rFonts w:hint="eastAsia" w:cs="宋体"/>
          <w:color w:val="auto"/>
          <w:sz w:val="21"/>
          <w:szCs w:val="21"/>
          <w:lang w:eastAsia="zh-CN"/>
        </w:rPr>
        <w:t>完工</w:t>
      </w:r>
      <w:r>
        <w:rPr>
          <w:rFonts w:hint="eastAsia" w:cs="宋体"/>
          <w:color w:val="auto"/>
          <w:sz w:val="21"/>
          <w:szCs w:val="21"/>
        </w:rPr>
        <w:t>付款申请单的期限：</w:t>
      </w:r>
      <w:r>
        <w:rPr>
          <w:rFonts w:hint="eastAsia" w:cs="宋体"/>
          <w:color w:val="auto"/>
          <w:sz w:val="21"/>
          <w:szCs w:val="21"/>
          <w:u w:val="single"/>
        </w:rPr>
        <w:t>发包人应在收到</w:t>
      </w:r>
      <w:r>
        <w:rPr>
          <w:rFonts w:hint="eastAsia" w:cs="宋体"/>
          <w:color w:val="auto"/>
          <w:sz w:val="21"/>
          <w:szCs w:val="21"/>
          <w:u w:val="single"/>
          <w:lang w:val="en-US" w:eastAsia="zh-CN"/>
        </w:rPr>
        <w:t>承包人</w:t>
      </w:r>
      <w:r>
        <w:rPr>
          <w:rFonts w:hint="eastAsia" w:cs="宋体"/>
          <w:color w:val="auto"/>
          <w:sz w:val="21"/>
          <w:szCs w:val="21"/>
          <w:u w:val="single"/>
        </w:rPr>
        <w:t>提交的经审核的</w:t>
      </w:r>
      <w:r>
        <w:rPr>
          <w:rFonts w:hint="eastAsia" w:cs="宋体"/>
          <w:color w:val="auto"/>
          <w:sz w:val="21"/>
          <w:szCs w:val="21"/>
          <w:u w:val="single"/>
          <w:lang w:eastAsia="zh-CN"/>
        </w:rPr>
        <w:t>完工</w:t>
      </w:r>
      <w:r>
        <w:rPr>
          <w:rFonts w:hint="eastAsia" w:cs="宋体"/>
          <w:color w:val="auto"/>
          <w:sz w:val="21"/>
          <w:szCs w:val="21"/>
          <w:u w:val="single"/>
        </w:rPr>
        <w:t>结算申请单后</w:t>
      </w:r>
      <w:r>
        <w:rPr>
          <w:rFonts w:hint="eastAsia" w:cs="宋体"/>
          <w:color w:val="auto"/>
          <w:sz w:val="21"/>
          <w:szCs w:val="21"/>
          <w:u w:val="single"/>
          <w:lang w:val="en-US" w:eastAsia="zh-CN"/>
        </w:rPr>
        <w:t>依据相关法律规定</w:t>
      </w:r>
      <w:r>
        <w:rPr>
          <w:rFonts w:hint="eastAsia" w:cs="宋体"/>
          <w:color w:val="auto"/>
          <w:sz w:val="21"/>
          <w:szCs w:val="21"/>
          <w:u w:val="single"/>
        </w:rPr>
        <w:t>完成审批</w:t>
      </w:r>
      <w:r>
        <w:rPr>
          <w:rFonts w:hint="eastAsia" w:cs="宋体"/>
          <w:color w:val="auto"/>
          <w:sz w:val="21"/>
          <w:szCs w:val="21"/>
        </w:rPr>
        <w:t>。</w:t>
      </w:r>
    </w:p>
    <w:p w14:paraId="26031B99">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发包人完成</w:t>
      </w:r>
      <w:r>
        <w:rPr>
          <w:rFonts w:hint="eastAsia" w:cs="宋体"/>
          <w:color w:val="auto"/>
          <w:sz w:val="21"/>
          <w:szCs w:val="21"/>
          <w:lang w:eastAsia="zh-CN"/>
        </w:rPr>
        <w:t>完工</w:t>
      </w:r>
      <w:r>
        <w:rPr>
          <w:rFonts w:hint="eastAsia" w:cs="宋体"/>
          <w:color w:val="auto"/>
          <w:sz w:val="21"/>
          <w:szCs w:val="21"/>
        </w:rPr>
        <w:t>付款的期限：</w:t>
      </w:r>
      <w:r>
        <w:rPr>
          <w:rFonts w:hint="eastAsia" w:cs="宋体"/>
          <w:color w:val="auto"/>
          <w:sz w:val="21"/>
          <w:szCs w:val="21"/>
          <w:u w:val="single"/>
        </w:rPr>
        <w:t>发包人应在签发</w:t>
      </w:r>
      <w:r>
        <w:rPr>
          <w:rFonts w:hint="eastAsia" w:cs="宋体"/>
          <w:color w:val="auto"/>
          <w:sz w:val="21"/>
          <w:szCs w:val="21"/>
          <w:u w:val="single"/>
          <w:lang w:eastAsia="zh-CN"/>
        </w:rPr>
        <w:t>完工</w:t>
      </w:r>
      <w:r>
        <w:rPr>
          <w:rFonts w:hint="eastAsia" w:cs="宋体"/>
          <w:color w:val="auto"/>
          <w:sz w:val="21"/>
          <w:szCs w:val="21"/>
          <w:u w:val="single"/>
        </w:rPr>
        <w:t>付款证书后</w:t>
      </w:r>
      <w:r>
        <w:rPr>
          <w:rFonts w:hint="eastAsia" w:cs="宋体"/>
          <w:color w:val="auto"/>
          <w:sz w:val="21"/>
          <w:szCs w:val="21"/>
          <w:u w:val="single"/>
          <w:lang w:val="en-US" w:eastAsia="zh-CN"/>
        </w:rPr>
        <w:t>依据相关法律规定</w:t>
      </w:r>
      <w:r>
        <w:rPr>
          <w:rFonts w:hint="eastAsia" w:cs="宋体"/>
          <w:color w:val="auto"/>
          <w:sz w:val="21"/>
          <w:szCs w:val="21"/>
          <w:u w:val="single"/>
        </w:rPr>
        <w:t>，完成对承包人的</w:t>
      </w:r>
      <w:r>
        <w:rPr>
          <w:rFonts w:hint="eastAsia" w:cs="宋体"/>
          <w:color w:val="auto"/>
          <w:sz w:val="21"/>
          <w:szCs w:val="21"/>
          <w:u w:val="single"/>
          <w:lang w:eastAsia="zh-CN"/>
        </w:rPr>
        <w:t>完工</w:t>
      </w:r>
      <w:r>
        <w:rPr>
          <w:rFonts w:hint="eastAsia" w:cs="宋体"/>
          <w:color w:val="auto"/>
          <w:sz w:val="21"/>
          <w:szCs w:val="21"/>
          <w:u w:val="single"/>
        </w:rPr>
        <w:t>付款</w:t>
      </w:r>
      <w:r>
        <w:rPr>
          <w:rFonts w:hint="eastAsia" w:cs="宋体"/>
          <w:color w:val="auto"/>
          <w:sz w:val="21"/>
          <w:szCs w:val="21"/>
        </w:rPr>
        <w:t>。</w:t>
      </w:r>
    </w:p>
    <w:p w14:paraId="545DDFB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关于</w:t>
      </w:r>
      <w:r>
        <w:rPr>
          <w:rFonts w:hint="eastAsia" w:cs="宋体"/>
          <w:color w:val="auto"/>
          <w:sz w:val="21"/>
          <w:szCs w:val="21"/>
          <w:lang w:eastAsia="zh-CN"/>
        </w:rPr>
        <w:t>完工</w:t>
      </w:r>
      <w:r>
        <w:rPr>
          <w:rFonts w:hint="eastAsia" w:cs="宋体"/>
          <w:color w:val="auto"/>
          <w:sz w:val="21"/>
          <w:szCs w:val="21"/>
        </w:rPr>
        <w:t>付款证书异议部分复核的方式和程序：</w:t>
      </w:r>
      <w:r>
        <w:rPr>
          <w:rFonts w:hint="eastAsia" w:cs="宋体"/>
          <w:color w:val="auto"/>
          <w:sz w:val="21"/>
          <w:szCs w:val="21"/>
          <w:u w:val="single"/>
        </w:rPr>
        <w:t>执行通用条款</w:t>
      </w:r>
      <w:r>
        <w:rPr>
          <w:rFonts w:hint="eastAsia" w:cs="宋体"/>
          <w:color w:val="auto"/>
          <w:sz w:val="21"/>
          <w:szCs w:val="21"/>
        </w:rPr>
        <w:t>。</w:t>
      </w:r>
    </w:p>
    <w:p w14:paraId="3D86B63D">
      <w:pPr>
        <w:adjustRightInd w:val="0"/>
        <w:snapToGrid w:val="0"/>
        <w:spacing w:line="360" w:lineRule="auto"/>
        <w:ind w:firstLine="420" w:firstLineChars="200"/>
        <w:rPr>
          <w:rFonts w:cs="宋体"/>
          <w:color w:val="auto"/>
          <w:sz w:val="21"/>
          <w:szCs w:val="21"/>
        </w:rPr>
      </w:pPr>
      <w:r>
        <w:rPr>
          <w:rFonts w:hint="eastAsia" w:cs="宋体"/>
          <w:color w:val="auto"/>
          <w:sz w:val="21"/>
          <w:szCs w:val="21"/>
        </w:rPr>
        <w:t>14.4 最终结清</w:t>
      </w:r>
    </w:p>
    <w:p w14:paraId="1960E254">
      <w:pPr>
        <w:adjustRightInd w:val="0"/>
        <w:snapToGrid w:val="0"/>
        <w:spacing w:line="360" w:lineRule="auto"/>
        <w:ind w:firstLine="420" w:firstLineChars="200"/>
        <w:rPr>
          <w:rFonts w:cs="宋体"/>
          <w:color w:val="auto"/>
          <w:sz w:val="21"/>
          <w:szCs w:val="21"/>
        </w:rPr>
      </w:pPr>
      <w:r>
        <w:rPr>
          <w:rFonts w:hint="eastAsia" w:cs="宋体"/>
          <w:color w:val="auto"/>
          <w:sz w:val="21"/>
          <w:szCs w:val="21"/>
        </w:rPr>
        <w:t>14.4.1 最终结清申请单</w:t>
      </w:r>
    </w:p>
    <w:p w14:paraId="2A0B3FAE">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承包人提交最终结清申请单的份数：</w:t>
      </w:r>
      <w:r>
        <w:rPr>
          <w:rFonts w:hint="eastAsia" w:cs="宋体"/>
          <w:color w:val="auto"/>
          <w:sz w:val="21"/>
          <w:szCs w:val="21"/>
          <w:u w:val="single"/>
        </w:rPr>
        <w:t xml:space="preserve">   </w:t>
      </w:r>
      <w:r>
        <w:rPr>
          <w:rFonts w:hint="eastAsia" w:cs="宋体"/>
          <w:color w:val="auto"/>
          <w:sz w:val="21"/>
          <w:szCs w:val="21"/>
          <w:u w:val="single"/>
          <w:lang w:val="en-US" w:eastAsia="zh-CN"/>
        </w:rPr>
        <w:t>4份</w:t>
      </w:r>
      <w:r>
        <w:rPr>
          <w:rFonts w:hint="eastAsia" w:cs="宋体"/>
          <w:color w:val="auto"/>
          <w:sz w:val="21"/>
          <w:szCs w:val="21"/>
          <w:u w:val="single"/>
        </w:rPr>
        <w:t xml:space="preserve">    </w:t>
      </w:r>
      <w:r>
        <w:rPr>
          <w:rFonts w:hint="eastAsia" w:cs="宋体"/>
          <w:color w:val="auto"/>
          <w:sz w:val="21"/>
          <w:szCs w:val="21"/>
        </w:rPr>
        <w:t>。</w:t>
      </w:r>
    </w:p>
    <w:p w14:paraId="339FDBE4">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承包人提交最终结算申请单的期限：</w:t>
      </w:r>
      <w:r>
        <w:rPr>
          <w:rFonts w:hint="eastAsia" w:cs="宋体"/>
          <w:color w:val="auto"/>
          <w:sz w:val="21"/>
          <w:szCs w:val="21"/>
          <w:u w:val="single"/>
        </w:rPr>
        <w:t>缺陷责任期终止证书颁发后7天内</w:t>
      </w:r>
      <w:r>
        <w:rPr>
          <w:rFonts w:hint="eastAsia" w:cs="宋体"/>
          <w:color w:val="auto"/>
          <w:sz w:val="21"/>
          <w:szCs w:val="21"/>
        </w:rPr>
        <w:t xml:space="preserve">。 </w:t>
      </w:r>
    </w:p>
    <w:p w14:paraId="49208BAB">
      <w:pPr>
        <w:adjustRightInd w:val="0"/>
        <w:snapToGrid w:val="0"/>
        <w:spacing w:line="360" w:lineRule="auto"/>
        <w:ind w:firstLine="420" w:firstLineChars="200"/>
        <w:rPr>
          <w:rFonts w:cs="宋体"/>
          <w:color w:val="auto"/>
          <w:sz w:val="21"/>
          <w:szCs w:val="21"/>
        </w:rPr>
      </w:pPr>
      <w:r>
        <w:rPr>
          <w:rFonts w:hint="eastAsia" w:cs="宋体"/>
          <w:color w:val="auto"/>
          <w:sz w:val="21"/>
          <w:szCs w:val="21"/>
        </w:rPr>
        <w:t>14.4.2 最终结清证书和支付</w:t>
      </w:r>
    </w:p>
    <w:p w14:paraId="62C7B2D1">
      <w:pPr>
        <w:adjustRightInd w:val="0"/>
        <w:snapToGrid w:val="0"/>
        <w:spacing w:line="360" w:lineRule="auto"/>
        <w:ind w:firstLine="420" w:firstLineChars="200"/>
        <w:rPr>
          <w:rFonts w:cs="宋体"/>
          <w:color w:val="auto"/>
          <w:sz w:val="21"/>
          <w:szCs w:val="21"/>
        </w:rPr>
      </w:pPr>
      <w:r>
        <w:rPr>
          <w:rFonts w:hint="eastAsia" w:cs="宋体"/>
          <w:color w:val="auto"/>
          <w:sz w:val="21"/>
          <w:szCs w:val="21"/>
        </w:rPr>
        <w:t>（1）发包人完成最终结清申请单的审批并颁发最终结清证书的期限：</w:t>
      </w:r>
      <w:r>
        <w:rPr>
          <w:rFonts w:hint="eastAsia" w:cs="宋体"/>
          <w:color w:val="auto"/>
          <w:sz w:val="21"/>
          <w:szCs w:val="21"/>
          <w:u w:val="single"/>
        </w:rPr>
        <w:t>收到承包人提交的最终结清申请单后14天内</w:t>
      </w:r>
      <w:r>
        <w:rPr>
          <w:rFonts w:hint="eastAsia" w:cs="宋体"/>
          <w:color w:val="auto"/>
          <w:sz w:val="21"/>
          <w:szCs w:val="21"/>
        </w:rPr>
        <w:t>。</w:t>
      </w:r>
    </w:p>
    <w:p w14:paraId="711350DC">
      <w:pPr>
        <w:adjustRightInd w:val="0"/>
        <w:snapToGrid w:val="0"/>
        <w:spacing w:line="360" w:lineRule="auto"/>
        <w:ind w:firstLine="420" w:firstLineChars="200"/>
        <w:rPr>
          <w:rFonts w:cs="宋体"/>
          <w:color w:val="auto"/>
          <w:sz w:val="21"/>
          <w:szCs w:val="21"/>
        </w:rPr>
      </w:pPr>
      <w:r>
        <w:rPr>
          <w:rFonts w:hint="eastAsia" w:cs="宋体"/>
          <w:color w:val="auto"/>
          <w:sz w:val="21"/>
          <w:szCs w:val="21"/>
        </w:rPr>
        <w:t>（2）发包人完成支付的期限：</w:t>
      </w:r>
      <w:r>
        <w:rPr>
          <w:rFonts w:hint="eastAsia" w:cs="宋体"/>
          <w:color w:val="auto"/>
          <w:sz w:val="21"/>
          <w:szCs w:val="21"/>
          <w:u w:val="single"/>
        </w:rPr>
        <w:t>颁发最终结清证书后7天内完成支付</w:t>
      </w:r>
      <w:r>
        <w:rPr>
          <w:rFonts w:hint="eastAsia" w:cs="宋体"/>
          <w:color w:val="auto"/>
          <w:sz w:val="21"/>
          <w:szCs w:val="21"/>
        </w:rPr>
        <w:t>。</w:t>
      </w:r>
    </w:p>
    <w:bookmarkEnd w:id="626"/>
    <w:bookmarkEnd w:id="627"/>
    <w:bookmarkEnd w:id="628"/>
    <w:bookmarkEnd w:id="629"/>
    <w:bookmarkEnd w:id="630"/>
    <w:bookmarkEnd w:id="631"/>
    <w:bookmarkEnd w:id="632"/>
    <w:bookmarkEnd w:id="638"/>
    <w:p w14:paraId="3581307A">
      <w:pPr>
        <w:snapToGrid w:val="0"/>
        <w:spacing w:before="312" w:beforeLines="100" w:after="312" w:afterLines="100" w:line="360" w:lineRule="auto"/>
        <w:outlineLvl w:val="2"/>
        <w:rPr>
          <w:rFonts w:cs="宋体"/>
          <w:color w:val="auto"/>
          <w:sz w:val="21"/>
          <w:szCs w:val="21"/>
        </w:rPr>
      </w:pPr>
      <w:bookmarkStart w:id="640" w:name="_Toc351203647"/>
      <w:bookmarkStart w:id="641" w:name="_Toc267251483"/>
      <w:bookmarkStart w:id="642" w:name="_Toc267251484"/>
      <w:bookmarkStart w:id="643" w:name="_Toc267251482"/>
      <w:bookmarkStart w:id="644" w:name="_Toc267251485"/>
      <w:bookmarkStart w:id="645" w:name="_Toc267251488"/>
      <w:bookmarkStart w:id="646" w:name="_Toc267251489"/>
      <w:bookmarkStart w:id="647" w:name="_Toc267251486"/>
      <w:bookmarkStart w:id="648" w:name="_Toc267251490"/>
      <w:bookmarkStart w:id="649" w:name="_Toc267251499"/>
      <w:bookmarkStart w:id="650" w:name="_Toc267251491"/>
      <w:bookmarkStart w:id="651" w:name="_Toc267251498"/>
      <w:bookmarkStart w:id="652" w:name="_Toc267251503"/>
      <w:bookmarkStart w:id="653" w:name="_Toc267251497"/>
      <w:bookmarkStart w:id="654" w:name="_Toc267251501"/>
      <w:bookmarkStart w:id="655" w:name="_Toc267251496"/>
      <w:bookmarkStart w:id="656" w:name="_Toc267251492"/>
      <w:bookmarkStart w:id="657" w:name="_Toc267251494"/>
      <w:bookmarkStart w:id="658" w:name="_Toc267251502"/>
      <w:bookmarkStart w:id="659" w:name="_Toc267251493"/>
      <w:bookmarkStart w:id="660" w:name="_Toc267251495"/>
      <w:bookmarkStart w:id="661" w:name="_Toc267251504"/>
      <w:bookmarkStart w:id="662" w:name="_Toc267251506"/>
      <w:bookmarkStart w:id="663" w:name="_Toc267251507"/>
      <w:bookmarkStart w:id="664" w:name="_Toc267251508"/>
      <w:bookmarkStart w:id="665" w:name="_Toc267251514"/>
      <w:bookmarkStart w:id="666" w:name="_Toc267251515"/>
      <w:bookmarkStart w:id="667" w:name="_Toc267251510"/>
      <w:bookmarkStart w:id="668" w:name="_Toc267251509"/>
      <w:bookmarkStart w:id="669" w:name="_Toc267251513"/>
      <w:bookmarkStart w:id="670" w:name="_Toc267251511"/>
      <w:r>
        <w:rPr>
          <w:rFonts w:hint="eastAsia" w:cs="宋体"/>
          <w:color w:val="auto"/>
          <w:sz w:val="21"/>
          <w:szCs w:val="21"/>
        </w:rPr>
        <w:t>15. 缺陷责任期与保修</w:t>
      </w:r>
      <w:bookmarkEnd w:id="640"/>
    </w:p>
    <w:p w14:paraId="09EA1106">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15.2 缺陷责任期</w:t>
      </w:r>
      <w:bookmarkEnd w:id="641"/>
    </w:p>
    <w:p w14:paraId="5C614BCF">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缺陷责任期的具体期限：</w:t>
      </w:r>
      <w:r>
        <w:rPr>
          <w:rFonts w:hint="eastAsia" w:cs="宋体"/>
          <w:color w:val="auto"/>
          <w:sz w:val="21"/>
          <w:szCs w:val="21"/>
          <w:u w:val="single"/>
        </w:rPr>
        <w:t>见《专用合同条款数据表》</w:t>
      </w:r>
      <w:r>
        <w:rPr>
          <w:rFonts w:hint="eastAsia" w:cs="宋体"/>
          <w:color w:val="auto"/>
          <w:sz w:val="21"/>
          <w:szCs w:val="21"/>
        </w:rPr>
        <w:t>。</w:t>
      </w:r>
    </w:p>
    <w:p w14:paraId="07D9853F">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15.3 质量保证金</w:t>
      </w:r>
    </w:p>
    <w:p w14:paraId="7E804AC0">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关于是否扣留质量保证金的约定：</w:t>
      </w:r>
      <w:r>
        <w:rPr>
          <w:rFonts w:hint="eastAsia" w:cs="宋体"/>
          <w:color w:val="auto"/>
          <w:sz w:val="21"/>
          <w:szCs w:val="21"/>
          <w:u w:val="single"/>
        </w:rPr>
        <w:t xml:space="preserve">  见《专用合同条款数据表》 </w:t>
      </w:r>
      <w:r>
        <w:rPr>
          <w:rFonts w:hint="eastAsia" w:cs="宋体"/>
          <w:color w:val="auto"/>
          <w:sz w:val="21"/>
          <w:szCs w:val="21"/>
        </w:rPr>
        <w:t>。在工程项目</w:t>
      </w:r>
      <w:r>
        <w:rPr>
          <w:rFonts w:hint="eastAsia" w:cs="宋体"/>
          <w:color w:val="auto"/>
          <w:sz w:val="21"/>
          <w:szCs w:val="21"/>
          <w:lang w:eastAsia="zh-CN"/>
        </w:rPr>
        <w:t>完工</w:t>
      </w:r>
      <w:r>
        <w:rPr>
          <w:rFonts w:hint="eastAsia" w:cs="宋体"/>
          <w:color w:val="auto"/>
          <w:sz w:val="21"/>
          <w:szCs w:val="21"/>
        </w:rPr>
        <w:t>前，承包人按专用合同条款第3.7款提供履约保证金的，发包人不得同时预留工程质量保证金。</w:t>
      </w:r>
    </w:p>
    <w:p w14:paraId="7096EA39">
      <w:pPr>
        <w:adjustRightInd w:val="0"/>
        <w:snapToGrid w:val="0"/>
        <w:spacing w:line="360" w:lineRule="auto"/>
        <w:ind w:firstLine="420" w:firstLineChars="200"/>
        <w:rPr>
          <w:rFonts w:cs="宋体"/>
          <w:color w:val="auto"/>
          <w:sz w:val="21"/>
          <w:szCs w:val="21"/>
        </w:rPr>
      </w:pPr>
      <w:r>
        <w:rPr>
          <w:rFonts w:hint="eastAsia" w:cs="宋体"/>
          <w:color w:val="auto"/>
          <w:sz w:val="21"/>
          <w:szCs w:val="21"/>
        </w:rPr>
        <w:t>15.3.1 承包人提供质量保证金的方式</w:t>
      </w:r>
    </w:p>
    <w:p w14:paraId="29F5C699">
      <w:pPr>
        <w:adjustRightInd w:val="0"/>
        <w:snapToGrid w:val="0"/>
        <w:spacing w:line="360" w:lineRule="auto"/>
        <w:ind w:firstLine="420" w:firstLineChars="200"/>
        <w:rPr>
          <w:rFonts w:cs="宋体"/>
          <w:color w:val="auto"/>
          <w:sz w:val="21"/>
          <w:szCs w:val="21"/>
        </w:rPr>
      </w:pPr>
      <w:r>
        <w:rPr>
          <w:rFonts w:hint="eastAsia" w:cs="宋体"/>
          <w:color w:val="auto"/>
          <w:sz w:val="21"/>
          <w:szCs w:val="21"/>
        </w:rPr>
        <w:t>质量保证金可采用以下任意一种方式：</w:t>
      </w:r>
    </w:p>
    <w:p w14:paraId="6D920182">
      <w:pPr>
        <w:adjustRightInd w:val="0"/>
        <w:snapToGrid w:val="0"/>
        <w:spacing w:line="360" w:lineRule="auto"/>
        <w:ind w:firstLine="420" w:firstLineChars="200"/>
        <w:rPr>
          <w:rFonts w:cs="宋体"/>
          <w:color w:val="auto"/>
          <w:sz w:val="21"/>
          <w:szCs w:val="21"/>
        </w:rPr>
      </w:pPr>
      <w:r>
        <w:rPr>
          <w:rFonts w:hint="eastAsia" w:cs="宋体"/>
          <w:color w:val="auto"/>
          <w:sz w:val="21"/>
          <w:szCs w:val="21"/>
        </w:rPr>
        <w:t>（1）由银行业金融机构、工程担保公司、保险机构出具银行保函、工程质量保险等担保方式，担保/保证金额为：</w:t>
      </w:r>
      <w:r>
        <w:rPr>
          <w:rFonts w:hint="eastAsia" w:cs="宋体"/>
          <w:color w:val="auto"/>
          <w:sz w:val="21"/>
          <w:szCs w:val="21"/>
          <w:u w:val="single"/>
        </w:rPr>
        <w:t>见《专用合同条款数据表》</w:t>
      </w:r>
      <w:r>
        <w:rPr>
          <w:rFonts w:hint="eastAsia" w:cs="宋体"/>
          <w:color w:val="auto"/>
          <w:sz w:val="21"/>
          <w:szCs w:val="21"/>
        </w:rPr>
        <w:t>；</w:t>
      </w:r>
    </w:p>
    <w:p w14:paraId="7D8617D8">
      <w:pPr>
        <w:adjustRightInd w:val="0"/>
        <w:snapToGrid w:val="0"/>
        <w:spacing w:line="360" w:lineRule="auto"/>
        <w:ind w:firstLine="420" w:firstLineChars="200"/>
        <w:rPr>
          <w:rFonts w:cs="宋体"/>
          <w:color w:val="auto"/>
          <w:sz w:val="21"/>
          <w:szCs w:val="21"/>
        </w:rPr>
      </w:pPr>
      <w:r>
        <w:rPr>
          <w:rFonts w:hint="eastAsia" w:cs="宋体"/>
          <w:color w:val="auto"/>
          <w:sz w:val="21"/>
          <w:szCs w:val="21"/>
        </w:rPr>
        <w:t>（2）</w:t>
      </w:r>
      <w:r>
        <w:rPr>
          <w:rFonts w:hint="eastAsia" w:cs="宋体"/>
          <w:color w:val="auto"/>
          <w:sz w:val="21"/>
          <w:szCs w:val="21"/>
          <w:u w:val="single"/>
        </w:rPr>
        <w:t>见《专用合同条款数据表》</w:t>
      </w:r>
      <w:r>
        <w:rPr>
          <w:rFonts w:hint="eastAsia" w:cs="宋体"/>
          <w:color w:val="auto"/>
          <w:sz w:val="21"/>
          <w:szCs w:val="21"/>
        </w:rPr>
        <w:t>；</w:t>
      </w:r>
    </w:p>
    <w:p w14:paraId="5F55CCB2">
      <w:pPr>
        <w:adjustRightInd w:val="0"/>
        <w:snapToGrid w:val="0"/>
        <w:spacing w:line="360" w:lineRule="auto"/>
        <w:ind w:firstLine="420" w:firstLineChars="200"/>
        <w:rPr>
          <w:rFonts w:cs="宋体"/>
          <w:color w:val="auto"/>
          <w:sz w:val="21"/>
          <w:szCs w:val="21"/>
        </w:rPr>
      </w:pPr>
      <w:r>
        <w:rPr>
          <w:rFonts w:hint="eastAsia" w:cs="宋体"/>
          <w:color w:val="auto"/>
          <w:sz w:val="21"/>
          <w:szCs w:val="21"/>
        </w:rPr>
        <w:t>（3）其他方式：</w:t>
      </w:r>
      <w:r>
        <w:rPr>
          <w:rFonts w:hint="eastAsia" w:cs="宋体"/>
          <w:color w:val="auto"/>
          <w:sz w:val="21"/>
          <w:szCs w:val="21"/>
          <w:u w:val="single"/>
        </w:rPr>
        <w:t>见《专用合同条款数据表》</w:t>
      </w:r>
      <w:r>
        <w:rPr>
          <w:rFonts w:hint="eastAsia" w:cs="宋体"/>
          <w:color w:val="auto"/>
          <w:sz w:val="21"/>
          <w:szCs w:val="21"/>
        </w:rPr>
        <w:t>。</w:t>
      </w:r>
    </w:p>
    <w:p w14:paraId="1A26DBE9">
      <w:pPr>
        <w:adjustRightInd w:val="0"/>
        <w:snapToGrid w:val="0"/>
        <w:spacing w:line="360" w:lineRule="auto"/>
        <w:ind w:firstLine="420" w:firstLineChars="200"/>
        <w:rPr>
          <w:rFonts w:hint="eastAsia" w:eastAsia="宋体" w:cs="宋体"/>
          <w:color w:val="auto"/>
          <w:sz w:val="21"/>
          <w:szCs w:val="21"/>
          <w:lang w:eastAsia="zh-CN"/>
        </w:rPr>
      </w:pPr>
      <w:r>
        <w:rPr>
          <w:rFonts w:hint="eastAsia" w:cs="宋体"/>
          <w:color w:val="auto"/>
          <w:sz w:val="21"/>
          <w:szCs w:val="21"/>
        </w:rPr>
        <w:t xml:space="preserve">15.3.2 质量保证金的扣留 </w:t>
      </w:r>
      <w:r>
        <w:rPr>
          <w:rFonts w:hint="eastAsia" w:cs="宋体"/>
          <w:color w:val="auto"/>
          <w:sz w:val="21"/>
          <w:szCs w:val="21"/>
          <w:lang w:eastAsia="zh-CN"/>
        </w:rPr>
        <w:t>：</w:t>
      </w:r>
      <w:r>
        <w:rPr>
          <w:rFonts w:hint="eastAsia" w:cs="宋体"/>
          <w:color w:val="auto"/>
          <w:sz w:val="21"/>
          <w:szCs w:val="21"/>
          <w:u w:val="single"/>
          <w:lang w:val="en-US" w:eastAsia="zh-CN"/>
        </w:rPr>
        <w:t>见合同专用条款</w:t>
      </w:r>
    </w:p>
    <w:p w14:paraId="0B76191B">
      <w:pPr>
        <w:adjustRightInd w:val="0"/>
        <w:snapToGrid w:val="0"/>
        <w:spacing w:line="360" w:lineRule="auto"/>
        <w:ind w:firstLine="420" w:firstLineChars="200"/>
        <w:rPr>
          <w:rFonts w:cs="宋体"/>
          <w:color w:val="auto"/>
          <w:sz w:val="21"/>
          <w:szCs w:val="21"/>
        </w:rPr>
      </w:pPr>
      <w:r>
        <w:rPr>
          <w:rFonts w:hint="eastAsia" w:cs="宋体"/>
          <w:color w:val="auto"/>
          <w:sz w:val="21"/>
          <w:szCs w:val="21"/>
        </w:rPr>
        <w:t>质量保证金的扣留采取以下第</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rPr>
        <w:t>种方式：</w:t>
      </w:r>
    </w:p>
    <w:p w14:paraId="5ABC5B33">
      <w:pPr>
        <w:adjustRightInd w:val="0"/>
        <w:snapToGrid w:val="0"/>
        <w:spacing w:line="360" w:lineRule="auto"/>
        <w:ind w:firstLine="420" w:firstLineChars="200"/>
        <w:rPr>
          <w:rFonts w:cs="宋体"/>
          <w:color w:val="auto"/>
          <w:sz w:val="21"/>
          <w:szCs w:val="21"/>
        </w:rPr>
      </w:pPr>
      <w:r>
        <w:rPr>
          <w:rFonts w:hint="eastAsia" w:cs="宋体"/>
          <w:color w:val="auto"/>
          <w:sz w:val="21"/>
          <w:szCs w:val="21"/>
        </w:rPr>
        <w:t>（1）在支付工程进度款时逐次扣留，在此情形下，质量保证金的计算基数不包括预付款的支付、扣回以及价格调整的金额；</w:t>
      </w:r>
    </w:p>
    <w:p w14:paraId="7CA2A133">
      <w:pPr>
        <w:adjustRightInd w:val="0"/>
        <w:snapToGrid w:val="0"/>
        <w:spacing w:line="360" w:lineRule="auto"/>
        <w:ind w:firstLine="420" w:firstLineChars="200"/>
        <w:rPr>
          <w:rFonts w:cs="宋体"/>
          <w:color w:val="auto"/>
          <w:sz w:val="21"/>
          <w:szCs w:val="21"/>
        </w:rPr>
      </w:pPr>
      <w:r>
        <w:rPr>
          <w:rFonts w:hint="eastAsia" w:cs="宋体"/>
          <w:color w:val="auto"/>
          <w:sz w:val="21"/>
          <w:szCs w:val="21"/>
        </w:rPr>
        <w:t>（2）工程</w:t>
      </w:r>
      <w:r>
        <w:rPr>
          <w:rFonts w:hint="eastAsia" w:cs="宋体"/>
          <w:color w:val="auto"/>
          <w:sz w:val="21"/>
          <w:szCs w:val="21"/>
          <w:lang w:eastAsia="zh-CN"/>
        </w:rPr>
        <w:t>完工</w:t>
      </w:r>
      <w:r>
        <w:rPr>
          <w:rFonts w:hint="eastAsia" w:cs="宋体"/>
          <w:color w:val="auto"/>
          <w:sz w:val="21"/>
          <w:szCs w:val="21"/>
        </w:rPr>
        <w:t>结算时一次性扣留质量保证金；</w:t>
      </w:r>
    </w:p>
    <w:p w14:paraId="13AD67DA">
      <w:pPr>
        <w:adjustRightInd w:val="0"/>
        <w:snapToGrid w:val="0"/>
        <w:spacing w:line="360" w:lineRule="auto"/>
        <w:ind w:firstLine="420" w:firstLineChars="200"/>
        <w:rPr>
          <w:rFonts w:cs="宋体"/>
          <w:color w:val="auto"/>
          <w:sz w:val="21"/>
          <w:szCs w:val="21"/>
        </w:rPr>
      </w:pPr>
      <w:r>
        <w:rPr>
          <w:rFonts w:hint="eastAsia" w:cs="宋体"/>
          <w:color w:val="auto"/>
          <w:sz w:val="21"/>
          <w:szCs w:val="21"/>
        </w:rPr>
        <w:t>（3）其他扣留方式：</w:t>
      </w:r>
      <w:r>
        <w:rPr>
          <w:rFonts w:hint="eastAsia" w:cs="宋体"/>
          <w:color w:val="auto"/>
          <w:sz w:val="21"/>
          <w:szCs w:val="21"/>
          <w:u w:val="single"/>
        </w:rPr>
        <w:t xml:space="preserve"> </w:t>
      </w:r>
      <w:r>
        <w:rPr>
          <w:rFonts w:hint="eastAsia" w:cs="宋体"/>
          <w:color w:val="auto"/>
          <w:sz w:val="21"/>
          <w:szCs w:val="21"/>
          <w:u w:val="single"/>
          <w:lang w:val="en-US" w:eastAsia="zh-CN"/>
        </w:rPr>
        <w:t>见合同专用条款</w:t>
      </w:r>
      <w:r>
        <w:rPr>
          <w:rFonts w:hint="eastAsia" w:cs="宋体"/>
          <w:color w:val="auto"/>
          <w:sz w:val="21"/>
          <w:szCs w:val="21"/>
          <w:u w:val="single"/>
        </w:rPr>
        <w:t xml:space="preserve"> </w:t>
      </w:r>
      <w:r>
        <w:rPr>
          <w:rFonts w:hint="eastAsia" w:cs="宋体"/>
          <w:color w:val="auto"/>
          <w:sz w:val="21"/>
          <w:szCs w:val="21"/>
        </w:rPr>
        <w:t>。</w:t>
      </w:r>
    </w:p>
    <w:p w14:paraId="39E7F086">
      <w:pPr>
        <w:adjustRightInd w:val="0"/>
        <w:snapToGrid w:val="0"/>
        <w:spacing w:line="360" w:lineRule="auto"/>
        <w:ind w:firstLine="420" w:firstLineChars="200"/>
        <w:rPr>
          <w:rFonts w:cs="宋体"/>
          <w:color w:val="auto"/>
          <w:sz w:val="21"/>
          <w:szCs w:val="21"/>
        </w:rPr>
      </w:pPr>
      <w:r>
        <w:rPr>
          <w:rFonts w:hint="eastAsia" w:cs="宋体"/>
          <w:color w:val="auto"/>
          <w:sz w:val="21"/>
          <w:szCs w:val="21"/>
        </w:rPr>
        <w:t>关于质量保证金的补充约定：</w:t>
      </w:r>
    </w:p>
    <w:p w14:paraId="1730DB7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u w:val="single"/>
        </w:rPr>
        <w:t>①在工程项目</w:t>
      </w:r>
      <w:r>
        <w:rPr>
          <w:rFonts w:hint="eastAsia" w:cs="宋体"/>
          <w:color w:val="auto"/>
          <w:sz w:val="21"/>
          <w:szCs w:val="21"/>
          <w:u w:val="single"/>
          <w:lang w:eastAsia="zh-CN"/>
        </w:rPr>
        <w:t>完工</w:t>
      </w:r>
      <w:r>
        <w:rPr>
          <w:rFonts w:hint="eastAsia" w:cs="宋体"/>
          <w:color w:val="auto"/>
          <w:sz w:val="21"/>
          <w:szCs w:val="21"/>
          <w:u w:val="single"/>
        </w:rPr>
        <w:t>前，承包人按专用合同条款第3.7款提供履约保证金的，可在工程进入缺陷责任期时按照多退少补原则转为质量保证金；</w:t>
      </w:r>
    </w:p>
    <w:p w14:paraId="27257B63">
      <w:pPr>
        <w:adjustRightInd w:val="0"/>
        <w:snapToGrid w:val="0"/>
        <w:spacing w:line="360" w:lineRule="auto"/>
        <w:ind w:firstLine="420" w:firstLineChars="200"/>
        <w:rPr>
          <w:rFonts w:cs="宋体"/>
          <w:color w:val="auto"/>
          <w:sz w:val="21"/>
          <w:szCs w:val="21"/>
        </w:rPr>
      </w:pPr>
      <w:r>
        <w:rPr>
          <w:rFonts w:hint="eastAsia" w:cs="宋体"/>
          <w:color w:val="auto"/>
          <w:sz w:val="21"/>
          <w:szCs w:val="21"/>
          <w:u w:val="single"/>
        </w:rPr>
        <w:t>②……</w:t>
      </w:r>
      <w:r>
        <w:rPr>
          <w:rFonts w:hint="eastAsia" w:cs="宋体"/>
          <w:color w:val="auto"/>
          <w:sz w:val="21"/>
          <w:szCs w:val="21"/>
        </w:rPr>
        <w:t>。</w:t>
      </w:r>
    </w:p>
    <w:bookmarkEnd w:id="642"/>
    <w:bookmarkEnd w:id="643"/>
    <w:p w14:paraId="5A8A675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15.4 保修</w:t>
      </w:r>
    </w:p>
    <w:bookmarkEnd w:id="644"/>
    <w:p w14:paraId="50F76DEF">
      <w:pPr>
        <w:adjustRightInd w:val="0"/>
        <w:snapToGrid w:val="0"/>
        <w:spacing w:line="360" w:lineRule="auto"/>
        <w:ind w:firstLine="420" w:firstLineChars="200"/>
        <w:rPr>
          <w:rFonts w:cs="宋体"/>
          <w:color w:val="auto"/>
          <w:sz w:val="21"/>
          <w:szCs w:val="21"/>
        </w:rPr>
      </w:pPr>
      <w:r>
        <w:rPr>
          <w:rFonts w:hint="eastAsia" w:cs="宋体"/>
          <w:color w:val="auto"/>
          <w:sz w:val="21"/>
          <w:szCs w:val="21"/>
        </w:rPr>
        <w:t>15.4.1 保修责任</w:t>
      </w:r>
    </w:p>
    <w:p w14:paraId="1306E465">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工程保修期为：</w:t>
      </w:r>
      <w:r>
        <w:rPr>
          <w:rFonts w:hint="eastAsia" w:cs="宋体"/>
          <w:color w:val="auto"/>
          <w:sz w:val="21"/>
          <w:szCs w:val="21"/>
          <w:u w:val="single"/>
        </w:rPr>
        <w:t>执行《工程质量保修书》规定</w:t>
      </w:r>
      <w:r>
        <w:rPr>
          <w:rFonts w:hint="eastAsia" w:cs="宋体"/>
          <w:color w:val="auto"/>
          <w:sz w:val="21"/>
          <w:szCs w:val="21"/>
        </w:rPr>
        <w:t>。</w:t>
      </w:r>
    </w:p>
    <w:p w14:paraId="50386B92">
      <w:pPr>
        <w:adjustRightInd w:val="0"/>
        <w:snapToGrid w:val="0"/>
        <w:spacing w:line="360" w:lineRule="auto"/>
        <w:ind w:firstLine="420" w:firstLineChars="200"/>
        <w:rPr>
          <w:rFonts w:cs="宋体"/>
          <w:color w:val="auto"/>
          <w:sz w:val="21"/>
          <w:szCs w:val="21"/>
        </w:rPr>
      </w:pPr>
      <w:r>
        <w:rPr>
          <w:rFonts w:hint="eastAsia" w:cs="宋体"/>
          <w:color w:val="auto"/>
          <w:sz w:val="21"/>
          <w:szCs w:val="21"/>
        </w:rPr>
        <w:t>15.4.3 修复通知</w:t>
      </w:r>
    </w:p>
    <w:p w14:paraId="015B28DB">
      <w:pPr>
        <w:adjustRightInd w:val="0"/>
        <w:snapToGrid w:val="0"/>
        <w:spacing w:line="360" w:lineRule="auto"/>
        <w:ind w:firstLine="420" w:firstLineChars="200"/>
        <w:rPr>
          <w:rFonts w:cs="宋体"/>
          <w:b/>
          <w:bCs/>
          <w:color w:val="auto"/>
          <w:sz w:val="21"/>
          <w:szCs w:val="21"/>
          <w:u w:val="single"/>
        </w:rPr>
      </w:pPr>
      <w:r>
        <w:rPr>
          <w:rFonts w:hint="eastAsia" w:cs="宋体"/>
          <w:color w:val="auto"/>
          <w:sz w:val="21"/>
          <w:szCs w:val="21"/>
        </w:rPr>
        <w:t>承包人收到保修通知并到达工程现场的合理时间：</w:t>
      </w:r>
      <w:r>
        <w:rPr>
          <w:rFonts w:hint="eastAsia" w:cs="宋体"/>
          <w:color w:val="auto"/>
          <w:sz w:val="21"/>
          <w:szCs w:val="21"/>
          <w:u w:val="single"/>
        </w:rPr>
        <w:t xml:space="preserve"> </w:t>
      </w:r>
      <w:r>
        <w:rPr>
          <w:rFonts w:hint="eastAsia" w:cs="宋体"/>
          <w:b/>
          <w:bCs/>
          <w:color w:val="auto"/>
          <w:sz w:val="21"/>
          <w:szCs w:val="21"/>
          <w:u w:val="single"/>
        </w:rPr>
        <w:t xml:space="preserve">承包人收到保修通知并到达工程现场的合理时间：渗水、漏水、给排水管道或供电设施等出现故障影响正常使用的情况下，承包人须在发包人通知后 4 小时内赶到现场并于承包人赶到现场后 6 小时内完成维修；如损坏的零部件暂时缺货，承包人也应在这 6 小时内采取临时措施保证受影响的设施或线路能维持使用，并在此后 7 天内完成所缺零部件的采购和设施的维修工作。发生紧急抢修事故的，承包人在接到事故通知后，应当立即到达事故现场抢修。其他情况下，承包人须在发包人通知后 24 小时内赶到现场，并于赶到现场之日起 2 日内完成通知所涉及之保修、维修项目；遇损坏的零部件缺货等特殊情况，也必须在赶到现场之日起 7 天内完成保修、维修项目 </w:t>
      </w:r>
      <w:r>
        <w:rPr>
          <w:rFonts w:hint="eastAsia" w:cs="宋体"/>
          <w:b/>
          <w:bCs/>
          <w:color w:val="auto"/>
          <w:sz w:val="21"/>
          <w:szCs w:val="21"/>
        </w:rPr>
        <w:t>。</w:t>
      </w:r>
    </w:p>
    <w:bookmarkEnd w:id="645"/>
    <w:bookmarkEnd w:id="646"/>
    <w:bookmarkEnd w:id="647"/>
    <w:bookmarkEnd w:id="648"/>
    <w:p w14:paraId="1D67D2AA">
      <w:pPr>
        <w:snapToGrid w:val="0"/>
        <w:spacing w:before="312" w:beforeLines="100" w:after="312" w:afterLines="100" w:line="360" w:lineRule="auto"/>
        <w:outlineLvl w:val="2"/>
        <w:rPr>
          <w:rFonts w:cs="宋体"/>
          <w:color w:val="auto"/>
          <w:sz w:val="21"/>
          <w:szCs w:val="21"/>
        </w:rPr>
      </w:pPr>
      <w:bookmarkStart w:id="671" w:name="_Toc351203648"/>
      <w:bookmarkStart w:id="672" w:name="_Toc280868717"/>
      <w:bookmarkStart w:id="673" w:name="_Toc280868718"/>
      <w:r>
        <w:rPr>
          <w:rFonts w:hint="eastAsia" w:cs="宋体"/>
          <w:color w:val="auto"/>
          <w:sz w:val="21"/>
          <w:szCs w:val="21"/>
        </w:rPr>
        <w:t>16. 违约</w:t>
      </w:r>
      <w:bookmarkEnd w:id="671"/>
    </w:p>
    <w:p w14:paraId="0571D160">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16.1 发包人违约</w:t>
      </w:r>
    </w:p>
    <w:p w14:paraId="6A8D08C8">
      <w:pPr>
        <w:adjustRightInd w:val="0"/>
        <w:snapToGrid w:val="0"/>
        <w:spacing w:line="360" w:lineRule="auto"/>
        <w:ind w:firstLine="420" w:firstLineChars="200"/>
        <w:rPr>
          <w:rFonts w:cs="宋体"/>
          <w:color w:val="auto"/>
          <w:sz w:val="21"/>
          <w:szCs w:val="21"/>
        </w:rPr>
      </w:pPr>
      <w:r>
        <w:rPr>
          <w:rFonts w:hint="eastAsia" w:cs="宋体"/>
          <w:color w:val="auto"/>
          <w:sz w:val="21"/>
          <w:szCs w:val="21"/>
        </w:rPr>
        <w:t>16.1.1 发包人违约的情形</w:t>
      </w:r>
    </w:p>
    <w:p w14:paraId="1C9BE02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发包人违约的其他情形：</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799C7BF">
      <w:pPr>
        <w:adjustRightInd w:val="0"/>
        <w:snapToGrid w:val="0"/>
        <w:spacing w:line="360" w:lineRule="auto"/>
        <w:ind w:firstLine="420" w:firstLineChars="200"/>
        <w:rPr>
          <w:rFonts w:cs="宋体"/>
          <w:color w:val="auto"/>
          <w:sz w:val="21"/>
          <w:szCs w:val="21"/>
        </w:rPr>
      </w:pPr>
      <w:r>
        <w:rPr>
          <w:rFonts w:hint="eastAsia" w:cs="宋体"/>
          <w:color w:val="auto"/>
          <w:sz w:val="21"/>
          <w:szCs w:val="21"/>
        </w:rPr>
        <w:t>16.1.2 发包人违约的责任</w:t>
      </w:r>
    </w:p>
    <w:p w14:paraId="7A490110">
      <w:pPr>
        <w:adjustRightInd w:val="0"/>
        <w:snapToGrid w:val="0"/>
        <w:spacing w:line="360" w:lineRule="auto"/>
        <w:ind w:firstLine="420" w:firstLineChars="200"/>
        <w:rPr>
          <w:rFonts w:cs="宋体"/>
          <w:color w:val="auto"/>
          <w:sz w:val="21"/>
          <w:szCs w:val="21"/>
        </w:rPr>
      </w:pPr>
      <w:r>
        <w:rPr>
          <w:rFonts w:hint="eastAsia" w:cs="宋体"/>
          <w:color w:val="auto"/>
          <w:sz w:val="21"/>
          <w:szCs w:val="21"/>
        </w:rPr>
        <w:t>发包人违约责任的承担方式和计算方法：</w:t>
      </w:r>
    </w:p>
    <w:p w14:paraId="78B11D87">
      <w:pPr>
        <w:adjustRightInd w:val="0"/>
        <w:snapToGrid w:val="0"/>
        <w:spacing w:line="360" w:lineRule="auto"/>
        <w:ind w:firstLine="420" w:firstLineChars="200"/>
        <w:rPr>
          <w:rFonts w:cs="宋体"/>
          <w:color w:val="auto"/>
          <w:sz w:val="21"/>
          <w:szCs w:val="21"/>
        </w:rPr>
      </w:pPr>
      <w:r>
        <w:rPr>
          <w:rFonts w:hint="eastAsia" w:cs="宋体"/>
          <w:color w:val="auto"/>
          <w:sz w:val="21"/>
          <w:szCs w:val="21"/>
        </w:rPr>
        <w:t>（1）因发包人原因未能在计划开工日期前7天内下达开工通知的违约责任：</w:t>
      </w:r>
      <w:r>
        <w:rPr>
          <w:rFonts w:hint="eastAsia" w:cs="宋体"/>
          <w:color w:val="auto"/>
          <w:sz w:val="21"/>
          <w:szCs w:val="21"/>
          <w:u w:val="single"/>
        </w:rPr>
        <w:t xml:space="preserve"> 发包人通知承包人推迟开工日期，</w:t>
      </w:r>
      <w:r>
        <w:rPr>
          <w:rFonts w:hint="eastAsia" w:cs="宋体"/>
          <w:color w:val="auto"/>
          <w:sz w:val="21"/>
          <w:szCs w:val="21"/>
          <w:u w:val="single"/>
          <w:lang w:eastAsia="zh-CN"/>
        </w:rPr>
        <w:t>完工</w:t>
      </w:r>
      <w:r>
        <w:rPr>
          <w:rFonts w:hint="eastAsia" w:cs="宋体"/>
          <w:color w:val="auto"/>
          <w:sz w:val="21"/>
          <w:szCs w:val="21"/>
          <w:u w:val="single"/>
        </w:rPr>
        <w:t xml:space="preserve">工期相应顺延  </w:t>
      </w:r>
      <w:r>
        <w:rPr>
          <w:rFonts w:hint="eastAsia" w:cs="宋体"/>
          <w:color w:val="auto"/>
          <w:sz w:val="21"/>
          <w:szCs w:val="21"/>
        </w:rPr>
        <w:t>。</w:t>
      </w:r>
    </w:p>
    <w:p w14:paraId="12640CA4">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（2）因发包人原因未能按合同约定支付合同价款的违约责任：</w:t>
      </w:r>
      <w:r>
        <w:rPr>
          <w:rFonts w:hint="eastAsia" w:cs="宋体"/>
          <w:color w:val="auto"/>
          <w:sz w:val="21"/>
          <w:szCs w:val="21"/>
          <w:u w:val="single"/>
        </w:rPr>
        <w:t xml:space="preserve">  双方协商解决 </w:t>
      </w:r>
      <w:r>
        <w:rPr>
          <w:rFonts w:hint="eastAsia" w:cs="宋体"/>
          <w:color w:val="auto"/>
          <w:sz w:val="21"/>
          <w:szCs w:val="21"/>
        </w:rPr>
        <w:t>。</w:t>
      </w:r>
    </w:p>
    <w:p w14:paraId="2657FCDD">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（3）发包人违反第10.1款〔变更的范围〕第（2）项约定，自行实施被取消的工作或转由他人实施的违约责任：</w:t>
      </w:r>
      <w:r>
        <w:rPr>
          <w:rFonts w:hint="eastAsia" w:cs="宋体"/>
          <w:b/>
          <w:bCs/>
          <w:color w:val="auto"/>
          <w:sz w:val="21"/>
          <w:szCs w:val="21"/>
          <w:u w:val="single"/>
        </w:rPr>
        <w:t xml:space="preserve"> </w:t>
      </w:r>
      <w:r>
        <w:rPr>
          <w:rFonts w:hint="eastAsia" w:cs="宋体"/>
          <w:b/>
          <w:bCs/>
          <w:color w:val="auto"/>
          <w:sz w:val="21"/>
          <w:szCs w:val="21"/>
          <w:u w:val="single"/>
          <w:lang w:val="en-US" w:eastAsia="zh-CN"/>
        </w:rPr>
        <w:t>/</w:t>
      </w:r>
      <w:r>
        <w:rPr>
          <w:rFonts w:hint="eastAsia" w:cs="宋体"/>
          <w:b/>
          <w:bCs/>
          <w:color w:val="auto"/>
          <w:sz w:val="21"/>
          <w:szCs w:val="21"/>
          <w:u w:val="single"/>
        </w:rPr>
        <w:t xml:space="preserve"> </w:t>
      </w:r>
      <w:r>
        <w:rPr>
          <w:rFonts w:hint="eastAsia" w:cs="宋体"/>
          <w:color w:val="auto"/>
          <w:sz w:val="21"/>
          <w:szCs w:val="21"/>
          <w:u w:val="single"/>
        </w:rPr>
        <w:t xml:space="preserve">  </w:t>
      </w:r>
      <w:r>
        <w:rPr>
          <w:rFonts w:hint="eastAsia" w:cs="宋体"/>
          <w:color w:val="auto"/>
          <w:sz w:val="21"/>
          <w:szCs w:val="21"/>
        </w:rPr>
        <w:t>。</w:t>
      </w:r>
    </w:p>
    <w:p w14:paraId="6DCFD845">
      <w:pPr>
        <w:adjustRightInd w:val="0"/>
        <w:snapToGrid w:val="0"/>
        <w:spacing w:line="360" w:lineRule="auto"/>
        <w:ind w:firstLine="420" w:firstLineChars="200"/>
        <w:rPr>
          <w:rFonts w:cs="宋体"/>
          <w:color w:val="auto"/>
          <w:sz w:val="21"/>
          <w:szCs w:val="21"/>
        </w:rPr>
      </w:pPr>
      <w:r>
        <w:rPr>
          <w:rFonts w:hint="eastAsia" w:cs="宋体"/>
          <w:color w:val="auto"/>
          <w:sz w:val="21"/>
          <w:szCs w:val="21"/>
        </w:rPr>
        <w:t>（4）发包人提供的材料、工程设备的规格、数量或质量不符合合同约定，或因发包人原因导致交货日期延误或交货地点变更等情况的违约责任：</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0D631C70">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（5）因发包人违反合同约定造成暂停施工的违约责任：</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5072CDDF">
      <w:pPr>
        <w:adjustRightInd w:val="0"/>
        <w:snapToGrid w:val="0"/>
        <w:spacing w:line="360" w:lineRule="auto"/>
        <w:ind w:firstLine="420" w:firstLineChars="200"/>
        <w:rPr>
          <w:rFonts w:cs="宋体"/>
          <w:color w:val="auto"/>
          <w:sz w:val="21"/>
          <w:szCs w:val="21"/>
        </w:rPr>
      </w:pPr>
      <w:r>
        <w:rPr>
          <w:rFonts w:hint="eastAsia" w:cs="宋体"/>
          <w:color w:val="auto"/>
          <w:sz w:val="21"/>
          <w:szCs w:val="21"/>
        </w:rPr>
        <w:t>（6）发包人无正当理由没有在约定期限内发出复工指示，导致承包人无法复工的违约责任：</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25ECABB2">
      <w:pPr>
        <w:adjustRightInd w:val="0"/>
        <w:snapToGrid w:val="0"/>
        <w:spacing w:line="360" w:lineRule="auto"/>
        <w:ind w:firstLine="420" w:firstLineChars="200"/>
        <w:rPr>
          <w:rFonts w:cs="宋体"/>
          <w:color w:val="auto"/>
          <w:sz w:val="21"/>
          <w:szCs w:val="21"/>
        </w:rPr>
      </w:pPr>
      <w:r>
        <w:rPr>
          <w:rFonts w:hint="eastAsia" w:cs="宋体"/>
          <w:color w:val="auto"/>
          <w:sz w:val="21"/>
          <w:szCs w:val="21"/>
        </w:rPr>
        <w:t>（7）其他：</w:t>
      </w:r>
      <w:r>
        <w:rPr>
          <w:rFonts w:hint="eastAsia" w:cs="宋体"/>
          <w:color w:val="auto"/>
          <w:sz w:val="21"/>
          <w:szCs w:val="21"/>
          <w:u w:val="single"/>
        </w:rPr>
        <w:t xml:space="preserve">     </w:t>
      </w:r>
      <w:r>
        <w:rPr>
          <w:rFonts w:hint="eastAsia" w:cs="宋体"/>
          <w:color w:val="auto"/>
          <w:sz w:val="21"/>
          <w:szCs w:val="21"/>
          <w:u w:val="single"/>
          <w:lang w:val="en-US" w:eastAsia="zh-CN"/>
        </w:rPr>
        <w:t>/</w:t>
      </w:r>
      <w:r>
        <w:rPr>
          <w:rFonts w:hint="eastAsia" w:cs="宋体"/>
          <w:color w:val="auto"/>
          <w:sz w:val="21"/>
          <w:szCs w:val="21"/>
          <w:u w:val="single"/>
        </w:rPr>
        <w:t xml:space="preserve">   </w:t>
      </w:r>
      <w:r>
        <w:rPr>
          <w:rFonts w:hint="eastAsia" w:cs="宋体"/>
          <w:color w:val="auto"/>
          <w:sz w:val="21"/>
          <w:szCs w:val="21"/>
        </w:rPr>
        <w:t>。</w:t>
      </w:r>
    </w:p>
    <w:p w14:paraId="304490BF">
      <w:pPr>
        <w:adjustRightInd w:val="0"/>
        <w:snapToGrid w:val="0"/>
        <w:spacing w:line="360" w:lineRule="auto"/>
        <w:ind w:firstLine="420" w:firstLineChars="200"/>
        <w:rPr>
          <w:rFonts w:cs="宋体"/>
          <w:color w:val="auto"/>
          <w:sz w:val="21"/>
          <w:szCs w:val="21"/>
        </w:rPr>
      </w:pPr>
      <w:r>
        <w:rPr>
          <w:rFonts w:hint="eastAsia" w:cs="宋体"/>
          <w:color w:val="auto"/>
          <w:sz w:val="21"/>
          <w:szCs w:val="21"/>
        </w:rPr>
        <w:t>16.1.3 因发包人违约解除合同</w:t>
      </w:r>
    </w:p>
    <w:p w14:paraId="748E66AD">
      <w:pPr>
        <w:adjustRightInd w:val="0"/>
        <w:snapToGrid w:val="0"/>
        <w:spacing w:line="360" w:lineRule="auto"/>
        <w:ind w:firstLine="420" w:firstLineChars="200"/>
        <w:rPr>
          <w:rFonts w:cs="宋体"/>
          <w:color w:val="auto"/>
          <w:sz w:val="21"/>
          <w:szCs w:val="21"/>
        </w:rPr>
      </w:pPr>
      <w:r>
        <w:rPr>
          <w:rFonts w:hint="eastAsia" w:cs="宋体"/>
          <w:color w:val="auto"/>
          <w:sz w:val="21"/>
          <w:szCs w:val="21"/>
        </w:rPr>
        <w:t>承包人按16.1.1项〔发包人违约的情形〕约定暂停施工满</w:t>
      </w:r>
      <w:r>
        <w:rPr>
          <w:rFonts w:hint="eastAsia" w:cs="宋体"/>
          <w:color w:val="auto"/>
          <w:sz w:val="21"/>
          <w:szCs w:val="21"/>
          <w:u w:val="single"/>
        </w:rPr>
        <w:t>28</w:t>
      </w:r>
      <w:r>
        <w:rPr>
          <w:rFonts w:hint="eastAsia" w:cs="宋体"/>
          <w:color w:val="auto"/>
          <w:sz w:val="21"/>
          <w:szCs w:val="21"/>
        </w:rPr>
        <w:t>天后发包人仍不纠正其违约行为并致使合同目的不能实现的，承包人有权解除合同。</w:t>
      </w:r>
    </w:p>
    <w:p w14:paraId="6E8BDF0F">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16.2 承包人违约</w:t>
      </w:r>
    </w:p>
    <w:p w14:paraId="5A7249C0">
      <w:pPr>
        <w:adjustRightInd w:val="0"/>
        <w:snapToGrid w:val="0"/>
        <w:spacing w:line="360" w:lineRule="auto"/>
        <w:ind w:firstLine="420" w:firstLineChars="200"/>
        <w:rPr>
          <w:rFonts w:cs="宋体"/>
          <w:color w:val="auto"/>
          <w:sz w:val="21"/>
          <w:szCs w:val="21"/>
        </w:rPr>
      </w:pPr>
      <w:r>
        <w:rPr>
          <w:rFonts w:hint="eastAsia" w:cs="宋体"/>
          <w:color w:val="auto"/>
          <w:sz w:val="21"/>
          <w:szCs w:val="21"/>
        </w:rPr>
        <w:t>16.2.1 承包人违约的情形</w:t>
      </w:r>
    </w:p>
    <w:p w14:paraId="7EAD18E2">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承包人违约的其他情形：</w:t>
      </w:r>
      <w:r>
        <w:rPr>
          <w:rFonts w:hint="eastAsia" w:cs="宋体"/>
          <w:color w:val="auto"/>
          <w:sz w:val="21"/>
          <w:szCs w:val="21"/>
          <w:u w:val="single"/>
        </w:rPr>
        <w:t xml:space="preserve">   </w:t>
      </w:r>
      <w:r>
        <w:rPr>
          <w:rFonts w:hint="eastAsia" w:cs="宋体"/>
          <w:color w:val="auto"/>
          <w:sz w:val="21"/>
          <w:szCs w:val="21"/>
          <w:u w:val="single"/>
          <w:lang w:val="en-US" w:eastAsia="zh-CN"/>
        </w:rPr>
        <w:t>执行通用条款</w:t>
      </w:r>
      <w:r>
        <w:rPr>
          <w:rFonts w:hint="eastAsia" w:cs="宋体"/>
          <w:color w:val="auto"/>
          <w:sz w:val="21"/>
          <w:szCs w:val="21"/>
          <w:u w:val="single"/>
        </w:rPr>
        <w:t xml:space="preserve">   </w:t>
      </w:r>
      <w:r>
        <w:rPr>
          <w:rFonts w:hint="eastAsia" w:cs="宋体"/>
          <w:color w:val="auto"/>
          <w:sz w:val="21"/>
          <w:szCs w:val="21"/>
        </w:rPr>
        <w:t>。</w:t>
      </w:r>
    </w:p>
    <w:p w14:paraId="7B359BE3">
      <w:pPr>
        <w:adjustRightInd w:val="0"/>
        <w:snapToGrid w:val="0"/>
        <w:spacing w:line="360" w:lineRule="auto"/>
        <w:ind w:firstLine="420" w:firstLineChars="200"/>
        <w:rPr>
          <w:rFonts w:cs="宋体"/>
          <w:color w:val="auto"/>
          <w:sz w:val="21"/>
          <w:szCs w:val="21"/>
        </w:rPr>
      </w:pPr>
      <w:r>
        <w:rPr>
          <w:rFonts w:hint="eastAsia" w:cs="宋体"/>
          <w:color w:val="auto"/>
          <w:sz w:val="21"/>
          <w:szCs w:val="21"/>
        </w:rPr>
        <w:t>16.2.2 承包人违约的责任</w:t>
      </w:r>
    </w:p>
    <w:p w14:paraId="25944F4D">
      <w:pPr>
        <w:adjustRightInd w:val="0"/>
        <w:snapToGrid w:val="0"/>
        <w:spacing w:line="360" w:lineRule="auto"/>
        <w:ind w:firstLine="420" w:firstLineChars="200"/>
        <w:rPr>
          <w:rFonts w:hint="eastAsia" w:cs="宋体"/>
          <w:color w:val="auto"/>
          <w:sz w:val="21"/>
          <w:szCs w:val="21"/>
          <w:u w:val="single"/>
        </w:rPr>
      </w:pPr>
      <w:r>
        <w:rPr>
          <w:rFonts w:hint="eastAsia" w:cs="宋体"/>
          <w:color w:val="auto"/>
          <w:sz w:val="21"/>
          <w:szCs w:val="21"/>
        </w:rPr>
        <w:t>承包人违约责任的承担方式和计算方法：</w:t>
      </w:r>
      <w:r>
        <w:rPr>
          <w:rFonts w:hint="eastAsia" w:cs="宋体"/>
          <w:color w:val="auto"/>
          <w:sz w:val="21"/>
          <w:szCs w:val="21"/>
          <w:u w:val="single"/>
        </w:rPr>
        <w:t xml:space="preserve"> </w:t>
      </w:r>
    </w:p>
    <w:p w14:paraId="3DD54867">
      <w:pPr>
        <w:adjustRightInd w:val="0"/>
        <w:snapToGrid w:val="0"/>
        <w:spacing w:line="360" w:lineRule="auto"/>
        <w:ind w:firstLine="420" w:firstLineChars="200"/>
        <w:rPr>
          <w:rFonts w:hint="eastAsia"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（1）若工程质量达不到合格标准的，发包人将按</w:t>
      </w:r>
      <w:r>
        <w:rPr>
          <w:rFonts w:hint="eastAsia" w:cs="宋体"/>
          <w:color w:val="000000" w:themeColor="text1"/>
          <w:sz w:val="21"/>
          <w:szCs w:val="21"/>
          <w:u w:val="single"/>
          <w:lang w:val="en-US" w:eastAsia="zh-CN"/>
          <w14:textFill>
            <w14:solidFill>
              <w14:schemeClr w14:val="tx1"/>
            </w14:solidFill>
          </w14:textFill>
        </w:rPr>
        <w:t>签约</w:t>
      </w:r>
      <w:r>
        <w:rPr>
          <w:rFonts w:hint="eastAsia" w:cs="宋体"/>
          <w:color w:val="000000" w:themeColor="text1"/>
          <w:sz w:val="21"/>
          <w:szCs w:val="21"/>
          <w:u w:val="single"/>
          <w14:textFill>
            <w14:solidFill>
              <w14:schemeClr w14:val="tx1"/>
            </w14:solidFill>
          </w14:textFill>
        </w:rPr>
        <w:t>合同总价的</w:t>
      </w:r>
      <w:r>
        <w:rPr>
          <w:rFonts w:hint="eastAsia" w:cs="宋体"/>
          <w:color w:val="000000" w:themeColor="text1"/>
          <w:sz w:val="21"/>
          <w:szCs w:val="21"/>
          <w:u w:val="single"/>
          <w:lang w:val="en-US" w:eastAsia="zh-CN"/>
          <w14:textFill>
            <w14:solidFill>
              <w14:schemeClr w14:val="tx1"/>
            </w14:solidFill>
          </w14:textFill>
        </w:rPr>
        <w:t>10</w:t>
      </w:r>
      <w:r>
        <w:rPr>
          <w:rFonts w:hint="eastAsia" w:cs="宋体"/>
          <w:color w:val="000000" w:themeColor="text1"/>
          <w:sz w:val="21"/>
          <w:szCs w:val="21"/>
          <w:u w:val="single"/>
          <w14:textFill>
            <w14:solidFill>
              <w14:schemeClr w14:val="tx1"/>
            </w14:solidFill>
          </w14:textFill>
        </w:rPr>
        <w:t>%向承包人收取违约金；同时发包人有权解除合同，不再支付后续款项，就已付工程款向承包人要求返还；由此造成的损失均由承包人承担。</w:t>
      </w:r>
    </w:p>
    <w:p w14:paraId="5A3C65F2">
      <w:pPr>
        <w:adjustRightInd w:val="0"/>
        <w:snapToGrid w:val="0"/>
        <w:spacing w:line="360" w:lineRule="auto"/>
        <w:ind w:firstLine="420" w:firstLineChars="200"/>
        <w:rPr>
          <w:rFonts w:hint="eastAsia"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因承包人原因造成工程不合格的，发包人有权随时要求承包人采取补救措施，直至达到合同要求的质量标准，由此增加的费用和（或）延误的工期由承包人承担；承包人未按照发包人要求采取补救措施的，或限期未完成补救措施的，或采取补救措施仍不合格的，该部分费用工程结算时不予认可，且发包人给予承包人该分项的</w:t>
      </w:r>
      <w:r>
        <w:rPr>
          <w:rFonts w:hint="eastAsia" w:cs="宋体"/>
          <w:color w:val="000000" w:themeColor="text1"/>
          <w:sz w:val="21"/>
          <w:szCs w:val="21"/>
          <w:u w:val="single"/>
          <w:lang w:val="en-US" w:eastAsia="zh-CN"/>
          <w14:textFill>
            <w14:solidFill>
              <w14:schemeClr w14:val="tx1"/>
            </w14:solidFill>
          </w14:textFill>
        </w:rPr>
        <w:t>百分之二</w:t>
      </w:r>
      <w:r>
        <w:rPr>
          <w:rFonts w:hint="eastAsia" w:cs="宋体"/>
          <w:color w:val="000000" w:themeColor="text1"/>
          <w:sz w:val="21"/>
          <w:szCs w:val="21"/>
          <w:u w:val="single"/>
          <w14:textFill>
            <w14:solidFill>
              <w14:schemeClr w14:val="tx1"/>
            </w14:solidFill>
          </w14:textFill>
        </w:rPr>
        <w:t>/次的违约处罚，造成发包人损失的（含其他经济利益损失），承包人应予赔偿。造成工程不合格且无法补救的，发包人有权利立即解除合同，承包人必须无条件服从，承包人应全额退还发包人已付工程款，且发包人不退还承包人的履约保证金，造成发包人其他损失（含时间损失等）的，承包人应予赔偿。</w:t>
      </w:r>
    </w:p>
    <w:p w14:paraId="1BA3A93A">
      <w:pPr>
        <w:adjustRightInd w:val="0"/>
        <w:snapToGrid w:val="0"/>
        <w:spacing w:line="360" w:lineRule="auto"/>
        <w:ind w:firstLine="420" w:firstLineChars="200"/>
        <w:rPr>
          <w:rFonts w:hint="eastAsia" w:eastAsia="宋体" w:cs="宋体"/>
          <w:color w:val="000000" w:themeColor="text1"/>
          <w:sz w:val="21"/>
          <w:szCs w:val="21"/>
          <w:u w:val="single"/>
          <w:lang w:eastAsia="zh-CN"/>
          <w14:textFill>
            <w14:solidFill>
              <w14:schemeClr w14:val="tx1"/>
            </w14:solidFill>
          </w14:textFill>
        </w:rPr>
      </w:pPr>
      <w:r>
        <w:rPr>
          <w:rFonts w:hint="eastAsia" w:cs="宋体"/>
          <w:color w:val="000000" w:themeColor="text1"/>
          <w:sz w:val="21"/>
          <w:szCs w:val="21"/>
          <w:u w:val="single"/>
          <w14:textFill>
            <w14:solidFill>
              <w14:schemeClr w14:val="tx1"/>
            </w14:solidFill>
          </w14:textFill>
        </w:rPr>
        <w:t>（3）每延期</w:t>
      </w:r>
      <w:r>
        <w:rPr>
          <w:rFonts w:hint="eastAsia" w:cs="宋体"/>
          <w:color w:val="000000" w:themeColor="text1"/>
          <w:sz w:val="21"/>
          <w:szCs w:val="21"/>
          <w:u w:val="single"/>
          <w:lang w:eastAsia="zh-CN"/>
          <w14:textFill>
            <w14:solidFill>
              <w14:schemeClr w14:val="tx1"/>
            </w14:solidFill>
          </w14:textFill>
        </w:rPr>
        <w:t>完工（</w:t>
      </w:r>
      <w:r>
        <w:rPr>
          <w:rFonts w:hint="eastAsia" w:cs="宋体"/>
          <w:color w:val="000000" w:themeColor="text1"/>
          <w:sz w:val="21"/>
          <w:szCs w:val="21"/>
          <w:u w:val="single"/>
          <w:lang w:val="en-US" w:eastAsia="zh-CN"/>
          <w14:textFill>
            <w14:solidFill>
              <w14:schemeClr w14:val="tx1"/>
            </w14:solidFill>
          </w14:textFill>
        </w:rPr>
        <w:t>或完工）</w:t>
      </w:r>
      <w:r>
        <w:rPr>
          <w:rFonts w:hint="eastAsia" w:cs="宋体"/>
          <w:color w:val="000000" w:themeColor="text1"/>
          <w:sz w:val="21"/>
          <w:szCs w:val="21"/>
          <w:u w:val="single"/>
          <w14:textFill>
            <w14:solidFill>
              <w14:schemeClr w14:val="tx1"/>
            </w14:solidFill>
          </w14:textFill>
        </w:rPr>
        <w:t>一天，承包人支付发包人</w:t>
      </w:r>
      <w:r>
        <w:rPr>
          <w:rFonts w:hint="eastAsia" w:cs="宋体"/>
          <w:color w:val="000000" w:themeColor="text1"/>
          <w:sz w:val="21"/>
          <w:szCs w:val="21"/>
          <w:u w:val="single"/>
          <w:lang w:val="en-US" w:eastAsia="zh-CN"/>
          <w14:textFill>
            <w14:solidFill>
              <w14:schemeClr w14:val="tx1"/>
            </w14:solidFill>
          </w14:textFill>
        </w:rPr>
        <w:t>签约</w:t>
      </w:r>
      <w:r>
        <w:rPr>
          <w:rFonts w:hint="eastAsia" w:cs="宋体"/>
          <w:color w:val="000000" w:themeColor="text1"/>
          <w:sz w:val="21"/>
          <w:szCs w:val="21"/>
          <w:u w:val="single"/>
          <w14:textFill>
            <w14:solidFill>
              <w14:schemeClr w14:val="tx1"/>
            </w14:solidFill>
          </w14:textFill>
        </w:rPr>
        <w:t>合同价款的</w:t>
      </w:r>
      <w:r>
        <w:rPr>
          <w:rFonts w:hint="eastAsia" w:cs="宋体"/>
          <w:color w:val="000000" w:themeColor="text1"/>
          <w:sz w:val="21"/>
          <w:szCs w:val="21"/>
          <w:u w:val="single"/>
          <w:lang w:val="en-US" w:eastAsia="zh-CN"/>
          <w14:textFill>
            <w14:solidFill>
              <w14:schemeClr w14:val="tx1"/>
            </w14:solidFill>
          </w14:textFill>
        </w:rPr>
        <w:t>1%</w:t>
      </w:r>
      <w:r>
        <w:rPr>
          <w:rFonts w:hint="eastAsia" w:cs="宋体"/>
          <w:color w:val="000000" w:themeColor="text1"/>
          <w:sz w:val="21"/>
          <w:szCs w:val="21"/>
          <w:u w:val="single"/>
          <w14:textFill>
            <w14:solidFill>
              <w14:schemeClr w14:val="tx1"/>
            </w14:solidFill>
          </w14:textFill>
        </w:rPr>
        <w:t>的违约金</w:t>
      </w:r>
      <w:r>
        <w:rPr>
          <w:rFonts w:hint="eastAsia" w:cs="宋体"/>
          <w:color w:val="000000" w:themeColor="text1"/>
          <w:sz w:val="21"/>
          <w:szCs w:val="21"/>
          <w:u w:val="single"/>
          <w:lang w:eastAsia="zh-CN"/>
          <w14:textFill>
            <w14:solidFill>
              <w14:schemeClr w14:val="tx1"/>
            </w14:solidFill>
          </w14:textFill>
        </w:rPr>
        <w:t>；</w:t>
      </w:r>
      <w:r>
        <w:rPr>
          <w:rFonts w:hint="eastAsia" w:cs="宋体"/>
          <w:color w:val="000000" w:themeColor="text1"/>
          <w:sz w:val="21"/>
          <w:szCs w:val="21"/>
          <w:u w:val="single"/>
          <w14:textFill>
            <w14:solidFill>
              <w14:schemeClr w14:val="tx1"/>
            </w14:solidFill>
          </w14:textFill>
        </w:rPr>
        <w:t>工程</w:t>
      </w:r>
      <w:r>
        <w:rPr>
          <w:rFonts w:hint="eastAsia" w:cs="宋体"/>
          <w:color w:val="000000" w:themeColor="text1"/>
          <w:sz w:val="21"/>
          <w:szCs w:val="21"/>
          <w:u w:val="single"/>
          <w:lang w:val="en-US" w:eastAsia="zh-CN"/>
          <w14:textFill>
            <w14:solidFill>
              <w14:schemeClr w14:val="tx1"/>
            </w14:solidFill>
          </w14:textFill>
        </w:rPr>
        <w:t>因承包人原因</w:t>
      </w:r>
      <w:r>
        <w:rPr>
          <w:rFonts w:hint="eastAsia" w:cs="宋体"/>
          <w:color w:val="000000" w:themeColor="text1"/>
          <w:sz w:val="21"/>
          <w:szCs w:val="21"/>
          <w:u w:val="single"/>
          <w14:textFill>
            <w14:solidFill>
              <w14:schemeClr w14:val="tx1"/>
            </w14:solidFill>
          </w14:textFill>
        </w:rPr>
        <w:t>延期 28 天以上的，每天按</w:t>
      </w:r>
      <w:r>
        <w:rPr>
          <w:rFonts w:hint="eastAsia" w:cs="宋体"/>
          <w:color w:val="000000" w:themeColor="text1"/>
          <w:sz w:val="21"/>
          <w:szCs w:val="21"/>
          <w:u w:val="single"/>
          <w:lang w:val="en-US" w:eastAsia="zh-CN"/>
          <w14:textFill>
            <w14:solidFill>
              <w14:schemeClr w14:val="tx1"/>
            </w14:solidFill>
          </w14:textFill>
        </w:rPr>
        <w:t>签约</w:t>
      </w:r>
      <w:r>
        <w:rPr>
          <w:rFonts w:hint="eastAsia" w:cs="宋体"/>
          <w:color w:val="000000" w:themeColor="text1"/>
          <w:sz w:val="21"/>
          <w:szCs w:val="21"/>
          <w:u w:val="single"/>
          <w14:textFill>
            <w14:solidFill>
              <w14:schemeClr w14:val="tx1"/>
            </w14:solidFill>
          </w14:textFill>
        </w:rPr>
        <w:t>合同价款</w:t>
      </w:r>
      <w:r>
        <w:rPr>
          <w:rFonts w:hint="eastAsia" w:cs="宋体"/>
          <w:color w:val="000000" w:themeColor="text1"/>
          <w:sz w:val="21"/>
          <w:szCs w:val="21"/>
          <w:u w:val="single"/>
          <w:lang w:val="en-US" w:eastAsia="zh-CN"/>
          <w14:textFill>
            <w14:solidFill>
              <w14:schemeClr w14:val="tx1"/>
            </w14:solidFill>
          </w14:textFill>
        </w:rPr>
        <w:t>2%</w:t>
      </w:r>
      <w:r>
        <w:rPr>
          <w:rFonts w:hint="eastAsia" w:cs="宋体"/>
          <w:color w:val="000000" w:themeColor="text1"/>
          <w:sz w:val="21"/>
          <w:szCs w:val="21"/>
          <w:u w:val="single"/>
          <w14:textFill>
            <w14:solidFill>
              <w14:schemeClr w14:val="tx1"/>
            </w14:solidFill>
          </w14:textFill>
        </w:rPr>
        <w:t>向发包人支付违约金；违约金最高限额为合同价款的</w:t>
      </w:r>
      <w:r>
        <w:rPr>
          <w:rFonts w:hint="eastAsia" w:cs="宋体"/>
          <w:color w:val="000000" w:themeColor="text1"/>
          <w:sz w:val="21"/>
          <w:szCs w:val="21"/>
          <w:u w:val="single"/>
          <w:lang w:val="en-US" w:eastAsia="zh-CN"/>
          <w14:textFill>
            <w14:solidFill>
              <w14:schemeClr w14:val="tx1"/>
            </w14:solidFill>
          </w14:textFill>
        </w:rPr>
        <w:t>10</w:t>
      </w:r>
      <w:r>
        <w:rPr>
          <w:rFonts w:hint="eastAsia" w:cs="宋体"/>
          <w:color w:val="000000" w:themeColor="text1"/>
          <w:sz w:val="21"/>
          <w:szCs w:val="21"/>
          <w:u w:val="single"/>
          <w14:textFill>
            <w14:solidFill>
              <w14:schemeClr w14:val="tx1"/>
            </w14:solidFill>
          </w14:textFill>
        </w:rPr>
        <w:t>%</w:t>
      </w:r>
      <w:r>
        <w:rPr>
          <w:rFonts w:hint="eastAsia" w:cs="宋体"/>
          <w:color w:val="000000" w:themeColor="text1"/>
          <w:sz w:val="21"/>
          <w:szCs w:val="21"/>
          <w:u w:val="single"/>
          <w:lang w:val="en-US" w:eastAsia="zh-CN"/>
          <w14:textFill>
            <w14:solidFill>
              <w14:schemeClr w14:val="tx1"/>
            </w14:solidFill>
          </w14:textFill>
        </w:rPr>
        <w:t xml:space="preserve"> </w:t>
      </w:r>
      <w:r>
        <w:rPr>
          <w:rFonts w:hint="eastAsia" w:cs="宋体"/>
          <w:color w:val="000000" w:themeColor="text1"/>
          <w:sz w:val="21"/>
          <w:szCs w:val="21"/>
          <w:u w:val="single"/>
          <w:lang w:eastAsia="zh-CN"/>
          <w14:textFill>
            <w14:solidFill>
              <w14:schemeClr w14:val="tx1"/>
            </w14:solidFill>
          </w14:textFill>
        </w:rPr>
        <w:t>。</w:t>
      </w:r>
    </w:p>
    <w:p w14:paraId="59439530">
      <w:pPr>
        <w:adjustRightInd w:val="0"/>
        <w:snapToGrid w:val="0"/>
        <w:spacing w:line="360" w:lineRule="auto"/>
        <w:ind w:firstLine="420" w:firstLineChars="200"/>
        <w:rPr>
          <w:rFonts w:hint="eastAsia"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（4）本项目不得发生重大质量事故或者在一年内不得发生两次以上较大质量事故，否则发包人有权要求承包人支付</w:t>
      </w:r>
      <w:r>
        <w:rPr>
          <w:rFonts w:hint="eastAsia" w:cs="宋体"/>
          <w:color w:val="000000" w:themeColor="text1"/>
          <w:sz w:val="21"/>
          <w:szCs w:val="21"/>
          <w:u w:val="single"/>
          <w:lang w:val="en-US" w:eastAsia="zh-CN"/>
          <w14:textFill>
            <w14:solidFill>
              <w14:schemeClr w14:val="tx1"/>
            </w14:solidFill>
          </w14:textFill>
        </w:rPr>
        <w:t>叁拾</w:t>
      </w:r>
      <w:r>
        <w:rPr>
          <w:rFonts w:hint="eastAsia" w:cs="宋体"/>
          <w:color w:val="000000" w:themeColor="text1"/>
          <w:sz w:val="21"/>
          <w:szCs w:val="21"/>
          <w:u w:val="single"/>
          <w14:textFill>
            <w14:solidFill>
              <w14:schemeClr w14:val="tx1"/>
            </w14:solidFill>
          </w14:textFill>
        </w:rPr>
        <w:t>万元/次的违约金。</w:t>
      </w:r>
    </w:p>
    <w:p w14:paraId="39FFFC0C">
      <w:pPr>
        <w:adjustRightInd w:val="0"/>
        <w:snapToGrid w:val="0"/>
        <w:spacing w:line="360" w:lineRule="auto"/>
        <w:ind w:firstLine="420" w:firstLineChars="200"/>
        <w:rPr>
          <w:rFonts w:hint="eastAsia"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（5）承包人未履行合同义务或未按合同约定履行义务的，承包人应立即纠正违约事项，赔偿因其违约给发包人造成的损失，支付违约金。除本合同已有约定外，承包人违约金按每发生一起违约事项人民币</w:t>
      </w:r>
      <w:r>
        <w:rPr>
          <w:rFonts w:hint="eastAsia" w:cs="宋体"/>
          <w:color w:val="000000" w:themeColor="text1"/>
          <w:sz w:val="21"/>
          <w:szCs w:val="21"/>
          <w:u w:val="single"/>
          <w:lang w:val="en-US" w:eastAsia="zh-CN"/>
          <w14:textFill>
            <w14:solidFill>
              <w14:schemeClr w14:val="tx1"/>
            </w14:solidFill>
          </w14:textFill>
        </w:rPr>
        <w:t>壹仟</w:t>
      </w:r>
      <w:r>
        <w:rPr>
          <w:rFonts w:hint="eastAsia" w:cs="宋体"/>
          <w:color w:val="000000" w:themeColor="text1"/>
          <w:sz w:val="21"/>
          <w:szCs w:val="21"/>
          <w:u w:val="single"/>
          <w14:textFill>
            <w14:solidFill>
              <w14:schemeClr w14:val="tx1"/>
            </w14:solidFill>
          </w14:textFill>
        </w:rPr>
        <w:t>元的标准计算，违约状态持续时，以每日人民币</w:t>
      </w:r>
      <w:r>
        <w:rPr>
          <w:rFonts w:hint="eastAsia" w:cs="宋体"/>
          <w:color w:val="000000" w:themeColor="text1"/>
          <w:sz w:val="21"/>
          <w:szCs w:val="21"/>
          <w:u w:val="single"/>
          <w:lang w:val="en-US" w:eastAsia="zh-CN"/>
          <w14:textFill>
            <w14:solidFill>
              <w14:schemeClr w14:val="tx1"/>
            </w14:solidFill>
          </w14:textFill>
        </w:rPr>
        <w:t>壹仟</w:t>
      </w:r>
      <w:r>
        <w:rPr>
          <w:rFonts w:hint="eastAsia" w:cs="宋体"/>
          <w:color w:val="000000" w:themeColor="text1"/>
          <w:sz w:val="21"/>
          <w:szCs w:val="21"/>
          <w:u w:val="single"/>
          <w14:textFill>
            <w14:solidFill>
              <w14:schemeClr w14:val="tx1"/>
            </w14:solidFill>
          </w14:textFill>
        </w:rPr>
        <w:t>元元计算，各项违约责任独立存在，违约金应予以累加。</w:t>
      </w:r>
    </w:p>
    <w:p w14:paraId="16DE7D4B">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（6）合同当事人对工程质量有争议的，由发包人聘请的第三方检测机构进行检测评定，属于质量未达到本合同有关质量约定条款的，由承包人进行返工，并承担一切费用（含检测费用） </w:t>
      </w:r>
      <w:r>
        <w:rPr>
          <w:rFonts w:hint="eastAsia" w:cs="宋体"/>
          <w:color w:val="000000" w:themeColor="text1"/>
          <w:sz w:val="21"/>
          <w:szCs w:val="21"/>
          <w14:textFill>
            <w14:solidFill>
              <w14:schemeClr w14:val="tx1"/>
            </w14:solidFill>
          </w14:textFill>
        </w:rPr>
        <w:t>。</w:t>
      </w:r>
    </w:p>
    <w:p w14:paraId="40C30E62">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16.2.3 因承包人违约解除合同</w:t>
      </w:r>
    </w:p>
    <w:p w14:paraId="167C7AC3">
      <w:pPr>
        <w:adjustRightInd w:val="0"/>
        <w:snapToGrid w:val="0"/>
        <w:spacing w:line="360" w:lineRule="auto"/>
        <w:ind w:firstLine="420" w:firstLineChars="200"/>
        <w:rPr>
          <w:rFonts w:hint="eastAsia" w:cs="宋体"/>
          <w:color w:val="000000" w:themeColor="text1"/>
          <w:sz w:val="21"/>
          <w:szCs w:val="21"/>
          <w:u w:val="single"/>
          <w14:textFill>
            <w14:solidFill>
              <w14:schemeClr w14:val="tx1"/>
            </w14:solidFill>
          </w14:textFill>
        </w:rPr>
      </w:pPr>
      <w:r>
        <w:rPr>
          <w:rFonts w:hint="eastAsia" w:cs="宋体"/>
          <w:color w:val="000000" w:themeColor="text1"/>
          <w:sz w:val="21"/>
          <w:szCs w:val="21"/>
          <w14:textFill>
            <w14:solidFill>
              <w14:schemeClr w14:val="tx1"/>
            </w14:solidFill>
          </w14:textFill>
        </w:rPr>
        <w:t>关于承包人违约解除合同的特别约定：</w:t>
      </w:r>
      <w:r>
        <w:rPr>
          <w:rFonts w:hint="eastAsia" w:cs="宋体"/>
          <w:color w:val="000000" w:themeColor="text1"/>
          <w:sz w:val="21"/>
          <w:szCs w:val="21"/>
          <w:u w:val="single"/>
          <w14:textFill>
            <w14:solidFill>
              <w14:schemeClr w14:val="tx1"/>
            </w14:solidFill>
          </w14:textFill>
        </w:rPr>
        <w:t xml:space="preserve"> （1）承包人将其承包的全部工程转包给他人或者肢解以后以分包的名义分别转包给他人。</w:t>
      </w:r>
    </w:p>
    <w:p w14:paraId="5217DADB">
      <w:pPr>
        <w:adjustRightInd w:val="0"/>
        <w:snapToGrid w:val="0"/>
        <w:spacing w:line="360" w:lineRule="auto"/>
        <w:ind w:firstLine="420" w:firstLineChars="200"/>
        <w:rPr>
          <w:rFonts w:hint="eastAsia"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（2）承包人未经发包人事先书面同意将部分工程分包他人。</w:t>
      </w:r>
    </w:p>
    <w:p w14:paraId="1D3BE8EA">
      <w:pPr>
        <w:adjustRightInd w:val="0"/>
        <w:snapToGrid w:val="0"/>
        <w:spacing w:line="360" w:lineRule="auto"/>
        <w:ind w:firstLine="420" w:firstLineChars="200"/>
        <w:rPr>
          <w:rFonts w:cs="宋体"/>
          <w:color w:val="000000" w:themeColor="text1"/>
          <w:sz w:val="21"/>
          <w:szCs w:val="21"/>
          <w:u w:val="single"/>
          <w14:textFill>
            <w14:solidFill>
              <w14:schemeClr w14:val="tx1"/>
            </w14:solidFill>
          </w14:textFill>
        </w:rPr>
      </w:pPr>
      <w:r>
        <w:rPr>
          <w:rFonts w:hint="eastAsia" w:cs="宋体"/>
          <w:color w:val="000000" w:themeColor="text1"/>
          <w:sz w:val="21"/>
          <w:szCs w:val="21"/>
          <w:u w:val="single"/>
          <w14:textFill>
            <w14:solidFill>
              <w14:schemeClr w14:val="tx1"/>
            </w14:solidFill>
          </w14:textFill>
        </w:rPr>
        <w:t xml:space="preserve">（3）工程质量达不到合格标准  </w:t>
      </w:r>
      <w:r>
        <w:rPr>
          <w:rFonts w:hint="eastAsia" w:cs="宋体"/>
          <w:color w:val="000000" w:themeColor="text1"/>
          <w:sz w:val="21"/>
          <w:szCs w:val="21"/>
          <w14:textFill>
            <w14:solidFill>
              <w14:schemeClr w14:val="tx1"/>
            </w14:solidFill>
          </w14:textFill>
        </w:rPr>
        <w:t>。</w:t>
      </w:r>
    </w:p>
    <w:p w14:paraId="652A11AD">
      <w:pPr>
        <w:adjustRightInd w:val="0"/>
        <w:snapToGrid w:val="0"/>
        <w:spacing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发包人继续使用承包人在施工现场的材料、设备、临时工程、承包人文件和由承包人或以其名义编制的其他文件的费用承担方式：</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u w:val="single"/>
          <w:lang w:val="en-US" w:eastAsia="zh-CN"/>
          <w14:textFill>
            <w14:solidFill>
              <w14:schemeClr w14:val="tx1"/>
            </w14:solidFill>
          </w14:textFill>
        </w:rPr>
        <w:t>由承包人承担</w:t>
      </w:r>
      <w:r>
        <w:rPr>
          <w:rFonts w:hint="eastAsia" w:cs="宋体"/>
          <w:color w:val="000000" w:themeColor="text1"/>
          <w:sz w:val="21"/>
          <w:szCs w:val="21"/>
          <w:u w:val="single"/>
          <w14:textFill>
            <w14:solidFill>
              <w14:schemeClr w14:val="tx1"/>
            </w14:solidFill>
          </w14:textFill>
        </w:rPr>
        <w:t xml:space="preserve"> </w:t>
      </w:r>
      <w:r>
        <w:rPr>
          <w:rFonts w:hint="eastAsia" w:cs="宋体"/>
          <w:color w:val="000000" w:themeColor="text1"/>
          <w:sz w:val="21"/>
          <w:szCs w:val="21"/>
          <w14:textFill>
            <w14:solidFill>
              <w14:schemeClr w14:val="tx1"/>
            </w14:solidFill>
          </w14:textFill>
        </w:rPr>
        <w:t>。</w:t>
      </w:r>
    </w:p>
    <w:p w14:paraId="01E23FAA">
      <w:pPr>
        <w:snapToGrid w:val="0"/>
        <w:spacing w:before="312" w:beforeLines="100" w:after="312" w:afterLines="100" w:line="360" w:lineRule="auto"/>
        <w:outlineLvl w:val="2"/>
        <w:rPr>
          <w:rFonts w:cs="宋体"/>
          <w:color w:val="auto"/>
          <w:sz w:val="21"/>
          <w:szCs w:val="21"/>
        </w:rPr>
      </w:pPr>
      <w:bookmarkStart w:id="674" w:name="_Toc351203649"/>
      <w:r>
        <w:rPr>
          <w:rFonts w:hint="eastAsia" w:cs="宋体"/>
          <w:color w:val="auto"/>
          <w:sz w:val="21"/>
          <w:szCs w:val="21"/>
        </w:rPr>
        <w:t>17. 不可抗力</w:t>
      </w:r>
      <w:bookmarkEnd w:id="674"/>
      <w:r>
        <w:rPr>
          <w:rFonts w:hint="eastAsia" w:cs="宋体"/>
          <w:color w:val="auto"/>
          <w:sz w:val="21"/>
          <w:szCs w:val="21"/>
        </w:rPr>
        <w:t xml:space="preserve"> </w:t>
      </w:r>
      <w:bookmarkEnd w:id="672"/>
    </w:p>
    <w:p w14:paraId="5AA971B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17.1 不可抗力的确认</w:t>
      </w:r>
    </w:p>
    <w:p w14:paraId="47631DAA">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除通用合同条款约定的不可抗力事件之外，视为不可抗力的其他情形：</w:t>
      </w:r>
      <w:r>
        <w:rPr>
          <w:rFonts w:hint="eastAsia" w:cs="宋体"/>
          <w:color w:val="auto"/>
          <w:sz w:val="21"/>
          <w:szCs w:val="21"/>
          <w:u w:val="single"/>
        </w:rPr>
        <w:t>执行通用条款</w:t>
      </w:r>
      <w:r>
        <w:rPr>
          <w:rFonts w:hint="eastAsia" w:cs="宋体"/>
          <w:color w:val="auto"/>
          <w:sz w:val="21"/>
          <w:szCs w:val="21"/>
        </w:rPr>
        <w:t>。</w:t>
      </w:r>
    </w:p>
    <w:p w14:paraId="7753AB0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17.4 因不可抗力解除合同</w:t>
      </w:r>
    </w:p>
    <w:p w14:paraId="2F29902D">
      <w:pPr>
        <w:adjustRightInd w:val="0"/>
        <w:snapToGrid w:val="0"/>
        <w:spacing w:line="360" w:lineRule="auto"/>
        <w:ind w:firstLine="420" w:firstLineChars="200"/>
        <w:rPr>
          <w:rFonts w:cs="宋体"/>
          <w:color w:val="auto"/>
          <w:sz w:val="21"/>
          <w:szCs w:val="21"/>
        </w:rPr>
      </w:pPr>
      <w:r>
        <w:rPr>
          <w:rFonts w:hint="eastAsia" w:cs="宋体"/>
          <w:color w:val="auto"/>
          <w:sz w:val="21"/>
          <w:szCs w:val="21"/>
        </w:rPr>
        <w:t>合同解除后，发包人应在商定或确定发包人应支付款项后</w:t>
      </w:r>
      <w:r>
        <w:rPr>
          <w:rFonts w:hint="eastAsia" w:cs="宋体"/>
          <w:color w:val="auto"/>
          <w:sz w:val="21"/>
          <w:szCs w:val="21"/>
          <w:u w:val="single"/>
        </w:rPr>
        <w:t>28</w:t>
      </w:r>
      <w:r>
        <w:rPr>
          <w:rFonts w:hint="eastAsia" w:cs="宋体"/>
          <w:color w:val="auto"/>
          <w:sz w:val="21"/>
          <w:szCs w:val="21"/>
        </w:rPr>
        <w:t>天内完成款项的支付。</w:t>
      </w:r>
    </w:p>
    <w:p w14:paraId="1CB963E4">
      <w:pPr>
        <w:snapToGrid w:val="0"/>
        <w:spacing w:before="312" w:beforeLines="100" w:after="312" w:afterLines="100" w:line="360" w:lineRule="auto"/>
        <w:outlineLvl w:val="2"/>
        <w:rPr>
          <w:rFonts w:cs="宋体"/>
          <w:color w:val="auto"/>
          <w:sz w:val="21"/>
          <w:szCs w:val="21"/>
        </w:rPr>
      </w:pPr>
      <w:bookmarkStart w:id="675" w:name="_Toc351203650"/>
      <w:r>
        <w:rPr>
          <w:rFonts w:hint="eastAsia" w:cs="宋体"/>
          <w:color w:val="auto"/>
          <w:sz w:val="21"/>
          <w:szCs w:val="21"/>
        </w:rPr>
        <w:t>18. 保险</w:t>
      </w:r>
      <w:bookmarkEnd w:id="675"/>
    </w:p>
    <w:bookmarkEnd w:id="673"/>
    <w:p w14:paraId="0A6F1499">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18.1 工程保险</w:t>
      </w:r>
    </w:p>
    <w:p w14:paraId="5294AE20">
      <w:pPr>
        <w:adjustRightInd w:val="0"/>
        <w:snapToGrid w:val="0"/>
        <w:spacing w:line="360" w:lineRule="auto"/>
        <w:ind w:firstLine="420" w:firstLineChars="200"/>
        <w:rPr>
          <w:rFonts w:cs="宋体"/>
          <w:b/>
          <w:color w:val="auto"/>
          <w:sz w:val="21"/>
          <w:szCs w:val="21"/>
        </w:rPr>
      </w:pPr>
      <w:r>
        <w:rPr>
          <w:rFonts w:hint="eastAsia" w:cs="宋体"/>
          <w:color w:val="auto"/>
          <w:sz w:val="21"/>
          <w:szCs w:val="21"/>
        </w:rPr>
        <w:t>关于工程保险的特别约定：</w:t>
      </w:r>
      <w:r>
        <w:rPr>
          <w:rFonts w:hint="eastAsia" w:cs="宋体"/>
          <w:b/>
          <w:color w:val="FF0000"/>
          <w:sz w:val="21"/>
          <w:szCs w:val="21"/>
          <w:u w:val="single"/>
        </w:rPr>
        <w:t xml:space="preserve">   乙方应投保建筑工程一切险或安装工程一切险    </w:t>
      </w:r>
      <w:r>
        <w:rPr>
          <w:rFonts w:hint="eastAsia" w:cs="宋体"/>
          <w:b/>
          <w:color w:val="FF0000"/>
          <w:sz w:val="21"/>
          <w:szCs w:val="21"/>
        </w:rPr>
        <w:t>。</w:t>
      </w:r>
    </w:p>
    <w:p w14:paraId="15E0DE05">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18.3 其他保险</w:t>
      </w:r>
    </w:p>
    <w:p w14:paraId="74E39E58">
      <w:pPr>
        <w:adjustRightInd w:val="0"/>
        <w:snapToGrid w:val="0"/>
        <w:spacing w:line="360" w:lineRule="auto"/>
        <w:ind w:firstLine="420" w:firstLineChars="200"/>
        <w:rPr>
          <w:rFonts w:cs="宋体"/>
          <w:b/>
          <w:bCs/>
          <w:color w:val="FF0000"/>
          <w:sz w:val="21"/>
          <w:szCs w:val="21"/>
          <w:u w:val="single"/>
        </w:rPr>
      </w:pPr>
      <w:r>
        <w:rPr>
          <w:rFonts w:hint="eastAsia" w:cs="宋体"/>
          <w:color w:val="auto"/>
          <w:sz w:val="21"/>
          <w:szCs w:val="21"/>
        </w:rPr>
        <w:t>关于其他保险的约定：</w:t>
      </w:r>
      <w:r>
        <w:rPr>
          <w:rFonts w:hint="eastAsia" w:cs="宋体"/>
          <w:b/>
          <w:bCs/>
          <w:color w:val="FF0000"/>
          <w:sz w:val="21"/>
          <w:szCs w:val="21"/>
          <w:u w:val="single"/>
        </w:rPr>
        <w:t>乙方须为本项目所有从业人员购买以下保险（</w:t>
      </w:r>
      <w:r>
        <w:rPr>
          <w:rFonts w:hint="eastAsia" w:cs="宋体"/>
          <w:b/>
          <w:bCs/>
          <w:color w:val="FF0000"/>
          <w:sz w:val="21"/>
          <w:szCs w:val="21"/>
          <w:u w:val="single"/>
          <w:lang w:eastAsia="zh-CN"/>
        </w:rPr>
        <w:t>三者任选其一</w:t>
      </w:r>
      <w:r>
        <w:rPr>
          <w:rFonts w:hint="eastAsia" w:cs="宋体"/>
          <w:b/>
          <w:bCs/>
          <w:color w:val="FF0000"/>
          <w:sz w:val="21"/>
          <w:szCs w:val="21"/>
          <w:u w:val="single"/>
        </w:rPr>
        <w:t>）：</w:t>
      </w:r>
      <w:r>
        <w:rPr>
          <w:rFonts w:hint="eastAsia" w:cs="宋体"/>
          <w:b/>
          <w:bCs/>
          <w:color w:val="FF0000"/>
          <w:sz w:val="21"/>
          <w:szCs w:val="21"/>
          <w:highlight w:val="yellow"/>
          <w:u w:val="single"/>
        </w:rPr>
        <w:t>雇主责任险或团体意外险</w:t>
      </w:r>
      <w:r>
        <w:rPr>
          <w:rFonts w:hint="eastAsia" w:cs="宋体"/>
          <w:b/>
          <w:bCs/>
          <w:color w:val="FF0000"/>
          <w:sz w:val="21"/>
          <w:szCs w:val="21"/>
          <w:highlight w:val="yellow"/>
          <w:u w:val="single"/>
          <w:lang w:val="en-US" w:eastAsia="zh-CN"/>
        </w:rPr>
        <w:t>或安全生产责任险</w:t>
      </w:r>
      <w:r>
        <w:rPr>
          <w:rFonts w:hint="eastAsia" w:cs="宋体"/>
          <w:b/>
          <w:bCs/>
          <w:color w:val="FF0000"/>
          <w:sz w:val="21"/>
          <w:szCs w:val="21"/>
          <w:highlight w:val="yellow"/>
          <w:u w:val="single"/>
        </w:rPr>
        <w:t>，</w:t>
      </w:r>
      <w:r>
        <w:rPr>
          <w:rFonts w:hint="eastAsia" w:cs="宋体"/>
          <w:b/>
          <w:bCs/>
          <w:color w:val="FF0000"/>
          <w:sz w:val="21"/>
          <w:szCs w:val="21"/>
          <w:u w:val="single"/>
        </w:rPr>
        <w:t>其保险费已包含在签约合同价中。</w:t>
      </w:r>
    </w:p>
    <w:p w14:paraId="365FB493">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承包人是否应为其施工设备等办理财产保险：</w:t>
      </w:r>
      <w:r>
        <w:rPr>
          <w:rFonts w:hint="eastAsia" w:cs="宋体"/>
          <w:color w:val="auto"/>
          <w:sz w:val="21"/>
          <w:szCs w:val="21"/>
          <w:u w:val="single"/>
        </w:rPr>
        <w:t>执行通用条款</w:t>
      </w:r>
      <w:r>
        <w:rPr>
          <w:rFonts w:hint="eastAsia" w:cs="宋体"/>
          <w:color w:val="auto"/>
          <w:sz w:val="21"/>
          <w:szCs w:val="21"/>
        </w:rPr>
        <w:t>。</w:t>
      </w:r>
    </w:p>
    <w:p w14:paraId="1B9854A7">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18.7 通知义务</w:t>
      </w:r>
    </w:p>
    <w:p w14:paraId="044B14C4">
      <w:pPr>
        <w:adjustRightInd w:val="0"/>
        <w:snapToGrid w:val="0"/>
        <w:spacing w:line="360" w:lineRule="auto"/>
        <w:ind w:firstLine="420" w:firstLineChars="200"/>
        <w:rPr>
          <w:rFonts w:cs="宋体"/>
          <w:b/>
          <w:color w:val="auto"/>
          <w:sz w:val="21"/>
          <w:szCs w:val="21"/>
          <w:u w:val="single"/>
        </w:rPr>
      </w:pPr>
      <w:r>
        <w:rPr>
          <w:rFonts w:hint="eastAsia" w:cs="宋体"/>
          <w:color w:val="auto"/>
          <w:sz w:val="21"/>
          <w:szCs w:val="21"/>
        </w:rPr>
        <w:t>关于变更保险合同时的通知义务的约定：</w:t>
      </w:r>
      <w:r>
        <w:rPr>
          <w:rFonts w:hint="eastAsia" w:cs="宋体"/>
          <w:color w:val="auto"/>
          <w:sz w:val="21"/>
          <w:szCs w:val="21"/>
          <w:u w:val="single"/>
        </w:rPr>
        <w:t>执行通用条款</w:t>
      </w:r>
      <w:r>
        <w:rPr>
          <w:rFonts w:hint="eastAsia" w:cs="宋体"/>
          <w:color w:val="auto"/>
          <w:sz w:val="21"/>
          <w:szCs w:val="21"/>
        </w:rPr>
        <w:t>。</w:t>
      </w:r>
    </w:p>
    <w:bookmarkEnd w:id="649"/>
    <w:bookmarkEnd w:id="650"/>
    <w:bookmarkEnd w:id="651"/>
    <w:bookmarkEnd w:id="652"/>
    <w:bookmarkEnd w:id="653"/>
    <w:bookmarkEnd w:id="654"/>
    <w:bookmarkEnd w:id="655"/>
    <w:bookmarkEnd w:id="656"/>
    <w:bookmarkEnd w:id="657"/>
    <w:bookmarkEnd w:id="658"/>
    <w:bookmarkEnd w:id="659"/>
    <w:bookmarkEnd w:id="660"/>
    <w:p w14:paraId="0A484926">
      <w:pPr>
        <w:snapToGrid w:val="0"/>
        <w:spacing w:before="312" w:beforeLines="100" w:after="312" w:afterLines="100" w:line="360" w:lineRule="auto"/>
        <w:outlineLvl w:val="2"/>
        <w:rPr>
          <w:rFonts w:cs="宋体"/>
          <w:color w:val="auto"/>
          <w:sz w:val="21"/>
          <w:szCs w:val="21"/>
        </w:rPr>
      </w:pPr>
      <w:bookmarkStart w:id="676" w:name="_Toc351203651"/>
      <w:r>
        <w:rPr>
          <w:rFonts w:hint="eastAsia" w:cs="宋体"/>
          <w:color w:val="auto"/>
          <w:sz w:val="21"/>
          <w:szCs w:val="21"/>
        </w:rPr>
        <w:t>20. 争议解决</w:t>
      </w:r>
      <w:bookmarkEnd w:id="676"/>
    </w:p>
    <w:bookmarkEnd w:id="661"/>
    <w:bookmarkEnd w:id="662"/>
    <w:p w14:paraId="6A3D3663">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20.3 争</w:t>
      </w:r>
      <w:bookmarkEnd w:id="663"/>
      <w:r>
        <w:rPr>
          <w:rFonts w:hint="eastAsia" w:cs="宋体"/>
          <w:bCs/>
          <w:color w:val="auto"/>
          <w:sz w:val="21"/>
          <w:szCs w:val="21"/>
        </w:rPr>
        <w:t>议评审</w:t>
      </w:r>
    </w:p>
    <w:p w14:paraId="398F7949">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合同当事人是否同意将工程争议提交争议评审小组决定：</w:t>
      </w:r>
      <w:r>
        <w:rPr>
          <w:rFonts w:hint="eastAsia" w:cs="宋体"/>
          <w:color w:val="auto"/>
          <w:sz w:val="21"/>
          <w:szCs w:val="21"/>
          <w:u w:val="single"/>
        </w:rPr>
        <w:t xml:space="preserve">               </w:t>
      </w:r>
      <w:r>
        <w:rPr>
          <w:rFonts w:hint="eastAsia" w:cs="宋体"/>
          <w:color w:val="auto"/>
          <w:sz w:val="21"/>
          <w:szCs w:val="21"/>
        </w:rPr>
        <w:t>。</w:t>
      </w:r>
    </w:p>
    <w:p w14:paraId="3848FCD2">
      <w:pPr>
        <w:adjustRightInd w:val="0"/>
        <w:snapToGrid w:val="0"/>
        <w:spacing w:line="360" w:lineRule="auto"/>
        <w:ind w:firstLine="420" w:firstLineChars="200"/>
        <w:rPr>
          <w:rFonts w:cs="宋体"/>
          <w:color w:val="auto"/>
          <w:sz w:val="21"/>
          <w:szCs w:val="21"/>
        </w:rPr>
      </w:pPr>
      <w:r>
        <w:rPr>
          <w:rFonts w:hint="eastAsia" w:cs="宋体"/>
          <w:color w:val="auto"/>
          <w:sz w:val="21"/>
          <w:szCs w:val="21"/>
        </w:rPr>
        <w:t>20.3.1 争议评审小组的确定</w:t>
      </w:r>
    </w:p>
    <w:p w14:paraId="1A7DAAE1">
      <w:pPr>
        <w:adjustRightInd w:val="0"/>
        <w:snapToGrid w:val="0"/>
        <w:spacing w:line="360" w:lineRule="auto"/>
        <w:ind w:firstLine="420" w:firstLineChars="200"/>
        <w:rPr>
          <w:rFonts w:cs="宋体"/>
          <w:color w:val="auto"/>
          <w:sz w:val="21"/>
          <w:szCs w:val="21"/>
          <w:u w:val="single"/>
        </w:rPr>
      </w:pPr>
      <w:r>
        <w:rPr>
          <w:rFonts w:hint="eastAsia" w:cs="宋体"/>
          <w:color w:val="auto"/>
          <w:sz w:val="21"/>
          <w:szCs w:val="21"/>
        </w:rPr>
        <w:t>争议评审小组成员的确定：</w:t>
      </w:r>
      <w:r>
        <w:rPr>
          <w:rFonts w:hint="eastAsia" w:cs="宋体"/>
          <w:color w:val="auto"/>
          <w:sz w:val="21"/>
          <w:szCs w:val="21"/>
          <w:u w:val="single"/>
        </w:rPr>
        <w:t xml:space="preserve">                             </w:t>
      </w:r>
      <w:r>
        <w:rPr>
          <w:rFonts w:hint="eastAsia" w:cs="宋体"/>
          <w:color w:val="auto"/>
          <w:sz w:val="21"/>
          <w:szCs w:val="21"/>
        </w:rPr>
        <w:t>。</w:t>
      </w:r>
    </w:p>
    <w:p w14:paraId="6D4D90FA">
      <w:pPr>
        <w:adjustRightInd w:val="0"/>
        <w:snapToGrid w:val="0"/>
        <w:spacing w:line="360" w:lineRule="auto"/>
        <w:ind w:firstLine="420" w:firstLineChars="200"/>
        <w:rPr>
          <w:rFonts w:cs="宋体"/>
          <w:color w:val="auto"/>
          <w:sz w:val="21"/>
          <w:szCs w:val="21"/>
        </w:rPr>
      </w:pPr>
      <w:r>
        <w:rPr>
          <w:rFonts w:hint="eastAsia" w:cs="宋体"/>
          <w:color w:val="auto"/>
          <w:sz w:val="21"/>
          <w:szCs w:val="21"/>
        </w:rPr>
        <w:t>选定争议评审员的期限：</w:t>
      </w:r>
      <w:r>
        <w:rPr>
          <w:rFonts w:hint="eastAsia" w:cs="宋体"/>
          <w:color w:val="auto"/>
          <w:sz w:val="21"/>
          <w:szCs w:val="21"/>
          <w:u w:val="single"/>
        </w:rPr>
        <w:t xml:space="preserve">                               </w:t>
      </w:r>
      <w:r>
        <w:rPr>
          <w:rFonts w:hint="eastAsia" w:cs="宋体"/>
          <w:color w:val="auto"/>
          <w:sz w:val="21"/>
          <w:szCs w:val="21"/>
        </w:rPr>
        <w:t>。</w:t>
      </w:r>
    </w:p>
    <w:p w14:paraId="500A404F">
      <w:pPr>
        <w:adjustRightInd w:val="0"/>
        <w:snapToGrid w:val="0"/>
        <w:spacing w:line="360" w:lineRule="auto"/>
        <w:ind w:firstLine="420" w:firstLineChars="200"/>
        <w:rPr>
          <w:rFonts w:cs="宋体"/>
          <w:color w:val="auto"/>
          <w:sz w:val="21"/>
          <w:szCs w:val="21"/>
        </w:rPr>
      </w:pPr>
      <w:r>
        <w:rPr>
          <w:rFonts w:hint="eastAsia" w:cs="宋体"/>
          <w:color w:val="auto"/>
          <w:sz w:val="21"/>
          <w:szCs w:val="21"/>
        </w:rPr>
        <w:t>争议评审小组成员的报酬承担方式：</w:t>
      </w:r>
      <w:r>
        <w:rPr>
          <w:rFonts w:hint="eastAsia" w:cs="宋体"/>
          <w:color w:val="auto"/>
          <w:sz w:val="21"/>
          <w:szCs w:val="21"/>
          <w:u w:val="single"/>
        </w:rPr>
        <w:t xml:space="preserve">                     </w:t>
      </w:r>
      <w:r>
        <w:rPr>
          <w:rFonts w:hint="eastAsia" w:cs="宋体"/>
          <w:color w:val="auto"/>
          <w:sz w:val="21"/>
          <w:szCs w:val="21"/>
        </w:rPr>
        <w:t>。</w:t>
      </w:r>
    </w:p>
    <w:p w14:paraId="6CD643C0">
      <w:pPr>
        <w:adjustRightInd w:val="0"/>
        <w:snapToGrid w:val="0"/>
        <w:spacing w:line="360" w:lineRule="auto"/>
        <w:ind w:firstLine="420" w:firstLineChars="200"/>
        <w:rPr>
          <w:rFonts w:cs="宋体"/>
          <w:color w:val="auto"/>
          <w:sz w:val="21"/>
          <w:szCs w:val="21"/>
        </w:rPr>
      </w:pPr>
      <w:r>
        <w:rPr>
          <w:rFonts w:hint="eastAsia" w:cs="宋体"/>
          <w:color w:val="auto"/>
          <w:sz w:val="21"/>
          <w:szCs w:val="21"/>
        </w:rPr>
        <w:t>其他事项的约定：</w:t>
      </w:r>
      <w:r>
        <w:rPr>
          <w:rFonts w:hint="eastAsia" w:cs="宋体"/>
          <w:color w:val="auto"/>
          <w:sz w:val="21"/>
          <w:szCs w:val="21"/>
          <w:u w:val="single"/>
        </w:rPr>
        <w:t xml:space="preserve">                                     </w:t>
      </w:r>
      <w:r>
        <w:rPr>
          <w:rFonts w:hint="eastAsia" w:cs="宋体"/>
          <w:color w:val="auto"/>
          <w:sz w:val="21"/>
          <w:szCs w:val="21"/>
        </w:rPr>
        <w:t>。</w:t>
      </w:r>
    </w:p>
    <w:p w14:paraId="07C2129E">
      <w:pPr>
        <w:adjustRightInd w:val="0"/>
        <w:snapToGrid w:val="0"/>
        <w:spacing w:line="360" w:lineRule="auto"/>
        <w:ind w:firstLine="420" w:firstLineChars="200"/>
        <w:rPr>
          <w:rFonts w:cs="宋体"/>
          <w:color w:val="auto"/>
          <w:sz w:val="21"/>
          <w:szCs w:val="21"/>
        </w:rPr>
      </w:pPr>
      <w:r>
        <w:rPr>
          <w:rFonts w:hint="eastAsia" w:cs="宋体"/>
          <w:color w:val="auto"/>
          <w:sz w:val="21"/>
          <w:szCs w:val="21"/>
        </w:rPr>
        <w:t>20.3.2 争议评审小组的决定</w:t>
      </w:r>
    </w:p>
    <w:p w14:paraId="7193E817">
      <w:pPr>
        <w:adjustRightInd w:val="0"/>
        <w:snapToGrid w:val="0"/>
        <w:spacing w:line="360" w:lineRule="auto"/>
        <w:ind w:firstLine="420" w:firstLineChars="200"/>
        <w:rPr>
          <w:rFonts w:cs="宋体"/>
          <w:color w:val="auto"/>
          <w:sz w:val="21"/>
          <w:szCs w:val="21"/>
        </w:rPr>
      </w:pPr>
      <w:r>
        <w:rPr>
          <w:rFonts w:hint="eastAsia" w:cs="宋体"/>
          <w:color w:val="auto"/>
          <w:sz w:val="21"/>
          <w:szCs w:val="21"/>
        </w:rPr>
        <w:t>合同当事人关于本项的约定：</w:t>
      </w:r>
      <w:r>
        <w:rPr>
          <w:rFonts w:hint="eastAsia" w:cs="宋体"/>
          <w:color w:val="auto"/>
          <w:sz w:val="21"/>
          <w:szCs w:val="21"/>
          <w:u w:val="single"/>
        </w:rPr>
        <w:t xml:space="preserve">                           </w:t>
      </w:r>
      <w:r>
        <w:rPr>
          <w:rFonts w:hint="eastAsia" w:cs="宋体"/>
          <w:color w:val="auto"/>
          <w:sz w:val="21"/>
          <w:szCs w:val="21"/>
        </w:rPr>
        <w:t>。</w:t>
      </w:r>
    </w:p>
    <w:p w14:paraId="642BB9A1">
      <w:pPr>
        <w:keepNext/>
        <w:keepLines/>
        <w:snapToGrid w:val="0"/>
        <w:spacing w:before="120" w:after="120" w:line="360" w:lineRule="auto"/>
        <w:ind w:firstLine="420" w:firstLineChars="200"/>
        <w:outlineLvl w:val="3"/>
        <w:rPr>
          <w:rFonts w:cs="宋体"/>
          <w:bCs/>
          <w:color w:val="auto"/>
          <w:sz w:val="21"/>
          <w:szCs w:val="21"/>
        </w:rPr>
      </w:pPr>
      <w:r>
        <w:rPr>
          <w:rFonts w:hint="eastAsia" w:cs="宋体"/>
          <w:bCs/>
          <w:color w:val="auto"/>
          <w:sz w:val="21"/>
          <w:szCs w:val="21"/>
        </w:rPr>
        <w:t>20.4 仲裁或诉讼</w:t>
      </w:r>
      <w:bookmarkEnd w:id="664"/>
    </w:p>
    <w:bookmarkEnd w:id="665"/>
    <w:bookmarkEnd w:id="666"/>
    <w:bookmarkEnd w:id="667"/>
    <w:bookmarkEnd w:id="668"/>
    <w:bookmarkEnd w:id="669"/>
    <w:bookmarkEnd w:id="670"/>
    <w:p w14:paraId="547D796D">
      <w:pPr>
        <w:adjustRightInd w:val="0"/>
        <w:snapToGrid w:val="0"/>
        <w:spacing w:line="360" w:lineRule="auto"/>
        <w:ind w:firstLine="420" w:firstLineChars="200"/>
        <w:rPr>
          <w:rFonts w:cs="宋体"/>
          <w:color w:val="auto"/>
          <w:sz w:val="21"/>
          <w:szCs w:val="21"/>
        </w:rPr>
      </w:pPr>
      <w:r>
        <w:rPr>
          <w:rFonts w:hint="eastAsia" w:cs="宋体"/>
          <w:color w:val="auto"/>
          <w:sz w:val="21"/>
          <w:szCs w:val="21"/>
        </w:rPr>
        <w:t>因合同及合同有关事项发生的争议，按下列</w:t>
      </w:r>
      <w:r>
        <w:rPr>
          <w:rFonts w:hint="eastAsia" w:cs="宋体"/>
          <w:b/>
          <w:bCs/>
          <w:color w:val="auto"/>
          <w:sz w:val="21"/>
          <w:szCs w:val="21"/>
        </w:rPr>
        <w:t>第</w:t>
      </w:r>
      <w:r>
        <w:rPr>
          <w:rFonts w:hint="eastAsia" w:cs="宋体"/>
          <w:b/>
          <w:bCs/>
          <w:color w:val="auto"/>
          <w:sz w:val="21"/>
          <w:szCs w:val="21"/>
          <w:u w:val="single"/>
        </w:rPr>
        <w:t xml:space="preserve"> 2 </w:t>
      </w:r>
      <w:r>
        <w:rPr>
          <w:rFonts w:hint="eastAsia" w:cs="宋体"/>
          <w:b/>
          <w:bCs/>
          <w:color w:val="auto"/>
          <w:sz w:val="21"/>
          <w:szCs w:val="21"/>
        </w:rPr>
        <w:t>种</w:t>
      </w:r>
      <w:r>
        <w:rPr>
          <w:rFonts w:hint="eastAsia" w:cs="宋体"/>
          <w:color w:val="auto"/>
          <w:sz w:val="21"/>
          <w:szCs w:val="21"/>
        </w:rPr>
        <w:t>方式解决：</w:t>
      </w:r>
    </w:p>
    <w:p w14:paraId="06117265">
      <w:pPr>
        <w:numPr>
          <w:ilvl w:val="0"/>
          <w:numId w:val="9"/>
        </w:numPr>
        <w:adjustRightInd w:val="0"/>
        <w:snapToGrid w:val="0"/>
        <w:spacing w:line="360" w:lineRule="auto"/>
        <w:ind w:firstLine="420" w:firstLineChars="200"/>
        <w:rPr>
          <w:rFonts w:cs="宋体"/>
          <w:color w:val="auto"/>
          <w:sz w:val="21"/>
          <w:szCs w:val="21"/>
        </w:rPr>
      </w:pPr>
      <w:r>
        <w:rPr>
          <w:rFonts w:hint="eastAsia" w:cs="宋体"/>
          <w:color w:val="auto"/>
          <w:sz w:val="21"/>
          <w:szCs w:val="21"/>
        </w:rPr>
        <w:t>向</w:t>
      </w:r>
      <w:r>
        <w:rPr>
          <w:rFonts w:hint="eastAsia" w:cs="宋体"/>
          <w:color w:val="auto"/>
          <w:sz w:val="21"/>
          <w:szCs w:val="21"/>
          <w:u w:val="single"/>
        </w:rPr>
        <w:t xml:space="preserve"> </w:t>
      </w:r>
      <w:r>
        <w:rPr>
          <w:rFonts w:hint="eastAsia" w:cs="宋体"/>
          <w:color w:val="auto"/>
          <w:sz w:val="24"/>
          <w:szCs w:val="24"/>
          <w:highlight w:val="none"/>
          <w:u w:val="single"/>
          <w:lang w:val="en-US" w:eastAsia="zh-CN"/>
        </w:rPr>
        <w:t>甲方</w:t>
      </w:r>
      <w:r>
        <w:rPr>
          <w:rFonts w:hint="eastAsia" w:cs="宋体"/>
          <w:color w:val="auto"/>
          <w:sz w:val="24"/>
          <w:szCs w:val="24"/>
          <w:highlight w:val="none"/>
          <w:u w:val="single"/>
        </w:rPr>
        <w:t>法人证书登记的住所地</w:t>
      </w:r>
      <w:r>
        <w:rPr>
          <w:rFonts w:hint="eastAsia" w:cs="宋体"/>
          <w:color w:val="auto"/>
          <w:sz w:val="21"/>
          <w:szCs w:val="21"/>
          <w:u w:val="single"/>
        </w:rPr>
        <w:t xml:space="preserve"> </w:t>
      </w:r>
      <w:r>
        <w:rPr>
          <w:rFonts w:hint="eastAsia" w:cs="宋体"/>
          <w:color w:val="auto"/>
          <w:sz w:val="21"/>
          <w:szCs w:val="21"/>
        </w:rPr>
        <w:t>仲裁委员会申请仲裁；</w:t>
      </w:r>
    </w:p>
    <w:p w14:paraId="6ECA7517">
      <w:pPr>
        <w:adjustRightInd w:val="0"/>
        <w:snapToGrid w:val="0"/>
        <w:spacing w:line="360" w:lineRule="auto"/>
        <w:ind w:firstLine="420" w:firstLineChars="200"/>
        <w:rPr>
          <w:rFonts w:cs="宋体"/>
          <w:color w:val="auto"/>
          <w:sz w:val="21"/>
          <w:szCs w:val="21"/>
        </w:rPr>
      </w:pPr>
      <w:r>
        <w:rPr>
          <w:rFonts w:hint="eastAsia" w:cs="宋体"/>
          <w:color w:val="auto"/>
          <w:sz w:val="21"/>
          <w:szCs w:val="21"/>
        </w:rPr>
        <w:t>（2）向</w:t>
      </w:r>
      <w:r>
        <w:rPr>
          <w:rFonts w:hint="eastAsia" w:cs="宋体"/>
          <w:color w:val="auto"/>
          <w:sz w:val="24"/>
          <w:szCs w:val="24"/>
          <w:highlight w:val="none"/>
          <w:u w:val="single"/>
          <w:lang w:val="en-US" w:eastAsia="zh-CN"/>
        </w:rPr>
        <w:t>甲方</w:t>
      </w:r>
      <w:r>
        <w:rPr>
          <w:rFonts w:hint="eastAsia" w:cs="宋体"/>
          <w:color w:val="auto"/>
          <w:sz w:val="24"/>
          <w:szCs w:val="24"/>
          <w:highlight w:val="none"/>
          <w:u w:val="single"/>
        </w:rPr>
        <w:t>法人证书登记的住所地</w:t>
      </w:r>
      <w:r>
        <w:rPr>
          <w:rFonts w:hint="eastAsia" w:cs="宋体"/>
          <w:color w:val="auto"/>
          <w:sz w:val="21"/>
          <w:szCs w:val="21"/>
        </w:rPr>
        <w:t>人民法院起诉。</w:t>
      </w:r>
    </w:p>
    <w:p w14:paraId="4E8B3E5C">
      <w:pPr>
        <w:snapToGrid w:val="0"/>
        <w:spacing w:before="312" w:beforeLines="100" w:after="312" w:afterLines="100" w:line="360" w:lineRule="auto"/>
        <w:outlineLvl w:val="2"/>
        <w:rPr>
          <w:rFonts w:hint="eastAsia" w:cs="宋体"/>
          <w:color w:val="auto"/>
          <w:sz w:val="21"/>
          <w:szCs w:val="21"/>
        </w:rPr>
      </w:pPr>
      <w:r>
        <w:rPr>
          <w:rFonts w:hint="eastAsia" w:cs="宋体"/>
          <w:color w:val="auto"/>
          <w:sz w:val="21"/>
          <w:szCs w:val="21"/>
        </w:rPr>
        <w:t xml:space="preserve">21. 补充条款 </w:t>
      </w:r>
    </w:p>
    <w:p w14:paraId="1852DF79">
      <w:pPr>
        <w:pStyle w:val="20"/>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微软简标宋"/>
          <w:color w:val="auto"/>
          <w:lang w:val="en-US" w:eastAsia="zh-CN"/>
        </w:rPr>
      </w:pPr>
      <w:r>
        <w:rPr>
          <w:rFonts w:hint="eastAsia" w:cs="宋体"/>
          <w:color w:val="auto"/>
          <w:sz w:val="21"/>
          <w:szCs w:val="21"/>
          <w:u w:val="single"/>
        </w:rPr>
        <w:t xml:space="preserve">                           </w:t>
      </w:r>
      <w:r>
        <w:rPr>
          <w:rFonts w:hint="eastAsia" w:cs="宋体"/>
          <w:color w:val="auto"/>
          <w:sz w:val="21"/>
          <w:szCs w:val="21"/>
          <w:u w:val="single"/>
          <w:lang w:val="en-US" w:eastAsia="zh-CN"/>
        </w:rPr>
        <w:t xml:space="preserve">               </w:t>
      </w:r>
    </w:p>
    <w:p w14:paraId="32E87A11">
      <w:pPr>
        <w:snapToGrid w:val="0"/>
        <w:spacing w:line="360" w:lineRule="auto"/>
        <w:rPr>
          <w:rFonts w:cs="宋体"/>
          <w:b/>
          <w:color w:val="auto"/>
          <w:sz w:val="21"/>
          <w:szCs w:val="21"/>
        </w:rPr>
      </w:pPr>
    </w:p>
    <w:p w14:paraId="43006277">
      <w:pPr>
        <w:snapToGrid w:val="0"/>
        <w:spacing w:line="360" w:lineRule="auto"/>
        <w:rPr>
          <w:rFonts w:cs="宋体"/>
          <w:color w:val="auto"/>
          <w:sz w:val="21"/>
          <w:szCs w:val="21"/>
        </w:rPr>
      </w:pPr>
      <w:r>
        <w:rPr>
          <w:rFonts w:hint="eastAsia" w:cs="宋体"/>
          <w:color w:val="auto"/>
          <w:sz w:val="21"/>
          <w:szCs w:val="21"/>
        </w:rPr>
        <w:t>发包人：  （公章）                           承包人：  （公章）</w:t>
      </w:r>
    </w:p>
    <w:p w14:paraId="2486A5D6">
      <w:pPr>
        <w:snapToGrid w:val="0"/>
        <w:spacing w:line="360" w:lineRule="auto"/>
        <w:rPr>
          <w:rFonts w:cs="宋体"/>
          <w:color w:val="auto"/>
          <w:sz w:val="21"/>
          <w:szCs w:val="21"/>
        </w:rPr>
      </w:pPr>
      <w:r>
        <w:rPr>
          <w:rFonts w:hint="eastAsia" w:cs="宋体"/>
          <w:color w:val="auto"/>
          <w:sz w:val="21"/>
          <w:szCs w:val="21"/>
        </w:rPr>
        <w:t>法定代表人或其委托代理人：                 法定代表人或其委托代理人：</w:t>
      </w:r>
    </w:p>
    <w:p w14:paraId="5F9895ED">
      <w:pPr>
        <w:snapToGrid w:val="0"/>
        <w:spacing w:line="360" w:lineRule="auto"/>
        <w:rPr>
          <w:rFonts w:cs="宋体"/>
          <w:color w:val="auto"/>
          <w:sz w:val="21"/>
          <w:szCs w:val="21"/>
        </w:rPr>
      </w:pPr>
      <w:r>
        <w:rPr>
          <w:rFonts w:hint="eastAsia" w:cs="宋体"/>
          <w:color w:val="auto"/>
          <w:sz w:val="21"/>
          <w:szCs w:val="21"/>
        </w:rPr>
        <w:t>（签字）                                  （签字）</w:t>
      </w:r>
    </w:p>
    <w:p w14:paraId="6D9D7ED3">
      <w:pPr>
        <w:snapToGrid w:val="0"/>
        <w:spacing w:line="360" w:lineRule="auto"/>
        <w:rPr>
          <w:rFonts w:cs="宋体"/>
          <w:color w:val="auto"/>
          <w:sz w:val="21"/>
          <w:szCs w:val="21"/>
        </w:rPr>
      </w:pPr>
      <w:r>
        <w:rPr>
          <w:rFonts w:hint="eastAsia" w:cs="宋体"/>
          <w:color w:val="auto"/>
          <w:sz w:val="21"/>
          <w:szCs w:val="21"/>
        </w:rPr>
        <w:t>组织机构代码：</w:t>
      </w:r>
      <w:r>
        <w:rPr>
          <w:rFonts w:hint="eastAsia" w:cs="宋体"/>
          <w:color w:val="auto"/>
          <w:sz w:val="21"/>
          <w:szCs w:val="21"/>
          <w:u w:val="single"/>
        </w:rPr>
        <w:t xml:space="preserve">       </w:t>
      </w:r>
      <w:r>
        <w:rPr>
          <w:rFonts w:hint="eastAsia" w:cs="宋体"/>
          <w:color w:val="auto"/>
          <w:sz w:val="21"/>
          <w:szCs w:val="21"/>
        </w:rPr>
        <w:t xml:space="preserve">                组织机构代码：</w:t>
      </w:r>
      <w:r>
        <w:rPr>
          <w:rFonts w:hint="eastAsia" w:cs="宋体"/>
          <w:color w:val="auto"/>
          <w:sz w:val="21"/>
          <w:szCs w:val="21"/>
          <w:u w:val="single"/>
        </w:rPr>
        <w:t xml:space="preserve">          </w:t>
      </w:r>
      <w:r>
        <w:rPr>
          <w:rFonts w:hint="eastAsia" w:cs="宋体"/>
          <w:color w:val="auto"/>
          <w:sz w:val="21"/>
          <w:szCs w:val="21"/>
        </w:rPr>
        <w:t xml:space="preserve"> </w:t>
      </w:r>
    </w:p>
    <w:p w14:paraId="14137965">
      <w:pPr>
        <w:snapToGrid w:val="0"/>
        <w:spacing w:line="360" w:lineRule="auto"/>
        <w:rPr>
          <w:rFonts w:cs="宋体"/>
          <w:color w:val="auto"/>
          <w:sz w:val="21"/>
          <w:szCs w:val="21"/>
        </w:rPr>
      </w:pPr>
      <w:r>
        <w:rPr>
          <w:rFonts w:hint="eastAsia" w:cs="宋体"/>
          <w:color w:val="auto"/>
          <w:sz w:val="21"/>
          <w:szCs w:val="21"/>
        </w:rPr>
        <w:t>地  址：</w:t>
      </w:r>
      <w:r>
        <w:rPr>
          <w:rFonts w:hint="eastAsia" w:cs="宋体"/>
          <w:color w:val="auto"/>
          <w:sz w:val="21"/>
          <w:szCs w:val="21"/>
          <w:u w:val="single"/>
        </w:rPr>
        <w:t xml:space="preserve">     </w:t>
      </w:r>
      <w:r>
        <w:rPr>
          <w:rFonts w:hint="eastAsia" w:cs="宋体"/>
          <w:color w:val="auto"/>
          <w:sz w:val="21"/>
          <w:szCs w:val="21"/>
        </w:rPr>
        <w:t xml:space="preserve">                地  址：</w:t>
      </w:r>
      <w:r>
        <w:rPr>
          <w:rFonts w:hint="eastAsia" w:cs="宋体"/>
          <w:color w:val="auto"/>
          <w:sz w:val="21"/>
          <w:szCs w:val="21"/>
          <w:u w:val="single"/>
        </w:rPr>
        <w:t xml:space="preserve">        </w:t>
      </w:r>
    </w:p>
    <w:p w14:paraId="66057F6D">
      <w:pPr>
        <w:snapToGrid w:val="0"/>
        <w:spacing w:line="360" w:lineRule="auto"/>
        <w:rPr>
          <w:rFonts w:cs="宋体"/>
          <w:color w:val="auto"/>
          <w:sz w:val="21"/>
          <w:szCs w:val="21"/>
        </w:rPr>
      </w:pPr>
      <w:r>
        <w:rPr>
          <w:rFonts w:hint="eastAsia" w:cs="宋体"/>
          <w:color w:val="auto"/>
          <w:sz w:val="21"/>
          <w:szCs w:val="21"/>
        </w:rPr>
        <w:t>邮政编码：</w:t>
      </w:r>
      <w:r>
        <w:rPr>
          <w:rFonts w:hint="eastAsia" w:cs="宋体"/>
          <w:color w:val="auto"/>
          <w:sz w:val="21"/>
          <w:szCs w:val="21"/>
          <w:u w:val="single"/>
        </w:rPr>
        <w:t xml:space="preserve">      </w:t>
      </w:r>
      <w:r>
        <w:rPr>
          <w:rFonts w:hint="eastAsia" w:cs="宋体"/>
          <w:color w:val="auto"/>
          <w:sz w:val="21"/>
          <w:szCs w:val="21"/>
        </w:rPr>
        <w:t xml:space="preserve">               邮政编码：</w:t>
      </w:r>
      <w:r>
        <w:rPr>
          <w:rFonts w:hint="eastAsia" w:cs="宋体"/>
          <w:color w:val="auto"/>
          <w:sz w:val="21"/>
          <w:szCs w:val="21"/>
          <w:u w:val="single"/>
        </w:rPr>
        <w:t xml:space="preserve">   </w:t>
      </w:r>
    </w:p>
    <w:p w14:paraId="6957D726">
      <w:pPr>
        <w:snapToGrid w:val="0"/>
        <w:spacing w:line="360" w:lineRule="auto"/>
        <w:rPr>
          <w:rFonts w:cs="宋体"/>
          <w:color w:val="auto"/>
          <w:sz w:val="21"/>
          <w:szCs w:val="21"/>
        </w:rPr>
      </w:pPr>
      <w:r>
        <w:rPr>
          <w:rFonts w:hint="eastAsia" w:cs="宋体"/>
          <w:color w:val="auto"/>
          <w:sz w:val="21"/>
          <w:szCs w:val="21"/>
        </w:rPr>
        <w:t>法定代表人：</w:t>
      </w:r>
      <w:r>
        <w:rPr>
          <w:rFonts w:hint="eastAsia" w:cs="宋体"/>
          <w:color w:val="auto"/>
          <w:sz w:val="21"/>
          <w:szCs w:val="21"/>
          <w:u w:val="single"/>
        </w:rPr>
        <w:t xml:space="preserve">           </w:t>
      </w:r>
      <w:r>
        <w:rPr>
          <w:rFonts w:hint="eastAsia" w:cs="宋体"/>
          <w:color w:val="auto"/>
          <w:sz w:val="21"/>
          <w:szCs w:val="21"/>
        </w:rPr>
        <w:t xml:space="preserve">                法定代表人：</w:t>
      </w:r>
      <w:r>
        <w:rPr>
          <w:rFonts w:hint="eastAsia" w:cs="宋体"/>
          <w:color w:val="auto"/>
          <w:sz w:val="21"/>
          <w:szCs w:val="21"/>
          <w:u w:val="single"/>
        </w:rPr>
        <w:t xml:space="preserve">             </w:t>
      </w:r>
    </w:p>
    <w:p w14:paraId="4C65E084">
      <w:pPr>
        <w:snapToGrid w:val="0"/>
        <w:spacing w:line="360" w:lineRule="auto"/>
        <w:rPr>
          <w:rFonts w:cs="宋体"/>
          <w:color w:val="auto"/>
          <w:sz w:val="21"/>
          <w:szCs w:val="21"/>
        </w:rPr>
      </w:pPr>
      <w:r>
        <w:rPr>
          <w:rFonts w:hint="eastAsia" w:cs="宋体"/>
          <w:color w:val="auto"/>
          <w:sz w:val="21"/>
          <w:szCs w:val="21"/>
        </w:rPr>
        <w:t>委托代理人：</w:t>
      </w:r>
      <w:r>
        <w:rPr>
          <w:rFonts w:hint="eastAsia" w:cs="宋体"/>
          <w:color w:val="auto"/>
          <w:sz w:val="21"/>
          <w:szCs w:val="21"/>
          <w:u w:val="single"/>
        </w:rPr>
        <w:t xml:space="preserve">           </w:t>
      </w:r>
      <w:r>
        <w:rPr>
          <w:rFonts w:hint="eastAsia" w:cs="宋体"/>
          <w:color w:val="auto"/>
          <w:sz w:val="21"/>
          <w:szCs w:val="21"/>
        </w:rPr>
        <w:t xml:space="preserve">                委托代理人：</w:t>
      </w:r>
      <w:r>
        <w:rPr>
          <w:rFonts w:hint="eastAsia" w:cs="宋体"/>
          <w:color w:val="auto"/>
          <w:sz w:val="21"/>
          <w:szCs w:val="21"/>
          <w:u w:val="single"/>
        </w:rPr>
        <w:t xml:space="preserve">             </w:t>
      </w:r>
    </w:p>
    <w:p w14:paraId="6F966F72">
      <w:pPr>
        <w:snapToGrid w:val="0"/>
        <w:spacing w:line="360" w:lineRule="auto"/>
        <w:rPr>
          <w:rFonts w:cs="宋体"/>
          <w:color w:val="auto"/>
          <w:sz w:val="21"/>
          <w:szCs w:val="21"/>
        </w:rPr>
      </w:pPr>
      <w:r>
        <w:rPr>
          <w:rFonts w:hint="eastAsia" w:cs="宋体"/>
          <w:color w:val="auto"/>
          <w:sz w:val="21"/>
          <w:szCs w:val="21"/>
        </w:rPr>
        <w:t>电  话：</w:t>
      </w:r>
      <w:r>
        <w:rPr>
          <w:rFonts w:hint="eastAsia" w:cs="宋体"/>
          <w:color w:val="auto"/>
          <w:sz w:val="21"/>
          <w:szCs w:val="21"/>
          <w:u w:val="single"/>
        </w:rPr>
        <w:t xml:space="preserve">   </w:t>
      </w:r>
      <w:r>
        <w:rPr>
          <w:rFonts w:hint="eastAsia" w:cs="宋体"/>
          <w:color w:val="auto"/>
          <w:sz w:val="21"/>
          <w:szCs w:val="21"/>
        </w:rPr>
        <w:t xml:space="preserve">                电  话：</w:t>
      </w:r>
      <w:r>
        <w:rPr>
          <w:rFonts w:hint="eastAsia" w:cs="宋体"/>
          <w:color w:val="auto"/>
          <w:sz w:val="21"/>
          <w:szCs w:val="21"/>
          <w:u w:val="single"/>
        </w:rPr>
        <w:t xml:space="preserve">     </w:t>
      </w:r>
    </w:p>
    <w:p w14:paraId="2218646A">
      <w:pPr>
        <w:snapToGrid w:val="0"/>
        <w:spacing w:line="360" w:lineRule="auto"/>
        <w:rPr>
          <w:rFonts w:cs="宋体"/>
          <w:color w:val="auto"/>
          <w:sz w:val="21"/>
          <w:szCs w:val="21"/>
        </w:rPr>
      </w:pPr>
      <w:r>
        <w:rPr>
          <w:rFonts w:hint="eastAsia" w:cs="宋体"/>
          <w:color w:val="auto"/>
          <w:sz w:val="21"/>
          <w:szCs w:val="21"/>
        </w:rPr>
        <w:t>传  真：</w:t>
      </w:r>
      <w:r>
        <w:rPr>
          <w:rFonts w:hint="eastAsia" w:cs="宋体"/>
          <w:color w:val="auto"/>
          <w:sz w:val="21"/>
          <w:szCs w:val="21"/>
          <w:u w:val="single"/>
        </w:rPr>
        <w:t xml:space="preserve">   </w:t>
      </w:r>
      <w:r>
        <w:rPr>
          <w:rFonts w:hint="eastAsia" w:cs="宋体"/>
          <w:color w:val="auto"/>
          <w:sz w:val="21"/>
          <w:szCs w:val="21"/>
        </w:rPr>
        <w:t xml:space="preserve">                传  真：</w:t>
      </w:r>
      <w:r>
        <w:rPr>
          <w:rFonts w:hint="eastAsia" w:cs="宋体"/>
          <w:color w:val="auto"/>
          <w:sz w:val="21"/>
          <w:szCs w:val="21"/>
          <w:u w:val="single"/>
        </w:rPr>
        <w:t xml:space="preserve">     </w:t>
      </w:r>
    </w:p>
    <w:p w14:paraId="01FA4207">
      <w:pPr>
        <w:snapToGrid w:val="0"/>
        <w:spacing w:line="360" w:lineRule="auto"/>
        <w:rPr>
          <w:rFonts w:cs="宋体"/>
          <w:color w:val="auto"/>
          <w:sz w:val="21"/>
          <w:szCs w:val="21"/>
        </w:rPr>
      </w:pPr>
      <w:r>
        <w:rPr>
          <w:rFonts w:hint="eastAsia" w:cs="宋体"/>
          <w:color w:val="auto"/>
          <w:sz w:val="21"/>
          <w:szCs w:val="21"/>
        </w:rPr>
        <w:t>电子信箱：</w:t>
      </w:r>
      <w:r>
        <w:rPr>
          <w:rFonts w:hint="eastAsia" w:cs="宋体"/>
          <w:color w:val="auto"/>
          <w:sz w:val="21"/>
          <w:szCs w:val="21"/>
          <w:u w:val="single"/>
        </w:rPr>
        <w:t xml:space="preserve">                 </w:t>
      </w:r>
      <w:r>
        <w:rPr>
          <w:rFonts w:hint="eastAsia" w:cs="宋体"/>
          <w:color w:val="auto"/>
          <w:sz w:val="21"/>
          <w:szCs w:val="21"/>
        </w:rPr>
        <w:t xml:space="preserve">                电子信箱：</w:t>
      </w:r>
      <w:r>
        <w:rPr>
          <w:rFonts w:hint="eastAsia" w:cs="宋体"/>
          <w:color w:val="auto"/>
          <w:sz w:val="21"/>
          <w:szCs w:val="21"/>
          <w:u w:val="single"/>
        </w:rPr>
        <w:t xml:space="preserve">   </w:t>
      </w:r>
    </w:p>
    <w:p w14:paraId="3C042A65">
      <w:pPr>
        <w:snapToGrid w:val="0"/>
        <w:spacing w:line="360" w:lineRule="auto"/>
        <w:rPr>
          <w:rFonts w:cs="宋体"/>
          <w:color w:val="auto"/>
          <w:sz w:val="21"/>
          <w:szCs w:val="21"/>
        </w:rPr>
      </w:pPr>
      <w:r>
        <w:rPr>
          <w:rFonts w:hint="eastAsia" w:cs="宋体"/>
          <w:color w:val="auto"/>
          <w:sz w:val="21"/>
          <w:szCs w:val="21"/>
        </w:rPr>
        <w:t>开户银行：</w:t>
      </w:r>
      <w:r>
        <w:rPr>
          <w:rFonts w:hint="eastAsia" w:cs="宋体"/>
          <w:color w:val="auto"/>
          <w:sz w:val="21"/>
          <w:szCs w:val="21"/>
          <w:u w:val="single"/>
        </w:rPr>
        <w:t xml:space="preserve">   </w:t>
      </w:r>
      <w:r>
        <w:rPr>
          <w:rFonts w:hint="eastAsia" w:cs="宋体"/>
          <w:color w:val="auto"/>
          <w:sz w:val="21"/>
          <w:szCs w:val="21"/>
        </w:rPr>
        <w:t xml:space="preserve">                开户银行：</w:t>
      </w:r>
      <w:r>
        <w:rPr>
          <w:rFonts w:hint="eastAsia" w:cs="宋体"/>
          <w:color w:val="auto"/>
          <w:sz w:val="21"/>
          <w:szCs w:val="21"/>
          <w:u w:val="single"/>
        </w:rPr>
        <w:t xml:space="preserve">   </w:t>
      </w:r>
    </w:p>
    <w:p w14:paraId="3A889D0D">
      <w:pPr>
        <w:snapToGrid w:val="0"/>
        <w:spacing w:line="360" w:lineRule="auto"/>
        <w:rPr>
          <w:rFonts w:cs="宋体"/>
          <w:color w:val="auto"/>
          <w:sz w:val="21"/>
          <w:szCs w:val="21"/>
        </w:rPr>
      </w:pPr>
      <w:r>
        <w:rPr>
          <w:rFonts w:hint="eastAsia" w:cs="宋体"/>
          <w:color w:val="auto"/>
          <w:sz w:val="21"/>
          <w:szCs w:val="21"/>
        </w:rPr>
        <w:t>账  号：</w:t>
      </w:r>
      <w:r>
        <w:rPr>
          <w:rFonts w:hint="eastAsia" w:cs="宋体"/>
          <w:color w:val="auto"/>
          <w:sz w:val="21"/>
          <w:szCs w:val="21"/>
          <w:u w:val="single"/>
        </w:rPr>
        <w:t xml:space="preserve">       </w:t>
      </w:r>
      <w:r>
        <w:rPr>
          <w:rFonts w:hint="eastAsia" w:cs="宋体"/>
          <w:color w:val="auto"/>
          <w:sz w:val="21"/>
          <w:szCs w:val="21"/>
        </w:rPr>
        <w:t xml:space="preserve">                账  号：</w:t>
      </w:r>
      <w:r>
        <w:rPr>
          <w:rFonts w:hint="eastAsia" w:cs="宋体"/>
          <w:color w:val="auto"/>
          <w:sz w:val="21"/>
          <w:szCs w:val="21"/>
          <w:u w:val="single"/>
        </w:rPr>
        <w:t xml:space="preserve">     </w:t>
      </w:r>
    </w:p>
    <w:bookmarkEnd w:id="143"/>
    <w:p w14:paraId="280007AE">
      <w:pPr>
        <w:spacing w:before="312" w:beforeLines="100" w:after="312" w:afterLines="100"/>
        <w:outlineLvl w:val="2"/>
        <w:rPr>
          <w:rFonts w:ascii="Times New Roman" w:eastAsia="黑体"/>
          <w:color w:val="auto"/>
          <w:sz w:val="24"/>
          <w:szCs w:val="24"/>
          <w:highlight w:val="none"/>
        </w:rPr>
      </w:pPr>
      <w:r>
        <w:rPr>
          <w:rFonts w:hint="eastAsia" w:cs="宋体"/>
          <w:bCs/>
          <w:color w:val="auto"/>
          <w:sz w:val="21"/>
          <w:szCs w:val="21"/>
        </w:rPr>
        <w:br w:type="page"/>
      </w:r>
      <w:bookmarkStart w:id="677" w:name="_Toc128950236"/>
      <w:r>
        <w:rPr>
          <w:rFonts w:hint="eastAsia" w:ascii="Times New Roman" w:eastAsia="黑体"/>
          <w:color w:val="auto"/>
          <w:sz w:val="24"/>
          <w:szCs w:val="24"/>
          <w:highlight w:val="none"/>
        </w:rPr>
        <w:t>附</w:t>
      </w:r>
      <w:bookmarkStart w:id="678" w:name="_Toc296346726"/>
      <w:bookmarkStart w:id="679" w:name="_Toc296944564"/>
      <w:bookmarkStart w:id="680" w:name="_Toc267261692"/>
      <w:bookmarkStart w:id="681" w:name="_Toc296503225"/>
      <w:bookmarkStart w:id="682" w:name="_Toc296891265"/>
      <w:bookmarkStart w:id="683" w:name="_Toc296891053"/>
      <w:bookmarkStart w:id="684" w:name="_Toc296347224"/>
      <w:r>
        <w:rPr>
          <w:rFonts w:hint="eastAsia" w:ascii="Times New Roman" w:eastAsia="黑体"/>
          <w:color w:val="auto"/>
          <w:sz w:val="24"/>
          <w:szCs w:val="24"/>
          <w:highlight w:val="none"/>
        </w:rPr>
        <w:t>件</w:t>
      </w:r>
      <w:r>
        <w:rPr>
          <w:rFonts w:hint="eastAsia" w:ascii="Times New Roman" w:eastAsia="黑体"/>
          <w:color w:val="auto"/>
          <w:sz w:val="24"/>
          <w:szCs w:val="24"/>
          <w:highlight w:val="none"/>
          <w:lang w:val="en-US" w:eastAsia="zh-CN"/>
        </w:rPr>
        <w:t>1</w:t>
      </w:r>
      <w:r>
        <w:rPr>
          <w:rFonts w:hint="eastAsia" w:ascii="Times New Roman" w:eastAsia="黑体"/>
          <w:color w:val="auto"/>
          <w:sz w:val="24"/>
          <w:szCs w:val="24"/>
          <w:highlight w:val="none"/>
        </w:rPr>
        <w:t>：</w:t>
      </w:r>
      <w:bookmarkEnd w:id="677"/>
      <w:bookmarkEnd w:id="678"/>
      <w:bookmarkEnd w:id="679"/>
      <w:bookmarkEnd w:id="680"/>
      <w:bookmarkEnd w:id="681"/>
      <w:bookmarkEnd w:id="682"/>
      <w:bookmarkEnd w:id="683"/>
      <w:bookmarkEnd w:id="684"/>
      <w:bookmarkStart w:id="685" w:name="_Toc128950238"/>
      <w:bookmarkStart w:id="686" w:name="_Toc128950243"/>
      <w:r>
        <w:rPr>
          <w:rFonts w:hint="eastAsia" w:ascii="Times New Roman" w:eastAsia="黑体"/>
          <w:color w:val="auto"/>
          <w:sz w:val="24"/>
          <w:szCs w:val="24"/>
          <w:highlight w:val="none"/>
        </w:rPr>
        <w:t>廉政协议</w:t>
      </w:r>
    </w:p>
    <w:p w14:paraId="42195B96">
      <w:pPr>
        <w:spacing w:line="440" w:lineRule="exac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廉政协议书</w:t>
      </w:r>
    </w:p>
    <w:p w14:paraId="6C7B10D0">
      <w:pPr>
        <w:widowControl/>
        <w:adjustRightInd w:val="0"/>
        <w:snapToGrid w:val="0"/>
        <w:spacing w:line="360" w:lineRule="auto"/>
        <w:ind w:firstLine="400" w:firstLineChars="200"/>
        <w:jc w:val="left"/>
        <w:rPr>
          <w:rFonts w:hint="default" w:ascii="Times New Roman" w:hAnsi="Times New Roman" w:cs="Times New Roman"/>
          <w:color w:val="auto"/>
          <w:kern w:val="0"/>
          <w:szCs w:val="21"/>
          <w:highlight w:val="none"/>
        </w:rPr>
      </w:pPr>
      <w:bookmarkStart w:id="687" w:name="OLE_LINK10"/>
      <w:bookmarkStart w:id="688" w:name="OLE_LINK11"/>
    </w:p>
    <w:bookmarkEnd w:id="687"/>
    <w:bookmarkEnd w:id="688"/>
    <w:p w14:paraId="0044C7C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为促进双方诚信经营、廉洁从业，防范商业贿赂，保护国家、集体和当事人的合法权益，根据国家有关法律法规和安徽省廉政建设的规定，</w:t>
      </w:r>
      <w:r>
        <w:rPr>
          <w:rFonts w:hint="eastAsia" w:cs="宋体"/>
          <w:color w:val="auto"/>
          <w:sz w:val="24"/>
          <w:szCs w:val="24"/>
          <w:highlight w:val="none"/>
          <w:u w:val="single"/>
        </w:rPr>
        <w:t xml:space="preserve">     </w:t>
      </w:r>
      <w:r>
        <w:rPr>
          <w:rFonts w:hint="eastAsia" w:cs="宋体"/>
          <w:color w:val="auto"/>
          <w:sz w:val="24"/>
          <w:szCs w:val="24"/>
          <w:highlight w:val="none"/>
        </w:rPr>
        <w:t>（以下称甲方）与</w:t>
      </w:r>
      <w:r>
        <w:rPr>
          <w:rFonts w:hint="eastAsia" w:cs="宋体"/>
          <w:color w:val="auto"/>
          <w:sz w:val="24"/>
          <w:szCs w:val="24"/>
          <w:highlight w:val="none"/>
          <w:u w:val="single"/>
        </w:rPr>
        <w:t xml:space="preserve">             （</w:t>
      </w:r>
      <w:r>
        <w:rPr>
          <w:rFonts w:hint="eastAsia" w:cs="宋体"/>
          <w:color w:val="auto"/>
          <w:sz w:val="24"/>
          <w:szCs w:val="24"/>
          <w:highlight w:val="none"/>
        </w:rPr>
        <w:t>以下称乙方），特此订立本协议共同遵照执行。</w:t>
      </w:r>
    </w:p>
    <w:p w14:paraId="134A0DF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第一条 甲乙双方的权利和义务</w:t>
      </w:r>
    </w:p>
    <w:p w14:paraId="67F7460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58F3182B">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（二）严格执行</w:t>
      </w:r>
      <w:r>
        <w:rPr>
          <w:rFonts w:hint="eastAsia" w:cs="宋体"/>
          <w:color w:val="auto"/>
          <w:sz w:val="24"/>
          <w:szCs w:val="24"/>
          <w:highlight w:val="none"/>
          <w:u w:val="single"/>
        </w:rPr>
        <w:t xml:space="preserve">                                </w:t>
      </w:r>
      <w:r>
        <w:rPr>
          <w:rFonts w:hint="eastAsia" w:cs="宋体"/>
          <w:color w:val="auto"/>
          <w:sz w:val="24"/>
          <w:szCs w:val="24"/>
          <w:highlight w:val="none"/>
        </w:rPr>
        <w:t>的合同要求，自觉履行合同约定的相关义务。</w:t>
      </w:r>
    </w:p>
    <w:p w14:paraId="4C83959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（三）在业务活动中坚持公开、公正、诚信、透明的原则，不得损害国家、集体利益。</w:t>
      </w:r>
    </w:p>
    <w:p w14:paraId="7AFB428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（四）建立健全廉政制度，开展廉政教育，公布举报电话，监督并认真查处违法违纪行为。</w:t>
      </w:r>
    </w:p>
    <w:p w14:paraId="2AB1295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（五）发现对方在业务活动中有违反廉政规定的行为，应及时提醒对方纠正。情节严重的，应向其上级有关部门举报、建议给予处理，并有权要求告知处理结果。</w:t>
      </w:r>
    </w:p>
    <w:p w14:paraId="7793AC4B">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第二条 甲方的义务</w:t>
      </w:r>
    </w:p>
    <w:p w14:paraId="7296F1C6">
      <w:pPr>
        <w:widowControl/>
        <w:spacing w:line="360" w:lineRule="auto"/>
        <w:ind w:firstLine="600" w:firstLineChars="250"/>
        <w:jc w:val="left"/>
        <w:rPr>
          <w:rFonts w:cs="宋体"/>
          <w:color w:val="auto"/>
          <w:sz w:val="24"/>
          <w:szCs w:val="24"/>
          <w:highlight w:val="none"/>
        </w:rPr>
      </w:pPr>
      <w:r>
        <w:rPr>
          <w:rFonts w:hint="eastAsia" w:cs="宋体"/>
          <w:color w:val="auto"/>
          <w:sz w:val="24"/>
          <w:szCs w:val="24"/>
          <w:highlight w:val="none"/>
        </w:rPr>
        <w:t>（一）甲方及其工作人员不得索要或接受乙方的礼金、有价证券和贵重物品，不得在乙方报销任何应由甲方单位或个人支付的费用等。</w:t>
      </w:r>
    </w:p>
    <w:p w14:paraId="480EE8F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718BC67F">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 甲方及其工作人员不得要求或者接受乙方为其住房装修、婚丧嫁娶活动、配偶子女工作安排以及出国出境、旅游等提供方便等。</w:t>
      </w:r>
    </w:p>
    <w:p w14:paraId="7288300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 甲方工作人员不得在乙方有股权关联的企业兼职，不得向乙方介绍家属或者亲友从事与甲方业务有关的经济活动。</w:t>
      </w:r>
    </w:p>
    <w:p w14:paraId="2BE7BD3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（五）甲方工作人员不得以明显低于市场的价格向乙方购买房屋、汽车等物品；不得以明显高于市场的价格向乙方出售房屋、汽车等物品；不得以其他交易形式非法收受请托人财物。</w:t>
      </w:r>
    </w:p>
    <w:p w14:paraId="0F0B454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（六）甲方工作人员不得利用职务之便收受乙方以回扣、手续费、加班费、咨询费、劳务费、协调费、辛苦费等各种名义给予或赠送的钱物。</w:t>
      </w:r>
    </w:p>
    <w:p w14:paraId="3CC0FFD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（七）甲方工作人员不得接受乙方给予或赠送的干股或红利。</w:t>
      </w:r>
    </w:p>
    <w:p w14:paraId="4F42F21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（八）甲方任何人不得以个人的名义向乙方推荐设备、部件等供货商以及其他合作单位。</w:t>
      </w:r>
    </w:p>
    <w:p w14:paraId="07E6D3A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第三条 乙方的义务</w:t>
      </w:r>
    </w:p>
    <w:p w14:paraId="67800EC0">
      <w:pPr>
        <w:widowControl/>
        <w:spacing w:line="360" w:lineRule="auto"/>
        <w:ind w:firstLine="600" w:firstLineChars="250"/>
        <w:jc w:val="left"/>
        <w:rPr>
          <w:rFonts w:cs="宋体"/>
          <w:color w:val="auto"/>
          <w:sz w:val="24"/>
          <w:szCs w:val="24"/>
          <w:highlight w:val="none"/>
        </w:rPr>
      </w:pPr>
      <w:r>
        <w:rPr>
          <w:rFonts w:hint="eastAsia" w:cs="宋体"/>
          <w:color w:val="auto"/>
          <w:sz w:val="24"/>
          <w:szCs w:val="24"/>
          <w:highlight w:val="none"/>
        </w:rPr>
        <w:t>（一）乙方不得以任何理由向甲方及其工作人员行贿或馈赠礼金、有价证券、贵重礼品。</w:t>
      </w:r>
    </w:p>
    <w:p w14:paraId="7BD1CFC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（二）乙方不得以任何名义为甲方及其工作人员报销应由甲方单位或个人支付的任何费用。</w:t>
      </w:r>
    </w:p>
    <w:p w14:paraId="27B7A3C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（三）乙方不得以任何理由安排甲方工作人员参加可能影响相关业务公开、公正、公平性的宴请及娱乐活动。</w:t>
      </w:r>
    </w:p>
    <w:p w14:paraId="279AF3D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（四）乙方不得为甲方单位和个人购置或提供通讯工具和高档办公用品等物品，也不得为甲方提供与工作无关的房屋、汽车等。</w:t>
      </w:r>
    </w:p>
    <w:p w14:paraId="64F1B139">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（五）乙方不得与甲方工作人员就合同中的质量、数量、价格、工程量、验收等条款进行私下商谈或者达成默契。</w:t>
      </w:r>
    </w:p>
    <w:p w14:paraId="6F205CCA">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（六）乙方不得以回扣、手续费、加班费、咨询费、劳务费、协调费、辛苦费等各种名义向甲方工作人员给予或赠送钱物。</w:t>
      </w:r>
    </w:p>
    <w:p w14:paraId="1F90FACC">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（七）乙方不得向甲方工作人员提供干股或红利。</w:t>
      </w:r>
    </w:p>
    <w:p w14:paraId="3A2F35D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第四条 违约责任</w:t>
      </w:r>
    </w:p>
    <w:p w14:paraId="19E00219">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一）甲方及其工作人员违反本协议第一、二条规定。甲方按管理权限，对相关责任人依据有关规定给予党纪、政纪处分或组织处理；涉嫌犯罪的，移交司法机关追究刑事责任；给乙方单位造成经济损失的，应予以赔偿。</w:t>
      </w:r>
    </w:p>
    <w:p w14:paraId="31E4D663">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（二）乙方及其工作人员违反本协议第一、三条规定。根据具体情节和造成的后果，甲方有权对乙方采取以下一种或多种处理办法：</w:t>
      </w:r>
    </w:p>
    <w:p w14:paraId="56422B6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1. 全额收取乙方合同履约保证金不予退还； </w:t>
      </w:r>
    </w:p>
    <w:p w14:paraId="45A308C0">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2. 追究乙方其他违约责任；</w:t>
      </w:r>
    </w:p>
    <w:p w14:paraId="09F1C13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3. 终止或解除双方已签订的包括本合同在内的所有合同；</w:t>
      </w:r>
    </w:p>
    <w:p w14:paraId="1604857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4. 乙方一定期限内（6个月至3年，具体由甲方根据情况而定）不得参与甲方作为发包人（业主）的工程项目投标。</w:t>
      </w:r>
    </w:p>
    <w:p w14:paraId="34184484">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甲方作出的处理意见，乙方应无条件接受并承担给甲方造成的损失，全额返还通过不正当手段从甲方获取的非法所得，并承担相应的法律责任。</w:t>
      </w:r>
    </w:p>
    <w:p w14:paraId="06B993D2">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第五条 双方约定</w:t>
      </w:r>
    </w:p>
    <w:p w14:paraId="5281486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本协议由双方或双方上级单位负责监督。可由甲方或甲方上级单位的纪检监察部门约请乙方或乙方上级单位的纪检监察部门对本协议履行情况进行检查，提出在本协议规定范围内的裁定意见。</w:t>
      </w:r>
    </w:p>
    <w:p w14:paraId="4C89A3D0">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第六条  本协议有效期为甲乙双方签署之日起至合同终止。  </w:t>
      </w:r>
    </w:p>
    <w:p w14:paraId="0E4879A5">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第七条  本协议作为合同的附件，与本合同具有同等法律效力。</w:t>
      </w:r>
    </w:p>
    <w:p w14:paraId="633CC21E">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 </w:t>
      </w:r>
    </w:p>
    <w:p w14:paraId="30F2F961">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 xml:space="preserve">甲方（盖章）： </w:t>
      </w:r>
      <w:r>
        <w:rPr>
          <w:rFonts w:hint="eastAsia" w:cs="宋体"/>
          <w:color w:val="auto"/>
          <w:sz w:val="24"/>
          <w:szCs w:val="24"/>
          <w:highlight w:val="none"/>
          <w:u w:val="single"/>
        </w:rPr>
        <w:t xml:space="preserve">                  </w:t>
      </w:r>
      <w:r>
        <w:rPr>
          <w:rFonts w:hint="eastAsia" w:cs="宋体"/>
          <w:color w:val="auto"/>
          <w:sz w:val="24"/>
          <w:szCs w:val="24"/>
          <w:highlight w:val="none"/>
        </w:rPr>
        <w:t xml:space="preserve">     乙方（盖章）：</w:t>
      </w:r>
      <w:r>
        <w:rPr>
          <w:rFonts w:hint="eastAsia" w:cs="宋体"/>
          <w:color w:val="auto"/>
          <w:sz w:val="24"/>
          <w:szCs w:val="24"/>
          <w:highlight w:val="none"/>
          <w:u w:val="single"/>
        </w:rPr>
        <w:t xml:space="preserve">             </w:t>
      </w:r>
    </w:p>
    <w:p w14:paraId="58101187">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法定代表人或                          法定代表人或</w:t>
      </w:r>
    </w:p>
    <w:p w14:paraId="20CD456D">
      <w:pPr>
        <w:widowControl/>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授权代表：</w:t>
      </w:r>
      <w:r>
        <w:rPr>
          <w:rFonts w:hint="eastAsia" w:cs="宋体"/>
          <w:color w:val="auto"/>
          <w:sz w:val="24"/>
          <w:szCs w:val="24"/>
          <w:highlight w:val="none"/>
          <w:u w:val="single"/>
        </w:rPr>
        <w:t xml:space="preserve">              </w:t>
      </w:r>
      <w:r>
        <w:rPr>
          <w:rFonts w:hint="eastAsia" w:cs="宋体"/>
          <w:color w:val="auto"/>
          <w:sz w:val="24"/>
          <w:szCs w:val="24"/>
          <w:highlight w:val="none"/>
        </w:rPr>
        <w:t>(</w:t>
      </w:r>
      <w:r>
        <w:rPr>
          <w:rFonts w:hint="eastAsia" w:cs="宋体"/>
          <w:color w:val="auto"/>
          <w:sz w:val="24"/>
          <w:szCs w:val="24"/>
          <w:highlight w:val="none"/>
          <w:lang w:val="en-US" w:eastAsia="zh-CN"/>
        </w:rPr>
        <w:t>签字</w:t>
      </w:r>
      <w:r>
        <w:rPr>
          <w:rFonts w:hint="eastAsia" w:cs="宋体"/>
          <w:color w:val="auto"/>
          <w:sz w:val="24"/>
          <w:szCs w:val="24"/>
          <w:highlight w:val="none"/>
        </w:rPr>
        <w:t>)         授权代表：</w:t>
      </w:r>
      <w:r>
        <w:rPr>
          <w:rFonts w:hint="eastAsia" w:cs="宋体"/>
          <w:color w:val="auto"/>
          <w:sz w:val="24"/>
          <w:szCs w:val="24"/>
          <w:highlight w:val="none"/>
          <w:u w:val="single"/>
        </w:rPr>
        <w:t xml:space="preserve">             </w:t>
      </w:r>
      <w:r>
        <w:rPr>
          <w:rFonts w:hint="eastAsia" w:cs="宋体"/>
          <w:color w:val="auto"/>
          <w:sz w:val="24"/>
          <w:szCs w:val="24"/>
          <w:highlight w:val="none"/>
        </w:rPr>
        <w:t>(</w:t>
      </w:r>
      <w:r>
        <w:rPr>
          <w:rFonts w:hint="eastAsia" w:cs="宋体"/>
          <w:color w:val="auto"/>
          <w:sz w:val="24"/>
          <w:szCs w:val="24"/>
          <w:highlight w:val="none"/>
          <w:lang w:val="en-US" w:eastAsia="zh-CN"/>
        </w:rPr>
        <w:t>签字</w:t>
      </w:r>
      <w:r>
        <w:rPr>
          <w:rFonts w:hint="eastAsia" w:cs="宋体"/>
          <w:color w:val="auto"/>
          <w:sz w:val="24"/>
          <w:szCs w:val="24"/>
          <w:highlight w:val="none"/>
        </w:rPr>
        <w:t>)</w:t>
      </w:r>
    </w:p>
    <w:p w14:paraId="1A1BA25B">
      <w:pPr>
        <w:spacing w:before="312" w:beforeLines="100" w:after="312" w:afterLines="100"/>
        <w:outlineLvl w:val="9"/>
        <w:rPr>
          <w:rFonts w:hint="eastAsia" w:ascii="Times New Roman" w:eastAsia="黑体"/>
          <w:color w:val="auto"/>
          <w:sz w:val="24"/>
          <w:szCs w:val="24"/>
          <w:highlight w:val="none"/>
        </w:rPr>
      </w:pPr>
    </w:p>
    <w:p w14:paraId="576EC577">
      <w:pPr>
        <w:rPr>
          <w:color w:val="auto"/>
          <w:highlight w:val="none"/>
        </w:rPr>
      </w:pPr>
    </w:p>
    <w:p w14:paraId="6AFCC611">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3CF5F668">
      <w:pPr>
        <w:spacing w:before="156" w:beforeLines="50" w:after="156" w:afterLines="50" w:line="360" w:lineRule="auto"/>
        <w:jc w:val="left"/>
        <w:outlineLvl w:val="2"/>
        <w:rPr>
          <w:rFonts w:hint="eastAsia" w:ascii="Times New Roman" w:eastAsia="黑体"/>
          <w:color w:val="auto"/>
          <w:sz w:val="24"/>
          <w:szCs w:val="24"/>
          <w:highlight w:val="none"/>
          <w:lang w:val="en-US" w:eastAsia="zh-CN"/>
        </w:rPr>
      </w:pPr>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2</w:t>
      </w:r>
      <w:r>
        <w:rPr>
          <w:rFonts w:hint="eastAsia" w:ascii="Times New Roman" w:eastAsia="黑体"/>
          <w:color w:val="auto"/>
          <w:sz w:val="24"/>
          <w:szCs w:val="24"/>
          <w:highlight w:val="none"/>
        </w:rPr>
        <w:t>：</w:t>
      </w:r>
      <w:r>
        <w:rPr>
          <w:rFonts w:hint="eastAsia" w:ascii="Times New Roman" w:eastAsia="黑体"/>
          <w:color w:val="auto"/>
          <w:sz w:val="24"/>
          <w:szCs w:val="24"/>
          <w:highlight w:val="none"/>
          <w:lang w:val="en-US" w:eastAsia="zh-CN"/>
        </w:rPr>
        <w:t>安全生产合同</w:t>
      </w:r>
      <w:bookmarkStart w:id="689" w:name="_Toc23792"/>
      <w:bookmarkStart w:id="690" w:name="_Toc11475"/>
      <w:bookmarkStart w:id="691" w:name="bookmark1864"/>
    </w:p>
    <w:p w14:paraId="526F6042">
      <w:pPr>
        <w:spacing w:before="156" w:beforeLines="50" w:after="156" w:afterLines="50" w:line="360" w:lineRule="auto"/>
        <w:jc w:val="center"/>
        <w:rPr>
          <w:rFonts w:cs="宋体"/>
          <w:b/>
          <w:color w:val="auto"/>
          <w:sz w:val="28"/>
          <w:szCs w:val="28"/>
          <w:highlight w:val="none"/>
        </w:rPr>
      </w:pPr>
      <w:r>
        <w:rPr>
          <w:rFonts w:hint="eastAsia" w:cs="宋体"/>
          <w:b/>
          <w:color w:val="auto"/>
          <w:sz w:val="28"/>
          <w:szCs w:val="28"/>
          <w:highlight w:val="none"/>
        </w:rPr>
        <w:t>安全生产合同</w:t>
      </w:r>
      <w:bookmarkEnd w:id="689"/>
      <w:bookmarkEnd w:id="690"/>
    </w:p>
    <w:p w14:paraId="6FDEB51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（项目名称）合同的实施过程中创造安全、高效的施工环境，切实搞好本项目的安全管理工作，本项目</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名称，以下简称“</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名称，以下简称“</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”）特此签订安全生产合同：</w:t>
      </w:r>
    </w:p>
    <w:bookmarkEnd w:id="691"/>
    <w:p w14:paraId="22FBB3BE">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bookmarkStart w:id="692" w:name="bookmark1868"/>
      <w:r>
        <w:rPr>
          <w:rFonts w:hint="eastAsia" w:asciiTheme="minorEastAsia" w:hAnsiTheme="minorEastAsia" w:eastAsiaTheme="minorEastAsia" w:cstheme="minorEastAsia"/>
          <w:bCs/>
          <w:color w:val="auto"/>
          <w:sz w:val="24"/>
          <w:szCs w:val="24"/>
          <w:highlight w:val="none"/>
          <w:lang w:eastAsia="zh-CN"/>
        </w:rPr>
        <w:t>一</w:t>
      </w:r>
      <w:r>
        <w:rPr>
          <w:rFonts w:hint="eastAsia" w:asciiTheme="minorEastAsia" w:hAnsiTheme="minorEastAsia" w:eastAsiaTheme="minorEastAsia" w:cstheme="minorEastAsia"/>
          <w:bCs/>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职责</w:t>
      </w:r>
    </w:p>
    <w:p w14:paraId="3B409F14">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1.</w:t>
      </w:r>
      <w:r>
        <w:rPr>
          <w:rFonts w:hint="eastAsia" w:asciiTheme="minorEastAsia" w:hAnsiTheme="minorEastAsia" w:eastAsiaTheme="minorEastAsia" w:cstheme="minorEastAsia"/>
          <w:bCs/>
          <w:color w:val="auto"/>
          <w:sz w:val="24"/>
          <w:szCs w:val="24"/>
          <w:highlight w:val="none"/>
          <w:lang w:eastAsia="zh-CN"/>
        </w:rPr>
        <w:t>甲方</w:t>
      </w:r>
      <w:r>
        <w:rPr>
          <w:rFonts w:hint="eastAsia" w:asciiTheme="minorEastAsia" w:hAnsiTheme="minorEastAsia" w:eastAsiaTheme="minorEastAsia" w:cstheme="minorEastAsia"/>
          <w:bCs/>
          <w:color w:val="auto"/>
          <w:sz w:val="24"/>
          <w:szCs w:val="24"/>
          <w:highlight w:val="none"/>
        </w:rPr>
        <w:t>依据《中华人民共和国安全生产法》等法律法规规定责任，全面履行自己应有的权利和义务。</w:t>
      </w:r>
    </w:p>
    <w:p w14:paraId="01CE0EDD">
      <w:pPr>
        <w:widowControl/>
        <w:adjustRightInd w:val="0"/>
        <w:snapToGrid w:val="0"/>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2.</w:t>
      </w:r>
      <w:r>
        <w:rPr>
          <w:rFonts w:hint="eastAsia" w:asciiTheme="minorEastAsia" w:hAnsiTheme="minorEastAsia" w:eastAsiaTheme="minorEastAsia" w:cstheme="minorEastAsia"/>
          <w:bCs/>
          <w:color w:val="auto"/>
          <w:sz w:val="24"/>
          <w:szCs w:val="24"/>
          <w:highlight w:val="none"/>
          <w:lang w:eastAsia="zh-CN"/>
        </w:rPr>
        <w:t>甲方</w:t>
      </w:r>
      <w:r>
        <w:rPr>
          <w:rFonts w:hint="eastAsia" w:asciiTheme="minorEastAsia" w:hAnsiTheme="minorEastAsia" w:eastAsiaTheme="minorEastAsia" w:cstheme="minorEastAsia"/>
          <w:bCs/>
          <w:color w:val="auto"/>
          <w:sz w:val="24"/>
          <w:szCs w:val="24"/>
          <w:highlight w:val="none"/>
        </w:rPr>
        <w:t>对</w:t>
      </w:r>
      <w:r>
        <w:rPr>
          <w:rFonts w:hint="eastAsia" w:asciiTheme="minorEastAsia" w:hAnsiTheme="minorEastAsia" w:eastAsiaTheme="minorEastAsia" w:cstheme="minorEastAsia"/>
          <w:bCs/>
          <w:color w:val="auto"/>
          <w:sz w:val="24"/>
          <w:szCs w:val="24"/>
          <w:highlight w:val="none"/>
          <w:lang w:eastAsia="zh-CN"/>
        </w:rPr>
        <w:t>乙方施工</w:t>
      </w:r>
      <w:r>
        <w:rPr>
          <w:rFonts w:hint="eastAsia" w:asciiTheme="minorEastAsia" w:hAnsiTheme="minorEastAsia" w:eastAsiaTheme="minorEastAsia" w:cstheme="minorEastAsia"/>
          <w:bCs/>
          <w:color w:val="auto"/>
          <w:sz w:val="24"/>
          <w:szCs w:val="24"/>
          <w:highlight w:val="none"/>
        </w:rPr>
        <w:t>安全具有监督、检查和指导的权利。</w:t>
      </w:r>
    </w:p>
    <w:bookmarkEnd w:id="692"/>
    <w:p w14:paraId="3E3514B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二</w:t>
      </w:r>
      <w:r>
        <w:rPr>
          <w:rFonts w:hint="eastAsia" w:asciiTheme="minorEastAsia" w:hAnsiTheme="minorEastAsia" w:eastAsiaTheme="minorEastAsia" w:cstheme="minorEastAsia"/>
          <w:color w:val="auto"/>
          <w:sz w:val="24"/>
          <w:szCs w:val="24"/>
          <w:highlight w:val="none"/>
        </w:rPr>
        <w:t>、</w:t>
      </w:r>
      <w:bookmarkStart w:id="693" w:name="bookmark1869"/>
      <w:bookmarkEnd w:id="693"/>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职责</w:t>
      </w:r>
    </w:p>
    <w:p w14:paraId="52ABE18B">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要严格执行国家已发布的有关法律法规和地方政府有关安全管理的规定，严格各项安全生产的规章制度和方案。</w:t>
      </w:r>
    </w:p>
    <w:p w14:paraId="362F961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lang w:val="en-US" w:eastAsia="zh-CN"/>
        </w:rPr>
        <w:t>在开工前，</w:t>
      </w:r>
      <w:r>
        <w:rPr>
          <w:rFonts w:hint="eastAsia" w:asciiTheme="minorEastAsia" w:hAnsiTheme="minorEastAsia" w:eastAsiaTheme="minorEastAsia" w:cstheme="minorEastAsia"/>
          <w:b w:val="0"/>
          <w:bCs/>
          <w:color w:val="auto"/>
          <w:kern w:val="2"/>
          <w:sz w:val="24"/>
          <w:szCs w:val="24"/>
          <w:highlight w:val="none"/>
          <w:lang w:val="en-US" w:eastAsia="zh-CN" w:bidi="ar-SA"/>
        </w:rPr>
        <w:t>必须</w:t>
      </w:r>
      <w:r>
        <w:rPr>
          <w:rFonts w:hint="eastAsia" w:asciiTheme="minorEastAsia" w:hAnsiTheme="minorEastAsia" w:eastAsiaTheme="minorEastAsia" w:cstheme="minorEastAsia"/>
          <w:b/>
          <w:bCs/>
          <w:color w:val="FF0000"/>
          <w:sz w:val="24"/>
          <w:szCs w:val="24"/>
          <w:highlight w:val="yellow"/>
          <w:lang w:val="en-US" w:eastAsia="zh-CN"/>
        </w:rPr>
        <w:t>进行安全技术交底，落实施工过程中所有安全技术措施和人身防护用品，未经落实的不得进行施工。</w:t>
      </w:r>
      <w:r>
        <w:rPr>
          <w:rFonts w:hint="eastAsia" w:asciiTheme="minorEastAsia" w:hAnsiTheme="minorEastAsia" w:eastAsiaTheme="minorEastAsia" w:cstheme="minorEastAsia"/>
          <w:b w:val="0"/>
          <w:bCs/>
          <w:color w:val="auto"/>
          <w:kern w:val="2"/>
          <w:sz w:val="24"/>
          <w:szCs w:val="24"/>
          <w:highlight w:val="none"/>
          <w:lang w:val="en-US" w:eastAsia="zh-CN" w:bidi="ar-SA"/>
        </w:rPr>
        <w:t>明确各级人员的安全生产责任，</w:t>
      </w:r>
      <w:r>
        <w:rPr>
          <w:rFonts w:hint="eastAsia" w:asciiTheme="minorEastAsia" w:hAnsiTheme="minorEastAsia" w:eastAsiaTheme="minorEastAsia" w:cstheme="minorEastAsia"/>
          <w:color w:val="auto"/>
          <w:sz w:val="24"/>
          <w:szCs w:val="24"/>
          <w:highlight w:val="none"/>
        </w:rPr>
        <w:t>对所有参与现场</w:t>
      </w:r>
      <w:r>
        <w:rPr>
          <w:rFonts w:hint="eastAsia" w:asciiTheme="minorEastAsia" w:hAnsiTheme="minorEastAsia" w:eastAsiaTheme="minorEastAsia" w:cstheme="minorEastAsia"/>
          <w:color w:val="auto"/>
          <w:sz w:val="24"/>
          <w:szCs w:val="24"/>
          <w:highlight w:val="none"/>
          <w:lang w:val="en-US" w:eastAsia="zh-CN"/>
        </w:rPr>
        <w:t>作业</w:t>
      </w:r>
      <w:r>
        <w:rPr>
          <w:rFonts w:hint="eastAsia" w:asciiTheme="minorEastAsia" w:hAnsiTheme="minorEastAsia" w:eastAsiaTheme="minorEastAsia" w:cstheme="minorEastAsia"/>
          <w:color w:val="auto"/>
          <w:sz w:val="24"/>
          <w:szCs w:val="24"/>
          <w:highlight w:val="none"/>
        </w:rPr>
        <w:t>的人员进行安全教育，使其具备安全意识和应对突发情况的能力。临水临空等安全风险较大的作业应有现场安全监督人员现场监督，并通知管理单位技术人员到场。</w:t>
      </w:r>
    </w:p>
    <w:p w14:paraId="635991A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等特殊工种的人员，并将特种作业人员名单和特种作业证上报</w:t>
      </w: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审查，无证人员禁止从事特种作业；施工现场如出现特种作业无证操作现象时，</w:t>
      </w:r>
      <w:r>
        <w:rPr>
          <w:rFonts w:hint="eastAsia" w:asciiTheme="minorEastAsia" w:hAnsiTheme="minorEastAsia" w:eastAsiaTheme="minorEastAsia" w:cstheme="minorEastAsia"/>
          <w:color w:val="auto"/>
          <w:sz w:val="24"/>
          <w:szCs w:val="24"/>
          <w:highlight w:val="none"/>
          <w:lang w:eastAsia="zh-CN"/>
        </w:rPr>
        <w:t>项目负责人</w:t>
      </w:r>
      <w:r>
        <w:rPr>
          <w:rFonts w:hint="eastAsia" w:asciiTheme="minorEastAsia" w:hAnsiTheme="minorEastAsia" w:eastAsiaTheme="minorEastAsia" w:cstheme="minorEastAsia"/>
          <w:color w:val="auto"/>
          <w:sz w:val="24"/>
          <w:szCs w:val="24"/>
          <w:highlight w:val="none"/>
        </w:rPr>
        <w:t>必须承担管理责任。</w:t>
      </w:r>
    </w:p>
    <w:p w14:paraId="403AEC4B">
      <w:pPr>
        <w:spacing w:line="360" w:lineRule="auto"/>
        <w:ind w:firstLine="480" w:firstLineChars="200"/>
        <w:rPr>
          <w:rFonts w:hint="eastAsia" w:asciiTheme="minorEastAsia" w:hAnsiTheme="minorEastAsia" w:eastAsiaTheme="minorEastAsia" w:cstheme="minorEastAsia"/>
          <w:color w:val="auto"/>
          <w:sz w:val="24"/>
          <w:szCs w:val="24"/>
          <w:highlight w:val="yellow"/>
        </w:rPr>
      </w:pPr>
      <w:r>
        <w:rPr>
          <w:rFonts w:hint="eastAsia" w:asciiTheme="minorEastAsia" w:hAnsiTheme="minorEastAsia" w:eastAsiaTheme="minorEastAsia" w:cstheme="minorEastAsia"/>
          <w:color w:val="auto"/>
          <w:sz w:val="24"/>
          <w:szCs w:val="24"/>
          <w:highlight w:val="yellow"/>
          <w:lang w:val="en-US" w:eastAsia="zh-CN"/>
        </w:rPr>
        <w:t>4.</w:t>
      </w:r>
      <w:r>
        <w:rPr>
          <w:rFonts w:hint="eastAsia" w:asciiTheme="minorEastAsia" w:hAnsiTheme="minorEastAsia" w:eastAsiaTheme="minorEastAsia" w:cstheme="minorEastAsia"/>
          <w:color w:val="auto"/>
          <w:sz w:val="24"/>
          <w:szCs w:val="24"/>
          <w:highlight w:val="yellow"/>
          <w:lang w:eastAsia="zh-CN"/>
        </w:rPr>
        <w:t>乙方</w:t>
      </w:r>
      <w:r>
        <w:rPr>
          <w:rFonts w:hint="eastAsia" w:asciiTheme="minorEastAsia" w:hAnsiTheme="minorEastAsia" w:eastAsiaTheme="minorEastAsia" w:cstheme="minorEastAsia"/>
          <w:color w:val="auto"/>
          <w:sz w:val="24"/>
          <w:szCs w:val="24"/>
          <w:highlight w:val="yellow"/>
        </w:rPr>
        <w:t>水上及临水作业，操作人员必须穿戴好救生衣，不得穿带钉易滑的硬底鞋，每次工作前对所用的救生衣进行检查确保其安全有效，禁止单人独自作业，室外作业时，当风力较大，影响作业安全时，立即停止作业，人员在船上走动或操作时，船只要固定牢靠，船上配备救生圈等救生器具。</w:t>
      </w:r>
    </w:p>
    <w:p w14:paraId="74B12388">
      <w:pPr>
        <w:spacing w:line="360" w:lineRule="auto"/>
        <w:ind w:firstLine="480" w:firstLineChars="200"/>
        <w:rPr>
          <w:rFonts w:hint="default" w:asciiTheme="minorEastAsia" w:hAnsiTheme="minorEastAsia" w:eastAsiaTheme="minorEastAsia" w:cstheme="minorEastAsia"/>
          <w:b/>
          <w:bCs/>
          <w:color w:val="FF0000"/>
          <w:sz w:val="24"/>
          <w:szCs w:val="24"/>
          <w:highlight w:val="yellow"/>
          <w:lang w:val="en-US" w:eastAsia="zh-CN"/>
        </w:rPr>
      </w:pPr>
      <w:r>
        <w:rPr>
          <w:rFonts w:hint="eastAsia" w:asciiTheme="minorEastAsia" w:hAnsiTheme="minorEastAsia" w:eastAsiaTheme="minorEastAsia" w:cstheme="minorEastAsia"/>
          <w:color w:val="auto"/>
          <w:sz w:val="24"/>
          <w:szCs w:val="24"/>
          <w:highlight w:val="yellow"/>
          <w:lang w:val="en-US" w:eastAsia="zh-CN"/>
        </w:rPr>
        <w:t>5.</w:t>
      </w:r>
      <w:r>
        <w:rPr>
          <w:rFonts w:hint="eastAsia" w:asciiTheme="minorEastAsia" w:hAnsiTheme="minorEastAsia" w:eastAsiaTheme="minorEastAsia" w:cstheme="minorEastAsia"/>
          <w:b/>
          <w:bCs/>
          <w:color w:val="FF0000"/>
          <w:sz w:val="24"/>
          <w:szCs w:val="24"/>
          <w:highlight w:val="yellow"/>
          <w:lang w:val="en-US" w:eastAsia="zh-CN"/>
        </w:rPr>
        <w:t>如遇交叉作业，如开闸放水期间等，禁止进行水上及临近项目作业。交叉作业时应设置安全栏杆、安全网、防护棚和示警围栏，防止安全生产事故。</w:t>
      </w:r>
    </w:p>
    <w:p w14:paraId="4BB68521">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乙方现场临时用电，严格执行国家相关标准规定。清洁电气设备时停电作业，电源箱或开关握柄挂“有人操作，严禁合闸”的警示牌，并设专人看管，现场临时架设的线路，严禁搭在钢筋、脚手架上，必须安设绝缘支承物。</w:t>
      </w:r>
    </w:p>
    <w:p w14:paraId="259E5EF4">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高空作业时，禁止穿硬底和带钉易滑的鞋，患有心脏病、高血压、精神病、癫痫病</w:t>
      </w:r>
      <w:r>
        <w:rPr>
          <w:rFonts w:hint="eastAsia" w:asciiTheme="minorEastAsia" w:hAnsiTheme="minorEastAsia" w:eastAsiaTheme="minorEastAsia" w:cstheme="minorEastAsia"/>
          <w:color w:val="auto"/>
          <w:sz w:val="24"/>
          <w:szCs w:val="24"/>
          <w:highlight w:val="none"/>
          <w:lang w:eastAsia="zh-CN"/>
        </w:rPr>
        <w:t>患者</w:t>
      </w:r>
      <w:r>
        <w:rPr>
          <w:rFonts w:hint="eastAsia" w:asciiTheme="minorEastAsia" w:hAnsiTheme="minorEastAsia" w:eastAsiaTheme="minorEastAsia" w:cstheme="minorEastAsia"/>
          <w:color w:val="auto"/>
          <w:sz w:val="24"/>
          <w:szCs w:val="24"/>
          <w:highlight w:val="none"/>
        </w:rPr>
        <w:t>禁止从事高空操作，高空作业操作人员要系安全带，并且安全带要固定牢靠。</w:t>
      </w:r>
      <w:r>
        <w:rPr>
          <w:rFonts w:hint="eastAsia" w:asciiTheme="minorEastAsia" w:hAnsiTheme="minorEastAsia" w:eastAsiaTheme="minorEastAsia" w:cstheme="minorEastAsia"/>
          <w:b/>
          <w:bCs/>
          <w:color w:val="FF0000"/>
          <w:sz w:val="24"/>
          <w:szCs w:val="24"/>
          <w:highlight w:val="yellow"/>
          <w:lang w:val="en-US" w:eastAsia="zh-CN"/>
        </w:rPr>
        <w:t>攀爬和悬空高处作业人员以及搭设高处作业安全设施的人员，必须经过专业技术培训，持证上岗，并定期进行身体检查。非作业人员不准在高处作业面上。</w:t>
      </w:r>
    </w:p>
    <w:p w14:paraId="66C18973">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遇高温天气，应结合天气、</w:t>
      </w:r>
      <w:r>
        <w:rPr>
          <w:rFonts w:hint="eastAsia" w:asciiTheme="minorEastAsia" w:hAnsiTheme="minorEastAsia" w:eastAsiaTheme="minorEastAsia" w:cstheme="minorEastAsia"/>
          <w:color w:val="auto"/>
          <w:sz w:val="24"/>
          <w:szCs w:val="24"/>
          <w:highlight w:val="none"/>
          <w:lang w:val="en-US" w:eastAsia="zh-CN"/>
        </w:rPr>
        <w:t>施工</w:t>
      </w:r>
      <w:r>
        <w:rPr>
          <w:rFonts w:hint="eastAsia" w:asciiTheme="minorEastAsia" w:hAnsiTheme="minorEastAsia" w:eastAsiaTheme="minorEastAsia" w:cstheme="minorEastAsia"/>
          <w:color w:val="auto"/>
          <w:sz w:val="24"/>
          <w:szCs w:val="24"/>
          <w:highlight w:val="none"/>
        </w:rPr>
        <w:t>进度等实际情况，加强作业人员身心关怀，合理安排作业时间，及时安排休息避暑，并配备防暑降温等</w:t>
      </w:r>
      <w:r>
        <w:rPr>
          <w:rFonts w:hint="eastAsia" w:asciiTheme="minorEastAsia" w:hAnsiTheme="minorEastAsia" w:eastAsiaTheme="minorEastAsia" w:cstheme="minorEastAsia"/>
          <w:color w:val="auto"/>
          <w:sz w:val="24"/>
          <w:szCs w:val="24"/>
          <w:highlight w:val="none"/>
          <w:lang w:eastAsia="zh-CN"/>
        </w:rPr>
        <w:t>必需的</w:t>
      </w:r>
      <w:r>
        <w:rPr>
          <w:rFonts w:hint="eastAsia" w:asciiTheme="minorEastAsia" w:hAnsiTheme="minorEastAsia" w:eastAsiaTheme="minorEastAsia" w:cstheme="minorEastAsia"/>
          <w:color w:val="auto"/>
          <w:sz w:val="24"/>
          <w:szCs w:val="24"/>
          <w:highlight w:val="none"/>
        </w:rPr>
        <w:t>应急药品、物品，避免人员中暑、疲劳作业等情况。</w:t>
      </w:r>
    </w:p>
    <w:p w14:paraId="3DCB5622">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操作人员上岗，必须按规定穿戴防护用品。施工负责人和安全检查员应随时检查劳动防护用品的穿戴情况，不按规定穿戴防护用品的人员不得上岗。</w:t>
      </w:r>
    </w:p>
    <w:p w14:paraId="4942AB18">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应根据工程特点，合理安排身体素质、技术水平高、安全责任心强的人员上岗，施工过程中职业健康、环境保护、劳动卫生、安全生产等有关工作，做到安全文明施工，坚决防范各类安全事故发生</w:t>
      </w:r>
      <w:r>
        <w:rPr>
          <w:rFonts w:hint="eastAsia" w:asciiTheme="minorEastAsia" w:hAnsiTheme="minorEastAsia" w:eastAsiaTheme="minorEastAsia" w:cstheme="minorEastAsia"/>
          <w:color w:val="auto"/>
          <w:sz w:val="24"/>
          <w:szCs w:val="24"/>
          <w:highlight w:val="none"/>
          <w:lang w:eastAsia="zh-CN"/>
        </w:rPr>
        <w:t>。</w:t>
      </w:r>
    </w:p>
    <w:p w14:paraId="243C6C2D">
      <w:pPr>
        <w:spacing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lang w:eastAsia="zh-CN"/>
        </w:rPr>
        <w:t>安全生产费用专款专用、据实支付，由</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lang w:eastAsia="zh-CN"/>
        </w:rPr>
        <w:t>严格按照《企业安全生产费用提取和使用管理办法》规定的支出范围使用，</w:t>
      </w:r>
      <w:r>
        <w:rPr>
          <w:rFonts w:hint="eastAsia" w:asciiTheme="minorEastAsia" w:hAnsiTheme="minorEastAsia" w:eastAsiaTheme="minorEastAsia" w:cstheme="minorEastAsia"/>
          <w:color w:val="auto"/>
          <w:sz w:val="24"/>
          <w:szCs w:val="24"/>
          <w:highlight w:val="none"/>
          <w:lang w:val="en-US" w:eastAsia="zh-CN"/>
        </w:rPr>
        <w:t>乙方</w:t>
      </w:r>
      <w:r>
        <w:rPr>
          <w:rFonts w:hint="eastAsia" w:asciiTheme="minorEastAsia" w:hAnsiTheme="minorEastAsia" w:eastAsiaTheme="minorEastAsia" w:cstheme="minorEastAsia"/>
          <w:color w:val="auto"/>
          <w:sz w:val="24"/>
          <w:szCs w:val="24"/>
          <w:highlight w:val="none"/>
          <w:lang w:eastAsia="zh-CN"/>
        </w:rPr>
        <w:t>在申请办理工程开工安全生产措施备案时，保证安全生产的措施方案应包含安全生产费用使用计划。</w:t>
      </w:r>
    </w:p>
    <w:p w14:paraId="6C0198E4">
      <w:pPr>
        <w:autoSpaceDE w:val="0"/>
        <w:autoSpaceDN w:val="0"/>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11.</w:t>
      </w:r>
      <w:r>
        <w:rPr>
          <w:rFonts w:hint="eastAsia" w:asciiTheme="minorEastAsia" w:hAnsiTheme="minorEastAsia" w:eastAsiaTheme="minorEastAsia" w:cstheme="minorEastAsia"/>
          <w:b/>
          <w:bCs/>
          <w:color w:val="auto"/>
          <w:sz w:val="24"/>
          <w:szCs w:val="24"/>
          <w:highlight w:val="none"/>
          <w:lang w:eastAsia="zh-CN"/>
        </w:rPr>
        <w:t>乙方</w:t>
      </w:r>
      <w:r>
        <w:rPr>
          <w:rFonts w:hint="eastAsia" w:asciiTheme="minorEastAsia" w:hAnsiTheme="minorEastAsia" w:eastAsiaTheme="minorEastAsia" w:cstheme="minorEastAsia"/>
          <w:b/>
          <w:bCs/>
          <w:color w:val="auto"/>
          <w:sz w:val="24"/>
          <w:szCs w:val="24"/>
          <w:highlight w:val="none"/>
        </w:rPr>
        <w:t>不得违章指挥或强令作业人员冒险作业，也不能强迫作业人员超体能连续工作。作业过程中，应加强人员管理，确保人员工作安全，防范安全生产事故，</w:t>
      </w:r>
      <w:r>
        <w:rPr>
          <w:rFonts w:hint="eastAsia" w:asciiTheme="minorEastAsia" w:hAnsiTheme="minorEastAsia" w:eastAsiaTheme="minorEastAsia" w:cstheme="minorEastAsia"/>
          <w:b/>
          <w:bCs/>
          <w:color w:val="auto"/>
          <w:sz w:val="24"/>
          <w:szCs w:val="24"/>
          <w:highlight w:val="none"/>
          <w:lang w:val="en-US" w:eastAsia="zh-CN"/>
        </w:rPr>
        <w:t>乙方在履行本合同过程中发生的任何工伤或意外伤亡等，均由乙方负责处理并承担全部费用；若因此给甲方或第三方造成损失，由乙方予以全额赔偿。</w:t>
      </w:r>
    </w:p>
    <w:p w14:paraId="4EBDD071">
      <w:pPr>
        <w:autoSpaceDE w:val="0"/>
        <w:autoSpaceDN w:val="0"/>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yellow"/>
        </w:rPr>
      </w:pPr>
      <w:r>
        <w:rPr>
          <w:rFonts w:hint="eastAsia" w:asciiTheme="minorEastAsia" w:hAnsiTheme="minorEastAsia" w:eastAsiaTheme="minorEastAsia" w:cstheme="minorEastAsia"/>
          <w:b/>
          <w:bCs/>
          <w:color w:val="auto"/>
          <w:sz w:val="24"/>
          <w:szCs w:val="24"/>
          <w:highlight w:val="yellow"/>
          <w:lang w:val="en-US" w:eastAsia="zh-CN"/>
        </w:rPr>
        <w:t>12.项目实施前，本项目所有从业人员购买以下保险（三者任选其一）：</w:t>
      </w:r>
      <w:r>
        <w:rPr>
          <w:rFonts w:hint="eastAsia" w:cs="宋体"/>
          <w:b/>
          <w:bCs/>
          <w:color w:val="auto"/>
          <w:sz w:val="24"/>
          <w:szCs w:val="24"/>
          <w:highlight w:val="yellow"/>
          <w:u w:val="single"/>
        </w:rPr>
        <w:t>雇主责任险或</w:t>
      </w:r>
      <w:r>
        <w:rPr>
          <w:rFonts w:hint="eastAsia" w:cs="宋体"/>
          <w:b/>
          <w:bCs/>
          <w:color w:val="auto"/>
          <w:sz w:val="24"/>
          <w:szCs w:val="24"/>
          <w:highlight w:val="yellow"/>
          <w:u w:val="single"/>
          <w:lang w:eastAsia="zh-CN"/>
        </w:rPr>
        <w:t>团体意外险</w:t>
      </w:r>
      <w:r>
        <w:rPr>
          <w:rFonts w:hint="eastAsia" w:cs="宋体"/>
          <w:b/>
          <w:bCs/>
          <w:color w:val="auto"/>
          <w:sz w:val="24"/>
          <w:szCs w:val="24"/>
          <w:highlight w:val="yellow"/>
          <w:u w:val="single"/>
          <w:lang w:val="en-US" w:eastAsia="zh-CN"/>
        </w:rPr>
        <w:t>或安全生产责任险</w:t>
      </w:r>
      <w:r>
        <w:rPr>
          <w:rFonts w:hint="eastAsia" w:asciiTheme="minorEastAsia" w:hAnsiTheme="minorEastAsia" w:eastAsiaTheme="minorEastAsia" w:cstheme="minorEastAsia"/>
          <w:b/>
          <w:bCs/>
          <w:color w:val="auto"/>
          <w:sz w:val="24"/>
          <w:szCs w:val="24"/>
          <w:highlight w:val="yellow"/>
          <w:lang w:val="en-US" w:eastAsia="zh-CN"/>
        </w:rPr>
        <w:t>，其保险费已包含在签约合同价中。</w:t>
      </w:r>
    </w:p>
    <w:p w14:paraId="09F1F33D">
      <w:pPr>
        <w:spacing w:line="360" w:lineRule="auto"/>
        <w:ind w:firstLine="482" w:firstLineChars="20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13.</w:t>
      </w:r>
      <w:r>
        <w:rPr>
          <w:rFonts w:hint="eastAsia" w:cs="宋体"/>
          <w:b/>
          <w:bCs/>
          <w:color w:val="auto"/>
          <w:sz w:val="24"/>
          <w:szCs w:val="24"/>
          <w:highlight w:val="none"/>
        </w:rPr>
        <w:t>乙方承诺，作业过程中如出现作业人员未有效佩戴现场安全防护</w:t>
      </w:r>
      <w:r>
        <w:rPr>
          <w:rFonts w:hint="eastAsia" w:cs="宋体"/>
          <w:b/>
          <w:bCs/>
          <w:color w:val="auto"/>
          <w:sz w:val="24"/>
          <w:szCs w:val="24"/>
          <w:highlight w:val="none"/>
          <w:lang w:eastAsia="zh-CN"/>
        </w:rPr>
        <w:t>必需的</w:t>
      </w:r>
      <w:r>
        <w:rPr>
          <w:rFonts w:hint="eastAsia" w:cs="宋体"/>
          <w:b/>
          <w:bCs/>
          <w:color w:val="auto"/>
          <w:sz w:val="24"/>
          <w:szCs w:val="24"/>
          <w:highlight w:val="none"/>
        </w:rPr>
        <w:t>安全帽、安全绳、救生衣以及其他</w:t>
      </w:r>
      <w:r>
        <w:rPr>
          <w:rFonts w:hint="eastAsia" w:cs="宋体"/>
          <w:b/>
          <w:bCs/>
          <w:color w:val="auto"/>
          <w:sz w:val="24"/>
          <w:szCs w:val="24"/>
          <w:highlight w:val="none"/>
          <w:lang w:eastAsia="zh-CN"/>
        </w:rPr>
        <w:t>必需的</w:t>
      </w:r>
      <w:r>
        <w:rPr>
          <w:rFonts w:hint="eastAsia" w:cs="宋体"/>
          <w:b/>
          <w:bCs/>
          <w:color w:val="auto"/>
          <w:sz w:val="24"/>
          <w:szCs w:val="24"/>
          <w:highlight w:val="none"/>
          <w:lang w:val="en-US" w:eastAsia="zh-CN"/>
        </w:rPr>
        <w:t>作业</w:t>
      </w:r>
      <w:r>
        <w:rPr>
          <w:rFonts w:hint="eastAsia" w:cs="宋体"/>
          <w:b/>
          <w:bCs/>
          <w:color w:val="auto"/>
          <w:sz w:val="24"/>
          <w:szCs w:val="24"/>
          <w:highlight w:val="none"/>
        </w:rPr>
        <w:t>防护等安全防护用品，发生不安全行为的，每出现一次，从</w:t>
      </w:r>
      <w:r>
        <w:rPr>
          <w:rFonts w:hint="eastAsia" w:cs="宋体"/>
          <w:b/>
          <w:bCs/>
          <w:color w:val="auto"/>
          <w:sz w:val="24"/>
          <w:szCs w:val="24"/>
          <w:highlight w:val="none"/>
          <w:lang w:val="en-US" w:eastAsia="zh-CN"/>
        </w:rPr>
        <w:t>合同</w:t>
      </w:r>
      <w:r>
        <w:rPr>
          <w:rFonts w:hint="eastAsia" w:cs="宋体"/>
          <w:b/>
          <w:bCs/>
          <w:color w:val="auto"/>
          <w:sz w:val="24"/>
          <w:szCs w:val="24"/>
          <w:highlight w:val="none"/>
        </w:rPr>
        <w:t>结算价中自愿核减1000元，减完为止。</w:t>
      </w:r>
    </w:p>
    <w:p w14:paraId="55129BFE">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三、</w:t>
      </w:r>
      <w:r>
        <w:rPr>
          <w:rFonts w:hint="eastAsia" w:asciiTheme="minorEastAsia" w:hAnsiTheme="minorEastAsia" w:eastAsiaTheme="minorEastAsia" w:cstheme="minorEastAsia"/>
          <w:color w:val="auto"/>
          <w:sz w:val="24"/>
          <w:szCs w:val="24"/>
          <w:highlight w:val="none"/>
        </w:rPr>
        <w:t>本合同由双方法定代表人或其授权的代理人签署并加盖单位章后生效，全部工程</w:t>
      </w:r>
      <w:r>
        <w:rPr>
          <w:rFonts w:hint="eastAsia" w:asciiTheme="minorEastAsia" w:hAnsiTheme="minorEastAsia" w:eastAsiaTheme="minorEastAsia" w:cstheme="minorEastAsia"/>
          <w:color w:val="auto"/>
          <w:sz w:val="24"/>
          <w:szCs w:val="24"/>
          <w:highlight w:val="none"/>
          <w:lang w:eastAsia="zh-CN"/>
        </w:rPr>
        <w:t>完工</w:t>
      </w:r>
      <w:r>
        <w:rPr>
          <w:rFonts w:hint="eastAsia" w:asciiTheme="minorEastAsia" w:hAnsiTheme="minorEastAsia" w:eastAsiaTheme="minorEastAsia" w:cstheme="minorEastAsia"/>
          <w:color w:val="auto"/>
          <w:sz w:val="24"/>
          <w:szCs w:val="24"/>
          <w:highlight w:val="none"/>
        </w:rPr>
        <w:t>验收后失效。</w:t>
      </w:r>
    </w:p>
    <w:p w14:paraId="32B4796D">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四、</w:t>
      </w:r>
      <w:r>
        <w:rPr>
          <w:rFonts w:hint="eastAsia" w:asciiTheme="minorEastAsia" w:hAnsiTheme="minorEastAsia" w:eastAsiaTheme="minorEastAsia" w:cstheme="minorEastAsia"/>
          <w:color w:val="auto"/>
          <w:sz w:val="24"/>
          <w:szCs w:val="24"/>
          <w:highlight w:val="none"/>
        </w:rPr>
        <w:t>本合同正本—式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份，副本</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份，合同双方各执正本—份，副本</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份，当正本与副本的内容不一致时，以正本为准。</w:t>
      </w:r>
    </w:p>
    <w:p w14:paraId="00971F19">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甲方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（盖单位章）          </w:t>
      </w:r>
      <w:r>
        <w:rPr>
          <w:rFonts w:hint="eastAsia" w:asciiTheme="minorEastAsia" w:hAnsiTheme="minorEastAsia" w:eastAsiaTheme="minorEastAsia" w:cstheme="minorEastAsia"/>
          <w:color w:val="auto"/>
          <w:sz w:val="24"/>
          <w:szCs w:val="24"/>
          <w:highlight w:val="none"/>
          <w:lang w:eastAsia="zh-CN"/>
        </w:rPr>
        <w:t>乙方</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（盖单位章）</w:t>
      </w:r>
    </w:p>
    <w:p w14:paraId="00A61983">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法定代表人或其委托代理人：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  法定代表人或其委托代理人：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w:t>
      </w:r>
    </w:p>
    <w:p w14:paraId="2B65C1CF">
      <w:pPr>
        <w:spacing w:line="360" w:lineRule="auto"/>
        <w:ind w:firstLine="840"/>
        <w:rPr>
          <w:color w:val="auto"/>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日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0941BED2">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462164B8">
      <w:pPr>
        <w:spacing w:before="312" w:beforeLines="100" w:after="312" w:afterLines="100"/>
        <w:outlineLvl w:val="2"/>
        <w:rPr>
          <w:rFonts w:hint="eastAsia" w:ascii="Times New Roman" w:hAnsi="宋体" w:eastAsia="黑体" w:cs="宋体"/>
          <w:color w:val="auto"/>
          <w:sz w:val="24"/>
          <w:szCs w:val="24"/>
          <w:highlight w:val="none"/>
          <w:lang w:val="en-US" w:eastAsia="zh-CN"/>
        </w:rPr>
      </w:pPr>
      <w:r>
        <w:rPr>
          <w:rFonts w:hint="eastAsia" w:ascii="Times New Roman" w:hAnsi="宋体" w:eastAsia="黑体" w:cs="宋体"/>
          <w:color w:val="auto"/>
          <w:sz w:val="24"/>
          <w:szCs w:val="24"/>
          <w:highlight w:val="none"/>
          <w:lang w:val="en-US" w:eastAsia="zh-CN"/>
        </w:rPr>
        <w:t>附</w:t>
      </w:r>
      <w:bookmarkStart w:id="694" w:name="_Toc296944565"/>
      <w:bookmarkStart w:id="695" w:name="_Toc296891266"/>
      <w:bookmarkStart w:id="696" w:name="_Toc296891054"/>
      <w:bookmarkStart w:id="697" w:name="_Toc296347225"/>
      <w:bookmarkStart w:id="698" w:name="_Toc296346727"/>
      <w:bookmarkStart w:id="699" w:name="_Toc296503226"/>
      <w:bookmarkStart w:id="700" w:name="_Toc267261693"/>
      <w:r>
        <w:rPr>
          <w:rFonts w:hint="eastAsia" w:ascii="Times New Roman" w:hAnsi="宋体" w:eastAsia="黑体" w:cs="宋体"/>
          <w:color w:val="auto"/>
          <w:sz w:val="24"/>
          <w:szCs w:val="24"/>
          <w:highlight w:val="none"/>
          <w:lang w:val="en-US" w:eastAsia="zh-CN"/>
        </w:rPr>
        <w:t>件3：</w:t>
      </w:r>
      <w:bookmarkEnd w:id="694"/>
      <w:bookmarkEnd w:id="695"/>
      <w:bookmarkEnd w:id="696"/>
      <w:bookmarkEnd w:id="697"/>
      <w:bookmarkEnd w:id="698"/>
      <w:bookmarkEnd w:id="699"/>
      <w:bookmarkEnd w:id="700"/>
      <w:r>
        <w:rPr>
          <w:rFonts w:hint="eastAsia" w:ascii="Times New Roman" w:hAnsi="宋体" w:eastAsia="黑体" w:cs="宋体"/>
          <w:color w:val="auto"/>
          <w:sz w:val="24"/>
          <w:szCs w:val="24"/>
          <w:highlight w:val="none"/>
          <w:lang w:val="en-US" w:eastAsia="zh-CN"/>
        </w:rPr>
        <w:t>工程质量保修书</w:t>
      </w:r>
      <w:bookmarkEnd w:id="685"/>
    </w:p>
    <w:p w14:paraId="1B696EAD">
      <w:pPr>
        <w:adjustRightInd w:val="0"/>
        <w:snapToGrid w:val="0"/>
        <w:spacing w:line="360" w:lineRule="auto"/>
        <w:jc w:val="center"/>
        <w:rPr>
          <w:rFonts w:cs="宋体"/>
          <w:color w:val="auto"/>
          <w:sz w:val="24"/>
          <w:szCs w:val="24"/>
          <w:highlight w:val="none"/>
        </w:rPr>
      </w:pPr>
      <w:r>
        <w:rPr>
          <w:rFonts w:hint="eastAsia" w:cs="宋体"/>
          <w:color w:val="auto"/>
          <w:sz w:val="24"/>
          <w:szCs w:val="24"/>
          <w:highlight w:val="none"/>
        </w:rPr>
        <w:t>工程质量保修书</w:t>
      </w:r>
    </w:p>
    <w:p w14:paraId="6BC25927">
      <w:pPr>
        <w:adjustRightInd w:val="0"/>
        <w:snapToGrid w:val="0"/>
        <w:spacing w:line="360" w:lineRule="auto"/>
        <w:ind w:firstLine="480" w:firstLineChars="200"/>
        <w:rPr>
          <w:rFonts w:cs="宋体"/>
          <w:color w:val="auto"/>
          <w:position w:val="14"/>
          <w:sz w:val="24"/>
          <w:szCs w:val="24"/>
          <w:highlight w:val="none"/>
        </w:rPr>
      </w:pPr>
      <w:r>
        <w:rPr>
          <w:rFonts w:hint="eastAsia" w:cs="宋体"/>
          <w:bCs/>
          <w:color w:val="auto"/>
          <w:position w:val="14"/>
          <w:sz w:val="24"/>
          <w:szCs w:val="24"/>
          <w:highlight w:val="none"/>
          <w:lang w:eastAsia="zh-CN"/>
        </w:rPr>
        <w:t>甲方</w:t>
      </w:r>
      <w:r>
        <w:rPr>
          <w:rFonts w:hint="eastAsia" w:cs="宋体"/>
          <w:color w:val="auto"/>
          <w:position w:val="14"/>
          <w:sz w:val="24"/>
          <w:szCs w:val="24"/>
          <w:highlight w:val="none"/>
        </w:rPr>
        <w:t>：_______________________________</w:t>
      </w:r>
    </w:p>
    <w:p w14:paraId="08737B9A">
      <w:pPr>
        <w:widowControl/>
        <w:adjustRightInd w:val="0"/>
        <w:snapToGrid w:val="0"/>
        <w:spacing w:line="360" w:lineRule="auto"/>
        <w:ind w:firstLine="480" w:firstLineChars="200"/>
        <w:jc w:val="left"/>
        <w:rPr>
          <w:rFonts w:cs="宋体"/>
          <w:color w:val="auto"/>
          <w:position w:val="14"/>
          <w:sz w:val="24"/>
          <w:szCs w:val="24"/>
          <w:highlight w:val="none"/>
        </w:rPr>
      </w:pPr>
      <w:r>
        <w:rPr>
          <w:rFonts w:hint="eastAsia" w:cs="宋体"/>
          <w:bCs/>
          <w:color w:val="auto"/>
          <w:position w:val="14"/>
          <w:sz w:val="24"/>
          <w:szCs w:val="24"/>
          <w:highlight w:val="none"/>
          <w:lang w:eastAsia="zh-CN"/>
        </w:rPr>
        <w:t>乙方</w:t>
      </w:r>
      <w:r>
        <w:rPr>
          <w:rFonts w:hint="eastAsia" w:cs="宋体"/>
          <w:color w:val="auto"/>
          <w:position w:val="14"/>
          <w:sz w:val="24"/>
          <w:szCs w:val="24"/>
          <w:highlight w:val="none"/>
        </w:rPr>
        <w:t>：_______________________________</w:t>
      </w:r>
    </w:p>
    <w:p w14:paraId="275D6E1F">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根据《中华人民共和国建筑法》</w:t>
      </w:r>
      <w:r>
        <w:rPr>
          <w:rFonts w:hint="eastAsia" w:cs="宋体"/>
          <w:color w:val="auto"/>
          <w:position w:val="6"/>
          <w:sz w:val="24"/>
          <w:szCs w:val="24"/>
          <w:highlight w:val="none"/>
          <w:lang w:val="en-US" w:eastAsia="zh-CN"/>
        </w:rPr>
        <w:t>等</w:t>
      </w:r>
      <w:r>
        <w:rPr>
          <w:rFonts w:hint="eastAsia" w:cs="宋体"/>
          <w:color w:val="auto"/>
          <w:position w:val="6"/>
          <w:sz w:val="24"/>
          <w:szCs w:val="24"/>
          <w:highlight w:val="none"/>
        </w:rPr>
        <w:t>，经协商一致，对______________________工程签订工程质量保修书。</w:t>
      </w:r>
    </w:p>
    <w:p w14:paraId="196A64C2">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一、工程质量保修范围和内容</w:t>
      </w:r>
    </w:p>
    <w:p w14:paraId="7DDA79A5">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按照有关法律、法规、规章的管理规定，双方约定由施工单位在质量保修期内，承担本工程的质量保修责任。</w:t>
      </w:r>
    </w:p>
    <w:p w14:paraId="30424318">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质量保修范围和内容：______________________。</w:t>
      </w:r>
      <w:r>
        <w:rPr>
          <w:rFonts w:hint="eastAsia" w:cs="宋体"/>
          <w:bCs/>
          <w:color w:val="auto"/>
          <w:position w:val="6"/>
          <w:sz w:val="24"/>
          <w:szCs w:val="24"/>
          <w:highlight w:val="none"/>
        </w:rPr>
        <w:t>因不可抗力或使用不当造成的质量缺陷，不属保修范围。</w:t>
      </w:r>
    </w:p>
    <w:p w14:paraId="009FB037">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二、质量保修期</w:t>
      </w:r>
    </w:p>
    <w:p w14:paraId="410DD914">
      <w:pPr>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双方按照有关法律、法规、规章的管理规定，约定本工程的质量保修期如下：</w:t>
      </w:r>
    </w:p>
    <w:p w14:paraId="6A4BF1B6">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1. 主体结构和基础工程，为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7A7FDBCB">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2. _____________工程，为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36E9836C">
      <w:pPr>
        <w:widowControl/>
        <w:adjustRightInd w:val="0"/>
        <w:snapToGrid w:val="0"/>
        <w:spacing w:line="360" w:lineRule="auto"/>
        <w:ind w:left="400" w:leftChars="200" w:firstLine="67" w:firstLineChars="28"/>
        <w:jc w:val="left"/>
        <w:rPr>
          <w:rFonts w:cs="宋体"/>
          <w:color w:val="auto"/>
          <w:position w:val="6"/>
          <w:sz w:val="24"/>
          <w:szCs w:val="24"/>
          <w:highlight w:val="none"/>
        </w:rPr>
      </w:pPr>
      <w:r>
        <w:rPr>
          <w:rFonts w:hint="eastAsia" w:cs="宋体"/>
          <w:color w:val="auto"/>
          <w:position w:val="6"/>
          <w:sz w:val="24"/>
          <w:szCs w:val="24"/>
          <w:highlight w:val="none"/>
        </w:rPr>
        <w:t>3. _____________工程，为</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56026C95">
      <w:pPr>
        <w:adjustRightInd w:val="0"/>
        <w:snapToGrid w:val="0"/>
        <w:spacing w:line="360" w:lineRule="auto"/>
        <w:ind w:left="342" w:leftChars="171" w:firstLine="120" w:firstLineChars="50"/>
        <w:rPr>
          <w:rFonts w:cs="宋体"/>
          <w:color w:val="auto"/>
          <w:position w:val="6"/>
          <w:sz w:val="24"/>
          <w:szCs w:val="24"/>
          <w:highlight w:val="none"/>
        </w:rPr>
      </w:pPr>
      <w:r>
        <w:rPr>
          <w:rFonts w:hint="eastAsia" w:cs="宋体"/>
          <w:color w:val="auto"/>
          <w:position w:val="6"/>
          <w:sz w:val="24"/>
          <w:szCs w:val="24"/>
          <w:highlight w:val="none"/>
        </w:rPr>
        <w:t xml:space="preserve">4. _____________工程，为 </w:t>
      </w:r>
      <w:r>
        <w:rPr>
          <w:rFonts w:hint="eastAsia" w:cs="宋体"/>
          <w:color w:val="auto"/>
          <w:position w:val="6"/>
          <w:sz w:val="24"/>
          <w:szCs w:val="24"/>
          <w:highlight w:val="none"/>
          <w:u w:val="single"/>
        </w:rPr>
        <w:t xml:space="preserve">     </w:t>
      </w:r>
      <w:r>
        <w:rPr>
          <w:rFonts w:hint="eastAsia" w:cs="宋体"/>
          <w:color w:val="auto"/>
          <w:position w:val="6"/>
          <w:sz w:val="24"/>
          <w:szCs w:val="24"/>
          <w:highlight w:val="none"/>
        </w:rPr>
        <w:t>年；</w:t>
      </w:r>
    </w:p>
    <w:p w14:paraId="59A710A9">
      <w:pPr>
        <w:adjustRightInd w:val="0"/>
        <w:snapToGrid w:val="0"/>
        <w:spacing w:line="360" w:lineRule="auto"/>
        <w:ind w:left="342" w:leftChars="171" w:firstLine="120" w:firstLineChars="50"/>
        <w:rPr>
          <w:rFonts w:cs="宋体"/>
          <w:color w:val="auto"/>
          <w:position w:val="6"/>
          <w:sz w:val="24"/>
          <w:szCs w:val="24"/>
          <w:highlight w:val="none"/>
        </w:rPr>
      </w:pPr>
      <w:r>
        <w:rPr>
          <w:rFonts w:hint="eastAsia" w:cs="宋体"/>
          <w:color w:val="auto"/>
          <w:position w:val="6"/>
          <w:sz w:val="24"/>
          <w:szCs w:val="24"/>
          <w:highlight w:val="none"/>
        </w:rPr>
        <w:t>质量保修期自工程</w:t>
      </w:r>
      <w:r>
        <w:rPr>
          <w:rFonts w:hint="eastAsia" w:cs="宋体"/>
          <w:color w:val="auto"/>
          <w:position w:val="6"/>
          <w:sz w:val="24"/>
          <w:szCs w:val="24"/>
          <w:highlight w:val="none"/>
          <w:lang w:eastAsia="zh-CN"/>
        </w:rPr>
        <w:t>完工</w:t>
      </w:r>
      <w:r>
        <w:rPr>
          <w:rFonts w:hint="eastAsia" w:cs="宋体"/>
          <w:color w:val="auto"/>
          <w:position w:val="6"/>
          <w:sz w:val="24"/>
          <w:szCs w:val="24"/>
          <w:highlight w:val="none"/>
        </w:rPr>
        <w:t>验收合格之日起计算。</w:t>
      </w:r>
    </w:p>
    <w:p w14:paraId="131009A2">
      <w:pPr>
        <w:adjustRightInd w:val="0"/>
        <w:snapToGrid w:val="0"/>
        <w:spacing w:line="360" w:lineRule="auto"/>
        <w:ind w:firstLine="482" w:firstLineChars="200"/>
        <w:rPr>
          <w:rFonts w:cs="宋体"/>
          <w:b/>
          <w:color w:val="auto"/>
          <w:sz w:val="24"/>
          <w:szCs w:val="24"/>
          <w:highlight w:val="none"/>
        </w:rPr>
      </w:pPr>
      <w:r>
        <w:rPr>
          <w:rFonts w:hint="eastAsia" w:cs="宋体"/>
          <w:b/>
          <w:color w:val="auto"/>
          <w:sz w:val="24"/>
          <w:szCs w:val="24"/>
          <w:highlight w:val="none"/>
        </w:rPr>
        <w:t>三、缺陷责任期</w:t>
      </w:r>
    </w:p>
    <w:p w14:paraId="5200249E">
      <w:pPr>
        <w:adjustRightInd w:val="0"/>
        <w:snapToGrid w:val="0"/>
        <w:spacing w:line="360" w:lineRule="auto"/>
        <w:ind w:firstLine="480" w:firstLineChars="200"/>
        <w:rPr>
          <w:rFonts w:cs="宋体"/>
          <w:color w:val="auto"/>
          <w:sz w:val="24"/>
          <w:szCs w:val="24"/>
          <w:highlight w:val="none"/>
        </w:rPr>
      </w:pPr>
      <w:r>
        <w:rPr>
          <w:rFonts w:hint="eastAsia" w:cs="宋体"/>
          <w:color w:val="auto"/>
          <w:sz w:val="24"/>
          <w:szCs w:val="24"/>
          <w:highlight w:val="none"/>
        </w:rPr>
        <w:t>工程缺陷责任期</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12个月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，缺</w:t>
      </w:r>
      <w:r>
        <w:rPr>
          <w:rFonts w:hint="eastAsia" w:cs="宋体"/>
          <w:color w:val="auto"/>
          <w:sz w:val="24"/>
          <w:szCs w:val="24"/>
          <w:highlight w:val="none"/>
        </w:rPr>
        <w:t>陷责任期自工程</w:t>
      </w:r>
      <w:r>
        <w:rPr>
          <w:rFonts w:hint="eastAsia" w:cs="宋体"/>
          <w:color w:val="auto"/>
          <w:sz w:val="24"/>
          <w:szCs w:val="24"/>
          <w:highlight w:val="none"/>
          <w:lang w:eastAsia="zh-CN"/>
        </w:rPr>
        <w:t>完工</w:t>
      </w:r>
      <w:r>
        <w:rPr>
          <w:rFonts w:hint="eastAsia" w:cs="宋体"/>
          <w:color w:val="auto"/>
          <w:sz w:val="24"/>
          <w:szCs w:val="24"/>
          <w:highlight w:val="none"/>
        </w:rPr>
        <w:t>验收合格之日起计算。单位工程先于全部工程进行验收，单位工程缺陷责任期自单位工程验收合格之日起算。</w:t>
      </w:r>
    </w:p>
    <w:p w14:paraId="0D56FEF5">
      <w:pPr>
        <w:adjustRightInd w:val="0"/>
        <w:snapToGrid w:val="0"/>
        <w:spacing w:line="360" w:lineRule="auto"/>
        <w:ind w:firstLine="480" w:firstLineChars="200"/>
        <w:rPr>
          <w:rFonts w:cs="宋体"/>
          <w:color w:val="auto"/>
          <w:sz w:val="24"/>
          <w:szCs w:val="24"/>
          <w:highlight w:val="none"/>
        </w:rPr>
      </w:pPr>
      <w:r>
        <w:rPr>
          <w:rFonts w:hint="eastAsia" w:cs="宋体"/>
          <w:color w:val="auto"/>
          <w:sz w:val="24"/>
          <w:szCs w:val="24"/>
          <w:highlight w:val="none"/>
        </w:rPr>
        <w:t>缺陷责任期终止后，</w:t>
      </w:r>
      <w:r>
        <w:rPr>
          <w:rFonts w:hint="eastAsia" w:cs="宋体"/>
          <w:color w:val="auto"/>
          <w:sz w:val="24"/>
          <w:szCs w:val="24"/>
          <w:highlight w:val="none"/>
          <w:lang w:eastAsia="zh-CN"/>
        </w:rPr>
        <w:t>甲方</w:t>
      </w:r>
      <w:r>
        <w:rPr>
          <w:rFonts w:hint="eastAsia" w:cs="宋体"/>
          <w:color w:val="auto"/>
          <w:sz w:val="24"/>
          <w:szCs w:val="24"/>
          <w:highlight w:val="none"/>
        </w:rPr>
        <w:t>应退还剩余的质量保证金。</w:t>
      </w:r>
    </w:p>
    <w:p w14:paraId="414E998D">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color w:val="auto"/>
          <w:sz w:val="24"/>
          <w:szCs w:val="24"/>
          <w:highlight w:val="none"/>
        </w:rPr>
        <w:t>四、质量保修责任</w:t>
      </w:r>
    </w:p>
    <w:p w14:paraId="5C941096">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1. 属于保修范围、内容的项目，</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应当在接到保修通知之日起7天内派人保修。</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不在约定期限内派人保修的，</w:t>
      </w: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可以委托他人修理。</w:t>
      </w:r>
    </w:p>
    <w:p w14:paraId="5F7D61BB">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2. 发生紧急抢修事故的，</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在接到事故通知后，应当立即到达事故现场抢修。</w:t>
      </w:r>
    </w:p>
    <w:p w14:paraId="51C9C963">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3. 对于涉及结构安全的质量问题，应当立即向当地建设行政主管部门报告，采取安全防范措施；由原设计单位或者具有相应资质等级的设计单位提出保修方案，</w:t>
      </w:r>
      <w:r>
        <w:rPr>
          <w:rFonts w:hint="eastAsia" w:cs="宋体"/>
          <w:color w:val="auto"/>
          <w:position w:val="6"/>
          <w:sz w:val="24"/>
          <w:szCs w:val="24"/>
          <w:highlight w:val="none"/>
          <w:lang w:eastAsia="zh-CN"/>
        </w:rPr>
        <w:t>乙方</w:t>
      </w:r>
      <w:r>
        <w:rPr>
          <w:rFonts w:hint="eastAsia" w:cs="宋体"/>
          <w:color w:val="auto"/>
          <w:position w:val="6"/>
          <w:sz w:val="24"/>
          <w:szCs w:val="24"/>
          <w:highlight w:val="none"/>
        </w:rPr>
        <w:t>实施保修。</w:t>
      </w:r>
    </w:p>
    <w:p w14:paraId="353EFA11">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4. 质量保修完成后，由</w:t>
      </w:r>
      <w:r>
        <w:rPr>
          <w:rFonts w:hint="eastAsia" w:cs="宋体"/>
          <w:color w:val="auto"/>
          <w:position w:val="6"/>
          <w:sz w:val="24"/>
          <w:szCs w:val="24"/>
          <w:highlight w:val="none"/>
          <w:lang w:eastAsia="zh-CN"/>
        </w:rPr>
        <w:t>甲方</w:t>
      </w:r>
      <w:r>
        <w:rPr>
          <w:rFonts w:hint="eastAsia" w:cs="宋体"/>
          <w:color w:val="auto"/>
          <w:position w:val="6"/>
          <w:sz w:val="24"/>
          <w:szCs w:val="24"/>
          <w:highlight w:val="none"/>
        </w:rPr>
        <w:t>组织验收。</w:t>
      </w:r>
    </w:p>
    <w:p w14:paraId="560F7AFE">
      <w:pPr>
        <w:widowControl/>
        <w:adjustRightInd w:val="0"/>
        <w:snapToGrid w:val="0"/>
        <w:spacing w:line="360" w:lineRule="auto"/>
        <w:ind w:firstLine="482" w:firstLineChars="200"/>
        <w:jc w:val="left"/>
        <w:rPr>
          <w:rFonts w:cs="宋体"/>
          <w:b/>
          <w:bCs/>
          <w:color w:val="auto"/>
          <w:position w:val="6"/>
          <w:sz w:val="24"/>
          <w:szCs w:val="24"/>
          <w:highlight w:val="none"/>
        </w:rPr>
      </w:pPr>
      <w:r>
        <w:rPr>
          <w:rFonts w:hint="eastAsia" w:cs="宋体"/>
          <w:b/>
          <w:bCs/>
          <w:color w:val="auto"/>
          <w:position w:val="6"/>
          <w:sz w:val="24"/>
          <w:szCs w:val="24"/>
          <w:highlight w:val="none"/>
        </w:rPr>
        <w:t>五、保修费用</w:t>
      </w:r>
    </w:p>
    <w:p w14:paraId="0830D286">
      <w:pPr>
        <w:widowControl/>
        <w:adjustRightInd w:val="0"/>
        <w:snapToGrid w:val="0"/>
        <w:spacing w:line="360" w:lineRule="auto"/>
        <w:ind w:firstLine="480" w:firstLineChars="200"/>
        <w:jc w:val="left"/>
        <w:rPr>
          <w:rFonts w:cs="宋体"/>
          <w:color w:val="auto"/>
          <w:position w:val="6"/>
          <w:sz w:val="24"/>
          <w:szCs w:val="24"/>
          <w:highlight w:val="none"/>
        </w:rPr>
      </w:pPr>
      <w:r>
        <w:rPr>
          <w:rFonts w:hint="eastAsia" w:cs="宋体"/>
          <w:color w:val="auto"/>
          <w:position w:val="6"/>
          <w:sz w:val="24"/>
          <w:szCs w:val="24"/>
          <w:highlight w:val="none"/>
        </w:rPr>
        <w:t>保修费用由造成质量缺陷的责任方承担。</w:t>
      </w:r>
    </w:p>
    <w:p w14:paraId="1A7EDA5C">
      <w:pPr>
        <w:widowControl/>
        <w:adjustRightInd w:val="0"/>
        <w:snapToGrid w:val="0"/>
        <w:spacing w:line="360" w:lineRule="auto"/>
        <w:ind w:firstLine="480" w:firstLineChars="200"/>
        <w:jc w:val="left"/>
        <w:rPr>
          <w:rFonts w:cs="宋体"/>
          <w:b/>
          <w:color w:val="auto"/>
          <w:sz w:val="24"/>
          <w:szCs w:val="24"/>
          <w:highlight w:val="none"/>
        </w:rPr>
      </w:pPr>
      <w:r>
        <w:rPr>
          <w:rFonts w:hint="eastAsia" w:cs="宋体"/>
          <w:bCs/>
          <w:color w:val="auto"/>
          <w:position w:val="6"/>
          <w:sz w:val="24"/>
          <w:szCs w:val="24"/>
          <w:highlight w:val="none"/>
        </w:rPr>
        <w:t>六、</w:t>
      </w:r>
      <w:r>
        <w:rPr>
          <w:rFonts w:hint="eastAsia" w:cs="宋体"/>
          <w:b/>
          <w:color w:val="auto"/>
          <w:sz w:val="24"/>
          <w:szCs w:val="24"/>
          <w:highlight w:val="none"/>
        </w:rPr>
        <w:t>双方约定的其他工程质量保修事项：</w:t>
      </w:r>
      <w:r>
        <w:rPr>
          <w:rFonts w:hint="eastAsia" w:cs="宋体"/>
          <w:b/>
          <w:color w:val="auto"/>
          <w:sz w:val="24"/>
          <w:szCs w:val="24"/>
          <w:highlight w:val="none"/>
          <w:u w:val="single"/>
        </w:rPr>
        <w:t xml:space="preserve">             </w:t>
      </w:r>
      <w:r>
        <w:rPr>
          <w:rFonts w:hint="eastAsia" w:cs="宋体"/>
          <w:b/>
          <w:color w:val="auto"/>
          <w:sz w:val="24"/>
          <w:szCs w:val="24"/>
          <w:highlight w:val="none"/>
        </w:rPr>
        <w:t>。</w:t>
      </w:r>
    </w:p>
    <w:p w14:paraId="3C171AC2">
      <w:pPr>
        <w:widowControl/>
        <w:adjustRightInd w:val="0"/>
        <w:snapToGrid w:val="0"/>
        <w:spacing w:line="360" w:lineRule="auto"/>
        <w:ind w:firstLine="480" w:firstLineChars="200"/>
        <w:jc w:val="left"/>
        <w:rPr>
          <w:rFonts w:cs="宋体"/>
          <w:bCs/>
          <w:color w:val="auto"/>
          <w:sz w:val="24"/>
          <w:szCs w:val="24"/>
          <w:highlight w:val="none"/>
        </w:rPr>
      </w:pPr>
      <w:r>
        <w:rPr>
          <w:rFonts w:hint="eastAsia" w:cs="宋体"/>
          <w:bCs/>
          <w:color w:val="auto"/>
          <w:position w:val="6"/>
          <w:sz w:val="24"/>
          <w:szCs w:val="24"/>
          <w:highlight w:val="none"/>
        </w:rPr>
        <w:t>本工程质量保修书，由施工合同</w:t>
      </w:r>
      <w:r>
        <w:rPr>
          <w:rFonts w:hint="eastAsia" w:cs="宋体"/>
          <w:bCs/>
          <w:color w:val="auto"/>
          <w:position w:val="6"/>
          <w:sz w:val="24"/>
          <w:szCs w:val="24"/>
          <w:highlight w:val="none"/>
          <w:lang w:eastAsia="zh-CN"/>
        </w:rPr>
        <w:t>甲方</w:t>
      </w:r>
      <w:r>
        <w:rPr>
          <w:rFonts w:hint="eastAsia" w:cs="宋体"/>
          <w:bCs/>
          <w:color w:val="auto"/>
          <w:position w:val="6"/>
          <w:sz w:val="24"/>
          <w:szCs w:val="24"/>
          <w:highlight w:val="none"/>
        </w:rPr>
        <w:t>、</w:t>
      </w:r>
      <w:r>
        <w:rPr>
          <w:rFonts w:hint="eastAsia" w:cs="宋体"/>
          <w:bCs/>
          <w:color w:val="auto"/>
          <w:position w:val="6"/>
          <w:sz w:val="24"/>
          <w:szCs w:val="24"/>
          <w:highlight w:val="none"/>
          <w:lang w:eastAsia="zh-CN"/>
        </w:rPr>
        <w:t>乙方</w:t>
      </w:r>
      <w:r>
        <w:rPr>
          <w:rFonts w:hint="eastAsia" w:cs="宋体"/>
          <w:bCs/>
          <w:color w:val="auto"/>
          <w:position w:val="6"/>
          <w:sz w:val="24"/>
          <w:szCs w:val="24"/>
          <w:highlight w:val="none"/>
        </w:rPr>
        <w:t>双方在</w:t>
      </w:r>
      <w:r>
        <w:rPr>
          <w:rFonts w:hint="eastAsia" w:cs="宋体"/>
          <w:bCs/>
          <w:color w:val="auto"/>
          <w:position w:val="6"/>
          <w:sz w:val="24"/>
          <w:szCs w:val="24"/>
          <w:highlight w:val="none"/>
          <w:lang w:eastAsia="zh-CN"/>
        </w:rPr>
        <w:t>完工</w:t>
      </w:r>
      <w:r>
        <w:rPr>
          <w:rFonts w:hint="eastAsia" w:cs="宋体"/>
          <w:bCs/>
          <w:color w:val="auto"/>
          <w:position w:val="6"/>
          <w:sz w:val="24"/>
          <w:szCs w:val="24"/>
          <w:highlight w:val="none"/>
        </w:rPr>
        <w:t>验收前共同签署，作为施工合同附件，其有效期限至保修期满。</w:t>
      </w:r>
    </w:p>
    <w:p w14:paraId="230658AE">
      <w:pPr>
        <w:adjustRightInd w:val="0"/>
        <w:snapToGrid w:val="0"/>
        <w:spacing w:line="360" w:lineRule="auto"/>
        <w:ind w:firstLine="420"/>
        <w:rPr>
          <w:rFonts w:cs="宋体"/>
          <w:color w:val="auto"/>
          <w:sz w:val="24"/>
          <w:szCs w:val="24"/>
          <w:highlight w:val="none"/>
        </w:rPr>
      </w:pPr>
    </w:p>
    <w:p w14:paraId="7289198D">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lang w:eastAsia="zh-CN"/>
        </w:rPr>
        <w:t>甲方</w:t>
      </w:r>
      <w:r>
        <w:rPr>
          <w:rFonts w:hint="eastAsia" w:cs="宋体"/>
          <w:color w:val="auto"/>
          <w:sz w:val="24"/>
          <w:szCs w:val="24"/>
          <w:highlight w:val="none"/>
        </w:rPr>
        <w:t>（公章）：</w:t>
      </w:r>
      <w:r>
        <w:rPr>
          <w:rFonts w:hint="eastAsia" w:cs="宋体"/>
          <w:color w:val="auto"/>
          <w:sz w:val="24"/>
          <w:szCs w:val="24"/>
          <w:highlight w:val="none"/>
          <w:u w:val="single"/>
        </w:rPr>
        <w:t xml:space="preserve">        </w:t>
      </w:r>
      <w:r>
        <w:rPr>
          <w:rFonts w:hint="eastAsia" w:cs="宋体"/>
          <w:color w:val="auto"/>
          <w:sz w:val="24"/>
          <w:szCs w:val="24"/>
          <w:highlight w:val="none"/>
        </w:rPr>
        <w:t xml:space="preserve">           </w:t>
      </w:r>
      <w:r>
        <w:rPr>
          <w:rFonts w:hint="eastAsia" w:cs="宋体"/>
          <w:color w:val="auto"/>
          <w:sz w:val="24"/>
          <w:szCs w:val="24"/>
          <w:highlight w:val="none"/>
          <w:lang w:eastAsia="zh-CN"/>
        </w:rPr>
        <w:t>乙方</w:t>
      </w:r>
      <w:r>
        <w:rPr>
          <w:rFonts w:hint="eastAsia" w:cs="宋体"/>
          <w:color w:val="auto"/>
          <w:sz w:val="24"/>
          <w:szCs w:val="24"/>
          <w:highlight w:val="none"/>
        </w:rPr>
        <w:t>（公章）：</w:t>
      </w:r>
      <w:r>
        <w:rPr>
          <w:rFonts w:hint="eastAsia" w:cs="宋体"/>
          <w:color w:val="auto"/>
          <w:sz w:val="24"/>
          <w:szCs w:val="24"/>
          <w:highlight w:val="none"/>
          <w:u w:val="single"/>
        </w:rPr>
        <w:t xml:space="preserve">        </w:t>
      </w:r>
    </w:p>
    <w:p w14:paraId="19EF1878">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地  址：</w:t>
      </w:r>
      <w:r>
        <w:rPr>
          <w:rFonts w:hint="eastAsia" w:cs="宋体"/>
          <w:color w:val="auto"/>
          <w:sz w:val="24"/>
          <w:szCs w:val="24"/>
          <w:highlight w:val="none"/>
          <w:u w:val="single"/>
        </w:rPr>
        <w:t xml:space="preserve">     </w:t>
      </w:r>
      <w:r>
        <w:rPr>
          <w:rFonts w:hint="eastAsia" w:cs="宋体"/>
          <w:color w:val="auto"/>
          <w:sz w:val="24"/>
          <w:szCs w:val="24"/>
          <w:highlight w:val="none"/>
        </w:rPr>
        <w:t xml:space="preserve">              地  址：</w:t>
      </w:r>
      <w:r>
        <w:rPr>
          <w:rFonts w:hint="eastAsia" w:cs="宋体"/>
          <w:color w:val="auto"/>
          <w:sz w:val="24"/>
          <w:szCs w:val="24"/>
          <w:highlight w:val="none"/>
          <w:u w:val="single"/>
        </w:rPr>
        <w:t xml:space="preserve">       </w:t>
      </w:r>
    </w:p>
    <w:p w14:paraId="0D8E2CED">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法定代表人（签字）：</w:t>
      </w:r>
      <w:r>
        <w:rPr>
          <w:rFonts w:hint="eastAsia" w:cs="宋体"/>
          <w:color w:val="auto"/>
          <w:sz w:val="24"/>
          <w:szCs w:val="24"/>
          <w:highlight w:val="none"/>
          <w:u w:val="single"/>
        </w:rPr>
        <w:t xml:space="preserve">      </w:t>
      </w:r>
      <w:r>
        <w:rPr>
          <w:rFonts w:hint="eastAsia" w:cs="宋体"/>
          <w:color w:val="auto"/>
          <w:sz w:val="24"/>
          <w:szCs w:val="24"/>
          <w:highlight w:val="none"/>
        </w:rPr>
        <w:t xml:space="preserve">           法定代表人（签字）：</w:t>
      </w:r>
      <w:r>
        <w:rPr>
          <w:rFonts w:hint="eastAsia" w:cs="宋体"/>
          <w:color w:val="auto"/>
          <w:sz w:val="24"/>
          <w:szCs w:val="24"/>
          <w:highlight w:val="none"/>
          <w:u w:val="single"/>
        </w:rPr>
        <w:t xml:space="preserve">       </w:t>
      </w:r>
    </w:p>
    <w:p w14:paraId="62545202">
      <w:pPr>
        <w:adjustRightInd w:val="0"/>
        <w:snapToGrid w:val="0"/>
        <w:spacing w:line="360" w:lineRule="auto"/>
        <w:rPr>
          <w:rFonts w:cs="宋体"/>
          <w:color w:val="auto"/>
          <w:sz w:val="24"/>
          <w:szCs w:val="24"/>
          <w:highlight w:val="none"/>
          <w:u w:val="single"/>
        </w:rPr>
      </w:pPr>
      <w:r>
        <w:rPr>
          <w:rFonts w:hint="eastAsia" w:cs="宋体"/>
          <w:color w:val="auto"/>
          <w:sz w:val="24"/>
          <w:szCs w:val="24"/>
          <w:highlight w:val="none"/>
        </w:rPr>
        <w:t>委托代理人（签字）：</w:t>
      </w:r>
      <w:r>
        <w:rPr>
          <w:rFonts w:hint="eastAsia" w:cs="宋体"/>
          <w:color w:val="auto"/>
          <w:sz w:val="24"/>
          <w:szCs w:val="24"/>
          <w:highlight w:val="none"/>
          <w:u w:val="single"/>
        </w:rPr>
        <w:t xml:space="preserve">      </w:t>
      </w:r>
      <w:r>
        <w:rPr>
          <w:rFonts w:hint="eastAsia" w:cs="宋体"/>
          <w:color w:val="auto"/>
          <w:sz w:val="24"/>
          <w:szCs w:val="24"/>
          <w:highlight w:val="none"/>
        </w:rPr>
        <w:t xml:space="preserve">           委托代理人（签字）：</w:t>
      </w:r>
      <w:r>
        <w:rPr>
          <w:rFonts w:hint="eastAsia" w:cs="宋体"/>
          <w:color w:val="auto"/>
          <w:sz w:val="24"/>
          <w:szCs w:val="24"/>
          <w:highlight w:val="none"/>
          <w:u w:val="single"/>
        </w:rPr>
        <w:t xml:space="preserve">       </w:t>
      </w:r>
    </w:p>
    <w:p w14:paraId="307A523F">
      <w:pPr>
        <w:adjustRightInd w:val="0"/>
        <w:snapToGrid w:val="0"/>
        <w:spacing w:line="360" w:lineRule="auto"/>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r>
        <w:rPr>
          <w:rFonts w:hint="eastAsia" w:cs="宋体"/>
          <w:color w:val="auto"/>
          <w:sz w:val="24"/>
          <w:szCs w:val="24"/>
          <w:highlight w:val="none"/>
        </w:rPr>
        <w:t xml:space="preserve">              电  话：</w:t>
      </w:r>
      <w:r>
        <w:rPr>
          <w:rFonts w:hint="eastAsia" w:cs="宋体"/>
          <w:color w:val="auto"/>
          <w:sz w:val="24"/>
          <w:szCs w:val="24"/>
          <w:highlight w:val="none"/>
          <w:u w:val="single"/>
        </w:rPr>
        <w:t xml:space="preserve">     </w:t>
      </w:r>
    </w:p>
    <w:p w14:paraId="0DD782A9">
      <w:pPr>
        <w:adjustRightInd w:val="0"/>
        <w:snapToGrid w:val="0"/>
        <w:spacing w:line="360" w:lineRule="auto"/>
        <w:rPr>
          <w:rFonts w:cs="宋体"/>
          <w:color w:val="auto"/>
          <w:sz w:val="24"/>
          <w:szCs w:val="24"/>
          <w:highlight w:val="none"/>
        </w:rPr>
      </w:pPr>
      <w:r>
        <w:rPr>
          <w:rFonts w:hint="eastAsia" w:cs="宋体"/>
          <w:color w:val="auto"/>
          <w:sz w:val="24"/>
          <w:szCs w:val="24"/>
          <w:highlight w:val="none"/>
        </w:rPr>
        <w:t>传  真：</w:t>
      </w:r>
      <w:r>
        <w:rPr>
          <w:rFonts w:hint="eastAsia" w:cs="宋体"/>
          <w:color w:val="auto"/>
          <w:sz w:val="24"/>
          <w:szCs w:val="24"/>
          <w:highlight w:val="none"/>
          <w:u w:val="single"/>
        </w:rPr>
        <w:t xml:space="preserve">   </w:t>
      </w:r>
      <w:r>
        <w:rPr>
          <w:rFonts w:hint="eastAsia" w:cs="宋体"/>
          <w:color w:val="auto"/>
          <w:sz w:val="24"/>
          <w:szCs w:val="24"/>
          <w:highlight w:val="none"/>
        </w:rPr>
        <w:t xml:space="preserve">              传  真：</w:t>
      </w:r>
      <w:r>
        <w:rPr>
          <w:rFonts w:hint="eastAsia" w:cs="宋体"/>
          <w:color w:val="auto"/>
          <w:sz w:val="24"/>
          <w:szCs w:val="24"/>
          <w:highlight w:val="none"/>
          <w:u w:val="single"/>
        </w:rPr>
        <w:t xml:space="preserve">     </w:t>
      </w:r>
    </w:p>
    <w:p w14:paraId="32C3F9A5">
      <w:pPr>
        <w:adjustRightInd w:val="0"/>
        <w:snapToGrid w:val="0"/>
        <w:spacing w:line="360" w:lineRule="auto"/>
        <w:rPr>
          <w:rFonts w:cs="宋体"/>
          <w:color w:val="auto"/>
          <w:sz w:val="24"/>
          <w:szCs w:val="24"/>
          <w:highlight w:val="none"/>
        </w:rPr>
      </w:pPr>
      <w:r>
        <w:rPr>
          <w:rFonts w:hint="eastAsia" w:cs="宋体"/>
          <w:color w:val="auto"/>
          <w:sz w:val="24"/>
          <w:szCs w:val="24"/>
          <w:highlight w:val="none"/>
        </w:rPr>
        <w:t>开户银行：</w:t>
      </w:r>
      <w:r>
        <w:rPr>
          <w:rFonts w:hint="eastAsia" w:cs="宋体"/>
          <w:color w:val="auto"/>
          <w:sz w:val="24"/>
          <w:szCs w:val="24"/>
          <w:highlight w:val="none"/>
          <w:u w:val="single"/>
        </w:rPr>
        <w:t xml:space="preserve">   </w:t>
      </w:r>
      <w:r>
        <w:rPr>
          <w:rFonts w:hint="eastAsia" w:cs="宋体"/>
          <w:color w:val="auto"/>
          <w:sz w:val="24"/>
          <w:szCs w:val="24"/>
          <w:highlight w:val="none"/>
        </w:rPr>
        <w:t xml:space="preserve">              开户银行：</w:t>
      </w:r>
      <w:r>
        <w:rPr>
          <w:rFonts w:hint="eastAsia" w:cs="宋体"/>
          <w:color w:val="auto"/>
          <w:sz w:val="24"/>
          <w:szCs w:val="24"/>
          <w:highlight w:val="none"/>
          <w:u w:val="single"/>
        </w:rPr>
        <w:t xml:space="preserve">   </w:t>
      </w:r>
    </w:p>
    <w:p w14:paraId="72B5FC31">
      <w:pPr>
        <w:adjustRightInd w:val="0"/>
        <w:snapToGrid w:val="0"/>
        <w:spacing w:line="360" w:lineRule="auto"/>
        <w:rPr>
          <w:rFonts w:cs="宋体"/>
          <w:color w:val="auto"/>
          <w:sz w:val="24"/>
          <w:szCs w:val="24"/>
          <w:highlight w:val="none"/>
        </w:rPr>
      </w:pPr>
      <w:r>
        <w:rPr>
          <w:rFonts w:hint="eastAsia" w:cs="宋体"/>
          <w:color w:val="auto"/>
          <w:sz w:val="24"/>
          <w:szCs w:val="24"/>
          <w:highlight w:val="none"/>
        </w:rPr>
        <w:t>账  号：</w:t>
      </w:r>
      <w:r>
        <w:rPr>
          <w:rFonts w:hint="eastAsia" w:cs="宋体"/>
          <w:color w:val="auto"/>
          <w:sz w:val="24"/>
          <w:szCs w:val="24"/>
          <w:highlight w:val="none"/>
          <w:u w:val="single"/>
        </w:rPr>
        <w:t xml:space="preserve">       </w:t>
      </w:r>
      <w:r>
        <w:rPr>
          <w:rFonts w:hint="eastAsia" w:cs="宋体"/>
          <w:color w:val="auto"/>
          <w:sz w:val="24"/>
          <w:szCs w:val="24"/>
          <w:highlight w:val="none"/>
        </w:rPr>
        <w:t xml:space="preserve">              账  号：</w:t>
      </w:r>
      <w:r>
        <w:rPr>
          <w:rFonts w:hint="eastAsia" w:cs="宋体"/>
          <w:color w:val="auto"/>
          <w:sz w:val="24"/>
          <w:szCs w:val="24"/>
          <w:highlight w:val="none"/>
          <w:u w:val="single"/>
        </w:rPr>
        <w:t xml:space="preserve">     </w:t>
      </w:r>
    </w:p>
    <w:p w14:paraId="12CD13C3">
      <w:pPr>
        <w:adjustRightInd w:val="0"/>
        <w:snapToGrid w:val="0"/>
        <w:spacing w:line="360" w:lineRule="auto"/>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    </w:t>
      </w:r>
      <w:r>
        <w:rPr>
          <w:rFonts w:hint="eastAsia" w:cs="宋体"/>
          <w:color w:val="auto"/>
          <w:sz w:val="24"/>
          <w:szCs w:val="24"/>
          <w:highlight w:val="none"/>
        </w:rPr>
        <w:t xml:space="preserve">              邮政编码：</w:t>
      </w:r>
      <w:r>
        <w:rPr>
          <w:rFonts w:hint="eastAsia" w:cs="宋体"/>
          <w:color w:val="auto"/>
          <w:sz w:val="24"/>
          <w:szCs w:val="24"/>
          <w:highlight w:val="none"/>
          <w:u w:val="single"/>
        </w:rPr>
        <w:t xml:space="preserve">   </w:t>
      </w:r>
    </w:p>
    <w:p w14:paraId="34160D9B">
      <w:pPr>
        <w:spacing w:before="312" w:beforeLines="100" w:after="312" w:afterLines="100"/>
        <w:outlineLvl w:val="2"/>
        <w:rPr>
          <w:rFonts w:ascii="Times New Roman" w:eastAsia="黑体"/>
          <w:color w:val="auto"/>
          <w:sz w:val="24"/>
          <w:szCs w:val="24"/>
          <w:highlight w:val="none"/>
        </w:rPr>
      </w:pPr>
      <w:r>
        <w:rPr>
          <w:rFonts w:ascii="Times New Roman" w:eastAsia="黑体"/>
          <w:b/>
          <w:bCs/>
          <w:color w:val="auto"/>
          <w:sz w:val="24"/>
          <w:szCs w:val="24"/>
          <w:highlight w:val="none"/>
        </w:rPr>
        <w:br w:type="page"/>
      </w:r>
      <w:r>
        <w:rPr>
          <w:rFonts w:hint="eastAsia" w:ascii="Times New Roman" w:hAnsi="宋体" w:eastAsia="黑体" w:cs="宋体"/>
          <w:color w:val="auto"/>
          <w:sz w:val="24"/>
          <w:szCs w:val="24"/>
          <w:highlight w:val="none"/>
          <w:lang w:val="en-US" w:eastAsia="zh-CN" w:bidi="ar-SA"/>
        </w:rPr>
        <w:t>附</w:t>
      </w:r>
      <w:bookmarkStart w:id="701" w:name="_Toc296891271"/>
      <w:bookmarkStart w:id="702" w:name="_Toc296891059"/>
      <w:bookmarkStart w:id="703" w:name="_Toc296944570"/>
      <w:bookmarkStart w:id="704" w:name="_Toc296503231"/>
      <w:bookmarkStart w:id="705" w:name="_Toc296347230"/>
      <w:bookmarkStart w:id="706" w:name="_Toc296346732"/>
      <w:r>
        <w:rPr>
          <w:rFonts w:hint="eastAsia" w:ascii="Times New Roman" w:hAnsi="宋体" w:eastAsia="黑体" w:cs="宋体"/>
          <w:color w:val="auto"/>
          <w:sz w:val="24"/>
          <w:szCs w:val="24"/>
          <w:highlight w:val="none"/>
          <w:lang w:val="en-US" w:eastAsia="zh-CN" w:bidi="ar-SA"/>
        </w:rPr>
        <w:t>件4：</w:t>
      </w:r>
      <w:bookmarkEnd w:id="686"/>
      <w:bookmarkEnd w:id="701"/>
      <w:bookmarkEnd w:id="702"/>
      <w:bookmarkEnd w:id="703"/>
      <w:bookmarkEnd w:id="704"/>
      <w:bookmarkEnd w:id="705"/>
      <w:bookmarkEnd w:id="706"/>
      <w:r>
        <w:rPr>
          <w:rFonts w:hint="eastAsia" w:ascii="Times New Roman" w:eastAsia="黑体"/>
          <w:color w:val="auto"/>
          <w:sz w:val="24"/>
          <w:szCs w:val="24"/>
          <w:highlight w:val="none"/>
        </w:rPr>
        <w:t>项目经理质量终身责任制承诺</w:t>
      </w:r>
    </w:p>
    <w:p w14:paraId="04546FE4">
      <w:pPr>
        <w:spacing w:before="156" w:beforeLines="50" w:after="156" w:afterLines="50" w:line="360" w:lineRule="auto"/>
        <w:jc w:val="center"/>
        <w:rPr>
          <w:rFonts w:cs="宋体"/>
          <w:b/>
          <w:color w:val="auto"/>
          <w:sz w:val="24"/>
          <w:szCs w:val="24"/>
          <w:highlight w:val="none"/>
        </w:rPr>
      </w:pPr>
      <w:bookmarkStart w:id="707" w:name="_Toc19417"/>
      <w:bookmarkStart w:id="708" w:name="_Toc128950250"/>
      <w:bookmarkStart w:id="709" w:name="_Toc14540"/>
      <w:r>
        <w:rPr>
          <w:rFonts w:hint="eastAsia" w:cs="宋体"/>
          <w:b/>
          <w:color w:val="auto"/>
          <w:sz w:val="24"/>
          <w:szCs w:val="24"/>
          <w:highlight w:val="none"/>
        </w:rPr>
        <w:t>项目经理质量终身责任制承诺</w:t>
      </w:r>
      <w:bookmarkEnd w:id="707"/>
      <w:bookmarkEnd w:id="708"/>
      <w:bookmarkEnd w:id="709"/>
    </w:p>
    <w:p w14:paraId="099DD115">
      <w:pPr>
        <w:spacing w:line="360" w:lineRule="auto"/>
        <w:rPr>
          <w:rFonts w:cs="宋体"/>
          <w:bCs/>
          <w:color w:val="auto"/>
          <w:sz w:val="24"/>
          <w:szCs w:val="24"/>
          <w:highlight w:val="none"/>
        </w:rPr>
      </w:pPr>
      <w:r>
        <w:rPr>
          <w:rFonts w:hint="eastAsia" w:cs="宋体"/>
          <w:bCs/>
          <w:color w:val="auto"/>
          <w:sz w:val="24"/>
          <w:szCs w:val="24"/>
          <w:highlight w:val="none"/>
        </w:rPr>
        <w:t>致：</w:t>
      </w:r>
      <w:r>
        <w:rPr>
          <w:rFonts w:hint="eastAsia" w:cs="宋体"/>
          <w:bCs/>
          <w:color w:val="auto"/>
          <w:sz w:val="24"/>
          <w:szCs w:val="24"/>
          <w:highlight w:val="none"/>
          <w:u w:val="single"/>
        </w:rPr>
        <w:t>（采购人）</w:t>
      </w:r>
    </w:p>
    <w:p w14:paraId="2BFE3054">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本人作为施工项目经理，承担相关质量终身责任，现郑重承诺如下：</w:t>
      </w:r>
    </w:p>
    <w:p w14:paraId="10015A1F">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一、在取得施工许可证后进行施工。</w:t>
      </w:r>
    </w:p>
    <w:p w14:paraId="09824C50">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二、严格执行施工规范及标准。</w:t>
      </w:r>
    </w:p>
    <w:p w14:paraId="61C89EE2">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三、严格按规定配备施工项目部关键岗位人员，并确保所有人员到岗履职。</w:t>
      </w:r>
    </w:p>
    <w:p w14:paraId="579A4B86">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四、严格按照经施工图审查机构审查合格的工程设计文件及合同约定的质量标准精心组织施工。</w:t>
      </w:r>
    </w:p>
    <w:p w14:paraId="3D3B9CB9">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五、施工中采用合格的建筑材料、建筑构配件和设备等，并严格按规定执行见证取样制度。</w:t>
      </w:r>
    </w:p>
    <w:p w14:paraId="337F3FFC">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六、建立、健全质量检查、验收制度，严格工序管理，做好隐蔽工程质量的检查和记录。</w:t>
      </w:r>
    </w:p>
    <w:p w14:paraId="0902998B">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七、对施工中出现的质量问题，及时进行整改。严格依法依规履行义务。</w:t>
      </w:r>
    </w:p>
    <w:p w14:paraId="2428B080">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八、履行相关工程质量检查、验收及事故处理等职责。</w:t>
      </w:r>
    </w:p>
    <w:p w14:paraId="37F40CE3">
      <w:pPr>
        <w:spacing w:line="360" w:lineRule="auto"/>
        <w:ind w:firstLine="480" w:firstLineChars="200"/>
        <w:rPr>
          <w:rFonts w:cs="宋体"/>
          <w:bCs/>
          <w:color w:val="auto"/>
          <w:sz w:val="24"/>
          <w:szCs w:val="24"/>
          <w:highlight w:val="none"/>
        </w:rPr>
      </w:pPr>
      <w:r>
        <w:rPr>
          <w:rFonts w:hint="eastAsia" w:cs="宋体"/>
          <w:bCs/>
          <w:color w:val="auto"/>
          <w:sz w:val="24"/>
          <w:szCs w:val="24"/>
          <w:highlight w:val="none"/>
        </w:rPr>
        <w:t>九、履行其他法律法规规定的职责。</w:t>
      </w:r>
    </w:p>
    <w:p w14:paraId="47ED6887">
      <w:pPr>
        <w:spacing w:line="360" w:lineRule="auto"/>
        <w:ind w:left="342" w:leftChars="171" w:firstLine="720" w:firstLineChars="300"/>
        <w:rPr>
          <w:rFonts w:cs="宋体"/>
          <w:bCs/>
          <w:color w:val="auto"/>
          <w:sz w:val="24"/>
          <w:szCs w:val="24"/>
          <w:highlight w:val="none"/>
        </w:rPr>
      </w:pPr>
    </w:p>
    <w:p w14:paraId="3F899953">
      <w:pPr>
        <w:spacing w:line="360" w:lineRule="auto"/>
        <w:ind w:left="342" w:leftChars="171" w:firstLine="720" w:firstLineChars="300"/>
        <w:rPr>
          <w:rFonts w:cs="宋体"/>
          <w:bCs/>
          <w:color w:val="auto"/>
          <w:sz w:val="24"/>
          <w:szCs w:val="24"/>
          <w:highlight w:val="none"/>
        </w:rPr>
      </w:pPr>
    </w:p>
    <w:p w14:paraId="2B9B7AD7">
      <w:pPr>
        <w:spacing w:line="360" w:lineRule="auto"/>
        <w:ind w:left="342" w:leftChars="171" w:firstLine="720" w:firstLineChars="300"/>
        <w:rPr>
          <w:rFonts w:cs="宋体"/>
          <w:bCs/>
          <w:color w:val="auto"/>
          <w:sz w:val="24"/>
          <w:szCs w:val="24"/>
          <w:highlight w:val="none"/>
        </w:rPr>
      </w:pPr>
      <w:r>
        <w:rPr>
          <w:rFonts w:hint="eastAsia" w:cs="宋体"/>
          <w:bCs/>
          <w:color w:val="auto"/>
          <w:sz w:val="24"/>
          <w:szCs w:val="24"/>
          <w:highlight w:val="none"/>
        </w:rPr>
        <w:t>项目经理：</w:t>
      </w:r>
      <w:r>
        <w:rPr>
          <w:rFonts w:hint="eastAsia" w:cs="宋体"/>
          <w:bCs/>
          <w:color w:val="auto"/>
          <w:sz w:val="24"/>
          <w:szCs w:val="24"/>
          <w:highlight w:val="none"/>
          <w:u w:val="single"/>
        </w:rPr>
        <w:t xml:space="preserve">                   </w:t>
      </w:r>
      <w:r>
        <w:rPr>
          <w:rFonts w:hint="eastAsia" w:cs="宋体"/>
          <w:bCs/>
          <w:color w:val="auto"/>
          <w:sz w:val="24"/>
          <w:szCs w:val="24"/>
          <w:highlight w:val="none"/>
        </w:rPr>
        <w:t>（签字）</w:t>
      </w:r>
    </w:p>
    <w:p w14:paraId="2F5CBBD8">
      <w:pPr>
        <w:spacing w:line="360" w:lineRule="auto"/>
        <w:ind w:left="342" w:leftChars="171" w:firstLine="720" w:firstLineChars="300"/>
        <w:rPr>
          <w:rFonts w:cs="宋体"/>
          <w:bCs/>
          <w:color w:val="auto"/>
          <w:sz w:val="24"/>
          <w:szCs w:val="24"/>
          <w:highlight w:val="none"/>
        </w:rPr>
      </w:pPr>
      <w:r>
        <w:rPr>
          <w:rFonts w:hint="eastAsia" w:cs="宋体"/>
          <w:bCs/>
          <w:color w:val="auto"/>
          <w:sz w:val="24"/>
          <w:szCs w:val="24"/>
          <w:highlight w:val="none"/>
        </w:rPr>
        <w:t>日期：_____年____月____日</w:t>
      </w:r>
    </w:p>
    <w:p w14:paraId="40A65135">
      <w:pPr>
        <w:pStyle w:val="20"/>
        <w:rPr>
          <w:rFonts w:ascii="宋体" w:hAnsi="宋体" w:eastAsia="宋体" w:cs="宋体"/>
          <w:bCs/>
          <w:color w:val="auto"/>
          <w:sz w:val="24"/>
          <w:szCs w:val="24"/>
          <w:highlight w:val="none"/>
        </w:rPr>
      </w:pPr>
    </w:p>
    <w:p w14:paraId="01A42B88">
      <w:pPr>
        <w:pStyle w:val="274"/>
        <w:ind w:left="210" w:right="210" w:firstLine="210"/>
        <w:rPr>
          <w:rFonts w:hint="eastAsia" w:ascii="宋体" w:hAnsi="宋体" w:eastAsia="宋体" w:cs="宋体"/>
          <w:color w:val="auto"/>
          <w:sz w:val="24"/>
          <w:szCs w:val="24"/>
          <w:highlight w:val="none"/>
        </w:rPr>
        <w:sectPr>
          <w:headerReference r:id="rId18" w:type="default"/>
          <w:footerReference r:id="rId19" w:type="default"/>
          <w:pgSz w:w="11906" w:h="16838"/>
          <w:pgMar w:top="1361" w:right="1361" w:bottom="1361" w:left="1361" w:header="851" w:footer="992" w:gutter="0"/>
          <w:pgNumType w:fmt="decimal"/>
          <w:cols w:space="720" w:num="1"/>
          <w:docGrid w:type="lines" w:linePitch="312" w:charSpace="0"/>
        </w:sectPr>
      </w:pPr>
    </w:p>
    <w:p w14:paraId="53884F4C">
      <w:pPr>
        <w:spacing w:before="312" w:beforeLines="100" w:after="312" w:afterLines="100"/>
        <w:outlineLvl w:val="2"/>
        <w:rPr>
          <w:rFonts w:hint="eastAsia" w:ascii="Times New Roman" w:hAnsi="宋体" w:eastAsia="黑体" w:cs="宋体"/>
          <w:color w:val="auto"/>
          <w:sz w:val="24"/>
          <w:szCs w:val="24"/>
          <w:highlight w:val="none"/>
        </w:rPr>
      </w:pPr>
      <w:bookmarkStart w:id="710" w:name="_Toc128950244"/>
      <w:r>
        <w:rPr>
          <w:rFonts w:hint="eastAsia" w:ascii="Times New Roman" w:eastAsia="黑体"/>
          <w:color w:val="auto"/>
          <w:sz w:val="24"/>
          <w:szCs w:val="24"/>
          <w:highlight w:val="none"/>
        </w:rPr>
        <w:t>附件</w:t>
      </w:r>
      <w:r>
        <w:rPr>
          <w:rFonts w:hint="eastAsia" w:ascii="Times New Roman" w:hAnsi="宋体" w:eastAsia="黑体" w:cs="宋体"/>
          <w:color w:val="auto"/>
          <w:sz w:val="24"/>
          <w:szCs w:val="24"/>
          <w:highlight w:val="none"/>
          <w:lang w:val="en-US" w:eastAsia="zh-CN"/>
        </w:rPr>
        <w:t>5</w:t>
      </w:r>
      <w:r>
        <w:rPr>
          <w:rFonts w:hint="eastAsia" w:ascii="Times New Roman" w:hAnsi="宋体" w:eastAsia="黑体" w:cs="宋体"/>
          <w:color w:val="auto"/>
          <w:sz w:val="24"/>
          <w:szCs w:val="24"/>
          <w:highlight w:val="none"/>
        </w:rPr>
        <w:t>：</w:t>
      </w:r>
      <w:r>
        <w:rPr>
          <w:rFonts w:hint="eastAsia" w:ascii="Times New Roman" w:hAnsi="宋体" w:eastAsia="黑体" w:cs="宋体"/>
          <w:color w:val="auto"/>
          <w:sz w:val="24"/>
          <w:szCs w:val="24"/>
          <w:highlight w:val="none"/>
          <w:lang w:eastAsia="zh-CN"/>
        </w:rPr>
        <w:t>乙方</w:t>
      </w:r>
      <w:r>
        <w:rPr>
          <w:rFonts w:hint="eastAsia" w:ascii="Times New Roman" w:hAnsi="宋体" w:eastAsia="黑体" w:cs="宋体"/>
          <w:color w:val="auto"/>
          <w:sz w:val="24"/>
          <w:szCs w:val="24"/>
          <w:highlight w:val="none"/>
        </w:rPr>
        <w:t>主要施工管理人员表</w:t>
      </w:r>
    </w:p>
    <w:p w14:paraId="0374FADE">
      <w:pPr>
        <w:spacing w:line="360" w:lineRule="auto"/>
        <w:jc w:val="center"/>
        <w:rPr>
          <w:rFonts w:cs="宋体"/>
          <w:color w:val="auto"/>
          <w:sz w:val="24"/>
          <w:szCs w:val="24"/>
          <w:highlight w:val="none"/>
        </w:rPr>
      </w:pPr>
      <w:r>
        <w:rPr>
          <w:rFonts w:hint="eastAsia" w:cs="宋体"/>
          <w:color w:val="auto"/>
          <w:sz w:val="24"/>
          <w:szCs w:val="24"/>
          <w:highlight w:val="none"/>
          <w:lang w:eastAsia="zh-CN"/>
        </w:rPr>
        <w:t>乙方</w:t>
      </w:r>
      <w:r>
        <w:rPr>
          <w:rFonts w:hint="eastAsia" w:cs="宋体"/>
          <w:color w:val="auto"/>
          <w:sz w:val="24"/>
          <w:szCs w:val="24"/>
          <w:highlight w:val="none"/>
        </w:rPr>
        <w:t>主要施工管理人员表</w:t>
      </w:r>
    </w:p>
    <w:tbl>
      <w:tblPr>
        <w:tblStyle w:val="5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66"/>
        <w:gridCol w:w="1049"/>
        <w:gridCol w:w="840"/>
        <w:gridCol w:w="840"/>
        <w:gridCol w:w="2142"/>
        <w:gridCol w:w="1925"/>
      </w:tblGrid>
      <w:tr w14:paraId="24CA4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12" w:space="0"/>
              <w:bottom w:val="double" w:color="auto" w:sz="6" w:space="0"/>
            </w:tcBorders>
            <w:vAlign w:val="center"/>
          </w:tcPr>
          <w:p w14:paraId="6EC45E7F">
            <w:pPr>
              <w:keepNext/>
              <w:spacing w:line="360" w:lineRule="auto"/>
              <w:jc w:val="center"/>
              <w:rPr>
                <w:rFonts w:cs="宋体"/>
                <w:color w:val="auto"/>
                <w:sz w:val="24"/>
                <w:szCs w:val="24"/>
                <w:highlight w:val="none"/>
              </w:rPr>
            </w:pPr>
            <w:r>
              <w:rPr>
                <w:rFonts w:hint="eastAsia" w:cs="宋体"/>
                <w:color w:val="auto"/>
                <w:sz w:val="24"/>
                <w:szCs w:val="24"/>
                <w:highlight w:val="none"/>
              </w:rPr>
              <w:t>名称</w:t>
            </w:r>
          </w:p>
        </w:tc>
        <w:tc>
          <w:tcPr>
            <w:tcW w:w="627" w:type="pct"/>
            <w:tcBorders>
              <w:top w:val="single" w:color="auto" w:sz="12" w:space="0"/>
              <w:bottom w:val="double" w:color="auto" w:sz="6" w:space="0"/>
            </w:tcBorders>
            <w:vAlign w:val="center"/>
          </w:tcPr>
          <w:p w14:paraId="25A61205">
            <w:pPr>
              <w:keepNext/>
              <w:spacing w:line="360" w:lineRule="auto"/>
              <w:jc w:val="center"/>
              <w:rPr>
                <w:rFonts w:cs="宋体"/>
                <w:color w:val="auto"/>
                <w:sz w:val="24"/>
                <w:szCs w:val="24"/>
                <w:highlight w:val="none"/>
              </w:rPr>
            </w:pPr>
            <w:r>
              <w:rPr>
                <w:rFonts w:hint="eastAsia" w:cs="宋体"/>
                <w:color w:val="auto"/>
                <w:sz w:val="24"/>
                <w:szCs w:val="24"/>
                <w:highlight w:val="none"/>
              </w:rPr>
              <w:t>姓名</w:t>
            </w:r>
          </w:p>
        </w:tc>
        <w:tc>
          <w:tcPr>
            <w:tcW w:w="502" w:type="pct"/>
            <w:tcBorders>
              <w:top w:val="single" w:color="auto" w:sz="12" w:space="0"/>
              <w:bottom w:val="double" w:color="auto" w:sz="6" w:space="0"/>
            </w:tcBorders>
            <w:vAlign w:val="center"/>
          </w:tcPr>
          <w:p w14:paraId="40D00F6A">
            <w:pPr>
              <w:keepNext/>
              <w:spacing w:line="360" w:lineRule="auto"/>
              <w:jc w:val="center"/>
              <w:rPr>
                <w:rFonts w:cs="宋体"/>
                <w:color w:val="auto"/>
                <w:sz w:val="24"/>
                <w:szCs w:val="24"/>
                <w:highlight w:val="none"/>
              </w:rPr>
            </w:pPr>
            <w:r>
              <w:rPr>
                <w:rFonts w:hint="eastAsia" w:cs="宋体"/>
                <w:color w:val="auto"/>
                <w:sz w:val="24"/>
                <w:szCs w:val="24"/>
                <w:highlight w:val="none"/>
              </w:rPr>
              <w:t>职务</w:t>
            </w:r>
          </w:p>
        </w:tc>
        <w:tc>
          <w:tcPr>
            <w:tcW w:w="502" w:type="pct"/>
            <w:tcBorders>
              <w:top w:val="single" w:color="auto" w:sz="12" w:space="0"/>
              <w:bottom w:val="double" w:color="auto" w:sz="6" w:space="0"/>
            </w:tcBorders>
            <w:vAlign w:val="center"/>
          </w:tcPr>
          <w:p w14:paraId="0F829E78">
            <w:pPr>
              <w:keepNext/>
              <w:spacing w:line="360" w:lineRule="auto"/>
              <w:jc w:val="center"/>
              <w:rPr>
                <w:rFonts w:cs="宋体"/>
                <w:color w:val="auto"/>
                <w:sz w:val="24"/>
                <w:szCs w:val="24"/>
                <w:highlight w:val="none"/>
              </w:rPr>
            </w:pPr>
            <w:r>
              <w:rPr>
                <w:rFonts w:hint="eastAsia" w:cs="宋体"/>
                <w:color w:val="auto"/>
                <w:sz w:val="24"/>
                <w:szCs w:val="24"/>
                <w:highlight w:val="none"/>
              </w:rPr>
              <w:t>职称</w:t>
            </w:r>
          </w:p>
        </w:tc>
        <w:tc>
          <w:tcPr>
            <w:tcW w:w="1281" w:type="pct"/>
            <w:tcBorders>
              <w:top w:val="single" w:color="auto" w:sz="12" w:space="0"/>
              <w:bottom w:val="double" w:color="auto" w:sz="6" w:space="0"/>
            </w:tcBorders>
            <w:vAlign w:val="center"/>
          </w:tcPr>
          <w:p w14:paraId="5BD6D119">
            <w:pPr>
              <w:keepNext/>
              <w:spacing w:line="360" w:lineRule="auto"/>
              <w:jc w:val="center"/>
              <w:rPr>
                <w:rFonts w:cs="宋体"/>
                <w:color w:val="auto"/>
                <w:sz w:val="24"/>
                <w:szCs w:val="24"/>
                <w:highlight w:val="none"/>
              </w:rPr>
            </w:pPr>
            <w:r>
              <w:rPr>
                <w:rFonts w:hint="eastAsia" w:cs="宋体"/>
                <w:color w:val="auto"/>
                <w:sz w:val="24"/>
                <w:szCs w:val="24"/>
                <w:highlight w:val="none"/>
              </w:rPr>
              <w:t>主要资历、经验及承担过的项目</w:t>
            </w:r>
          </w:p>
        </w:tc>
        <w:tc>
          <w:tcPr>
            <w:tcW w:w="1151" w:type="pct"/>
            <w:tcBorders>
              <w:top w:val="single" w:color="auto" w:sz="12" w:space="0"/>
              <w:bottom w:val="double" w:color="auto" w:sz="6" w:space="0"/>
            </w:tcBorders>
            <w:vAlign w:val="center"/>
          </w:tcPr>
          <w:p w14:paraId="7D0BF5EB">
            <w:pPr>
              <w:keepNext/>
              <w:spacing w:line="360" w:lineRule="auto"/>
              <w:jc w:val="center"/>
              <w:rPr>
                <w:rFonts w:cs="宋体"/>
                <w:color w:val="auto"/>
                <w:sz w:val="24"/>
                <w:szCs w:val="24"/>
                <w:highlight w:val="none"/>
              </w:rPr>
            </w:pPr>
            <w:r>
              <w:rPr>
                <w:rFonts w:hint="eastAsia" w:cs="宋体"/>
                <w:color w:val="auto"/>
                <w:sz w:val="24"/>
                <w:szCs w:val="24"/>
                <w:highlight w:val="none"/>
              </w:rPr>
              <w:t>身份证号码</w:t>
            </w:r>
          </w:p>
        </w:tc>
      </w:tr>
      <w:tr w14:paraId="52A0E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tcBorders>
              <w:top w:val="double" w:color="auto" w:sz="6" w:space="0"/>
            </w:tcBorders>
            <w:vAlign w:val="center"/>
          </w:tcPr>
          <w:p w14:paraId="4C7FD408">
            <w:pPr>
              <w:keepNext/>
              <w:spacing w:line="360" w:lineRule="auto"/>
              <w:jc w:val="center"/>
              <w:rPr>
                <w:rFonts w:cs="宋体"/>
                <w:color w:val="auto"/>
                <w:sz w:val="24"/>
                <w:szCs w:val="24"/>
                <w:highlight w:val="none"/>
              </w:rPr>
            </w:pPr>
            <w:r>
              <w:rPr>
                <w:rFonts w:hint="eastAsia" w:cs="宋体"/>
                <w:color w:val="auto"/>
                <w:sz w:val="24"/>
                <w:szCs w:val="24"/>
                <w:highlight w:val="none"/>
              </w:rPr>
              <w:t>一、总部人员</w:t>
            </w:r>
          </w:p>
        </w:tc>
        <w:tc>
          <w:tcPr>
            <w:tcW w:w="1151" w:type="pct"/>
            <w:tcBorders>
              <w:top w:val="double" w:color="auto" w:sz="6" w:space="0"/>
            </w:tcBorders>
            <w:vAlign w:val="center"/>
          </w:tcPr>
          <w:p w14:paraId="64EAFE9E">
            <w:pPr>
              <w:keepNext/>
              <w:spacing w:line="360" w:lineRule="auto"/>
              <w:jc w:val="center"/>
              <w:rPr>
                <w:rFonts w:cs="宋体"/>
                <w:color w:val="auto"/>
                <w:sz w:val="24"/>
                <w:szCs w:val="24"/>
                <w:highlight w:val="none"/>
              </w:rPr>
            </w:pPr>
          </w:p>
        </w:tc>
      </w:tr>
      <w:tr w14:paraId="2F989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nil"/>
              <w:bottom w:val="nil"/>
            </w:tcBorders>
            <w:vAlign w:val="center"/>
          </w:tcPr>
          <w:p w14:paraId="50DCC7FF">
            <w:pPr>
              <w:spacing w:line="360" w:lineRule="auto"/>
              <w:jc w:val="center"/>
              <w:rPr>
                <w:rFonts w:hint="eastAsia" w:eastAsia="宋体" w:cs="宋体"/>
                <w:color w:val="auto"/>
                <w:sz w:val="24"/>
                <w:szCs w:val="24"/>
                <w:highlight w:val="none"/>
                <w:lang w:val="en-US" w:eastAsia="zh-CN"/>
              </w:rPr>
            </w:pPr>
            <w:r>
              <w:rPr>
                <w:rFonts w:hint="eastAsia" w:cs="宋体"/>
                <w:color w:val="auto"/>
                <w:sz w:val="24"/>
                <w:szCs w:val="24"/>
                <w:highlight w:val="none"/>
              </w:rPr>
              <w:t>项目主管</w:t>
            </w:r>
            <w:r>
              <w:rPr>
                <w:rFonts w:hint="eastAsia" w:cs="宋体"/>
                <w:color w:val="auto"/>
                <w:sz w:val="24"/>
                <w:szCs w:val="24"/>
                <w:highlight w:val="none"/>
                <w:lang w:val="en-US" w:eastAsia="zh-CN"/>
              </w:rPr>
              <w:t>领导</w:t>
            </w:r>
          </w:p>
        </w:tc>
        <w:tc>
          <w:tcPr>
            <w:tcW w:w="627" w:type="pct"/>
            <w:tcBorders>
              <w:top w:val="nil"/>
            </w:tcBorders>
            <w:vAlign w:val="center"/>
          </w:tcPr>
          <w:p w14:paraId="7E04C308">
            <w:pPr>
              <w:keepNext/>
              <w:spacing w:line="360" w:lineRule="auto"/>
              <w:jc w:val="center"/>
              <w:rPr>
                <w:rFonts w:cs="宋体"/>
                <w:color w:val="auto"/>
                <w:sz w:val="24"/>
                <w:szCs w:val="24"/>
                <w:highlight w:val="none"/>
              </w:rPr>
            </w:pPr>
          </w:p>
        </w:tc>
        <w:tc>
          <w:tcPr>
            <w:tcW w:w="502" w:type="pct"/>
            <w:tcBorders>
              <w:top w:val="nil"/>
            </w:tcBorders>
            <w:vAlign w:val="center"/>
          </w:tcPr>
          <w:p w14:paraId="16C4730A">
            <w:pPr>
              <w:keepNext/>
              <w:spacing w:line="360" w:lineRule="auto"/>
              <w:jc w:val="center"/>
              <w:rPr>
                <w:rFonts w:cs="宋体"/>
                <w:color w:val="auto"/>
                <w:sz w:val="24"/>
                <w:szCs w:val="24"/>
                <w:highlight w:val="none"/>
              </w:rPr>
            </w:pPr>
          </w:p>
        </w:tc>
        <w:tc>
          <w:tcPr>
            <w:tcW w:w="502" w:type="pct"/>
            <w:tcBorders>
              <w:top w:val="nil"/>
            </w:tcBorders>
            <w:vAlign w:val="center"/>
          </w:tcPr>
          <w:p w14:paraId="2CAD33B1">
            <w:pPr>
              <w:keepNext/>
              <w:spacing w:line="360" w:lineRule="auto"/>
              <w:jc w:val="center"/>
              <w:rPr>
                <w:rFonts w:cs="宋体"/>
                <w:color w:val="auto"/>
                <w:sz w:val="24"/>
                <w:szCs w:val="24"/>
                <w:highlight w:val="none"/>
              </w:rPr>
            </w:pPr>
          </w:p>
        </w:tc>
        <w:tc>
          <w:tcPr>
            <w:tcW w:w="1281" w:type="pct"/>
            <w:tcBorders>
              <w:top w:val="nil"/>
            </w:tcBorders>
            <w:vAlign w:val="center"/>
          </w:tcPr>
          <w:p w14:paraId="26370760">
            <w:pPr>
              <w:keepNext/>
              <w:spacing w:line="360" w:lineRule="auto"/>
              <w:jc w:val="center"/>
              <w:rPr>
                <w:rFonts w:cs="宋体"/>
                <w:color w:val="auto"/>
                <w:sz w:val="24"/>
                <w:szCs w:val="24"/>
                <w:highlight w:val="none"/>
              </w:rPr>
            </w:pPr>
          </w:p>
        </w:tc>
        <w:tc>
          <w:tcPr>
            <w:tcW w:w="1151" w:type="pct"/>
            <w:tcBorders>
              <w:top w:val="nil"/>
            </w:tcBorders>
            <w:vAlign w:val="center"/>
          </w:tcPr>
          <w:p w14:paraId="2CE5A2E3">
            <w:pPr>
              <w:keepNext/>
              <w:spacing w:line="360" w:lineRule="auto"/>
              <w:jc w:val="center"/>
              <w:rPr>
                <w:rFonts w:cs="宋体"/>
                <w:color w:val="auto"/>
                <w:sz w:val="24"/>
                <w:szCs w:val="24"/>
                <w:highlight w:val="none"/>
              </w:rPr>
            </w:pPr>
          </w:p>
        </w:tc>
      </w:tr>
      <w:tr w14:paraId="60630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039479A6">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10EC0BE0">
            <w:pPr>
              <w:keepNext/>
              <w:spacing w:line="360" w:lineRule="auto"/>
              <w:jc w:val="center"/>
              <w:rPr>
                <w:rFonts w:cs="宋体"/>
                <w:color w:val="auto"/>
                <w:sz w:val="24"/>
                <w:szCs w:val="24"/>
                <w:highlight w:val="none"/>
              </w:rPr>
            </w:pPr>
          </w:p>
        </w:tc>
        <w:tc>
          <w:tcPr>
            <w:tcW w:w="502" w:type="pct"/>
            <w:vAlign w:val="center"/>
          </w:tcPr>
          <w:p w14:paraId="4834BB1C">
            <w:pPr>
              <w:keepNext/>
              <w:spacing w:line="360" w:lineRule="auto"/>
              <w:jc w:val="center"/>
              <w:rPr>
                <w:rFonts w:cs="宋体"/>
                <w:color w:val="auto"/>
                <w:sz w:val="24"/>
                <w:szCs w:val="24"/>
                <w:highlight w:val="none"/>
              </w:rPr>
            </w:pPr>
          </w:p>
        </w:tc>
        <w:tc>
          <w:tcPr>
            <w:tcW w:w="502" w:type="pct"/>
            <w:vAlign w:val="center"/>
          </w:tcPr>
          <w:p w14:paraId="376D782B">
            <w:pPr>
              <w:keepNext/>
              <w:spacing w:line="360" w:lineRule="auto"/>
              <w:jc w:val="center"/>
              <w:rPr>
                <w:rFonts w:cs="宋体"/>
                <w:color w:val="auto"/>
                <w:sz w:val="24"/>
                <w:szCs w:val="24"/>
                <w:highlight w:val="none"/>
              </w:rPr>
            </w:pPr>
          </w:p>
        </w:tc>
        <w:tc>
          <w:tcPr>
            <w:tcW w:w="1281" w:type="pct"/>
            <w:vAlign w:val="center"/>
          </w:tcPr>
          <w:p w14:paraId="376EB263">
            <w:pPr>
              <w:keepNext/>
              <w:spacing w:line="360" w:lineRule="auto"/>
              <w:jc w:val="center"/>
              <w:rPr>
                <w:rFonts w:cs="宋体"/>
                <w:color w:val="auto"/>
                <w:sz w:val="24"/>
                <w:szCs w:val="24"/>
                <w:highlight w:val="none"/>
              </w:rPr>
            </w:pPr>
          </w:p>
        </w:tc>
        <w:tc>
          <w:tcPr>
            <w:tcW w:w="1151" w:type="pct"/>
            <w:vAlign w:val="center"/>
          </w:tcPr>
          <w:p w14:paraId="329F72D2">
            <w:pPr>
              <w:keepNext/>
              <w:spacing w:line="360" w:lineRule="auto"/>
              <w:jc w:val="center"/>
              <w:rPr>
                <w:rFonts w:cs="宋体"/>
                <w:color w:val="auto"/>
                <w:sz w:val="24"/>
                <w:szCs w:val="24"/>
                <w:highlight w:val="none"/>
              </w:rPr>
            </w:pPr>
          </w:p>
        </w:tc>
      </w:tr>
      <w:tr w14:paraId="24658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22467F3B">
            <w:pPr>
              <w:spacing w:line="360" w:lineRule="auto"/>
              <w:jc w:val="center"/>
              <w:rPr>
                <w:rFonts w:cs="宋体"/>
                <w:color w:val="auto"/>
                <w:sz w:val="24"/>
                <w:szCs w:val="24"/>
                <w:highlight w:val="none"/>
              </w:rPr>
            </w:pPr>
          </w:p>
        </w:tc>
        <w:tc>
          <w:tcPr>
            <w:tcW w:w="627" w:type="pct"/>
            <w:vAlign w:val="center"/>
          </w:tcPr>
          <w:p w14:paraId="419E57BD">
            <w:pPr>
              <w:keepNext/>
              <w:spacing w:line="360" w:lineRule="auto"/>
              <w:jc w:val="center"/>
              <w:rPr>
                <w:rFonts w:cs="宋体"/>
                <w:color w:val="auto"/>
                <w:sz w:val="24"/>
                <w:szCs w:val="24"/>
                <w:highlight w:val="none"/>
              </w:rPr>
            </w:pPr>
          </w:p>
        </w:tc>
        <w:tc>
          <w:tcPr>
            <w:tcW w:w="502" w:type="pct"/>
            <w:vAlign w:val="center"/>
          </w:tcPr>
          <w:p w14:paraId="3BCBC8B9">
            <w:pPr>
              <w:keepNext/>
              <w:spacing w:line="360" w:lineRule="auto"/>
              <w:jc w:val="center"/>
              <w:rPr>
                <w:rFonts w:cs="宋体"/>
                <w:color w:val="auto"/>
                <w:sz w:val="24"/>
                <w:szCs w:val="24"/>
                <w:highlight w:val="none"/>
              </w:rPr>
            </w:pPr>
          </w:p>
        </w:tc>
        <w:tc>
          <w:tcPr>
            <w:tcW w:w="502" w:type="pct"/>
            <w:vAlign w:val="center"/>
          </w:tcPr>
          <w:p w14:paraId="15BDB4F6">
            <w:pPr>
              <w:keepNext/>
              <w:spacing w:line="360" w:lineRule="auto"/>
              <w:jc w:val="center"/>
              <w:rPr>
                <w:rFonts w:cs="宋体"/>
                <w:color w:val="auto"/>
                <w:sz w:val="24"/>
                <w:szCs w:val="24"/>
                <w:highlight w:val="none"/>
              </w:rPr>
            </w:pPr>
          </w:p>
        </w:tc>
        <w:tc>
          <w:tcPr>
            <w:tcW w:w="1281" w:type="pct"/>
            <w:vAlign w:val="center"/>
          </w:tcPr>
          <w:p w14:paraId="0EBB099A">
            <w:pPr>
              <w:keepNext/>
              <w:spacing w:line="360" w:lineRule="auto"/>
              <w:jc w:val="center"/>
              <w:rPr>
                <w:rFonts w:cs="宋体"/>
                <w:color w:val="auto"/>
                <w:sz w:val="24"/>
                <w:szCs w:val="24"/>
                <w:highlight w:val="none"/>
              </w:rPr>
            </w:pPr>
          </w:p>
        </w:tc>
        <w:tc>
          <w:tcPr>
            <w:tcW w:w="1151" w:type="pct"/>
            <w:vAlign w:val="center"/>
          </w:tcPr>
          <w:p w14:paraId="0A08FCB2">
            <w:pPr>
              <w:keepNext/>
              <w:spacing w:line="360" w:lineRule="auto"/>
              <w:jc w:val="center"/>
              <w:rPr>
                <w:rFonts w:cs="宋体"/>
                <w:color w:val="auto"/>
                <w:sz w:val="24"/>
                <w:szCs w:val="24"/>
                <w:highlight w:val="none"/>
              </w:rPr>
            </w:pPr>
          </w:p>
        </w:tc>
      </w:tr>
      <w:tr w14:paraId="51143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nil"/>
            </w:tcBorders>
            <w:vAlign w:val="center"/>
          </w:tcPr>
          <w:p w14:paraId="5BDA5668">
            <w:pPr>
              <w:spacing w:line="360" w:lineRule="auto"/>
              <w:jc w:val="center"/>
              <w:rPr>
                <w:rFonts w:cs="宋体"/>
                <w:color w:val="auto"/>
                <w:sz w:val="24"/>
                <w:szCs w:val="24"/>
                <w:highlight w:val="none"/>
              </w:rPr>
            </w:pPr>
          </w:p>
        </w:tc>
        <w:tc>
          <w:tcPr>
            <w:tcW w:w="627" w:type="pct"/>
            <w:vAlign w:val="center"/>
          </w:tcPr>
          <w:p w14:paraId="4DD7046C">
            <w:pPr>
              <w:keepNext/>
              <w:spacing w:line="360" w:lineRule="auto"/>
              <w:jc w:val="center"/>
              <w:rPr>
                <w:rFonts w:cs="宋体"/>
                <w:color w:val="auto"/>
                <w:sz w:val="24"/>
                <w:szCs w:val="24"/>
                <w:highlight w:val="none"/>
              </w:rPr>
            </w:pPr>
          </w:p>
        </w:tc>
        <w:tc>
          <w:tcPr>
            <w:tcW w:w="502" w:type="pct"/>
            <w:vAlign w:val="center"/>
          </w:tcPr>
          <w:p w14:paraId="52CED0A9">
            <w:pPr>
              <w:keepNext/>
              <w:spacing w:line="360" w:lineRule="auto"/>
              <w:jc w:val="center"/>
              <w:rPr>
                <w:rFonts w:cs="宋体"/>
                <w:color w:val="auto"/>
                <w:sz w:val="24"/>
                <w:szCs w:val="24"/>
                <w:highlight w:val="none"/>
              </w:rPr>
            </w:pPr>
          </w:p>
        </w:tc>
        <w:tc>
          <w:tcPr>
            <w:tcW w:w="502" w:type="pct"/>
            <w:vAlign w:val="center"/>
          </w:tcPr>
          <w:p w14:paraId="399E8408">
            <w:pPr>
              <w:keepNext/>
              <w:spacing w:line="360" w:lineRule="auto"/>
              <w:jc w:val="center"/>
              <w:rPr>
                <w:rFonts w:cs="宋体"/>
                <w:color w:val="auto"/>
                <w:sz w:val="24"/>
                <w:szCs w:val="24"/>
                <w:highlight w:val="none"/>
              </w:rPr>
            </w:pPr>
          </w:p>
        </w:tc>
        <w:tc>
          <w:tcPr>
            <w:tcW w:w="1281" w:type="pct"/>
            <w:vAlign w:val="center"/>
          </w:tcPr>
          <w:p w14:paraId="1C6C6852">
            <w:pPr>
              <w:keepNext/>
              <w:spacing w:line="360" w:lineRule="auto"/>
              <w:jc w:val="center"/>
              <w:rPr>
                <w:rFonts w:cs="宋体"/>
                <w:color w:val="auto"/>
                <w:sz w:val="24"/>
                <w:szCs w:val="24"/>
                <w:highlight w:val="none"/>
              </w:rPr>
            </w:pPr>
          </w:p>
        </w:tc>
        <w:tc>
          <w:tcPr>
            <w:tcW w:w="1151" w:type="pct"/>
            <w:vAlign w:val="center"/>
          </w:tcPr>
          <w:p w14:paraId="3BC50829">
            <w:pPr>
              <w:keepNext/>
              <w:spacing w:line="360" w:lineRule="auto"/>
              <w:jc w:val="center"/>
              <w:rPr>
                <w:rFonts w:cs="宋体"/>
                <w:color w:val="auto"/>
                <w:sz w:val="24"/>
                <w:szCs w:val="24"/>
                <w:highlight w:val="none"/>
              </w:rPr>
            </w:pPr>
          </w:p>
        </w:tc>
      </w:tr>
      <w:tr w14:paraId="77E83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vAlign w:val="center"/>
          </w:tcPr>
          <w:p w14:paraId="1EF74CA5">
            <w:pPr>
              <w:keepNext/>
              <w:spacing w:line="360" w:lineRule="auto"/>
              <w:jc w:val="center"/>
              <w:rPr>
                <w:rFonts w:cs="宋体"/>
                <w:color w:val="auto"/>
                <w:sz w:val="24"/>
                <w:szCs w:val="24"/>
                <w:highlight w:val="none"/>
              </w:rPr>
            </w:pPr>
            <w:r>
              <w:rPr>
                <w:rFonts w:hint="eastAsia" w:cs="宋体"/>
                <w:color w:val="auto"/>
                <w:sz w:val="24"/>
                <w:szCs w:val="24"/>
                <w:highlight w:val="none"/>
              </w:rPr>
              <w:t>二、现场人员</w:t>
            </w:r>
          </w:p>
        </w:tc>
        <w:tc>
          <w:tcPr>
            <w:tcW w:w="1151" w:type="pct"/>
            <w:vAlign w:val="center"/>
          </w:tcPr>
          <w:p w14:paraId="497C7712">
            <w:pPr>
              <w:keepNext/>
              <w:spacing w:line="360" w:lineRule="auto"/>
              <w:jc w:val="center"/>
              <w:rPr>
                <w:rFonts w:cs="宋体"/>
                <w:color w:val="auto"/>
                <w:sz w:val="24"/>
                <w:szCs w:val="24"/>
                <w:highlight w:val="none"/>
              </w:rPr>
            </w:pPr>
          </w:p>
        </w:tc>
      </w:tr>
      <w:tr w14:paraId="65C46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32A09E47">
            <w:pPr>
              <w:spacing w:line="360" w:lineRule="auto"/>
              <w:jc w:val="center"/>
              <w:rPr>
                <w:rFonts w:cs="宋体"/>
                <w:color w:val="auto"/>
                <w:sz w:val="24"/>
                <w:szCs w:val="24"/>
                <w:highlight w:val="none"/>
              </w:rPr>
            </w:pPr>
            <w:r>
              <w:rPr>
                <w:rFonts w:hint="eastAsia" w:cs="宋体"/>
                <w:color w:val="auto"/>
                <w:sz w:val="24"/>
                <w:szCs w:val="24"/>
                <w:highlight w:val="none"/>
              </w:rPr>
              <w:t>项目经理</w:t>
            </w:r>
          </w:p>
        </w:tc>
        <w:tc>
          <w:tcPr>
            <w:tcW w:w="627" w:type="pct"/>
            <w:vAlign w:val="center"/>
          </w:tcPr>
          <w:p w14:paraId="2A281DD0">
            <w:pPr>
              <w:keepNext/>
              <w:spacing w:line="360" w:lineRule="auto"/>
              <w:jc w:val="center"/>
              <w:rPr>
                <w:rFonts w:cs="宋体"/>
                <w:color w:val="auto"/>
                <w:sz w:val="24"/>
                <w:szCs w:val="24"/>
                <w:highlight w:val="none"/>
              </w:rPr>
            </w:pPr>
          </w:p>
        </w:tc>
        <w:tc>
          <w:tcPr>
            <w:tcW w:w="502" w:type="pct"/>
            <w:vAlign w:val="center"/>
          </w:tcPr>
          <w:p w14:paraId="54B01E1C">
            <w:pPr>
              <w:keepNext/>
              <w:spacing w:line="360" w:lineRule="auto"/>
              <w:jc w:val="center"/>
              <w:rPr>
                <w:rFonts w:cs="宋体"/>
                <w:color w:val="auto"/>
                <w:sz w:val="24"/>
                <w:szCs w:val="24"/>
                <w:highlight w:val="none"/>
              </w:rPr>
            </w:pPr>
          </w:p>
        </w:tc>
        <w:tc>
          <w:tcPr>
            <w:tcW w:w="502" w:type="pct"/>
            <w:vAlign w:val="center"/>
          </w:tcPr>
          <w:p w14:paraId="4A540ACB">
            <w:pPr>
              <w:keepNext/>
              <w:spacing w:line="360" w:lineRule="auto"/>
              <w:jc w:val="center"/>
              <w:rPr>
                <w:rFonts w:cs="宋体"/>
                <w:color w:val="auto"/>
                <w:sz w:val="24"/>
                <w:szCs w:val="24"/>
                <w:highlight w:val="none"/>
              </w:rPr>
            </w:pPr>
          </w:p>
        </w:tc>
        <w:tc>
          <w:tcPr>
            <w:tcW w:w="1281" w:type="pct"/>
            <w:vAlign w:val="center"/>
          </w:tcPr>
          <w:p w14:paraId="18F0498C">
            <w:pPr>
              <w:keepNext/>
              <w:spacing w:line="360" w:lineRule="auto"/>
              <w:jc w:val="center"/>
              <w:rPr>
                <w:rFonts w:cs="宋体"/>
                <w:color w:val="auto"/>
                <w:sz w:val="24"/>
                <w:szCs w:val="24"/>
                <w:highlight w:val="none"/>
              </w:rPr>
            </w:pPr>
          </w:p>
        </w:tc>
        <w:tc>
          <w:tcPr>
            <w:tcW w:w="1151" w:type="pct"/>
            <w:vAlign w:val="center"/>
          </w:tcPr>
          <w:p w14:paraId="10468FDF">
            <w:pPr>
              <w:keepNext/>
              <w:spacing w:line="360" w:lineRule="auto"/>
              <w:jc w:val="center"/>
              <w:rPr>
                <w:rFonts w:cs="宋体"/>
                <w:color w:val="auto"/>
                <w:sz w:val="24"/>
                <w:szCs w:val="24"/>
                <w:highlight w:val="none"/>
              </w:rPr>
            </w:pPr>
          </w:p>
        </w:tc>
      </w:tr>
      <w:tr w14:paraId="5F4FF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23BA7FD7">
            <w:pPr>
              <w:spacing w:line="360" w:lineRule="auto"/>
              <w:jc w:val="center"/>
              <w:rPr>
                <w:rFonts w:cs="宋体"/>
                <w:color w:val="auto"/>
                <w:sz w:val="24"/>
                <w:szCs w:val="24"/>
                <w:highlight w:val="none"/>
              </w:rPr>
            </w:pPr>
            <w:r>
              <w:rPr>
                <w:rFonts w:hint="eastAsia" w:cs="宋体"/>
                <w:color w:val="auto"/>
                <w:sz w:val="24"/>
                <w:szCs w:val="24"/>
                <w:highlight w:val="none"/>
              </w:rPr>
              <w:t>项目副经理</w:t>
            </w:r>
          </w:p>
        </w:tc>
        <w:tc>
          <w:tcPr>
            <w:tcW w:w="627" w:type="pct"/>
            <w:vAlign w:val="center"/>
          </w:tcPr>
          <w:p w14:paraId="204890B9">
            <w:pPr>
              <w:keepNext/>
              <w:spacing w:line="360" w:lineRule="auto"/>
              <w:jc w:val="center"/>
              <w:rPr>
                <w:rFonts w:cs="宋体"/>
                <w:color w:val="auto"/>
                <w:sz w:val="24"/>
                <w:szCs w:val="24"/>
                <w:highlight w:val="none"/>
              </w:rPr>
            </w:pPr>
          </w:p>
        </w:tc>
        <w:tc>
          <w:tcPr>
            <w:tcW w:w="502" w:type="pct"/>
            <w:vAlign w:val="center"/>
          </w:tcPr>
          <w:p w14:paraId="6DEA1E19">
            <w:pPr>
              <w:keepNext/>
              <w:spacing w:line="360" w:lineRule="auto"/>
              <w:jc w:val="center"/>
              <w:rPr>
                <w:rFonts w:cs="宋体"/>
                <w:color w:val="auto"/>
                <w:sz w:val="24"/>
                <w:szCs w:val="24"/>
                <w:highlight w:val="none"/>
              </w:rPr>
            </w:pPr>
          </w:p>
        </w:tc>
        <w:tc>
          <w:tcPr>
            <w:tcW w:w="502" w:type="pct"/>
            <w:vAlign w:val="center"/>
          </w:tcPr>
          <w:p w14:paraId="66770BAA">
            <w:pPr>
              <w:keepNext/>
              <w:spacing w:line="360" w:lineRule="auto"/>
              <w:jc w:val="center"/>
              <w:rPr>
                <w:rFonts w:cs="宋体"/>
                <w:color w:val="auto"/>
                <w:sz w:val="24"/>
                <w:szCs w:val="24"/>
                <w:highlight w:val="none"/>
              </w:rPr>
            </w:pPr>
          </w:p>
        </w:tc>
        <w:tc>
          <w:tcPr>
            <w:tcW w:w="1281" w:type="pct"/>
            <w:vAlign w:val="center"/>
          </w:tcPr>
          <w:p w14:paraId="11F1E312">
            <w:pPr>
              <w:keepNext/>
              <w:spacing w:line="360" w:lineRule="auto"/>
              <w:jc w:val="center"/>
              <w:rPr>
                <w:rFonts w:cs="宋体"/>
                <w:color w:val="auto"/>
                <w:sz w:val="24"/>
                <w:szCs w:val="24"/>
                <w:highlight w:val="none"/>
              </w:rPr>
            </w:pPr>
          </w:p>
        </w:tc>
        <w:tc>
          <w:tcPr>
            <w:tcW w:w="1151" w:type="pct"/>
            <w:vAlign w:val="center"/>
          </w:tcPr>
          <w:p w14:paraId="5635AA54">
            <w:pPr>
              <w:keepNext/>
              <w:spacing w:line="360" w:lineRule="auto"/>
              <w:jc w:val="center"/>
              <w:rPr>
                <w:rFonts w:cs="宋体"/>
                <w:color w:val="auto"/>
                <w:sz w:val="24"/>
                <w:szCs w:val="24"/>
                <w:highlight w:val="none"/>
              </w:rPr>
            </w:pPr>
          </w:p>
        </w:tc>
      </w:tr>
      <w:tr w14:paraId="31544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3CA3E8A">
            <w:pPr>
              <w:spacing w:line="360" w:lineRule="auto"/>
              <w:jc w:val="center"/>
              <w:rPr>
                <w:rFonts w:cs="宋体"/>
                <w:color w:val="auto"/>
                <w:sz w:val="24"/>
                <w:szCs w:val="24"/>
                <w:highlight w:val="none"/>
              </w:rPr>
            </w:pPr>
            <w:r>
              <w:rPr>
                <w:rFonts w:hint="eastAsia" w:cs="宋体"/>
                <w:color w:val="auto"/>
                <w:sz w:val="24"/>
                <w:szCs w:val="24"/>
                <w:highlight w:val="none"/>
              </w:rPr>
              <w:t>项目技术负责人</w:t>
            </w:r>
          </w:p>
        </w:tc>
        <w:tc>
          <w:tcPr>
            <w:tcW w:w="627" w:type="pct"/>
            <w:vAlign w:val="center"/>
          </w:tcPr>
          <w:p w14:paraId="6E0AF690">
            <w:pPr>
              <w:keepNext/>
              <w:spacing w:line="360" w:lineRule="auto"/>
              <w:jc w:val="center"/>
              <w:rPr>
                <w:rFonts w:cs="宋体"/>
                <w:color w:val="auto"/>
                <w:sz w:val="24"/>
                <w:szCs w:val="24"/>
                <w:highlight w:val="none"/>
              </w:rPr>
            </w:pPr>
          </w:p>
        </w:tc>
        <w:tc>
          <w:tcPr>
            <w:tcW w:w="502" w:type="pct"/>
            <w:vAlign w:val="center"/>
          </w:tcPr>
          <w:p w14:paraId="4FF2A3D5">
            <w:pPr>
              <w:keepNext/>
              <w:spacing w:line="360" w:lineRule="auto"/>
              <w:jc w:val="center"/>
              <w:rPr>
                <w:rFonts w:cs="宋体"/>
                <w:color w:val="auto"/>
                <w:sz w:val="24"/>
                <w:szCs w:val="24"/>
                <w:highlight w:val="none"/>
              </w:rPr>
            </w:pPr>
          </w:p>
        </w:tc>
        <w:tc>
          <w:tcPr>
            <w:tcW w:w="502" w:type="pct"/>
            <w:vAlign w:val="center"/>
          </w:tcPr>
          <w:p w14:paraId="74B70E61">
            <w:pPr>
              <w:keepNext/>
              <w:spacing w:line="360" w:lineRule="auto"/>
              <w:jc w:val="center"/>
              <w:rPr>
                <w:rFonts w:cs="宋体"/>
                <w:color w:val="auto"/>
                <w:sz w:val="24"/>
                <w:szCs w:val="24"/>
                <w:highlight w:val="none"/>
              </w:rPr>
            </w:pPr>
          </w:p>
        </w:tc>
        <w:tc>
          <w:tcPr>
            <w:tcW w:w="1281" w:type="pct"/>
            <w:vAlign w:val="center"/>
          </w:tcPr>
          <w:p w14:paraId="416B14FD">
            <w:pPr>
              <w:keepNext/>
              <w:spacing w:line="360" w:lineRule="auto"/>
              <w:jc w:val="center"/>
              <w:rPr>
                <w:rFonts w:cs="宋体"/>
                <w:color w:val="auto"/>
                <w:sz w:val="24"/>
                <w:szCs w:val="24"/>
                <w:highlight w:val="none"/>
              </w:rPr>
            </w:pPr>
          </w:p>
        </w:tc>
        <w:tc>
          <w:tcPr>
            <w:tcW w:w="1151" w:type="pct"/>
            <w:vAlign w:val="center"/>
          </w:tcPr>
          <w:p w14:paraId="5631B5BF">
            <w:pPr>
              <w:keepNext/>
              <w:spacing w:line="360" w:lineRule="auto"/>
              <w:jc w:val="center"/>
              <w:rPr>
                <w:rFonts w:cs="宋体"/>
                <w:color w:val="auto"/>
                <w:sz w:val="24"/>
                <w:szCs w:val="24"/>
                <w:highlight w:val="none"/>
              </w:rPr>
            </w:pPr>
          </w:p>
        </w:tc>
      </w:tr>
      <w:tr w14:paraId="0D6BC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38F62FC">
            <w:pPr>
              <w:spacing w:line="360" w:lineRule="auto"/>
              <w:jc w:val="center"/>
              <w:rPr>
                <w:rFonts w:cs="宋体"/>
                <w:color w:val="auto"/>
                <w:sz w:val="24"/>
                <w:szCs w:val="24"/>
                <w:highlight w:val="none"/>
              </w:rPr>
            </w:pPr>
            <w:r>
              <w:rPr>
                <w:rFonts w:hint="eastAsia" w:cs="宋体"/>
                <w:color w:val="auto"/>
                <w:sz w:val="24"/>
                <w:szCs w:val="24"/>
                <w:highlight w:val="none"/>
              </w:rPr>
              <w:t>施工员</w:t>
            </w:r>
          </w:p>
        </w:tc>
        <w:tc>
          <w:tcPr>
            <w:tcW w:w="627" w:type="pct"/>
            <w:vAlign w:val="center"/>
          </w:tcPr>
          <w:p w14:paraId="124C66EF">
            <w:pPr>
              <w:keepNext/>
              <w:spacing w:line="360" w:lineRule="auto"/>
              <w:jc w:val="center"/>
              <w:rPr>
                <w:rFonts w:cs="宋体"/>
                <w:color w:val="auto"/>
                <w:sz w:val="24"/>
                <w:szCs w:val="24"/>
                <w:highlight w:val="none"/>
              </w:rPr>
            </w:pPr>
          </w:p>
        </w:tc>
        <w:tc>
          <w:tcPr>
            <w:tcW w:w="502" w:type="pct"/>
            <w:vAlign w:val="center"/>
          </w:tcPr>
          <w:p w14:paraId="1E9DA62F">
            <w:pPr>
              <w:keepNext/>
              <w:spacing w:line="360" w:lineRule="auto"/>
              <w:jc w:val="center"/>
              <w:rPr>
                <w:rFonts w:cs="宋体"/>
                <w:color w:val="auto"/>
                <w:sz w:val="24"/>
                <w:szCs w:val="24"/>
                <w:highlight w:val="none"/>
              </w:rPr>
            </w:pPr>
          </w:p>
        </w:tc>
        <w:tc>
          <w:tcPr>
            <w:tcW w:w="502" w:type="pct"/>
            <w:vAlign w:val="center"/>
          </w:tcPr>
          <w:p w14:paraId="4EAEE03B">
            <w:pPr>
              <w:keepNext/>
              <w:spacing w:line="360" w:lineRule="auto"/>
              <w:jc w:val="center"/>
              <w:rPr>
                <w:rFonts w:cs="宋体"/>
                <w:color w:val="auto"/>
                <w:sz w:val="24"/>
                <w:szCs w:val="24"/>
                <w:highlight w:val="none"/>
              </w:rPr>
            </w:pPr>
          </w:p>
        </w:tc>
        <w:tc>
          <w:tcPr>
            <w:tcW w:w="1281" w:type="pct"/>
            <w:vAlign w:val="center"/>
          </w:tcPr>
          <w:p w14:paraId="3BF1B37D">
            <w:pPr>
              <w:keepNext/>
              <w:spacing w:line="360" w:lineRule="auto"/>
              <w:jc w:val="center"/>
              <w:rPr>
                <w:rFonts w:cs="宋体"/>
                <w:color w:val="auto"/>
                <w:sz w:val="24"/>
                <w:szCs w:val="24"/>
                <w:highlight w:val="none"/>
              </w:rPr>
            </w:pPr>
          </w:p>
        </w:tc>
        <w:tc>
          <w:tcPr>
            <w:tcW w:w="1151" w:type="pct"/>
            <w:vAlign w:val="center"/>
          </w:tcPr>
          <w:p w14:paraId="45044F76">
            <w:pPr>
              <w:keepNext/>
              <w:spacing w:line="360" w:lineRule="auto"/>
              <w:jc w:val="center"/>
              <w:rPr>
                <w:rFonts w:cs="宋体"/>
                <w:color w:val="auto"/>
                <w:sz w:val="24"/>
                <w:szCs w:val="24"/>
                <w:highlight w:val="none"/>
              </w:rPr>
            </w:pPr>
          </w:p>
        </w:tc>
      </w:tr>
      <w:tr w14:paraId="6178C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0FA5CFF">
            <w:pPr>
              <w:spacing w:line="360" w:lineRule="auto"/>
              <w:jc w:val="center"/>
              <w:rPr>
                <w:rFonts w:cs="宋体"/>
                <w:color w:val="auto"/>
                <w:sz w:val="24"/>
                <w:szCs w:val="24"/>
                <w:highlight w:val="none"/>
              </w:rPr>
            </w:pPr>
            <w:r>
              <w:rPr>
                <w:rFonts w:hint="eastAsia" w:cs="宋体"/>
                <w:color w:val="auto"/>
                <w:sz w:val="24"/>
                <w:szCs w:val="24"/>
                <w:highlight w:val="none"/>
              </w:rPr>
              <w:t>质检员（质量员）</w:t>
            </w:r>
          </w:p>
        </w:tc>
        <w:tc>
          <w:tcPr>
            <w:tcW w:w="627" w:type="pct"/>
            <w:vAlign w:val="center"/>
          </w:tcPr>
          <w:p w14:paraId="5A3B1B66">
            <w:pPr>
              <w:keepNext/>
              <w:spacing w:line="360" w:lineRule="auto"/>
              <w:jc w:val="center"/>
              <w:rPr>
                <w:rFonts w:cs="宋体"/>
                <w:color w:val="auto"/>
                <w:sz w:val="24"/>
                <w:szCs w:val="24"/>
                <w:highlight w:val="none"/>
              </w:rPr>
            </w:pPr>
          </w:p>
        </w:tc>
        <w:tc>
          <w:tcPr>
            <w:tcW w:w="502" w:type="pct"/>
            <w:vAlign w:val="center"/>
          </w:tcPr>
          <w:p w14:paraId="15EB8F2B">
            <w:pPr>
              <w:keepNext/>
              <w:spacing w:line="360" w:lineRule="auto"/>
              <w:jc w:val="center"/>
              <w:rPr>
                <w:rFonts w:cs="宋体"/>
                <w:color w:val="auto"/>
                <w:sz w:val="24"/>
                <w:szCs w:val="24"/>
                <w:highlight w:val="none"/>
              </w:rPr>
            </w:pPr>
          </w:p>
        </w:tc>
        <w:tc>
          <w:tcPr>
            <w:tcW w:w="502" w:type="pct"/>
            <w:vAlign w:val="center"/>
          </w:tcPr>
          <w:p w14:paraId="6B51888C">
            <w:pPr>
              <w:keepNext/>
              <w:spacing w:line="360" w:lineRule="auto"/>
              <w:jc w:val="center"/>
              <w:rPr>
                <w:rFonts w:cs="宋体"/>
                <w:color w:val="auto"/>
                <w:sz w:val="24"/>
                <w:szCs w:val="24"/>
                <w:highlight w:val="none"/>
              </w:rPr>
            </w:pPr>
          </w:p>
        </w:tc>
        <w:tc>
          <w:tcPr>
            <w:tcW w:w="1281" w:type="pct"/>
            <w:vAlign w:val="center"/>
          </w:tcPr>
          <w:p w14:paraId="0505645C">
            <w:pPr>
              <w:keepNext/>
              <w:spacing w:line="360" w:lineRule="auto"/>
              <w:jc w:val="center"/>
              <w:rPr>
                <w:rFonts w:cs="宋体"/>
                <w:color w:val="auto"/>
                <w:sz w:val="24"/>
                <w:szCs w:val="24"/>
                <w:highlight w:val="none"/>
              </w:rPr>
            </w:pPr>
          </w:p>
        </w:tc>
        <w:tc>
          <w:tcPr>
            <w:tcW w:w="1151" w:type="pct"/>
            <w:vAlign w:val="center"/>
          </w:tcPr>
          <w:p w14:paraId="0E9FCC6C">
            <w:pPr>
              <w:keepNext/>
              <w:spacing w:line="360" w:lineRule="auto"/>
              <w:jc w:val="center"/>
              <w:rPr>
                <w:rFonts w:cs="宋体"/>
                <w:color w:val="auto"/>
                <w:sz w:val="24"/>
                <w:szCs w:val="24"/>
                <w:highlight w:val="none"/>
              </w:rPr>
            </w:pPr>
          </w:p>
        </w:tc>
      </w:tr>
      <w:tr w14:paraId="2FB31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05DFE51D">
            <w:pPr>
              <w:spacing w:line="360" w:lineRule="auto"/>
              <w:jc w:val="center"/>
              <w:rPr>
                <w:rFonts w:cs="宋体"/>
                <w:color w:val="auto"/>
                <w:sz w:val="24"/>
                <w:szCs w:val="24"/>
                <w:highlight w:val="none"/>
              </w:rPr>
            </w:pPr>
            <w:r>
              <w:rPr>
                <w:rFonts w:hint="eastAsia" w:cs="宋体"/>
                <w:color w:val="auto"/>
                <w:sz w:val="24"/>
                <w:szCs w:val="24"/>
                <w:highlight w:val="none"/>
              </w:rPr>
              <w:t>安全员</w:t>
            </w:r>
          </w:p>
        </w:tc>
        <w:tc>
          <w:tcPr>
            <w:tcW w:w="627" w:type="pct"/>
            <w:vAlign w:val="center"/>
          </w:tcPr>
          <w:p w14:paraId="70872F34">
            <w:pPr>
              <w:keepNext/>
              <w:spacing w:line="360" w:lineRule="auto"/>
              <w:jc w:val="center"/>
              <w:rPr>
                <w:rFonts w:cs="宋体"/>
                <w:color w:val="auto"/>
                <w:sz w:val="24"/>
                <w:szCs w:val="24"/>
                <w:highlight w:val="none"/>
              </w:rPr>
            </w:pPr>
          </w:p>
        </w:tc>
        <w:tc>
          <w:tcPr>
            <w:tcW w:w="502" w:type="pct"/>
            <w:vAlign w:val="center"/>
          </w:tcPr>
          <w:p w14:paraId="097AE78D">
            <w:pPr>
              <w:keepNext/>
              <w:spacing w:line="360" w:lineRule="auto"/>
              <w:jc w:val="center"/>
              <w:rPr>
                <w:rFonts w:cs="宋体"/>
                <w:color w:val="auto"/>
                <w:sz w:val="24"/>
                <w:szCs w:val="24"/>
                <w:highlight w:val="none"/>
              </w:rPr>
            </w:pPr>
          </w:p>
        </w:tc>
        <w:tc>
          <w:tcPr>
            <w:tcW w:w="502" w:type="pct"/>
            <w:vAlign w:val="center"/>
          </w:tcPr>
          <w:p w14:paraId="02D4170E">
            <w:pPr>
              <w:keepNext/>
              <w:spacing w:line="360" w:lineRule="auto"/>
              <w:jc w:val="center"/>
              <w:rPr>
                <w:rFonts w:cs="宋体"/>
                <w:color w:val="auto"/>
                <w:sz w:val="24"/>
                <w:szCs w:val="24"/>
                <w:highlight w:val="none"/>
              </w:rPr>
            </w:pPr>
          </w:p>
        </w:tc>
        <w:tc>
          <w:tcPr>
            <w:tcW w:w="1281" w:type="pct"/>
            <w:vAlign w:val="center"/>
          </w:tcPr>
          <w:p w14:paraId="1E449DCF">
            <w:pPr>
              <w:keepNext/>
              <w:spacing w:line="360" w:lineRule="auto"/>
              <w:jc w:val="center"/>
              <w:rPr>
                <w:rFonts w:cs="宋体"/>
                <w:color w:val="auto"/>
                <w:sz w:val="24"/>
                <w:szCs w:val="24"/>
                <w:highlight w:val="none"/>
              </w:rPr>
            </w:pPr>
          </w:p>
        </w:tc>
        <w:tc>
          <w:tcPr>
            <w:tcW w:w="1151" w:type="pct"/>
            <w:vAlign w:val="center"/>
          </w:tcPr>
          <w:p w14:paraId="70C6004A">
            <w:pPr>
              <w:keepNext/>
              <w:spacing w:line="360" w:lineRule="auto"/>
              <w:jc w:val="center"/>
              <w:rPr>
                <w:rFonts w:cs="宋体"/>
                <w:color w:val="auto"/>
                <w:sz w:val="24"/>
                <w:szCs w:val="24"/>
                <w:highlight w:val="none"/>
              </w:rPr>
            </w:pPr>
          </w:p>
        </w:tc>
      </w:tr>
      <w:tr w14:paraId="1C380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57779A25">
            <w:pPr>
              <w:spacing w:line="360" w:lineRule="auto"/>
              <w:jc w:val="center"/>
              <w:rPr>
                <w:rFonts w:cs="宋体"/>
                <w:color w:val="auto"/>
                <w:sz w:val="24"/>
                <w:szCs w:val="24"/>
                <w:highlight w:val="none"/>
              </w:rPr>
            </w:pPr>
            <w:r>
              <w:rPr>
                <w:rFonts w:hint="eastAsia" w:cs="宋体"/>
                <w:color w:val="auto"/>
                <w:sz w:val="24"/>
                <w:szCs w:val="24"/>
                <w:highlight w:val="none"/>
              </w:rPr>
              <w:t>资料员</w:t>
            </w:r>
          </w:p>
        </w:tc>
        <w:tc>
          <w:tcPr>
            <w:tcW w:w="627" w:type="pct"/>
            <w:vAlign w:val="center"/>
          </w:tcPr>
          <w:p w14:paraId="69BE6CCA">
            <w:pPr>
              <w:keepNext/>
              <w:spacing w:line="360" w:lineRule="auto"/>
              <w:jc w:val="center"/>
              <w:rPr>
                <w:rFonts w:cs="宋体"/>
                <w:color w:val="auto"/>
                <w:sz w:val="24"/>
                <w:szCs w:val="24"/>
                <w:highlight w:val="none"/>
              </w:rPr>
            </w:pPr>
          </w:p>
        </w:tc>
        <w:tc>
          <w:tcPr>
            <w:tcW w:w="502" w:type="pct"/>
            <w:vAlign w:val="center"/>
          </w:tcPr>
          <w:p w14:paraId="46A19F24">
            <w:pPr>
              <w:keepNext/>
              <w:spacing w:line="360" w:lineRule="auto"/>
              <w:jc w:val="center"/>
              <w:rPr>
                <w:rFonts w:cs="宋体"/>
                <w:color w:val="auto"/>
                <w:sz w:val="24"/>
                <w:szCs w:val="24"/>
                <w:highlight w:val="none"/>
              </w:rPr>
            </w:pPr>
          </w:p>
        </w:tc>
        <w:tc>
          <w:tcPr>
            <w:tcW w:w="502" w:type="pct"/>
            <w:vAlign w:val="center"/>
          </w:tcPr>
          <w:p w14:paraId="2D092A48">
            <w:pPr>
              <w:keepNext/>
              <w:spacing w:line="360" w:lineRule="auto"/>
              <w:jc w:val="center"/>
              <w:rPr>
                <w:rFonts w:cs="宋体"/>
                <w:color w:val="auto"/>
                <w:sz w:val="24"/>
                <w:szCs w:val="24"/>
                <w:highlight w:val="none"/>
              </w:rPr>
            </w:pPr>
          </w:p>
        </w:tc>
        <w:tc>
          <w:tcPr>
            <w:tcW w:w="1281" w:type="pct"/>
            <w:vAlign w:val="center"/>
          </w:tcPr>
          <w:p w14:paraId="37767327">
            <w:pPr>
              <w:keepNext/>
              <w:spacing w:line="360" w:lineRule="auto"/>
              <w:jc w:val="center"/>
              <w:rPr>
                <w:rFonts w:cs="宋体"/>
                <w:color w:val="auto"/>
                <w:sz w:val="24"/>
                <w:szCs w:val="24"/>
                <w:highlight w:val="none"/>
              </w:rPr>
            </w:pPr>
          </w:p>
        </w:tc>
        <w:tc>
          <w:tcPr>
            <w:tcW w:w="1151" w:type="pct"/>
            <w:vAlign w:val="center"/>
          </w:tcPr>
          <w:p w14:paraId="76CD021A">
            <w:pPr>
              <w:keepNext/>
              <w:spacing w:line="360" w:lineRule="auto"/>
              <w:jc w:val="center"/>
              <w:rPr>
                <w:rFonts w:cs="宋体"/>
                <w:color w:val="auto"/>
                <w:sz w:val="24"/>
                <w:szCs w:val="24"/>
                <w:highlight w:val="none"/>
              </w:rPr>
            </w:pPr>
          </w:p>
        </w:tc>
      </w:tr>
      <w:tr w14:paraId="280CA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78752A4D">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4AF973A3">
            <w:pPr>
              <w:keepNext/>
              <w:spacing w:line="360" w:lineRule="auto"/>
              <w:jc w:val="center"/>
              <w:rPr>
                <w:rFonts w:cs="宋体"/>
                <w:color w:val="auto"/>
                <w:sz w:val="24"/>
                <w:szCs w:val="24"/>
                <w:highlight w:val="none"/>
              </w:rPr>
            </w:pPr>
          </w:p>
        </w:tc>
        <w:tc>
          <w:tcPr>
            <w:tcW w:w="502" w:type="pct"/>
            <w:vAlign w:val="center"/>
          </w:tcPr>
          <w:p w14:paraId="5C110839">
            <w:pPr>
              <w:keepNext/>
              <w:spacing w:line="360" w:lineRule="auto"/>
              <w:jc w:val="center"/>
              <w:rPr>
                <w:rFonts w:cs="宋体"/>
                <w:color w:val="auto"/>
                <w:sz w:val="24"/>
                <w:szCs w:val="24"/>
                <w:highlight w:val="none"/>
              </w:rPr>
            </w:pPr>
          </w:p>
        </w:tc>
        <w:tc>
          <w:tcPr>
            <w:tcW w:w="502" w:type="pct"/>
            <w:vAlign w:val="center"/>
          </w:tcPr>
          <w:p w14:paraId="7A6144FE">
            <w:pPr>
              <w:keepNext/>
              <w:spacing w:line="360" w:lineRule="auto"/>
              <w:jc w:val="center"/>
              <w:rPr>
                <w:rFonts w:cs="宋体"/>
                <w:color w:val="auto"/>
                <w:sz w:val="24"/>
                <w:szCs w:val="24"/>
                <w:highlight w:val="none"/>
              </w:rPr>
            </w:pPr>
          </w:p>
        </w:tc>
        <w:tc>
          <w:tcPr>
            <w:tcW w:w="1281" w:type="pct"/>
            <w:vAlign w:val="center"/>
          </w:tcPr>
          <w:p w14:paraId="62D97404">
            <w:pPr>
              <w:keepNext/>
              <w:spacing w:line="360" w:lineRule="auto"/>
              <w:jc w:val="center"/>
              <w:rPr>
                <w:rFonts w:cs="宋体"/>
                <w:color w:val="auto"/>
                <w:sz w:val="24"/>
                <w:szCs w:val="24"/>
                <w:highlight w:val="none"/>
              </w:rPr>
            </w:pPr>
          </w:p>
        </w:tc>
        <w:tc>
          <w:tcPr>
            <w:tcW w:w="1151" w:type="pct"/>
            <w:vAlign w:val="center"/>
          </w:tcPr>
          <w:p w14:paraId="47FFE593">
            <w:pPr>
              <w:keepNext/>
              <w:spacing w:line="360" w:lineRule="auto"/>
              <w:jc w:val="center"/>
              <w:rPr>
                <w:rFonts w:cs="宋体"/>
                <w:color w:val="auto"/>
                <w:sz w:val="24"/>
                <w:szCs w:val="24"/>
                <w:highlight w:val="none"/>
              </w:rPr>
            </w:pPr>
          </w:p>
        </w:tc>
      </w:tr>
      <w:tr w14:paraId="0FFD2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27F9B9D9">
            <w:pPr>
              <w:keepNext/>
              <w:spacing w:line="360" w:lineRule="auto"/>
              <w:jc w:val="center"/>
              <w:rPr>
                <w:rFonts w:cs="宋体"/>
                <w:color w:val="auto"/>
                <w:sz w:val="24"/>
                <w:szCs w:val="24"/>
                <w:highlight w:val="none"/>
              </w:rPr>
            </w:pPr>
          </w:p>
        </w:tc>
        <w:tc>
          <w:tcPr>
            <w:tcW w:w="627" w:type="pct"/>
            <w:tcBorders>
              <w:bottom w:val="nil"/>
            </w:tcBorders>
            <w:vAlign w:val="center"/>
          </w:tcPr>
          <w:p w14:paraId="76F0F866">
            <w:pPr>
              <w:keepNext/>
              <w:spacing w:line="360" w:lineRule="auto"/>
              <w:jc w:val="center"/>
              <w:rPr>
                <w:rFonts w:cs="宋体"/>
                <w:color w:val="auto"/>
                <w:sz w:val="24"/>
                <w:szCs w:val="24"/>
                <w:highlight w:val="none"/>
              </w:rPr>
            </w:pPr>
          </w:p>
        </w:tc>
        <w:tc>
          <w:tcPr>
            <w:tcW w:w="502" w:type="pct"/>
            <w:tcBorders>
              <w:bottom w:val="nil"/>
            </w:tcBorders>
            <w:vAlign w:val="center"/>
          </w:tcPr>
          <w:p w14:paraId="14A515F2">
            <w:pPr>
              <w:keepNext/>
              <w:spacing w:line="360" w:lineRule="auto"/>
              <w:jc w:val="center"/>
              <w:rPr>
                <w:rFonts w:cs="宋体"/>
                <w:color w:val="auto"/>
                <w:sz w:val="24"/>
                <w:szCs w:val="24"/>
                <w:highlight w:val="none"/>
              </w:rPr>
            </w:pPr>
          </w:p>
        </w:tc>
        <w:tc>
          <w:tcPr>
            <w:tcW w:w="502" w:type="pct"/>
            <w:tcBorders>
              <w:bottom w:val="nil"/>
            </w:tcBorders>
            <w:vAlign w:val="center"/>
          </w:tcPr>
          <w:p w14:paraId="65FB9DFB">
            <w:pPr>
              <w:keepNext/>
              <w:spacing w:line="360" w:lineRule="auto"/>
              <w:jc w:val="center"/>
              <w:rPr>
                <w:rFonts w:cs="宋体"/>
                <w:color w:val="auto"/>
                <w:sz w:val="24"/>
                <w:szCs w:val="24"/>
                <w:highlight w:val="none"/>
              </w:rPr>
            </w:pPr>
          </w:p>
        </w:tc>
        <w:tc>
          <w:tcPr>
            <w:tcW w:w="1281" w:type="pct"/>
            <w:tcBorders>
              <w:bottom w:val="nil"/>
            </w:tcBorders>
            <w:vAlign w:val="center"/>
          </w:tcPr>
          <w:p w14:paraId="29EC4B8B">
            <w:pPr>
              <w:keepNext/>
              <w:spacing w:line="360" w:lineRule="auto"/>
              <w:jc w:val="center"/>
              <w:rPr>
                <w:rFonts w:cs="宋体"/>
                <w:color w:val="auto"/>
                <w:sz w:val="24"/>
                <w:szCs w:val="24"/>
                <w:highlight w:val="none"/>
              </w:rPr>
            </w:pPr>
          </w:p>
        </w:tc>
        <w:tc>
          <w:tcPr>
            <w:tcW w:w="1151" w:type="pct"/>
            <w:tcBorders>
              <w:bottom w:val="nil"/>
            </w:tcBorders>
            <w:vAlign w:val="center"/>
          </w:tcPr>
          <w:p w14:paraId="1CDA3098">
            <w:pPr>
              <w:keepNext/>
              <w:spacing w:line="360" w:lineRule="auto"/>
              <w:jc w:val="center"/>
              <w:rPr>
                <w:rFonts w:cs="宋体"/>
                <w:color w:val="auto"/>
                <w:sz w:val="24"/>
                <w:szCs w:val="24"/>
                <w:highlight w:val="none"/>
              </w:rPr>
            </w:pPr>
          </w:p>
        </w:tc>
      </w:tr>
      <w:tr w14:paraId="4B856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631ACF6">
            <w:pPr>
              <w:keepNext/>
              <w:spacing w:line="360" w:lineRule="auto"/>
              <w:jc w:val="center"/>
              <w:rPr>
                <w:rFonts w:cs="宋体"/>
                <w:color w:val="auto"/>
                <w:sz w:val="24"/>
                <w:szCs w:val="24"/>
                <w:highlight w:val="none"/>
              </w:rPr>
            </w:pPr>
          </w:p>
        </w:tc>
        <w:tc>
          <w:tcPr>
            <w:tcW w:w="627" w:type="pct"/>
            <w:vAlign w:val="center"/>
          </w:tcPr>
          <w:p w14:paraId="31D71C4A">
            <w:pPr>
              <w:keepNext/>
              <w:spacing w:line="360" w:lineRule="auto"/>
              <w:jc w:val="center"/>
              <w:rPr>
                <w:rFonts w:cs="宋体"/>
                <w:color w:val="auto"/>
                <w:sz w:val="24"/>
                <w:szCs w:val="24"/>
                <w:highlight w:val="none"/>
              </w:rPr>
            </w:pPr>
          </w:p>
        </w:tc>
        <w:tc>
          <w:tcPr>
            <w:tcW w:w="502" w:type="pct"/>
            <w:vAlign w:val="center"/>
          </w:tcPr>
          <w:p w14:paraId="6895A115">
            <w:pPr>
              <w:keepNext/>
              <w:spacing w:line="360" w:lineRule="auto"/>
              <w:jc w:val="center"/>
              <w:rPr>
                <w:rFonts w:cs="宋体"/>
                <w:color w:val="auto"/>
                <w:sz w:val="24"/>
                <w:szCs w:val="24"/>
                <w:highlight w:val="none"/>
              </w:rPr>
            </w:pPr>
          </w:p>
        </w:tc>
        <w:tc>
          <w:tcPr>
            <w:tcW w:w="502" w:type="pct"/>
            <w:vAlign w:val="center"/>
          </w:tcPr>
          <w:p w14:paraId="5597519D">
            <w:pPr>
              <w:keepNext/>
              <w:spacing w:line="360" w:lineRule="auto"/>
              <w:jc w:val="center"/>
              <w:rPr>
                <w:rFonts w:cs="宋体"/>
                <w:color w:val="auto"/>
                <w:sz w:val="24"/>
                <w:szCs w:val="24"/>
                <w:highlight w:val="none"/>
              </w:rPr>
            </w:pPr>
          </w:p>
        </w:tc>
        <w:tc>
          <w:tcPr>
            <w:tcW w:w="1281" w:type="pct"/>
            <w:vAlign w:val="center"/>
          </w:tcPr>
          <w:p w14:paraId="7299263F">
            <w:pPr>
              <w:keepNext/>
              <w:spacing w:line="360" w:lineRule="auto"/>
              <w:jc w:val="center"/>
              <w:rPr>
                <w:rFonts w:cs="宋体"/>
                <w:color w:val="auto"/>
                <w:sz w:val="24"/>
                <w:szCs w:val="24"/>
                <w:highlight w:val="none"/>
              </w:rPr>
            </w:pPr>
          </w:p>
        </w:tc>
        <w:tc>
          <w:tcPr>
            <w:tcW w:w="1151" w:type="pct"/>
            <w:vAlign w:val="center"/>
          </w:tcPr>
          <w:p w14:paraId="2FA92384">
            <w:pPr>
              <w:keepNext/>
              <w:spacing w:line="360" w:lineRule="auto"/>
              <w:jc w:val="center"/>
              <w:rPr>
                <w:rFonts w:cs="宋体"/>
                <w:color w:val="auto"/>
                <w:sz w:val="24"/>
                <w:szCs w:val="24"/>
                <w:highlight w:val="none"/>
              </w:rPr>
            </w:pPr>
          </w:p>
        </w:tc>
      </w:tr>
      <w:tr w14:paraId="2327C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357C6B2">
            <w:pPr>
              <w:keepNext/>
              <w:spacing w:line="360" w:lineRule="auto"/>
              <w:jc w:val="center"/>
              <w:rPr>
                <w:rFonts w:cs="宋体"/>
                <w:color w:val="auto"/>
                <w:sz w:val="24"/>
                <w:szCs w:val="24"/>
                <w:highlight w:val="none"/>
              </w:rPr>
            </w:pPr>
          </w:p>
        </w:tc>
        <w:tc>
          <w:tcPr>
            <w:tcW w:w="627" w:type="pct"/>
            <w:vAlign w:val="center"/>
          </w:tcPr>
          <w:p w14:paraId="3FCD3DD8">
            <w:pPr>
              <w:keepNext/>
              <w:spacing w:line="360" w:lineRule="auto"/>
              <w:jc w:val="center"/>
              <w:rPr>
                <w:rFonts w:cs="宋体"/>
                <w:color w:val="auto"/>
                <w:sz w:val="24"/>
                <w:szCs w:val="24"/>
                <w:highlight w:val="none"/>
              </w:rPr>
            </w:pPr>
          </w:p>
        </w:tc>
        <w:tc>
          <w:tcPr>
            <w:tcW w:w="502" w:type="pct"/>
            <w:vAlign w:val="center"/>
          </w:tcPr>
          <w:p w14:paraId="314569AE">
            <w:pPr>
              <w:keepNext/>
              <w:spacing w:line="360" w:lineRule="auto"/>
              <w:jc w:val="center"/>
              <w:rPr>
                <w:rFonts w:cs="宋体"/>
                <w:color w:val="auto"/>
                <w:sz w:val="24"/>
                <w:szCs w:val="24"/>
                <w:highlight w:val="none"/>
              </w:rPr>
            </w:pPr>
          </w:p>
        </w:tc>
        <w:tc>
          <w:tcPr>
            <w:tcW w:w="502" w:type="pct"/>
            <w:vAlign w:val="center"/>
          </w:tcPr>
          <w:p w14:paraId="20B81D53">
            <w:pPr>
              <w:keepNext/>
              <w:spacing w:line="360" w:lineRule="auto"/>
              <w:jc w:val="center"/>
              <w:rPr>
                <w:rFonts w:cs="宋体"/>
                <w:color w:val="auto"/>
                <w:sz w:val="24"/>
                <w:szCs w:val="24"/>
                <w:highlight w:val="none"/>
              </w:rPr>
            </w:pPr>
          </w:p>
        </w:tc>
        <w:tc>
          <w:tcPr>
            <w:tcW w:w="1281" w:type="pct"/>
            <w:vAlign w:val="center"/>
          </w:tcPr>
          <w:p w14:paraId="063DB00E">
            <w:pPr>
              <w:keepNext/>
              <w:spacing w:line="360" w:lineRule="auto"/>
              <w:jc w:val="center"/>
              <w:rPr>
                <w:rFonts w:cs="宋体"/>
                <w:color w:val="auto"/>
                <w:sz w:val="24"/>
                <w:szCs w:val="24"/>
                <w:highlight w:val="none"/>
              </w:rPr>
            </w:pPr>
          </w:p>
        </w:tc>
        <w:tc>
          <w:tcPr>
            <w:tcW w:w="1151" w:type="pct"/>
            <w:vAlign w:val="center"/>
          </w:tcPr>
          <w:p w14:paraId="296659AD">
            <w:pPr>
              <w:keepNext/>
              <w:spacing w:line="360" w:lineRule="auto"/>
              <w:jc w:val="center"/>
              <w:rPr>
                <w:rFonts w:cs="宋体"/>
                <w:color w:val="auto"/>
                <w:sz w:val="24"/>
                <w:szCs w:val="24"/>
                <w:highlight w:val="none"/>
              </w:rPr>
            </w:pPr>
          </w:p>
        </w:tc>
      </w:tr>
      <w:tr w14:paraId="37133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456927F">
            <w:pPr>
              <w:keepNext/>
              <w:spacing w:line="360" w:lineRule="auto"/>
              <w:jc w:val="center"/>
              <w:rPr>
                <w:rFonts w:cs="宋体"/>
                <w:color w:val="auto"/>
                <w:sz w:val="24"/>
                <w:szCs w:val="24"/>
                <w:highlight w:val="none"/>
              </w:rPr>
            </w:pPr>
          </w:p>
        </w:tc>
        <w:tc>
          <w:tcPr>
            <w:tcW w:w="627" w:type="pct"/>
            <w:vAlign w:val="center"/>
          </w:tcPr>
          <w:p w14:paraId="4763E272">
            <w:pPr>
              <w:keepNext/>
              <w:spacing w:line="360" w:lineRule="auto"/>
              <w:jc w:val="center"/>
              <w:rPr>
                <w:rFonts w:cs="宋体"/>
                <w:color w:val="auto"/>
                <w:sz w:val="24"/>
                <w:szCs w:val="24"/>
                <w:highlight w:val="none"/>
              </w:rPr>
            </w:pPr>
          </w:p>
        </w:tc>
        <w:tc>
          <w:tcPr>
            <w:tcW w:w="502" w:type="pct"/>
            <w:vAlign w:val="center"/>
          </w:tcPr>
          <w:p w14:paraId="302A3032">
            <w:pPr>
              <w:keepNext/>
              <w:spacing w:line="360" w:lineRule="auto"/>
              <w:jc w:val="center"/>
              <w:rPr>
                <w:rFonts w:cs="宋体"/>
                <w:color w:val="auto"/>
                <w:sz w:val="24"/>
                <w:szCs w:val="24"/>
                <w:highlight w:val="none"/>
              </w:rPr>
            </w:pPr>
          </w:p>
        </w:tc>
        <w:tc>
          <w:tcPr>
            <w:tcW w:w="502" w:type="pct"/>
            <w:vAlign w:val="center"/>
          </w:tcPr>
          <w:p w14:paraId="6F1C86DA">
            <w:pPr>
              <w:keepNext/>
              <w:spacing w:line="360" w:lineRule="auto"/>
              <w:jc w:val="center"/>
              <w:rPr>
                <w:rFonts w:cs="宋体"/>
                <w:color w:val="auto"/>
                <w:sz w:val="24"/>
                <w:szCs w:val="24"/>
                <w:highlight w:val="none"/>
              </w:rPr>
            </w:pPr>
          </w:p>
        </w:tc>
        <w:tc>
          <w:tcPr>
            <w:tcW w:w="1281" w:type="pct"/>
            <w:vAlign w:val="center"/>
          </w:tcPr>
          <w:p w14:paraId="102A0016">
            <w:pPr>
              <w:keepNext/>
              <w:spacing w:line="360" w:lineRule="auto"/>
              <w:jc w:val="center"/>
              <w:rPr>
                <w:rFonts w:cs="宋体"/>
                <w:color w:val="auto"/>
                <w:sz w:val="24"/>
                <w:szCs w:val="24"/>
                <w:highlight w:val="none"/>
              </w:rPr>
            </w:pPr>
          </w:p>
        </w:tc>
        <w:tc>
          <w:tcPr>
            <w:tcW w:w="1151" w:type="pct"/>
            <w:vAlign w:val="center"/>
          </w:tcPr>
          <w:p w14:paraId="32E1ACC4">
            <w:pPr>
              <w:keepNext/>
              <w:spacing w:line="360" w:lineRule="auto"/>
              <w:jc w:val="center"/>
              <w:rPr>
                <w:rFonts w:cs="宋体"/>
                <w:color w:val="auto"/>
                <w:sz w:val="24"/>
                <w:szCs w:val="24"/>
                <w:highlight w:val="none"/>
              </w:rPr>
            </w:pPr>
          </w:p>
        </w:tc>
      </w:tr>
      <w:tr w14:paraId="1DA92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single" w:color="auto" w:sz="12" w:space="0"/>
            </w:tcBorders>
            <w:vAlign w:val="center"/>
          </w:tcPr>
          <w:p w14:paraId="1DECADEB">
            <w:pPr>
              <w:keepNext/>
              <w:spacing w:line="360" w:lineRule="auto"/>
              <w:jc w:val="center"/>
              <w:rPr>
                <w:rFonts w:cs="宋体"/>
                <w:color w:val="auto"/>
                <w:sz w:val="24"/>
                <w:szCs w:val="24"/>
                <w:highlight w:val="none"/>
              </w:rPr>
            </w:pPr>
          </w:p>
        </w:tc>
        <w:tc>
          <w:tcPr>
            <w:tcW w:w="627" w:type="pct"/>
            <w:tcBorders>
              <w:bottom w:val="single" w:color="auto" w:sz="12" w:space="0"/>
            </w:tcBorders>
            <w:vAlign w:val="center"/>
          </w:tcPr>
          <w:p w14:paraId="0B864E5F">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11F571B4">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128719D7">
            <w:pPr>
              <w:keepNext/>
              <w:spacing w:line="360" w:lineRule="auto"/>
              <w:jc w:val="center"/>
              <w:rPr>
                <w:rFonts w:cs="宋体"/>
                <w:color w:val="auto"/>
                <w:sz w:val="24"/>
                <w:szCs w:val="24"/>
                <w:highlight w:val="none"/>
              </w:rPr>
            </w:pPr>
          </w:p>
        </w:tc>
        <w:tc>
          <w:tcPr>
            <w:tcW w:w="1281" w:type="pct"/>
            <w:tcBorders>
              <w:bottom w:val="single" w:color="auto" w:sz="12" w:space="0"/>
            </w:tcBorders>
            <w:vAlign w:val="center"/>
          </w:tcPr>
          <w:p w14:paraId="0D471DA3">
            <w:pPr>
              <w:keepNext/>
              <w:spacing w:line="360" w:lineRule="auto"/>
              <w:jc w:val="center"/>
              <w:rPr>
                <w:rFonts w:cs="宋体"/>
                <w:color w:val="auto"/>
                <w:sz w:val="24"/>
                <w:szCs w:val="24"/>
                <w:highlight w:val="none"/>
              </w:rPr>
            </w:pPr>
          </w:p>
        </w:tc>
        <w:tc>
          <w:tcPr>
            <w:tcW w:w="1151" w:type="pct"/>
            <w:tcBorders>
              <w:bottom w:val="single" w:color="auto" w:sz="12" w:space="0"/>
            </w:tcBorders>
            <w:vAlign w:val="center"/>
          </w:tcPr>
          <w:p w14:paraId="565F5CD0">
            <w:pPr>
              <w:keepNext/>
              <w:spacing w:line="360" w:lineRule="auto"/>
              <w:jc w:val="center"/>
              <w:rPr>
                <w:rFonts w:cs="宋体"/>
                <w:color w:val="auto"/>
                <w:sz w:val="24"/>
                <w:szCs w:val="24"/>
                <w:highlight w:val="none"/>
              </w:rPr>
            </w:pPr>
          </w:p>
        </w:tc>
      </w:tr>
    </w:tbl>
    <w:p w14:paraId="177B223F">
      <w:pPr>
        <w:spacing w:before="312" w:beforeLines="100" w:after="312" w:afterLines="100"/>
        <w:outlineLvl w:val="9"/>
        <w:rPr>
          <w:rFonts w:hint="eastAsia" w:ascii="Times New Roman" w:eastAsia="黑体"/>
          <w:color w:val="auto"/>
          <w:sz w:val="24"/>
          <w:szCs w:val="24"/>
          <w:highlight w:val="none"/>
        </w:rPr>
      </w:pPr>
    </w:p>
    <w:p w14:paraId="3F46EA38">
      <w:pPr>
        <w:rPr>
          <w:rFonts w:hint="eastAsia" w:ascii="Times New Roman" w:eastAsia="黑体"/>
          <w:color w:val="auto"/>
          <w:sz w:val="24"/>
          <w:szCs w:val="24"/>
          <w:highlight w:val="none"/>
        </w:rPr>
      </w:pPr>
      <w:r>
        <w:rPr>
          <w:rFonts w:hint="eastAsia" w:ascii="Times New Roman" w:eastAsia="黑体"/>
          <w:color w:val="auto"/>
          <w:sz w:val="24"/>
          <w:szCs w:val="24"/>
          <w:highlight w:val="none"/>
        </w:rPr>
        <w:br w:type="page"/>
      </w:r>
    </w:p>
    <w:p w14:paraId="67A1F0A9">
      <w:pPr>
        <w:spacing w:before="312" w:beforeLines="100" w:after="312" w:afterLines="100"/>
        <w:outlineLvl w:val="2"/>
        <w:rPr>
          <w:rFonts w:hint="eastAsia" w:ascii="Times New Roman" w:eastAsia="黑体"/>
          <w:color w:val="auto"/>
          <w:sz w:val="24"/>
          <w:szCs w:val="24"/>
          <w:highlight w:val="none"/>
          <w:lang w:val="en-US" w:eastAsia="zh-CN"/>
        </w:rPr>
      </w:pPr>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6</w:t>
      </w:r>
      <w:r>
        <w:rPr>
          <w:rFonts w:hint="eastAsia" w:ascii="Times New Roman" w:eastAsia="黑体"/>
          <w:color w:val="auto"/>
          <w:sz w:val="24"/>
          <w:szCs w:val="24"/>
          <w:highlight w:val="none"/>
        </w:rPr>
        <w:t>：履约保证金</w:t>
      </w:r>
      <w:bookmarkEnd w:id="710"/>
      <w:r>
        <w:rPr>
          <w:rFonts w:hint="eastAsia" w:ascii="Times New Roman" w:eastAsia="黑体"/>
          <w:color w:val="auto"/>
          <w:sz w:val="24"/>
          <w:szCs w:val="24"/>
          <w:highlight w:val="none"/>
          <w:lang w:val="en-US" w:eastAsia="zh-CN"/>
        </w:rPr>
        <w:t>格式</w:t>
      </w:r>
    </w:p>
    <w:p w14:paraId="1FF6E4DC">
      <w:pPr>
        <w:spacing w:line="360" w:lineRule="auto"/>
        <w:jc w:val="center"/>
        <w:rPr>
          <w:rFonts w:cs="宋体"/>
          <w:b/>
          <w:bCs/>
          <w:color w:val="auto"/>
          <w:sz w:val="24"/>
          <w:szCs w:val="24"/>
          <w:highlight w:val="none"/>
        </w:rPr>
      </w:pPr>
      <w:r>
        <w:rPr>
          <w:rFonts w:hint="eastAsia" w:cs="宋体"/>
          <w:b/>
          <w:bCs/>
          <w:color w:val="auto"/>
          <w:sz w:val="24"/>
          <w:szCs w:val="24"/>
          <w:highlight w:val="none"/>
        </w:rPr>
        <w:t>履约保函示范文本</w:t>
      </w:r>
    </w:p>
    <w:p w14:paraId="4A65EB7B">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5434F8A3">
      <w:pPr>
        <w:spacing w:line="360" w:lineRule="auto"/>
        <w:rPr>
          <w:rFonts w:ascii="Times New Roman"/>
          <w:color w:val="auto"/>
          <w:sz w:val="24"/>
          <w:szCs w:val="24"/>
          <w:highlight w:val="none"/>
        </w:rPr>
      </w:pPr>
    </w:p>
    <w:p w14:paraId="651A2E71">
      <w:pPr>
        <w:spacing w:line="360" w:lineRule="auto"/>
        <w:rPr>
          <w:rFonts w:cs="宋体"/>
          <w:color w:val="auto"/>
          <w:sz w:val="24"/>
          <w:szCs w:val="24"/>
          <w:highlight w:val="none"/>
        </w:rPr>
      </w:pPr>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p w14:paraId="750EE979">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（以下简称“基础合同”），开立人根据基础合同了解到申请人为基础合同项下之</w:t>
      </w:r>
      <w:r>
        <w:rPr>
          <w:rFonts w:hint="eastAsia" w:cs="宋体"/>
          <w:color w:val="auto"/>
          <w:sz w:val="24"/>
          <w:szCs w:val="24"/>
          <w:highlight w:val="none"/>
          <w:lang w:eastAsia="zh-CN"/>
        </w:rPr>
        <w:t>乙方</w:t>
      </w:r>
      <w:r>
        <w:rPr>
          <w:rFonts w:hint="eastAsia" w:cs="宋体"/>
          <w:color w:val="auto"/>
          <w:sz w:val="24"/>
          <w:szCs w:val="24"/>
          <w:highlight w:val="none"/>
        </w:rPr>
        <w:t>，受益人为基础合同项下之</w:t>
      </w:r>
      <w:r>
        <w:rPr>
          <w:rFonts w:hint="eastAsia" w:cs="宋体"/>
          <w:color w:val="auto"/>
          <w:sz w:val="24"/>
          <w:szCs w:val="24"/>
          <w:highlight w:val="none"/>
          <w:lang w:eastAsia="zh-CN"/>
        </w:rPr>
        <w:t>甲方</w:t>
      </w:r>
      <w:r>
        <w:rPr>
          <w:rFonts w:hint="eastAsia" w:cs="宋体"/>
          <w:color w:val="auto"/>
          <w:sz w:val="24"/>
          <w:szCs w:val="24"/>
          <w:highlight w:val="none"/>
        </w:rPr>
        <w:t xml:space="preserve">，基于申请人的请求，开立人同意就申请人履行与受益人签订的基础合同项下的义务，向受益人提供不可撤销、不可转让的见索即付独立保函（以下简称“本保函”）。 </w:t>
      </w:r>
    </w:p>
    <w:p w14:paraId="58E9B231">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w:t>
      </w:r>
      <w:r>
        <w:rPr>
          <w:rFonts w:hint="eastAsia" w:cs="宋体"/>
          <w:color w:val="auto"/>
          <w:sz w:val="24"/>
          <w:szCs w:val="24"/>
          <w:highlight w:val="none"/>
          <w:lang w:eastAsia="zh-CN"/>
        </w:rPr>
        <w:t>乙方</w:t>
      </w:r>
      <w:r>
        <w:rPr>
          <w:rFonts w:hint="eastAsia" w:cs="宋体"/>
          <w:color w:val="auto"/>
          <w:sz w:val="24"/>
          <w:szCs w:val="24"/>
          <w:highlight w:val="none"/>
        </w:rPr>
        <w:t>未按照基础合同的约定履行义务，应当向受益人承担的违约责任和赔偿因此造成的损失、利息、律师费、诉讼费用等实现债权的费用。</w:t>
      </w:r>
    </w:p>
    <w:p w14:paraId="07535532">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2A6155AE">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三、本保函有效期自开立之日起至基础合同约定的缺陷责任期满之日止。 </w:t>
      </w:r>
    </w:p>
    <w:p w14:paraId="31D609CD">
      <w:pPr>
        <w:spacing w:line="360" w:lineRule="auto"/>
        <w:ind w:firstLine="480"/>
        <w:rPr>
          <w:rFonts w:cs="宋体"/>
          <w:color w:val="auto"/>
          <w:sz w:val="24"/>
          <w:szCs w:val="24"/>
          <w:highlight w:val="none"/>
        </w:rPr>
      </w:pPr>
      <w:bookmarkStart w:id="711" w:name="_Hlk40302764"/>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bookmarkEnd w:id="711"/>
    <w:p w14:paraId="779C0943">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6884EC2E">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4064DA4F">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01938A4A">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62B19B57">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3AF249FB">
      <w:pPr>
        <w:spacing w:line="360" w:lineRule="auto"/>
        <w:ind w:firstLine="480" w:firstLineChars="200"/>
        <w:rPr>
          <w:rFonts w:cs="宋体"/>
          <w:color w:val="auto"/>
          <w:sz w:val="24"/>
          <w:szCs w:val="24"/>
          <w:highlight w:val="none"/>
        </w:rPr>
      </w:pPr>
      <w:bookmarkStart w:id="712" w:name="_Hlk40303486"/>
      <w:r>
        <w:rPr>
          <w:rFonts w:hint="eastAsia" w:cs="宋体"/>
          <w:color w:val="auto"/>
          <w:sz w:val="24"/>
          <w:szCs w:val="24"/>
          <w:highlight w:val="none"/>
        </w:rPr>
        <w:t>受益人发出的书面付款通知应由其法定代表人（负责人）或授权代理人签字并加盖公章。</w:t>
      </w:r>
      <w:bookmarkEnd w:id="712"/>
    </w:p>
    <w:p w14:paraId="336627AF">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五、本保函项下的权利不得转让，不得设定担保。受益人未经我方书面同意转 让本保函或其项下任何权利，对我方不发生法律效力。 </w:t>
      </w:r>
    </w:p>
    <w:p w14:paraId="09AB1BC6">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六、与本保函有关的基础合同不成立、不生效、无效、被撤销、被解除，不影响本保函的独立有效。 </w:t>
      </w:r>
    </w:p>
    <w:p w14:paraId="181492C7">
      <w:pPr>
        <w:spacing w:line="360" w:lineRule="auto"/>
        <w:ind w:firstLine="480" w:firstLineChars="200"/>
        <w:rPr>
          <w:rFonts w:cs="宋体"/>
          <w:color w:val="auto"/>
          <w:sz w:val="24"/>
          <w:szCs w:val="24"/>
          <w:highlight w:val="none"/>
        </w:rPr>
      </w:pPr>
      <w:bookmarkStart w:id="713" w:name="_Hlk40303383"/>
      <w:bookmarkStart w:id="714" w:name="_Hlk40354981"/>
      <w:r>
        <w:rPr>
          <w:rFonts w:hint="eastAsia" w:cs="宋体"/>
          <w:color w:val="auto"/>
          <w:sz w:val="24"/>
          <w:szCs w:val="24"/>
          <w:highlight w:val="none"/>
        </w:rPr>
        <w:t xml:space="preserve">七、本保函项下的义务和责任均在保函有效期到期后自动消灭。 </w:t>
      </w:r>
    </w:p>
    <w:p w14:paraId="6F3A7379">
      <w:pPr>
        <w:spacing w:line="360" w:lineRule="auto"/>
        <w:ind w:firstLine="480" w:firstLineChars="200"/>
        <w:rPr>
          <w:rFonts w:cs="宋体"/>
          <w:color w:val="auto"/>
          <w:sz w:val="24"/>
          <w:szCs w:val="24"/>
          <w:highlight w:val="none"/>
        </w:rPr>
      </w:pPr>
      <w:r>
        <w:rPr>
          <w:rFonts w:hint="eastAsia" w:cs="宋体"/>
          <w:color w:val="auto"/>
          <w:sz w:val="24"/>
          <w:szCs w:val="24"/>
          <w:highlight w:val="none"/>
        </w:rPr>
        <w:t>八、本保函适用的法律为中华人民共和国法律，因本保函产生的纠纷案件，</w:t>
      </w:r>
      <w:bookmarkEnd w:id="713"/>
      <w:r>
        <w:rPr>
          <w:rFonts w:hint="eastAsia" w:cs="宋体"/>
          <w:color w:val="auto"/>
          <w:sz w:val="24"/>
          <w:szCs w:val="24"/>
          <w:highlight w:val="none"/>
        </w:rPr>
        <w:t xml:space="preserve">由受益人所在地人民法院管辖。 </w:t>
      </w:r>
    </w:p>
    <w:bookmarkEnd w:id="714"/>
    <w:p w14:paraId="6148AEE9">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3047D98C">
      <w:pPr>
        <w:spacing w:line="360" w:lineRule="auto"/>
        <w:ind w:firstLine="480" w:firstLineChars="200"/>
        <w:rPr>
          <w:rFonts w:cs="宋体"/>
          <w:color w:val="auto"/>
          <w:sz w:val="24"/>
          <w:szCs w:val="24"/>
          <w:highlight w:val="none"/>
        </w:rPr>
      </w:pPr>
    </w:p>
    <w:p w14:paraId="4376B3D1">
      <w:pPr>
        <w:spacing w:line="360" w:lineRule="auto"/>
        <w:ind w:firstLine="480" w:firstLineChars="200"/>
        <w:rPr>
          <w:rFonts w:cs="宋体"/>
          <w:color w:val="auto"/>
          <w:sz w:val="24"/>
          <w:szCs w:val="24"/>
          <w:highlight w:val="none"/>
        </w:rPr>
      </w:pPr>
    </w:p>
    <w:p w14:paraId="2028960A">
      <w:pPr>
        <w:spacing w:line="360" w:lineRule="auto"/>
        <w:ind w:firstLine="480" w:firstLineChars="200"/>
        <w:rPr>
          <w:rFonts w:cs="宋体"/>
          <w:color w:val="auto"/>
          <w:sz w:val="24"/>
          <w:szCs w:val="24"/>
          <w:highlight w:val="none"/>
        </w:rPr>
      </w:pPr>
    </w:p>
    <w:p w14:paraId="3D82363C">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61224A5C">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0F44C666">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1401CEFA">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1A76A684">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58E4A570">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13152C5F">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04BD18D3">
      <w:pPr>
        <w:spacing w:before="312" w:beforeLines="100" w:after="312" w:afterLines="100"/>
        <w:outlineLvl w:val="2"/>
        <w:rPr>
          <w:rFonts w:hint="eastAsia" w:ascii="Times New Roman" w:eastAsia="黑体"/>
          <w:color w:val="auto"/>
          <w:sz w:val="24"/>
          <w:szCs w:val="24"/>
          <w:highlight w:val="none"/>
          <w:lang w:val="en-US" w:eastAsia="zh-CN"/>
        </w:rPr>
      </w:pPr>
      <w:r>
        <w:rPr>
          <w:rFonts w:ascii="Times New Roman" w:eastAsia="黑体"/>
          <w:bCs/>
          <w:color w:val="auto"/>
          <w:sz w:val="24"/>
          <w:szCs w:val="24"/>
          <w:highlight w:val="none"/>
        </w:rPr>
        <w:br w:type="page"/>
      </w:r>
      <w:bookmarkStart w:id="715" w:name="_Toc128950245"/>
      <w:bookmarkStart w:id="716" w:name="_Toc296347231"/>
      <w:bookmarkStart w:id="717" w:name="_Toc296346733"/>
      <w:bookmarkStart w:id="718" w:name="_Toc296503232"/>
      <w:bookmarkStart w:id="719" w:name="_Toc296944571"/>
      <w:bookmarkStart w:id="720" w:name="_Toc267261702"/>
      <w:bookmarkStart w:id="721" w:name="_Toc296891060"/>
      <w:bookmarkStart w:id="722" w:name="_Toc296891272"/>
      <w:r>
        <w:rPr>
          <w:rFonts w:hint="eastAsia" w:ascii="Times New Roman" w:eastAsia="黑体"/>
          <w:color w:val="auto"/>
          <w:sz w:val="24"/>
          <w:szCs w:val="24"/>
          <w:highlight w:val="none"/>
        </w:rPr>
        <w:t>附件</w:t>
      </w:r>
      <w:r>
        <w:rPr>
          <w:rFonts w:hint="eastAsia" w:ascii="Times New Roman" w:eastAsia="黑体"/>
          <w:color w:val="auto"/>
          <w:sz w:val="24"/>
          <w:szCs w:val="24"/>
          <w:highlight w:val="none"/>
          <w:lang w:val="en-US" w:eastAsia="zh-CN"/>
        </w:rPr>
        <w:t>7</w:t>
      </w:r>
      <w:r>
        <w:rPr>
          <w:rFonts w:hint="eastAsia" w:ascii="Times New Roman" w:eastAsia="黑体"/>
          <w:color w:val="auto"/>
          <w:sz w:val="24"/>
          <w:szCs w:val="24"/>
          <w:highlight w:val="none"/>
        </w:rPr>
        <w:t>：预付款担保</w:t>
      </w:r>
      <w:bookmarkEnd w:id="715"/>
      <w:r>
        <w:rPr>
          <w:rFonts w:hint="eastAsia" w:ascii="Times New Roman" w:eastAsia="黑体"/>
          <w:color w:val="auto"/>
          <w:sz w:val="24"/>
          <w:szCs w:val="24"/>
          <w:highlight w:val="none"/>
          <w:lang w:val="en-US" w:eastAsia="zh-CN"/>
        </w:rPr>
        <w:t>格式</w:t>
      </w:r>
    </w:p>
    <w:bookmarkEnd w:id="716"/>
    <w:bookmarkEnd w:id="717"/>
    <w:bookmarkEnd w:id="718"/>
    <w:bookmarkEnd w:id="719"/>
    <w:bookmarkEnd w:id="720"/>
    <w:bookmarkEnd w:id="721"/>
    <w:bookmarkEnd w:id="722"/>
    <w:p w14:paraId="25F32637">
      <w:pPr>
        <w:spacing w:line="360" w:lineRule="auto"/>
        <w:jc w:val="center"/>
        <w:rPr>
          <w:rFonts w:cs="宋体"/>
          <w:b/>
          <w:bCs/>
          <w:color w:val="auto"/>
          <w:sz w:val="24"/>
          <w:szCs w:val="24"/>
          <w:highlight w:val="none"/>
        </w:rPr>
      </w:pPr>
      <w:r>
        <w:rPr>
          <w:rFonts w:hint="eastAsia" w:cs="宋体"/>
          <w:b/>
          <w:bCs/>
          <w:color w:val="auto"/>
          <w:sz w:val="24"/>
          <w:szCs w:val="24"/>
          <w:highlight w:val="none"/>
        </w:rPr>
        <w:t>预付款保函示范文本</w:t>
      </w:r>
    </w:p>
    <w:p w14:paraId="794B9EC3">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32FB03D4">
      <w:pPr>
        <w:spacing w:line="360" w:lineRule="auto"/>
        <w:rPr>
          <w:rFonts w:ascii="Times New Roman"/>
          <w:color w:val="auto"/>
          <w:sz w:val="24"/>
          <w:szCs w:val="24"/>
          <w:highlight w:val="none"/>
        </w:rPr>
      </w:pPr>
    </w:p>
    <w:p w14:paraId="4BE452F4">
      <w:pPr>
        <w:spacing w:line="360" w:lineRule="auto"/>
        <w:rPr>
          <w:rFonts w:cs="宋体"/>
          <w:color w:val="auto"/>
          <w:sz w:val="24"/>
          <w:szCs w:val="24"/>
          <w:highlight w:val="none"/>
        </w:rPr>
      </w:pPr>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p w14:paraId="72C08DB9">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（以下简称“基础合同”），开立人根据主合同了解到申请人为主合同项下之</w:t>
      </w:r>
      <w:r>
        <w:rPr>
          <w:rFonts w:hint="eastAsia" w:cs="宋体"/>
          <w:color w:val="auto"/>
          <w:sz w:val="24"/>
          <w:szCs w:val="24"/>
          <w:highlight w:val="none"/>
          <w:lang w:eastAsia="zh-CN"/>
        </w:rPr>
        <w:t>乙方</w:t>
      </w:r>
      <w:r>
        <w:rPr>
          <w:rFonts w:hint="eastAsia" w:cs="宋体"/>
          <w:color w:val="auto"/>
          <w:sz w:val="24"/>
          <w:szCs w:val="24"/>
          <w:highlight w:val="none"/>
        </w:rPr>
        <w:t>，受益人为主合同项下之</w:t>
      </w:r>
      <w:r>
        <w:rPr>
          <w:rFonts w:hint="eastAsia" w:cs="宋体"/>
          <w:color w:val="auto"/>
          <w:sz w:val="24"/>
          <w:szCs w:val="24"/>
          <w:highlight w:val="none"/>
          <w:lang w:eastAsia="zh-CN"/>
        </w:rPr>
        <w:t>甲方</w:t>
      </w:r>
      <w:r>
        <w:rPr>
          <w:rFonts w:hint="eastAsia" w:cs="宋体"/>
          <w:color w:val="auto"/>
          <w:sz w:val="24"/>
          <w:szCs w:val="24"/>
          <w:highlight w:val="none"/>
        </w:rPr>
        <w:t xml:space="preserve">，基于申请人的请求，开立人同意就申请人按照合同约定正确和合理地为合同目的使用预付款，向受益人提供不可撤销、不可转让的见索即付独立保函（以下简称“本保函”）。 </w:t>
      </w:r>
    </w:p>
    <w:p w14:paraId="14221B65">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一、本保函担保范围：申请人未按照合同约定正确和合理地为合同目的使用预付款，应当向受益人承担的违约责任和赔偿因此造成的损失、利息、律师费、诉讼费用等实现债权的费用。</w:t>
      </w:r>
    </w:p>
    <w:p w14:paraId="1E779036">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0172F691">
      <w:pPr>
        <w:spacing w:line="360" w:lineRule="auto"/>
        <w:ind w:firstLine="480" w:firstLineChars="200"/>
        <w:rPr>
          <w:rFonts w:cs="宋体"/>
          <w:color w:val="auto"/>
          <w:sz w:val="24"/>
          <w:szCs w:val="24"/>
          <w:highlight w:val="none"/>
        </w:rPr>
      </w:pPr>
      <w:r>
        <w:rPr>
          <w:rFonts w:hint="eastAsia" w:cs="宋体"/>
          <w:color w:val="auto"/>
          <w:sz w:val="24"/>
          <w:szCs w:val="24"/>
          <w:highlight w:val="none"/>
        </w:rPr>
        <w:t>三、本保函有效期自开立之日起至</w:t>
      </w:r>
      <w:r>
        <w:rPr>
          <w:rFonts w:hint="eastAsia" w:cs="宋体"/>
          <w:color w:val="auto"/>
          <w:sz w:val="24"/>
          <w:szCs w:val="24"/>
          <w:highlight w:val="none"/>
          <w:lang w:eastAsia="zh-CN"/>
        </w:rPr>
        <w:t>甲方</w:t>
      </w:r>
      <w:r>
        <w:rPr>
          <w:rFonts w:hint="eastAsia" w:cs="宋体"/>
          <w:color w:val="auto"/>
          <w:sz w:val="24"/>
          <w:szCs w:val="24"/>
          <w:highlight w:val="none"/>
        </w:rPr>
        <w:t>全额扣回预付款之日止。</w:t>
      </w:r>
    </w:p>
    <w:p w14:paraId="6ECE675D">
      <w:pPr>
        <w:spacing w:line="400" w:lineRule="exact"/>
        <w:ind w:firstLine="480"/>
        <w:rPr>
          <w:rFonts w:cs="宋体"/>
          <w:color w:val="auto"/>
          <w:sz w:val="24"/>
          <w:szCs w:val="24"/>
          <w:highlight w:val="none"/>
        </w:rPr>
      </w:pPr>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p w14:paraId="719DDA22">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020FDE53">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5AE73373">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2E6858A9">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1AF7328B">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71F779C7">
      <w:pPr>
        <w:spacing w:line="400" w:lineRule="exact"/>
        <w:rPr>
          <w:rFonts w:cs="宋体"/>
          <w:color w:val="auto"/>
          <w:sz w:val="24"/>
          <w:szCs w:val="24"/>
          <w:highlight w:val="none"/>
        </w:rPr>
      </w:pPr>
      <w:r>
        <w:rPr>
          <w:rFonts w:hint="eastAsia" w:cs="宋体"/>
          <w:color w:val="auto"/>
          <w:sz w:val="24"/>
          <w:szCs w:val="24"/>
          <w:highlight w:val="none"/>
        </w:rPr>
        <w:t xml:space="preserve">    受益人发出的书面付款通知应由其法定代表人（负责人）或授权代理人签字并加盖公章。</w:t>
      </w:r>
    </w:p>
    <w:p w14:paraId="4453014A">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五、本保函项下的权利不得转让，不得设定担保。受益人未经开立人书面同意转让本保函或其项下任何权利，对开立人不发生法律效力。 </w:t>
      </w:r>
    </w:p>
    <w:p w14:paraId="6711411C">
      <w:pPr>
        <w:spacing w:line="400" w:lineRule="exact"/>
        <w:ind w:firstLine="480" w:firstLineChars="200"/>
        <w:rPr>
          <w:rStyle w:val="64"/>
          <w:rFonts w:cs="宋体"/>
          <w:color w:val="auto"/>
          <w:sz w:val="24"/>
          <w:szCs w:val="24"/>
          <w:highlight w:val="none"/>
        </w:rPr>
      </w:pPr>
      <w:r>
        <w:rPr>
          <w:rFonts w:hint="eastAsia" w:cs="宋体"/>
          <w:color w:val="auto"/>
          <w:sz w:val="24"/>
          <w:szCs w:val="24"/>
          <w:highlight w:val="none"/>
        </w:rPr>
        <w:t>六、本保函项下的基础交易不成立、不生效、无效、被撤销、被解除，不影响本保函的独立有效。</w:t>
      </w:r>
    </w:p>
    <w:p w14:paraId="76E29CBD">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七、本保函项下的义务和责任均在保函有效期到期后自动消灭。 </w:t>
      </w:r>
    </w:p>
    <w:p w14:paraId="5FAFE93F">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八、本保函适用的法律为中华人民共和国法律，因本保函产生的纠纷案件，由受益人所在地人民法院管辖。 </w:t>
      </w:r>
    </w:p>
    <w:p w14:paraId="3406CB45">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50C893E3">
      <w:pPr>
        <w:spacing w:line="360" w:lineRule="auto"/>
        <w:ind w:firstLine="480" w:firstLineChars="200"/>
        <w:rPr>
          <w:rFonts w:cs="宋体"/>
          <w:color w:val="auto"/>
          <w:sz w:val="24"/>
          <w:szCs w:val="24"/>
          <w:highlight w:val="none"/>
        </w:rPr>
      </w:pPr>
    </w:p>
    <w:p w14:paraId="7B69F6AF">
      <w:pPr>
        <w:spacing w:line="360" w:lineRule="auto"/>
        <w:ind w:firstLine="480" w:firstLineChars="200"/>
        <w:rPr>
          <w:rFonts w:cs="宋体"/>
          <w:color w:val="auto"/>
          <w:sz w:val="24"/>
          <w:szCs w:val="24"/>
          <w:highlight w:val="none"/>
        </w:rPr>
      </w:pPr>
    </w:p>
    <w:p w14:paraId="52E25BFA">
      <w:pPr>
        <w:spacing w:line="360" w:lineRule="auto"/>
        <w:ind w:firstLine="480" w:firstLineChars="200"/>
        <w:rPr>
          <w:rFonts w:cs="宋体"/>
          <w:color w:val="auto"/>
          <w:sz w:val="24"/>
          <w:szCs w:val="24"/>
          <w:highlight w:val="none"/>
        </w:rPr>
      </w:pPr>
    </w:p>
    <w:p w14:paraId="3235147B">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7F0B251F">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6CC91F5E">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61453CF3">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0D864887">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4F34DB24">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31C35331">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0C10550A">
      <w:pPr>
        <w:spacing w:before="312" w:beforeLines="100" w:after="312" w:afterLines="100"/>
        <w:outlineLvl w:val="2"/>
        <w:rPr>
          <w:rFonts w:hint="eastAsia" w:ascii="Times New Roman" w:eastAsia="黑体"/>
          <w:color w:val="auto"/>
          <w:sz w:val="24"/>
          <w:szCs w:val="24"/>
          <w:highlight w:val="none"/>
          <w:lang w:val="en-US" w:eastAsia="zh-CN"/>
        </w:rPr>
      </w:pPr>
      <w:r>
        <w:rPr>
          <w:rFonts w:ascii="Times New Roman" w:eastAsia="黑体"/>
          <w:b/>
          <w:bCs/>
          <w:color w:val="auto"/>
          <w:sz w:val="24"/>
          <w:szCs w:val="24"/>
          <w:highlight w:val="none"/>
        </w:rPr>
        <w:br w:type="page"/>
      </w:r>
      <w:bookmarkStart w:id="723" w:name="_Toc128950246"/>
      <w:r>
        <w:rPr>
          <w:rFonts w:hint="eastAsia" w:ascii="Times New Roman" w:eastAsia="黑体"/>
          <w:color w:val="auto"/>
          <w:sz w:val="24"/>
          <w:szCs w:val="24"/>
          <w:highlight w:val="none"/>
        </w:rPr>
        <w:t>附</w:t>
      </w:r>
      <w:bookmarkStart w:id="724" w:name="_Toc296891273"/>
      <w:bookmarkStart w:id="725" w:name="_Toc296891061"/>
      <w:bookmarkStart w:id="726" w:name="_Toc296944572"/>
      <w:bookmarkStart w:id="727" w:name="_Toc296503233"/>
      <w:bookmarkStart w:id="728" w:name="_Toc296347232"/>
      <w:bookmarkStart w:id="729" w:name="_Toc296346734"/>
      <w:r>
        <w:rPr>
          <w:rFonts w:hint="eastAsia" w:ascii="Times New Roman" w:eastAsia="黑体"/>
          <w:color w:val="auto"/>
          <w:sz w:val="24"/>
          <w:szCs w:val="24"/>
          <w:highlight w:val="none"/>
        </w:rPr>
        <w:t>件</w:t>
      </w:r>
      <w:r>
        <w:rPr>
          <w:rFonts w:hint="eastAsia" w:ascii="Times New Roman" w:eastAsia="黑体"/>
          <w:color w:val="auto"/>
          <w:sz w:val="24"/>
          <w:szCs w:val="24"/>
          <w:highlight w:val="none"/>
          <w:lang w:val="en-US" w:eastAsia="zh-CN"/>
        </w:rPr>
        <w:t>8</w:t>
      </w:r>
      <w:r>
        <w:rPr>
          <w:rFonts w:hint="eastAsia" w:ascii="Times New Roman" w:eastAsia="黑体"/>
          <w:color w:val="auto"/>
          <w:sz w:val="24"/>
          <w:szCs w:val="24"/>
          <w:highlight w:val="none"/>
        </w:rPr>
        <w:t>：支付担保</w:t>
      </w:r>
      <w:bookmarkEnd w:id="723"/>
      <w:bookmarkEnd w:id="724"/>
      <w:bookmarkEnd w:id="725"/>
      <w:bookmarkEnd w:id="726"/>
      <w:bookmarkEnd w:id="727"/>
      <w:bookmarkEnd w:id="728"/>
      <w:bookmarkEnd w:id="729"/>
      <w:r>
        <w:rPr>
          <w:rFonts w:hint="eastAsia" w:ascii="Times New Roman" w:eastAsia="黑体"/>
          <w:color w:val="auto"/>
          <w:sz w:val="24"/>
          <w:szCs w:val="24"/>
          <w:highlight w:val="none"/>
          <w:lang w:val="en-US" w:eastAsia="zh-CN"/>
        </w:rPr>
        <w:t>格式</w:t>
      </w:r>
    </w:p>
    <w:p w14:paraId="59611CD0">
      <w:pPr>
        <w:spacing w:line="360" w:lineRule="auto"/>
        <w:jc w:val="center"/>
        <w:rPr>
          <w:rFonts w:cs="宋体"/>
          <w:b/>
          <w:bCs/>
          <w:color w:val="auto"/>
          <w:sz w:val="24"/>
          <w:szCs w:val="24"/>
          <w:highlight w:val="none"/>
        </w:rPr>
      </w:pPr>
      <w:r>
        <w:rPr>
          <w:rFonts w:hint="eastAsia" w:cs="宋体"/>
          <w:b/>
          <w:bCs/>
          <w:color w:val="auto"/>
          <w:sz w:val="24"/>
          <w:szCs w:val="24"/>
          <w:highlight w:val="none"/>
        </w:rPr>
        <w:t>支付保函示范文本</w:t>
      </w:r>
    </w:p>
    <w:p w14:paraId="2644530D">
      <w:pPr>
        <w:wordWrap w:val="0"/>
        <w:spacing w:line="360" w:lineRule="auto"/>
        <w:jc w:val="right"/>
        <w:rPr>
          <w:rFonts w:ascii="Times New Roman"/>
          <w:color w:val="auto"/>
          <w:sz w:val="24"/>
          <w:szCs w:val="24"/>
          <w:highlight w:val="none"/>
        </w:rPr>
      </w:pPr>
      <w:r>
        <w:rPr>
          <w:rFonts w:hint="eastAsia" w:ascii="Times New Roman"/>
          <w:color w:val="auto"/>
          <w:sz w:val="24"/>
          <w:szCs w:val="24"/>
          <w:highlight w:val="none"/>
        </w:rPr>
        <w:t>编号：</w:t>
      </w:r>
      <w:r>
        <w:rPr>
          <w:rFonts w:hint="eastAsia" w:ascii="Times New Roman"/>
          <w:color w:val="auto"/>
          <w:sz w:val="24"/>
          <w:szCs w:val="24"/>
          <w:highlight w:val="none"/>
          <w:u w:val="single"/>
        </w:rPr>
        <w:t xml:space="preserve"> </w:t>
      </w:r>
      <w:r>
        <w:rPr>
          <w:rFonts w:ascii="Times New Roman"/>
          <w:color w:val="auto"/>
          <w:sz w:val="24"/>
          <w:szCs w:val="24"/>
          <w:highlight w:val="none"/>
          <w:u w:val="single"/>
        </w:rPr>
        <w:t xml:space="preserve">          </w:t>
      </w:r>
    </w:p>
    <w:p w14:paraId="0A8C97E5">
      <w:pPr>
        <w:spacing w:line="360" w:lineRule="auto"/>
        <w:rPr>
          <w:rFonts w:ascii="Times New Roman"/>
          <w:color w:val="auto"/>
          <w:sz w:val="24"/>
          <w:szCs w:val="24"/>
          <w:highlight w:val="none"/>
        </w:rPr>
      </w:pPr>
    </w:p>
    <w:p w14:paraId="22BD80F6">
      <w:pPr>
        <w:spacing w:line="360" w:lineRule="auto"/>
        <w:rPr>
          <w:rFonts w:cs="宋体"/>
          <w:color w:val="auto"/>
          <w:sz w:val="24"/>
          <w:szCs w:val="24"/>
          <w:highlight w:val="none"/>
        </w:rPr>
      </w:pPr>
      <w:bookmarkStart w:id="730" w:name="_Hlk40355074"/>
      <w:r>
        <w:rPr>
          <w:rFonts w:hint="eastAsia" w:cs="宋体"/>
          <w:color w:val="auto"/>
          <w:sz w:val="24"/>
          <w:szCs w:val="24"/>
          <w:highlight w:val="none"/>
          <w:u w:val="single"/>
        </w:rPr>
        <w:t xml:space="preserve">              </w:t>
      </w:r>
      <w:r>
        <w:rPr>
          <w:rFonts w:hint="eastAsia" w:cs="宋体"/>
          <w:color w:val="auto"/>
          <w:sz w:val="24"/>
          <w:szCs w:val="24"/>
          <w:highlight w:val="none"/>
        </w:rPr>
        <w:t xml:space="preserve">（受益人名称）： </w:t>
      </w:r>
    </w:p>
    <w:bookmarkEnd w:id="730"/>
    <w:p w14:paraId="16687A55">
      <w:pPr>
        <w:spacing w:line="360" w:lineRule="auto"/>
        <w:ind w:firstLine="480" w:firstLineChars="200"/>
        <w:rPr>
          <w:rFonts w:cs="宋体"/>
          <w:color w:val="auto"/>
          <w:sz w:val="24"/>
          <w:szCs w:val="24"/>
          <w:highlight w:val="none"/>
        </w:rPr>
      </w:pPr>
      <w:r>
        <w:rPr>
          <w:rFonts w:hint="eastAsia" w:cs="宋体"/>
          <w:color w:val="auto"/>
          <w:sz w:val="24"/>
          <w:szCs w:val="24"/>
          <w:highlight w:val="none"/>
        </w:rPr>
        <w:t>鉴于</w:t>
      </w:r>
      <w:r>
        <w:rPr>
          <w:rFonts w:hint="eastAsia" w:cs="宋体"/>
          <w:color w:val="auto"/>
          <w:sz w:val="24"/>
          <w:szCs w:val="24"/>
          <w:highlight w:val="none"/>
          <w:u w:val="single"/>
        </w:rPr>
        <w:t xml:space="preserve">        </w:t>
      </w:r>
      <w:r>
        <w:rPr>
          <w:rFonts w:hint="eastAsia" w:cs="宋体"/>
          <w:color w:val="auto"/>
          <w:sz w:val="24"/>
          <w:szCs w:val="24"/>
          <w:highlight w:val="none"/>
        </w:rPr>
        <w:t>（以下简称“受益人”）与</w:t>
      </w:r>
      <w:r>
        <w:rPr>
          <w:rFonts w:hint="eastAsia" w:cs="宋体"/>
          <w:color w:val="auto"/>
          <w:sz w:val="24"/>
          <w:szCs w:val="24"/>
          <w:highlight w:val="none"/>
          <w:u w:val="single"/>
        </w:rPr>
        <w:t xml:space="preserve">         </w:t>
      </w:r>
      <w:r>
        <w:rPr>
          <w:rFonts w:hint="eastAsia" w:cs="宋体"/>
          <w:color w:val="auto"/>
          <w:sz w:val="24"/>
          <w:szCs w:val="24"/>
          <w:highlight w:val="none"/>
        </w:rPr>
        <w:t>（以下简称“申请人”）于</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日就</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（项目编号）的</w:t>
      </w:r>
      <w:r>
        <w:rPr>
          <w:rFonts w:hint="eastAsia" w:cs="宋体"/>
          <w:snapToGrid w:val="0"/>
          <w:color w:val="auto"/>
          <w:sz w:val="24"/>
          <w:szCs w:val="24"/>
          <w:highlight w:val="none"/>
          <w:u w:val="single"/>
        </w:rPr>
        <w:t xml:space="preserve">         </w:t>
      </w:r>
      <w:r>
        <w:rPr>
          <w:rFonts w:hint="eastAsia" w:cs="宋体"/>
          <w:snapToGrid w:val="0"/>
          <w:color w:val="auto"/>
          <w:sz w:val="24"/>
          <w:szCs w:val="24"/>
          <w:highlight w:val="none"/>
        </w:rPr>
        <w:t>（项目名称）</w:t>
      </w:r>
      <w:r>
        <w:rPr>
          <w:rFonts w:hint="eastAsia" w:cs="宋体"/>
          <w:color w:val="auto"/>
          <w:sz w:val="24"/>
          <w:szCs w:val="24"/>
          <w:highlight w:val="none"/>
        </w:rPr>
        <w:t>有关事项协商一致共同签订</w:t>
      </w:r>
      <w:r>
        <w:rPr>
          <w:rFonts w:hint="eastAsia" w:cs="宋体"/>
          <w:color w:val="auto"/>
          <w:sz w:val="24"/>
          <w:szCs w:val="24"/>
          <w:highlight w:val="none"/>
          <w:u w:val="single"/>
        </w:rPr>
        <w:t>《        》</w:t>
      </w:r>
      <w:r>
        <w:rPr>
          <w:rFonts w:hint="eastAsia" w:cs="宋体"/>
          <w:color w:val="auto"/>
          <w:sz w:val="24"/>
          <w:szCs w:val="24"/>
          <w:highlight w:val="none"/>
        </w:rPr>
        <w:t>（以下简称基础合同”），开立人根据基础合同了解到申请人为基础合同项下之</w:t>
      </w:r>
      <w:r>
        <w:rPr>
          <w:rFonts w:hint="eastAsia" w:cs="宋体"/>
          <w:color w:val="auto"/>
          <w:sz w:val="24"/>
          <w:szCs w:val="24"/>
          <w:highlight w:val="none"/>
          <w:lang w:eastAsia="zh-CN"/>
        </w:rPr>
        <w:t>甲方</w:t>
      </w:r>
      <w:r>
        <w:rPr>
          <w:rFonts w:hint="eastAsia" w:cs="宋体"/>
          <w:color w:val="auto"/>
          <w:sz w:val="24"/>
          <w:szCs w:val="24"/>
          <w:highlight w:val="none"/>
        </w:rPr>
        <w:t>，受益人为基础合同项下之</w:t>
      </w:r>
      <w:r>
        <w:rPr>
          <w:rFonts w:hint="eastAsia" w:cs="宋体"/>
          <w:color w:val="auto"/>
          <w:sz w:val="24"/>
          <w:szCs w:val="24"/>
          <w:highlight w:val="none"/>
          <w:lang w:eastAsia="zh-CN"/>
        </w:rPr>
        <w:t>乙方</w:t>
      </w:r>
      <w:r>
        <w:rPr>
          <w:rFonts w:hint="eastAsia" w:cs="宋体"/>
          <w:color w:val="auto"/>
          <w:sz w:val="24"/>
          <w:szCs w:val="24"/>
          <w:highlight w:val="none"/>
        </w:rPr>
        <w:t xml:space="preserve">，基于申请人的请求，开立人同意就申请人履行与受益人签订的基础合同项下的工程款（指基础合同约定的除工程质量保修金以外的工程款）付款义务，向受益人提供不可撤销、不可转让的见索即付独立保函（以下简称“本保函”）。 </w:t>
      </w:r>
    </w:p>
    <w:p w14:paraId="660E3430">
      <w:pPr>
        <w:spacing w:line="360" w:lineRule="auto"/>
        <w:ind w:firstLine="480" w:firstLineChars="200"/>
        <w:rPr>
          <w:rFonts w:cs="宋体"/>
          <w:color w:val="auto"/>
          <w:sz w:val="24"/>
          <w:szCs w:val="24"/>
          <w:highlight w:val="none"/>
        </w:rPr>
      </w:pPr>
      <w:r>
        <w:rPr>
          <w:rFonts w:hint="eastAsia" w:cs="宋体"/>
          <w:color w:val="auto"/>
          <w:sz w:val="24"/>
          <w:szCs w:val="24"/>
          <w:highlight w:val="none"/>
        </w:rPr>
        <w:t>一、本保函担保范围：申请人未履行基础合同约定的工程款支付义务，应当向受益人承担的违约责任和赔偿因此造成的损失、利息、律师费、诉讼费用等实现债权的费用。</w:t>
      </w:r>
    </w:p>
    <w:p w14:paraId="13D7CC7C">
      <w:pPr>
        <w:spacing w:line="360" w:lineRule="auto"/>
        <w:ind w:firstLine="480" w:firstLineChars="200"/>
        <w:rPr>
          <w:rFonts w:cs="宋体"/>
          <w:color w:val="auto"/>
          <w:sz w:val="24"/>
          <w:szCs w:val="24"/>
          <w:highlight w:val="none"/>
        </w:rPr>
      </w:pPr>
      <w:r>
        <w:rPr>
          <w:rFonts w:hint="eastAsia" w:cs="宋体"/>
          <w:color w:val="auto"/>
          <w:sz w:val="24"/>
          <w:szCs w:val="24"/>
          <w:highlight w:val="none"/>
        </w:rPr>
        <w:t>二、本保函担保金额最高不超过人民币（大写）</w:t>
      </w:r>
      <w:r>
        <w:rPr>
          <w:rFonts w:hint="eastAsia" w:cs="宋体"/>
          <w:color w:val="auto"/>
          <w:sz w:val="24"/>
          <w:szCs w:val="24"/>
          <w:highlight w:val="none"/>
          <w:u w:val="single"/>
        </w:rPr>
        <w:t xml:space="preserve">          </w:t>
      </w:r>
      <w:r>
        <w:rPr>
          <w:rFonts w:hint="eastAsia" w:cs="宋体"/>
          <w:color w:val="auto"/>
          <w:sz w:val="24"/>
          <w:szCs w:val="24"/>
          <w:highlight w:val="none"/>
        </w:rPr>
        <w:t>元（¥</w:t>
      </w:r>
      <w:r>
        <w:rPr>
          <w:rFonts w:hint="eastAsia" w:cs="宋体"/>
          <w:color w:val="auto"/>
          <w:sz w:val="24"/>
          <w:szCs w:val="24"/>
          <w:highlight w:val="none"/>
          <w:u w:val="single"/>
        </w:rPr>
        <w:t xml:space="preserve">       </w:t>
      </w:r>
      <w:r>
        <w:rPr>
          <w:rFonts w:hint="eastAsia" w:cs="宋体"/>
          <w:color w:val="auto"/>
          <w:sz w:val="24"/>
          <w:szCs w:val="24"/>
          <w:highlight w:val="none"/>
        </w:rPr>
        <w:t xml:space="preserve">）。 </w:t>
      </w:r>
    </w:p>
    <w:p w14:paraId="698A45CD">
      <w:pPr>
        <w:spacing w:line="360" w:lineRule="auto"/>
        <w:ind w:firstLine="480" w:firstLineChars="200"/>
        <w:rPr>
          <w:rFonts w:cs="宋体"/>
          <w:color w:val="auto"/>
          <w:sz w:val="24"/>
          <w:szCs w:val="24"/>
          <w:highlight w:val="none"/>
        </w:rPr>
      </w:pPr>
      <w:r>
        <w:rPr>
          <w:rFonts w:hint="eastAsia" w:cs="宋体"/>
          <w:color w:val="auto"/>
          <w:sz w:val="24"/>
          <w:szCs w:val="24"/>
          <w:highlight w:val="none"/>
        </w:rPr>
        <w:t>三、本保函有效期自开立之日起至基础合同约定的除工程质量保修金以外的全部工程结算款项支付之日后</w:t>
      </w:r>
      <w:r>
        <w:rPr>
          <w:rFonts w:hint="eastAsia" w:cs="宋体"/>
          <w:color w:val="auto"/>
          <w:sz w:val="24"/>
          <w:szCs w:val="24"/>
          <w:highlight w:val="none"/>
          <w:u w:val="single"/>
        </w:rPr>
        <w:t xml:space="preserve">    </w:t>
      </w:r>
      <w:r>
        <w:rPr>
          <w:rFonts w:hint="eastAsia" w:cs="宋体"/>
          <w:color w:val="auto"/>
          <w:sz w:val="24"/>
          <w:szCs w:val="24"/>
          <w:highlight w:val="none"/>
        </w:rPr>
        <w:t xml:space="preserve">日止。 </w:t>
      </w:r>
    </w:p>
    <w:p w14:paraId="2A7AD649">
      <w:pPr>
        <w:spacing w:line="400" w:lineRule="exact"/>
        <w:ind w:firstLine="480"/>
        <w:rPr>
          <w:rFonts w:cs="宋体"/>
          <w:color w:val="auto"/>
          <w:sz w:val="24"/>
          <w:szCs w:val="24"/>
          <w:highlight w:val="none"/>
        </w:rPr>
      </w:pPr>
      <w:r>
        <w:rPr>
          <w:rFonts w:hint="eastAsia" w:cs="宋体"/>
          <w:color w:val="auto"/>
          <w:sz w:val="24"/>
          <w:szCs w:val="24"/>
          <w:highlight w:val="none"/>
        </w:rPr>
        <w:t>四、开立人承诺，在收到受益人发来的书面付款通知后的七日内无条件支付，前述书面付款通知即为付款要求之单据，且应满足以下要求：</w:t>
      </w:r>
    </w:p>
    <w:p w14:paraId="6E291E50">
      <w:pPr>
        <w:spacing w:line="360" w:lineRule="auto"/>
        <w:ind w:firstLine="480" w:firstLineChars="200"/>
        <w:rPr>
          <w:rFonts w:cs="宋体"/>
          <w:color w:val="auto"/>
          <w:sz w:val="24"/>
          <w:szCs w:val="24"/>
          <w:highlight w:val="none"/>
        </w:rPr>
      </w:pPr>
      <w:r>
        <w:rPr>
          <w:rFonts w:hint="eastAsia" w:cs="宋体"/>
          <w:color w:val="auto"/>
          <w:sz w:val="24"/>
          <w:szCs w:val="24"/>
          <w:highlight w:val="none"/>
        </w:rPr>
        <w:t>（1）付款通知到达的日期在本保函的有效期内；</w:t>
      </w:r>
    </w:p>
    <w:p w14:paraId="486B82D7">
      <w:pPr>
        <w:spacing w:line="360" w:lineRule="auto"/>
        <w:ind w:firstLine="480" w:firstLineChars="200"/>
        <w:rPr>
          <w:rFonts w:cs="宋体"/>
          <w:color w:val="auto"/>
          <w:sz w:val="24"/>
          <w:szCs w:val="24"/>
          <w:highlight w:val="none"/>
        </w:rPr>
      </w:pPr>
      <w:r>
        <w:rPr>
          <w:rFonts w:hint="eastAsia" w:cs="宋体"/>
          <w:color w:val="auto"/>
          <w:sz w:val="24"/>
          <w:szCs w:val="24"/>
          <w:highlight w:val="none"/>
        </w:rPr>
        <w:t>（2）载明要求支付的金额；</w:t>
      </w:r>
    </w:p>
    <w:p w14:paraId="3905EAF3">
      <w:pPr>
        <w:spacing w:line="360" w:lineRule="auto"/>
        <w:ind w:firstLine="480" w:firstLineChars="200"/>
        <w:rPr>
          <w:rFonts w:cs="宋体"/>
          <w:color w:val="auto"/>
          <w:sz w:val="24"/>
          <w:szCs w:val="24"/>
          <w:highlight w:val="none"/>
        </w:rPr>
      </w:pPr>
      <w:r>
        <w:rPr>
          <w:rFonts w:hint="eastAsia" w:cs="宋体"/>
          <w:color w:val="auto"/>
          <w:sz w:val="24"/>
          <w:szCs w:val="24"/>
          <w:highlight w:val="none"/>
        </w:rPr>
        <w:t>（3）载明申请人违反合同义务的条款和内容；</w:t>
      </w:r>
    </w:p>
    <w:p w14:paraId="7E266599">
      <w:pPr>
        <w:spacing w:line="360" w:lineRule="auto"/>
        <w:ind w:firstLine="480" w:firstLineChars="200"/>
        <w:rPr>
          <w:rFonts w:cs="宋体"/>
          <w:color w:val="auto"/>
          <w:sz w:val="24"/>
          <w:szCs w:val="24"/>
          <w:highlight w:val="none"/>
        </w:rPr>
      </w:pPr>
      <w:r>
        <w:rPr>
          <w:rFonts w:hint="eastAsia" w:cs="宋体"/>
          <w:color w:val="auto"/>
          <w:sz w:val="24"/>
          <w:szCs w:val="24"/>
          <w:highlight w:val="none"/>
        </w:rPr>
        <w:t>（4）声明不存在合同文件约定或我国法律规定免除申请人或开立人支付责任的情形；</w:t>
      </w:r>
    </w:p>
    <w:p w14:paraId="4311470C">
      <w:pPr>
        <w:spacing w:line="360" w:lineRule="auto"/>
        <w:ind w:firstLine="480" w:firstLineChars="200"/>
        <w:rPr>
          <w:rFonts w:cs="宋体"/>
          <w:color w:val="auto"/>
          <w:sz w:val="24"/>
          <w:szCs w:val="24"/>
          <w:highlight w:val="none"/>
        </w:rPr>
      </w:pPr>
      <w:r>
        <w:rPr>
          <w:rFonts w:hint="eastAsia" w:cs="宋体"/>
          <w:color w:val="auto"/>
          <w:sz w:val="24"/>
          <w:szCs w:val="24"/>
          <w:highlight w:val="none"/>
        </w:rPr>
        <w:t>（5）付款通知应在本保函有效期内到达的地址是：</w:t>
      </w:r>
      <w:r>
        <w:rPr>
          <w:rFonts w:hint="eastAsia" w:cs="宋体"/>
          <w:color w:val="auto"/>
          <w:sz w:val="24"/>
          <w:szCs w:val="24"/>
          <w:highlight w:val="none"/>
          <w:u w:val="single"/>
        </w:rPr>
        <w:t xml:space="preserve">             </w:t>
      </w:r>
      <w:r>
        <w:rPr>
          <w:rFonts w:hint="eastAsia" w:cs="宋体"/>
          <w:color w:val="auto"/>
          <w:sz w:val="24"/>
          <w:szCs w:val="24"/>
          <w:highlight w:val="none"/>
        </w:rPr>
        <w:t>。</w:t>
      </w:r>
    </w:p>
    <w:p w14:paraId="4F9B2A97">
      <w:pPr>
        <w:spacing w:line="400" w:lineRule="exact"/>
        <w:rPr>
          <w:rFonts w:cs="宋体"/>
          <w:color w:val="auto"/>
          <w:sz w:val="24"/>
          <w:szCs w:val="24"/>
          <w:highlight w:val="none"/>
        </w:rPr>
      </w:pPr>
      <w:r>
        <w:rPr>
          <w:rFonts w:hint="eastAsia" w:cs="宋体"/>
          <w:color w:val="auto"/>
          <w:sz w:val="24"/>
          <w:szCs w:val="24"/>
          <w:highlight w:val="none"/>
        </w:rPr>
        <w:t xml:space="preserve">    受益人发出的书面付款通知应由其法定代表人（负责人）或授权代理人签字并加盖公章。</w:t>
      </w:r>
    </w:p>
    <w:p w14:paraId="58298140">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五、本保函项下的权利不得转让，不得设定担保。受益人未经开立人书面同意转让本保函或其项下任何权利，对开立人不发生法律效力。 </w:t>
      </w:r>
    </w:p>
    <w:p w14:paraId="13C0848B">
      <w:pPr>
        <w:spacing w:line="400" w:lineRule="exact"/>
        <w:ind w:firstLine="480" w:firstLineChars="200"/>
        <w:rPr>
          <w:rStyle w:val="64"/>
          <w:rFonts w:cs="宋体"/>
          <w:color w:val="auto"/>
          <w:sz w:val="24"/>
          <w:szCs w:val="24"/>
          <w:highlight w:val="none"/>
        </w:rPr>
      </w:pPr>
      <w:r>
        <w:rPr>
          <w:rFonts w:hint="eastAsia" w:cs="宋体"/>
          <w:color w:val="auto"/>
          <w:sz w:val="24"/>
          <w:szCs w:val="24"/>
          <w:highlight w:val="none"/>
        </w:rPr>
        <w:t>六、本保函项下的基础交易不成立、不生效、无效、被撤销、被解除，不影响本保函的独立有效。</w:t>
      </w:r>
    </w:p>
    <w:p w14:paraId="5C70E9FC">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七、本保函项下的义务和责任均在保函有效期到期后自动消灭。 </w:t>
      </w:r>
    </w:p>
    <w:p w14:paraId="3AF0CD6F">
      <w:pPr>
        <w:spacing w:line="400" w:lineRule="exact"/>
        <w:ind w:firstLine="480" w:firstLineChars="200"/>
        <w:rPr>
          <w:rFonts w:cs="宋体"/>
          <w:color w:val="auto"/>
          <w:sz w:val="24"/>
          <w:szCs w:val="24"/>
          <w:highlight w:val="none"/>
        </w:rPr>
      </w:pPr>
      <w:r>
        <w:rPr>
          <w:rFonts w:hint="eastAsia" w:cs="宋体"/>
          <w:color w:val="auto"/>
          <w:sz w:val="24"/>
          <w:szCs w:val="24"/>
          <w:highlight w:val="none"/>
        </w:rPr>
        <w:t xml:space="preserve">八、本保函适用的法律为中华人民共和国法律，因本保函产生的纠纷案件，由申请人所在地人民法院管辖。 </w:t>
      </w:r>
    </w:p>
    <w:p w14:paraId="526B1B3A">
      <w:pPr>
        <w:spacing w:line="360" w:lineRule="auto"/>
        <w:ind w:firstLine="480" w:firstLineChars="200"/>
        <w:rPr>
          <w:rFonts w:cs="宋体"/>
          <w:color w:val="auto"/>
          <w:sz w:val="24"/>
          <w:szCs w:val="24"/>
          <w:highlight w:val="none"/>
        </w:rPr>
      </w:pPr>
      <w:r>
        <w:rPr>
          <w:rFonts w:hint="eastAsia" w:cs="宋体"/>
          <w:color w:val="auto"/>
          <w:sz w:val="24"/>
          <w:szCs w:val="24"/>
          <w:highlight w:val="none"/>
        </w:rPr>
        <w:t xml:space="preserve">九、本保函自我方法定代表人或授权代表签字并加盖公章之日起生效。 </w:t>
      </w:r>
    </w:p>
    <w:p w14:paraId="1ABF8DB2">
      <w:pPr>
        <w:spacing w:line="360" w:lineRule="auto"/>
        <w:ind w:firstLine="480" w:firstLineChars="200"/>
        <w:rPr>
          <w:rFonts w:cs="宋体"/>
          <w:color w:val="auto"/>
          <w:sz w:val="24"/>
          <w:szCs w:val="24"/>
          <w:highlight w:val="none"/>
        </w:rPr>
      </w:pPr>
    </w:p>
    <w:p w14:paraId="1FB6F575">
      <w:pPr>
        <w:spacing w:line="360" w:lineRule="auto"/>
        <w:ind w:firstLine="480" w:firstLineChars="200"/>
        <w:rPr>
          <w:rFonts w:cs="宋体"/>
          <w:color w:val="auto"/>
          <w:sz w:val="24"/>
          <w:szCs w:val="24"/>
          <w:highlight w:val="none"/>
        </w:rPr>
      </w:pPr>
    </w:p>
    <w:p w14:paraId="3E401839">
      <w:pPr>
        <w:spacing w:line="360" w:lineRule="auto"/>
        <w:ind w:firstLine="480" w:firstLineChars="200"/>
        <w:rPr>
          <w:rFonts w:cs="宋体"/>
          <w:color w:val="auto"/>
          <w:sz w:val="24"/>
          <w:szCs w:val="24"/>
          <w:highlight w:val="none"/>
        </w:rPr>
      </w:pPr>
      <w:r>
        <w:rPr>
          <w:rFonts w:hint="eastAsia" w:cs="宋体"/>
          <w:color w:val="auto"/>
          <w:sz w:val="24"/>
          <w:szCs w:val="24"/>
          <w:highlight w:val="none"/>
        </w:rPr>
        <w:t>开 立 人：</w:t>
      </w:r>
      <w:r>
        <w:rPr>
          <w:rFonts w:hint="eastAsia" w:cs="宋体"/>
          <w:color w:val="auto"/>
          <w:sz w:val="24"/>
          <w:szCs w:val="24"/>
          <w:highlight w:val="none"/>
          <w:u w:val="single"/>
        </w:rPr>
        <w:t xml:space="preserve">                              </w:t>
      </w:r>
      <w:r>
        <w:rPr>
          <w:rFonts w:hint="eastAsia" w:cs="宋体"/>
          <w:color w:val="auto"/>
          <w:sz w:val="24"/>
          <w:szCs w:val="24"/>
          <w:highlight w:val="none"/>
        </w:rPr>
        <w:t xml:space="preserve">（公章） </w:t>
      </w:r>
    </w:p>
    <w:p w14:paraId="107B9E7F">
      <w:pPr>
        <w:spacing w:line="360" w:lineRule="auto"/>
        <w:ind w:firstLine="480" w:firstLineChars="200"/>
        <w:rPr>
          <w:rFonts w:cs="宋体"/>
          <w:color w:val="auto"/>
          <w:sz w:val="24"/>
          <w:szCs w:val="24"/>
          <w:highlight w:val="none"/>
        </w:rPr>
      </w:pPr>
      <w:r>
        <w:rPr>
          <w:rFonts w:hint="eastAsia" w:cs="宋体"/>
          <w:color w:val="auto"/>
          <w:sz w:val="24"/>
          <w:szCs w:val="24"/>
          <w:highlight w:val="none"/>
        </w:rPr>
        <w:t>法定代表人（或授权代表）：</w:t>
      </w:r>
      <w:r>
        <w:rPr>
          <w:rFonts w:hint="eastAsia" w:cs="宋体"/>
          <w:color w:val="auto"/>
          <w:sz w:val="24"/>
          <w:szCs w:val="24"/>
          <w:highlight w:val="none"/>
          <w:u w:val="single"/>
        </w:rPr>
        <w:t xml:space="preserve">               </w:t>
      </w:r>
      <w:r>
        <w:rPr>
          <w:rFonts w:hint="eastAsia" w:cs="宋体"/>
          <w:color w:val="auto"/>
          <w:sz w:val="24"/>
          <w:szCs w:val="24"/>
          <w:highlight w:val="none"/>
        </w:rPr>
        <w:t xml:space="preserve">（签字） </w:t>
      </w:r>
    </w:p>
    <w:p w14:paraId="29AF9BC5">
      <w:pPr>
        <w:spacing w:line="360" w:lineRule="auto"/>
        <w:ind w:firstLine="480" w:firstLineChars="200"/>
        <w:rPr>
          <w:rFonts w:cs="宋体"/>
          <w:color w:val="auto"/>
          <w:sz w:val="24"/>
          <w:szCs w:val="24"/>
          <w:highlight w:val="none"/>
        </w:rPr>
      </w:pPr>
      <w:r>
        <w:rPr>
          <w:rFonts w:hint="eastAsia" w:cs="宋体"/>
          <w:color w:val="auto"/>
          <w:sz w:val="24"/>
          <w:szCs w:val="24"/>
          <w:highlight w:val="none"/>
        </w:rPr>
        <w:t>地    址：</w:t>
      </w:r>
      <w:r>
        <w:rPr>
          <w:rFonts w:hint="eastAsia" w:cs="宋体"/>
          <w:color w:val="auto"/>
          <w:sz w:val="24"/>
          <w:szCs w:val="24"/>
          <w:highlight w:val="none"/>
          <w:u w:val="single"/>
        </w:rPr>
        <w:t xml:space="preserve">                                       </w:t>
      </w:r>
    </w:p>
    <w:p w14:paraId="72B55B4F">
      <w:pPr>
        <w:spacing w:line="360" w:lineRule="auto"/>
        <w:ind w:firstLine="480" w:firstLineChars="200"/>
        <w:rPr>
          <w:rFonts w:cs="宋体"/>
          <w:color w:val="auto"/>
          <w:sz w:val="24"/>
          <w:szCs w:val="24"/>
          <w:highlight w:val="none"/>
        </w:rPr>
      </w:pPr>
      <w:r>
        <w:rPr>
          <w:rFonts w:hint="eastAsia" w:cs="宋体"/>
          <w:color w:val="auto"/>
          <w:sz w:val="24"/>
          <w:szCs w:val="24"/>
          <w:highlight w:val="none"/>
        </w:rPr>
        <w:t>邮政编码：</w:t>
      </w:r>
      <w:r>
        <w:rPr>
          <w:rFonts w:hint="eastAsia" w:cs="宋体"/>
          <w:color w:val="auto"/>
          <w:sz w:val="24"/>
          <w:szCs w:val="24"/>
          <w:highlight w:val="none"/>
          <w:u w:val="single"/>
        </w:rPr>
        <w:t xml:space="preserve">                 </w:t>
      </w:r>
    </w:p>
    <w:p w14:paraId="5E347ED0">
      <w:pPr>
        <w:spacing w:line="360" w:lineRule="auto"/>
        <w:ind w:firstLine="480" w:firstLineChars="200"/>
        <w:rPr>
          <w:rFonts w:cs="宋体"/>
          <w:color w:val="auto"/>
          <w:sz w:val="24"/>
          <w:szCs w:val="24"/>
          <w:highlight w:val="none"/>
        </w:rPr>
      </w:pPr>
      <w:r>
        <w:rPr>
          <w:rFonts w:hint="eastAsia" w:cs="宋体"/>
          <w:color w:val="auto"/>
          <w:sz w:val="24"/>
          <w:szCs w:val="24"/>
          <w:highlight w:val="none"/>
        </w:rPr>
        <w:t>电    话：</w:t>
      </w:r>
      <w:r>
        <w:rPr>
          <w:rFonts w:hint="eastAsia" w:cs="宋体"/>
          <w:color w:val="auto"/>
          <w:sz w:val="24"/>
          <w:szCs w:val="24"/>
          <w:highlight w:val="none"/>
          <w:u w:val="single"/>
        </w:rPr>
        <w:t xml:space="preserve">                 </w:t>
      </w:r>
    </w:p>
    <w:p w14:paraId="46131B60">
      <w:pPr>
        <w:spacing w:line="360" w:lineRule="auto"/>
        <w:ind w:firstLine="480" w:firstLineChars="200"/>
        <w:rPr>
          <w:rFonts w:cs="宋体"/>
          <w:color w:val="auto"/>
          <w:sz w:val="24"/>
          <w:szCs w:val="24"/>
          <w:highlight w:val="none"/>
          <w:u w:val="single"/>
        </w:rPr>
      </w:pPr>
      <w:r>
        <w:rPr>
          <w:rFonts w:hint="eastAsia" w:cs="宋体"/>
          <w:color w:val="auto"/>
          <w:sz w:val="24"/>
          <w:szCs w:val="24"/>
          <w:highlight w:val="none"/>
        </w:rPr>
        <w:t>传    真：</w:t>
      </w:r>
      <w:r>
        <w:rPr>
          <w:rFonts w:hint="eastAsia" w:cs="宋体"/>
          <w:color w:val="auto"/>
          <w:sz w:val="24"/>
          <w:szCs w:val="24"/>
          <w:highlight w:val="none"/>
          <w:u w:val="single"/>
        </w:rPr>
        <w:t xml:space="preserve">                 </w:t>
      </w:r>
    </w:p>
    <w:p w14:paraId="4E197674">
      <w:pPr>
        <w:spacing w:line="360" w:lineRule="auto"/>
        <w:ind w:left="1432" w:leftChars="200" w:hanging="1032" w:hangingChars="430"/>
        <w:rPr>
          <w:rFonts w:cs="宋体"/>
          <w:color w:val="auto"/>
          <w:sz w:val="24"/>
          <w:szCs w:val="24"/>
          <w:highlight w:val="none"/>
        </w:rPr>
      </w:pPr>
      <w:r>
        <w:rPr>
          <w:rFonts w:hint="eastAsia" w:cs="宋体"/>
          <w:color w:val="auto"/>
          <w:sz w:val="24"/>
          <w:szCs w:val="24"/>
          <w:highlight w:val="none"/>
        </w:rPr>
        <w:t>开立时间：</w:t>
      </w:r>
      <w:r>
        <w:rPr>
          <w:rFonts w:hint="eastAsia" w:cs="宋体"/>
          <w:color w:val="auto"/>
          <w:sz w:val="24"/>
          <w:szCs w:val="24"/>
          <w:highlight w:val="none"/>
          <w:u w:val="single"/>
        </w:rPr>
        <w:t xml:space="preserve">      </w:t>
      </w:r>
      <w:r>
        <w:rPr>
          <w:rFonts w:hint="eastAsia" w:cs="宋体"/>
          <w:color w:val="auto"/>
          <w:sz w:val="24"/>
          <w:szCs w:val="24"/>
          <w:highlight w:val="none"/>
        </w:rPr>
        <w:t>年</w:t>
      </w:r>
      <w:r>
        <w:rPr>
          <w:rFonts w:hint="eastAsia" w:cs="宋体"/>
          <w:color w:val="auto"/>
          <w:sz w:val="24"/>
          <w:szCs w:val="24"/>
          <w:highlight w:val="none"/>
          <w:u w:val="single"/>
        </w:rPr>
        <w:t xml:space="preserve">      </w:t>
      </w:r>
      <w:r>
        <w:rPr>
          <w:rFonts w:hint="eastAsia" w:cs="宋体"/>
          <w:color w:val="auto"/>
          <w:sz w:val="24"/>
          <w:szCs w:val="24"/>
          <w:highlight w:val="none"/>
        </w:rPr>
        <w:t>月</w:t>
      </w:r>
      <w:r>
        <w:rPr>
          <w:rFonts w:hint="eastAsia" w:cs="宋体"/>
          <w:color w:val="auto"/>
          <w:sz w:val="24"/>
          <w:szCs w:val="24"/>
          <w:highlight w:val="none"/>
          <w:u w:val="single"/>
        </w:rPr>
        <w:t xml:space="preserve">    </w:t>
      </w:r>
      <w:r>
        <w:rPr>
          <w:rFonts w:hint="eastAsia" w:cs="宋体"/>
          <w:color w:val="auto"/>
          <w:sz w:val="24"/>
          <w:szCs w:val="24"/>
          <w:highlight w:val="none"/>
        </w:rPr>
        <w:t>日</w:t>
      </w:r>
    </w:p>
    <w:p w14:paraId="5AA0B158">
      <w:pPr>
        <w:widowControl/>
        <w:jc w:val="left"/>
        <w:rPr>
          <w:b/>
          <w:color w:val="auto"/>
          <w:sz w:val="24"/>
          <w:highlight w:val="none"/>
        </w:rPr>
      </w:pPr>
    </w:p>
    <w:p w14:paraId="7E20A599">
      <w:pPr>
        <w:rPr>
          <w:rFonts w:hint="eastAsia" w:asciiTheme="minorEastAsia" w:hAnsiTheme="minorEastAsia" w:eastAsiaTheme="minorEastAsia"/>
          <w:b/>
          <w:color w:val="auto"/>
          <w:sz w:val="28"/>
          <w:highlight w:val="none"/>
        </w:rPr>
      </w:pPr>
      <w:bookmarkStart w:id="731" w:name="_Toc22734"/>
      <w:r>
        <w:rPr>
          <w:rFonts w:hint="eastAsia" w:asciiTheme="minorEastAsia" w:hAnsiTheme="minorEastAsia" w:eastAsiaTheme="minorEastAsia"/>
          <w:b/>
          <w:color w:val="auto"/>
          <w:sz w:val="28"/>
          <w:highlight w:val="none"/>
        </w:rPr>
        <w:br w:type="page"/>
      </w:r>
    </w:p>
    <w:p w14:paraId="1EFDC3E0">
      <w:pPr>
        <w:spacing w:line="360" w:lineRule="auto"/>
        <w:jc w:val="center"/>
        <w:outlineLvl w:val="0"/>
        <w:rPr>
          <w:rFonts w:asciiTheme="minorEastAsia" w:hAnsiTheme="minorEastAsia" w:eastAsiaTheme="minorEastAsia"/>
          <w:b/>
          <w:color w:val="auto"/>
          <w:sz w:val="28"/>
          <w:highlight w:val="none"/>
        </w:rPr>
      </w:pPr>
      <w:r>
        <w:rPr>
          <w:rFonts w:hint="eastAsia" w:asciiTheme="minorEastAsia" w:hAnsiTheme="minorEastAsia" w:eastAsiaTheme="minorEastAsia"/>
          <w:b/>
          <w:color w:val="auto"/>
          <w:sz w:val="28"/>
          <w:highlight w:val="none"/>
        </w:rPr>
        <w:t>第六章  响应文件格式</w:t>
      </w:r>
      <w:bookmarkEnd w:id="731"/>
    </w:p>
    <w:p w14:paraId="10A9C689">
      <w:pPr>
        <w:spacing w:line="900" w:lineRule="exact"/>
        <w:jc w:val="center"/>
        <w:rPr>
          <w:rFonts w:asciiTheme="minorEastAsia" w:hAnsiTheme="minorEastAsia" w:eastAsiaTheme="minorEastAsia"/>
          <w:b/>
          <w:color w:val="auto"/>
          <w:sz w:val="72"/>
          <w:highlight w:val="none"/>
        </w:rPr>
      </w:pPr>
    </w:p>
    <w:p w14:paraId="710B9A45">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响</w:t>
      </w:r>
    </w:p>
    <w:p w14:paraId="5415C6C7">
      <w:pPr>
        <w:spacing w:line="900" w:lineRule="exact"/>
        <w:jc w:val="center"/>
        <w:outlineLvl w:val="9"/>
        <w:rPr>
          <w:rFonts w:asciiTheme="minorEastAsia" w:hAnsiTheme="minorEastAsia" w:eastAsiaTheme="minorEastAsia"/>
          <w:b/>
          <w:color w:val="auto"/>
          <w:sz w:val="72"/>
          <w:highlight w:val="none"/>
        </w:rPr>
      </w:pPr>
    </w:p>
    <w:p w14:paraId="7A503332">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应</w:t>
      </w:r>
    </w:p>
    <w:p w14:paraId="15939596">
      <w:pPr>
        <w:spacing w:line="900" w:lineRule="exact"/>
        <w:jc w:val="center"/>
        <w:outlineLvl w:val="9"/>
        <w:rPr>
          <w:rFonts w:asciiTheme="minorEastAsia" w:hAnsiTheme="minorEastAsia" w:eastAsiaTheme="minorEastAsia"/>
          <w:b/>
          <w:color w:val="auto"/>
          <w:sz w:val="72"/>
          <w:highlight w:val="none"/>
        </w:rPr>
      </w:pPr>
    </w:p>
    <w:p w14:paraId="49EB1076">
      <w:pPr>
        <w:spacing w:line="900" w:lineRule="exact"/>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文</w:t>
      </w:r>
    </w:p>
    <w:p w14:paraId="1CE01770">
      <w:pPr>
        <w:spacing w:line="900" w:lineRule="exact"/>
        <w:jc w:val="center"/>
        <w:outlineLvl w:val="9"/>
        <w:rPr>
          <w:rFonts w:asciiTheme="minorEastAsia" w:hAnsiTheme="minorEastAsia" w:eastAsiaTheme="minorEastAsia"/>
          <w:b/>
          <w:color w:val="auto"/>
          <w:sz w:val="72"/>
          <w:highlight w:val="none"/>
        </w:rPr>
      </w:pPr>
    </w:p>
    <w:p w14:paraId="5D42CFB8">
      <w:pPr>
        <w:jc w:val="center"/>
        <w:outlineLvl w:val="9"/>
        <w:rPr>
          <w:rFonts w:asciiTheme="minorEastAsia" w:hAnsiTheme="minorEastAsia" w:eastAsiaTheme="minorEastAsia"/>
          <w:b/>
          <w:color w:val="auto"/>
          <w:sz w:val="72"/>
          <w:highlight w:val="none"/>
        </w:rPr>
      </w:pPr>
      <w:r>
        <w:rPr>
          <w:rFonts w:hint="eastAsia" w:asciiTheme="minorEastAsia" w:hAnsiTheme="minorEastAsia" w:eastAsiaTheme="minorEastAsia"/>
          <w:b/>
          <w:color w:val="auto"/>
          <w:sz w:val="72"/>
          <w:highlight w:val="none"/>
        </w:rPr>
        <w:t>件</w:t>
      </w:r>
    </w:p>
    <w:p w14:paraId="339DAA0E">
      <w:pPr>
        <w:spacing w:after="156" w:afterLines="50"/>
        <w:jc w:val="center"/>
        <w:outlineLvl w:val="9"/>
        <w:rPr>
          <w:rFonts w:asciiTheme="minorEastAsia" w:hAnsiTheme="minorEastAsia" w:eastAsiaTheme="minorEastAsia"/>
          <w:b/>
          <w:color w:val="auto"/>
          <w:sz w:val="72"/>
          <w:highlight w:val="none"/>
        </w:rPr>
      </w:pPr>
    </w:p>
    <w:p w14:paraId="3F64F14C">
      <w:pPr>
        <w:spacing w:before="156" w:beforeLines="50" w:after="156" w:afterLines="50"/>
        <w:jc w:val="center"/>
        <w:outlineLvl w:val="9"/>
        <w:rPr>
          <w:rFonts w:asciiTheme="minorEastAsia" w:hAnsiTheme="minorEastAsia" w:eastAsiaTheme="minorEastAsia"/>
          <w:b/>
          <w:color w:val="auto"/>
          <w:sz w:val="32"/>
          <w:szCs w:val="32"/>
          <w:highlight w:val="none"/>
        </w:rPr>
      </w:pPr>
      <w:bookmarkStart w:id="732" w:name="_Toc18747"/>
      <w:bookmarkStart w:id="733" w:name="_Toc231"/>
      <w:r>
        <w:rPr>
          <w:rFonts w:hint="eastAsia" w:asciiTheme="minorEastAsia" w:hAnsiTheme="minorEastAsia" w:eastAsiaTheme="minorEastAsia"/>
          <w:b/>
          <w:color w:val="auto"/>
          <w:sz w:val="32"/>
          <w:szCs w:val="32"/>
          <w:highlight w:val="none"/>
        </w:rPr>
        <w:t>【第</w:t>
      </w:r>
      <w:r>
        <w:rPr>
          <w:rFonts w:hint="eastAsia" w:asciiTheme="minorEastAsia" w:hAnsiTheme="minorEastAsia" w:eastAsiaTheme="minorEastAsia"/>
          <w:b/>
          <w:color w:val="auto"/>
          <w:sz w:val="32"/>
          <w:szCs w:val="32"/>
          <w:highlight w:val="none"/>
          <w:u w:val="single"/>
        </w:rPr>
        <w:t xml:space="preserve">   </w:t>
      </w:r>
      <w:r>
        <w:rPr>
          <w:rFonts w:hint="eastAsia" w:asciiTheme="minorEastAsia" w:hAnsiTheme="minorEastAsia" w:eastAsiaTheme="minorEastAsia"/>
          <w:b/>
          <w:color w:val="auto"/>
          <w:sz w:val="32"/>
          <w:szCs w:val="32"/>
          <w:highlight w:val="none"/>
        </w:rPr>
        <w:t>包】</w:t>
      </w:r>
      <w:bookmarkEnd w:id="732"/>
      <w:bookmarkEnd w:id="733"/>
    </w:p>
    <w:p w14:paraId="58835D4A">
      <w:pPr>
        <w:spacing w:after="156" w:afterLines="50" w:line="500" w:lineRule="exact"/>
        <w:jc w:val="center"/>
        <w:outlineLvl w:val="9"/>
        <w:rPr>
          <w:rFonts w:asciiTheme="minorEastAsia" w:hAnsiTheme="minorEastAsia" w:eastAsiaTheme="minorEastAsia"/>
          <w:b/>
          <w:color w:val="auto"/>
          <w:sz w:val="28"/>
          <w:szCs w:val="28"/>
          <w:highlight w:val="none"/>
        </w:rPr>
      </w:pPr>
    </w:p>
    <w:p w14:paraId="415E8CAB">
      <w:pPr>
        <w:tabs>
          <w:tab w:val="left" w:pos="2410"/>
        </w:tabs>
        <w:autoSpaceDE w:val="0"/>
        <w:autoSpaceDN w:val="0"/>
        <w:adjustRightInd w:val="0"/>
        <w:snapToGrid w:val="0"/>
        <w:spacing w:line="360" w:lineRule="auto"/>
        <w:jc w:val="both"/>
        <w:outlineLvl w:val="9"/>
        <w:rPr>
          <w:rFonts w:hint="default" w:ascii="宋体" w:hAnsi="宋体" w:eastAsiaTheme="minorEastAsia"/>
          <w:b/>
          <w:color w:val="auto"/>
          <w:spacing w:val="20"/>
          <w:kern w:val="0"/>
          <w:sz w:val="32"/>
          <w:szCs w:val="32"/>
          <w:highlight w:val="none"/>
          <w:lang w:val="en-US" w:eastAsia="zh-CN"/>
        </w:rPr>
      </w:pPr>
      <w:r>
        <w:rPr>
          <w:rFonts w:hint="eastAsia" w:asciiTheme="minorEastAsia" w:hAnsiTheme="minorEastAsia" w:eastAsiaTheme="minorEastAsia"/>
          <w:b/>
          <w:color w:val="auto"/>
          <w:sz w:val="32"/>
          <w:highlight w:val="none"/>
        </w:rPr>
        <w:t>项目名称：</w:t>
      </w:r>
      <w:r>
        <w:rPr>
          <w:rFonts w:hint="eastAsia" w:asciiTheme="minorEastAsia" w:hAnsiTheme="minorEastAsia" w:eastAsiaTheme="minorEastAsia"/>
          <w:b/>
          <w:color w:val="auto"/>
          <w:sz w:val="32"/>
          <w:highlight w:val="none"/>
          <w:u w:val="single"/>
        </w:rPr>
        <w:t>2026年省淮河局堤防日常维护项目</w:t>
      </w:r>
      <w:r>
        <w:rPr>
          <w:rFonts w:hint="eastAsia" w:asciiTheme="minorEastAsia" w:hAnsiTheme="minorEastAsia" w:eastAsiaTheme="minorEastAsia"/>
          <w:b/>
          <w:color w:val="auto"/>
          <w:sz w:val="32"/>
          <w:highlight w:val="none"/>
          <w:u w:val="single"/>
          <w:lang w:eastAsia="zh-CN"/>
        </w:rPr>
        <w:t>（</w:t>
      </w:r>
      <w:r>
        <w:rPr>
          <w:rFonts w:hint="eastAsia" w:asciiTheme="minorEastAsia" w:hAnsiTheme="minorEastAsia" w:eastAsiaTheme="minorEastAsia"/>
          <w:b/>
          <w:color w:val="auto"/>
          <w:sz w:val="32"/>
          <w:highlight w:val="none"/>
          <w:u w:val="single"/>
          <w:lang w:val="en-US" w:eastAsia="zh-CN"/>
        </w:rPr>
        <w:t>第   包）</w:t>
      </w:r>
    </w:p>
    <w:p w14:paraId="43230755">
      <w:pPr>
        <w:tabs>
          <w:tab w:val="left" w:pos="2410"/>
        </w:tabs>
        <w:autoSpaceDE w:val="0"/>
        <w:autoSpaceDN w:val="0"/>
        <w:adjustRightInd w:val="0"/>
        <w:snapToGrid w:val="0"/>
        <w:spacing w:line="360" w:lineRule="auto"/>
        <w:ind w:firstLine="1928" w:firstLineChars="600"/>
        <w:jc w:val="both"/>
        <w:outlineLvl w:val="9"/>
        <w:rPr>
          <w:rFonts w:hint="eastAsia"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rPr>
        <w:t>项目编号：</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2D06BD7A">
      <w:pPr>
        <w:tabs>
          <w:tab w:val="left" w:pos="2410"/>
        </w:tabs>
        <w:autoSpaceDE w:val="0"/>
        <w:autoSpaceDN w:val="0"/>
        <w:adjustRightInd w:val="0"/>
        <w:snapToGrid w:val="0"/>
        <w:spacing w:line="360" w:lineRule="auto"/>
        <w:ind w:firstLine="1928" w:firstLineChars="600"/>
        <w:jc w:val="both"/>
        <w:outlineLvl w:val="9"/>
        <w:rPr>
          <w:rFonts w:asciiTheme="minorEastAsia" w:hAnsiTheme="minorEastAsia" w:eastAsiaTheme="minorEastAsia"/>
          <w:b/>
          <w:color w:val="auto"/>
          <w:sz w:val="32"/>
          <w:highlight w:val="none"/>
          <w:u w:val="single"/>
        </w:rPr>
      </w:pPr>
      <w:r>
        <w:rPr>
          <w:rFonts w:hint="eastAsia" w:asciiTheme="minorEastAsia" w:hAnsiTheme="minorEastAsia" w:eastAsiaTheme="minorEastAsia"/>
          <w:b/>
          <w:color w:val="auto"/>
          <w:sz w:val="32"/>
          <w:highlight w:val="none"/>
          <w:lang w:val="en-US" w:eastAsia="zh-CN"/>
        </w:rPr>
        <w:t>供 应 商</w:t>
      </w:r>
      <w:r>
        <w:rPr>
          <w:rFonts w:hint="eastAsia" w:asciiTheme="minorEastAsia" w:hAnsiTheme="minorEastAsia" w:eastAsiaTheme="minorEastAsia"/>
          <w:b/>
          <w:color w:val="auto"/>
          <w:sz w:val="32"/>
          <w:highlight w:val="none"/>
        </w:rPr>
        <w:t>：</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u w:val="single"/>
          <w:lang w:val="en-US" w:eastAsia="zh-CN"/>
        </w:rPr>
        <w:t xml:space="preserve">   </w:t>
      </w:r>
      <w:r>
        <w:rPr>
          <w:rFonts w:hint="eastAsia" w:asciiTheme="minorEastAsia" w:hAnsiTheme="minorEastAsia" w:eastAsiaTheme="minorEastAsia"/>
          <w:b/>
          <w:color w:val="auto"/>
          <w:sz w:val="32"/>
          <w:highlight w:val="none"/>
          <w:u w:val="single"/>
        </w:rPr>
        <w:t xml:space="preserve">    </w:t>
      </w:r>
    </w:p>
    <w:p w14:paraId="69DDA1C0">
      <w:pPr>
        <w:spacing w:after="156" w:afterLines="50" w:line="500" w:lineRule="exact"/>
        <w:jc w:val="center"/>
        <w:outlineLvl w:val="9"/>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highlight w:val="none"/>
          <w:u w:val="single"/>
        </w:rPr>
        <w:t xml:space="preserve">    </w:t>
      </w:r>
      <w:bookmarkStart w:id="734" w:name="_Toc19892"/>
      <w:bookmarkStart w:id="735" w:name="_Toc24911"/>
      <w:r>
        <w:rPr>
          <w:rFonts w:hint="eastAsia" w:asciiTheme="minorEastAsia" w:hAnsiTheme="minorEastAsia" w:eastAsiaTheme="minorEastAsia"/>
          <w:b/>
          <w:color w:val="auto"/>
          <w:sz w:val="32"/>
          <w:highlight w:val="none"/>
        </w:rPr>
        <w:t>年</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月</w:t>
      </w:r>
      <w:r>
        <w:rPr>
          <w:rFonts w:hint="eastAsia" w:asciiTheme="minorEastAsia" w:hAnsiTheme="minorEastAsia" w:eastAsiaTheme="minorEastAsia"/>
          <w:b/>
          <w:color w:val="auto"/>
          <w:sz w:val="32"/>
          <w:highlight w:val="none"/>
          <w:u w:val="single"/>
        </w:rPr>
        <w:t xml:space="preserve">  </w:t>
      </w:r>
      <w:r>
        <w:rPr>
          <w:rFonts w:hint="eastAsia" w:asciiTheme="minorEastAsia" w:hAnsiTheme="minorEastAsia" w:eastAsiaTheme="minorEastAsia"/>
          <w:b/>
          <w:color w:val="auto"/>
          <w:sz w:val="32"/>
          <w:highlight w:val="none"/>
        </w:rPr>
        <w:t>日</w:t>
      </w:r>
      <w:bookmarkEnd w:id="734"/>
      <w:bookmarkEnd w:id="735"/>
    </w:p>
    <w:p w14:paraId="5C28228D">
      <w:pPr>
        <w:widowControl/>
        <w:jc w:val="left"/>
        <w:rPr>
          <w:rFonts w:asciiTheme="minorEastAsia" w:hAnsiTheme="minorEastAsia" w:eastAsiaTheme="minorEastAsia"/>
          <w:b/>
          <w:color w:val="auto"/>
          <w:sz w:val="28"/>
          <w:highlight w:val="none"/>
        </w:rPr>
      </w:pPr>
      <w:r>
        <w:rPr>
          <w:rFonts w:asciiTheme="minorEastAsia" w:hAnsiTheme="minorEastAsia" w:eastAsiaTheme="minorEastAsia"/>
          <w:b/>
          <w:color w:val="auto"/>
          <w:sz w:val="28"/>
          <w:highlight w:val="none"/>
        </w:rPr>
        <w:br w:type="page"/>
      </w:r>
    </w:p>
    <w:p w14:paraId="08741C76">
      <w:pPr>
        <w:spacing w:line="360" w:lineRule="auto"/>
        <w:jc w:val="center"/>
        <w:outlineLvl w:val="1"/>
        <w:rPr>
          <w:rFonts w:asciiTheme="minorEastAsia" w:hAnsiTheme="minorEastAsia" w:eastAsiaTheme="minorEastAsia"/>
          <w:b/>
          <w:color w:val="auto"/>
          <w:sz w:val="24"/>
          <w:highlight w:val="none"/>
        </w:rPr>
      </w:pPr>
      <w:bookmarkStart w:id="736" w:name="_Toc461053086"/>
      <w:bookmarkStart w:id="737" w:name="_Toc461056631"/>
      <w:bookmarkStart w:id="738" w:name="_Toc520983587"/>
      <w:bookmarkStart w:id="739" w:name="_Toc21496"/>
      <w:bookmarkStart w:id="740" w:name="_Toc28280"/>
      <w:r>
        <w:rPr>
          <w:rFonts w:hint="eastAsia" w:asciiTheme="minorEastAsia" w:hAnsiTheme="minorEastAsia" w:eastAsiaTheme="minorEastAsia"/>
          <w:b/>
          <w:color w:val="auto"/>
          <w:sz w:val="24"/>
          <w:highlight w:val="none"/>
        </w:rPr>
        <w:t>一</w:t>
      </w:r>
      <w:bookmarkEnd w:id="736"/>
      <w:bookmarkEnd w:id="737"/>
      <w:r>
        <w:rPr>
          <w:rFonts w:hint="eastAsia" w:asciiTheme="minorEastAsia" w:hAnsiTheme="minorEastAsia" w:eastAsiaTheme="minorEastAsia"/>
          <w:b/>
          <w:color w:val="auto"/>
          <w:sz w:val="24"/>
          <w:highlight w:val="none"/>
        </w:rPr>
        <w:t>、报价表格式</w:t>
      </w:r>
      <w:bookmarkEnd w:id="738"/>
      <w:bookmarkEnd w:id="739"/>
      <w:bookmarkEnd w:id="740"/>
    </w:p>
    <w:p w14:paraId="0D91C2D8">
      <w:pPr>
        <w:snapToGrid w:val="0"/>
        <w:spacing w:line="360" w:lineRule="auto"/>
        <w:jc w:val="left"/>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项目名称：</w:t>
      </w:r>
      <w:r>
        <w:rPr>
          <w:rFonts w:hint="eastAsia" w:cs="宋体" w:asciiTheme="minorEastAsia" w:hAnsiTheme="minorEastAsia" w:eastAsiaTheme="minorEastAsia"/>
          <w:b/>
          <w:color w:val="auto"/>
          <w:kern w:val="2"/>
          <w:sz w:val="24"/>
          <w:szCs w:val="24"/>
          <w:highlight w:val="none"/>
          <w:u w:val="single"/>
        </w:rPr>
        <w:t>2026年省淮河局堤防日常维护项目（第   包）</w:t>
      </w:r>
    </w:p>
    <w:p w14:paraId="409587B7">
      <w:pPr>
        <w:snapToGrid w:val="0"/>
        <w:spacing w:after="156" w:afterLines="50" w:line="360" w:lineRule="auto"/>
        <w:jc w:val="left"/>
        <w:rPr>
          <w:rFonts w:cs="宋体" w:asciiTheme="minorEastAsia" w:hAnsiTheme="minorEastAsia" w:eastAsiaTheme="minorEastAsia"/>
          <w:b/>
          <w:bCs/>
          <w:color w:val="auto"/>
          <w:kern w:val="2"/>
          <w:sz w:val="24"/>
          <w:szCs w:val="24"/>
          <w:highlight w:val="none"/>
          <w:u w:val="single"/>
        </w:rPr>
      </w:pPr>
      <w:r>
        <w:rPr>
          <w:rFonts w:hint="eastAsia" w:cs="宋体" w:asciiTheme="minorEastAsia" w:hAnsiTheme="minorEastAsia" w:eastAsiaTheme="minorEastAsia"/>
          <w:b/>
          <w:color w:val="auto"/>
          <w:kern w:val="2"/>
          <w:sz w:val="24"/>
          <w:szCs w:val="24"/>
          <w:highlight w:val="none"/>
        </w:rPr>
        <w:t>项目编号：</w:t>
      </w:r>
      <w:r>
        <w:rPr>
          <w:rFonts w:hint="eastAsia" w:ascii="宋体" w:hAnsi="宋体" w:eastAsia="宋体" w:cs="宋体"/>
          <w:bCs/>
          <w:color w:val="auto"/>
          <w:sz w:val="24"/>
          <w:szCs w:val="24"/>
          <w:highlight w:val="none"/>
          <w:u w:val="single"/>
        </w:rPr>
        <w:t xml:space="preserve">           </w:t>
      </w:r>
      <w:r>
        <w:rPr>
          <w:rFonts w:hint="eastAsia" w:cs="宋体" w:asciiTheme="minorEastAsia" w:hAnsiTheme="minorEastAsia" w:eastAsiaTheme="minorEastAsia"/>
          <w:b/>
          <w:color w:val="auto"/>
          <w:kern w:val="2"/>
          <w:sz w:val="24"/>
          <w:szCs w:val="24"/>
          <w:highlight w:val="none"/>
          <w:u w:val="single"/>
        </w:rPr>
        <w:t xml:space="preserve">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9"/>
        <w:gridCol w:w="6063"/>
      </w:tblGrid>
      <w:tr w14:paraId="791A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03582127">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供应商名称</w:t>
            </w:r>
          </w:p>
        </w:tc>
        <w:tc>
          <w:tcPr>
            <w:tcW w:w="3557" w:type="pct"/>
            <w:tcBorders>
              <w:left w:val="single" w:color="auto" w:sz="4" w:space="0"/>
            </w:tcBorders>
          </w:tcPr>
          <w:p w14:paraId="1DC3D5B9">
            <w:pPr>
              <w:rPr>
                <w:rFonts w:cs="宋体" w:asciiTheme="minorEastAsia" w:hAnsiTheme="minorEastAsia" w:eastAsiaTheme="minorEastAsia"/>
                <w:b/>
                <w:color w:val="auto"/>
                <w:kern w:val="2"/>
                <w:sz w:val="24"/>
                <w:szCs w:val="24"/>
                <w:highlight w:val="none"/>
              </w:rPr>
            </w:pPr>
          </w:p>
        </w:tc>
      </w:tr>
      <w:tr w14:paraId="38B0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5E748294">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磋商</w:t>
            </w:r>
            <w:r>
              <w:rPr>
                <w:rFonts w:hint="eastAsia" w:cs="宋体" w:asciiTheme="minorEastAsia" w:hAnsiTheme="minorEastAsia" w:eastAsiaTheme="minorEastAsia"/>
                <w:b/>
                <w:color w:val="auto"/>
                <w:kern w:val="2"/>
                <w:sz w:val="24"/>
                <w:szCs w:val="24"/>
                <w:highlight w:val="none"/>
              </w:rPr>
              <w:t>范围</w:t>
            </w:r>
          </w:p>
        </w:tc>
        <w:tc>
          <w:tcPr>
            <w:tcW w:w="3557" w:type="pct"/>
            <w:tcBorders>
              <w:left w:val="single" w:color="auto" w:sz="4" w:space="0"/>
            </w:tcBorders>
            <w:vAlign w:val="center"/>
          </w:tcPr>
          <w:p w14:paraId="5FBBB997">
            <w:pPr>
              <w:widowControl/>
              <w:rPr>
                <w:rFonts w:cs="宋体" w:asciiTheme="minorEastAsia" w:hAnsiTheme="minorEastAsia" w:eastAsiaTheme="minorEastAsia"/>
                <w:b/>
                <w:color w:val="auto"/>
                <w:kern w:val="2"/>
                <w:sz w:val="24"/>
                <w:szCs w:val="24"/>
                <w:highlight w:val="none"/>
              </w:rPr>
            </w:pPr>
            <w:r>
              <w:rPr>
                <w:rFonts w:hint="eastAsia" w:cs="@仿宋_GB2312" w:asciiTheme="minorEastAsia" w:hAnsiTheme="minorEastAsia" w:eastAsiaTheme="minorEastAsia"/>
                <w:color w:val="auto"/>
                <w:kern w:val="2"/>
                <w:sz w:val="24"/>
                <w:szCs w:val="28"/>
                <w:highlight w:val="none"/>
              </w:rPr>
              <w:t>第</w:t>
            </w:r>
            <w:r>
              <w:rPr>
                <w:rFonts w:hint="eastAsia" w:cs="@仿宋_GB2312" w:asciiTheme="minorEastAsia" w:hAnsiTheme="minorEastAsia" w:eastAsiaTheme="minorEastAsia"/>
                <w:color w:val="auto"/>
                <w:kern w:val="2"/>
                <w:sz w:val="24"/>
                <w:szCs w:val="28"/>
                <w:highlight w:val="none"/>
                <w:u w:val="single"/>
              </w:rPr>
              <w:t xml:space="preserve">   </w:t>
            </w:r>
            <w:r>
              <w:rPr>
                <w:rFonts w:hint="eastAsia" w:cs="@仿宋_GB2312" w:asciiTheme="minorEastAsia" w:hAnsiTheme="minorEastAsia" w:eastAsiaTheme="minorEastAsia"/>
                <w:color w:val="auto"/>
                <w:kern w:val="2"/>
                <w:sz w:val="24"/>
                <w:szCs w:val="28"/>
                <w:highlight w:val="none"/>
              </w:rPr>
              <w:t>包</w:t>
            </w:r>
          </w:p>
        </w:tc>
      </w:tr>
      <w:tr w14:paraId="6DAF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171AEDE3">
            <w:pPr>
              <w:spacing w:line="360" w:lineRule="auto"/>
              <w:jc w:val="center"/>
              <w:rPr>
                <w:rFonts w:cs="@仿宋_GB2312"/>
                <w:b/>
                <w:color w:val="auto"/>
                <w:kern w:val="2"/>
                <w:sz w:val="24"/>
                <w:highlight w:val="none"/>
              </w:rPr>
            </w:pPr>
            <w:r>
              <w:rPr>
                <w:rFonts w:hint="eastAsia" w:cs="@仿宋_GB2312"/>
                <w:b/>
                <w:color w:val="auto"/>
                <w:kern w:val="2"/>
                <w:sz w:val="24"/>
                <w:highlight w:val="none"/>
              </w:rPr>
              <w:t>报价</w:t>
            </w:r>
          </w:p>
          <w:p w14:paraId="40C03E7E">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（详见备注说明）</w:t>
            </w:r>
          </w:p>
        </w:tc>
        <w:tc>
          <w:tcPr>
            <w:tcW w:w="3557" w:type="pct"/>
            <w:vAlign w:val="center"/>
          </w:tcPr>
          <w:p w14:paraId="56343F93">
            <w:pPr>
              <w:snapToGrid w:val="0"/>
              <w:rPr>
                <w:rFonts w:cs="宋体" w:asciiTheme="minorEastAsia" w:hAnsiTheme="minorEastAsia" w:eastAsiaTheme="minorEastAsia"/>
                <w:color w:val="auto"/>
                <w:kern w:val="2"/>
                <w:sz w:val="24"/>
                <w:szCs w:val="24"/>
                <w:highlight w:val="none"/>
              </w:rPr>
            </w:pPr>
          </w:p>
          <w:p w14:paraId="37748DE1">
            <w:pPr>
              <w:snapToGrid w:val="0"/>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545F46AC">
            <w:pPr>
              <w:spacing w:line="360" w:lineRule="auto"/>
              <w:ind w:right="-670"/>
              <w:rPr>
                <w:rFonts w:hint="eastAsia" w:asciiTheme="minorEastAsia" w:hAnsiTheme="minorEastAsia" w:eastAsiaTheme="minorEastAsia"/>
                <w:color w:val="auto"/>
                <w:sz w:val="24"/>
                <w:highlight w:val="none"/>
              </w:rPr>
            </w:pPr>
            <w:r>
              <w:rPr>
                <w:rFonts w:hint="eastAsia" w:ascii="宋体" w:hAnsi="宋体" w:eastAsia="宋体" w:cs="宋体"/>
                <w:bCs/>
                <w:color w:val="auto"/>
                <w:sz w:val="24"/>
                <w:szCs w:val="24"/>
                <w:highlight w:val="none"/>
              </w:rPr>
              <w:t>小写</w:t>
            </w:r>
            <w:r>
              <w:rPr>
                <w:rFonts w:hint="eastAsia" w:cs="宋体"/>
                <w:bCs/>
                <w:color w:val="auto"/>
                <w:sz w:val="24"/>
                <w:szCs w:val="24"/>
                <w:highlight w:val="none"/>
                <w:lang w:eastAsia="zh-CN"/>
              </w:rPr>
              <w:t>（</w:t>
            </w:r>
            <w:r>
              <w:rPr>
                <w:rFonts w:hint="eastAsia" w:cs="宋体"/>
                <w:bCs/>
                <w:color w:val="auto"/>
                <w:sz w:val="24"/>
                <w:szCs w:val="24"/>
                <w:highlight w:val="none"/>
                <w:lang w:val="en-US" w:eastAsia="zh-CN"/>
              </w:rPr>
              <w:t>元）</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p>
          <w:p w14:paraId="7FDAED14">
            <w:pPr>
              <w:snapToGrid w:val="0"/>
              <w:rPr>
                <w:rFonts w:cs="宋体" w:asciiTheme="minorEastAsia" w:hAnsiTheme="minorEastAsia" w:eastAsiaTheme="minorEastAsia"/>
                <w:b/>
                <w:color w:val="auto"/>
                <w:kern w:val="2"/>
                <w:sz w:val="24"/>
                <w:szCs w:val="24"/>
                <w:highlight w:val="none"/>
              </w:rPr>
            </w:pPr>
          </w:p>
        </w:tc>
      </w:tr>
      <w:tr w14:paraId="2F40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5E55D023">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质量标准</w:t>
            </w:r>
          </w:p>
        </w:tc>
        <w:tc>
          <w:tcPr>
            <w:tcW w:w="3557" w:type="pct"/>
            <w:vAlign w:val="center"/>
          </w:tcPr>
          <w:p w14:paraId="3F044F69">
            <w:pPr>
              <w:snapToGrid w:val="0"/>
              <w:rPr>
                <w:rFonts w:cs="宋体" w:asciiTheme="minorEastAsia" w:hAnsiTheme="minorEastAsia" w:eastAsiaTheme="minorEastAsia"/>
                <w:b/>
                <w:color w:val="auto"/>
                <w:kern w:val="2"/>
                <w:sz w:val="24"/>
                <w:szCs w:val="24"/>
                <w:highlight w:val="none"/>
              </w:rPr>
            </w:pPr>
          </w:p>
        </w:tc>
      </w:tr>
      <w:tr w14:paraId="39C3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410DBFFF">
            <w:pPr>
              <w:snapToGrid w:val="0"/>
              <w:jc w:val="center"/>
              <w:rPr>
                <w:rFonts w:hint="default" w:cs="宋体" w:asciiTheme="minorEastAsia" w:hAnsiTheme="minorEastAsia" w:eastAsiaTheme="minorEastAsia"/>
                <w:b/>
                <w:color w:val="auto"/>
                <w:kern w:val="2"/>
                <w:sz w:val="24"/>
                <w:szCs w:val="24"/>
                <w:highlight w:val="none"/>
                <w:lang w:val="en-US" w:eastAsia="zh-CN"/>
              </w:rPr>
            </w:pPr>
            <w:r>
              <w:rPr>
                <w:rFonts w:hint="eastAsia" w:cs="宋体" w:asciiTheme="minorEastAsia" w:hAnsiTheme="minorEastAsia" w:eastAsiaTheme="minorEastAsia"/>
                <w:b/>
                <w:bCs/>
                <w:color w:val="auto"/>
                <w:kern w:val="2"/>
                <w:sz w:val="24"/>
                <w:szCs w:val="24"/>
                <w:highlight w:val="none"/>
                <w:lang w:val="en-US" w:eastAsia="zh-CN"/>
              </w:rPr>
              <w:t>合同履行期限</w:t>
            </w:r>
          </w:p>
        </w:tc>
        <w:tc>
          <w:tcPr>
            <w:tcW w:w="3557" w:type="pct"/>
            <w:vAlign w:val="center"/>
          </w:tcPr>
          <w:p w14:paraId="592AE943">
            <w:pPr>
              <w:snapToGrid w:val="0"/>
              <w:rPr>
                <w:rFonts w:cs="宋体" w:asciiTheme="minorEastAsia" w:hAnsiTheme="minorEastAsia" w:eastAsiaTheme="minorEastAsia"/>
                <w:b/>
                <w:color w:val="auto"/>
                <w:kern w:val="2"/>
                <w:sz w:val="24"/>
                <w:szCs w:val="24"/>
                <w:highlight w:val="none"/>
              </w:rPr>
            </w:pP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tc>
      </w:tr>
      <w:tr w14:paraId="102F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04003EEB">
            <w:pPr>
              <w:snapToGrid w:val="0"/>
              <w:jc w:val="center"/>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是否响应付款方式</w:t>
            </w:r>
          </w:p>
        </w:tc>
        <w:tc>
          <w:tcPr>
            <w:tcW w:w="3557" w:type="pct"/>
            <w:vAlign w:val="center"/>
          </w:tcPr>
          <w:p w14:paraId="4EF2E7E7">
            <w:pPr>
              <w:snapToGrid w:val="0"/>
              <w:rPr>
                <w:rFonts w:cs="宋体" w:asciiTheme="minorEastAsia" w:hAnsiTheme="minorEastAsia" w:eastAsiaTheme="minorEastAsia"/>
                <w:bCs/>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是</w:t>
            </w:r>
            <w:r>
              <w:rPr>
                <w:rFonts w:hint="eastAsia" w:cs="宋体" w:asciiTheme="minorEastAsia" w:hAnsiTheme="minorEastAsia" w:eastAsiaTheme="minorEastAsia"/>
                <w:color w:val="auto"/>
                <w:kern w:val="2"/>
                <w:sz w:val="24"/>
                <w:szCs w:val="24"/>
                <w:highlight w:val="none"/>
                <w:lang w:eastAsia="zh-CN"/>
              </w:rPr>
              <w:t>☑</w:t>
            </w:r>
            <w:r>
              <w:rPr>
                <w:rFonts w:hint="eastAsia" w:cs="宋体" w:asciiTheme="minorEastAsia" w:hAnsiTheme="minorEastAsia" w:eastAsiaTheme="minorEastAsia"/>
                <w:color w:val="auto"/>
                <w:kern w:val="2"/>
                <w:sz w:val="24"/>
                <w:szCs w:val="24"/>
                <w:highlight w:val="none"/>
              </w:rPr>
              <w:t xml:space="preserve">    否□   （划√）</w:t>
            </w:r>
          </w:p>
        </w:tc>
      </w:tr>
      <w:tr w14:paraId="01AD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3" w:type="pct"/>
            <w:vAlign w:val="center"/>
          </w:tcPr>
          <w:p w14:paraId="61D28AB1">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备注说明</w:t>
            </w:r>
          </w:p>
        </w:tc>
        <w:tc>
          <w:tcPr>
            <w:tcW w:w="3557" w:type="pct"/>
          </w:tcPr>
          <w:p w14:paraId="32ACB23E">
            <w:pPr>
              <w:rPr>
                <w:rFonts w:cs="宋体" w:asciiTheme="minorEastAsia" w:hAnsiTheme="minorEastAsia" w:eastAsiaTheme="minorEastAsia"/>
                <w:b/>
                <w:color w:val="auto"/>
                <w:kern w:val="2"/>
                <w:sz w:val="24"/>
                <w:szCs w:val="24"/>
                <w:highlight w:val="none"/>
              </w:rPr>
            </w:pPr>
          </w:p>
        </w:tc>
      </w:tr>
    </w:tbl>
    <w:p w14:paraId="04CE1793">
      <w:pPr>
        <w:spacing w:line="440" w:lineRule="exact"/>
        <w:ind w:firstLine="4800" w:firstLineChars="2000"/>
        <w:rPr>
          <w:rFonts w:cs="@仿宋_GB2312"/>
          <w:color w:val="auto"/>
          <w:kern w:val="2"/>
          <w:sz w:val="24"/>
          <w:szCs w:val="24"/>
          <w:highlight w:val="none"/>
          <w:u w:val="single"/>
        </w:rPr>
      </w:pPr>
      <w:r>
        <w:rPr>
          <w:rFonts w:hint="eastAsia" w:cs="@仿宋_GB2312"/>
          <w:color w:val="auto"/>
          <w:kern w:val="2"/>
          <w:sz w:val="24"/>
          <w:szCs w:val="24"/>
          <w:highlight w:val="none"/>
        </w:rPr>
        <w:t>供应商电子签章：</w:t>
      </w:r>
      <w:r>
        <w:rPr>
          <w:rFonts w:hint="eastAsia" w:cs="@仿宋_GB2312"/>
          <w:color w:val="auto"/>
          <w:kern w:val="2"/>
          <w:sz w:val="24"/>
          <w:szCs w:val="24"/>
          <w:highlight w:val="none"/>
          <w:u w:val="single"/>
        </w:rPr>
        <w:t xml:space="preserve">     </w:t>
      </w:r>
      <w:r>
        <w:rPr>
          <w:rFonts w:cs="@仿宋_GB2312"/>
          <w:color w:val="auto"/>
          <w:kern w:val="2"/>
          <w:sz w:val="24"/>
          <w:szCs w:val="24"/>
          <w:highlight w:val="none"/>
          <w:u w:val="single"/>
        </w:rPr>
        <w:t xml:space="preserve">    </w:t>
      </w:r>
      <w:r>
        <w:rPr>
          <w:rFonts w:hint="eastAsia" w:cs="@仿宋_GB2312"/>
          <w:color w:val="auto"/>
          <w:kern w:val="2"/>
          <w:sz w:val="24"/>
          <w:szCs w:val="24"/>
          <w:highlight w:val="none"/>
          <w:u w:val="single"/>
        </w:rPr>
        <w:t xml:space="preserve">    </w:t>
      </w:r>
    </w:p>
    <w:p w14:paraId="7E4426A8">
      <w:pPr>
        <w:spacing w:line="440" w:lineRule="exact"/>
        <w:ind w:firstLine="4800" w:firstLineChars="2000"/>
        <w:rPr>
          <w:rFonts w:cs="@仿宋_GB2312"/>
          <w:color w:val="auto"/>
          <w:kern w:val="2"/>
          <w:sz w:val="24"/>
          <w:szCs w:val="24"/>
          <w:highlight w:val="none"/>
          <w:u w:val="single"/>
        </w:rPr>
      </w:pPr>
      <w:r>
        <w:rPr>
          <w:rFonts w:hint="eastAsia" w:cs="@仿宋_GB2312"/>
          <w:color w:val="auto"/>
          <w:kern w:val="2"/>
          <w:sz w:val="24"/>
          <w:szCs w:val="24"/>
          <w:highlight w:val="none"/>
        </w:rPr>
        <w:t xml:space="preserve">日     </w:t>
      </w:r>
      <w:r>
        <w:rPr>
          <w:rFonts w:cs="@仿宋_GB2312"/>
          <w:color w:val="auto"/>
          <w:kern w:val="2"/>
          <w:sz w:val="24"/>
          <w:szCs w:val="24"/>
          <w:highlight w:val="none"/>
        </w:rPr>
        <w:t xml:space="preserve">    </w:t>
      </w:r>
      <w:r>
        <w:rPr>
          <w:rFonts w:hint="eastAsia" w:cs="@仿宋_GB2312"/>
          <w:color w:val="auto"/>
          <w:kern w:val="2"/>
          <w:sz w:val="24"/>
          <w:szCs w:val="24"/>
          <w:highlight w:val="none"/>
        </w:rPr>
        <w:t xml:space="preserve"> 期：</w:t>
      </w:r>
      <w:r>
        <w:rPr>
          <w:rFonts w:hint="eastAsia" w:cs="@仿宋_GB2312"/>
          <w:color w:val="auto"/>
          <w:kern w:val="2"/>
          <w:sz w:val="24"/>
          <w:szCs w:val="24"/>
          <w:highlight w:val="none"/>
          <w:u w:val="single"/>
        </w:rPr>
        <w:t xml:space="preserve">             </w:t>
      </w:r>
    </w:p>
    <w:p w14:paraId="23ED5064">
      <w:pPr>
        <w:adjustRightInd w:val="0"/>
        <w:snapToGrid w:val="0"/>
        <w:spacing w:line="360" w:lineRule="auto"/>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注：</w:t>
      </w:r>
    </w:p>
    <w:p w14:paraId="3D4F4E72">
      <w:pPr>
        <w:adjustRightInd w:val="0"/>
        <w:snapToGrid w:val="0"/>
        <w:spacing w:line="360" w:lineRule="auto"/>
        <w:ind w:firstLine="482"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1.本表内容根据磋商文件要求包括了磋商文件要求提供的全部内容的所有费用。</w:t>
      </w:r>
    </w:p>
    <w:p w14:paraId="328A7567">
      <w:pPr>
        <w:adjustRightInd w:val="0"/>
        <w:snapToGrid w:val="0"/>
        <w:spacing w:line="360" w:lineRule="auto"/>
        <w:ind w:firstLine="482" w:firstLineChars="200"/>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2.特殊事项在备注中注明。</w:t>
      </w:r>
    </w:p>
    <w:p w14:paraId="4EE5BE30">
      <w:pPr>
        <w:adjustRightInd w:val="0"/>
        <w:snapToGrid w:val="0"/>
        <w:spacing w:line="360" w:lineRule="auto"/>
        <w:ind w:firstLine="482" w:firstLineChars="200"/>
        <w:rPr>
          <w:rFonts w:hint="default" w:ascii="宋体" w:hAnsi="宋体" w:eastAsia="宋体"/>
          <w:b/>
          <w:bCs/>
          <w:color w:val="auto"/>
          <w:sz w:val="24"/>
          <w:szCs w:val="28"/>
          <w:highlight w:val="none"/>
          <w:lang w:val="en-US" w:eastAsia="zh-CN"/>
        </w:rPr>
      </w:pPr>
      <w:r>
        <w:rPr>
          <w:rFonts w:hint="eastAsia"/>
          <w:b/>
          <w:bCs/>
          <w:color w:val="auto"/>
          <w:sz w:val="24"/>
          <w:szCs w:val="28"/>
          <w:highlight w:val="none"/>
          <w:lang w:val="en-US" w:eastAsia="zh-CN"/>
        </w:rPr>
        <w:t>3</w:t>
      </w:r>
      <w:r>
        <w:rPr>
          <w:rFonts w:hint="eastAsia" w:ascii="宋体" w:hAnsi="宋体" w:eastAsia="宋体"/>
          <w:b/>
          <w:bCs/>
          <w:color w:val="auto"/>
          <w:sz w:val="24"/>
          <w:szCs w:val="28"/>
          <w:highlight w:val="none"/>
        </w:rPr>
        <w:t>.表中大写金额与小写金额不一致的，以大写金额为准。</w:t>
      </w:r>
    </w:p>
    <w:p w14:paraId="4D450CF7">
      <w:pPr>
        <w:adjustRightInd w:val="0"/>
        <w:snapToGrid w:val="0"/>
        <w:spacing w:line="360" w:lineRule="auto"/>
        <w:rPr>
          <w:b/>
          <w:bCs/>
          <w:color w:val="auto"/>
          <w:sz w:val="24"/>
          <w:szCs w:val="28"/>
          <w:highlight w:val="none"/>
        </w:rPr>
      </w:pPr>
      <w:r>
        <w:rPr>
          <w:b/>
          <w:bCs/>
          <w:color w:val="auto"/>
          <w:sz w:val="24"/>
          <w:szCs w:val="28"/>
          <w:highlight w:val="none"/>
        </w:rPr>
        <w:br w:type="page"/>
      </w:r>
    </w:p>
    <w:p w14:paraId="0A660360">
      <w:pPr>
        <w:spacing w:line="360" w:lineRule="auto"/>
        <w:jc w:val="center"/>
        <w:outlineLvl w:val="9"/>
        <w:rPr>
          <w:rFonts w:asciiTheme="minorEastAsia" w:hAnsiTheme="minorEastAsia" w:eastAsiaTheme="minorEastAsia"/>
          <w:b/>
          <w:color w:val="auto"/>
          <w:sz w:val="24"/>
          <w:highlight w:val="none"/>
        </w:rPr>
      </w:pPr>
      <w:bookmarkStart w:id="741" w:name="_Toc20879"/>
      <w:bookmarkStart w:id="742" w:name="_Toc520983588"/>
      <w:bookmarkStart w:id="743" w:name="_Toc22341"/>
      <w:r>
        <w:rPr>
          <w:rFonts w:hint="eastAsia" w:asciiTheme="minorEastAsia" w:hAnsiTheme="minorEastAsia" w:eastAsiaTheme="minorEastAsia"/>
          <w:b/>
          <w:color w:val="auto"/>
          <w:sz w:val="24"/>
          <w:highlight w:val="none"/>
        </w:rPr>
        <w:t>最后承诺报价表</w:t>
      </w:r>
      <w:bookmarkEnd w:id="741"/>
      <w:bookmarkEnd w:id="742"/>
      <w:bookmarkEnd w:id="743"/>
    </w:p>
    <w:p w14:paraId="1E062F84">
      <w:pPr>
        <w:spacing w:before="156" w:beforeLines="50" w:after="156" w:afterLines="50" w:line="360" w:lineRule="auto"/>
        <w:ind w:firstLine="236" w:firstLineChars="98"/>
        <w:jc w:val="center"/>
        <w:outlineLvl w:val="9"/>
        <w:rPr>
          <w:b/>
          <w:color w:val="auto"/>
          <w:sz w:val="24"/>
          <w:szCs w:val="28"/>
          <w:highlight w:val="none"/>
        </w:rPr>
      </w:pPr>
      <w:bookmarkStart w:id="744" w:name="_Toc13333"/>
      <w:bookmarkStart w:id="745" w:name="_Toc8562"/>
      <w:r>
        <w:rPr>
          <w:rFonts w:hint="eastAsia"/>
          <w:b/>
          <w:color w:val="auto"/>
          <w:sz w:val="24"/>
          <w:szCs w:val="28"/>
          <w:highlight w:val="none"/>
        </w:rPr>
        <w:t>（第</w:t>
      </w:r>
      <w:r>
        <w:rPr>
          <w:rFonts w:hint="eastAsia"/>
          <w:b/>
          <w:color w:val="auto"/>
          <w:sz w:val="24"/>
          <w:szCs w:val="28"/>
          <w:highlight w:val="none"/>
          <w:u w:val="single"/>
        </w:rPr>
        <w:t xml:space="preserve">   </w:t>
      </w:r>
      <w:r>
        <w:rPr>
          <w:rFonts w:hint="eastAsia"/>
          <w:b/>
          <w:color w:val="auto"/>
          <w:sz w:val="24"/>
          <w:szCs w:val="28"/>
          <w:highlight w:val="none"/>
        </w:rPr>
        <w:t>次报价书）</w:t>
      </w:r>
      <w:bookmarkEnd w:id="744"/>
      <w:bookmarkEnd w:id="745"/>
    </w:p>
    <w:p w14:paraId="3EAE6996">
      <w:pPr>
        <w:snapToGrid w:val="0"/>
        <w:spacing w:line="360" w:lineRule="auto"/>
        <w:jc w:val="left"/>
        <w:rPr>
          <w:rFonts w:hint="default" w:cs="宋体" w:asciiTheme="minorEastAsia" w:hAnsiTheme="minorEastAsia" w:eastAsiaTheme="minorEastAsia"/>
          <w:b/>
          <w:color w:val="auto"/>
          <w:kern w:val="2"/>
          <w:sz w:val="24"/>
          <w:szCs w:val="24"/>
          <w:highlight w:val="none"/>
          <w:lang w:val="en-US" w:eastAsia="zh-CN"/>
        </w:rPr>
      </w:pPr>
      <w:r>
        <w:rPr>
          <w:rFonts w:hint="eastAsia" w:cs="宋体" w:asciiTheme="minorEastAsia" w:hAnsiTheme="minorEastAsia" w:eastAsiaTheme="minorEastAsia"/>
          <w:b/>
          <w:color w:val="auto"/>
          <w:kern w:val="2"/>
          <w:sz w:val="24"/>
          <w:szCs w:val="24"/>
          <w:highlight w:val="none"/>
        </w:rPr>
        <w:t>项目名称：</w:t>
      </w:r>
      <w:r>
        <w:rPr>
          <w:rFonts w:hint="eastAsia" w:cs="宋体" w:asciiTheme="minorEastAsia" w:hAnsiTheme="minorEastAsia" w:eastAsiaTheme="minorEastAsia"/>
          <w:b/>
          <w:color w:val="auto"/>
          <w:kern w:val="2"/>
          <w:sz w:val="24"/>
          <w:szCs w:val="24"/>
          <w:highlight w:val="none"/>
          <w:u w:val="single"/>
        </w:rPr>
        <w:t>2026年省淮河局堤防日常维护项目（第   包）</w:t>
      </w:r>
    </w:p>
    <w:p w14:paraId="01352DCB">
      <w:pPr>
        <w:snapToGrid w:val="0"/>
        <w:spacing w:after="156" w:afterLines="50" w:line="360" w:lineRule="auto"/>
        <w:jc w:val="left"/>
        <w:rPr>
          <w:rFonts w:hint="default" w:cs="宋体" w:asciiTheme="minorEastAsia" w:hAnsiTheme="minorEastAsia" w:eastAsiaTheme="minorEastAsia"/>
          <w:b/>
          <w:bCs/>
          <w:color w:val="auto"/>
          <w:kern w:val="2"/>
          <w:sz w:val="24"/>
          <w:szCs w:val="24"/>
          <w:highlight w:val="none"/>
          <w:u w:val="single"/>
          <w:lang w:val="en-US" w:eastAsia="zh-CN"/>
        </w:rPr>
      </w:pPr>
      <w:r>
        <w:rPr>
          <w:rFonts w:hint="eastAsia" w:cs="宋体" w:asciiTheme="minorEastAsia" w:hAnsiTheme="minorEastAsia" w:eastAsiaTheme="minorEastAsia"/>
          <w:b/>
          <w:color w:val="auto"/>
          <w:kern w:val="2"/>
          <w:sz w:val="24"/>
          <w:szCs w:val="24"/>
          <w:highlight w:val="none"/>
        </w:rPr>
        <w:t>项目编号：</w:t>
      </w:r>
      <w:r>
        <w:rPr>
          <w:rFonts w:hint="eastAsia" w:cs="宋体" w:asciiTheme="minorEastAsia" w:hAnsiTheme="minorEastAsia" w:eastAsiaTheme="minorEastAsia"/>
          <w:b/>
          <w:color w:val="auto"/>
          <w:kern w:val="2"/>
          <w:sz w:val="24"/>
          <w:szCs w:val="24"/>
          <w:highlight w:val="none"/>
          <w:u w:val="single"/>
        </w:rPr>
        <w:t xml:space="preserve">     </w:t>
      </w:r>
      <w:r>
        <w:rPr>
          <w:rFonts w:hint="eastAsia" w:cs="宋体" w:asciiTheme="minorEastAsia" w:hAnsiTheme="minorEastAsia" w:eastAsiaTheme="minorEastAsia"/>
          <w:b/>
          <w:color w:val="auto"/>
          <w:kern w:val="2"/>
          <w:sz w:val="24"/>
          <w:szCs w:val="24"/>
          <w:highlight w:val="none"/>
          <w:u w:val="single"/>
          <w:lang w:val="en-US" w:eastAsia="zh-CN"/>
        </w:rPr>
        <w:t xml:space="preserve">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5950"/>
      </w:tblGrid>
      <w:tr w14:paraId="7820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2A5B7925">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供应商名称</w:t>
            </w:r>
          </w:p>
        </w:tc>
        <w:tc>
          <w:tcPr>
            <w:tcW w:w="3491" w:type="pct"/>
            <w:tcBorders>
              <w:left w:val="single" w:color="auto" w:sz="4" w:space="0"/>
            </w:tcBorders>
          </w:tcPr>
          <w:p w14:paraId="362FE558">
            <w:pPr>
              <w:rPr>
                <w:rFonts w:cs="宋体" w:asciiTheme="minorEastAsia" w:hAnsiTheme="minorEastAsia" w:eastAsiaTheme="minorEastAsia"/>
                <w:b/>
                <w:color w:val="auto"/>
                <w:kern w:val="2"/>
                <w:sz w:val="24"/>
                <w:szCs w:val="24"/>
                <w:highlight w:val="none"/>
              </w:rPr>
            </w:pPr>
          </w:p>
        </w:tc>
      </w:tr>
      <w:tr w14:paraId="3A95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1982C197">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磋商</w:t>
            </w:r>
            <w:r>
              <w:rPr>
                <w:rFonts w:hint="eastAsia" w:cs="宋体" w:asciiTheme="minorEastAsia" w:hAnsiTheme="minorEastAsia" w:eastAsiaTheme="minorEastAsia"/>
                <w:b/>
                <w:color w:val="auto"/>
                <w:kern w:val="2"/>
                <w:sz w:val="24"/>
                <w:szCs w:val="24"/>
                <w:highlight w:val="none"/>
              </w:rPr>
              <w:t>范围</w:t>
            </w:r>
          </w:p>
        </w:tc>
        <w:tc>
          <w:tcPr>
            <w:tcW w:w="3491" w:type="pct"/>
            <w:tcBorders>
              <w:left w:val="single" w:color="auto" w:sz="4" w:space="0"/>
            </w:tcBorders>
            <w:vAlign w:val="center"/>
          </w:tcPr>
          <w:p w14:paraId="69456AF1">
            <w:pPr>
              <w:widowControl/>
              <w:rPr>
                <w:rFonts w:cs="宋体" w:asciiTheme="minorEastAsia" w:hAnsiTheme="minorEastAsia" w:eastAsiaTheme="minorEastAsia"/>
                <w:b/>
                <w:color w:val="auto"/>
                <w:kern w:val="2"/>
                <w:sz w:val="24"/>
                <w:szCs w:val="24"/>
                <w:highlight w:val="none"/>
              </w:rPr>
            </w:pPr>
            <w:r>
              <w:rPr>
                <w:rFonts w:hint="eastAsia" w:cs="@仿宋_GB2312" w:asciiTheme="minorEastAsia" w:hAnsiTheme="minorEastAsia" w:eastAsiaTheme="minorEastAsia"/>
                <w:color w:val="auto"/>
                <w:kern w:val="2"/>
                <w:sz w:val="24"/>
                <w:szCs w:val="28"/>
                <w:highlight w:val="none"/>
              </w:rPr>
              <w:t>第</w:t>
            </w:r>
            <w:r>
              <w:rPr>
                <w:rFonts w:hint="eastAsia" w:cs="@仿宋_GB2312" w:asciiTheme="minorEastAsia" w:hAnsiTheme="minorEastAsia" w:eastAsiaTheme="minorEastAsia"/>
                <w:color w:val="auto"/>
                <w:kern w:val="2"/>
                <w:sz w:val="24"/>
                <w:szCs w:val="28"/>
                <w:highlight w:val="none"/>
                <w:u w:val="single"/>
              </w:rPr>
              <w:t xml:space="preserve">   </w:t>
            </w:r>
            <w:r>
              <w:rPr>
                <w:rFonts w:hint="eastAsia" w:cs="@仿宋_GB2312" w:asciiTheme="minorEastAsia" w:hAnsiTheme="minorEastAsia" w:eastAsiaTheme="minorEastAsia"/>
                <w:color w:val="auto"/>
                <w:kern w:val="2"/>
                <w:sz w:val="24"/>
                <w:szCs w:val="28"/>
                <w:highlight w:val="none"/>
              </w:rPr>
              <w:t>包</w:t>
            </w:r>
          </w:p>
        </w:tc>
      </w:tr>
      <w:tr w14:paraId="23B7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509" w:type="pct"/>
            <w:tcBorders>
              <w:top w:val="single" w:color="auto" w:sz="4" w:space="0"/>
            </w:tcBorders>
            <w:vAlign w:val="center"/>
          </w:tcPr>
          <w:p w14:paraId="23F9EADE">
            <w:pPr>
              <w:spacing w:line="360" w:lineRule="auto"/>
              <w:jc w:val="center"/>
              <w:rPr>
                <w:rFonts w:cs="@仿宋_GB2312"/>
                <w:b/>
                <w:color w:val="auto"/>
                <w:kern w:val="2"/>
                <w:sz w:val="24"/>
                <w:highlight w:val="none"/>
              </w:rPr>
            </w:pPr>
            <w:r>
              <w:rPr>
                <w:rFonts w:hint="eastAsia" w:cs="@仿宋_GB2312"/>
                <w:b/>
                <w:bCs/>
                <w:color w:val="auto"/>
                <w:kern w:val="2"/>
                <w:sz w:val="24"/>
                <w:szCs w:val="28"/>
                <w:highlight w:val="none"/>
              </w:rPr>
              <w:t>最后报价</w:t>
            </w:r>
          </w:p>
          <w:p w14:paraId="162B7EC2">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（详见备注说明）</w:t>
            </w:r>
          </w:p>
        </w:tc>
        <w:tc>
          <w:tcPr>
            <w:tcW w:w="3491" w:type="pct"/>
            <w:vAlign w:val="center"/>
          </w:tcPr>
          <w:p w14:paraId="07A17D2E">
            <w:pPr>
              <w:snapToGrid w:val="0"/>
              <w:spacing w:line="360" w:lineRule="auto"/>
              <w:jc w:val="left"/>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大写：</w:t>
            </w:r>
            <w:r>
              <w:rPr>
                <w:rFonts w:hint="eastAsia" w:ascii="宋体" w:hAnsi="宋体" w:eastAsia="宋体" w:cs="宋体"/>
                <w:bCs/>
                <w:color w:val="auto"/>
                <w:sz w:val="24"/>
                <w:szCs w:val="24"/>
                <w:highlight w:val="none"/>
                <w:u w:val="single"/>
              </w:rPr>
              <w:t xml:space="preserve">                     </w:t>
            </w:r>
          </w:p>
          <w:p w14:paraId="5B1B4D22">
            <w:pPr>
              <w:spacing w:line="360" w:lineRule="auto"/>
              <w:ind w:right="-670"/>
              <w:rPr>
                <w:rFonts w:cs="宋体" w:asciiTheme="minorEastAsia" w:hAnsiTheme="minorEastAsia" w:eastAsiaTheme="minorEastAsia"/>
                <w:b/>
                <w:color w:val="auto"/>
                <w:kern w:val="2"/>
                <w:sz w:val="24"/>
                <w:szCs w:val="24"/>
                <w:highlight w:val="none"/>
              </w:rPr>
            </w:pPr>
            <w:r>
              <w:rPr>
                <w:rFonts w:hint="eastAsia" w:ascii="宋体" w:hAnsi="宋体" w:eastAsia="宋体" w:cs="宋体"/>
                <w:bCs/>
                <w:color w:val="auto"/>
                <w:sz w:val="24"/>
                <w:szCs w:val="24"/>
                <w:highlight w:val="none"/>
              </w:rPr>
              <w:t>小写</w:t>
            </w:r>
            <w:r>
              <w:rPr>
                <w:rFonts w:hint="eastAsia" w:cs="宋体"/>
                <w:bCs/>
                <w:color w:val="auto"/>
                <w:sz w:val="24"/>
                <w:szCs w:val="24"/>
                <w:highlight w:val="none"/>
                <w:lang w:eastAsia="zh-CN"/>
              </w:rPr>
              <w:t>（</w:t>
            </w:r>
            <w:r>
              <w:rPr>
                <w:rFonts w:hint="eastAsia" w:cs="宋体"/>
                <w:bCs/>
                <w:color w:val="auto"/>
                <w:sz w:val="24"/>
                <w:szCs w:val="24"/>
                <w:highlight w:val="none"/>
                <w:lang w:val="en-US" w:eastAsia="zh-CN"/>
              </w:rPr>
              <w:t>元）</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p>
        </w:tc>
      </w:tr>
      <w:tr w14:paraId="1C02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14:paraId="28A73002">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质量标准</w:t>
            </w:r>
          </w:p>
        </w:tc>
        <w:tc>
          <w:tcPr>
            <w:tcW w:w="3491" w:type="pct"/>
            <w:vAlign w:val="center"/>
          </w:tcPr>
          <w:p w14:paraId="4531B691">
            <w:pPr>
              <w:snapToGrid w:val="0"/>
              <w:rPr>
                <w:rFonts w:cs="宋体" w:asciiTheme="minorEastAsia" w:hAnsiTheme="minorEastAsia" w:eastAsiaTheme="minorEastAsia"/>
                <w:b/>
                <w:color w:val="auto"/>
                <w:kern w:val="2"/>
                <w:sz w:val="24"/>
                <w:szCs w:val="24"/>
                <w:highlight w:val="none"/>
              </w:rPr>
            </w:pPr>
          </w:p>
        </w:tc>
      </w:tr>
      <w:tr w14:paraId="63BC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572" w:type="dxa"/>
            <w:tcBorders>
              <w:top w:val="single" w:color="auto" w:sz="4" w:space="0"/>
            </w:tcBorders>
            <w:vAlign w:val="center"/>
          </w:tcPr>
          <w:p w14:paraId="26FF5C48">
            <w:pPr>
              <w:snapToGrid w:val="0"/>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lang w:val="en-US" w:eastAsia="zh-CN"/>
              </w:rPr>
              <w:t>合同履行期限</w:t>
            </w:r>
          </w:p>
        </w:tc>
        <w:tc>
          <w:tcPr>
            <w:tcW w:w="5950" w:type="dxa"/>
            <w:vAlign w:val="center"/>
          </w:tcPr>
          <w:p w14:paraId="55BDB33D">
            <w:pPr>
              <w:snapToGrid w:val="0"/>
              <w:rPr>
                <w:rFonts w:cs="宋体" w:asciiTheme="minorEastAsia" w:hAnsiTheme="minorEastAsia" w:eastAsiaTheme="minorEastAsia"/>
                <w:b/>
                <w:color w:val="auto"/>
                <w:kern w:val="2"/>
                <w:sz w:val="24"/>
                <w:szCs w:val="24"/>
                <w:highlight w:val="none"/>
              </w:rPr>
            </w:pPr>
            <w:r>
              <w:rPr>
                <w:rFonts w:hint="eastAsia" w:asciiTheme="minorEastAsia" w:hAnsiTheme="minorEastAsia" w:eastAsiaTheme="minorEastAsia"/>
                <w:color w:val="auto"/>
                <w:sz w:val="24"/>
                <w:highlight w:val="none"/>
                <w:u w:val="single"/>
              </w:rPr>
              <w:t>合同签订之日起至202</w:t>
            </w:r>
            <w:r>
              <w:rPr>
                <w:rFonts w:hint="eastAsia" w:asciiTheme="minorEastAsia" w:hAnsiTheme="minorEastAsia" w:eastAsiaTheme="minorEastAsia"/>
                <w:color w:val="auto"/>
                <w:sz w:val="24"/>
                <w:highlight w:val="none"/>
                <w:u w:val="single"/>
                <w:lang w:val="en-US" w:eastAsia="zh-CN"/>
              </w:rPr>
              <w:t>6</w:t>
            </w:r>
            <w:r>
              <w:rPr>
                <w:rFonts w:hint="eastAsia" w:asciiTheme="minorEastAsia" w:hAnsiTheme="minorEastAsia" w:eastAsiaTheme="minorEastAsia"/>
                <w:color w:val="auto"/>
                <w:sz w:val="24"/>
                <w:highlight w:val="none"/>
                <w:u w:val="single"/>
              </w:rPr>
              <w:t>年12月31日止</w:t>
            </w:r>
          </w:p>
        </w:tc>
      </w:tr>
      <w:tr w14:paraId="6855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14:paraId="4E36BC86">
            <w:pPr>
              <w:snapToGrid w:val="0"/>
              <w:jc w:val="center"/>
              <w:rPr>
                <w:rFonts w:cs="宋体" w:asciiTheme="minorEastAsia" w:hAnsiTheme="minorEastAsia" w:eastAsiaTheme="minorEastAsia"/>
                <w:b/>
                <w:bCs/>
                <w:color w:val="auto"/>
                <w:kern w:val="2"/>
                <w:sz w:val="24"/>
                <w:szCs w:val="24"/>
                <w:highlight w:val="none"/>
              </w:rPr>
            </w:pPr>
            <w:r>
              <w:rPr>
                <w:rFonts w:hint="eastAsia" w:cs="宋体" w:asciiTheme="minorEastAsia" w:hAnsiTheme="minorEastAsia" w:eastAsiaTheme="minorEastAsia"/>
                <w:b/>
                <w:bCs/>
                <w:color w:val="auto"/>
                <w:kern w:val="2"/>
                <w:sz w:val="24"/>
                <w:szCs w:val="24"/>
                <w:highlight w:val="none"/>
              </w:rPr>
              <w:t>是否响应付款方式</w:t>
            </w:r>
          </w:p>
        </w:tc>
        <w:tc>
          <w:tcPr>
            <w:tcW w:w="3491" w:type="pct"/>
            <w:vAlign w:val="center"/>
          </w:tcPr>
          <w:p w14:paraId="1179077A">
            <w:pPr>
              <w:snapToGrid w:val="0"/>
              <w:rPr>
                <w:rFonts w:cs="宋体" w:asciiTheme="minorEastAsia" w:hAnsiTheme="minorEastAsia" w:eastAsiaTheme="minorEastAsia"/>
                <w:bCs/>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是</w:t>
            </w:r>
            <w:r>
              <w:rPr>
                <w:rFonts w:hint="eastAsia" w:cs="宋体" w:asciiTheme="minorEastAsia" w:hAnsiTheme="minorEastAsia" w:eastAsiaTheme="minorEastAsia"/>
                <w:color w:val="auto"/>
                <w:kern w:val="2"/>
                <w:sz w:val="24"/>
                <w:szCs w:val="24"/>
                <w:highlight w:val="none"/>
                <w:lang w:eastAsia="zh-CN"/>
              </w:rPr>
              <w:t>☑</w:t>
            </w:r>
            <w:r>
              <w:rPr>
                <w:rFonts w:hint="eastAsia" w:cs="宋体" w:asciiTheme="minorEastAsia" w:hAnsiTheme="minorEastAsia" w:eastAsiaTheme="minorEastAsia"/>
                <w:color w:val="auto"/>
                <w:kern w:val="2"/>
                <w:sz w:val="24"/>
                <w:szCs w:val="24"/>
                <w:highlight w:val="none"/>
              </w:rPr>
              <w:t xml:space="preserve">    否□   （划√）</w:t>
            </w:r>
          </w:p>
        </w:tc>
      </w:tr>
      <w:tr w14:paraId="2F81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509" w:type="pct"/>
            <w:vAlign w:val="center"/>
          </w:tcPr>
          <w:p w14:paraId="4E56141A">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备注说明</w:t>
            </w:r>
          </w:p>
        </w:tc>
        <w:tc>
          <w:tcPr>
            <w:tcW w:w="3491" w:type="pct"/>
          </w:tcPr>
          <w:p w14:paraId="14FD40AB">
            <w:pP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i/>
                <w:color w:val="auto"/>
                <w:kern w:val="2"/>
                <w:sz w:val="21"/>
                <w:szCs w:val="21"/>
                <w:highlight w:val="none"/>
              </w:rPr>
              <w:t>（此处可补充磋商小组根据与供应商磋商情况变动的磋商文件的内容，包括采购需求中的技术、服务要求以及合同草案条款。）</w:t>
            </w:r>
          </w:p>
        </w:tc>
      </w:tr>
      <w:tr w14:paraId="2324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509" w:type="pct"/>
            <w:vAlign w:val="center"/>
          </w:tcPr>
          <w:p w14:paraId="3D42E3B1">
            <w:pPr>
              <w:jc w:val="center"/>
              <w:rPr>
                <w:rFonts w:cs="宋体" w:asciiTheme="minorEastAsia" w:hAnsiTheme="minorEastAsia" w:eastAsiaTheme="minorEastAsia"/>
                <w:b/>
                <w:color w:val="auto"/>
                <w:kern w:val="2"/>
                <w:sz w:val="24"/>
                <w:szCs w:val="24"/>
                <w:highlight w:val="none"/>
              </w:rPr>
            </w:pPr>
            <w:r>
              <w:rPr>
                <w:rFonts w:hint="eastAsia" w:cs="宋体" w:asciiTheme="minorEastAsia" w:hAnsiTheme="minorEastAsia" w:eastAsiaTheme="minorEastAsia"/>
                <w:b/>
                <w:color w:val="auto"/>
                <w:kern w:val="2"/>
                <w:sz w:val="24"/>
                <w:szCs w:val="24"/>
                <w:highlight w:val="none"/>
              </w:rPr>
              <w:t>磋商小组签字</w:t>
            </w:r>
          </w:p>
        </w:tc>
        <w:tc>
          <w:tcPr>
            <w:tcW w:w="3491" w:type="pct"/>
          </w:tcPr>
          <w:p w14:paraId="6C860FE9">
            <w:pPr>
              <w:rPr>
                <w:rFonts w:cs="宋体" w:asciiTheme="minorEastAsia" w:hAnsiTheme="minorEastAsia" w:eastAsiaTheme="minorEastAsia"/>
                <w:b/>
                <w:color w:val="auto"/>
                <w:kern w:val="2"/>
                <w:sz w:val="24"/>
                <w:szCs w:val="24"/>
                <w:highlight w:val="none"/>
              </w:rPr>
            </w:pPr>
          </w:p>
        </w:tc>
      </w:tr>
    </w:tbl>
    <w:p w14:paraId="56C90BA9">
      <w:pPr>
        <w:spacing w:line="440" w:lineRule="exact"/>
        <w:ind w:firstLine="3600" w:firstLineChars="1500"/>
        <w:rPr>
          <w:rFonts w:cs="@仿宋_GB2312"/>
          <w:color w:val="auto"/>
          <w:kern w:val="2"/>
          <w:sz w:val="24"/>
          <w:szCs w:val="24"/>
          <w:highlight w:val="none"/>
          <w:u w:val="single"/>
        </w:rPr>
      </w:pPr>
      <w:r>
        <w:rPr>
          <w:rFonts w:hint="eastAsia" w:cs="@仿宋_GB2312"/>
          <w:color w:val="auto"/>
          <w:kern w:val="2"/>
          <w:sz w:val="24"/>
          <w:szCs w:val="24"/>
          <w:highlight w:val="none"/>
        </w:rPr>
        <w:t>供应商公章或授权代表签字：</w:t>
      </w:r>
      <w:r>
        <w:rPr>
          <w:rFonts w:hint="eastAsia" w:cs="@仿宋_GB2312"/>
          <w:color w:val="auto"/>
          <w:kern w:val="2"/>
          <w:sz w:val="24"/>
          <w:szCs w:val="24"/>
          <w:highlight w:val="none"/>
          <w:u w:val="single"/>
        </w:rPr>
        <w:t xml:space="preserve">     </w:t>
      </w:r>
      <w:r>
        <w:rPr>
          <w:rFonts w:cs="@仿宋_GB2312"/>
          <w:color w:val="auto"/>
          <w:kern w:val="2"/>
          <w:sz w:val="24"/>
          <w:szCs w:val="24"/>
          <w:highlight w:val="none"/>
          <w:u w:val="single"/>
        </w:rPr>
        <w:t xml:space="preserve">    </w:t>
      </w:r>
      <w:r>
        <w:rPr>
          <w:rFonts w:hint="eastAsia" w:cs="@仿宋_GB2312"/>
          <w:color w:val="auto"/>
          <w:kern w:val="2"/>
          <w:sz w:val="24"/>
          <w:szCs w:val="24"/>
          <w:highlight w:val="none"/>
          <w:u w:val="single"/>
        </w:rPr>
        <w:t xml:space="preserve">    </w:t>
      </w:r>
    </w:p>
    <w:p w14:paraId="3FD97600">
      <w:pPr>
        <w:spacing w:line="440" w:lineRule="exact"/>
        <w:ind w:firstLine="4800" w:firstLineChars="2000"/>
        <w:rPr>
          <w:rFonts w:cs="宋体" w:asciiTheme="minorEastAsia" w:hAnsiTheme="minorEastAsia" w:eastAsiaTheme="minorEastAsia"/>
          <w:b/>
          <w:bCs/>
          <w:color w:val="auto"/>
          <w:kern w:val="2"/>
          <w:sz w:val="24"/>
          <w:szCs w:val="24"/>
          <w:highlight w:val="none"/>
        </w:rPr>
      </w:pPr>
      <w:r>
        <w:rPr>
          <w:rFonts w:hint="eastAsia" w:cs="@仿宋_GB2312"/>
          <w:color w:val="auto"/>
          <w:kern w:val="2"/>
          <w:sz w:val="24"/>
          <w:szCs w:val="24"/>
          <w:highlight w:val="none"/>
        </w:rPr>
        <w:t xml:space="preserve">日     </w:t>
      </w:r>
      <w:r>
        <w:rPr>
          <w:rFonts w:cs="@仿宋_GB2312"/>
          <w:color w:val="auto"/>
          <w:kern w:val="2"/>
          <w:sz w:val="24"/>
          <w:szCs w:val="24"/>
          <w:highlight w:val="none"/>
        </w:rPr>
        <w:t xml:space="preserve">    </w:t>
      </w:r>
      <w:r>
        <w:rPr>
          <w:rFonts w:hint="eastAsia" w:cs="@仿宋_GB2312"/>
          <w:color w:val="auto"/>
          <w:kern w:val="2"/>
          <w:sz w:val="24"/>
          <w:szCs w:val="24"/>
          <w:highlight w:val="none"/>
        </w:rPr>
        <w:t xml:space="preserve"> 期：</w:t>
      </w:r>
      <w:r>
        <w:rPr>
          <w:rFonts w:hint="eastAsia" w:cs="@仿宋_GB2312"/>
          <w:color w:val="auto"/>
          <w:kern w:val="2"/>
          <w:sz w:val="24"/>
          <w:szCs w:val="24"/>
          <w:highlight w:val="none"/>
          <w:u w:val="single"/>
        </w:rPr>
        <w:t xml:space="preserve">             </w:t>
      </w:r>
    </w:p>
    <w:p w14:paraId="0D146A0A">
      <w:pPr>
        <w:adjustRightInd w:val="0"/>
        <w:snapToGrid w:val="0"/>
        <w:spacing w:line="360" w:lineRule="auto"/>
        <w:rPr>
          <w:rFonts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注：</w:t>
      </w:r>
    </w:p>
    <w:p w14:paraId="2E4B36F0">
      <w:pPr>
        <w:spacing w:line="360" w:lineRule="auto"/>
        <w:ind w:firstLine="482" w:firstLineChars="200"/>
        <w:jc w:val="left"/>
        <w:rPr>
          <w:rFonts w:hint="eastAsia"/>
          <w:b/>
          <w:bCs/>
          <w:color w:val="FF0000"/>
          <w:sz w:val="24"/>
          <w:szCs w:val="24"/>
          <w:highlight w:val="none"/>
          <w:lang w:val="en-US" w:eastAsia="zh-CN"/>
        </w:rPr>
      </w:pPr>
      <w:bookmarkStart w:id="746" w:name="_Toc7943"/>
      <w:bookmarkStart w:id="747" w:name="_Toc22429"/>
      <w:bookmarkStart w:id="748" w:name="_Toc520983591"/>
      <w:r>
        <w:rPr>
          <w:rFonts w:hint="eastAsia" w:ascii="宋体" w:hAnsi="宋体" w:eastAsia="宋体"/>
          <w:b/>
          <w:bCs/>
          <w:color w:val="auto"/>
          <w:sz w:val="24"/>
          <w:szCs w:val="24"/>
          <w:highlight w:val="none"/>
        </w:rPr>
        <w:t>1.本页《报价表》由供应商在接到报价通知后依据磋商情况填写,并在规定</w:t>
      </w:r>
      <w:r>
        <w:rPr>
          <w:rFonts w:hint="eastAsia"/>
          <w:b/>
          <w:bCs/>
          <w:color w:val="auto"/>
          <w:sz w:val="24"/>
          <w:szCs w:val="24"/>
          <w:highlight w:val="none"/>
          <w:lang w:val="en-US" w:eastAsia="zh-CN"/>
        </w:rPr>
        <w:t>30分钟</w:t>
      </w:r>
      <w:r>
        <w:rPr>
          <w:rFonts w:hint="eastAsia" w:ascii="宋体" w:hAnsi="宋体" w:eastAsia="宋体"/>
          <w:b/>
          <w:bCs/>
          <w:color w:val="auto"/>
          <w:sz w:val="24"/>
          <w:szCs w:val="24"/>
          <w:highlight w:val="none"/>
        </w:rPr>
        <w:t>内提交。</w:t>
      </w:r>
      <w:r>
        <w:rPr>
          <w:rFonts w:hint="eastAsia" w:ascii="宋体" w:hAnsi="宋体" w:eastAsia="宋体"/>
          <w:b/>
          <w:bCs/>
          <w:color w:val="FF0000"/>
          <w:sz w:val="24"/>
          <w:szCs w:val="24"/>
          <w:highlight w:val="none"/>
        </w:rPr>
        <w:t>供应商在填写最后承诺报价后，</w:t>
      </w:r>
      <w:r>
        <w:rPr>
          <w:rFonts w:hint="eastAsia"/>
          <w:b/>
          <w:bCs/>
          <w:color w:val="FF0000"/>
          <w:sz w:val="24"/>
          <w:szCs w:val="24"/>
          <w:highlight w:val="none"/>
          <w:lang w:val="en-US" w:eastAsia="zh-CN"/>
        </w:rPr>
        <w:t>得出最终投标下浮率作为单价结算依据。供应商最终的投标下浮率=（最高投标限价-最后承诺报价）/最高投标限价×100%。此下浮率调整原则适用于合同内价格的计算及项目增减、变更时价格的计算（①以上最高投标限价、最后承诺报价计算时均不含安全生产费；②计算结果保留小数点后两位，小数点后第三位“四舍五入”） 。</w:t>
      </w:r>
    </w:p>
    <w:p w14:paraId="4E7BC9EF">
      <w:pPr>
        <w:spacing w:line="360" w:lineRule="auto"/>
        <w:ind w:firstLine="482" w:firstLineChars="200"/>
        <w:jc w:val="left"/>
        <w:rPr>
          <w:rFonts w:ascii="宋体" w:hAnsi="宋体" w:eastAsia="宋体" w:cs="宋体"/>
          <w:b/>
          <w:bCs/>
          <w:color w:val="FF0000"/>
          <w:sz w:val="24"/>
          <w:szCs w:val="24"/>
          <w:highlight w:val="none"/>
        </w:rPr>
      </w:pPr>
      <w:r>
        <w:rPr>
          <w:rFonts w:hint="eastAsia" w:ascii="宋体" w:hAnsi="宋体" w:eastAsia="宋体" w:cs="宋体"/>
          <w:b/>
          <w:bCs/>
          <w:color w:val="FF0000"/>
          <w:sz w:val="24"/>
          <w:szCs w:val="24"/>
          <w:highlight w:val="none"/>
        </w:rPr>
        <w:t>2.如按照上述原则存在部分分项报价无法取整，合同价格按照最终承诺报价不变双方协商后修正部分分项报价单价</w:t>
      </w:r>
      <w:r>
        <w:rPr>
          <w:rFonts w:hint="eastAsia" w:cs="宋体"/>
          <w:b/>
          <w:bCs/>
          <w:color w:val="FF0000"/>
          <w:sz w:val="24"/>
          <w:szCs w:val="24"/>
          <w:highlight w:val="none"/>
          <w:lang w:eastAsia="zh-CN"/>
        </w:rPr>
        <w:t>，</w:t>
      </w:r>
      <w:r>
        <w:rPr>
          <w:rFonts w:hint="eastAsia" w:cs="宋体"/>
          <w:b/>
          <w:bCs/>
          <w:color w:val="FF0000"/>
          <w:sz w:val="24"/>
          <w:szCs w:val="24"/>
          <w:highlight w:val="none"/>
          <w:lang w:val="en-US" w:eastAsia="zh-CN"/>
        </w:rPr>
        <w:t>并将调整后的分项单价作为结算依据</w:t>
      </w:r>
      <w:r>
        <w:rPr>
          <w:rFonts w:hint="eastAsia" w:ascii="宋体" w:hAnsi="宋体" w:eastAsia="宋体" w:cs="宋体"/>
          <w:b/>
          <w:bCs/>
          <w:color w:val="FF0000"/>
          <w:sz w:val="24"/>
          <w:szCs w:val="24"/>
          <w:highlight w:val="none"/>
        </w:rPr>
        <w:t>。</w:t>
      </w:r>
    </w:p>
    <w:p w14:paraId="3A321F0E">
      <w:pPr>
        <w:spacing w:line="360" w:lineRule="auto"/>
        <w:ind w:firstLine="482" w:firstLineChars="200"/>
        <w:jc w:val="left"/>
        <w:rPr>
          <w:rFonts w:ascii="宋体" w:hAnsi="宋体" w:eastAsia="宋体" w:cs="宋体"/>
          <w:b/>
          <w:bCs/>
          <w:color w:val="auto"/>
          <w:sz w:val="24"/>
          <w:szCs w:val="24"/>
          <w:highlight w:val="none"/>
        </w:rPr>
      </w:pPr>
      <w:r>
        <w:rPr>
          <w:rFonts w:hint="default" w:ascii="宋体" w:hAnsi="宋体" w:eastAsia="宋体" w:cs="宋体"/>
          <w:b/>
          <w:bCs/>
          <w:color w:val="auto"/>
          <w:sz w:val="24"/>
          <w:szCs w:val="24"/>
          <w:highlight w:val="none"/>
          <w:lang w:val="en-US"/>
        </w:rPr>
        <w:t>3</w:t>
      </w:r>
      <w:r>
        <w:rPr>
          <w:rFonts w:hint="eastAsia" w:ascii="宋体" w:hAnsi="宋体" w:eastAsia="宋体" w:cs="宋体"/>
          <w:b/>
          <w:bCs/>
          <w:color w:val="auto"/>
          <w:sz w:val="24"/>
          <w:szCs w:val="24"/>
          <w:highlight w:val="none"/>
        </w:rPr>
        <w:t>.表中大写金额与小写金额不一致的，以大写金额为准。</w:t>
      </w:r>
    </w:p>
    <w:p w14:paraId="111F84E1">
      <w:pPr>
        <w:rPr>
          <w:rFonts w:hint="eastAsia" w:cs="@仿宋_GB2312" w:asciiTheme="minorEastAsia" w:hAnsiTheme="minorEastAsia" w:eastAsiaTheme="minorEastAsia"/>
          <w:b/>
          <w:bCs/>
          <w:color w:val="auto"/>
          <w:kern w:val="2"/>
          <w:sz w:val="24"/>
          <w:szCs w:val="24"/>
          <w:highlight w:val="none"/>
          <w:lang w:val="en-US" w:eastAsia="zh-CN"/>
        </w:rPr>
      </w:pPr>
      <w:r>
        <w:rPr>
          <w:rFonts w:hint="eastAsia" w:cs="@仿宋_GB2312" w:asciiTheme="minorEastAsia" w:hAnsiTheme="minorEastAsia" w:eastAsiaTheme="minorEastAsia"/>
          <w:b/>
          <w:bCs/>
          <w:color w:val="auto"/>
          <w:kern w:val="2"/>
          <w:sz w:val="24"/>
          <w:szCs w:val="24"/>
          <w:highlight w:val="none"/>
          <w:lang w:val="en-US" w:eastAsia="zh-CN"/>
        </w:rPr>
        <w:br w:type="page"/>
      </w:r>
    </w:p>
    <w:p w14:paraId="512C21CC">
      <w:pPr>
        <w:keepNext/>
        <w:keepLines/>
        <w:spacing w:before="260" w:after="260" w:line="416" w:lineRule="auto"/>
        <w:jc w:val="center"/>
        <w:outlineLvl w:val="1"/>
        <w:rPr>
          <w:rFonts w:cs="@仿宋_GB2312" w:asciiTheme="minorEastAsia" w:hAnsiTheme="minorEastAsia" w:eastAsiaTheme="minorEastAsia"/>
          <w:b/>
          <w:bCs/>
          <w:color w:val="auto"/>
          <w:kern w:val="2"/>
          <w:sz w:val="24"/>
          <w:szCs w:val="24"/>
          <w:highlight w:val="none"/>
        </w:rPr>
      </w:pPr>
      <w:r>
        <w:rPr>
          <w:rFonts w:hint="eastAsia" w:cs="@仿宋_GB2312" w:asciiTheme="minorEastAsia" w:hAnsiTheme="minorEastAsia" w:eastAsiaTheme="minorEastAsia"/>
          <w:b/>
          <w:bCs/>
          <w:color w:val="auto"/>
          <w:kern w:val="2"/>
          <w:sz w:val="24"/>
          <w:szCs w:val="24"/>
          <w:highlight w:val="none"/>
          <w:lang w:val="en-US" w:eastAsia="zh-CN"/>
        </w:rPr>
        <w:t>二</w:t>
      </w:r>
      <w:r>
        <w:rPr>
          <w:rFonts w:hint="eastAsia" w:cs="@仿宋_GB2312" w:asciiTheme="minorEastAsia" w:hAnsiTheme="minorEastAsia" w:eastAsiaTheme="minorEastAsia"/>
          <w:b/>
          <w:bCs/>
          <w:color w:val="auto"/>
          <w:kern w:val="2"/>
          <w:sz w:val="24"/>
          <w:szCs w:val="24"/>
          <w:highlight w:val="none"/>
        </w:rPr>
        <w:t>、供应商综合情况简介</w:t>
      </w:r>
      <w:bookmarkEnd w:id="746"/>
      <w:bookmarkEnd w:id="747"/>
    </w:p>
    <w:p w14:paraId="3F7EBAEF">
      <w:pPr>
        <w:spacing w:before="156" w:beforeLines="50" w:after="156" w:afterLines="50" w:line="360" w:lineRule="auto"/>
        <w:ind w:firstLine="235" w:firstLineChars="98"/>
        <w:jc w:val="center"/>
        <w:rPr>
          <w:color w:val="auto"/>
          <w:sz w:val="24"/>
          <w:szCs w:val="28"/>
          <w:highlight w:val="none"/>
        </w:rPr>
      </w:pPr>
      <w:r>
        <w:rPr>
          <w:rFonts w:hint="eastAsia"/>
          <w:color w:val="auto"/>
          <w:sz w:val="24"/>
          <w:szCs w:val="28"/>
          <w:highlight w:val="none"/>
        </w:rPr>
        <w:t>（供应商可自行制作格式）</w:t>
      </w:r>
    </w:p>
    <w:p w14:paraId="2BF58B4C">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060198A8">
      <w:pPr>
        <w:spacing w:line="360" w:lineRule="auto"/>
        <w:jc w:val="center"/>
        <w:outlineLvl w:val="1"/>
        <w:rPr>
          <w:rFonts w:asciiTheme="minorEastAsia" w:hAnsiTheme="minorEastAsia" w:eastAsiaTheme="minorEastAsia"/>
          <w:b/>
          <w:color w:val="auto"/>
          <w:sz w:val="24"/>
          <w:highlight w:val="none"/>
        </w:rPr>
      </w:pPr>
      <w:bookmarkStart w:id="749" w:name="_Toc8006"/>
      <w:bookmarkStart w:id="750" w:name="_Toc28160"/>
      <w:r>
        <w:rPr>
          <w:rFonts w:hint="eastAsia" w:asciiTheme="minorEastAsia" w:hAnsiTheme="minorEastAsia" w:eastAsiaTheme="minorEastAsia"/>
          <w:b/>
          <w:color w:val="auto"/>
          <w:sz w:val="24"/>
          <w:highlight w:val="none"/>
          <w:lang w:val="en-US" w:eastAsia="zh-CN"/>
        </w:rPr>
        <w:t>三</w:t>
      </w:r>
      <w:r>
        <w:rPr>
          <w:rFonts w:hint="eastAsia" w:asciiTheme="minorEastAsia" w:hAnsiTheme="minorEastAsia" w:eastAsiaTheme="minorEastAsia"/>
          <w:b/>
          <w:color w:val="auto"/>
          <w:sz w:val="24"/>
          <w:highlight w:val="none"/>
        </w:rPr>
        <w:t>、磋商响应函</w:t>
      </w:r>
      <w:bookmarkEnd w:id="748"/>
      <w:bookmarkEnd w:id="749"/>
      <w:bookmarkEnd w:id="750"/>
    </w:p>
    <w:p w14:paraId="5E0A318A">
      <w:pPr>
        <w:spacing w:line="360" w:lineRule="auto"/>
        <w:rPr>
          <w:rFonts w:hint="eastAsia" w:cs="宋体" w:asciiTheme="minorEastAsia" w:hAnsiTheme="minorEastAsia" w:eastAsiaTheme="minorEastAsia"/>
          <w:b/>
          <w:color w:val="auto"/>
          <w:kern w:val="2"/>
          <w:sz w:val="24"/>
          <w:szCs w:val="24"/>
          <w:highlight w:val="none"/>
          <w:u w:val="single"/>
          <w:lang w:eastAsia="zh-CN"/>
        </w:rPr>
      </w:pPr>
      <w:r>
        <w:rPr>
          <w:rFonts w:hint="eastAsia" w:cs="宋体" w:asciiTheme="minorEastAsia" w:hAnsiTheme="minorEastAsia" w:eastAsiaTheme="minorEastAsia"/>
          <w:b/>
          <w:color w:val="auto"/>
          <w:kern w:val="2"/>
          <w:sz w:val="24"/>
          <w:szCs w:val="24"/>
          <w:highlight w:val="none"/>
        </w:rPr>
        <w:t>致：</w:t>
      </w:r>
      <w:r>
        <w:rPr>
          <w:rFonts w:hint="eastAsia" w:cs="宋体" w:asciiTheme="minorEastAsia" w:hAnsiTheme="minorEastAsia" w:eastAsiaTheme="minorEastAsia"/>
          <w:b/>
          <w:color w:val="auto"/>
          <w:kern w:val="2"/>
          <w:sz w:val="24"/>
          <w:szCs w:val="24"/>
          <w:highlight w:val="none"/>
          <w:u w:val="single"/>
          <w:lang w:eastAsia="zh-CN"/>
        </w:rPr>
        <w:t>采购人</w:t>
      </w:r>
    </w:p>
    <w:p w14:paraId="22DB5BED">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根据贵方的竞争性磋商公告和磋商邀请，我方兹宣布同意如下：</w:t>
      </w:r>
    </w:p>
    <w:p w14:paraId="4D4D8CB1">
      <w:pPr>
        <w:spacing w:line="360" w:lineRule="auto"/>
        <w:ind w:firstLine="480" w:firstLineChars="200"/>
        <w:rPr>
          <w:rFonts w:cs="宋体" w:asciiTheme="minorEastAsia" w:hAnsiTheme="minorEastAsia" w:eastAsiaTheme="minorEastAsia"/>
          <w:color w:val="auto"/>
          <w:kern w:val="2"/>
          <w:sz w:val="24"/>
          <w:szCs w:val="24"/>
          <w:highlight w:val="none"/>
          <w:u w:val="single"/>
        </w:rPr>
      </w:pPr>
      <w:r>
        <w:rPr>
          <w:rFonts w:hint="eastAsia" w:cs="宋体" w:asciiTheme="minorEastAsia" w:hAnsiTheme="minorEastAsia" w:eastAsiaTheme="minorEastAsia"/>
          <w:color w:val="auto"/>
          <w:kern w:val="2"/>
          <w:sz w:val="24"/>
          <w:szCs w:val="24"/>
          <w:highlight w:val="none"/>
        </w:rPr>
        <w:t>1.经踏勘项目现场和研究上述磋商文件的磋商须知、合同条款、图纸和工程建设技术标准及其他有关文件后，我方接受上述文件要求，并对工程量清单及最高投标限价无异议。我方</w:t>
      </w:r>
      <w:r>
        <w:rPr>
          <w:rFonts w:hint="eastAsia" w:cs="宋体" w:asciiTheme="minorEastAsia" w:hAnsiTheme="minorEastAsia" w:eastAsiaTheme="minorEastAsia"/>
          <w:bCs/>
          <w:color w:val="auto"/>
          <w:kern w:val="2"/>
          <w:sz w:val="24"/>
          <w:szCs w:val="24"/>
          <w:highlight w:val="none"/>
        </w:rPr>
        <w:t>承诺按本磋商文件、施工图纸、合同条款和工程建设技术标准的条件、</w:t>
      </w:r>
      <w:r>
        <w:rPr>
          <w:rFonts w:hint="eastAsia" w:cs="宋体" w:asciiTheme="minorEastAsia" w:hAnsiTheme="minorEastAsia" w:eastAsiaTheme="minorEastAsia"/>
          <w:color w:val="auto"/>
          <w:kern w:val="2"/>
          <w:sz w:val="24"/>
          <w:szCs w:val="24"/>
          <w:highlight w:val="none"/>
        </w:rPr>
        <w:t>承担</w:t>
      </w:r>
      <w:r>
        <w:rPr>
          <w:rFonts w:hint="eastAsia" w:cs="宋体" w:asciiTheme="minorEastAsia" w:hAnsiTheme="minorEastAsia" w:eastAsiaTheme="minorEastAsia"/>
          <w:bCs/>
          <w:color w:val="auto"/>
          <w:kern w:val="2"/>
          <w:sz w:val="24"/>
          <w:szCs w:val="24"/>
          <w:highlight w:val="none"/>
        </w:rPr>
        <w:t>上述工程的施工、</w:t>
      </w:r>
      <w:r>
        <w:rPr>
          <w:rFonts w:hint="eastAsia" w:cs="宋体" w:asciiTheme="minorEastAsia" w:hAnsiTheme="minorEastAsia" w:eastAsiaTheme="minorEastAsia"/>
          <w:bCs/>
          <w:color w:val="auto"/>
          <w:kern w:val="2"/>
          <w:sz w:val="24"/>
          <w:szCs w:val="24"/>
          <w:highlight w:val="none"/>
          <w:lang w:eastAsia="zh-CN"/>
        </w:rPr>
        <w:t>完工</w:t>
      </w:r>
      <w:r>
        <w:rPr>
          <w:rFonts w:hint="eastAsia" w:cs="宋体" w:asciiTheme="minorEastAsia" w:hAnsiTheme="minorEastAsia" w:eastAsiaTheme="minorEastAsia"/>
          <w:bCs/>
          <w:color w:val="auto"/>
          <w:kern w:val="2"/>
          <w:sz w:val="24"/>
          <w:szCs w:val="24"/>
          <w:highlight w:val="none"/>
        </w:rPr>
        <w:t>，并承担任何质量缺陷保修责任。</w:t>
      </w:r>
    </w:p>
    <w:p w14:paraId="5C9C5D7F">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asciiTheme="minorEastAsia" w:hAnsiTheme="minorEastAsia" w:eastAsiaTheme="minorEastAsia"/>
          <w:color w:val="auto"/>
          <w:kern w:val="2"/>
          <w:sz w:val="24"/>
          <w:szCs w:val="24"/>
          <w:highlight w:val="none"/>
        </w:rPr>
        <w:t>2.我方已详细审核并确认全部磋商文件及有关附件，充分理解磋商价格不得低于企业个别成本有关规定。我方经成本核算，所填报的磋商报价不低于企业个别成本。</w:t>
      </w:r>
    </w:p>
    <w:p w14:paraId="2B4EFFD8">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w:t>
      </w:r>
      <w:r>
        <w:rPr>
          <w:rFonts w:hint="eastAsia" w:ascii="宋体" w:hAnsi="宋体" w:eastAsia="宋体" w:cs="宋体"/>
          <w:color w:val="auto"/>
          <w:sz w:val="24"/>
          <w:szCs w:val="24"/>
          <w:highlight w:val="none"/>
        </w:rPr>
        <w:t>我方保证按磋商文件约定的工期和磋商文件或业主开工令的要求如期开工、工程质量达到合格标准、如期</w:t>
      </w:r>
      <w:r>
        <w:rPr>
          <w:rFonts w:hint="eastAsia" w:cs="宋体"/>
          <w:color w:val="auto"/>
          <w:sz w:val="24"/>
          <w:szCs w:val="24"/>
          <w:highlight w:val="none"/>
          <w:lang w:eastAsia="zh-CN"/>
        </w:rPr>
        <w:t>完工</w:t>
      </w:r>
      <w:r>
        <w:rPr>
          <w:rFonts w:hint="eastAsia" w:ascii="宋体" w:hAnsi="宋体" w:eastAsia="宋体" w:cs="宋体"/>
          <w:color w:val="auto"/>
          <w:sz w:val="24"/>
          <w:szCs w:val="24"/>
          <w:highlight w:val="none"/>
        </w:rPr>
        <w:t>并移交整个工程。</w:t>
      </w:r>
    </w:p>
    <w:p w14:paraId="39E62A19">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.我方同意所提交的响应文件在磋商文件规定的磋商有效期内有效，在此期间内如果成交，我方将受此约束。</w:t>
      </w:r>
    </w:p>
    <w:p w14:paraId="6BB148A4">
      <w:pPr>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.除非另外达成协议并生效，你方的成交通知书和本响应文件以及磋商文件、磋商文件澄清、修改、补充将成为约束双方的合同文件的组成部分。</w:t>
      </w:r>
    </w:p>
    <w:p w14:paraId="01FC69AF">
      <w:pPr>
        <w:spacing w:line="360" w:lineRule="auto"/>
        <w:ind w:firstLine="435"/>
        <w:rPr>
          <w:rFonts w:hint="eastAsia" w:ascii="宋体" w:hAnsi="宋体" w:eastAsia="宋体"/>
          <w:b/>
          <w:bCs/>
          <w:color w:val="auto"/>
          <w:sz w:val="24"/>
          <w:szCs w:val="24"/>
          <w:highlight w:val="none"/>
          <w:lang w:val="en-US" w:eastAsia="zh-CN"/>
        </w:rPr>
      </w:pPr>
      <w:r>
        <w:rPr>
          <w:rFonts w:hint="eastAsia"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.其他补充说明：</w:t>
      </w:r>
      <w:r>
        <w:rPr>
          <w:rFonts w:ascii="宋体" w:hAnsi="宋体" w:eastAsia="宋体" w:cs="宋体"/>
          <w:b/>
          <w:bCs/>
          <w:color w:val="auto"/>
          <w:sz w:val="24"/>
          <w:szCs w:val="24"/>
          <w:highlight w:val="none"/>
        </w:rPr>
        <w:t>我方</w:t>
      </w:r>
      <w:r>
        <w:rPr>
          <w:rFonts w:hint="eastAsia" w:ascii="宋体" w:hAnsi="宋体" w:eastAsia="宋体" w:cs="宋体"/>
          <w:b/>
          <w:bCs/>
          <w:color w:val="auto"/>
          <w:sz w:val="24"/>
          <w:szCs w:val="24"/>
          <w:highlight w:val="none"/>
          <w:lang w:val="en-US" w:eastAsia="zh-CN"/>
        </w:rPr>
        <w:t>承诺</w:t>
      </w:r>
      <w:r>
        <w:rPr>
          <w:rFonts w:ascii="宋体" w:hAnsi="宋体" w:eastAsia="宋体" w:cs="宋体"/>
          <w:b/>
          <w:bCs/>
          <w:color w:val="auto"/>
          <w:sz w:val="24"/>
          <w:szCs w:val="24"/>
          <w:highlight w:val="none"/>
        </w:rPr>
        <w:t>在本项目响应中提供的投标授权委托代理人，以及</w:t>
      </w:r>
      <w:r>
        <w:rPr>
          <w:rFonts w:hint="eastAsia" w:ascii="宋体" w:hAnsi="宋体" w:eastAsia="宋体" w:cs="宋体"/>
          <w:b/>
          <w:bCs/>
          <w:color w:val="auto"/>
          <w:sz w:val="24"/>
          <w:szCs w:val="24"/>
          <w:highlight w:val="none"/>
          <w:lang w:val="en-US" w:eastAsia="zh-CN"/>
        </w:rPr>
        <w:t>响应</w:t>
      </w:r>
      <w:r>
        <w:rPr>
          <w:rFonts w:ascii="宋体" w:hAnsi="宋体" w:eastAsia="宋体" w:cs="宋体"/>
          <w:b/>
          <w:bCs/>
          <w:color w:val="auto"/>
          <w:sz w:val="24"/>
          <w:szCs w:val="24"/>
          <w:highlight w:val="none"/>
        </w:rPr>
        <w:t>文件中确定的项目管理人员，均与我单位具有劳动合同关系、且已依法缴纳社会保险。</w:t>
      </w:r>
      <w:r>
        <w:rPr>
          <w:rFonts w:hint="eastAsia" w:ascii="宋体" w:hAnsi="宋体" w:eastAsia="宋体" w:cs="宋体"/>
          <w:b/>
          <w:bCs/>
          <w:color w:val="auto"/>
          <w:sz w:val="24"/>
          <w:szCs w:val="24"/>
          <w:highlight w:val="none"/>
          <w:lang w:val="en-US" w:eastAsia="zh-CN"/>
        </w:rPr>
        <w:t>成交后如发现有虚假承诺，</w:t>
      </w:r>
      <w:r>
        <w:rPr>
          <w:rFonts w:ascii="宋体" w:hAnsi="宋体" w:eastAsia="宋体" w:cs="宋体"/>
          <w:b/>
          <w:bCs/>
          <w:sz w:val="24"/>
          <w:szCs w:val="24"/>
        </w:rPr>
        <w:t>采购人有权解除合同，并追究违约责任，同时将相关违约行为报送监管部门，记不良行为记录，实施信用惩戒</w:t>
      </w:r>
      <w:r>
        <w:rPr>
          <w:rFonts w:hint="eastAsia" w:ascii="宋体" w:hAnsi="宋体" w:eastAsia="宋体" w:cs="宋体"/>
          <w:b/>
          <w:bCs/>
          <w:sz w:val="24"/>
          <w:szCs w:val="24"/>
          <w:lang w:eastAsia="zh-CN"/>
        </w:rPr>
        <w:t>。</w:t>
      </w:r>
    </w:p>
    <w:p w14:paraId="1691416C">
      <w:pPr>
        <w:pStyle w:val="54"/>
        <w:ind w:firstLine="200"/>
        <w:rPr>
          <w:color w:val="auto"/>
          <w:highlight w:val="none"/>
          <w:lang w:val="en-US"/>
        </w:rPr>
      </w:pPr>
    </w:p>
    <w:p w14:paraId="3DB4E68B">
      <w:pPr>
        <w:spacing w:line="360" w:lineRule="auto"/>
        <w:ind w:firstLine="4800" w:firstLineChars="2000"/>
        <w:rPr>
          <w:rFonts w:cs="@仿宋_GB2312"/>
          <w:color w:val="auto"/>
          <w:kern w:val="2"/>
          <w:sz w:val="24"/>
          <w:highlight w:val="none"/>
        </w:rPr>
      </w:pPr>
      <w:r>
        <w:rPr>
          <w:rFonts w:hint="eastAsia" w:cs="@仿宋_GB2312"/>
          <w:color w:val="auto"/>
          <w:kern w:val="2"/>
          <w:sz w:val="24"/>
          <w:highlight w:val="none"/>
        </w:rPr>
        <w:t>供应商电子签章：</w:t>
      </w:r>
      <w:r>
        <w:rPr>
          <w:rFonts w:hint="eastAsia" w:cs="@仿宋_GB2312"/>
          <w:color w:val="auto"/>
          <w:kern w:val="2"/>
          <w:sz w:val="24"/>
          <w:highlight w:val="none"/>
          <w:u w:val="single"/>
        </w:rPr>
        <w:t xml:space="preserve">             </w:t>
      </w:r>
    </w:p>
    <w:p w14:paraId="207ED281">
      <w:pPr>
        <w:spacing w:line="360" w:lineRule="auto"/>
        <w:ind w:firstLine="4800" w:firstLineChars="2000"/>
        <w:rPr>
          <w:rFonts w:cs="@仿宋_GB2312"/>
          <w:color w:val="auto"/>
          <w:kern w:val="2"/>
          <w:sz w:val="24"/>
          <w:highlight w:val="none"/>
          <w:u w:val="single"/>
        </w:rPr>
      </w:pPr>
      <w:r>
        <w:rPr>
          <w:rFonts w:hint="eastAsia" w:cs="@仿宋_GB2312"/>
          <w:color w:val="auto"/>
          <w:kern w:val="2"/>
          <w:sz w:val="24"/>
          <w:highlight w:val="none"/>
        </w:rPr>
        <w:t>日          期：</w:t>
      </w:r>
      <w:r>
        <w:rPr>
          <w:rFonts w:hint="eastAsia" w:cs="@仿宋_GB2312"/>
          <w:color w:val="auto"/>
          <w:kern w:val="2"/>
          <w:sz w:val="24"/>
          <w:highlight w:val="none"/>
          <w:u w:val="single"/>
        </w:rPr>
        <w:t xml:space="preserve">             </w:t>
      </w:r>
    </w:p>
    <w:p w14:paraId="15BC935F">
      <w:pPr>
        <w:widowControl/>
        <w:jc w:val="left"/>
        <w:rPr>
          <w:color w:val="auto"/>
          <w:sz w:val="24"/>
          <w:highlight w:val="none"/>
        </w:rPr>
      </w:pPr>
      <w:r>
        <w:rPr>
          <w:color w:val="auto"/>
          <w:sz w:val="24"/>
          <w:highlight w:val="none"/>
        </w:rPr>
        <w:br w:type="page"/>
      </w:r>
    </w:p>
    <w:p w14:paraId="335007B3">
      <w:pPr>
        <w:spacing w:line="360" w:lineRule="auto"/>
        <w:jc w:val="center"/>
        <w:outlineLvl w:val="1"/>
        <w:rPr>
          <w:b/>
          <w:i/>
          <w:color w:val="auto"/>
          <w:sz w:val="24"/>
          <w:highlight w:val="yellow"/>
        </w:rPr>
      </w:pPr>
      <w:bookmarkStart w:id="751" w:name="_Toc2947"/>
      <w:bookmarkStart w:id="752" w:name="_Toc20728"/>
      <w:r>
        <w:rPr>
          <w:rFonts w:hint="eastAsia" w:asciiTheme="minorEastAsia" w:hAnsiTheme="minorEastAsia" w:eastAsiaTheme="minorEastAsia"/>
          <w:b/>
          <w:color w:val="auto"/>
          <w:sz w:val="24"/>
          <w:highlight w:val="none"/>
          <w:lang w:val="en-US" w:eastAsia="zh-CN"/>
        </w:rPr>
        <w:t>四</w:t>
      </w:r>
      <w:r>
        <w:rPr>
          <w:rFonts w:hint="eastAsia" w:asciiTheme="minorEastAsia" w:hAnsiTheme="minorEastAsia" w:eastAsiaTheme="minorEastAsia"/>
          <w:b/>
          <w:color w:val="auto"/>
          <w:sz w:val="24"/>
          <w:highlight w:val="none"/>
        </w:rPr>
        <w:t>、</w:t>
      </w:r>
      <w:bookmarkEnd w:id="751"/>
      <w:bookmarkStart w:id="753" w:name="_Toc8658"/>
      <w:r>
        <w:rPr>
          <w:rFonts w:hint="eastAsia" w:asciiTheme="minorEastAsia" w:hAnsiTheme="minorEastAsia" w:eastAsiaTheme="minorEastAsia"/>
          <w:b/>
          <w:color w:val="auto"/>
          <w:sz w:val="24"/>
          <w:highlight w:val="none"/>
          <w:lang w:val="en-US" w:eastAsia="zh-CN"/>
        </w:rPr>
        <w:t>供应商资格声明书</w:t>
      </w:r>
      <w:bookmarkEnd w:id="752"/>
      <w:r>
        <w:rPr>
          <w:rFonts w:hint="eastAsia" w:asciiTheme="minorEastAsia" w:hAnsiTheme="minorEastAsia" w:eastAsiaTheme="minorEastAsia"/>
          <w:b/>
          <w:color w:val="auto"/>
          <w:sz w:val="24"/>
          <w:highlight w:val="none"/>
          <w:lang w:val="en-US" w:eastAsia="zh-CN"/>
        </w:rPr>
        <w:t xml:space="preserve"> </w:t>
      </w:r>
    </w:p>
    <w:p w14:paraId="19D8B7AB">
      <w:pPr>
        <w:pStyle w:val="31"/>
        <w:spacing w:line="360" w:lineRule="auto"/>
        <w:rPr>
          <w:rFonts w:hint="eastAsia" w:eastAsia="宋体" w:asciiTheme="minorEastAsia" w:hAnsiTheme="minorEastAsia" w:cstheme="minorEastAsia"/>
          <w:sz w:val="24"/>
          <w:szCs w:val="24"/>
          <w:highlight w:val="none"/>
          <w:lang w:eastAsia="zh-CN"/>
        </w:rPr>
      </w:pPr>
      <w:r>
        <w:rPr>
          <w:rFonts w:hint="eastAsia" w:ascii="宋体" w:hAnsi="宋体"/>
          <w:color w:val="auto"/>
          <w:sz w:val="24"/>
          <w:highlight w:val="none"/>
        </w:rPr>
        <w:t>致：</w:t>
      </w:r>
      <w:r>
        <w:rPr>
          <w:rFonts w:hint="eastAsia" w:ascii="宋体" w:hAnsi="宋体"/>
          <w:color w:val="auto"/>
          <w:sz w:val="24"/>
          <w:highlight w:val="none"/>
          <w:u w:val="single"/>
          <w:lang w:eastAsia="zh-CN"/>
        </w:rPr>
        <w:t>采购人</w:t>
      </w:r>
    </w:p>
    <w:p w14:paraId="47D0DD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在参与本次项目磋商中，我单位承诺：</w:t>
      </w:r>
    </w:p>
    <w:p w14:paraId="7A5CE6C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70C7E8A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03D5E3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34C4F09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12EC7A7">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五</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kern w:val="2"/>
          <w:sz w:val="24"/>
          <w:szCs w:val="24"/>
          <w:highlight w:val="none"/>
        </w:rPr>
        <w:t>近三年内，未发生重大质量事故和重大安全事故（以有关行政管理部门的行政处罚决定或司法机关出具的有关法律文书为准），前述行政处罚已完成信用修复的，但自行政处罚作出机关或信用修复主管部门同意修复之日起满一年的，不受三年期限限制；</w:t>
      </w:r>
    </w:p>
    <w:p w14:paraId="7A8BC90B">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六</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kern w:val="2"/>
          <w:sz w:val="24"/>
          <w:szCs w:val="24"/>
          <w:highlight w:val="none"/>
        </w:rPr>
        <w:t>在本项目</w:t>
      </w:r>
      <w:r>
        <w:rPr>
          <w:rFonts w:hint="eastAsia" w:cs="宋体"/>
          <w:color w:val="auto"/>
          <w:kern w:val="2"/>
          <w:sz w:val="24"/>
          <w:szCs w:val="24"/>
          <w:highlight w:val="none"/>
          <w:lang w:val="en-US" w:eastAsia="zh-CN"/>
        </w:rPr>
        <w:t>磋商</w:t>
      </w:r>
      <w:r>
        <w:rPr>
          <w:rFonts w:hint="eastAsia" w:ascii="宋体" w:hAnsi="宋体" w:eastAsia="宋体" w:cs="宋体"/>
          <w:color w:val="auto"/>
          <w:kern w:val="2"/>
          <w:sz w:val="24"/>
          <w:szCs w:val="24"/>
          <w:highlight w:val="none"/>
        </w:rPr>
        <w:t>有效期内，在本项目所在区域未存在因质量事故、安全事故等被限期承包工程或市场不良行为等被限制磋商资格行为，且处于处罚期内的情况；</w:t>
      </w:r>
    </w:p>
    <w:p w14:paraId="208E0DF1">
      <w:pPr>
        <w:spacing w:line="360" w:lineRule="auto"/>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七</w:t>
      </w:r>
      <w:r>
        <w:rPr>
          <w:rFonts w:hint="eastAsia" w:cs="宋体"/>
          <w:color w:val="auto"/>
          <w:kern w:val="2"/>
          <w:sz w:val="24"/>
          <w:szCs w:val="24"/>
          <w:highlight w:val="none"/>
          <w:lang w:eastAsia="zh-CN"/>
        </w:rPr>
        <w:t>）</w:t>
      </w:r>
      <w:r>
        <w:rPr>
          <w:rFonts w:hint="eastAsia" w:cs="宋体"/>
          <w:color w:val="auto"/>
          <w:kern w:val="2"/>
          <w:sz w:val="24"/>
          <w:szCs w:val="24"/>
          <w:highlight w:val="none"/>
          <w:lang w:val="en-US" w:eastAsia="zh-CN"/>
        </w:rPr>
        <w:t>我单位</w:t>
      </w:r>
      <w:r>
        <w:rPr>
          <w:rFonts w:hint="eastAsia" w:ascii="宋体" w:hAnsi="宋体" w:eastAsia="宋体" w:cs="宋体"/>
          <w:color w:val="auto"/>
          <w:sz w:val="24"/>
          <w:szCs w:val="24"/>
          <w:highlight w:val="none"/>
        </w:rPr>
        <w:t>未被“信用中国”网站列入拖欠农民工工资失信联合惩戒对象名单</w:t>
      </w:r>
      <w:r>
        <w:rPr>
          <w:rFonts w:hint="eastAsia" w:ascii="宋体" w:hAnsi="宋体" w:eastAsia="宋体" w:cs="宋体"/>
          <w:color w:val="auto"/>
          <w:kern w:val="2"/>
          <w:sz w:val="24"/>
          <w:szCs w:val="24"/>
          <w:highlight w:val="none"/>
        </w:rPr>
        <w:t>；</w:t>
      </w:r>
    </w:p>
    <w:p w14:paraId="19FA01B8">
      <w:pPr>
        <w:spacing w:line="360" w:lineRule="auto"/>
        <w:rPr>
          <w:rFonts w:hint="eastAsia" w:ascii="宋体" w:hAnsi="宋体" w:eastAsia="宋体" w:cs="宋体"/>
          <w:b/>
          <w:bCs/>
          <w:color w:val="FF0000"/>
          <w:kern w:val="2"/>
          <w:sz w:val="24"/>
          <w:szCs w:val="24"/>
          <w:highlight w:val="none"/>
        </w:rPr>
      </w:pPr>
      <w:r>
        <w:rPr>
          <w:rFonts w:hint="eastAsia" w:cs="宋体"/>
          <w:b/>
          <w:bCs/>
          <w:color w:val="FF0000"/>
          <w:kern w:val="2"/>
          <w:sz w:val="24"/>
          <w:szCs w:val="24"/>
          <w:highlight w:val="none"/>
          <w:lang w:eastAsia="zh-CN"/>
        </w:rPr>
        <w:t>（</w:t>
      </w:r>
      <w:r>
        <w:rPr>
          <w:rFonts w:hint="eastAsia" w:cs="宋体"/>
          <w:b/>
          <w:bCs/>
          <w:color w:val="FF0000"/>
          <w:kern w:val="2"/>
          <w:sz w:val="24"/>
          <w:szCs w:val="24"/>
          <w:highlight w:val="none"/>
          <w:lang w:val="en-US" w:eastAsia="zh-CN"/>
        </w:rPr>
        <w:t>八）</w:t>
      </w:r>
      <w:r>
        <w:rPr>
          <w:rFonts w:hint="eastAsia" w:ascii="宋体" w:hAnsi="宋体" w:eastAsia="宋体" w:cs="宋体"/>
          <w:b/>
          <w:bCs/>
          <w:color w:val="FF0000"/>
          <w:kern w:val="2"/>
          <w:sz w:val="24"/>
          <w:szCs w:val="24"/>
          <w:highlight w:val="none"/>
        </w:rPr>
        <w:t>为保护农民工的合法权益，不拖欠农民工工资，</w:t>
      </w:r>
      <w:r>
        <w:rPr>
          <w:rFonts w:hint="eastAsia" w:cs="宋体"/>
          <w:b/>
          <w:bCs/>
          <w:color w:val="FF0000"/>
          <w:kern w:val="2"/>
          <w:sz w:val="24"/>
          <w:szCs w:val="24"/>
          <w:highlight w:val="none"/>
          <w:lang w:val="en-US" w:eastAsia="zh-CN"/>
        </w:rPr>
        <w:t>我单位</w:t>
      </w:r>
      <w:r>
        <w:rPr>
          <w:rFonts w:hint="eastAsia" w:ascii="宋体" w:hAnsi="宋体" w:eastAsia="宋体" w:cs="宋体"/>
          <w:b/>
          <w:bCs/>
          <w:color w:val="FF0000"/>
          <w:kern w:val="2"/>
          <w:sz w:val="24"/>
          <w:szCs w:val="24"/>
          <w:highlight w:val="none"/>
        </w:rPr>
        <w:t>中标</w:t>
      </w:r>
      <w:r>
        <w:rPr>
          <w:rFonts w:hint="eastAsia" w:cs="宋体"/>
          <w:b/>
          <w:bCs/>
          <w:color w:val="FF0000"/>
          <w:kern w:val="2"/>
          <w:sz w:val="24"/>
          <w:szCs w:val="24"/>
          <w:highlight w:val="none"/>
          <w:lang w:val="en-US" w:eastAsia="zh-CN"/>
        </w:rPr>
        <w:t>后</w:t>
      </w:r>
      <w:r>
        <w:rPr>
          <w:rFonts w:hint="eastAsia" w:ascii="宋体" w:hAnsi="宋体" w:eastAsia="宋体" w:cs="宋体"/>
          <w:b/>
          <w:bCs/>
          <w:color w:val="FF0000"/>
          <w:kern w:val="2"/>
          <w:sz w:val="24"/>
          <w:szCs w:val="24"/>
          <w:highlight w:val="none"/>
        </w:rPr>
        <w:t>承诺做到:</w:t>
      </w:r>
    </w:p>
    <w:p w14:paraId="110E2BF1">
      <w:pPr>
        <w:spacing w:line="360" w:lineRule="auto"/>
        <w:rPr>
          <w:rFonts w:hint="eastAsia" w:ascii="宋体" w:hAnsi="宋体" w:eastAsia="宋体" w:cs="宋体"/>
          <w:b/>
          <w:bCs/>
          <w:color w:val="FF0000"/>
          <w:kern w:val="2"/>
          <w:sz w:val="24"/>
          <w:szCs w:val="24"/>
          <w:highlight w:val="none"/>
        </w:rPr>
      </w:pPr>
      <w:r>
        <w:rPr>
          <w:rFonts w:hint="eastAsia" w:ascii="宋体" w:hAnsi="宋体" w:eastAsia="宋体" w:cs="宋体"/>
          <w:b/>
          <w:bCs/>
          <w:color w:val="FF0000"/>
          <w:kern w:val="2"/>
          <w:sz w:val="24"/>
          <w:szCs w:val="24"/>
          <w:highlight w:val="none"/>
        </w:rPr>
        <w:t xml:space="preserve">   </w:t>
      </w:r>
      <w:r>
        <w:rPr>
          <w:rFonts w:hint="eastAsia" w:cs="宋体"/>
          <w:b/>
          <w:bCs/>
          <w:color w:val="FF0000"/>
          <w:kern w:val="2"/>
          <w:sz w:val="24"/>
          <w:szCs w:val="24"/>
          <w:highlight w:val="none"/>
          <w:lang w:val="en-US" w:eastAsia="zh-CN"/>
        </w:rPr>
        <w:t>1.</w:t>
      </w:r>
      <w:r>
        <w:rPr>
          <w:rFonts w:hint="eastAsia" w:ascii="宋体" w:hAnsi="宋体" w:eastAsia="宋体" w:cs="宋体"/>
          <w:b/>
          <w:bCs/>
          <w:color w:val="FF0000"/>
          <w:kern w:val="2"/>
          <w:sz w:val="24"/>
          <w:szCs w:val="24"/>
          <w:highlight w:val="none"/>
        </w:rPr>
        <w:t>严格按照《中华人民共和国劳动法》规定，不克扣或者无故拖欠</w:t>
      </w:r>
      <w:r>
        <w:rPr>
          <w:rFonts w:hint="eastAsia" w:cs="宋体"/>
          <w:b/>
          <w:bCs/>
          <w:color w:val="FF0000"/>
          <w:kern w:val="2"/>
          <w:sz w:val="24"/>
          <w:szCs w:val="24"/>
          <w:highlight w:val="none"/>
          <w:lang w:val="en-US" w:eastAsia="zh-CN"/>
        </w:rPr>
        <w:t>本项目履约过程中</w:t>
      </w:r>
      <w:r>
        <w:rPr>
          <w:rFonts w:hint="eastAsia" w:ascii="宋体" w:hAnsi="宋体" w:eastAsia="宋体" w:cs="宋体"/>
          <w:b/>
          <w:bCs/>
          <w:color w:val="FF0000"/>
          <w:kern w:val="2"/>
          <w:sz w:val="24"/>
          <w:szCs w:val="24"/>
          <w:highlight w:val="none"/>
        </w:rPr>
        <w:t>劳动者的工资</w:t>
      </w:r>
      <w:r>
        <w:rPr>
          <w:rFonts w:hint="eastAsia" w:cs="宋体"/>
          <w:b/>
          <w:bCs/>
          <w:color w:val="FF0000"/>
          <w:kern w:val="2"/>
          <w:sz w:val="24"/>
          <w:szCs w:val="24"/>
          <w:highlight w:val="none"/>
          <w:lang w:val="en-US" w:eastAsia="zh-CN"/>
        </w:rPr>
        <w:t>及雇佣费用</w:t>
      </w:r>
      <w:r>
        <w:rPr>
          <w:rFonts w:hint="eastAsia" w:ascii="宋体" w:hAnsi="宋体" w:eastAsia="宋体" w:cs="宋体"/>
          <w:b/>
          <w:bCs/>
          <w:color w:val="FF0000"/>
          <w:kern w:val="2"/>
          <w:sz w:val="24"/>
          <w:szCs w:val="24"/>
          <w:highlight w:val="none"/>
        </w:rPr>
        <w:t>。</w:t>
      </w:r>
    </w:p>
    <w:p w14:paraId="34C63378">
      <w:pPr>
        <w:spacing w:line="360" w:lineRule="auto"/>
        <w:rPr>
          <w:rFonts w:hint="eastAsia" w:ascii="宋体" w:hAnsi="宋体" w:eastAsia="宋体" w:cs="宋体"/>
          <w:b/>
          <w:bCs/>
          <w:color w:val="FF0000"/>
          <w:kern w:val="2"/>
          <w:sz w:val="24"/>
          <w:szCs w:val="24"/>
          <w:highlight w:val="none"/>
        </w:rPr>
      </w:pPr>
      <w:r>
        <w:rPr>
          <w:rFonts w:hint="eastAsia" w:ascii="宋体" w:hAnsi="宋体" w:eastAsia="宋体" w:cs="宋体"/>
          <w:b/>
          <w:bCs/>
          <w:color w:val="FF0000"/>
          <w:kern w:val="2"/>
          <w:sz w:val="24"/>
          <w:szCs w:val="24"/>
          <w:highlight w:val="none"/>
        </w:rPr>
        <w:t xml:space="preserve">   </w:t>
      </w:r>
      <w:r>
        <w:rPr>
          <w:rFonts w:hint="eastAsia" w:cs="宋体"/>
          <w:b/>
          <w:bCs/>
          <w:color w:val="FF0000"/>
          <w:kern w:val="2"/>
          <w:sz w:val="24"/>
          <w:szCs w:val="24"/>
          <w:highlight w:val="none"/>
          <w:lang w:val="en-US" w:eastAsia="zh-CN"/>
        </w:rPr>
        <w:t>2.</w:t>
      </w:r>
      <w:r>
        <w:rPr>
          <w:rFonts w:hint="eastAsia" w:ascii="宋体" w:hAnsi="宋体" w:eastAsia="宋体" w:cs="宋体"/>
          <w:b/>
          <w:bCs/>
          <w:color w:val="FF0000"/>
          <w:kern w:val="2"/>
          <w:sz w:val="24"/>
          <w:szCs w:val="24"/>
          <w:highlight w:val="none"/>
        </w:rPr>
        <w:t>如果发生违反规定拖欠或克扣农民工工资行为，本</w:t>
      </w:r>
      <w:r>
        <w:rPr>
          <w:rFonts w:hint="eastAsia" w:cs="宋体"/>
          <w:b/>
          <w:bCs/>
          <w:color w:val="FF0000"/>
          <w:kern w:val="2"/>
          <w:sz w:val="24"/>
          <w:szCs w:val="24"/>
          <w:highlight w:val="none"/>
          <w:lang w:val="en-US" w:eastAsia="zh-CN"/>
        </w:rPr>
        <w:t>单位</w:t>
      </w:r>
      <w:r>
        <w:rPr>
          <w:rFonts w:hint="eastAsia" w:ascii="宋体" w:hAnsi="宋体" w:eastAsia="宋体" w:cs="宋体"/>
          <w:b/>
          <w:bCs/>
          <w:color w:val="FF0000"/>
          <w:kern w:val="2"/>
          <w:sz w:val="24"/>
          <w:szCs w:val="24"/>
          <w:highlight w:val="none"/>
        </w:rPr>
        <w:t>支持</w:t>
      </w:r>
      <w:r>
        <w:rPr>
          <w:rFonts w:hint="eastAsia" w:cs="宋体"/>
          <w:b/>
          <w:bCs/>
          <w:color w:val="FF0000"/>
          <w:kern w:val="2"/>
          <w:sz w:val="24"/>
          <w:szCs w:val="24"/>
          <w:highlight w:val="none"/>
          <w:lang w:val="en-US" w:eastAsia="zh-CN"/>
        </w:rPr>
        <w:t>甲方对我单位</w:t>
      </w:r>
      <w:r>
        <w:rPr>
          <w:rFonts w:hint="eastAsia" w:ascii="宋体" w:hAnsi="宋体" w:eastAsia="宋体" w:cs="宋体"/>
          <w:b/>
          <w:bCs/>
          <w:color w:val="FF0000"/>
          <w:kern w:val="2"/>
          <w:sz w:val="24"/>
          <w:szCs w:val="24"/>
          <w:highlight w:val="none"/>
        </w:rPr>
        <w:t>作出的</w:t>
      </w:r>
      <w:r>
        <w:rPr>
          <w:rFonts w:hint="eastAsia" w:cs="宋体"/>
          <w:b/>
          <w:bCs/>
          <w:color w:val="FF0000"/>
          <w:kern w:val="2"/>
          <w:sz w:val="24"/>
          <w:szCs w:val="24"/>
          <w:highlight w:val="none"/>
          <w:lang w:val="en-US" w:eastAsia="zh-CN"/>
        </w:rPr>
        <w:t>任何措施（包括但不限于从履约保证金或工程进度款等款项中支付拖欠的农民工工资）</w:t>
      </w:r>
      <w:r>
        <w:rPr>
          <w:rFonts w:hint="eastAsia" w:ascii="宋体" w:hAnsi="宋体" w:eastAsia="宋体" w:cs="宋体"/>
          <w:b/>
          <w:bCs/>
          <w:color w:val="FF0000"/>
          <w:kern w:val="2"/>
          <w:sz w:val="24"/>
          <w:szCs w:val="24"/>
          <w:highlight w:val="none"/>
        </w:rPr>
        <w:t>。</w:t>
      </w:r>
    </w:p>
    <w:p w14:paraId="2A6E9DC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（九）我单位不存在为采购项目提供整体设计、规范编制或者项目管理、监理、检测等服务后，再参加该采购项目的其他采购活动的情形（单一来源采购项目除外）；</w:t>
      </w:r>
    </w:p>
    <w:p w14:paraId="3B38EF9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bCs/>
          <w:color w:val="FF0000"/>
          <w:kern w:val="0"/>
          <w:sz w:val="24"/>
          <w:szCs w:val="24"/>
          <w:highlight w:val="no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（九）与我单位存在单位负责人为同一人或者存在直接控股、管理关系的其他法人单位信息如下（如有，不论其是否参加同一合同项下的政府采购活动均须填写）：</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E3E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847F203">
            <w:pPr>
              <w:keepNext w:val="0"/>
              <w:keepLines w:val="0"/>
              <w:pageBreakBefore w:val="0"/>
              <w:widowControl/>
              <w:suppressLineNumbers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序号</w:t>
            </w:r>
          </w:p>
        </w:tc>
        <w:tc>
          <w:tcPr>
            <w:tcW w:w="2841" w:type="dxa"/>
          </w:tcPr>
          <w:p w14:paraId="25710248">
            <w:pPr>
              <w:pStyle w:val="20"/>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单位名称</w:t>
            </w:r>
          </w:p>
        </w:tc>
        <w:tc>
          <w:tcPr>
            <w:tcW w:w="2841" w:type="dxa"/>
          </w:tcPr>
          <w:p w14:paraId="3A3DC573">
            <w:pPr>
              <w:pStyle w:val="20"/>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lang w:val="en-US" w:eastAsia="zh-CN" w:bidi="ar"/>
              </w:rPr>
              <w:t>相互关系</w:t>
            </w:r>
          </w:p>
        </w:tc>
      </w:tr>
      <w:tr w14:paraId="57B0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3E346FF">
            <w:pPr>
              <w:pStyle w:val="20"/>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default"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vertAlign w:val="baseline"/>
                <w:lang w:val="en-US" w:eastAsia="zh-CN" w:bidi="ar"/>
              </w:rPr>
              <w:t>1</w:t>
            </w:r>
          </w:p>
        </w:tc>
        <w:tc>
          <w:tcPr>
            <w:tcW w:w="2841" w:type="dxa"/>
          </w:tcPr>
          <w:p w14:paraId="14CFF61D">
            <w:pPr>
              <w:pStyle w:val="20"/>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c>
          <w:tcPr>
            <w:tcW w:w="2841" w:type="dxa"/>
          </w:tcPr>
          <w:p w14:paraId="4CD7B6A1">
            <w:pPr>
              <w:pStyle w:val="20"/>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r>
      <w:tr w14:paraId="35C0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639B892">
            <w:pPr>
              <w:pStyle w:val="20"/>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default" w:asciiTheme="minorEastAsia" w:hAnsiTheme="minorEastAsia" w:eastAsiaTheme="minorEastAsia" w:cstheme="minorEastAsia"/>
                <w:b/>
                <w:bCs/>
                <w:color w:val="FF0000"/>
                <w:kern w:val="0"/>
                <w:sz w:val="24"/>
                <w:szCs w:val="24"/>
                <w:highlight w:val="none"/>
                <w:vertAlign w:val="baseline"/>
                <w:lang w:val="en-US" w:eastAsia="zh-CN" w:bidi="ar"/>
              </w:rPr>
            </w:pPr>
            <w:r>
              <w:rPr>
                <w:rFonts w:hint="eastAsia" w:asciiTheme="minorEastAsia" w:hAnsiTheme="minorEastAsia" w:eastAsiaTheme="minorEastAsia" w:cstheme="minorEastAsia"/>
                <w:b/>
                <w:bCs/>
                <w:color w:val="FF0000"/>
                <w:kern w:val="0"/>
                <w:sz w:val="24"/>
                <w:szCs w:val="24"/>
                <w:highlight w:val="none"/>
                <w:vertAlign w:val="baseline"/>
                <w:lang w:val="en-US" w:eastAsia="zh-CN" w:bidi="ar"/>
              </w:rPr>
              <w:t>2</w:t>
            </w:r>
          </w:p>
        </w:tc>
        <w:tc>
          <w:tcPr>
            <w:tcW w:w="2841" w:type="dxa"/>
          </w:tcPr>
          <w:p w14:paraId="4D80CD20">
            <w:pPr>
              <w:pStyle w:val="20"/>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c>
          <w:tcPr>
            <w:tcW w:w="2841" w:type="dxa"/>
          </w:tcPr>
          <w:p w14:paraId="294E0FDA">
            <w:pPr>
              <w:pStyle w:val="20"/>
              <w:keepNext w:val="0"/>
              <w:keepLines w:val="0"/>
              <w:pageBreakBefore w:val="0"/>
              <w:kinsoku/>
              <w:wordWrap/>
              <w:overflowPunct/>
              <w:topLinePunct w:val="0"/>
              <w:autoSpaceDE/>
              <w:autoSpaceDN/>
              <w:bidi w:val="0"/>
              <w:adjustRightInd/>
              <w:snapToGrid/>
              <w:spacing w:before="157" w:beforeLines="50" w:after="10" w:line="240" w:lineRule="auto"/>
              <w:jc w:val="center"/>
              <w:textAlignment w:val="auto"/>
              <w:rPr>
                <w:rFonts w:hint="eastAsia" w:asciiTheme="minorEastAsia" w:hAnsiTheme="minorEastAsia" w:eastAsiaTheme="minorEastAsia" w:cstheme="minorEastAsia"/>
                <w:b/>
                <w:bCs/>
                <w:color w:val="FF0000"/>
                <w:kern w:val="0"/>
                <w:sz w:val="24"/>
                <w:szCs w:val="24"/>
                <w:highlight w:val="none"/>
                <w:vertAlign w:val="baseline"/>
                <w:lang w:val="en-US" w:eastAsia="zh-CN" w:bidi="ar"/>
              </w:rPr>
            </w:pPr>
          </w:p>
        </w:tc>
      </w:tr>
    </w:tbl>
    <w:p w14:paraId="783FC6F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本单位对</w:t>
      </w:r>
      <w:r>
        <w:rPr>
          <w:rFonts w:hint="eastAsia" w:asciiTheme="minorEastAsia" w:hAnsiTheme="minorEastAsia" w:eastAsiaTheme="minorEastAsia"/>
          <w:color w:val="auto"/>
          <w:sz w:val="24"/>
          <w:highlight w:val="none"/>
        </w:rPr>
        <w:t>上述</w:t>
      </w:r>
      <w:r>
        <w:rPr>
          <w:rFonts w:hint="eastAsia" w:ascii="宋体" w:hAnsi="宋体" w:eastAsia="宋体"/>
          <w:color w:val="auto"/>
          <w:sz w:val="24"/>
          <w:highlight w:val="none"/>
        </w:rPr>
        <w:t>声明的真实性负责。如有虚假，将依法承担相应责任。</w:t>
      </w:r>
    </w:p>
    <w:p w14:paraId="53265FA9">
      <w:pPr>
        <w:spacing w:line="360" w:lineRule="auto"/>
        <w:ind w:firstLine="4800" w:firstLineChars="2000"/>
        <w:rPr>
          <w:rFonts w:ascii="宋体" w:hAnsi="宋体" w:eastAsia="宋体"/>
          <w:color w:val="auto"/>
          <w:sz w:val="24"/>
          <w:highlight w:val="none"/>
          <w:u w:val="single"/>
        </w:rPr>
      </w:pPr>
      <w:r>
        <w:rPr>
          <w:rFonts w:hint="eastAsia"/>
          <w:color w:val="auto"/>
          <w:sz w:val="24"/>
          <w:highlight w:val="none"/>
          <w:lang w:val="en-US" w:eastAsia="zh-CN"/>
        </w:rPr>
        <w:t>供应商</w:t>
      </w:r>
      <w:r>
        <w:rPr>
          <w:rFonts w:hint="eastAsia" w:ascii="宋体" w:hAnsi="宋体" w:eastAsia="宋体"/>
          <w:color w:val="auto"/>
          <w:sz w:val="24"/>
          <w:highlight w:val="none"/>
        </w:rPr>
        <w:t>电子签章：</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3D0473CA">
      <w:pPr>
        <w:spacing w:line="360" w:lineRule="auto"/>
        <w:jc w:val="center"/>
        <w:outlineLvl w:val="9"/>
        <w:rPr>
          <w:rFonts w:hint="eastAsia" w:asciiTheme="minorEastAsia" w:hAnsiTheme="minorEastAsia" w:eastAsiaTheme="minorEastAsia"/>
          <w:b/>
          <w:color w:val="auto"/>
          <w:sz w:val="24"/>
          <w:highlight w:val="none"/>
        </w:rPr>
        <w:sectPr>
          <w:headerReference r:id="rId20" w:type="default"/>
          <w:footerReference r:id="rId21" w:type="default"/>
          <w:pgSz w:w="11906" w:h="16838"/>
          <w:pgMar w:top="1440" w:right="1800" w:bottom="1440" w:left="1800" w:header="851" w:footer="992" w:gutter="0"/>
          <w:pgNumType w:fmt="decimal"/>
          <w:cols w:space="425" w:num="1"/>
          <w:docGrid w:type="lines" w:linePitch="312" w:charSpace="0"/>
        </w:sectPr>
      </w:pPr>
      <w:r>
        <w:rPr>
          <w:rFonts w:hint="eastAsia"/>
          <w:color w:val="auto"/>
          <w:sz w:val="24"/>
          <w:highlight w:val="none"/>
          <w:lang w:val="en-US" w:eastAsia="zh-CN"/>
        </w:rPr>
        <w:t xml:space="preserve">                           </w:t>
      </w: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r>
        <w:rPr>
          <w:rFonts w:hint="eastAsia" w:ascii="宋体" w:hAnsi="宋体" w:eastAsia="宋体"/>
          <w:color w:val="auto"/>
          <w:sz w:val="24"/>
          <w:highlight w:val="none"/>
        </w:rPr>
        <w:t xml:space="preserve">         </w:t>
      </w:r>
      <w:bookmarkEnd w:id="753"/>
    </w:p>
    <w:p w14:paraId="48AED45A">
      <w:pPr>
        <w:widowControl/>
        <w:jc w:val="center"/>
        <w:outlineLvl w:val="1"/>
        <w:rPr>
          <w:rFonts w:asciiTheme="minorEastAsia" w:hAnsiTheme="minorEastAsia" w:eastAsiaTheme="minorEastAsia"/>
          <w:b/>
          <w:color w:val="auto"/>
          <w:sz w:val="24"/>
          <w:highlight w:val="none"/>
          <w:u w:val="none"/>
        </w:rPr>
      </w:pPr>
      <w:bookmarkStart w:id="754" w:name="_Toc520983594"/>
      <w:bookmarkStart w:id="755" w:name="_Toc121626298"/>
      <w:bookmarkStart w:id="756" w:name="_Toc909"/>
      <w:bookmarkStart w:id="757" w:name="_Toc204594911"/>
      <w:bookmarkStart w:id="758" w:name="_Toc516969106"/>
      <w:bookmarkStart w:id="759" w:name="_Toc25503"/>
      <w:r>
        <w:rPr>
          <w:rFonts w:hint="eastAsia" w:asciiTheme="minorEastAsia" w:hAnsiTheme="minorEastAsia" w:eastAsiaTheme="minorEastAsia"/>
          <w:b/>
          <w:color w:val="auto"/>
          <w:sz w:val="24"/>
          <w:highlight w:val="none"/>
          <w:u w:val="none"/>
          <w:lang w:val="en-US" w:eastAsia="zh-CN"/>
        </w:rPr>
        <w:t>五</w:t>
      </w:r>
      <w:r>
        <w:rPr>
          <w:rFonts w:hint="eastAsia" w:asciiTheme="minorEastAsia" w:hAnsiTheme="minorEastAsia" w:eastAsiaTheme="minorEastAsia"/>
          <w:b/>
          <w:color w:val="auto"/>
          <w:sz w:val="24"/>
          <w:highlight w:val="none"/>
          <w:u w:val="none"/>
        </w:rPr>
        <w:t>、授权书</w:t>
      </w:r>
      <w:bookmarkEnd w:id="754"/>
      <w:bookmarkEnd w:id="755"/>
      <w:bookmarkEnd w:id="756"/>
      <w:bookmarkEnd w:id="757"/>
      <w:bookmarkEnd w:id="758"/>
      <w:bookmarkEnd w:id="759"/>
    </w:p>
    <w:p w14:paraId="7E57488F">
      <w:pPr>
        <w:spacing w:line="360" w:lineRule="auto"/>
        <w:jc w:val="center"/>
        <w:rPr>
          <w:rFonts w:asciiTheme="minorEastAsia" w:hAnsiTheme="minorEastAsia" w:eastAsiaTheme="minorEastAsia"/>
          <w:b/>
          <w:color w:val="auto"/>
          <w:sz w:val="24"/>
          <w:highlight w:val="none"/>
        </w:rPr>
      </w:pPr>
    </w:p>
    <w:p w14:paraId="00B721FC">
      <w:pPr>
        <w:pStyle w:val="2"/>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本授权书声明：</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（供应商名称）授权</w:t>
      </w:r>
      <w:r>
        <w:rPr>
          <w:rFonts w:hint="eastAsia" w:hAnsi="宋体" w:eastAsia="宋体"/>
          <w:color w:val="auto"/>
          <w:sz w:val="24"/>
          <w:szCs w:val="28"/>
          <w:highlight w:val="none"/>
          <w:u w:val="single"/>
        </w:rPr>
        <w:t xml:space="preserve">       </w:t>
      </w:r>
      <w:r>
        <w:rPr>
          <w:rFonts w:hint="eastAsia" w:hAnsi="宋体" w:eastAsia="宋体"/>
          <w:color w:val="auto"/>
          <w:sz w:val="24"/>
          <w:szCs w:val="28"/>
          <w:highlight w:val="none"/>
        </w:rPr>
        <w:t>（供应商授权代表姓名）代表我方参加本项目</w:t>
      </w:r>
      <w:r>
        <w:rPr>
          <w:rFonts w:hint="eastAsia" w:hAnsi="宋体" w:eastAsia="宋体"/>
          <w:bCs/>
          <w:color w:val="auto"/>
          <w:sz w:val="24"/>
          <w:szCs w:val="28"/>
          <w:highlight w:val="none"/>
        </w:rPr>
        <w:t>采购活动</w:t>
      </w:r>
      <w:r>
        <w:rPr>
          <w:rFonts w:hint="eastAsia" w:hAnsi="宋体" w:eastAsia="宋体"/>
          <w:color w:val="auto"/>
          <w:sz w:val="24"/>
          <w:szCs w:val="28"/>
          <w:highlight w:val="none"/>
        </w:rPr>
        <w:t>，全权代表我方处理磋商过程的一切事宜，包括但不限于：提交响应文件、参与磋商、签约等。供应商授权代表在采购活动过程中所签署的一切文件和处理与之有关的一切事务，本公司均予以认可并对此承担责任。供应商授权代表无转委托权。特此授权。</w:t>
      </w:r>
    </w:p>
    <w:p w14:paraId="36AF5E7D">
      <w:pPr>
        <w:pStyle w:val="2"/>
        <w:snapToGrid w:val="0"/>
        <w:spacing w:line="360" w:lineRule="auto"/>
        <w:ind w:firstLine="480" w:firstLineChars="200"/>
        <w:jc w:val="left"/>
        <w:rPr>
          <w:rFonts w:hAnsi="宋体" w:eastAsia="宋体"/>
          <w:color w:val="auto"/>
          <w:sz w:val="24"/>
          <w:szCs w:val="28"/>
          <w:highlight w:val="none"/>
        </w:rPr>
      </w:pPr>
      <w:r>
        <w:rPr>
          <w:rFonts w:hint="eastAsia" w:hAnsi="宋体" w:eastAsia="宋体"/>
          <w:color w:val="auto"/>
          <w:sz w:val="24"/>
          <w:szCs w:val="28"/>
          <w:highlight w:val="none"/>
        </w:rPr>
        <w:t>本授权书自出具之日起生效。</w:t>
      </w:r>
    </w:p>
    <w:p w14:paraId="0EF8F075">
      <w:pPr>
        <w:pStyle w:val="2"/>
        <w:snapToGrid w:val="0"/>
        <w:spacing w:line="360" w:lineRule="auto"/>
        <w:ind w:firstLine="480" w:firstLineChars="200"/>
        <w:jc w:val="left"/>
        <w:rPr>
          <w:rFonts w:hAnsi="宋体" w:eastAsia="宋体"/>
          <w:color w:val="auto"/>
          <w:sz w:val="24"/>
          <w:highlight w:val="none"/>
        </w:rPr>
      </w:pPr>
      <w:r>
        <w:rPr>
          <w:rFonts w:hint="eastAsia" w:hAnsi="宋体" w:eastAsia="宋体"/>
          <w:color w:val="auto"/>
          <w:sz w:val="24"/>
          <w:szCs w:val="28"/>
          <w:highlight w:val="none"/>
        </w:rPr>
        <w:t>授权代表</w:t>
      </w:r>
      <w:r>
        <w:rPr>
          <w:rFonts w:hint="eastAsia" w:hAnsi="宋体" w:eastAsia="宋体"/>
          <w:color w:val="auto"/>
          <w:sz w:val="24"/>
          <w:highlight w:val="none"/>
        </w:rPr>
        <w:t>身份证明扫描件：</w:t>
      </w:r>
    </w:p>
    <w:p w14:paraId="6320F603">
      <w:pPr>
        <w:pStyle w:val="2"/>
        <w:snapToGrid w:val="0"/>
        <w:spacing w:line="360" w:lineRule="auto"/>
        <w:ind w:firstLine="480" w:firstLineChars="200"/>
        <w:jc w:val="left"/>
        <w:rPr>
          <w:rFonts w:hAnsi="宋体" w:eastAsia="宋体"/>
          <w:color w:val="auto"/>
          <w:sz w:val="24"/>
          <w:highlight w:val="none"/>
        </w:rPr>
      </w:pPr>
    </w:p>
    <w:p w14:paraId="133C6A57">
      <w:pPr>
        <w:pStyle w:val="2"/>
        <w:snapToGrid w:val="0"/>
        <w:spacing w:line="360" w:lineRule="auto"/>
        <w:ind w:firstLine="480" w:firstLineChars="200"/>
        <w:jc w:val="left"/>
        <w:rPr>
          <w:rFonts w:hAnsi="宋体" w:eastAsia="宋体"/>
          <w:color w:val="auto"/>
          <w:sz w:val="24"/>
          <w:highlight w:val="none"/>
        </w:rPr>
      </w:pPr>
    </w:p>
    <w:p w14:paraId="667008A5">
      <w:pPr>
        <w:pStyle w:val="2"/>
        <w:snapToGrid w:val="0"/>
        <w:spacing w:line="360" w:lineRule="auto"/>
        <w:ind w:firstLine="480" w:firstLineChars="200"/>
        <w:jc w:val="left"/>
        <w:rPr>
          <w:rFonts w:hAnsi="宋体" w:eastAsia="宋体"/>
          <w:color w:val="auto"/>
          <w:sz w:val="24"/>
          <w:highlight w:val="none"/>
        </w:rPr>
      </w:pPr>
    </w:p>
    <w:p w14:paraId="2D6D450B">
      <w:pPr>
        <w:pStyle w:val="2"/>
        <w:snapToGrid w:val="0"/>
        <w:spacing w:line="360" w:lineRule="auto"/>
        <w:ind w:firstLine="480" w:firstLineChars="200"/>
        <w:jc w:val="left"/>
        <w:rPr>
          <w:rFonts w:hAnsi="宋体" w:eastAsia="宋体"/>
          <w:color w:val="auto"/>
          <w:sz w:val="24"/>
          <w:highlight w:val="none"/>
        </w:rPr>
      </w:pPr>
    </w:p>
    <w:p w14:paraId="0044E71C">
      <w:pPr>
        <w:pStyle w:val="2"/>
        <w:snapToGrid w:val="0"/>
        <w:spacing w:line="360" w:lineRule="auto"/>
        <w:ind w:firstLine="480" w:firstLineChars="200"/>
        <w:jc w:val="left"/>
        <w:rPr>
          <w:rFonts w:hAnsi="宋体" w:eastAsia="宋体"/>
          <w:color w:val="auto"/>
          <w:sz w:val="24"/>
          <w:szCs w:val="28"/>
          <w:highlight w:val="none"/>
          <w:u w:val="single"/>
        </w:rPr>
      </w:pPr>
      <w:r>
        <w:rPr>
          <w:rFonts w:hint="eastAsia" w:hAnsi="宋体" w:eastAsia="宋体"/>
          <w:color w:val="auto"/>
          <w:sz w:val="24"/>
          <w:szCs w:val="28"/>
          <w:highlight w:val="none"/>
        </w:rPr>
        <w:t>授权代表联系方式：</w:t>
      </w:r>
      <w:r>
        <w:rPr>
          <w:rFonts w:hint="eastAsia" w:hAnsi="宋体" w:eastAsia="宋体"/>
          <w:color w:val="auto"/>
          <w:sz w:val="24"/>
          <w:szCs w:val="28"/>
          <w:highlight w:val="none"/>
          <w:u w:val="single"/>
        </w:rPr>
        <w:t xml:space="preserve">          （请填写手机号码）</w:t>
      </w:r>
    </w:p>
    <w:p w14:paraId="5C3105A6">
      <w:pPr>
        <w:pStyle w:val="2"/>
        <w:snapToGrid w:val="0"/>
        <w:spacing w:line="360" w:lineRule="auto"/>
        <w:ind w:firstLine="480" w:firstLineChars="200"/>
        <w:jc w:val="left"/>
        <w:rPr>
          <w:rFonts w:hAnsi="宋体" w:eastAsia="宋体"/>
          <w:color w:val="auto"/>
          <w:sz w:val="24"/>
          <w:szCs w:val="28"/>
          <w:highlight w:val="none"/>
        </w:rPr>
      </w:pPr>
    </w:p>
    <w:p w14:paraId="4AD50627">
      <w:pPr>
        <w:spacing w:line="360" w:lineRule="auto"/>
        <w:ind w:firstLine="360" w:firstLineChars="150"/>
        <w:rPr>
          <w:color w:val="auto"/>
          <w:sz w:val="24"/>
          <w:szCs w:val="28"/>
          <w:highlight w:val="none"/>
        </w:rPr>
      </w:pPr>
      <w:r>
        <w:rPr>
          <w:rFonts w:hint="eastAsia"/>
          <w:color w:val="auto"/>
          <w:sz w:val="24"/>
          <w:szCs w:val="28"/>
          <w:highlight w:val="none"/>
        </w:rPr>
        <w:t>特此声明。</w:t>
      </w:r>
    </w:p>
    <w:p w14:paraId="0879135D">
      <w:pPr>
        <w:spacing w:line="360" w:lineRule="auto"/>
        <w:rPr>
          <w:color w:val="auto"/>
          <w:sz w:val="24"/>
          <w:szCs w:val="28"/>
          <w:highlight w:val="none"/>
        </w:rPr>
      </w:pPr>
    </w:p>
    <w:p w14:paraId="6000D93B">
      <w:pPr>
        <w:spacing w:line="360" w:lineRule="auto"/>
        <w:jc w:val="center"/>
        <w:rPr>
          <w:bCs/>
          <w:color w:val="auto"/>
          <w:sz w:val="24"/>
          <w:szCs w:val="28"/>
          <w:highlight w:val="none"/>
        </w:rPr>
      </w:pPr>
      <w:r>
        <w:rPr>
          <w:rFonts w:hint="eastAsia"/>
          <w:bCs/>
          <w:color w:val="auto"/>
          <w:sz w:val="24"/>
          <w:szCs w:val="28"/>
          <w:highlight w:val="none"/>
          <w:lang w:val="en-US" w:eastAsia="zh-CN"/>
        </w:rPr>
        <w:t xml:space="preserve">                    </w:t>
      </w:r>
      <w:r>
        <w:rPr>
          <w:rFonts w:hint="eastAsia"/>
          <w:bCs/>
          <w:color w:val="auto"/>
          <w:sz w:val="24"/>
          <w:szCs w:val="28"/>
          <w:highlight w:val="none"/>
        </w:rPr>
        <w:t>供应商电子签章：</w:t>
      </w:r>
      <w:r>
        <w:rPr>
          <w:rFonts w:hint="eastAsia"/>
          <w:bCs/>
          <w:color w:val="auto"/>
          <w:sz w:val="24"/>
          <w:szCs w:val="28"/>
          <w:highlight w:val="none"/>
          <w:u w:val="single"/>
        </w:rPr>
        <w:t xml:space="preserve">                    </w:t>
      </w:r>
    </w:p>
    <w:p w14:paraId="3CFEF90C">
      <w:pPr>
        <w:spacing w:line="360" w:lineRule="auto"/>
        <w:rPr>
          <w:color w:val="auto"/>
          <w:sz w:val="24"/>
          <w:szCs w:val="28"/>
          <w:highlight w:val="none"/>
        </w:rPr>
      </w:pPr>
      <w:r>
        <w:rPr>
          <w:rFonts w:hint="eastAsia"/>
          <w:color w:val="auto"/>
          <w:sz w:val="24"/>
          <w:szCs w:val="28"/>
          <w:highlight w:val="none"/>
          <w:lang w:val="en-US" w:eastAsia="zh-CN"/>
        </w:rPr>
        <w:t xml:space="preserve">                                        </w:t>
      </w:r>
      <w:r>
        <w:rPr>
          <w:rFonts w:hint="eastAsia"/>
          <w:color w:val="auto"/>
          <w:sz w:val="24"/>
          <w:szCs w:val="28"/>
          <w:highlight w:val="none"/>
        </w:rPr>
        <w:t>日          期：</w:t>
      </w:r>
      <w:r>
        <w:rPr>
          <w:rFonts w:hint="eastAsia"/>
          <w:color w:val="auto"/>
          <w:sz w:val="24"/>
          <w:szCs w:val="28"/>
          <w:highlight w:val="none"/>
          <w:u w:val="single"/>
        </w:rPr>
        <w:t xml:space="preserve">                    </w:t>
      </w:r>
    </w:p>
    <w:p w14:paraId="61BBD9EF">
      <w:pPr>
        <w:spacing w:line="360" w:lineRule="auto"/>
        <w:rPr>
          <w:color w:val="auto"/>
          <w:sz w:val="24"/>
          <w:szCs w:val="28"/>
          <w:highlight w:val="none"/>
        </w:rPr>
      </w:pPr>
    </w:p>
    <w:p w14:paraId="1D9CDBD0">
      <w:pPr>
        <w:pStyle w:val="2"/>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注：</w:t>
      </w:r>
    </w:p>
    <w:p w14:paraId="32301F34">
      <w:pPr>
        <w:pStyle w:val="2"/>
        <w:snapToGrid w:val="0"/>
        <w:spacing w:line="360" w:lineRule="auto"/>
        <w:jc w:val="left"/>
        <w:rPr>
          <w:rFonts w:hAnsi="宋体" w:eastAsia="宋体"/>
          <w:color w:val="auto"/>
          <w:sz w:val="24"/>
          <w:szCs w:val="28"/>
          <w:highlight w:val="none"/>
        </w:rPr>
      </w:pPr>
      <w:r>
        <w:rPr>
          <w:rFonts w:hint="eastAsia" w:hAnsi="宋体" w:eastAsia="宋体"/>
          <w:color w:val="auto"/>
          <w:sz w:val="24"/>
          <w:szCs w:val="28"/>
          <w:highlight w:val="none"/>
        </w:rPr>
        <w:t>1.本项目只允许有唯一的供应商授权代表，提供身份证明扫描件；</w:t>
      </w:r>
    </w:p>
    <w:p w14:paraId="41D7BFE2">
      <w:pPr>
        <w:spacing w:line="360" w:lineRule="auto"/>
        <w:jc w:val="left"/>
        <w:rPr>
          <w:color w:val="auto"/>
          <w:sz w:val="24"/>
          <w:highlight w:val="none"/>
        </w:rPr>
      </w:pPr>
      <w:r>
        <w:rPr>
          <w:rFonts w:hint="eastAsia"/>
          <w:color w:val="auto"/>
          <w:sz w:val="24"/>
          <w:highlight w:val="none"/>
        </w:rPr>
        <w:t>2.法定代表人参加磋商的无需提供授权书，仅提供身份证明扫描件。</w:t>
      </w:r>
    </w:p>
    <w:p w14:paraId="2F340AA9">
      <w:pPr>
        <w:widowControl/>
        <w:jc w:val="left"/>
        <w:rPr>
          <w:color w:val="auto"/>
          <w:sz w:val="24"/>
          <w:highlight w:val="none"/>
        </w:rPr>
      </w:pPr>
      <w:r>
        <w:rPr>
          <w:color w:val="auto"/>
          <w:sz w:val="24"/>
          <w:highlight w:val="none"/>
        </w:rPr>
        <w:br w:type="page"/>
      </w:r>
    </w:p>
    <w:p w14:paraId="74ECF8BC">
      <w:pPr>
        <w:keepNext/>
        <w:keepLines/>
        <w:spacing w:before="260" w:after="260" w:line="416" w:lineRule="auto"/>
        <w:jc w:val="center"/>
        <w:outlineLvl w:val="1"/>
        <w:rPr>
          <w:rFonts w:cs="@仿宋_GB2312" w:asciiTheme="minorEastAsia" w:hAnsiTheme="minorEastAsia" w:eastAsiaTheme="minorEastAsia"/>
          <w:b/>
          <w:bCs/>
          <w:color w:val="auto"/>
          <w:kern w:val="2"/>
          <w:sz w:val="24"/>
          <w:szCs w:val="24"/>
          <w:highlight w:val="none"/>
        </w:rPr>
      </w:pPr>
      <w:bookmarkStart w:id="760" w:name="_Toc32351"/>
      <w:bookmarkStart w:id="761" w:name="_Toc12223"/>
      <w:r>
        <w:rPr>
          <w:rFonts w:hint="eastAsia" w:cs="@仿宋_GB2312" w:asciiTheme="minorEastAsia" w:hAnsiTheme="minorEastAsia" w:eastAsiaTheme="minorEastAsia"/>
          <w:b/>
          <w:bCs/>
          <w:color w:val="auto"/>
          <w:kern w:val="2"/>
          <w:sz w:val="24"/>
          <w:szCs w:val="24"/>
          <w:highlight w:val="none"/>
          <w:lang w:val="en-US" w:eastAsia="zh-CN"/>
        </w:rPr>
        <w:t>六</w:t>
      </w:r>
      <w:r>
        <w:rPr>
          <w:rFonts w:hint="eastAsia" w:cs="@仿宋_GB2312" w:asciiTheme="minorEastAsia" w:hAnsiTheme="minorEastAsia" w:eastAsiaTheme="minorEastAsia"/>
          <w:b/>
          <w:bCs/>
          <w:color w:val="auto"/>
          <w:kern w:val="2"/>
          <w:sz w:val="24"/>
          <w:szCs w:val="24"/>
          <w:highlight w:val="none"/>
        </w:rPr>
        <w:t>、法定代表人身份证明书</w:t>
      </w:r>
      <w:bookmarkEnd w:id="760"/>
      <w:bookmarkEnd w:id="761"/>
    </w:p>
    <w:p w14:paraId="4A19D7A5">
      <w:pPr>
        <w:autoSpaceDE w:val="0"/>
        <w:autoSpaceDN w:val="0"/>
        <w:adjustRightInd w:val="0"/>
        <w:spacing w:line="360" w:lineRule="auto"/>
        <w:jc w:val="center"/>
        <w:rPr>
          <w:rFonts w:ascii="@仿宋_GB2312" w:eastAsia="@仿宋_GB2312" w:cs="宋体"/>
          <w:b/>
          <w:color w:val="auto"/>
          <w:kern w:val="2"/>
          <w:sz w:val="21"/>
          <w:szCs w:val="24"/>
          <w:highlight w:val="none"/>
          <w:lang w:val="zh-CN"/>
        </w:rPr>
      </w:pPr>
    </w:p>
    <w:p w14:paraId="137B1184">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单位名称：</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255AAB00">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单位性质：</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46B378A6">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地    址：</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7FCE0CFB">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成立时间：</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年</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月</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日</w:t>
      </w:r>
    </w:p>
    <w:p w14:paraId="2664A72E">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经营期限：</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r>
        <w:rPr>
          <w:rFonts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u w:val="single"/>
        </w:rPr>
        <w:t xml:space="preserve">     </w:t>
      </w:r>
    </w:p>
    <w:p w14:paraId="52AFD395">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姓    名：</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性 </w:t>
      </w:r>
      <w:r>
        <w:rPr>
          <w:rFonts w:ascii="Calibri" w:hAnsi="Calibri" w:cs="Times New Roman"/>
          <w:color w:val="auto"/>
          <w:kern w:val="2"/>
          <w:sz w:val="24"/>
          <w:szCs w:val="28"/>
          <w:highlight w:val="none"/>
        </w:rPr>
        <w:t xml:space="preserve">  </w:t>
      </w:r>
      <w:r>
        <w:rPr>
          <w:rFonts w:hint="eastAsia" w:ascii="Calibri" w:hAnsi="Calibri" w:cs="Times New Roman"/>
          <w:color w:val="auto"/>
          <w:kern w:val="2"/>
          <w:sz w:val="24"/>
          <w:szCs w:val="28"/>
          <w:highlight w:val="none"/>
        </w:rPr>
        <w:t xml:space="preserve"> 别：</w:t>
      </w:r>
      <w:r>
        <w:rPr>
          <w:rFonts w:hint="eastAsia" w:ascii="Calibri" w:hAnsi="Calibri" w:cs="Times New Roman"/>
          <w:color w:val="auto"/>
          <w:kern w:val="2"/>
          <w:sz w:val="24"/>
          <w:szCs w:val="28"/>
          <w:highlight w:val="none"/>
          <w:u w:val="single"/>
        </w:rPr>
        <w:t xml:space="preserve">             </w:t>
      </w:r>
    </w:p>
    <w:p w14:paraId="4034E50D">
      <w:pPr>
        <w:snapToGrid w:val="0"/>
        <w:spacing w:line="360" w:lineRule="auto"/>
        <w:ind w:firstLine="480" w:firstLineChars="200"/>
        <w:jc w:val="left"/>
        <w:rPr>
          <w:rFonts w:ascii="Calibri" w:hAnsi="Calibri" w:cs="Times New Roman"/>
          <w:color w:val="auto"/>
          <w:kern w:val="2"/>
          <w:sz w:val="24"/>
          <w:szCs w:val="28"/>
          <w:highlight w:val="none"/>
          <w:u w:val="single"/>
        </w:rPr>
      </w:pPr>
      <w:r>
        <w:rPr>
          <w:rFonts w:hint="eastAsia" w:ascii="Calibri" w:hAnsi="Calibri" w:cs="Times New Roman"/>
          <w:color w:val="auto"/>
          <w:kern w:val="2"/>
          <w:sz w:val="24"/>
          <w:szCs w:val="28"/>
          <w:highlight w:val="none"/>
        </w:rPr>
        <w:t>年    龄：</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职    务：</w:t>
      </w:r>
      <w:r>
        <w:rPr>
          <w:rFonts w:hint="eastAsia" w:ascii="Calibri" w:hAnsi="Calibri" w:cs="Times New Roman"/>
          <w:color w:val="auto"/>
          <w:kern w:val="2"/>
          <w:sz w:val="24"/>
          <w:szCs w:val="28"/>
          <w:highlight w:val="none"/>
          <w:u w:val="single"/>
        </w:rPr>
        <w:t xml:space="preserve">             </w:t>
      </w:r>
    </w:p>
    <w:p w14:paraId="6A25286E">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rPr>
        <w:t>联系</w:t>
      </w:r>
      <w:r>
        <w:rPr>
          <w:rFonts w:ascii="Calibri" w:hAnsi="Calibri" w:cs="Times New Roman"/>
          <w:color w:val="auto"/>
          <w:kern w:val="2"/>
          <w:sz w:val="24"/>
          <w:szCs w:val="28"/>
          <w:highlight w:val="none"/>
        </w:rPr>
        <w:t>电话</w:t>
      </w:r>
      <w:r>
        <w:rPr>
          <w:rFonts w:hint="eastAsia" w:ascii="Calibri" w:hAnsi="Calibri" w:cs="Times New Roman"/>
          <w:color w:val="auto"/>
          <w:kern w:val="2"/>
          <w:sz w:val="24"/>
          <w:szCs w:val="28"/>
          <w:highlight w:val="none"/>
        </w:rPr>
        <w:t>：</w:t>
      </w: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 手机号码：</w:t>
      </w:r>
      <w:r>
        <w:rPr>
          <w:rFonts w:hint="eastAsia" w:ascii="Calibri" w:hAnsi="Calibri" w:cs="Times New Roman"/>
          <w:color w:val="auto"/>
          <w:kern w:val="2"/>
          <w:sz w:val="24"/>
          <w:szCs w:val="28"/>
          <w:highlight w:val="none"/>
          <w:u w:val="single"/>
        </w:rPr>
        <w:t xml:space="preserve">             </w:t>
      </w:r>
    </w:p>
    <w:p w14:paraId="15B31C48">
      <w:pPr>
        <w:snapToGrid w:val="0"/>
        <w:spacing w:line="360" w:lineRule="auto"/>
        <w:ind w:firstLine="480" w:firstLineChars="200"/>
        <w:jc w:val="left"/>
        <w:rPr>
          <w:rFonts w:ascii="Calibri" w:hAnsi="Calibri" w:cs="Times New Roman"/>
          <w:color w:val="auto"/>
          <w:kern w:val="2"/>
          <w:sz w:val="24"/>
          <w:szCs w:val="28"/>
          <w:highlight w:val="none"/>
        </w:rPr>
      </w:pPr>
      <w:r>
        <w:rPr>
          <w:rFonts w:hint="eastAsia" w:ascii="Calibri" w:hAnsi="Calibri" w:cs="Times New Roman"/>
          <w:color w:val="auto"/>
          <w:kern w:val="2"/>
          <w:sz w:val="24"/>
          <w:szCs w:val="28"/>
          <w:highlight w:val="none"/>
          <w:u w:val="single"/>
        </w:rPr>
        <w:t xml:space="preserve">        </w:t>
      </w:r>
      <w:r>
        <w:rPr>
          <w:rFonts w:hint="eastAsia" w:ascii="Calibri" w:hAnsi="Calibri" w:cs="Times New Roman"/>
          <w:color w:val="auto"/>
          <w:kern w:val="2"/>
          <w:sz w:val="24"/>
          <w:szCs w:val="28"/>
          <w:highlight w:val="none"/>
        </w:rPr>
        <w:t xml:space="preserve">系  </w:t>
      </w:r>
      <w:r>
        <w:rPr>
          <w:rFonts w:hint="eastAsia" w:ascii="Calibri" w:hAnsi="Calibri" w:cs="Times New Roman"/>
          <w:color w:val="auto"/>
          <w:kern w:val="2"/>
          <w:sz w:val="24"/>
          <w:szCs w:val="28"/>
          <w:highlight w:val="none"/>
          <w:u w:val="single"/>
        </w:rPr>
        <w:t xml:space="preserve">   （供应商单位名称）       </w:t>
      </w:r>
      <w:r>
        <w:rPr>
          <w:rFonts w:hint="eastAsia" w:ascii="Calibri" w:hAnsi="Calibri" w:cs="Times New Roman"/>
          <w:color w:val="auto"/>
          <w:kern w:val="2"/>
          <w:sz w:val="24"/>
          <w:szCs w:val="28"/>
          <w:highlight w:val="none"/>
        </w:rPr>
        <w:t>的法定代表人。</w:t>
      </w:r>
    </w:p>
    <w:p w14:paraId="256423CC">
      <w:pPr>
        <w:spacing w:before="62" w:beforeLines="20" w:after="62" w:afterLines="20" w:line="540" w:lineRule="exact"/>
        <w:ind w:firstLine="610"/>
        <w:rPr>
          <w:rFonts w:ascii="@仿宋_GB2312" w:hAnsi="Calibri" w:eastAsia="@仿宋_GB2312" w:cs="宋体"/>
          <w:color w:val="auto"/>
          <w:kern w:val="2"/>
          <w:sz w:val="24"/>
          <w:szCs w:val="24"/>
          <w:highlight w:val="none"/>
        </w:rPr>
      </w:pPr>
    </w:p>
    <w:p w14:paraId="662DCEB8">
      <w:pPr>
        <w:spacing w:before="62" w:beforeLines="20" w:after="62" w:afterLines="20" w:line="540" w:lineRule="exact"/>
        <w:ind w:left="400" w:leftChars="200" w:firstLine="240" w:firstLineChars="100"/>
        <w:rPr>
          <w:rFonts w:ascii="Calibri" w:hAnsi="Calibri" w:cs="宋体"/>
          <w:color w:val="auto"/>
          <w:kern w:val="2"/>
          <w:sz w:val="24"/>
          <w:szCs w:val="24"/>
          <w:highlight w:val="none"/>
        </w:rPr>
      </w:pPr>
      <w:r>
        <w:rPr>
          <w:rFonts w:hint="eastAsia" w:ascii="Calibri" w:hAnsi="Calibri" w:cs="宋体"/>
          <w:color w:val="auto"/>
          <w:kern w:val="2"/>
          <w:sz w:val="24"/>
          <w:szCs w:val="24"/>
          <w:highlight w:val="none"/>
        </w:rPr>
        <w:t>特此证明。</w:t>
      </w:r>
    </w:p>
    <w:p w14:paraId="73ABD429">
      <w:pPr>
        <w:tabs>
          <w:tab w:val="left" w:pos="720"/>
          <w:tab w:val="left" w:pos="900"/>
        </w:tabs>
        <w:spacing w:before="62" w:beforeLines="20" w:after="62" w:afterLines="20" w:line="540" w:lineRule="exact"/>
        <w:ind w:firstLine="480" w:firstLineChars="200"/>
        <w:rPr>
          <w:rFonts w:ascii="Calibri" w:hAnsi="Calibri" w:cs="宋体"/>
          <w:color w:val="auto"/>
          <w:kern w:val="2"/>
          <w:sz w:val="24"/>
          <w:szCs w:val="24"/>
          <w:highlight w:val="none"/>
        </w:rPr>
      </w:pPr>
      <w:r>
        <w:rPr>
          <w:rFonts w:hint="eastAsia" w:ascii="Calibri" w:hAnsi="Calibri" w:cs="宋体"/>
          <w:color w:val="auto"/>
          <w:kern w:val="2"/>
          <w:sz w:val="24"/>
          <w:szCs w:val="24"/>
          <w:highlight w:val="none"/>
        </w:rPr>
        <w:t>附：法定代表人身份证扫描件</w:t>
      </w:r>
    </w:p>
    <w:p w14:paraId="6BDB0B53">
      <w:pPr>
        <w:tabs>
          <w:tab w:val="left" w:pos="720"/>
          <w:tab w:val="left" w:pos="900"/>
        </w:tabs>
        <w:spacing w:before="62" w:beforeLines="20" w:after="62" w:afterLines="20" w:line="540" w:lineRule="exact"/>
        <w:ind w:firstLine="480" w:firstLineChars="200"/>
        <w:rPr>
          <w:rFonts w:ascii="@仿宋_GB2312" w:hAnsi="Calibri" w:eastAsia="@仿宋_GB2312" w:cs="宋体"/>
          <w:color w:val="auto"/>
          <w:kern w:val="2"/>
          <w:sz w:val="24"/>
          <w:szCs w:val="24"/>
          <w:highlight w:val="none"/>
        </w:rPr>
      </w:pPr>
    </w:p>
    <w:p w14:paraId="4A5C350C">
      <w:pPr>
        <w:tabs>
          <w:tab w:val="left" w:pos="720"/>
          <w:tab w:val="left" w:pos="900"/>
        </w:tabs>
        <w:spacing w:before="62" w:beforeLines="20" w:after="62" w:afterLines="20" w:line="540" w:lineRule="exact"/>
        <w:ind w:firstLine="4560" w:firstLineChars="1900"/>
        <w:rPr>
          <w:rFonts w:ascii="@仿宋_GB2312" w:hAnsi="Calibri" w:eastAsia="@仿宋_GB2312" w:cs="宋体"/>
          <w:color w:val="auto"/>
          <w:kern w:val="2"/>
          <w:sz w:val="24"/>
          <w:szCs w:val="24"/>
          <w:highlight w:val="none"/>
        </w:rPr>
      </w:pPr>
    </w:p>
    <w:p w14:paraId="766D3BEC">
      <w:pPr>
        <w:spacing w:line="360" w:lineRule="auto"/>
        <w:ind w:firstLine="3840" w:firstLineChars="1600"/>
        <w:rPr>
          <w:rFonts w:cs="宋体"/>
          <w:color w:val="auto"/>
          <w:kern w:val="2"/>
          <w:sz w:val="24"/>
          <w:szCs w:val="24"/>
          <w:highlight w:val="none"/>
        </w:rPr>
      </w:pPr>
      <w:r>
        <w:rPr>
          <w:rFonts w:hint="eastAsia" w:cs="宋体"/>
          <w:color w:val="auto"/>
          <w:kern w:val="2"/>
          <w:sz w:val="24"/>
          <w:szCs w:val="24"/>
          <w:highlight w:val="none"/>
        </w:rPr>
        <w:t>供应商电子签章：</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p>
    <w:p w14:paraId="6732BE17">
      <w:pPr>
        <w:spacing w:line="360" w:lineRule="auto"/>
        <w:ind w:firstLine="3840" w:firstLineChars="1600"/>
        <w:rPr>
          <w:rFonts w:cs="宋体"/>
          <w:color w:val="auto"/>
          <w:kern w:val="2"/>
          <w:sz w:val="24"/>
          <w:szCs w:val="24"/>
          <w:highlight w:val="none"/>
        </w:rPr>
      </w:pPr>
      <w:r>
        <w:rPr>
          <w:rFonts w:hint="eastAsia" w:cs="宋体"/>
          <w:color w:val="auto"/>
          <w:kern w:val="2"/>
          <w:sz w:val="24"/>
          <w:szCs w:val="24"/>
          <w:highlight w:val="none"/>
        </w:rPr>
        <w:t>日</w:t>
      </w:r>
      <w:r>
        <w:rPr>
          <w:rFonts w:cs="宋体"/>
          <w:color w:val="auto"/>
          <w:kern w:val="2"/>
          <w:sz w:val="24"/>
          <w:szCs w:val="24"/>
          <w:highlight w:val="none"/>
        </w:rPr>
        <w:t xml:space="preserve">   </w:t>
      </w:r>
      <w:r>
        <w:rPr>
          <w:rFonts w:hint="eastAsia" w:cs="宋体"/>
          <w:color w:val="auto"/>
          <w:kern w:val="2"/>
          <w:sz w:val="24"/>
          <w:szCs w:val="24"/>
          <w:highlight w:val="none"/>
        </w:rPr>
        <w:t xml:space="preserve">    </w:t>
      </w:r>
      <w:r>
        <w:rPr>
          <w:rFonts w:cs="宋体"/>
          <w:color w:val="auto"/>
          <w:kern w:val="2"/>
          <w:sz w:val="24"/>
          <w:szCs w:val="24"/>
          <w:highlight w:val="none"/>
        </w:rPr>
        <w:t xml:space="preserve">   </w:t>
      </w:r>
      <w:r>
        <w:rPr>
          <w:rFonts w:hint="eastAsia" w:cs="宋体"/>
          <w:color w:val="auto"/>
          <w:kern w:val="2"/>
          <w:sz w:val="24"/>
          <w:szCs w:val="24"/>
          <w:highlight w:val="none"/>
        </w:rPr>
        <w:t>期：</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p>
    <w:p w14:paraId="01289F0C">
      <w:pPr>
        <w:widowControl/>
        <w:jc w:val="left"/>
        <w:rPr>
          <w:rFonts w:cs="@仿宋_GB2312" w:asciiTheme="minorEastAsia" w:hAnsiTheme="minorEastAsia" w:eastAsiaTheme="minorEastAsia"/>
          <w:b/>
          <w:bCs/>
          <w:color w:val="auto"/>
          <w:kern w:val="2"/>
          <w:sz w:val="24"/>
          <w:szCs w:val="24"/>
          <w:highlight w:val="none"/>
        </w:rPr>
      </w:pPr>
      <w:r>
        <w:rPr>
          <w:rFonts w:cs="@仿宋_GB2312" w:asciiTheme="minorEastAsia" w:hAnsiTheme="minorEastAsia" w:eastAsiaTheme="minorEastAsia"/>
          <w:color w:val="auto"/>
          <w:kern w:val="2"/>
          <w:sz w:val="24"/>
          <w:szCs w:val="24"/>
          <w:highlight w:val="none"/>
        </w:rPr>
        <w:br w:type="page"/>
      </w:r>
    </w:p>
    <w:p w14:paraId="00467F1D">
      <w:pPr>
        <w:keepNext/>
        <w:keepLines/>
        <w:spacing w:before="260" w:after="260" w:line="416" w:lineRule="auto"/>
        <w:jc w:val="center"/>
        <w:outlineLvl w:val="1"/>
        <w:rPr>
          <w:rFonts w:hint="eastAsia" w:cs="@仿宋_GB2312" w:asciiTheme="minorEastAsia" w:hAnsiTheme="minorEastAsia" w:eastAsiaTheme="minorEastAsia"/>
          <w:b/>
          <w:bCs/>
          <w:color w:val="auto"/>
          <w:kern w:val="2"/>
          <w:sz w:val="24"/>
          <w:szCs w:val="24"/>
          <w:highlight w:val="none"/>
        </w:rPr>
      </w:pPr>
      <w:bookmarkStart w:id="762" w:name="_Toc4373"/>
      <w:bookmarkStart w:id="763" w:name="_Toc20099"/>
      <w:r>
        <w:rPr>
          <w:rFonts w:hint="eastAsia" w:cs="@仿宋_GB2312" w:asciiTheme="minorEastAsia" w:hAnsiTheme="minorEastAsia" w:eastAsiaTheme="minorEastAsia"/>
          <w:b/>
          <w:bCs/>
          <w:color w:val="auto"/>
          <w:kern w:val="2"/>
          <w:sz w:val="24"/>
          <w:szCs w:val="24"/>
          <w:highlight w:val="none"/>
          <w:lang w:val="en-US" w:eastAsia="zh-CN"/>
        </w:rPr>
        <w:t>七</w:t>
      </w:r>
      <w:r>
        <w:rPr>
          <w:rFonts w:hint="eastAsia" w:cs="@仿宋_GB2312" w:asciiTheme="minorEastAsia" w:hAnsiTheme="minorEastAsia" w:eastAsiaTheme="minorEastAsia"/>
          <w:b/>
          <w:bCs/>
          <w:color w:val="auto"/>
          <w:kern w:val="2"/>
          <w:sz w:val="24"/>
          <w:szCs w:val="24"/>
          <w:highlight w:val="none"/>
        </w:rPr>
        <w:t>、项目经理承诺书</w:t>
      </w:r>
      <w:bookmarkEnd w:id="762"/>
      <w:bookmarkEnd w:id="763"/>
    </w:p>
    <w:p w14:paraId="28909D52">
      <w:pPr>
        <w:spacing w:line="360" w:lineRule="auto"/>
        <w:rPr>
          <w:rFonts w:hint="eastAsia" w:cs="宋体" w:asciiTheme="minorEastAsia" w:hAnsiTheme="minorEastAsia" w:eastAsiaTheme="minorEastAsia"/>
          <w:color w:val="auto"/>
          <w:kern w:val="2"/>
          <w:sz w:val="24"/>
          <w:szCs w:val="24"/>
          <w:highlight w:val="none"/>
          <w:lang w:eastAsia="zh-CN"/>
        </w:rPr>
      </w:pPr>
      <w:r>
        <w:rPr>
          <w:rFonts w:hint="eastAsia" w:cs="宋体" w:asciiTheme="minorEastAsia" w:hAnsiTheme="minorEastAsia" w:eastAsiaTheme="minorEastAsia"/>
          <w:b/>
          <w:color w:val="auto"/>
          <w:kern w:val="2"/>
          <w:sz w:val="24"/>
          <w:szCs w:val="24"/>
          <w:highlight w:val="none"/>
        </w:rPr>
        <w:t>致：</w:t>
      </w:r>
      <w:r>
        <w:rPr>
          <w:rFonts w:hint="eastAsia" w:cs="宋体" w:asciiTheme="minorEastAsia" w:hAnsiTheme="minorEastAsia" w:eastAsiaTheme="minorEastAsia"/>
          <w:b/>
          <w:color w:val="auto"/>
          <w:kern w:val="2"/>
          <w:sz w:val="24"/>
          <w:szCs w:val="24"/>
          <w:highlight w:val="none"/>
          <w:u w:val="none"/>
          <w:lang w:eastAsia="zh-CN"/>
        </w:rPr>
        <w:t>采购人</w:t>
      </w:r>
    </w:p>
    <w:p w14:paraId="5AA5AC47">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rPr>
        <w:t>本人作为我单位在本项目磋商担任的项目经理，郑重承诺：</w:t>
      </w:r>
    </w:p>
    <w:p w14:paraId="594B5D4A">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rPr>
        <w:t>一、本项目提供的项目经理业绩已经本人核实，工程实施过程中项目经理确为本人，合同（或</w:t>
      </w:r>
      <w:r>
        <w:rPr>
          <w:rFonts w:hint="eastAsia" w:cs="宋体"/>
          <w:color w:val="auto"/>
          <w:kern w:val="2"/>
          <w:sz w:val="24"/>
          <w:szCs w:val="24"/>
          <w:highlight w:val="none"/>
          <w:lang w:eastAsia="zh-CN"/>
        </w:rPr>
        <w:t>完工</w:t>
      </w:r>
      <w:r>
        <w:rPr>
          <w:rFonts w:hint="eastAsia" w:cs="宋体"/>
          <w:color w:val="auto"/>
          <w:kern w:val="2"/>
          <w:sz w:val="24"/>
          <w:szCs w:val="24"/>
          <w:highlight w:val="none"/>
        </w:rPr>
        <w:t>相关资料证明）的本人签字均为该工程实施时段所签，真实无误，不存在虚假和挂靠现象，也不存在为磋商而造假的行为。</w:t>
      </w:r>
    </w:p>
    <w:p w14:paraId="24195678">
      <w:pPr>
        <w:spacing w:line="360" w:lineRule="auto"/>
        <w:ind w:firstLine="480" w:firstLineChars="200"/>
        <w:rPr>
          <w:rFonts w:cs="宋体"/>
          <w:color w:val="auto"/>
          <w:kern w:val="2"/>
          <w:sz w:val="24"/>
          <w:szCs w:val="24"/>
          <w:highlight w:val="none"/>
        </w:rPr>
      </w:pPr>
      <w:r>
        <w:rPr>
          <w:rFonts w:hint="eastAsia" w:cs="宋体"/>
          <w:color w:val="auto"/>
          <w:kern w:val="2"/>
          <w:sz w:val="24"/>
          <w:szCs w:val="24"/>
          <w:highlight w:val="none"/>
          <w:lang w:val="en-US" w:eastAsia="zh-CN"/>
        </w:rPr>
        <w:t>二</w:t>
      </w:r>
      <w:r>
        <w:rPr>
          <w:rFonts w:hint="eastAsia" w:cs="宋体"/>
          <w:color w:val="auto"/>
          <w:kern w:val="2"/>
          <w:sz w:val="24"/>
          <w:szCs w:val="24"/>
          <w:highlight w:val="none"/>
        </w:rPr>
        <w:t>、本人承诺，一旦成交，将严格按照磋商文件规定履约。</w:t>
      </w:r>
    </w:p>
    <w:p w14:paraId="2733E26D">
      <w:pPr>
        <w:spacing w:line="360" w:lineRule="auto"/>
        <w:ind w:firstLine="480" w:firstLineChars="200"/>
        <w:rPr>
          <w:rFonts w:hint="eastAsia" w:cs="宋体"/>
          <w:color w:val="auto"/>
          <w:kern w:val="2"/>
          <w:sz w:val="24"/>
          <w:szCs w:val="24"/>
          <w:highlight w:val="none"/>
        </w:rPr>
      </w:pPr>
      <w:r>
        <w:rPr>
          <w:rFonts w:hint="eastAsia" w:cs="宋体"/>
          <w:color w:val="auto"/>
          <w:kern w:val="2"/>
          <w:sz w:val="24"/>
          <w:szCs w:val="24"/>
          <w:highlight w:val="none"/>
          <w:lang w:val="en-US" w:eastAsia="zh-CN"/>
        </w:rPr>
        <w:t>三</w:t>
      </w:r>
      <w:r>
        <w:rPr>
          <w:rFonts w:hint="eastAsia" w:cs="宋体"/>
          <w:color w:val="auto"/>
          <w:kern w:val="2"/>
          <w:sz w:val="24"/>
          <w:szCs w:val="24"/>
          <w:highlight w:val="none"/>
        </w:rPr>
        <w:t>、本人声明，对以上承诺，一旦发现虚假现象，本人愿意承担相应法律责任，并随时无条件配合监管部门调查取证。</w:t>
      </w:r>
    </w:p>
    <w:p w14:paraId="0ABA464E">
      <w:pPr>
        <w:spacing w:line="360" w:lineRule="auto"/>
        <w:ind w:firstLine="480" w:firstLineChars="200"/>
        <w:rPr>
          <w:rFonts w:hint="eastAsia" w:cs="宋体"/>
          <w:b/>
          <w:bCs/>
          <w:color w:val="auto"/>
          <w:kern w:val="2"/>
          <w:sz w:val="24"/>
          <w:szCs w:val="24"/>
          <w:highlight w:val="none"/>
          <w:lang w:val="en-US" w:eastAsia="zh-CN"/>
        </w:rPr>
      </w:pPr>
      <w:r>
        <w:rPr>
          <w:rFonts w:hint="eastAsia" w:cs="宋体"/>
          <w:color w:val="auto"/>
          <w:kern w:val="2"/>
          <w:sz w:val="24"/>
          <w:szCs w:val="24"/>
          <w:highlight w:val="none"/>
          <w:lang w:val="en-US" w:eastAsia="zh-CN"/>
        </w:rPr>
        <w:t>四、</w:t>
      </w:r>
      <w:r>
        <w:rPr>
          <w:rFonts w:hint="eastAsia" w:cs="宋体"/>
          <w:b/>
          <w:bCs/>
          <w:color w:val="auto"/>
          <w:kern w:val="2"/>
          <w:sz w:val="24"/>
          <w:szCs w:val="24"/>
          <w:highlight w:val="none"/>
          <w:lang w:val="en-US" w:eastAsia="zh-CN"/>
        </w:rPr>
        <w:t>四、</w:t>
      </w:r>
      <w:r>
        <w:rPr>
          <w:rFonts w:hint="eastAsia" w:cs="宋体"/>
          <w:b/>
          <w:bCs/>
          <w:color w:val="auto"/>
          <w:kern w:val="2"/>
          <w:sz w:val="24"/>
          <w:szCs w:val="24"/>
          <w:highlight w:val="none"/>
        </w:rPr>
        <w:t>本人声明</w:t>
      </w:r>
      <w:r>
        <w:rPr>
          <w:rFonts w:hint="eastAsia" w:cs="宋体"/>
          <w:b/>
          <w:bCs/>
          <w:color w:val="auto"/>
          <w:kern w:val="2"/>
          <w:sz w:val="24"/>
          <w:szCs w:val="24"/>
          <w:highlight w:val="none"/>
          <w:lang w:val="en-US" w:eastAsia="zh-CN"/>
        </w:rPr>
        <w:t>与我单位具有劳动合同关系、且已依法缴纳社会保险。</w:t>
      </w:r>
    </w:p>
    <w:p w14:paraId="218C2A41">
      <w:pPr>
        <w:spacing w:line="360" w:lineRule="auto"/>
        <w:ind w:firstLine="480" w:firstLineChars="200"/>
        <w:rPr>
          <w:rFonts w:hint="eastAsia" w:cs="宋体"/>
          <w:color w:val="auto"/>
          <w:kern w:val="2"/>
          <w:sz w:val="24"/>
          <w:szCs w:val="24"/>
          <w:highlight w:val="none"/>
          <w:lang w:val="en-US" w:eastAsia="zh-CN"/>
        </w:rPr>
      </w:pPr>
    </w:p>
    <w:p w14:paraId="365C6E75">
      <w:pPr>
        <w:spacing w:line="360" w:lineRule="auto"/>
        <w:ind w:firstLine="480" w:firstLineChars="200"/>
        <w:rPr>
          <w:rFonts w:cs="宋体"/>
          <w:color w:val="auto"/>
          <w:kern w:val="2"/>
          <w:sz w:val="24"/>
          <w:szCs w:val="24"/>
          <w:highlight w:val="none"/>
        </w:rPr>
      </w:pPr>
    </w:p>
    <w:p w14:paraId="31A87A76">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项目经理签字：</w:t>
      </w:r>
      <w:r>
        <w:rPr>
          <w:rFonts w:hint="eastAsia" w:cs="宋体"/>
          <w:color w:val="auto"/>
          <w:kern w:val="2"/>
          <w:sz w:val="24"/>
          <w:szCs w:val="24"/>
          <w:highlight w:val="none"/>
          <w:u w:val="single"/>
        </w:rPr>
        <w:t xml:space="preserve">                   </w:t>
      </w:r>
    </w:p>
    <w:p w14:paraId="70A5219C">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身份证号：</w:t>
      </w:r>
      <w:r>
        <w:rPr>
          <w:rFonts w:hint="eastAsia" w:cs="宋体"/>
          <w:color w:val="auto"/>
          <w:kern w:val="2"/>
          <w:sz w:val="24"/>
          <w:szCs w:val="24"/>
          <w:highlight w:val="none"/>
          <w:u w:val="single"/>
        </w:rPr>
        <w:t xml:space="preserve">                       </w:t>
      </w:r>
    </w:p>
    <w:p w14:paraId="75317245">
      <w:pPr>
        <w:spacing w:line="360" w:lineRule="auto"/>
        <w:ind w:firstLine="4200" w:firstLineChars="1750"/>
        <w:rPr>
          <w:rFonts w:cs="宋体"/>
          <w:color w:val="auto"/>
          <w:kern w:val="2"/>
          <w:sz w:val="24"/>
          <w:szCs w:val="24"/>
          <w:highlight w:val="none"/>
        </w:rPr>
      </w:pPr>
      <w:r>
        <w:rPr>
          <w:rFonts w:hint="eastAsia" w:cs="宋体"/>
          <w:color w:val="auto"/>
          <w:kern w:val="2"/>
          <w:sz w:val="24"/>
          <w:szCs w:val="24"/>
          <w:highlight w:val="none"/>
        </w:rPr>
        <w:t>日    期：</w:t>
      </w:r>
      <w:r>
        <w:rPr>
          <w:rFonts w:hint="eastAsia" w:cs="宋体"/>
          <w:color w:val="auto"/>
          <w:kern w:val="2"/>
          <w:sz w:val="24"/>
          <w:szCs w:val="24"/>
          <w:highlight w:val="none"/>
          <w:u w:val="single"/>
        </w:rPr>
        <w:t xml:space="preserve"> </w:t>
      </w:r>
      <w:r>
        <w:rPr>
          <w:rFonts w:cs="宋体"/>
          <w:color w:val="auto"/>
          <w:kern w:val="2"/>
          <w:sz w:val="24"/>
          <w:szCs w:val="24"/>
          <w:highlight w:val="none"/>
          <w:u w:val="single"/>
        </w:rPr>
        <w:t xml:space="preserve"> </w:t>
      </w:r>
      <w:r>
        <w:rPr>
          <w:rFonts w:hint="eastAsia" w:cs="宋体"/>
          <w:color w:val="auto"/>
          <w:kern w:val="2"/>
          <w:sz w:val="24"/>
          <w:szCs w:val="24"/>
          <w:highlight w:val="none"/>
          <w:u w:val="single"/>
        </w:rPr>
        <w:t xml:space="preserve">                     </w:t>
      </w:r>
    </w:p>
    <w:p w14:paraId="1337375D">
      <w:pPr>
        <w:spacing w:line="360" w:lineRule="auto"/>
        <w:ind w:firstLine="480" w:firstLineChars="200"/>
        <w:rPr>
          <w:rFonts w:cs="宋体"/>
          <w:color w:val="auto"/>
          <w:kern w:val="2"/>
          <w:sz w:val="24"/>
          <w:szCs w:val="24"/>
          <w:highlight w:val="none"/>
        </w:rPr>
      </w:pPr>
    </w:p>
    <w:p w14:paraId="6C95D2EF">
      <w:pPr>
        <w:spacing w:line="360" w:lineRule="auto"/>
        <w:ind w:firstLine="480" w:firstLineChars="200"/>
        <w:rPr>
          <w:rFonts w:cs="宋体" w:asciiTheme="minorEastAsia" w:hAnsiTheme="minorEastAsia" w:eastAsiaTheme="minorEastAsia"/>
          <w:color w:val="auto"/>
          <w:kern w:val="2"/>
          <w:sz w:val="24"/>
          <w:szCs w:val="24"/>
          <w:highlight w:val="none"/>
        </w:rPr>
      </w:pPr>
      <w:r>
        <w:rPr>
          <w:rFonts w:hint="eastAsia" w:cs="宋体"/>
          <w:color w:val="auto"/>
          <w:kern w:val="2"/>
          <w:sz w:val="24"/>
          <w:szCs w:val="24"/>
          <w:highlight w:val="none"/>
        </w:rPr>
        <w:t>注：本页后附项目经理身份证明扫描件。</w:t>
      </w:r>
    </w:p>
    <w:p w14:paraId="6C15CECB">
      <w:pPr>
        <w:autoSpaceDE w:val="0"/>
        <w:autoSpaceDN w:val="0"/>
        <w:adjustRightInd w:val="0"/>
        <w:spacing w:line="360" w:lineRule="auto"/>
        <w:jc w:val="center"/>
        <w:rPr>
          <w:rFonts w:ascii="@仿宋_GB2312" w:eastAsia="@仿宋_GB2312" w:cs="宋体"/>
          <w:color w:val="auto"/>
          <w:kern w:val="2"/>
          <w:sz w:val="24"/>
          <w:szCs w:val="24"/>
          <w:highlight w:val="none"/>
          <w:lang w:val="zh-CN"/>
        </w:rPr>
      </w:pPr>
      <w:bookmarkStart w:id="764" w:name="_Toc438648628"/>
      <w:r>
        <w:rPr>
          <w:rFonts w:hint="eastAsia" w:ascii="@仿宋_GB2312" w:eastAsia="@仿宋_GB2312" w:cs="宋体"/>
          <w:b/>
          <w:color w:val="auto"/>
          <w:kern w:val="2"/>
          <w:sz w:val="24"/>
          <w:szCs w:val="24"/>
          <w:highlight w:val="none"/>
        </w:rPr>
        <w:br w:type="page"/>
      </w:r>
      <w:bookmarkEnd w:id="764"/>
    </w:p>
    <w:p w14:paraId="351CFE8E">
      <w:pPr>
        <w:spacing w:line="360" w:lineRule="auto"/>
        <w:jc w:val="center"/>
        <w:outlineLvl w:val="1"/>
        <w:rPr>
          <w:rFonts w:asciiTheme="minorEastAsia" w:hAnsiTheme="minorEastAsia" w:eastAsiaTheme="minorEastAsia"/>
          <w:b/>
          <w:color w:val="auto"/>
          <w:sz w:val="24"/>
          <w:highlight w:val="none"/>
        </w:rPr>
      </w:pPr>
      <w:bookmarkStart w:id="765" w:name="_Toc28359"/>
      <w:bookmarkStart w:id="766" w:name="_Toc31589"/>
      <w:r>
        <w:rPr>
          <w:rFonts w:hint="eastAsia" w:asciiTheme="minorEastAsia" w:hAnsiTheme="minorEastAsia" w:eastAsiaTheme="minorEastAsia"/>
          <w:b/>
          <w:color w:val="auto"/>
          <w:sz w:val="24"/>
          <w:highlight w:val="none"/>
          <w:lang w:val="en-US" w:eastAsia="zh-CN"/>
        </w:rPr>
        <w:t>八</w:t>
      </w:r>
      <w:r>
        <w:rPr>
          <w:rFonts w:hint="eastAsia" w:asciiTheme="minorEastAsia" w:hAnsiTheme="minorEastAsia" w:eastAsiaTheme="minorEastAsia"/>
          <w:b/>
          <w:color w:val="auto"/>
          <w:sz w:val="24"/>
          <w:highlight w:val="none"/>
        </w:rPr>
        <w:t>、中小企业声明函</w:t>
      </w:r>
      <w:bookmarkEnd w:id="765"/>
      <w:bookmarkEnd w:id="766"/>
    </w:p>
    <w:p w14:paraId="16F532CF">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olor w:val="auto"/>
          <w:sz w:val="24"/>
          <w:szCs w:val="24"/>
          <w:highlight w:val="none"/>
        </w:rPr>
      </w:pPr>
      <w:r>
        <w:rPr>
          <w:rFonts w:hint="eastAsia" w:ascii="宋体" w:hAnsi="宋体" w:eastAsia="宋体"/>
          <w:b w:val="0"/>
          <w:i/>
          <w:color w:val="auto"/>
          <w:sz w:val="24"/>
          <w:highlight w:val="none"/>
          <w:lang w:val="en-US" w:eastAsia="zh-CN"/>
        </w:rPr>
        <w:t>（</w:t>
      </w:r>
      <w:r>
        <w:rPr>
          <w:rFonts w:hint="eastAsia" w:ascii="宋体" w:hAnsi="宋体" w:eastAsia="宋体"/>
          <w:b w:val="0"/>
          <w:i/>
          <w:color w:val="auto"/>
          <w:sz w:val="24"/>
          <w:highlight w:val="none"/>
          <w:lang w:val="zh-CN" w:eastAsia="zh-CN"/>
        </w:rPr>
        <w:t>非中小企业</w:t>
      </w:r>
      <w:r>
        <w:rPr>
          <w:rFonts w:hint="eastAsia" w:ascii="宋体" w:hAnsi="宋体" w:eastAsia="宋体"/>
          <w:b w:val="0"/>
          <w:i/>
          <w:color w:val="auto"/>
          <w:sz w:val="24"/>
          <w:highlight w:val="none"/>
          <w:lang w:val="en-US" w:eastAsia="zh-CN"/>
        </w:rPr>
        <w:t>磋商，不需此件，请删去“中小企业声明函”）</w:t>
      </w:r>
    </w:p>
    <w:p w14:paraId="349D5CA7">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本公司（联合体）郑重声明，根据《政府采购促进中小企业发展管理办法》（财库﹝2020﹞46号）的规定，本公司（联合体）参加</w:t>
      </w:r>
      <w:r>
        <w:rPr>
          <w:rFonts w:hint="eastAsia" w:cs="@仿宋_GB2312"/>
          <w:color w:val="auto"/>
          <w:kern w:val="2"/>
          <w:sz w:val="24"/>
          <w:szCs w:val="24"/>
          <w:highlight w:val="none"/>
          <w:u w:val="single"/>
          <w:lang w:val="zh-CN"/>
        </w:rPr>
        <w:t>（单位</w:t>
      </w:r>
      <w:r>
        <w:rPr>
          <w:rFonts w:hint="eastAsia" w:cs="@仿宋_GB2312"/>
          <w:color w:val="auto"/>
          <w:kern w:val="2"/>
          <w:sz w:val="24"/>
          <w:szCs w:val="24"/>
          <w:highlight w:val="none"/>
          <w:u w:val="single"/>
          <w:lang w:val="en-US" w:eastAsia="zh-CN"/>
        </w:rPr>
        <w:t>名称</w:t>
      </w: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lang w:val="zh-CN"/>
        </w:rPr>
        <w:t>的</w:t>
      </w:r>
      <w:r>
        <w:rPr>
          <w:rFonts w:hint="eastAsia" w:cs="@仿宋_GB2312"/>
          <w:color w:val="auto"/>
          <w:kern w:val="2"/>
          <w:sz w:val="24"/>
          <w:szCs w:val="24"/>
          <w:highlight w:val="none"/>
          <w:u w:val="single"/>
          <w:lang w:val="zh-CN"/>
        </w:rPr>
        <w:t>（项目</w:t>
      </w:r>
      <w:r>
        <w:rPr>
          <w:rFonts w:hint="eastAsia" w:cs="@仿宋_GB2312"/>
          <w:color w:val="auto"/>
          <w:kern w:val="2"/>
          <w:sz w:val="24"/>
          <w:szCs w:val="24"/>
          <w:highlight w:val="none"/>
          <w:u w:val="single"/>
          <w:lang w:val="en-US" w:eastAsia="zh-CN"/>
        </w:rPr>
        <w:t>名称</w:t>
      </w:r>
      <w:r>
        <w:rPr>
          <w:rFonts w:hint="eastAsia" w:cs="@仿宋_GB2312"/>
          <w:color w:val="auto"/>
          <w:kern w:val="2"/>
          <w:sz w:val="24"/>
          <w:szCs w:val="24"/>
          <w:highlight w:val="none"/>
          <w:u w:val="single"/>
          <w:lang w:val="zh-CN"/>
        </w:rPr>
        <w:t>）</w:t>
      </w:r>
      <w:r>
        <w:rPr>
          <w:rFonts w:hint="eastAsia" w:cs="@仿宋_GB2312"/>
          <w:color w:val="auto"/>
          <w:kern w:val="2"/>
          <w:sz w:val="24"/>
          <w:szCs w:val="24"/>
          <w:highlight w:val="none"/>
          <w:lang w:val="zh-CN"/>
        </w:rPr>
        <w:t xml:space="preserve">采购活动，工程的施工单位全部为符合政策要求的中小企业。相关企业（含联合体中的中小企业、签订分包意向协议的中小企业）的具体情况如下： </w:t>
      </w:r>
    </w:p>
    <w:p w14:paraId="3165A248">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1.</w:t>
      </w:r>
      <w:r>
        <w:rPr>
          <w:rFonts w:hint="eastAsia" w:cs="@仿宋_GB2312"/>
          <w:color w:val="auto"/>
          <w:kern w:val="2"/>
          <w:sz w:val="24"/>
          <w:szCs w:val="24"/>
          <w:highlight w:val="none"/>
          <w:u w:val="single"/>
          <w:lang w:val="zh-CN"/>
        </w:rPr>
        <w:t xml:space="preserve"> （标的名称） </w:t>
      </w:r>
      <w:r>
        <w:rPr>
          <w:rFonts w:hint="eastAsia" w:cs="@仿宋_GB2312"/>
          <w:color w:val="auto"/>
          <w:kern w:val="2"/>
          <w:sz w:val="24"/>
          <w:szCs w:val="24"/>
          <w:highlight w:val="none"/>
          <w:lang w:val="zh-CN"/>
        </w:rPr>
        <w:t>，属于</w:t>
      </w:r>
      <w:r>
        <w:rPr>
          <w:rFonts w:hint="eastAsia" w:cs="@仿宋_GB2312"/>
          <w:color w:val="auto"/>
          <w:kern w:val="2"/>
          <w:sz w:val="24"/>
          <w:szCs w:val="24"/>
          <w:highlight w:val="none"/>
          <w:u w:val="single"/>
          <w:lang w:val="zh-CN"/>
        </w:rPr>
        <w:t>（采购文件中明确的所属行业）</w:t>
      </w:r>
      <w:r>
        <w:rPr>
          <w:rFonts w:hint="eastAsia" w:cs="@仿宋_GB2312"/>
          <w:color w:val="auto"/>
          <w:kern w:val="2"/>
          <w:sz w:val="24"/>
          <w:szCs w:val="24"/>
          <w:highlight w:val="none"/>
          <w:lang w:val="zh-CN"/>
        </w:rPr>
        <w:t>行业；承建企业为</w:t>
      </w:r>
      <w:r>
        <w:rPr>
          <w:rFonts w:hint="eastAsia" w:cs="@仿宋_GB2312"/>
          <w:color w:val="auto"/>
          <w:kern w:val="2"/>
          <w:sz w:val="24"/>
          <w:szCs w:val="24"/>
          <w:highlight w:val="none"/>
          <w:u w:val="single"/>
          <w:lang w:val="zh-CN"/>
        </w:rPr>
        <w:t>（企业名称）</w:t>
      </w:r>
      <w:r>
        <w:rPr>
          <w:rFonts w:hint="eastAsia" w:cs="@仿宋_GB2312"/>
          <w:color w:val="auto"/>
          <w:kern w:val="2"/>
          <w:sz w:val="24"/>
          <w:szCs w:val="24"/>
          <w:highlight w:val="none"/>
          <w:lang w:val="zh-CN"/>
        </w:rPr>
        <w:t>，从业人员</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人，营业收入为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万元，资产总额为</w:t>
      </w:r>
      <w:r>
        <w:rPr>
          <w:rFonts w:hint="eastAsia" w:cs="@仿宋_GB2312"/>
          <w:color w:val="auto"/>
          <w:kern w:val="2"/>
          <w:sz w:val="24"/>
          <w:szCs w:val="24"/>
          <w:highlight w:val="none"/>
          <w:u w:val="single"/>
          <w:lang w:val="zh-CN"/>
        </w:rPr>
        <w:t xml:space="preserve">     </w:t>
      </w:r>
      <w:r>
        <w:rPr>
          <w:rFonts w:hint="eastAsia" w:cs="@仿宋_GB2312"/>
          <w:color w:val="auto"/>
          <w:kern w:val="2"/>
          <w:sz w:val="24"/>
          <w:szCs w:val="24"/>
          <w:highlight w:val="none"/>
          <w:lang w:val="zh-CN"/>
        </w:rPr>
        <w:t>万元，属于</w:t>
      </w:r>
      <w:r>
        <w:rPr>
          <w:rFonts w:hint="eastAsia" w:cs="@仿宋_GB2312"/>
          <w:color w:val="auto"/>
          <w:kern w:val="2"/>
          <w:sz w:val="24"/>
          <w:szCs w:val="24"/>
          <w:highlight w:val="none"/>
          <w:u w:val="single"/>
          <w:lang w:val="zh-CN"/>
        </w:rPr>
        <w:t>（中型企业、小型企业、微型企业）</w:t>
      </w:r>
      <w:r>
        <w:rPr>
          <w:rFonts w:hint="eastAsia" w:cs="@仿宋_GB2312"/>
          <w:color w:val="auto"/>
          <w:kern w:val="2"/>
          <w:sz w:val="24"/>
          <w:szCs w:val="24"/>
          <w:highlight w:val="none"/>
          <w:lang w:val="zh-CN"/>
        </w:rPr>
        <w:t xml:space="preserve">；  </w:t>
      </w:r>
    </w:p>
    <w:p w14:paraId="6B94372E">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w:t>
      </w:r>
    </w:p>
    <w:p w14:paraId="6E7A0FF8">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以上企业，不属于大企业的分支机构，不存在控股股东为大企业的情形，也不存在与大企业的负责人为同一人的情形。</w:t>
      </w:r>
    </w:p>
    <w:p w14:paraId="0E80EBAE">
      <w:pPr>
        <w:spacing w:line="360" w:lineRule="auto"/>
        <w:ind w:firstLine="435"/>
        <w:rPr>
          <w:rFonts w:cs="@仿宋_GB2312"/>
          <w:color w:val="auto"/>
          <w:kern w:val="2"/>
          <w:sz w:val="24"/>
          <w:szCs w:val="24"/>
          <w:highlight w:val="none"/>
          <w:lang w:val="zh-CN"/>
        </w:rPr>
      </w:pPr>
      <w:r>
        <w:rPr>
          <w:rFonts w:hint="eastAsia" w:cs="@仿宋_GB2312"/>
          <w:color w:val="auto"/>
          <w:kern w:val="2"/>
          <w:sz w:val="24"/>
          <w:szCs w:val="24"/>
          <w:highlight w:val="none"/>
          <w:lang w:val="zh-CN"/>
        </w:rPr>
        <w:t xml:space="preserve">本企业对上述声明内容的真实性负责。如有虚假，将依法承担相应责任。 </w:t>
      </w:r>
    </w:p>
    <w:p w14:paraId="5566E52C">
      <w:pPr>
        <w:spacing w:line="360" w:lineRule="auto"/>
        <w:ind w:firstLine="435"/>
        <w:rPr>
          <w:rFonts w:cs="@仿宋_GB2312" w:asciiTheme="minorEastAsia" w:hAnsiTheme="minorEastAsia" w:eastAsiaTheme="minorEastAsia"/>
          <w:color w:val="auto"/>
          <w:kern w:val="2"/>
          <w:sz w:val="24"/>
          <w:szCs w:val="24"/>
          <w:highlight w:val="none"/>
        </w:rPr>
      </w:pPr>
    </w:p>
    <w:p w14:paraId="794DFA8E">
      <w:pPr>
        <w:spacing w:line="360" w:lineRule="auto"/>
        <w:ind w:firstLine="435"/>
        <w:rPr>
          <w:rFonts w:cs="@仿宋_GB2312" w:asciiTheme="minorEastAsia" w:hAnsiTheme="minorEastAsia" w:eastAsiaTheme="minorEastAsia"/>
          <w:color w:val="auto"/>
          <w:kern w:val="2"/>
          <w:sz w:val="24"/>
          <w:szCs w:val="24"/>
          <w:highlight w:val="none"/>
        </w:rPr>
      </w:pPr>
    </w:p>
    <w:p w14:paraId="269B5E18">
      <w:pPr>
        <w:spacing w:line="360" w:lineRule="auto"/>
        <w:ind w:firstLine="4228" w:firstLineChars="1762"/>
        <w:rPr>
          <w:rFonts w:cs="@仿宋_GB2312" w:asciiTheme="minorEastAsia" w:hAnsiTheme="minorEastAsia" w:eastAsiaTheme="minorEastAsia"/>
          <w:color w:val="auto"/>
          <w:kern w:val="2"/>
          <w:sz w:val="24"/>
          <w:szCs w:val="24"/>
          <w:highlight w:val="none"/>
          <w:u w:val="single"/>
        </w:rPr>
      </w:pPr>
      <w:r>
        <w:rPr>
          <w:rFonts w:hint="eastAsia" w:cs="@仿宋_GB2312" w:asciiTheme="minorEastAsia" w:hAnsiTheme="minorEastAsia" w:eastAsiaTheme="minorEastAsia"/>
          <w:color w:val="auto"/>
          <w:kern w:val="2"/>
          <w:sz w:val="24"/>
          <w:szCs w:val="24"/>
          <w:highlight w:val="none"/>
        </w:rPr>
        <w:t>供应商</w:t>
      </w:r>
      <w:r>
        <w:rPr>
          <w:rFonts w:cs="@仿宋_GB2312" w:asciiTheme="minorEastAsia" w:hAnsiTheme="minorEastAsia" w:eastAsiaTheme="minorEastAsia"/>
          <w:color w:val="auto"/>
          <w:kern w:val="2"/>
          <w:sz w:val="24"/>
          <w:szCs w:val="24"/>
          <w:highlight w:val="none"/>
        </w:rPr>
        <w:t>电子签章</w:t>
      </w:r>
      <w:r>
        <w:rPr>
          <w:rFonts w:hint="eastAsia" w:cs="@仿宋_GB2312" w:asciiTheme="minorEastAsia" w:hAnsiTheme="minorEastAsia" w:eastAsiaTheme="minorEastAsia"/>
          <w:color w:val="auto"/>
          <w:kern w:val="2"/>
          <w:sz w:val="24"/>
          <w:szCs w:val="24"/>
          <w:highlight w:val="none"/>
        </w:rPr>
        <w:t>：</w:t>
      </w:r>
      <w:r>
        <w:rPr>
          <w:rFonts w:cs="@仿宋_GB2312" w:asciiTheme="minorEastAsia" w:hAnsiTheme="minorEastAsia" w:eastAsiaTheme="minorEastAsia"/>
          <w:color w:val="auto"/>
          <w:kern w:val="2"/>
          <w:sz w:val="24"/>
          <w:szCs w:val="24"/>
          <w:highlight w:val="none"/>
          <w:u w:val="single"/>
        </w:rPr>
        <w:t xml:space="preserve">             </w:t>
      </w:r>
    </w:p>
    <w:p w14:paraId="0D1B24A5">
      <w:pPr>
        <w:tabs>
          <w:tab w:val="left" w:pos="4620"/>
        </w:tabs>
        <w:spacing w:line="360" w:lineRule="auto"/>
        <w:ind w:firstLine="4252" w:firstLineChars="1772"/>
        <w:rPr>
          <w:rFonts w:cs="@仿宋_GB2312" w:asciiTheme="minorEastAsia" w:hAnsiTheme="minorEastAsia" w:eastAsiaTheme="minorEastAsia"/>
          <w:color w:val="auto"/>
          <w:kern w:val="2"/>
          <w:sz w:val="24"/>
          <w:szCs w:val="24"/>
          <w:highlight w:val="none"/>
        </w:rPr>
      </w:pPr>
      <w:r>
        <w:rPr>
          <w:rFonts w:hint="eastAsia" w:cs="@仿宋_GB2312" w:asciiTheme="minorEastAsia" w:hAnsiTheme="minorEastAsia" w:eastAsiaTheme="minorEastAsia"/>
          <w:color w:val="auto"/>
          <w:kern w:val="2"/>
          <w:sz w:val="24"/>
          <w:szCs w:val="24"/>
          <w:highlight w:val="none"/>
        </w:rPr>
        <w:t>日</w:t>
      </w:r>
      <w:r>
        <w:rPr>
          <w:rFonts w:cs="@仿宋_GB2312" w:asciiTheme="minorEastAsia" w:hAnsiTheme="minorEastAsia" w:eastAsiaTheme="minorEastAsia"/>
          <w:color w:val="auto"/>
          <w:kern w:val="2"/>
          <w:sz w:val="24"/>
          <w:szCs w:val="24"/>
          <w:highlight w:val="none"/>
        </w:rPr>
        <w:t xml:space="preserve">      </w:t>
      </w:r>
      <w:r>
        <w:rPr>
          <w:rFonts w:hint="eastAsia" w:cs="@仿宋_GB2312" w:asciiTheme="minorEastAsia" w:hAnsiTheme="minorEastAsia" w:eastAsiaTheme="minorEastAsia"/>
          <w:color w:val="auto"/>
          <w:kern w:val="2"/>
          <w:sz w:val="24"/>
          <w:szCs w:val="24"/>
          <w:highlight w:val="none"/>
        </w:rPr>
        <w:t xml:space="preserve">    期：</w:t>
      </w:r>
      <w:r>
        <w:rPr>
          <w:rFonts w:cs="@仿宋_GB2312" w:asciiTheme="minorEastAsia" w:hAnsiTheme="minorEastAsia" w:eastAsiaTheme="minorEastAsia"/>
          <w:color w:val="auto"/>
          <w:kern w:val="2"/>
          <w:sz w:val="24"/>
          <w:szCs w:val="24"/>
          <w:highlight w:val="none"/>
          <w:u w:val="single"/>
        </w:rPr>
        <w:t xml:space="preserve">             </w:t>
      </w:r>
    </w:p>
    <w:p w14:paraId="06DD9133">
      <w:pPr>
        <w:tabs>
          <w:tab w:val="left" w:pos="4620"/>
        </w:tabs>
        <w:spacing w:line="360" w:lineRule="auto"/>
        <w:jc w:val="left"/>
        <w:rPr>
          <w:rFonts w:cs="@仿宋_GB2312" w:asciiTheme="minorEastAsia" w:hAnsiTheme="minorEastAsia" w:eastAsiaTheme="minorEastAsia"/>
          <w:color w:val="auto"/>
          <w:kern w:val="2"/>
          <w:sz w:val="24"/>
          <w:szCs w:val="24"/>
          <w:highlight w:val="none"/>
        </w:rPr>
      </w:pPr>
    </w:p>
    <w:p w14:paraId="11F3E129">
      <w:pPr>
        <w:tabs>
          <w:tab w:val="left" w:pos="4620"/>
        </w:tabs>
        <w:spacing w:line="360" w:lineRule="auto"/>
        <w:jc w:val="left"/>
        <w:rPr>
          <w:rFonts w:hint="eastAsia" w:cs="@仿宋_GB2312" w:asciiTheme="minorEastAsia" w:hAnsiTheme="minorEastAsia" w:eastAsiaTheme="minorEastAsia"/>
          <w:b/>
          <w:color w:val="auto"/>
          <w:kern w:val="2"/>
          <w:sz w:val="21"/>
          <w:szCs w:val="24"/>
          <w:highlight w:val="none"/>
          <w:lang w:eastAsia="zh-CN"/>
        </w:rPr>
      </w:pPr>
      <w:r>
        <w:rPr>
          <w:rFonts w:hint="eastAsia" w:cs="@仿宋_GB2312" w:asciiTheme="minorEastAsia" w:hAnsiTheme="minorEastAsia" w:eastAsiaTheme="minorEastAsia"/>
          <w:b/>
          <w:color w:val="auto"/>
          <w:kern w:val="2"/>
          <w:sz w:val="21"/>
          <w:szCs w:val="24"/>
          <w:highlight w:val="none"/>
          <w:lang w:eastAsia="zh-CN"/>
        </w:rPr>
        <w:t>注：</w:t>
      </w:r>
    </w:p>
    <w:p w14:paraId="1EDE7C30">
      <w:pPr>
        <w:tabs>
          <w:tab w:val="left" w:pos="4620"/>
        </w:tabs>
        <w:spacing w:line="360" w:lineRule="auto"/>
        <w:jc w:val="left"/>
        <w:rPr>
          <w:rFonts w:cs="@仿宋_GB2312" w:asciiTheme="minorEastAsia" w:hAnsiTheme="minorEastAsia" w:eastAsiaTheme="minorEastAsia"/>
          <w:color w:val="auto"/>
          <w:kern w:val="2"/>
          <w:sz w:val="21"/>
          <w:szCs w:val="24"/>
          <w:highlight w:val="none"/>
        </w:rPr>
      </w:pPr>
      <w:r>
        <w:rPr>
          <w:rFonts w:cs="@仿宋_GB2312" w:asciiTheme="minorEastAsia" w:hAnsiTheme="minorEastAsia" w:eastAsiaTheme="minorEastAsia"/>
          <w:color w:val="auto"/>
          <w:kern w:val="2"/>
          <w:sz w:val="21"/>
          <w:szCs w:val="24"/>
          <w:highlight w:val="none"/>
        </w:rPr>
        <w:t>1.从业人员、营业收入、资产总额填报上一年数据，无上一年数据的新成立企业可不填报。</w:t>
      </w:r>
    </w:p>
    <w:p w14:paraId="32CF1469">
      <w:pPr>
        <w:tabs>
          <w:tab w:val="left" w:pos="4620"/>
        </w:tabs>
        <w:spacing w:line="360" w:lineRule="auto"/>
        <w:jc w:val="left"/>
        <w:rPr>
          <w:rFonts w:cs="宋体"/>
          <w:b/>
          <w:bCs/>
          <w:color w:val="auto"/>
          <w:kern w:val="2"/>
          <w:sz w:val="21"/>
          <w:szCs w:val="21"/>
          <w:highlight w:val="none"/>
        </w:rPr>
      </w:pPr>
      <w:r>
        <w:rPr>
          <w:rFonts w:hint="eastAsia" w:cs="宋体"/>
          <w:b/>
          <w:bCs/>
          <w:color w:val="auto"/>
          <w:sz w:val="21"/>
          <w:szCs w:val="21"/>
          <w:highlight w:val="none"/>
        </w:rPr>
        <w:t>2.</w:t>
      </w:r>
      <w:r>
        <w:rPr>
          <w:rFonts w:hint="eastAsia" w:cs="宋体"/>
          <w:b/>
          <w:bCs/>
          <w:color w:val="auto"/>
          <w:kern w:val="2"/>
          <w:sz w:val="21"/>
          <w:szCs w:val="21"/>
          <w:highlight w:val="none"/>
        </w:rPr>
        <w:t>供应商应根据《政府采购促进中小企业发展管理办法》（财库﹝2020﹞46号）和《关于印发中小企业划型标准规定的通知》(工信部联企业〔2011〕300号)相关规定，如实填写中小企业声明函。</w:t>
      </w:r>
      <w:r>
        <w:rPr>
          <w:rFonts w:hint="eastAsia" w:cs="宋体"/>
          <w:b/>
          <w:bCs/>
          <w:color w:val="auto"/>
          <w:kern w:val="2"/>
          <w:sz w:val="21"/>
          <w:szCs w:val="21"/>
          <w:highlight w:val="none"/>
          <w:lang w:val="zh-CN"/>
        </w:rPr>
        <w:t>如有虚假，将依法承担相应责任。</w:t>
      </w:r>
      <w:r>
        <w:rPr>
          <w:rFonts w:hint="eastAsia" w:cs="宋体"/>
          <w:b/>
          <w:bCs/>
          <w:color w:val="auto"/>
          <w:kern w:val="2"/>
          <w:sz w:val="21"/>
          <w:szCs w:val="21"/>
          <w:highlight w:val="none"/>
        </w:rPr>
        <w:t>供应商自行登录工业和信息化部官网进行中小企业规模类型自测（查询网址https://www.miit.gov.cn/）。</w:t>
      </w:r>
    </w:p>
    <w:p w14:paraId="5E6D1C94">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3.上述“</w:t>
      </w:r>
      <w:r>
        <w:rPr>
          <w:rFonts w:hint="eastAsia" w:cs="宋体"/>
          <w:b/>
          <w:bCs/>
          <w:color w:val="auto"/>
          <w:kern w:val="2"/>
          <w:sz w:val="21"/>
          <w:szCs w:val="21"/>
          <w:highlight w:val="none"/>
          <w:u w:val="single"/>
          <w:lang w:val="zh-CN"/>
        </w:rPr>
        <w:t>标的名称</w:t>
      </w:r>
      <w:r>
        <w:rPr>
          <w:rFonts w:hint="eastAsia" w:cs="宋体"/>
          <w:b/>
          <w:bCs/>
          <w:color w:val="auto"/>
          <w:kern w:val="2"/>
          <w:sz w:val="21"/>
          <w:szCs w:val="21"/>
          <w:highlight w:val="none"/>
        </w:rPr>
        <w:t>”，详见第三章采购需求前附表中明确的“标的名称”。</w:t>
      </w:r>
    </w:p>
    <w:p w14:paraId="6A3CC719">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4.上述“</w:t>
      </w:r>
      <w:r>
        <w:rPr>
          <w:rFonts w:hint="eastAsia" w:cs="宋体"/>
          <w:b/>
          <w:bCs/>
          <w:color w:val="auto"/>
          <w:kern w:val="2"/>
          <w:sz w:val="21"/>
          <w:szCs w:val="21"/>
          <w:highlight w:val="none"/>
          <w:u w:val="single"/>
        </w:rPr>
        <w:t>采购文件中明确的所属行业</w:t>
      </w:r>
      <w:r>
        <w:rPr>
          <w:rFonts w:hint="eastAsia" w:cs="宋体"/>
          <w:b/>
          <w:bCs/>
          <w:color w:val="auto"/>
          <w:kern w:val="2"/>
          <w:sz w:val="21"/>
          <w:szCs w:val="21"/>
          <w:highlight w:val="none"/>
        </w:rPr>
        <w:t>”，详见第三章采购需求前附表中明确的“所属行业”。</w:t>
      </w:r>
    </w:p>
    <w:p w14:paraId="4574EB9D">
      <w:pPr>
        <w:tabs>
          <w:tab w:val="left" w:pos="4620"/>
        </w:tabs>
        <w:spacing w:line="360" w:lineRule="auto"/>
        <w:jc w:val="left"/>
        <w:rPr>
          <w:rFonts w:cs="宋体"/>
          <w:b/>
          <w:bCs/>
          <w:color w:val="auto"/>
          <w:kern w:val="2"/>
          <w:sz w:val="21"/>
          <w:szCs w:val="21"/>
          <w:highlight w:val="none"/>
        </w:rPr>
      </w:pPr>
      <w:r>
        <w:rPr>
          <w:rFonts w:hint="eastAsia" w:cs="宋体"/>
          <w:b/>
          <w:bCs/>
          <w:color w:val="auto"/>
          <w:kern w:val="2"/>
          <w:sz w:val="21"/>
          <w:szCs w:val="21"/>
          <w:highlight w:val="none"/>
        </w:rPr>
        <w:t>5．</w:t>
      </w:r>
      <w:r>
        <w:rPr>
          <w:rFonts w:hint="eastAsia" w:cs="宋体"/>
          <w:b/>
          <w:bCs/>
          <w:color w:val="auto"/>
          <w:szCs w:val="21"/>
          <w:highlight w:val="none"/>
        </w:rPr>
        <w:t>填写示例：</w:t>
      </w:r>
      <w:r>
        <w:rPr>
          <w:rFonts w:hint="eastAsia" w:cs="宋体"/>
          <w:b/>
          <w:bCs/>
          <w:color w:val="auto"/>
          <w:szCs w:val="21"/>
          <w:highlight w:val="none"/>
          <w:u w:val="single"/>
        </w:rPr>
        <w:t>某标的名称</w:t>
      </w:r>
      <w:r>
        <w:rPr>
          <w:rFonts w:hint="eastAsia" w:cs="宋体"/>
          <w:b/>
          <w:bCs/>
          <w:color w:val="auto"/>
          <w:szCs w:val="21"/>
          <w:highlight w:val="none"/>
        </w:rPr>
        <w:t>（</w:t>
      </w:r>
      <w:r>
        <w:rPr>
          <w:rFonts w:hint="eastAsia" w:cs="宋体"/>
          <w:b/>
          <w:bCs/>
          <w:color w:val="auto"/>
          <w:szCs w:val="21"/>
          <w:highlight w:val="none"/>
          <w:u w:val="single"/>
        </w:rPr>
        <w:t>填写第三章采购需求前附表中明确的“标的名称”</w:t>
      </w:r>
      <w:r>
        <w:rPr>
          <w:rFonts w:hint="eastAsia" w:cs="宋体"/>
          <w:b/>
          <w:bCs/>
          <w:color w:val="auto"/>
          <w:szCs w:val="21"/>
          <w:highlight w:val="none"/>
        </w:rPr>
        <w:t>），属于</w:t>
      </w:r>
      <w:r>
        <w:rPr>
          <w:rFonts w:hint="eastAsia" w:cs="宋体"/>
          <w:b/>
          <w:bCs/>
          <w:color w:val="auto"/>
          <w:szCs w:val="21"/>
          <w:highlight w:val="none"/>
          <w:u w:val="single"/>
        </w:rPr>
        <w:t>（填写第三章采购需求前附表中明确的“所属行业”，如建筑业）</w:t>
      </w:r>
      <w:r>
        <w:rPr>
          <w:rFonts w:hint="eastAsia" w:cs="宋体"/>
          <w:b/>
          <w:bCs/>
          <w:color w:val="auto"/>
          <w:szCs w:val="21"/>
          <w:highlight w:val="none"/>
        </w:rPr>
        <w:t>行业；承接企业为</w:t>
      </w:r>
      <w:r>
        <w:rPr>
          <w:rFonts w:hint="eastAsia" w:cs="宋体"/>
          <w:b/>
          <w:bCs/>
          <w:color w:val="auto"/>
          <w:szCs w:val="21"/>
          <w:highlight w:val="none"/>
          <w:u w:val="single"/>
          <w:lang w:val="zh-CN"/>
        </w:rPr>
        <w:t>某公司</w:t>
      </w:r>
      <w:r>
        <w:rPr>
          <w:rFonts w:hint="eastAsia" w:cs="宋体"/>
          <w:b/>
          <w:bCs/>
          <w:color w:val="auto"/>
          <w:szCs w:val="21"/>
          <w:highlight w:val="none"/>
        </w:rPr>
        <w:t>，</w:t>
      </w:r>
      <w:r>
        <w:rPr>
          <w:rFonts w:hint="eastAsia" w:cs="宋体"/>
          <w:b/>
          <w:bCs/>
          <w:color w:val="auto"/>
          <w:szCs w:val="21"/>
          <w:highlight w:val="none"/>
          <w:lang w:val="zh-CN"/>
        </w:rPr>
        <w:t>从业人员</w:t>
      </w:r>
      <w:r>
        <w:rPr>
          <w:rFonts w:hint="eastAsia" w:cs="宋体"/>
          <w:b/>
          <w:bCs/>
          <w:color w:val="auto"/>
          <w:szCs w:val="21"/>
          <w:highlight w:val="none"/>
          <w:u w:val="single"/>
        </w:rPr>
        <w:t>100</w:t>
      </w:r>
      <w:r>
        <w:rPr>
          <w:rFonts w:hint="eastAsia" w:cs="宋体"/>
          <w:b/>
          <w:bCs/>
          <w:color w:val="auto"/>
          <w:szCs w:val="21"/>
          <w:highlight w:val="none"/>
          <w:lang w:val="zh-CN"/>
        </w:rPr>
        <w:t>人</w:t>
      </w:r>
      <w:r>
        <w:rPr>
          <w:rFonts w:hint="eastAsia" w:cs="宋体"/>
          <w:b/>
          <w:bCs/>
          <w:color w:val="auto"/>
          <w:szCs w:val="21"/>
          <w:highlight w:val="none"/>
        </w:rPr>
        <w:t>，</w:t>
      </w:r>
      <w:r>
        <w:rPr>
          <w:rFonts w:hint="eastAsia" w:cs="宋体"/>
          <w:b/>
          <w:bCs/>
          <w:color w:val="auto"/>
          <w:szCs w:val="21"/>
          <w:highlight w:val="none"/>
          <w:lang w:val="zh-CN"/>
        </w:rPr>
        <w:t>营业收入为</w:t>
      </w:r>
      <w:r>
        <w:rPr>
          <w:rFonts w:hint="eastAsia" w:cs="宋体"/>
          <w:b/>
          <w:bCs/>
          <w:color w:val="auto"/>
          <w:szCs w:val="21"/>
          <w:highlight w:val="none"/>
          <w:u w:val="single"/>
        </w:rPr>
        <w:t>10000</w:t>
      </w:r>
      <w:r>
        <w:rPr>
          <w:rFonts w:hint="eastAsia" w:cs="宋体"/>
          <w:b/>
          <w:bCs/>
          <w:color w:val="auto"/>
          <w:szCs w:val="21"/>
          <w:highlight w:val="none"/>
          <w:lang w:val="zh-CN"/>
        </w:rPr>
        <w:t>万元</w:t>
      </w:r>
      <w:r>
        <w:rPr>
          <w:rFonts w:hint="eastAsia" w:cs="宋体"/>
          <w:b/>
          <w:bCs/>
          <w:color w:val="auto"/>
          <w:szCs w:val="21"/>
          <w:highlight w:val="none"/>
        </w:rPr>
        <w:t>，</w:t>
      </w:r>
      <w:r>
        <w:rPr>
          <w:rFonts w:hint="eastAsia" w:cs="宋体"/>
          <w:b/>
          <w:bCs/>
          <w:color w:val="auto"/>
          <w:szCs w:val="21"/>
          <w:highlight w:val="none"/>
          <w:lang w:val="zh-CN"/>
        </w:rPr>
        <w:t>资产总额为</w:t>
      </w:r>
      <w:r>
        <w:rPr>
          <w:rFonts w:hint="eastAsia" w:cs="宋体"/>
          <w:b/>
          <w:bCs/>
          <w:color w:val="auto"/>
          <w:szCs w:val="21"/>
          <w:highlight w:val="none"/>
          <w:u w:val="single"/>
        </w:rPr>
        <w:t>5000</w:t>
      </w:r>
      <w:r>
        <w:rPr>
          <w:rFonts w:hint="eastAsia" w:cs="宋体"/>
          <w:b/>
          <w:bCs/>
          <w:color w:val="auto"/>
          <w:szCs w:val="21"/>
          <w:highlight w:val="none"/>
          <w:lang w:val="zh-CN"/>
        </w:rPr>
        <w:t>万元</w:t>
      </w:r>
      <w:r>
        <w:rPr>
          <w:rFonts w:hint="eastAsia" w:cs="宋体"/>
          <w:b/>
          <w:bCs/>
          <w:color w:val="auto"/>
          <w:szCs w:val="21"/>
          <w:highlight w:val="none"/>
        </w:rPr>
        <w:t>，</w:t>
      </w:r>
      <w:r>
        <w:rPr>
          <w:rFonts w:hint="eastAsia" w:cs="宋体"/>
          <w:b/>
          <w:bCs/>
          <w:color w:val="auto"/>
          <w:szCs w:val="21"/>
          <w:highlight w:val="none"/>
          <w:lang w:val="zh-CN"/>
        </w:rPr>
        <w:t>属于</w:t>
      </w:r>
      <w:r>
        <w:rPr>
          <w:rFonts w:hint="eastAsia" w:cs="宋体"/>
          <w:b/>
          <w:bCs/>
          <w:color w:val="auto"/>
          <w:szCs w:val="21"/>
          <w:highlight w:val="none"/>
        </w:rPr>
        <w:t>中</w:t>
      </w:r>
      <w:r>
        <w:rPr>
          <w:rFonts w:hint="eastAsia" w:cs="宋体"/>
          <w:b/>
          <w:bCs/>
          <w:color w:val="auto"/>
          <w:szCs w:val="21"/>
          <w:highlight w:val="none"/>
          <w:u w:val="single"/>
          <w:lang w:val="zh-CN"/>
        </w:rPr>
        <w:t>型</w:t>
      </w:r>
      <w:r>
        <w:rPr>
          <w:rFonts w:hint="eastAsia" w:cs="宋体"/>
          <w:b/>
          <w:bCs/>
          <w:color w:val="auto"/>
          <w:szCs w:val="21"/>
          <w:highlight w:val="none"/>
          <w:lang w:val="zh-CN"/>
        </w:rPr>
        <w:t>企业</w:t>
      </w:r>
      <w:r>
        <w:rPr>
          <w:rFonts w:hint="eastAsia" w:cs="宋体"/>
          <w:b/>
          <w:bCs/>
          <w:color w:val="auto"/>
          <w:szCs w:val="21"/>
          <w:highlight w:val="none"/>
        </w:rPr>
        <w:t>[供应商自行登录工业和信息化部官网进行中小企业规模类型自测（查询网址https://www.miit.gov.cn/）]</w:t>
      </w:r>
      <w:r>
        <w:rPr>
          <w:rFonts w:hint="eastAsia" w:cs="宋体"/>
          <w:b/>
          <w:bCs/>
          <w:color w:val="auto"/>
          <w:kern w:val="2"/>
          <w:sz w:val="21"/>
          <w:szCs w:val="21"/>
          <w:highlight w:val="none"/>
          <w:lang w:val="zh-CN"/>
        </w:rPr>
        <w:t>。</w:t>
      </w:r>
    </w:p>
    <w:p w14:paraId="63D302E4">
      <w:pPr>
        <w:widowControl/>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br w:type="page"/>
      </w:r>
    </w:p>
    <w:p w14:paraId="6DF7C912">
      <w:pPr>
        <w:spacing w:line="360" w:lineRule="auto"/>
        <w:jc w:val="center"/>
        <w:outlineLvl w:val="9"/>
        <w:rPr>
          <w:rFonts w:asciiTheme="minorEastAsia" w:hAnsiTheme="minorEastAsia" w:eastAsiaTheme="minorEastAsia"/>
          <w:b/>
          <w:color w:val="auto"/>
          <w:sz w:val="24"/>
          <w:highlight w:val="none"/>
        </w:rPr>
      </w:pPr>
      <w:bookmarkStart w:id="767" w:name="_Toc17813"/>
      <w:bookmarkStart w:id="768" w:name="_Toc17154"/>
      <w:r>
        <w:rPr>
          <w:rFonts w:hint="eastAsia" w:asciiTheme="minorEastAsia" w:hAnsiTheme="minorEastAsia" w:eastAsiaTheme="minorEastAsia"/>
          <w:b/>
          <w:color w:val="auto"/>
          <w:sz w:val="24"/>
          <w:highlight w:val="none"/>
        </w:rPr>
        <w:t>残疾人福利性单位声明函</w:t>
      </w:r>
      <w:bookmarkEnd w:id="767"/>
      <w:bookmarkEnd w:id="768"/>
    </w:p>
    <w:p w14:paraId="701162BA">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val="0"/>
          <w:i/>
          <w:color w:val="auto"/>
          <w:sz w:val="24"/>
          <w:highlight w:val="none"/>
          <w:lang w:val="en-US" w:eastAsia="zh-CN"/>
        </w:rPr>
      </w:pPr>
      <w:r>
        <w:rPr>
          <w:rFonts w:hint="eastAsia" w:ascii="宋体" w:hAnsi="宋体" w:eastAsia="宋体"/>
          <w:b w:val="0"/>
          <w:i/>
          <w:color w:val="auto"/>
          <w:sz w:val="24"/>
          <w:highlight w:val="none"/>
          <w:lang w:val="en-US" w:eastAsia="zh-CN"/>
        </w:rPr>
        <w:t>（非残疾人福利性单位磋商，请删去“残疾人福利性单位声明函”）</w:t>
      </w:r>
    </w:p>
    <w:p w14:paraId="27E367E0">
      <w:pPr>
        <w:spacing w:line="360" w:lineRule="auto"/>
        <w:ind w:firstLine="435"/>
        <w:rPr>
          <w:rFonts w:cs="Times New Roman"/>
          <w:color w:val="auto"/>
          <w:spacing w:val="6"/>
          <w:kern w:val="2"/>
          <w:sz w:val="24"/>
          <w:szCs w:val="24"/>
          <w:highlight w:val="none"/>
        </w:rPr>
      </w:pPr>
      <w:r>
        <w:rPr>
          <w:rFonts w:hint="eastAsia" w:cs="Times New Roman"/>
          <w:color w:val="auto"/>
          <w:spacing w:val="6"/>
          <w:kern w:val="2"/>
          <w:sz w:val="24"/>
          <w:szCs w:val="24"/>
          <w:highlight w:val="none"/>
        </w:rPr>
        <w:t>本单位</w:t>
      </w:r>
      <w:r>
        <w:rPr>
          <w:rFonts w:hint="eastAsia" w:cs="Times New Roman"/>
          <w:color w:val="auto"/>
          <w:kern w:val="2"/>
          <w:sz w:val="24"/>
          <w:szCs w:val="22"/>
          <w:highlight w:val="none"/>
        </w:rPr>
        <w:t>郑重</w:t>
      </w:r>
      <w:r>
        <w:rPr>
          <w:rFonts w:hint="eastAsia" w:cs="Times New Roman"/>
          <w:color w:val="auto"/>
          <w:spacing w:val="6"/>
          <w:kern w:val="2"/>
          <w:sz w:val="24"/>
          <w:szCs w:val="24"/>
          <w:highlight w:val="none"/>
        </w:rPr>
        <w:t>声明，根据《财政部 民政部 中国残疾人联合会关于促进残疾人就业政府采购政策的通知》（财库</w:t>
      </w:r>
      <w:r>
        <w:rPr>
          <w:rFonts w:hint="eastAsia" w:cs="Times New Roman"/>
          <w:color w:val="auto"/>
          <w:kern w:val="2"/>
          <w:sz w:val="24"/>
          <w:szCs w:val="24"/>
          <w:highlight w:val="none"/>
        </w:rPr>
        <w:t>〔2017〕141</w:t>
      </w:r>
      <w:r>
        <w:rPr>
          <w:rFonts w:hint="eastAsia" w:cs="Times New Roman"/>
          <w:color w:val="auto"/>
          <w:spacing w:val="6"/>
          <w:kern w:val="2"/>
          <w:sz w:val="24"/>
          <w:szCs w:val="24"/>
          <w:highlight w:val="none"/>
        </w:rPr>
        <w:t>号）的规定，</w:t>
      </w:r>
      <w:r>
        <w:rPr>
          <w:rFonts w:hint="eastAsia" w:asciiTheme="minorEastAsia" w:hAnsiTheme="minorEastAsia" w:eastAsiaTheme="minorEastAsia"/>
          <w:color w:val="auto"/>
          <w:spacing w:val="6"/>
          <w:sz w:val="24"/>
          <w:szCs w:val="24"/>
          <w:highlight w:val="none"/>
        </w:rPr>
        <w:t>本单位为</w:t>
      </w:r>
      <w:r>
        <w:rPr>
          <w:rFonts w:hint="eastAsia" w:asciiTheme="minorEastAsia" w:hAnsiTheme="minorEastAsia" w:eastAsiaTheme="minorEastAsia"/>
          <w:bCs/>
          <w:color w:val="auto"/>
          <w:sz w:val="24"/>
          <w:szCs w:val="24"/>
          <w:highlight w:val="none"/>
        </w:rPr>
        <w:t>符合</w:t>
      </w:r>
      <w:r>
        <w:rPr>
          <w:rFonts w:hint="eastAsia" w:asciiTheme="minorEastAsia" w:hAnsiTheme="minorEastAsia" w:eastAsiaTheme="minorEastAsia"/>
          <w:color w:val="auto"/>
          <w:spacing w:val="6"/>
          <w:sz w:val="24"/>
          <w:szCs w:val="24"/>
          <w:highlight w:val="none"/>
        </w:rPr>
        <w:t>条件的残疾人福利性单位，且本单位参加</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单位的</w:t>
      </w:r>
      <w:r>
        <w:rPr>
          <w:rFonts w:hint="eastAsia" w:asciiTheme="minorEastAsia" w:hAnsiTheme="minorEastAsia" w:eastAsiaTheme="minorEastAsia"/>
          <w:color w:val="auto"/>
          <w:spacing w:val="6"/>
          <w:sz w:val="24"/>
          <w:szCs w:val="24"/>
          <w:highlight w:val="none"/>
          <w:u w:val="single"/>
        </w:rPr>
        <w:t xml:space="preserve">      </w:t>
      </w:r>
      <w:r>
        <w:rPr>
          <w:rFonts w:hint="eastAsia" w:asciiTheme="minorEastAsia" w:hAnsiTheme="minorEastAsia" w:eastAsiaTheme="minorEastAsia"/>
          <w:color w:val="auto"/>
          <w:spacing w:val="6"/>
          <w:sz w:val="24"/>
          <w:szCs w:val="24"/>
          <w:highlight w:val="none"/>
        </w:rPr>
        <w:t>项目采购活动提供本单位制造的货物</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lang w:val="en-US" w:eastAsia="zh-CN"/>
        </w:rPr>
        <w:t>由本单位承担工程/提供服务</w:t>
      </w:r>
      <w:r>
        <w:rPr>
          <w:rFonts w:hint="eastAsia" w:asciiTheme="minorEastAsia" w:hAnsiTheme="minorEastAsia" w:eastAsiaTheme="minorEastAsia"/>
          <w:color w:val="auto"/>
          <w:spacing w:val="6"/>
          <w:sz w:val="24"/>
          <w:szCs w:val="24"/>
          <w:highlight w:val="none"/>
          <w:lang w:eastAsia="zh-CN"/>
        </w:rPr>
        <w:t>）</w:t>
      </w:r>
      <w:r>
        <w:rPr>
          <w:rFonts w:hint="eastAsia" w:asciiTheme="minorEastAsia" w:hAnsiTheme="minorEastAsia" w:eastAsiaTheme="minorEastAsia"/>
          <w:color w:val="auto"/>
          <w:spacing w:val="6"/>
          <w:sz w:val="24"/>
          <w:szCs w:val="24"/>
          <w:highlight w:val="none"/>
        </w:rPr>
        <w:t>，或者提供其他残疾人福利性单位制造的货物（不包括使用非残疾人福利性单位注册商标的货物）。</w:t>
      </w:r>
    </w:p>
    <w:p w14:paraId="7CD62D24">
      <w:pPr>
        <w:spacing w:line="360" w:lineRule="auto"/>
        <w:ind w:firstLine="435"/>
        <w:rPr>
          <w:rFonts w:cs="Times New Roman"/>
          <w:color w:val="auto"/>
          <w:spacing w:val="6"/>
          <w:kern w:val="2"/>
          <w:sz w:val="24"/>
          <w:szCs w:val="24"/>
          <w:highlight w:val="none"/>
        </w:rPr>
      </w:pPr>
      <w:r>
        <w:rPr>
          <w:rFonts w:hint="eastAsia" w:cs="Times New Roman"/>
          <w:color w:val="auto"/>
          <w:spacing w:val="6"/>
          <w:kern w:val="2"/>
          <w:sz w:val="24"/>
          <w:szCs w:val="24"/>
          <w:highlight w:val="none"/>
        </w:rPr>
        <w:t>本单位对上述声明的真实性负责。如有虚假，将依法承担相应责任。</w:t>
      </w:r>
    </w:p>
    <w:p w14:paraId="218ED1D8">
      <w:pPr>
        <w:spacing w:line="360" w:lineRule="auto"/>
        <w:ind w:firstLine="4228" w:firstLineChars="1762"/>
        <w:rPr>
          <w:rFonts w:cs="Times New Roman"/>
          <w:color w:val="auto"/>
          <w:kern w:val="2"/>
          <w:sz w:val="24"/>
          <w:szCs w:val="24"/>
          <w:highlight w:val="none"/>
        </w:rPr>
      </w:pPr>
    </w:p>
    <w:p w14:paraId="3C001FBB">
      <w:pPr>
        <w:spacing w:line="360" w:lineRule="auto"/>
        <w:ind w:firstLine="4228" w:firstLineChars="1762"/>
        <w:rPr>
          <w:rFonts w:cs="Times New Roman"/>
          <w:color w:val="auto"/>
          <w:kern w:val="2"/>
          <w:sz w:val="24"/>
          <w:szCs w:val="24"/>
          <w:highlight w:val="none"/>
        </w:rPr>
      </w:pPr>
    </w:p>
    <w:p w14:paraId="6DEBFFD8">
      <w:pPr>
        <w:spacing w:line="360" w:lineRule="auto"/>
        <w:ind w:firstLine="4228" w:firstLineChars="1762"/>
        <w:rPr>
          <w:rFonts w:cs="Times New Roman"/>
          <w:color w:val="auto"/>
          <w:kern w:val="2"/>
          <w:sz w:val="24"/>
          <w:szCs w:val="24"/>
          <w:highlight w:val="none"/>
          <w:u w:val="single"/>
        </w:rPr>
      </w:pPr>
      <w:r>
        <w:rPr>
          <w:rFonts w:hint="eastAsia" w:cs="Times New Roman"/>
          <w:color w:val="auto"/>
          <w:kern w:val="2"/>
          <w:sz w:val="24"/>
          <w:szCs w:val="24"/>
          <w:highlight w:val="none"/>
        </w:rPr>
        <w:t>供应商</w:t>
      </w:r>
      <w:r>
        <w:rPr>
          <w:rFonts w:cs="Times New Roman"/>
          <w:color w:val="auto"/>
          <w:kern w:val="2"/>
          <w:sz w:val="24"/>
          <w:szCs w:val="24"/>
          <w:highlight w:val="none"/>
        </w:rPr>
        <w:t>电子签章</w:t>
      </w:r>
      <w:r>
        <w:rPr>
          <w:rFonts w:hint="eastAsia" w:cs="Times New Roman"/>
          <w:color w:val="auto"/>
          <w:kern w:val="2"/>
          <w:sz w:val="24"/>
          <w:szCs w:val="24"/>
          <w:highlight w:val="none"/>
        </w:rPr>
        <w:t>：</w:t>
      </w:r>
      <w:r>
        <w:rPr>
          <w:rFonts w:cs="Times New Roman"/>
          <w:color w:val="auto"/>
          <w:kern w:val="2"/>
          <w:sz w:val="24"/>
          <w:szCs w:val="24"/>
          <w:highlight w:val="none"/>
          <w:u w:val="single"/>
        </w:rPr>
        <w:t xml:space="preserve">             </w:t>
      </w:r>
    </w:p>
    <w:p w14:paraId="24C25B0F">
      <w:pPr>
        <w:tabs>
          <w:tab w:val="left" w:pos="4620"/>
        </w:tabs>
        <w:spacing w:line="360" w:lineRule="auto"/>
        <w:ind w:firstLine="4252" w:firstLineChars="1772"/>
        <w:rPr>
          <w:rFonts w:cs="Times New Roman"/>
          <w:color w:val="auto"/>
          <w:kern w:val="2"/>
          <w:sz w:val="24"/>
          <w:szCs w:val="24"/>
          <w:highlight w:val="none"/>
          <w:u w:val="single"/>
        </w:rPr>
      </w:pPr>
      <w:r>
        <w:rPr>
          <w:rFonts w:hint="eastAsia" w:cs="Times New Roman"/>
          <w:color w:val="auto"/>
          <w:kern w:val="2"/>
          <w:sz w:val="24"/>
          <w:szCs w:val="24"/>
          <w:highlight w:val="none"/>
        </w:rPr>
        <w:t>日</w:t>
      </w:r>
      <w:r>
        <w:rPr>
          <w:rFonts w:cs="Times New Roman"/>
          <w:color w:val="auto"/>
          <w:kern w:val="2"/>
          <w:sz w:val="24"/>
          <w:szCs w:val="24"/>
          <w:highlight w:val="none"/>
        </w:rPr>
        <w:t xml:space="preserve">      </w:t>
      </w:r>
      <w:r>
        <w:rPr>
          <w:rFonts w:hint="eastAsia" w:cs="Times New Roman"/>
          <w:color w:val="auto"/>
          <w:kern w:val="2"/>
          <w:sz w:val="24"/>
          <w:szCs w:val="24"/>
          <w:highlight w:val="none"/>
        </w:rPr>
        <w:t xml:space="preserve">    期：</w:t>
      </w:r>
      <w:r>
        <w:rPr>
          <w:rFonts w:cs="Times New Roman"/>
          <w:color w:val="auto"/>
          <w:kern w:val="2"/>
          <w:sz w:val="24"/>
          <w:szCs w:val="24"/>
          <w:highlight w:val="none"/>
          <w:u w:val="single"/>
        </w:rPr>
        <w:t xml:space="preserve">             </w:t>
      </w:r>
    </w:p>
    <w:p w14:paraId="00AB81F5">
      <w:pPr>
        <w:spacing w:line="360" w:lineRule="auto"/>
        <w:jc w:val="center"/>
        <w:outlineLvl w:val="1"/>
        <w:rPr>
          <w:rFonts w:cs="宋体"/>
          <w:b/>
          <w:bCs w:val="0"/>
          <w:color w:val="auto"/>
          <w:sz w:val="24"/>
          <w:szCs w:val="24"/>
          <w:highlight w:val="none"/>
        </w:rPr>
      </w:pPr>
      <w:r>
        <w:rPr>
          <w:rFonts w:asciiTheme="minorEastAsia" w:hAnsiTheme="minorEastAsia" w:eastAsiaTheme="minorEastAsia"/>
          <w:color w:val="auto"/>
          <w:sz w:val="24"/>
          <w:highlight w:val="none"/>
        </w:rPr>
        <w:br w:type="page"/>
      </w:r>
      <w:r>
        <w:rPr>
          <w:rFonts w:hint="eastAsia" w:asciiTheme="minorEastAsia" w:hAnsiTheme="minorEastAsia" w:eastAsiaTheme="minorEastAsia"/>
          <w:b/>
          <w:bCs w:val="0"/>
          <w:color w:val="auto"/>
          <w:sz w:val="24"/>
          <w:highlight w:val="none"/>
          <w:lang w:val="en-US" w:eastAsia="zh-CN"/>
        </w:rPr>
        <w:t>九、</w:t>
      </w:r>
      <w:r>
        <w:rPr>
          <w:rFonts w:hint="eastAsia" w:cs="宋体"/>
          <w:b/>
          <w:bCs w:val="0"/>
          <w:color w:val="auto"/>
          <w:sz w:val="24"/>
          <w:szCs w:val="24"/>
          <w:highlight w:val="none"/>
          <w:lang w:val="en-US" w:eastAsia="zh-CN"/>
        </w:rPr>
        <w:t>投标人</w:t>
      </w:r>
      <w:r>
        <w:rPr>
          <w:rFonts w:hint="eastAsia" w:cs="宋体"/>
          <w:b/>
          <w:bCs w:val="0"/>
          <w:color w:val="auto"/>
          <w:sz w:val="24"/>
          <w:szCs w:val="24"/>
          <w:highlight w:val="none"/>
        </w:rPr>
        <w:t>主要施工管理人员表</w:t>
      </w:r>
    </w:p>
    <w:tbl>
      <w:tblPr>
        <w:tblStyle w:val="5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66"/>
        <w:gridCol w:w="1049"/>
        <w:gridCol w:w="840"/>
        <w:gridCol w:w="840"/>
        <w:gridCol w:w="2142"/>
        <w:gridCol w:w="1925"/>
      </w:tblGrid>
      <w:tr w14:paraId="087CD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single" w:color="auto" w:sz="12" w:space="0"/>
              <w:bottom w:val="double" w:color="auto" w:sz="6" w:space="0"/>
            </w:tcBorders>
            <w:vAlign w:val="center"/>
          </w:tcPr>
          <w:p w14:paraId="775F211D">
            <w:pPr>
              <w:keepNext/>
              <w:spacing w:line="360" w:lineRule="auto"/>
              <w:jc w:val="center"/>
              <w:rPr>
                <w:rFonts w:cs="宋体"/>
                <w:color w:val="auto"/>
                <w:sz w:val="24"/>
                <w:szCs w:val="24"/>
                <w:highlight w:val="none"/>
              </w:rPr>
            </w:pPr>
            <w:r>
              <w:rPr>
                <w:rFonts w:hint="eastAsia" w:cs="宋体"/>
                <w:color w:val="auto"/>
                <w:sz w:val="24"/>
                <w:szCs w:val="24"/>
                <w:highlight w:val="none"/>
              </w:rPr>
              <w:t>名称</w:t>
            </w:r>
          </w:p>
        </w:tc>
        <w:tc>
          <w:tcPr>
            <w:tcW w:w="627" w:type="pct"/>
            <w:tcBorders>
              <w:top w:val="single" w:color="auto" w:sz="12" w:space="0"/>
              <w:bottom w:val="double" w:color="auto" w:sz="6" w:space="0"/>
            </w:tcBorders>
            <w:vAlign w:val="center"/>
          </w:tcPr>
          <w:p w14:paraId="3B84447D">
            <w:pPr>
              <w:keepNext/>
              <w:spacing w:line="360" w:lineRule="auto"/>
              <w:jc w:val="center"/>
              <w:rPr>
                <w:rFonts w:cs="宋体"/>
                <w:color w:val="auto"/>
                <w:sz w:val="24"/>
                <w:szCs w:val="24"/>
                <w:highlight w:val="none"/>
              </w:rPr>
            </w:pPr>
            <w:r>
              <w:rPr>
                <w:rFonts w:hint="eastAsia" w:cs="宋体"/>
                <w:color w:val="auto"/>
                <w:sz w:val="24"/>
                <w:szCs w:val="24"/>
                <w:highlight w:val="none"/>
              </w:rPr>
              <w:t>姓名</w:t>
            </w:r>
          </w:p>
        </w:tc>
        <w:tc>
          <w:tcPr>
            <w:tcW w:w="502" w:type="pct"/>
            <w:tcBorders>
              <w:top w:val="single" w:color="auto" w:sz="12" w:space="0"/>
              <w:bottom w:val="double" w:color="auto" w:sz="6" w:space="0"/>
            </w:tcBorders>
            <w:vAlign w:val="center"/>
          </w:tcPr>
          <w:p w14:paraId="6C8E2900">
            <w:pPr>
              <w:keepNext/>
              <w:spacing w:line="360" w:lineRule="auto"/>
              <w:jc w:val="center"/>
              <w:rPr>
                <w:rFonts w:cs="宋体"/>
                <w:color w:val="auto"/>
                <w:sz w:val="24"/>
                <w:szCs w:val="24"/>
                <w:highlight w:val="none"/>
              </w:rPr>
            </w:pPr>
            <w:r>
              <w:rPr>
                <w:rFonts w:hint="eastAsia" w:cs="宋体"/>
                <w:color w:val="auto"/>
                <w:sz w:val="24"/>
                <w:szCs w:val="24"/>
                <w:highlight w:val="none"/>
              </w:rPr>
              <w:t>职务</w:t>
            </w:r>
          </w:p>
        </w:tc>
        <w:tc>
          <w:tcPr>
            <w:tcW w:w="502" w:type="pct"/>
            <w:tcBorders>
              <w:top w:val="single" w:color="auto" w:sz="12" w:space="0"/>
              <w:bottom w:val="double" w:color="auto" w:sz="6" w:space="0"/>
            </w:tcBorders>
            <w:vAlign w:val="center"/>
          </w:tcPr>
          <w:p w14:paraId="3C2327E2">
            <w:pPr>
              <w:keepNext/>
              <w:spacing w:line="360" w:lineRule="auto"/>
              <w:jc w:val="center"/>
              <w:rPr>
                <w:rFonts w:cs="宋体"/>
                <w:color w:val="auto"/>
                <w:sz w:val="24"/>
                <w:szCs w:val="24"/>
                <w:highlight w:val="none"/>
              </w:rPr>
            </w:pPr>
            <w:r>
              <w:rPr>
                <w:rFonts w:hint="eastAsia" w:cs="宋体"/>
                <w:color w:val="auto"/>
                <w:sz w:val="24"/>
                <w:szCs w:val="24"/>
                <w:highlight w:val="none"/>
              </w:rPr>
              <w:t>职称</w:t>
            </w:r>
          </w:p>
        </w:tc>
        <w:tc>
          <w:tcPr>
            <w:tcW w:w="1281" w:type="pct"/>
            <w:tcBorders>
              <w:top w:val="single" w:color="auto" w:sz="12" w:space="0"/>
              <w:bottom w:val="double" w:color="auto" w:sz="6" w:space="0"/>
            </w:tcBorders>
            <w:vAlign w:val="center"/>
          </w:tcPr>
          <w:p w14:paraId="44F6239F">
            <w:pPr>
              <w:keepNext/>
              <w:spacing w:line="360" w:lineRule="auto"/>
              <w:jc w:val="center"/>
              <w:rPr>
                <w:rFonts w:cs="宋体"/>
                <w:color w:val="auto"/>
                <w:sz w:val="24"/>
                <w:szCs w:val="24"/>
                <w:highlight w:val="none"/>
              </w:rPr>
            </w:pPr>
            <w:r>
              <w:rPr>
                <w:rFonts w:hint="eastAsia" w:cs="宋体"/>
                <w:color w:val="auto"/>
                <w:sz w:val="24"/>
                <w:szCs w:val="24"/>
                <w:highlight w:val="none"/>
              </w:rPr>
              <w:t>主要资历、经验及承担过的项目</w:t>
            </w:r>
          </w:p>
        </w:tc>
        <w:tc>
          <w:tcPr>
            <w:tcW w:w="1151" w:type="pct"/>
            <w:tcBorders>
              <w:top w:val="single" w:color="auto" w:sz="12" w:space="0"/>
              <w:bottom w:val="double" w:color="auto" w:sz="6" w:space="0"/>
            </w:tcBorders>
            <w:vAlign w:val="center"/>
          </w:tcPr>
          <w:p w14:paraId="21A0DA90">
            <w:pPr>
              <w:keepNext/>
              <w:spacing w:line="360" w:lineRule="auto"/>
              <w:jc w:val="center"/>
              <w:rPr>
                <w:rFonts w:cs="宋体"/>
                <w:color w:val="auto"/>
                <w:sz w:val="24"/>
                <w:szCs w:val="24"/>
                <w:highlight w:val="none"/>
              </w:rPr>
            </w:pPr>
            <w:r>
              <w:rPr>
                <w:rFonts w:hint="eastAsia" w:cs="宋体"/>
                <w:color w:val="auto"/>
                <w:sz w:val="24"/>
                <w:szCs w:val="24"/>
                <w:highlight w:val="none"/>
              </w:rPr>
              <w:t>身份证号码</w:t>
            </w:r>
          </w:p>
        </w:tc>
      </w:tr>
      <w:tr w14:paraId="48F0E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tcBorders>
              <w:top w:val="double" w:color="auto" w:sz="6" w:space="0"/>
            </w:tcBorders>
            <w:vAlign w:val="center"/>
          </w:tcPr>
          <w:p w14:paraId="5C4454E6">
            <w:pPr>
              <w:keepNext/>
              <w:spacing w:line="360" w:lineRule="auto"/>
              <w:jc w:val="center"/>
              <w:rPr>
                <w:rFonts w:cs="宋体"/>
                <w:color w:val="auto"/>
                <w:sz w:val="24"/>
                <w:szCs w:val="24"/>
                <w:highlight w:val="none"/>
              </w:rPr>
            </w:pPr>
            <w:r>
              <w:rPr>
                <w:rFonts w:hint="eastAsia" w:cs="宋体"/>
                <w:color w:val="auto"/>
                <w:sz w:val="24"/>
                <w:szCs w:val="24"/>
                <w:highlight w:val="none"/>
              </w:rPr>
              <w:t>一、总部人员</w:t>
            </w:r>
          </w:p>
        </w:tc>
        <w:tc>
          <w:tcPr>
            <w:tcW w:w="1151" w:type="pct"/>
            <w:tcBorders>
              <w:top w:val="double" w:color="auto" w:sz="6" w:space="0"/>
            </w:tcBorders>
            <w:vAlign w:val="center"/>
          </w:tcPr>
          <w:p w14:paraId="261881F4">
            <w:pPr>
              <w:keepNext/>
              <w:spacing w:line="360" w:lineRule="auto"/>
              <w:jc w:val="center"/>
              <w:rPr>
                <w:rFonts w:cs="宋体"/>
                <w:color w:val="auto"/>
                <w:sz w:val="24"/>
                <w:szCs w:val="24"/>
                <w:highlight w:val="none"/>
              </w:rPr>
            </w:pPr>
          </w:p>
        </w:tc>
      </w:tr>
      <w:tr w14:paraId="39442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tcBorders>
              <w:top w:val="nil"/>
              <w:bottom w:val="nil"/>
            </w:tcBorders>
            <w:vAlign w:val="center"/>
          </w:tcPr>
          <w:p w14:paraId="1959F728">
            <w:pPr>
              <w:spacing w:line="360" w:lineRule="auto"/>
              <w:jc w:val="center"/>
              <w:rPr>
                <w:rFonts w:hint="eastAsia" w:eastAsia="宋体" w:cs="宋体"/>
                <w:color w:val="auto"/>
                <w:sz w:val="24"/>
                <w:szCs w:val="24"/>
                <w:highlight w:val="none"/>
                <w:lang w:val="en-US" w:eastAsia="zh-CN"/>
              </w:rPr>
            </w:pPr>
            <w:r>
              <w:rPr>
                <w:rFonts w:hint="eastAsia" w:cs="宋体"/>
                <w:color w:val="auto"/>
                <w:sz w:val="24"/>
                <w:szCs w:val="24"/>
                <w:highlight w:val="none"/>
              </w:rPr>
              <w:t>项目主管</w:t>
            </w:r>
            <w:r>
              <w:rPr>
                <w:rFonts w:hint="eastAsia" w:cs="宋体"/>
                <w:color w:val="auto"/>
                <w:sz w:val="24"/>
                <w:szCs w:val="24"/>
                <w:highlight w:val="none"/>
                <w:lang w:val="en-US" w:eastAsia="zh-CN"/>
              </w:rPr>
              <w:t>领导</w:t>
            </w:r>
          </w:p>
        </w:tc>
        <w:tc>
          <w:tcPr>
            <w:tcW w:w="627" w:type="pct"/>
            <w:tcBorders>
              <w:top w:val="nil"/>
            </w:tcBorders>
            <w:vAlign w:val="center"/>
          </w:tcPr>
          <w:p w14:paraId="63BBDD4A">
            <w:pPr>
              <w:keepNext/>
              <w:spacing w:line="360" w:lineRule="auto"/>
              <w:jc w:val="center"/>
              <w:rPr>
                <w:rFonts w:cs="宋体"/>
                <w:color w:val="auto"/>
                <w:sz w:val="24"/>
                <w:szCs w:val="24"/>
                <w:highlight w:val="none"/>
              </w:rPr>
            </w:pPr>
          </w:p>
        </w:tc>
        <w:tc>
          <w:tcPr>
            <w:tcW w:w="502" w:type="pct"/>
            <w:tcBorders>
              <w:top w:val="nil"/>
            </w:tcBorders>
            <w:vAlign w:val="center"/>
          </w:tcPr>
          <w:p w14:paraId="2D58FBEC">
            <w:pPr>
              <w:keepNext/>
              <w:spacing w:line="360" w:lineRule="auto"/>
              <w:jc w:val="center"/>
              <w:rPr>
                <w:rFonts w:cs="宋体"/>
                <w:color w:val="auto"/>
                <w:sz w:val="24"/>
                <w:szCs w:val="24"/>
                <w:highlight w:val="none"/>
              </w:rPr>
            </w:pPr>
          </w:p>
        </w:tc>
        <w:tc>
          <w:tcPr>
            <w:tcW w:w="502" w:type="pct"/>
            <w:tcBorders>
              <w:top w:val="nil"/>
            </w:tcBorders>
            <w:vAlign w:val="center"/>
          </w:tcPr>
          <w:p w14:paraId="0209D794">
            <w:pPr>
              <w:keepNext/>
              <w:spacing w:line="360" w:lineRule="auto"/>
              <w:jc w:val="center"/>
              <w:rPr>
                <w:rFonts w:cs="宋体"/>
                <w:color w:val="auto"/>
                <w:sz w:val="24"/>
                <w:szCs w:val="24"/>
                <w:highlight w:val="none"/>
              </w:rPr>
            </w:pPr>
          </w:p>
        </w:tc>
        <w:tc>
          <w:tcPr>
            <w:tcW w:w="1281" w:type="pct"/>
            <w:tcBorders>
              <w:top w:val="nil"/>
            </w:tcBorders>
            <w:vAlign w:val="center"/>
          </w:tcPr>
          <w:p w14:paraId="2F550C11">
            <w:pPr>
              <w:keepNext/>
              <w:spacing w:line="360" w:lineRule="auto"/>
              <w:jc w:val="center"/>
              <w:rPr>
                <w:rFonts w:cs="宋体"/>
                <w:color w:val="auto"/>
                <w:sz w:val="24"/>
                <w:szCs w:val="24"/>
                <w:highlight w:val="none"/>
              </w:rPr>
            </w:pPr>
          </w:p>
        </w:tc>
        <w:tc>
          <w:tcPr>
            <w:tcW w:w="1151" w:type="pct"/>
            <w:tcBorders>
              <w:top w:val="nil"/>
            </w:tcBorders>
            <w:vAlign w:val="center"/>
          </w:tcPr>
          <w:p w14:paraId="106AF22F">
            <w:pPr>
              <w:keepNext/>
              <w:spacing w:line="360" w:lineRule="auto"/>
              <w:jc w:val="center"/>
              <w:rPr>
                <w:rFonts w:cs="宋体"/>
                <w:color w:val="auto"/>
                <w:sz w:val="24"/>
                <w:szCs w:val="24"/>
                <w:highlight w:val="none"/>
              </w:rPr>
            </w:pPr>
          </w:p>
        </w:tc>
      </w:tr>
      <w:tr w14:paraId="3F6D2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restart"/>
            <w:vAlign w:val="center"/>
          </w:tcPr>
          <w:p w14:paraId="1FE6AABC">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2B2A74AA">
            <w:pPr>
              <w:keepNext/>
              <w:spacing w:line="360" w:lineRule="auto"/>
              <w:jc w:val="center"/>
              <w:rPr>
                <w:rFonts w:cs="宋体"/>
                <w:color w:val="auto"/>
                <w:sz w:val="24"/>
                <w:szCs w:val="24"/>
                <w:highlight w:val="none"/>
              </w:rPr>
            </w:pPr>
          </w:p>
        </w:tc>
        <w:tc>
          <w:tcPr>
            <w:tcW w:w="502" w:type="pct"/>
            <w:vAlign w:val="center"/>
          </w:tcPr>
          <w:p w14:paraId="63D084AA">
            <w:pPr>
              <w:keepNext/>
              <w:spacing w:line="360" w:lineRule="auto"/>
              <w:jc w:val="center"/>
              <w:rPr>
                <w:rFonts w:cs="宋体"/>
                <w:color w:val="auto"/>
                <w:sz w:val="24"/>
                <w:szCs w:val="24"/>
                <w:highlight w:val="none"/>
              </w:rPr>
            </w:pPr>
          </w:p>
        </w:tc>
        <w:tc>
          <w:tcPr>
            <w:tcW w:w="502" w:type="pct"/>
            <w:vAlign w:val="center"/>
          </w:tcPr>
          <w:p w14:paraId="5348542C">
            <w:pPr>
              <w:keepNext/>
              <w:spacing w:line="360" w:lineRule="auto"/>
              <w:jc w:val="center"/>
              <w:rPr>
                <w:rFonts w:cs="宋体"/>
                <w:color w:val="auto"/>
                <w:sz w:val="24"/>
                <w:szCs w:val="24"/>
                <w:highlight w:val="none"/>
              </w:rPr>
            </w:pPr>
          </w:p>
        </w:tc>
        <w:tc>
          <w:tcPr>
            <w:tcW w:w="1281" w:type="pct"/>
            <w:vAlign w:val="center"/>
          </w:tcPr>
          <w:p w14:paraId="3EC20A43">
            <w:pPr>
              <w:keepNext/>
              <w:spacing w:line="360" w:lineRule="auto"/>
              <w:jc w:val="center"/>
              <w:rPr>
                <w:rFonts w:cs="宋体"/>
                <w:color w:val="auto"/>
                <w:sz w:val="24"/>
                <w:szCs w:val="24"/>
                <w:highlight w:val="none"/>
              </w:rPr>
            </w:pPr>
          </w:p>
        </w:tc>
        <w:tc>
          <w:tcPr>
            <w:tcW w:w="1151" w:type="pct"/>
            <w:vAlign w:val="center"/>
          </w:tcPr>
          <w:p w14:paraId="2A4AC825">
            <w:pPr>
              <w:keepNext/>
              <w:spacing w:line="360" w:lineRule="auto"/>
              <w:jc w:val="center"/>
              <w:rPr>
                <w:rFonts w:cs="宋体"/>
                <w:color w:val="auto"/>
                <w:sz w:val="24"/>
                <w:szCs w:val="24"/>
                <w:highlight w:val="none"/>
              </w:rPr>
            </w:pPr>
          </w:p>
        </w:tc>
      </w:tr>
      <w:tr w14:paraId="13C983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76666B1B">
            <w:pPr>
              <w:spacing w:line="360" w:lineRule="auto"/>
              <w:jc w:val="center"/>
              <w:rPr>
                <w:rFonts w:cs="宋体"/>
                <w:color w:val="auto"/>
                <w:sz w:val="24"/>
                <w:szCs w:val="24"/>
                <w:highlight w:val="none"/>
              </w:rPr>
            </w:pPr>
          </w:p>
        </w:tc>
        <w:tc>
          <w:tcPr>
            <w:tcW w:w="627" w:type="pct"/>
            <w:vAlign w:val="center"/>
          </w:tcPr>
          <w:p w14:paraId="5C3C7C2B">
            <w:pPr>
              <w:keepNext/>
              <w:spacing w:line="360" w:lineRule="auto"/>
              <w:jc w:val="center"/>
              <w:rPr>
                <w:rFonts w:cs="宋体"/>
                <w:color w:val="auto"/>
                <w:sz w:val="24"/>
                <w:szCs w:val="24"/>
                <w:highlight w:val="none"/>
              </w:rPr>
            </w:pPr>
          </w:p>
        </w:tc>
        <w:tc>
          <w:tcPr>
            <w:tcW w:w="502" w:type="pct"/>
            <w:vAlign w:val="center"/>
          </w:tcPr>
          <w:p w14:paraId="48206DFC">
            <w:pPr>
              <w:keepNext/>
              <w:spacing w:line="360" w:lineRule="auto"/>
              <w:jc w:val="center"/>
              <w:rPr>
                <w:rFonts w:cs="宋体"/>
                <w:color w:val="auto"/>
                <w:sz w:val="24"/>
                <w:szCs w:val="24"/>
                <w:highlight w:val="none"/>
              </w:rPr>
            </w:pPr>
          </w:p>
        </w:tc>
        <w:tc>
          <w:tcPr>
            <w:tcW w:w="502" w:type="pct"/>
            <w:vAlign w:val="center"/>
          </w:tcPr>
          <w:p w14:paraId="1980E730">
            <w:pPr>
              <w:keepNext/>
              <w:spacing w:line="360" w:lineRule="auto"/>
              <w:jc w:val="center"/>
              <w:rPr>
                <w:rFonts w:cs="宋体"/>
                <w:color w:val="auto"/>
                <w:sz w:val="24"/>
                <w:szCs w:val="24"/>
                <w:highlight w:val="none"/>
              </w:rPr>
            </w:pPr>
          </w:p>
        </w:tc>
        <w:tc>
          <w:tcPr>
            <w:tcW w:w="1281" w:type="pct"/>
            <w:vAlign w:val="center"/>
          </w:tcPr>
          <w:p w14:paraId="05905BE1">
            <w:pPr>
              <w:keepNext/>
              <w:spacing w:line="360" w:lineRule="auto"/>
              <w:jc w:val="center"/>
              <w:rPr>
                <w:rFonts w:cs="宋体"/>
                <w:color w:val="auto"/>
                <w:sz w:val="24"/>
                <w:szCs w:val="24"/>
                <w:highlight w:val="none"/>
              </w:rPr>
            </w:pPr>
          </w:p>
        </w:tc>
        <w:tc>
          <w:tcPr>
            <w:tcW w:w="1151" w:type="pct"/>
            <w:vAlign w:val="center"/>
          </w:tcPr>
          <w:p w14:paraId="2C766076">
            <w:pPr>
              <w:keepNext/>
              <w:spacing w:line="360" w:lineRule="auto"/>
              <w:jc w:val="center"/>
              <w:rPr>
                <w:rFonts w:cs="宋体"/>
                <w:color w:val="auto"/>
                <w:sz w:val="24"/>
                <w:szCs w:val="24"/>
                <w:highlight w:val="none"/>
              </w:rPr>
            </w:pPr>
          </w:p>
        </w:tc>
      </w:tr>
      <w:tr w14:paraId="74A2E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nil"/>
            </w:tcBorders>
            <w:vAlign w:val="center"/>
          </w:tcPr>
          <w:p w14:paraId="2CC47B79">
            <w:pPr>
              <w:spacing w:line="360" w:lineRule="auto"/>
              <w:jc w:val="center"/>
              <w:rPr>
                <w:rFonts w:cs="宋体"/>
                <w:color w:val="auto"/>
                <w:sz w:val="24"/>
                <w:szCs w:val="24"/>
                <w:highlight w:val="none"/>
              </w:rPr>
            </w:pPr>
          </w:p>
        </w:tc>
        <w:tc>
          <w:tcPr>
            <w:tcW w:w="627" w:type="pct"/>
            <w:vAlign w:val="center"/>
          </w:tcPr>
          <w:p w14:paraId="7E27B226">
            <w:pPr>
              <w:keepNext/>
              <w:spacing w:line="360" w:lineRule="auto"/>
              <w:jc w:val="center"/>
              <w:rPr>
                <w:rFonts w:cs="宋体"/>
                <w:color w:val="auto"/>
                <w:sz w:val="24"/>
                <w:szCs w:val="24"/>
                <w:highlight w:val="none"/>
              </w:rPr>
            </w:pPr>
          </w:p>
        </w:tc>
        <w:tc>
          <w:tcPr>
            <w:tcW w:w="502" w:type="pct"/>
            <w:vAlign w:val="center"/>
          </w:tcPr>
          <w:p w14:paraId="5AE23D9F">
            <w:pPr>
              <w:keepNext/>
              <w:spacing w:line="360" w:lineRule="auto"/>
              <w:jc w:val="center"/>
              <w:rPr>
                <w:rFonts w:cs="宋体"/>
                <w:color w:val="auto"/>
                <w:sz w:val="24"/>
                <w:szCs w:val="24"/>
                <w:highlight w:val="none"/>
              </w:rPr>
            </w:pPr>
          </w:p>
        </w:tc>
        <w:tc>
          <w:tcPr>
            <w:tcW w:w="502" w:type="pct"/>
            <w:vAlign w:val="center"/>
          </w:tcPr>
          <w:p w14:paraId="22893554">
            <w:pPr>
              <w:keepNext/>
              <w:spacing w:line="360" w:lineRule="auto"/>
              <w:jc w:val="center"/>
              <w:rPr>
                <w:rFonts w:cs="宋体"/>
                <w:color w:val="auto"/>
                <w:sz w:val="24"/>
                <w:szCs w:val="24"/>
                <w:highlight w:val="none"/>
              </w:rPr>
            </w:pPr>
          </w:p>
        </w:tc>
        <w:tc>
          <w:tcPr>
            <w:tcW w:w="1281" w:type="pct"/>
            <w:vAlign w:val="center"/>
          </w:tcPr>
          <w:p w14:paraId="6CEFC914">
            <w:pPr>
              <w:keepNext/>
              <w:spacing w:line="360" w:lineRule="auto"/>
              <w:jc w:val="center"/>
              <w:rPr>
                <w:rFonts w:cs="宋体"/>
                <w:color w:val="auto"/>
                <w:sz w:val="24"/>
                <w:szCs w:val="24"/>
                <w:highlight w:val="none"/>
              </w:rPr>
            </w:pPr>
          </w:p>
        </w:tc>
        <w:tc>
          <w:tcPr>
            <w:tcW w:w="1151" w:type="pct"/>
            <w:vAlign w:val="center"/>
          </w:tcPr>
          <w:p w14:paraId="5872B840">
            <w:pPr>
              <w:keepNext/>
              <w:spacing w:line="360" w:lineRule="auto"/>
              <w:jc w:val="center"/>
              <w:rPr>
                <w:rFonts w:cs="宋体"/>
                <w:color w:val="auto"/>
                <w:sz w:val="24"/>
                <w:szCs w:val="24"/>
                <w:highlight w:val="none"/>
              </w:rPr>
            </w:pPr>
          </w:p>
        </w:tc>
      </w:tr>
      <w:tr w14:paraId="58BB9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849" w:type="pct"/>
            <w:gridSpan w:val="5"/>
            <w:vAlign w:val="center"/>
          </w:tcPr>
          <w:p w14:paraId="26EE0718">
            <w:pPr>
              <w:keepNext/>
              <w:spacing w:line="360" w:lineRule="auto"/>
              <w:jc w:val="center"/>
              <w:rPr>
                <w:rFonts w:cs="宋体"/>
                <w:color w:val="auto"/>
                <w:sz w:val="24"/>
                <w:szCs w:val="24"/>
                <w:highlight w:val="none"/>
              </w:rPr>
            </w:pPr>
            <w:r>
              <w:rPr>
                <w:rFonts w:hint="eastAsia" w:cs="宋体"/>
                <w:color w:val="auto"/>
                <w:sz w:val="24"/>
                <w:szCs w:val="24"/>
                <w:highlight w:val="none"/>
              </w:rPr>
              <w:t>二、现场人员</w:t>
            </w:r>
          </w:p>
        </w:tc>
        <w:tc>
          <w:tcPr>
            <w:tcW w:w="1151" w:type="pct"/>
            <w:vAlign w:val="center"/>
          </w:tcPr>
          <w:p w14:paraId="75D3E807">
            <w:pPr>
              <w:keepNext/>
              <w:spacing w:line="360" w:lineRule="auto"/>
              <w:jc w:val="center"/>
              <w:rPr>
                <w:rFonts w:cs="宋体"/>
                <w:color w:val="auto"/>
                <w:sz w:val="24"/>
                <w:szCs w:val="24"/>
                <w:highlight w:val="none"/>
              </w:rPr>
            </w:pPr>
          </w:p>
        </w:tc>
      </w:tr>
      <w:tr w14:paraId="38FED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770A0E18">
            <w:pPr>
              <w:spacing w:line="360" w:lineRule="auto"/>
              <w:jc w:val="center"/>
              <w:rPr>
                <w:rFonts w:cs="宋体"/>
                <w:color w:val="auto"/>
                <w:sz w:val="24"/>
                <w:szCs w:val="24"/>
                <w:highlight w:val="none"/>
              </w:rPr>
            </w:pPr>
            <w:r>
              <w:rPr>
                <w:rFonts w:hint="eastAsia" w:cs="宋体"/>
                <w:color w:val="auto"/>
                <w:sz w:val="24"/>
                <w:szCs w:val="24"/>
                <w:highlight w:val="none"/>
              </w:rPr>
              <w:t>项目经理</w:t>
            </w:r>
          </w:p>
        </w:tc>
        <w:tc>
          <w:tcPr>
            <w:tcW w:w="627" w:type="pct"/>
            <w:vAlign w:val="center"/>
          </w:tcPr>
          <w:p w14:paraId="1A355C22">
            <w:pPr>
              <w:keepNext/>
              <w:spacing w:line="360" w:lineRule="auto"/>
              <w:jc w:val="center"/>
              <w:rPr>
                <w:rFonts w:cs="宋体"/>
                <w:color w:val="auto"/>
                <w:sz w:val="24"/>
                <w:szCs w:val="24"/>
                <w:highlight w:val="none"/>
              </w:rPr>
            </w:pPr>
          </w:p>
        </w:tc>
        <w:tc>
          <w:tcPr>
            <w:tcW w:w="502" w:type="pct"/>
            <w:vAlign w:val="center"/>
          </w:tcPr>
          <w:p w14:paraId="4690546B">
            <w:pPr>
              <w:keepNext/>
              <w:spacing w:line="360" w:lineRule="auto"/>
              <w:jc w:val="center"/>
              <w:rPr>
                <w:rFonts w:cs="宋体"/>
                <w:color w:val="auto"/>
                <w:sz w:val="24"/>
                <w:szCs w:val="24"/>
                <w:highlight w:val="none"/>
              </w:rPr>
            </w:pPr>
          </w:p>
        </w:tc>
        <w:tc>
          <w:tcPr>
            <w:tcW w:w="502" w:type="pct"/>
            <w:vAlign w:val="center"/>
          </w:tcPr>
          <w:p w14:paraId="10043249">
            <w:pPr>
              <w:keepNext/>
              <w:spacing w:line="360" w:lineRule="auto"/>
              <w:jc w:val="center"/>
              <w:rPr>
                <w:rFonts w:cs="宋体"/>
                <w:color w:val="auto"/>
                <w:sz w:val="24"/>
                <w:szCs w:val="24"/>
                <w:highlight w:val="none"/>
              </w:rPr>
            </w:pPr>
          </w:p>
        </w:tc>
        <w:tc>
          <w:tcPr>
            <w:tcW w:w="1281" w:type="pct"/>
            <w:vAlign w:val="center"/>
          </w:tcPr>
          <w:p w14:paraId="0F7CEBC5">
            <w:pPr>
              <w:keepNext/>
              <w:spacing w:line="360" w:lineRule="auto"/>
              <w:jc w:val="center"/>
              <w:rPr>
                <w:rFonts w:cs="宋体"/>
                <w:color w:val="auto"/>
                <w:sz w:val="24"/>
                <w:szCs w:val="24"/>
                <w:highlight w:val="none"/>
              </w:rPr>
            </w:pPr>
          </w:p>
        </w:tc>
        <w:tc>
          <w:tcPr>
            <w:tcW w:w="1151" w:type="pct"/>
            <w:vAlign w:val="center"/>
          </w:tcPr>
          <w:p w14:paraId="76DB05A9">
            <w:pPr>
              <w:keepNext/>
              <w:spacing w:line="360" w:lineRule="auto"/>
              <w:jc w:val="center"/>
              <w:rPr>
                <w:rFonts w:cs="宋体"/>
                <w:color w:val="auto"/>
                <w:sz w:val="24"/>
                <w:szCs w:val="24"/>
                <w:highlight w:val="none"/>
              </w:rPr>
            </w:pPr>
          </w:p>
        </w:tc>
      </w:tr>
      <w:tr w14:paraId="27B13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37" w:type="pct"/>
            <w:vAlign w:val="center"/>
          </w:tcPr>
          <w:p w14:paraId="0B7A1085">
            <w:pPr>
              <w:spacing w:line="360" w:lineRule="auto"/>
              <w:jc w:val="center"/>
              <w:rPr>
                <w:rFonts w:cs="宋体"/>
                <w:color w:val="auto"/>
                <w:sz w:val="24"/>
                <w:szCs w:val="24"/>
                <w:highlight w:val="none"/>
              </w:rPr>
            </w:pPr>
            <w:r>
              <w:rPr>
                <w:rFonts w:hint="eastAsia" w:cs="宋体"/>
                <w:color w:val="auto"/>
                <w:sz w:val="24"/>
                <w:szCs w:val="24"/>
                <w:highlight w:val="none"/>
              </w:rPr>
              <w:t>项目副经理</w:t>
            </w:r>
          </w:p>
        </w:tc>
        <w:tc>
          <w:tcPr>
            <w:tcW w:w="627" w:type="pct"/>
            <w:vAlign w:val="center"/>
          </w:tcPr>
          <w:p w14:paraId="761AE453">
            <w:pPr>
              <w:keepNext/>
              <w:spacing w:line="360" w:lineRule="auto"/>
              <w:jc w:val="center"/>
              <w:rPr>
                <w:rFonts w:cs="宋体"/>
                <w:color w:val="auto"/>
                <w:sz w:val="24"/>
                <w:szCs w:val="24"/>
                <w:highlight w:val="none"/>
              </w:rPr>
            </w:pPr>
          </w:p>
        </w:tc>
        <w:tc>
          <w:tcPr>
            <w:tcW w:w="502" w:type="pct"/>
            <w:vAlign w:val="center"/>
          </w:tcPr>
          <w:p w14:paraId="771269FC">
            <w:pPr>
              <w:keepNext/>
              <w:spacing w:line="360" w:lineRule="auto"/>
              <w:jc w:val="center"/>
              <w:rPr>
                <w:rFonts w:cs="宋体"/>
                <w:color w:val="auto"/>
                <w:sz w:val="24"/>
                <w:szCs w:val="24"/>
                <w:highlight w:val="none"/>
              </w:rPr>
            </w:pPr>
          </w:p>
        </w:tc>
        <w:tc>
          <w:tcPr>
            <w:tcW w:w="502" w:type="pct"/>
            <w:vAlign w:val="center"/>
          </w:tcPr>
          <w:p w14:paraId="39057797">
            <w:pPr>
              <w:keepNext/>
              <w:spacing w:line="360" w:lineRule="auto"/>
              <w:jc w:val="center"/>
              <w:rPr>
                <w:rFonts w:cs="宋体"/>
                <w:color w:val="auto"/>
                <w:sz w:val="24"/>
                <w:szCs w:val="24"/>
                <w:highlight w:val="none"/>
              </w:rPr>
            </w:pPr>
          </w:p>
        </w:tc>
        <w:tc>
          <w:tcPr>
            <w:tcW w:w="1281" w:type="pct"/>
            <w:vAlign w:val="center"/>
          </w:tcPr>
          <w:p w14:paraId="3C5E97CF">
            <w:pPr>
              <w:keepNext/>
              <w:spacing w:line="360" w:lineRule="auto"/>
              <w:jc w:val="center"/>
              <w:rPr>
                <w:rFonts w:cs="宋体"/>
                <w:color w:val="auto"/>
                <w:sz w:val="24"/>
                <w:szCs w:val="24"/>
                <w:highlight w:val="none"/>
              </w:rPr>
            </w:pPr>
          </w:p>
        </w:tc>
        <w:tc>
          <w:tcPr>
            <w:tcW w:w="1151" w:type="pct"/>
            <w:vAlign w:val="center"/>
          </w:tcPr>
          <w:p w14:paraId="439C7213">
            <w:pPr>
              <w:keepNext/>
              <w:spacing w:line="360" w:lineRule="auto"/>
              <w:jc w:val="center"/>
              <w:rPr>
                <w:rFonts w:cs="宋体"/>
                <w:color w:val="auto"/>
                <w:sz w:val="24"/>
                <w:szCs w:val="24"/>
                <w:highlight w:val="none"/>
              </w:rPr>
            </w:pPr>
          </w:p>
        </w:tc>
      </w:tr>
      <w:tr w14:paraId="01313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0B656F0">
            <w:pPr>
              <w:spacing w:line="360" w:lineRule="auto"/>
              <w:jc w:val="center"/>
              <w:rPr>
                <w:rFonts w:cs="宋体"/>
                <w:color w:val="auto"/>
                <w:sz w:val="24"/>
                <w:szCs w:val="24"/>
                <w:highlight w:val="none"/>
              </w:rPr>
            </w:pPr>
            <w:r>
              <w:rPr>
                <w:rFonts w:hint="eastAsia" w:cs="宋体"/>
                <w:color w:val="auto"/>
                <w:sz w:val="24"/>
                <w:szCs w:val="24"/>
                <w:highlight w:val="none"/>
              </w:rPr>
              <w:t>项目技术负责人</w:t>
            </w:r>
          </w:p>
        </w:tc>
        <w:tc>
          <w:tcPr>
            <w:tcW w:w="627" w:type="pct"/>
            <w:vAlign w:val="center"/>
          </w:tcPr>
          <w:p w14:paraId="28545C5F">
            <w:pPr>
              <w:keepNext/>
              <w:spacing w:line="360" w:lineRule="auto"/>
              <w:jc w:val="center"/>
              <w:rPr>
                <w:rFonts w:cs="宋体"/>
                <w:color w:val="auto"/>
                <w:sz w:val="24"/>
                <w:szCs w:val="24"/>
                <w:highlight w:val="none"/>
              </w:rPr>
            </w:pPr>
          </w:p>
        </w:tc>
        <w:tc>
          <w:tcPr>
            <w:tcW w:w="502" w:type="pct"/>
            <w:vAlign w:val="center"/>
          </w:tcPr>
          <w:p w14:paraId="70690BE5">
            <w:pPr>
              <w:keepNext/>
              <w:spacing w:line="360" w:lineRule="auto"/>
              <w:jc w:val="center"/>
              <w:rPr>
                <w:rFonts w:cs="宋体"/>
                <w:color w:val="auto"/>
                <w:sz w:val="24"/>
                <w:szCs w:val="24"/>
                <w:highlight w:val="none"/>
              </w:rPr>
            </w:pPr>
          </w:p>
        </w:tc>
        <w:tc>
          <w:tcPr>
            <w:tcW w:w="502" w:type="pct"/>
            <w:vAlign w:val="center"/>
          </w:tcPr>
          <w:p w14:paraId="05BE59B8">
            <w:pPr>
              <w:keepNext/>
              <w:spacing w:line="360" w:lineRule="auto"/>
              <w:jc w:val="center"/>
              <w:rPr>
                <w:rFonts w:cs="宋体"/>
                <w:color w:val="auto"/>
                <w:sz w:val="24"/>
                <w:szCs w:val="24"/>
                <w:highlight w:val="none"/>
              </w:rPr>
            </w:pPr>
          </w:p>
        </w:tc>
        <w:tc>
          <w:tcPr>
            <w:tcW w:w="1281" w:type="pct"/>
            <w:vAlign w:val="center"/>
          </w:tcPr>
          <w:p w14:paraId="19A48ACE">
            <w:pPr>
              <w:keepNext/>
              <w:spacing w:line="360" w:lineRule="auto"/>
              <w:jc w:val="center"/>
              <w:rPr>
                <w:rFonts w:cs="宋体"/>
                <w:color w:val="auto"/>
                <w:sz w:val="24"/>
                <w:szCs w:val="24"/>
                <w:highlight w:val="none"/>
              </w:rPr>
            </w:pPr>
          </w:p>
        </w:tc>
        <w:tc>
          <w:tcPr>
            <w:tcW w:w="1151" w:type="pct"/>
            <w:vAlign w:val="center"/>
          </w:tcPr>
          <w:p w14:paraId="5E781FCB">
            <w:pPr>
              <w:keepNext/>
              <w:spacing w:line="360" w:lineRule="auto"/>
              <w:jc w:val="center"/>
              <w:rPr>
                <w:rFonts w:cs="宋体"/>
                <w:color w:val="auto"/>
                <w:sz w:val="24"/>
                <w:szCs w:val="24"/>
                <w:highlight w:val="none"/>
              </w:rPr>
            </w:pPr>
          </w:p>
        </w:tc>
      </w:tr>
      <w:tr w14:paraId="7E6672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291EB303">
            <w:pPr>
              <w:spacing w:line="360" w:lineRule="auto"/>
              <w:jc w:val="center"/>
              <w:rPr>
                <w:rFonts w:cs="宋体"/>
                <w:color w:val="auto"/>
                <w:sz w:val="24"/>
                <w:szCs w:val="24"/>
                <w:highlight w:val="none"/>
              </w:rPr>
            </w:pPr>
            <w:r>
              <w:rPr>
                <w:rFonts w:hint="eastAsia" w:cs="宋体"/>
                <w:color w:val="auto"/>
                <w:sz w:val="24"/>
                <w:szCs w:val="24"/>
                <w:highlight w:val="none"/>
              </w:rPr>
              <w:t>施工员</w:t>
            </w:r>
          </w:p>
        </w:tc>
        <w:tc>
          <w:tcPr>
            <w:tcW w:w="627" w:type="pct"/>
            <w:vAlign w:val="center"/>
          </w:tcPr>
          <w:p w14:paraId="2181C9EA">
            <w:pPr>
              <w:keepNext/>
              <w:spacing w:line="360" w:lineRule="auto"/>
              <w:jc w:val="center"/>
              <w:rPr>
                <w:rFonts w:cs="宋体"/>
                <w:color w:val="auto"/>
                <w:sz w:val="24"/>
                <w:szCs w:val="24"/>
                <w:highlight w:val="none"/>
              </w:rPr>
            </w:pPr>
          </w:p>
        </w:tc>
        <w:tc>
          <w:tcPr>
            <w:tcW w:w="502" w:type="pct"/>
            <w:vAlign w:val="center"/>
          </w:tcPr>
          <w:p w14:paraId="0A425D61">
            <w:pPr>
              <w:keepNext/>
              <w:spacing w:line="360" w:lineRule="auto"/>
              <w:jc w:val="center"/>
              <w:rPr>
                <w:rFonts w:cs="宋体"/>
                <w:color w:val="auto"/>
                <w:sz w:val="24"/>
                <w:szCs w:val="24"/>
                <w:highlight w:val="none"/>
              </w:rPr>
            </w:pPr>
          </w:p>
        </w:tc>
        <w:tc>
          <w:tcPr>
            <w:tcW w:w="502" w:type="pct"/>
            <w:vAlign w:val="center"/>
          </w:tcPr>
          <w:p w14:paraId="4853D384">
            <w:pPr>
              <w:keepNext/>
              <w:spacing w:line="360" w:lineRule="auto"/>
              <w:jc w:val="center"/>
              <w:rPr>
                <w:rFonts w:cs="宋体"/>
                <w:color w:val="auto"/>
                <w:sz w:val="24"/>
                <w:szCs w:val="24"/>
                <w:highlight w:val="none"/>
              </w:rPr>
            </w:pPr>
          </w:p>
        </w:tc>
        <w:tc>
          <w:tcPr>
            <w:tcW w:w="1281" w:type="pct"/>
            <w:vAlign w:val="center"/>
          </w:tcPr>
          <w:p w14:paraId="790F89BD">
            <w:pPr>
              <w:keepNext/>
              <w:spacing w:line="360" w:lineRule="auto"/>
              <w:jc w:val="center"/>
              <w:rPr>
                <w:rFonts w:cs="宋体"/>
                <w:color w:val="auto"/>
                <w:sz w:val="24"/>
                <w:szCs w:val="24"/>
                <w:highlight w:val="none"/>
              </w:rPr>
            </w:pPr>
          </w:p>
        </w:tc>
        <w:tc>
          <w:tcPr>
            <w:tcW w:w="1151" w:type="pct"/>
            <w:vAlign w:val="center"/>
          </w:tcPr>
          <w:p w14:paraId="132AFEEA">
            <w:pPr>
              <w:keepNext/>
              <w:spacing w:line="360" w:lineRule="auto"/>
              <w:jc w:val="center"/>
              <w:rPr>
                <w:rFonts w:cs="宋体"/>
                <w:color w:val="auto"/>
                <w:sz w:val="24"/>
                <w:szCs w:val="24"/>
                <w:highlight w:val="none"/>
              </w:rPr>
            </w:pPr>
          </w:p>
        </w:tc>
      </w:tr>
      <w:tr w14:paraId="5A1D1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51AA57F4">
            <w:pPr>
              <w:spacing w:line="360" w:lineRule="auto"/>
              <w:jc w:val="center"/>
              <w:rPr>
                <w:rFonts w:cs="宋体"/>
                <w:color w:val="auto"/>
                <w:sz w:val="24"/>
                <w:szCs w:val="24"/>
                <w:highlight w:val="none"/>
              </w:rPr>
            </w:pPr>
            <w:r>
              <w:rPr>
                <w:rFonts w:hint="eastAsia" w:cs="宋体"/>
                <w:color w:val="auto"/>
                <w:sz w:val="24"/>
                <w:szCs w:val="24"/>
                <w:highlight w:val="none"/>
              </w:rPr>
              <w:t>质检员（质量员）</w:t>
            </w:r>
          </w:p>
        </w:tc>
        <w:tc>
          <w:tcPr>
            <w:tcW w:w="627" w:type="pct"/>
            <w:vAlign w:val="center"/>
          </w:tcPr>
          <w:p w14:paraId="065710DC">
            <w:pPr>
              <w:keepNext/>
              <w:spacing w:line="360" w:lineRule="auto"/>
              <w:jc w:val="center"/>
              <w:rPr>
                <w:rFonts w:cs="宋体"/>
                <w:color w:val="auto"/>
                <w:sz w:val="24"/>
                <w:szCs w:val="24"/>
                <w:highlight w:val="none"/>
              </w:rPr>
            </w:pPr>
          </w:p>
        </w:tc>
        <w:tc>
          <w:tcPr>
            <w:tcW w:w="502" w:type="pct"/>
            <w:vAlign w:val="center"/>
          </w:tcPr>
          <w:p w14:paraId="778D49F6">
            <w:pPr>
              <w:keepNext/>
              <w:spacing w:line="360" w:lineRule="auto"/>
              <w:jc w:val="center"/>
              <w:rPr>
                <w:rFonts w:cs="宋体"/>
                <w:color w:val="auto"/>
                <w:sz w:val="24"/>
                <w:szCs w:val="24"/>
                <w:highlight w:val="none"/>
              </w:rPr>
            </w:pPr>
          </w:p>
        </w:tc>
        <w:tc>
          <w:tcPr>
            <w:tcW w:w="502" w:type="pct"/>
            <w:vAlign w:val="center"/>
          </w:tcPr>
          <w:p w14:paraId="15C523B5">
            <w:pPr>
              <w:keepNext/>
              <w:spacing w:line="360" w:lineRule="auto"/>
              <w:jc w:val="center"/>
              <w:rPr>
                <w:rFonts w:cs="宋体"/>
                <w:color w:val="auto"/>
                <w:sz w:val="24"/>
                <w:szCs w:val="24"/>
                <w:highlight w:val="none"/>
              </w:rPr>
            </w:pPr>
          </w:p>
        </w:tc>
        <w:tc>
          <w:tcPr>
            <w:tcW w:w="1281" w:type="pct"/>
            <w:vAlign w:val="center"/>
          </w:tcPr>
          <w:p w14:paraId="30205195">
            <w:pPr>
              <w:keepNext/>
              <w:spacing w:line="360" w:lineRule="auto"/>
              <w:jc w:val="center"/>
              <w:rPr>
                <w:rFonts w:cs="宋体"/>
                <w:color w:val="auto"/>
                <w:sz w:val="24"/>
                <w:szCs w:val="24"/>
                <w:highlight w:val="none"/>
              </w:rPr>
            </w:pPr>
          </w:p>
        </w:tc>
        <w:tc>
          <w:tcPr>
            <w:tcW w:w="1151" w:type="pct"/>
            <w:vAlign w:val="center"/>
          </w:tcPr>
          <w:p w14:paraId="42634925">
            <w:pPr>
              <w:keepNext/>
              <w:spacing w:line="360" w:lineRule="auto"/>
              <w:jc w:val="center"/>
              <w:rPr>
                <w:rFonts w:cs="宋体"/>
                <w:color w:val="auto"/>
                <w:sz w:val="24"/>
                <w:szCs w:val="24"/>
                <w:highlight w:val="none"/>
              </w:rPr>
            </w:pPr>
          </w:p>
        </w:tc>
      </w:tr>
      <w:tr w14:paraId="69697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FB0C959">
            <w:pPr>
              <w:spacing w:line="360" w:lineRule="auto"/>
              <w:jc w:val="center"/>
              <w:rPr>
                <w:rFonts w:cs="宋体"/>
                <w:color w:val="auto"/>
                <w:sz w:val="24"/>
                <w:szCs w:val="24"/>
                <w:highlight w:val="none"/>
              </w:rPr>
            </w:pPr>
            <w:r>
              <w:rPr>
                <w:rFonts w:hint="eastAsia" w:cs="宋体"/>
                <w:color w:val="auto"/>
                <w:sz w:val="24"/>
                <w:szCs w:val="24"/>
                <w:highlight w:val="none"/>
              </w:rPr>
              <w:t>安全员</w:t>
            </w:r>
          </w:p>
        </w:tc>
        <w:tc>
          <w:tcPr>
            <w:tcW w:w="627" w:type="pct"/>
            <w:vAlign w:val="center"/>
          </w:tcPr>
          <w:p w14:paraId="1F61CAB2">
            <w:pPr>
              <w:keepNext/>
              <w:spacing w:line="360" w:lineRule="auto"/>
              <w:jc w:val="center"/>
              <w:rPr>
                <w:rFonts w:cs="宋体"/>
                <w:color w:val="auto"/>
                <w:sz w:val="24"/>
                <w:szCs w:val="24"/>
                <w:highlight w:val="none"/>
              </w:rPr>
            </w:pPr>
          </w:p>
        </w:tc>
        <w:tc>
          <w:tcPr>
            <w:tcW w:w="502" w:type="pct"/>
            <w:vAlign w:val="center"/>
          </w:tcPr>
          <w:p w14:paraId="5C083611">
            <w:pPr>
              <w:keepNext/>
              <w:spacing w:line="360" w:lineRule="auto"/>
              <w:jc w:val="center"/>
              <w:rPr>
                <w:rFonts w:cs="宋体"/>
                <w:color w:val="auto"/>
                <w:sz w:val="24"/>
                <w:szCs w:val="24"/>
                <w:highlight w:val="none"/>
              </w:rPr>
            </w:pPr>
          </w:p>
        </w:tc>
        <w:tc>
          <w:tcPr>
            <w:tcW w:w="502" w:type="pct"/>
            <w:vAlign w:val="center"/>
          </w:tcPr>
          <w:p w14:paraId="01C1FCC7">
            <w:pPr>
              <w:keepNext/>
              <w:spacing w:line="360" w:lineRule="auto"/>
              <w:jc w:val="center"/>
              <w:rPr>
                <w:rFonts w:cs="宋体"/>
                <w:color w:val="auto"/>
                <w:sz w:val="24"/>
                <w:szCs w:val="24"/>
                <w:highlight w:val="none"/>
              </w:rPr>
            </w:pPr>
          </w:p>
        </w:tc>
        <w:tc>
          <w:tcPr>
            <w:tcW w:w="1281" w:type="pct"/>
            <w:vAlign w:val="center"/>
          </w:tcPr>
          <w:p w14:paraId="676FB5D2">
            <w:pPr>
              <w:keepNext/>
              <w:spacing w:line="360" w:lineRule="auto"/>
              <w:jc w:val="center"/>
              <w:rPr>
                <w:rFonts w:cs="宋体"/>
                <w:color w:val="auto"/>
                <w:sz w:val="24"/>
                <w:szCs w:val="24"/>
                <w:highlight w:val="none"/>
              </w:rPr>
            </w:pPr>
          </w:p>
        </w:tc>
        <w:tc>
          <w:tcPr>
            <w:tcW w:w="1151" w:type="pct"/>
            <w:vAlign w:val="center"/>
          </w:tcPr>
          <w:p w14:paraId="0953CDF9">
            <w:pPr>
              <w:keepNext/>
              <w:spacing w:line="360" w:lineRule="auto"/>
              <w:jc w:val="center"/>
              <w:rPr>
                <w:rFonts w:cs="宋体"/>
                <w:color w:val="auto"/>
                <w:sz w:val="24"/>
                <w:szCs w:val="24"/>
                <w:highlight w:val="none"/>
              </w:rPr>
            </w:pPr>
          </w:p>
        </w:tc>
      </w:tr>
      <w:tr w14:paraId="7AE9D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Align w:val="center"/>
          </w:tcPr>
          <w:p w14:paraId="6734D4D8">
            <w:pPr>
              <w:spacing w:line="360" w:lineRule="auto"/>
              <w:jc w:val="center"/>
              <w:rPr>
                <w:rFonts w:cs="宋体"/>
                <w:color w:val="auto"/>
                <w:sz w:val="24"/>
                <w:szCs w:val="24"/>
                <w:highlight w:val="none"/>
              </w:rPr>
            </w:pPr>
            <w:r>
              <w:rPr>
                <w:rFonts w:hint="eastAsia" w:cs="宋体"/>
                <w:color w:val="auto"/>
                <w:sz w:val="24"/>
                <w:szCs w:val="24"/>
                <w:highlight w:val="none"/>
              </w:rPr>
              <w:t>资料员</w:t>
            </w:r>
          </w:p>
        </w:tc>
        <w:tc>
          <w:tcPr>
            <w:tcW w:w="627" w:type="pct"/>
            <w:vAlign w:val="center"/>
          </w:tcPr>
          <w:p w14:paraId="14E94CFB">
            <w:pPr>
              <w:keepNext/>
              <w:spacing w:line="360" w:lineRule="auto"/>
              <w:jc w:val="center"/>
              <w:rPr>
                <w:rFonts w:cs="宋体"/>
                <w:color w:val="auto"/>
                <w:sz w:val="24"/>
                <w:szCs w:val="24"/>
                <w:highlight w:val="none"/>
              </w:rPr>
            </w:pPr>
          </w:p>
        </w:tc>
        <w:tc>
          <w:tcPr>
            <w:tcW w:w="502" w:type="pct"/>
            <w:vAlign w:val="center"/>
          </w:tcPr>
          <w:p w14:paraId="4C3B7794">
            <w:pPr>
              <w:keepNext/>
              <w:spacing w:line="360" w:lineRule="auto"/>
              <w:jc w:val="center"/>
              <w:rPr>
                <w:rFonts w:cs="宋体"/>
                <w:color w:val="auto"/>
                <w:sz w:val="24"/>
                <w:szCs w:val="24"/>
                <w:highlight w:val="none"/>
              </w:rPr>
            </w:pPr>
          </w:p>
        </w:tc>
        <w:tc>
          <w:tcPr>
            <w:tcW w:w="502" w:type="pct"/>
            <w:vAlign w:val="center"/>
          </w:tcPr>
          <w:p w14:paraId="395C44C0">
            <w:pPr>
              <w:keepNext/>
              <w:spacing w:line="360" w:lineRule="auto"/>
              <w:jc w:val="center"/>
              <w:rPr>
                <w:rFonts w:cs="宋体"/>
                <w:color w:val="auto"/>
                <w:sz w:val="24"/>
                <w:szCs w:val="24"/>
                <w:highlight w:val="none"/>
              </w:rPr>
            </w:pPr>
          </w:p>
        </w:tc>
        <w:tc>
          <w:tcPr>
            <w:tcW w:w="1281" w:type="pct"/>
            <w:vAlign w:val="center"/>
          </w:tcPr>
          <w:p w14:paraId="20238AFF">
            <w:pPr>
              <w:keepNext/>
              <w:spacing w:line="360" w:lineRule="auto"/>
              <w:jc w:val="center"/>
              <w:rPr>
                <w:rFonts w:cs="宋体"/>
                <w:color w:val="auto"/>
                <w:sz w:val="24"/>
                <w:szCs w:val="24"/>
                <w:highlight w:val="none"/>
              </w:rPr>
            </w:pPr>
          </w:p>
        </w:tc>
        <w:tc>
          <w:tcPr>
            <w:tcW w:w="1151" w:type="pct"/>
            <w:vAlign w:val="center"/>
          </w:tcPr>
          <w:p w14:paraId="6A53C7B9">
            <w:pPr>
              <w:keepNext/>
              <w:spacing w:line="360" w:lineRule="auto"/>
              <w:jc w:val="center"/>
              <w:rPr>
                <w:rFonts w:cs="宋体"/>
                <w:color w:val="auto"/>
                <w:sz w:val="24"/>
                <w:szCs w:val="24"/>
                <w:highlight w:val="none"/>
              </w:rPr>
            </w:pPr>
          </w:p>
        </w:tc>
      </w:tr>
      <w:tr w14:paraId="3CD29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37" w:type="pct"/>
            <w:vMerge w:val="restart"/>
            <w:vAlign w:val="center"/>
          </w:tcPr>
          <w:p w14:paraId="134813A2">
            <w:pPr>
              <w:spacing w:line="360" w:lineRule="auto"/>
              <w:jc w:val="center"/>
              <w:rPr>
                <w:rFonts w:cs="宋体"/>
                <w:color w:val="auto"/>
                <w:sz w:val="24"/>
                <w:szCs w:val="24"/>
                <w:highlight w:val="none"/>
              </w:rPr>
            </w:pPr>
            <w:r>
              <w:rPr>
                <w:rFonts w:hint="eastAsia" w:cs="宋体"/>
                <w:color w:val="auto"/>
                <w:sz w:val="24"/>
                <w:szCs w:val="24"/>
                <w:highlight w:val="none"/>
              </w:rPr>
              <w:t>其他人员</w:t>
            </w:r>
          </w:p>
        </w:tc>
        <w:tc>
          <w:tcPr>
            <w:tcW w:w="627" w:type="pct"/>
            <w:vAlign w:val="center"/>
          </w:tcPr>
          <w:p w14:paraId="7AB35C8E">
            <w:pPr>
              <w:keepNext/>
              <w:spacing w:line="360" w:lineRule="auto"/>
              <w:jc w:val="center"/>
              <w:rPr>
                <w:rFonts w:cs="宋体"/>
                <w:color w:val="auto"/>
                <w:sz w:val="24"/>
                <w:szCs w:val="24"/>
                <w:highlight w:val="none"/>
              </w:rPr>
            </w:pPr>
          </w:p>
        </w:tc>
        <w:tc>
          <w:tcPr>
            <w:tcW w:w="502" w:type="pct"/>
            <w:vAlign w:val="center"/>
          </w:tcPr>
          <w:p w14:paraId="025C109E">
            <w:pPr>
              <w:keepNext/>
              <w:spacing w:line="360" w:lineRule="auto"/>
              <w:jc w:val="center"/>
              <w:rPr>
                <w:rFonts w:cs="宋体"/>
                <w:color w:val="auto"/>
                <w:sz w:val="24"/>
                <w:szCs w:val="24"/>
                <w:highlight w:val="none"/>
              </w:rPr>
            </w:pPr>
          </w:p>
        </w:tc>
        <w:tc>
          <w:tcPr>
            <w:tcW w:w="502" w:type="pct"/>
            <w:vAlign w:val="center"/>
          </w:tcPr>
          <w:p w14:paraId="6761F958">
            <w:pPr>
              <w:keepNext/>
              <w:spacing w:line="360" w:lineRule="auto"/>
              <w:jc w:val="center"/>
              <w:rPr>
                <w:rFonts w:cs="宋体"/>
                <w:color w:val="auto"/>
                <w:sz w:val="24"/>
                <w:szCs w:val="24"/>
                <w:highlight w:val="none"/>
              </w:rPr>
            </w:pPr>
          </w:p>
        </w:tc>
        <w:tc>
          <w:tcPr>
            <w:tcW w:w="1281" w:type="pct"/>
            <w:vAlign w:val="center"/>
          </w:tcPr>
          <w:p w14:paraId="0656E569">
            <w:pPr>
              <w:keepNext/>
              <w:spacing w:line="360" w:lineRule="auto"/>
              <w:jc w:val="center"/>
              <w:rPr>
                <w:rFonts w:cs="宋体"/>
                <w:color w:val="auto"/>
                <w:sz w:val="24"/>
                <w:szCs w:val="24"/>
                <w:highlight w:val="none"/>
              </w:rPr>
            </w:pPr>
          </w:p>
        </w:tc>
        <w:tc>
          <w:tcPr>
            <w:tcW w:w="1151" w:type="pct"/>
            <w:vAlign w:val="center"/>
          </w:tcPr>
          <w:p w14:paraId="67A71EA1">
            <w:pPr>
              <w:keepNext/>
              <w:spacing w:line="360" w:lineRule="auto"/>
              <w:jc w:val="center"/>
              <w:rPr>
                <w:rFonts w:cs="宋体"/>
                <w:color w:val="auto"/>
                <w:sz w:val="24"/>
                <w:szCs w:val="24"/>
                <w:highlight w:val="none"/>
              </w:rPr>
            </w:pPr>
          </w:p>
        </w:tc>
      </w:tr>
      <w:tr w14:paraId="28AE5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54D299B8">
            <w:pPr>
              <w:keepNext/>
              <w:spacing w:line="360" w:lineRule="auto"/>
              <w:jc w:val="center"/>
              <w:rPr>
                <w:rFonts w:cs="宋体"/>
                <w:color w:val="auto"/>
                <w:sz w:val="24"/>
                <w:szCs w:val="24"/>
                <w:highlight w:val="none"/>
              </w:rPr>
            </w:pPr>
          </w:p>
        </w:tc>
        <w:tc>
          <w:tcPr>
            <w:tcW w:w="627" w:type="pct"/>
            <w:tcBorders>
              <w:bottom w:val="nil"/>
            </w:tcBorders>
            <w:vAlign w:val="center"/>
          </w:tcPr>
          <w:p w14:paraId="228349C7">
            <w:pPr>
              <w:keepNext/>
              <w:spacing w:line="360" w:lineRule="auto"/>
              <w:jc w:val="center"/>
              <w:rPr>
                <w:rFonts w:cs="宋体"/>
                <w:color w:val="auto"/>
                <w:sz w:val="24"/>
                <w:szCs w:val="24"/>
                <w:highlight w:val="none"/>
              </w:rPr>
            </w:pPr>
          </w:p>
        </w:tc>
        <w:tc>
          <w:tcPr>
            <w:tcW w:w="502" w:type="pct"/>
            <w:tcBorders>
              <w:bottom w:val="nil"/>
            </w:tcBorders>
            <w:vAlign w:val="center"/>
          </w:tcPr>
          <w:p w14:paraId="6A537BDE">
            <w:pPr>
              <w:keepNext/>
              <w:spacing w:line="360" w:lineRule="auto"/>
              <w:jc w:val="center"/>
              <w:rPr>
                <w:rFonts w:cs="宋体"/>
                <w:color w:val="auto"/>
                <w:sz w:val="24"/>
                <w:szCs w:val="24"/>
                <w:highlight w:val="none"/>
              </w:rPr>
            </w:pPr>
          </w:p>
        </w:tc>
        <w:tc>
          <w:tcPr>
            <w:tcW w:w="502" w:type="pct"/>
            <w:tcBorders>
              <w:bottom w:val="nil"/>
            </w:tcBorders>
            <w:vAlign w:val="center"/>
          </w:tcPr>
          <w:p w14:paraId="414B45D4">
            <w:pPr>
              <w:keepNext/>
              <w:spacing w:line="360" w:lineRule="auto"/>
              <w:jc w:val="center"/>
              <w:rPr>
                <w:rFonts w:cs="宋体"/>
                <w:color w:val="auto"/>
                <w:sz w:val="24"/>
                <w:szCs w:val="24"/>
                <w:highlight w:val="none"/>
              </w:rPr>
            </w:pPr>
          </w:p>
        </w:tc>
        <w:tc>
          <w:tcPr>
            <w:tcW w:w="1281" w:type="pct"/>
            <w:tcBorders>
              <w:bottom w:val="nil"/>
            </w:tcBorders>
            <w:vAlign w:val="center"/>
          </w:tcPr>
          <w:p w14:paraId="2AFA36C8">
            <w:pPr>
              <w:keepNext/>
              <w:spacing w:line="360" w:lineRule="auto"/>
              <w:jc w:val="center"/>
              <w:rPr>
                <w:rFonts w:cs="宋体"/>
                <w:color w:val="auto"/>
                <w:sz w:val="24"/>
                <w:szCs w:val="24"/>
                <w:highlight w:val="none"/>
              </w:rPr>
            </w:pPr>
          </w:p>
        </w:tc>
        <w:tc>
          <w:tcPr>
            <w:tcW w:w="1151" w:type="pct"/>
            <w:tcBorders>
              <w:bottom w:val="nil"/>
            </w:tcBorders>
            <w:vAlign w:val="center"/>
          </w:tcPr>
          <w:p w14:paraId="77BB84BD">
            <w:pPr>
              <w:keepNext/>
              <w:spacing w:line="360" w:lineRule="auto"/>
              <w:jc w:val="center"/>
              <w:rPr>
                <w:rFonts w:cs="宋体"/>
                <w:color w:val="auto"/>
                <w:sz w:val="24"/>
                <w:szCs w:val="24"/>
                <w:highlight w:val="none"/>
              </w:rPr>
            </w:pPr>
          </w:p>
        </w:tc>
      </w:tr>
      <w:tr w14:paraId="03382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290DE11">
            <w:pPr>
              <w:keepNext/>
              <w:spacing w:line="360" w:lineRule="auto"/>
              <w:jc w:val="center"/>
              <w:rPr>
                <w:rFonts w:cs="宋体"/>
                <w:color w:val="auto"/>
                <w:sz w:val="24"/>
                <w:szCs w:val="24"/>
                <w:highlight w:val="none"/>
              </w:rPr>
            </w:pPr>
          </w:p>
        </w:tc>
        <w:tc>
          <w:tcPr>
            <w:tcW w:w="627" w:type="pct"/>
            <w:vAlign w:val="center"/>
          </w:tcPr>
          <w:p w14:paraId="62801DD6">
            <w:pPr>
              <w:keepNext/>
              <w:spacing w:line="360" w:lineRule="auto"/>
              <w:jc w:val="center"/>
              <w:rPr>
                <w:rFonts w:cs="宋体"/>
                <w:color w:val="auto"/>
                <w:sz w:val="24"/>
                <w:szCs w:val="24"/>
                <w:highlight w:val="none"/>
              </w:rPr>
            </w:pPr>
          </w:p>
        </w:tc>
        <w:tc>
          <w:tcPr>
            <w:tcW w:w="502" w:type="pct"/>
            <w:vAlign w:val="center"/>
          </w:tcPr>
          <w:p w14:paraId="3B567F71">
            <w:pPr>
              <w:keepNext/>
              <w:spacing w:line="360" w:lineRule="auto"/>
              <w:jc w:val="center"/>
              <w:rPr>
                <w:rFonts w:cs="宋体"/>
                <w:color w:val="auto"/>
                <w:sz w:val="24"/>
                <w:szCs w:val="24"/>
                <w:highlight w:val="none"/>
              </w:rPr>
            </w:pPr>
          </w:p>
        </w:tc>
        <w:tc>
          <w:tcPr>
            <w:tcW w:w="502" w:type="pct"/>
            <w:vAlign w:val="center"/>
          </w:tcPr>
          <w:p w14:paraId="7082330D">
            <w:pPr>
              <w:keepNext/>
              <w:spacing w:line="360" w:lineRule="auto"/>
              <w:jc w:val="center"/>
              <w:rPr>
                <w:rFonts w:cs="宋体"/>
                <w:color w:val="auto"/>
                <w:sz w:val="24"/>
                <w:szCs w:val="24"/>
                <w:highlight w:val="none"/>
              </w:rPr>
            </w:pPr>
          </w:p>
        </w:tc>
        <w:tc>
          <w:tcPr>
            <w:tcW w:w="1281" w:type="pct"/>
            <w:vAlign w:val="center"/>
          </w:tcPr>
          <w:p w14:paraId="389A3F40">
            <w:pPr>
              <w:keepNext/>
              <w:spacing w:line="360" w:lineRule="auto"/>
              <w:jc w:val="center"/>
              <w:rPr>
                <w:rFonts w:cs="宋体"/>
                <w:color w:val="auto"/>
                <w:sz w:val="24"/>
                <w:szCs w:val="24"/>
                <w:highlight w:val="none"/>
              </w:rPr>
            </w:pPr>
          </w:p>
        </w:tc>
        <w:tc>
          <w:tcPr>
            <w:tcW w:w="1151" w:type="pct"/>
            <w:vAlign w:val="center"/>
          </w:tcPr>
          <w:p w14:paraId="43FACB71">
            <w:pPr>
              <w:keepNext/>
              <w:spacing w:line="360" w:lineRule="auto"/>
              <w:jc w:val="center"/>
              <w:rPr>
                <w:rFonts w:cs="宋体"/>
                <w:color w:val="auto"/>
                <w:sz w:val="24"/>
                <w:szCs w:val="24"/>
                <w:highlight w:val="none"/>
              </w:rPr>
            </w:pPr>
          </w:p>
        </w:tc>
      </w:tr>
      <w:tr w14:paraId="58BB9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1075BB65">
            <w:pPr>
              <w:keepNext/>
              <w:spacing w:line="360" w:lineRule="auto"/>
              <w:jc w:val="center"/>
              <w:rPr>
                <w:rFonts w:cs="宋体"/>
                <w:color w:val="auto"/>
                <w:sz w:val="24"/>
                <w:szCs w:val="24"/>
                <w:highlight w:val="none"/>
              </w:rPr>
            </w:pPr>
          </w:p>
        </w:tc>
        <w:tc>
          <w:tcPr>
            <w:tcW w:w="627" w:type="pct"/>
            <w:vAlign w:val="center"/>
          </w:tcPr>
          <w:p w14:paraId="7733A54F">
            <w:pPr>
              <w:keepNext/>
              <w:spacing w:line="360" w:lineRule="auto"/>
              <w:jc w:val="center"/>
              <w:rPr>
                <w:rFonts w:cs="宋体"/>
                <w:color w:val="auto"/>
                <w:sz w:val="24"/>
                <w:szCs w:val="24"/>
                <w:highlight w:val="none"/>
              </w:rPr>
            </w:pPr>
          </w:p>
        </w:tc>
        <w:tc>
          <w:tcPr>
            <w:tcW w:w="502" w:type="pct"/>
            <w:vAlign w:val="center"/>
          </w:tcPr>
          <w:p w14:paraId="4C541B96">
            <w:pPr>
              <w:keepNext/>
              <w:spacing w:line="360" w:lineRule="auto"/>
              <w:jc w:val="center"/>
              <w:rPr>
                <w:rFonts w:cs="宋体"/>
                <w:color w:val="auto"/>
                <w:sz w:val="24"/>
                <w:szCs w:val="24"/>
                <w:highlight w:val="none"/>
              </w:rPr>
            </w:pPr>
          </w:p>
        </w:tc>
        <w:tc>
          <w:tcPr>
            <w:tcW w:w="502" w:type="pct"/>
            <w:vAlign w:val="center"/>
          </w:tcPr>
          <w:p w14:paraId="38F4C8CD">
            <w:pPr>
              <w:keepNext/>
              <w:spacing w:line="360" w:lineRule="auto"/>
              <w:jc w:val="center"/>
              <w:rPr>
                <w:rFonts w:cs="宋体"/>
                <w:color w:val="auto"/>
                <w:sz w:val="24"/>
                <w:szCs w:val="24"/>
                <w:highlight w:val="none"/>
              </w:rPr>
            </w:pPr>
          </w:p>
        </w:tc>
        <w:tc>
          <w:tcPr>
            <w:tcW w:w="1281" w:type="pct"/>
            <w:vAlign w:val="center"/>
          </w:tcPr>
          <w:p w14:paraId="5A9435B5">
            <w:pPr>
              <w:keepNext/>
              <w:spacing w:line="360" w:lineRule="auto"/>
              <w:jc w:val="center"/>
              <w:rPr>
                <w:rFonts w:cs="宋体"/>
                <w:color w:val="auto"/>
                <w:sz w:val="24"/>
                <w:szCs w:val="24"/>
                <w:highlight w:val="none"/>
              </w:rPr>
            </w:pPr>
          </w:p>
        </w:tc>
        <w:tc>
          <w:tcPr>
            <w:tcW w:w="1151" w:type="pct"/>
            <w:vAlign w:val="center"/>
          </w:tcPr>
          <w:p w14:paraId="23D97DDD">
            <w:pPr>
              <w:keepNext/>
              <w:spacing w:line="360" w:lineRule="auto"/>
              <w:jc w:val="center"/>
              <w:rPr>
                <w:rFonts w:cs="宋体"/>
                <w:color w:val="auto"/>
                <w:sz w:val="24"/>
                <w:szCs w:val="24"/>
                <w:highlight w:val="none"/>
              </w:rPr>
            </w:pPr>
          </w:p>
        </w:tc>
      </w:tr>
      <w:tr w14:paraId="12BD7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vAlign w:val="center"/>
          </w:tcPr>
          <w:p w14:paraId="09C2FB1C">
            <w:pPr>
              <w:keepNext/>
              <w:spacing w:line="360" w:lineRule="auto"/>
              <w:jc w:val="center"/>
              <w:rPr>
                <w:rFonts w:cs="宋体"/>
                <w:color w:val="auto"/>
                <w:sz w:val="24"/>
                <w:szCs w:val="24"/>
                <w:highlight w:val="none"/>
              </w:rPr>
            </w:pPr>
          </w:p>
        </w:tc>
        <w:tc>
          <w:tcPr>
            <w:tcW w:w="627" w:type="pct"/>
            <w:vAlign w:val="center"/>
          </w:tcPr>
          <w:p w14:paraId="5B9678CB">
            <w:pPr>
              <w:keepNext/>
              <w:spacing w:line="360" w:lineRule="auto"/>
              <w:jc w:val="center"/>
              <w:rPr>
                <w:rFonts w:cs="宋体"/>
                <w:color w:val="auto"/>
                <w:sz w:val="24"/>
                <w:szCs w:val="24"/>
                <w:highlight w:val="none"/>
              </w:rPr>
            </w:pPr>
          </w:p>
        </w:tc>
        <w:tc>
          <w:tcPr>
            <w:tcW w:w="502" w:type="pct"/>
            <w:vAlign w:val="center"/>
          </w:tcPr>
          <w:p w14:paraId="5122B6CF">
            <w:pPr>
              <w:keepNext/>
              <w:spacing w:line="360" w:lineRule="auto"/>
              <w:jc w:val="center"/>
              <w:rPr>
                <w:rFonts w:cs="宋体"/>
                <w:color w:val="auto"/>
                <w:sz w:val="24"/>
                <w:szCs w:val="24"/>
                <w:highlight w:val="none"/>
              </w:rPr>
            </w:pPr>
          </w:p>
        </w:tc>
        <w:tc>
          <w:tcPr>
            <w:tcW w:w="502" w:type="pct"/>
            <w:vAlign w:val="center"/>
          </w:tcPr>
          <w:p w14:paraId="4E2490EA">
            <w:pPr>
              <w:keepNext/>
              <w:spacing w:line="360" w:lineRule="auto"/>
              <w:jc w:val="center"/>
              <w:rPr>
                <w:rFonts w:cs="宋体"/>
                <w:color w:val="auto"/>
                <w:sz w:val="24"/>
                <w:szCs w:val="24"/>
                <w:highlight w:val="none"/>
              </w:rPr>
            </w:pPr>
          </w:p>
        </w:tc>
        <w:tc>
          <w:tcPr>
            <w:tcW w:w="1281" w:type="pct"/>
            <w:vAlign w:val="center"/>
          </w:tcPr>
          <w:p w14:paraId="00CB4D32">
            <w:pPr>
              <w:keepNext/>
              <w:spacing w:line="360" w:lineRule="auto"/>
              <w:jc w:val="center"/>
              <w:rPr>
                <w:rFonts w:cs="宋体"/>
                <w:color w:val="auto"/>
                <w:sz w:val="24"/>
                <w:szCs w:val="24"/>
                <w:highlight w:val="none"/>
              </w:rPr>
            </w:pPr>
          </w:p>
        </w:tc>
        <w:tc>
          <w:tcPr>
            <w:tcW w:w="1151" w:type="pct"/>
            <w:vAlign w:val="center"/>
          </w:tcPr>
          <w:p w14:paraId="37CBA753">
            <w:pPr>
              <w:keepNext/>
              <w:spacing w:line="360" w:lineRule="auto"/>
              <w:jc w:val="center"/>
              <w:rPr>
                <w:rFonts w:cs="宋体"/>
                <w:color w:val="auto"/>
                <w:sz w:val="24"/>
                <w:szCs w:val="24"/>
                <w:highlight w:val="none"/>
              </w:rPr>
            </w:pPr>
          </w:p>
        </w:tc>
      </w:tr>
      <w:tr w14:paraId="57FD0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7" w:type="pct"/>
            <w:vMerge w:val="continue"/>
            <w:tcBorders>
              <w:bottom w:val="single" w:color="auto" w:sz="12" w:space="0"/>
            </w:tcBorders>
            <w:vAlign w:val="center"/>
          </w:tcPr>
          <w:p w14:paraId="1055499F">
            <w:pPr>
              <w:keepNext/>
              <w:spacing w:line="360" w:lineRule="auto"/>
              <w:jc w:val="center"/>
              <w:rPr>
                <w:rFonts w:cs="宋体"/>
                <w:color w:val="auto"/>
                <w:sz w:val="24"/>
                <w:szCs w:val="24"/>
                <w:highlight w:val="none"/>
              </w:rPr>
            </w:pPr>
          </w:p>
        </w:tc>
        <w:tc>
          <w:tcPr>
            <w:tcW w:w="627" w:type="pct"/>
            <w:tcBorders>
              <w:bottom w:val="single" w:color="auto" w:sz="12" w:space="0"/>
            </w:tcBorders>
            <w:vAlign w:val="center"/>
          </w:tcPr>
          <w:p w14:paraId="1D180365">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6C823EDC">
            <w:pPr>
              <w:keepNext/>
              <w:spacing w:line="360" w:lineRule="auto"/>
              <w:jc w:val="center"/>
              <w:rPr>
                <w:rFonts w:cs="宋体"/>
                <w:color w:val="auto"/>
                <w:sz w:val="24"/>
                <w:szCs w:val="24"/>
                <w:highlight w:val="none"/>
              </w:rPr>
            </w:pPr>
          </w:p>
        </w:tc>
        <w:tc>
          <w:tcPr>
            <w:tcW w:w="502" w:type="pct"/>
            <w:tcBorders>
              <w:bottom w:val="single" w:color="auto" w:sz="12" w:space="0"/>
            </w:tcBorders>
            <w:vAlign w:val="center"/>
          </w:tcPr>
          <w:p w14:paraId="717D7426">
            <w:pPr>
              <w:keepNext/>
              <w:spacing w:line="360" w:lineRule="auto"/>
              <w:jc w:val="center"/>
              <w:rPr>
                <w:rFonts w:cs="宋体"/>
                <w:color w:val="auto"/>
                <w:sz w:val="24"/>
                <w:szCs w:val="24"/>
                <w:highlight w:val="none"/>
              </w:rPr>
            </w:pPr>
          </w:p>
        </w:tc>
        <w:tc>
          <w:tcPr>
            <w:tcW w:w="1281" w:type="pct"/>
            <w:tcBorders>
              <w:bottom w:val="single" w:color="auto" w:sz="12" w:space="0"/>
            </w:tcBorders>
            <w:vAlign w:val="center"/>
          </w:tcPr>
          <w:p w14:paraId="28F98DB8">
            <w:pPr>
              <w:keepNext/>
              <w:spacing w:line="360" w:lineRule="auto"/>
              <w:jc w:val="center"/>
              <w:rPr>
                <w:rFonts w:cs="宋体"/>
                <w:color w:val="auto"/>
                <w:sz w:val="24"/>
                <w:szCs w:val="24"/>
                <w:highlight w:val="none"/>
              </w:rPr>
            </w:pPr>
          </w:p>
        </w:tc>
        <w:tc>
          <w:tcPr>
            <w:tcW w:w="1151" w:type="pct"/>
            <w:tcBorders>
              <w:bottom w:val="single" w:color="auto" w:sz="12" w:space="0"/>
            </w:tcBorders>
            <w:vAlign w:val="center"/>
          </w:tcPr>
          <w:p w14:paraId="3B7C19D7">
            <w:pPr>
              <w:keepNext/>
              <w:spacing w:line="360" w:lineRule="auto"/>
              <w:jc w:val="center"/>
              <w:rPr>
                <w:rFonts w:cs="宋体"/>
                <w:color w:val="auto"/>
                <w:sz w:val="24"/>
                <w:szCs w:val="24"/>
                <w:highlight w:val="none"/>
              </w:rPr>
            </w:pPr>
          </w:p>
        </w:tc>
      </w:tr>
    </w:tbl>
    <w:p w14:paraId="0A7681A3">
      <w:pPr>
        <w:spacing w:before="312" w:beforeLines="100" w:after="312" w:afterLines="100"/>
        <w:outlineLvl w:val="9"/>
        <w:rPr>
          <w:rFonts w:hint="eastAsia" w:ascii="Times New Roman" w:eastAsia="黑体"/>
          <w:color w:val="auto"/>
          <w:sz w:val="24"/>
          <w:szCs w:val="24"/>
          <w:highlight w:val="none"/>
        </w:rPr>
      </w:pPr>
    </w:p>
    <w:p w14:paraId="758B2D7B">
      <w:pPr>
        <w:widowControl/>
        <w:jc w:val="left"/>
        <w:rPr>
          <w:rFonts w:asciiTheme="minorEastAsia" w:hAnsiTheme="minorEastAsia" w:eastAsiaTheme="minorEastAsia"/>
          <w:color w:val="auto"/>
          <w:sz w:val="24"/>
          <w:highlight w:val="none"/>
        </w:rPr>
      </w:pPr>
    </w:p>
    <w:p w14:paraId="0420B21D">
      <w:pPr>
        <w:rPr>
          <w:rFonts w:hint="eastAsia" w:asciiTheme="minorEastAsia" w:hAnsiTheme="minorEastAsia" w:eastAsiaTheme="minorEastAsia"/>
          <w:b/>
          <w:color w:val="auto"/>
          <w:sz w:val="24"/>
          <w:highlight w:val="none"/>
          <w:lang w:val="en-US" w:eastAsia="zh-CN"/>
        </w:rPr>
      </w:pPr>
      <w:bookmarkStart w:id="769" w:name="_Toc2278"/>
      <w:bookmarkStart w:id="770" w:name="_Toc20592"/>
      <w:bookmarkStart w:id="771" w:name="_Hlk44283088"/>
      <w:r>
        <w:rPr>
          <w:rFonts w:hint="eastAsia" w:asciiTheme="minorEastAsia" w:hAnsiTheme="minorEastAsia" w:eastAsiaTheme="minorEastAsia"/>
          <w:b/>
          <w:color w:val="auto"/>
          <w:sz w:val="24"/>
          <w:highlight w:val="none"/>
          <w:lang w:val="en-US" w:eastAsia="zh-CN"/>
        </w:rPr>
        <w:br w:type="page"/>
      </w:r>
    </w:p>
    <w:p w14:paraId="2DEEE9EE">
      <w:pPr>
        <w:spacing w:line="360" w:lineRule="auto"/>
        <w:jc w:val="center"/>
        <w:outlineLvl w:val="1"/>
        <w:rPr>
          <w:rFonts w:asciiTheme="minorEastAsia" w:hAnsiTheme="minorEastAsia" w:eastAsiaTheme="minorEastAsia"/>
          <w:b/>
          <w:bCs/>
          <w:color w:val="auto"/>
          <w:sz w:val="24"/>
          <w:highlight w:val="none"/>
        </w:rPr>
      </w:pPr>
      <w:r>
        <w:rPr>
          <w:rFonts w:hint="eastAsia" w:asciiTheme="minorEastAsia" w:hAnsiTheme="minorEastAsia" w:eastAsiaTheme="minorEastAsia"/>
          <w:b/>
          <w:color w:val="auto"/>
          <w:sz w:val="24"/>
          <w:highlight w:val="none"/>
          <w:lang w:val="en-US" w:eastAsia="zh-CN"/>
        </w:rPr>
        <w:t>十</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供应商</w:t>
      </w:r>
      <w:r>
        <w:rPr>
          <w:rFonts w:hint="eastAsia" w:asciiTheme="minorEastAsia" w:hAnsiTheme="minorEastAsia" w:eastAsiaTheme="minorEastAsia"/>
          <w:b/>
          <w:color w:val="auto"/>
          <w:sz w:val="24"/>
          <w:highlight w:val="none"/>
        </w:rPr>
        <w:t>诚信履约承诺函</w:t>
      </w:r>
      <w:bookmarkEnd w:id="769"/>
      <w:bookmarkEnd w:id="770"/>
    </w:p>
    <w:p w14:paraId="75D7C468">
      <w:pPr>
        <w:spacing w:line="360" w:lineRule="auto"/>
        <w:rPr>
          <w:rFonts w:asciiTheme="minorEastAsia" w:hAnsiTheme="minorEastAsia" w:eastAsiaTheme="minorEastAsia"/>
          <w:b/>
          <w:bCs/>
          <w:color w:val="auto"/>
          <w:sz w:val="24"/>
          <w:highlight w:val="none"/>
          <w:u w:val="single"/>
        </w:rPr>
      </w:pPr>
      <w:r>
        <w:rPr>
          <w:rFonts w:hint="eastAsia" w:asciiTheme="minorEastAsia" w:hAnsiTheme="minorEastAsia" w:eastAsiaTheme="minorEastAsia"/>
          <w:b/>
          <w:bCs/>
          <w:color w:val="auto"/>
          <w:sz w:val="24"/>
          <w:highlight w:val="none"/>
          <w:u w:val="single"/>
        </w:rPr>
        <w:t>致：采购人</w:t>
      </w:r>
    </w:p>
    <w:p w14:paraId="17A4C070">
      <w:pPr>
        <w:spacing w:line="360" w:lineRule="auto"/>
        <w:ind w:firstLine="480" w:firstLineChars="200"/>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en-US" w:eastAsia="zh-CN"/>
        </w:rPr>
        <w:t>若</w:t>
      </w:r>
      <w:r>
        <w:rPr>
          <w:rFonts w:hint="eastAsia" w:asciiTheme="minorEastAsia" w:hAnsiTheme="minorEastAsia" w:eastAsiaTheme="minorEastAsia"/>
          <w:bCs/>
          <w:color w:val="auto"/>
          <w:sz w:val="24"/>
          <w:highlight w:val="none"/>
        </w:rPr>
        <w:t>我单位被确定为本项目成交供应商，我单位承诺在合同签订及履约过程中将严格执行《中华人民共和国政府采购法》、《中华人民共和国政府采购法实施条例》及本项目采购文件</w:t>
      </w:r>
      <w:r>
        <w:rPr>
          <w:rFonts w:hint="eastAsia" w:asciiTheme="minorEastAsia" w:hAnsiTheme="minorEastAsia" w:eastAsiaTheme="minorEastAsia"/>
          <w:bCs/>
          <w:color w:val="auto"/>
          <w:sz w:val="24"/>
          <w:highlight w:val="none"/>
          <w:lang w:val="en-US" w:eastAsia="zh-CN"/>
        </w:rPr>
        <w:t>的</w:t>
      </w:r>
      <w:r>
        <w:rPr>
          <w:rFonts w:hint="eastAsia" w:asciiTheme="minorEastAsia" w:hAnsiTheme="minorEastAsia" w:eastAsiaTheme="minorEastAsia"/>
          <w:bCs/>
          <w:color w:val="auto"/>
          <w:sz w:val="24"/>
          <w:highlight w:val="none"/>
        </w:rPr>
        <w:t>相关规定，</w:t>
      </w:r>
      <w:r>
        <w:rPr>
          <w:rFonts w:hint="eastAsia" w:asciiTheme="minorEastAsia" w:hAnsiTheme="minorEastAsia" w:eastAsiaTheme="minorEastAsia"/>
          <w:bCs/>
          <w:color w:val="auto"/>
          <w:sz w:val="24"/>
          <w:highlight w:val="none"/>
          <w:lang w:val="en-US" w:eastAsia="zh-CN"/>
        </w:rPr>
        <w:t>并郑重承诺如下</w:t>
      </w:r>
      <w:r>
        <w:rPr>
          <w:rFonts w:hint="eastAsia" w:asciiTheme="minorEastAsia" w:hAnsiTheme="minorEastAsia" w:eastAsiaTheme="minorEastAsia"/>
          <w:bCs/>
          <w:color w:val="auto"/>
          <w:sz w:val="24"/>
          <w:highlight w:val="none"/>
        </w:rPr>
        <w:t>：</w:t>
      </w:r>
    </w:p>
    <w:p w14:paraId="3D49C8D3">
      <w:pPr>
        <w:numPr>
          <w:ilvl w:val="0"/>
          <w:numId w:val="0"/>
        </w:numPr>
        <w:spacing w:line="360" w:lineRule="auto"/>
        <w:ind w:firstLine="480" w:firstLineChars="200"/>
        <w:rPr>
          <w:rFonts w:hint="default" w:cs="@仿宋_GB2312" w:asciiTheme="minorEastAsia" w:hAnsiTheme="minorEastAsia" w:eastAsiaTheme="minorEastAsia"/>
          <w:bCs/>
          <w:color w:val="auto"/>
          <w:kern w:val="2"/>
          <w:sz w:val="24"/>
          <w:highlight w:val="none"/>
          <w:lang w:val="en-US" w:eastAsia="zh-CN" w:bidi="ar-SA"/>
        </w:rPr>
      </w:pPr>
      <w:r>
        <w:rPr>
          <w:rFonts w:hint="eastAsia" w:cs="@仿宋_GB2312" w:asciiTheme="minorEastAsia" w:hAnsiTheme="minorEastAsia" w:eastAsiaTheme="minorEastAsia"/>
          <w:bCs/>
          <w:color w:val="auto"/>
          <w:kern w:val="2"/>
          <w:sz w:val="24"/>
          <w:highlight w:val="none"/>
          <w:lang w:val="en-US" w:eastAsia="zh-CN" w:bidi="ar-SA"/>
        </w:rPr>
        <w:t>（1）我单位响应文件全部为真实、有效，若存在虚假响应，一经查实，无条件同意采购人取消我单位成交资格或合同甲方解除合同，同时愿意承担因此造成的一切损失和处罚，包括但不限于信用惩戒、限制响应资格等。</w:t>
      </w:r>
    </w:p>
    <w:p w14:paraId="492221A4">
      <w:pPr>
        <w:numPr>
          <w:ilvl w:val="0"/>
          <w:numId w:val="0"/>
        </w:numPr>
        <w:spacing w:line="360" w:lineRule="auto"/>
        <w:ind w:firstLine="480" w:firstLineChars="200"/>
        <w:rPr>
          <w:rFonts w:hint="eastAsia" w:asciiTheme="minorEastAsia" w:hAnsiTheme="minorEastAsia" w:eastAsiaTheme="minorEastAsia"/>
          <w:bCs/>
          <w:color w:val="auto"/>
          <w:sz w:val="24"/>
          <w:highlight w:val="none"/>
          <w:lang w:val="en-US" w:eastAsia="zh-CN"/>
        </w:rPr>
      </w:pPr>
      <w:r>
        <w:rPr>
          <w:rFonts w:hint="eastAsia" w:cs="@仿宋_GB2312" w:asciiTheme="minorEastAsia" w:hAnsiTheme="minorEastAsia" w:eastAsiaTheme="minorEastAsia"/>
          <w:bCs/>
          <w:color w:val="auto"/>
          <w:kern w:val="2"/>
          <w:sz w:val="24"/>
          <w:highlight w:val="none"/>
          <w:lang w:val="en-US" w:eastAsia="zh-CN" w:bidi="ar-SA"/>
        </w:rPr>
        <w:t>（2）</w:t>
      </w:r>
      <w:r>
        <w:rPr>
          <w:rFonts w:hint="eastAsia" w:asciiTheme="minorEastAsia" w:hAnsiTheme="minorEastAsia" w:eastAsiaTheme="minorEastAsia"/>
          <w:b/>
          <w:bCs w:val="0"/>
          <w:color w:val="auto"/>
          <w:sz w:val="24"/>
          <w:highlight w:val="none"/>
          <w:lang w:val="en-US" w:eastAsia="zh-CN"/>
        </w:rPr>
        <w:t>成交通知书发送之日起10日历天内，</w:t>
      </w:r>
      <w:r>
        <w:rPr>
          <w:rFonts w:hint="eastAsia" w:asciiTheme="minorEastAsia" w:hAnsiTheme="minorEastAsia" w:eastAsiaTheme="minorEastAsia"/>
          <w:bCs/>
          <w:color w:val="auto"/>
          <w:sz w:val="24"/>
          <w:highlight w:val="none"/>
          <w:lang w:val="en-US" w:eastAsia="zh-CN"/>
        </w:rPr>
        <w:t>按照响应文件提供自备机械设备、项目组成员，并为所有项目人员购买</w:t>
      </w:r>
      <w:r>
        <w:rPr>
          <w:rFonts w:hint="eastAsia" w:cs="宋体"/>
          <w:b/>
          <w:bCs/>
          <w:color w:val="auto"/>
          <w:sz w:val="24"/>
          <w:szCs w:val="24"/>
          <w:highlight w:val="none"/>
          <w:u w:val="single"/>
        </w:rPr>
        <w:t>雇主责任险或</w:t>
      </w:r>
      <w:r>
        <w:rPr>
          <w:rFonts w:hint="eastAsia" w:cs="宋体"/>
          <w:b/>
          <w:bCs/>
          <w:color w:val="auto"/>
          <w:sz w:val="24"/>
          <w:szCs w:val="24"/>
          <w:highlight w:val="none"/>
          <w:u w:val="single"/>
          <w:lang w:eastAsia="zh-CN"/>
        </w:rPr>
        <w:t>团体意外险</w:t>
      </w:r>
      <w:r>
        <w:rPr>
          <w:rFonts w:hint="eastAsia" w:cs="宋体"/>
          <w:b/>
          <w:bCs/>
          <w:color w:val="auto"/>
          <w:sz w:val="24"/>
          <w:szCs w:val="24"/>
          <w:highlight w:val="none"/>
          <w:u w:val="single"/>
          <w:lang w:val="en-US" w:eastAsia="zh-CN"/>
        </w:rPr>
        <w:t>或安全生产责任险</w:t>
      </w:r>
      <w:r>
        <w:rPr>
          <w:rFonts w:hint="eastAsia" w:asciiTheme="minorEastAsia" w:hAnsiTheme="minorEastAsia" w:eastAsiaTheme="minorEastAsia"/>
          <w:bCs/>
          <w:color w:val="auto"/>
          <w:sz w:val="24"/>
          <w:highlight w:val="none"/>
          <w:lang w:val="en-US" w:eastAsia="zh-CN"/>
        </w:rPr>
        <w:t>，进场作业前由甲方验证，若不能按时提供，无条件同意采购人取消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lang w:val="en-US" w:eastAsia="zh-CN"/>
        </w:rPr>
        <w:t>成交资格或合同甲方解除合同，同时愿意承担因此造成的一切损失和处罚，包括但不限于信用惩戒、限制响应资格等。</w:t>
      </w:r>
    </w:p>
    <w:p w14:paraId="1A5DC799">
      <w:pPr>
        <w:numPr>
          <w:ilvl w:val="0"/>
          <w:numId w:val="0"/>
        </w:numPr>
        <w:spacing w:line="360" w:lineRule="auto"/>
        <w:ind w:left="0" w:leftChars="0" w:firstLine="480" w:firstLineChars="200"/>
        <w:rPr>
          <w:rFonts w:hint="eastAsia" w:asciiTheme="minorEastAsia" w:hAnsiTheme="minorEastAsia" w:eastAsiaTheme="minorEastAsia"/>
          <w:bCs/>
          <w:color w:val="auto"/>
          <w:sz w:val="24"/>
          <w:highlight w:val="none"/>
          <w:lang w:val="en-US" w:eastAsia="zh-CN"/>
        </w:rPr>
      </w:pPr>
      <w:r>
        <w:rPr>
          <w:rFonts w:hint="eastAsia" w:cs="@仿宋_GB2312" w:asciiTheme="minorEastAsia" w:hAnsiTheme="minorEastAsia" w:eastAsiaTheme="minorEastAsia"/>
          <w:bCs/>
          <w:color w:val="auto"/>
          <w:kern w:val="2"/>
          <w:sz w:val="24"/>
          <w:highlight w:val="none"/>
          <w:lang w:val="en-US" w:eastAsia="zh-CN" w:bidi="ar-SA"/>
        </w:rPr>
        <w:t>（3）</w:t>
      </w:r>
      <w:r>
        <w:rPr>
          <w:rFonts w:hint="eastAsia" w:asciiTheme="minorEastAsia" w:hAnsiTheme="minorEastAsia" w:eastAsiaTheme="minorEastAsia"/>
          <w:bCs/>
          <w:color w:val="auto"/>
          <w:sz w:val="24"/>
          <w:highlight w:val="none"/>
          <w:lang w:val="en-US" w:eastAsia="zh-CN"/>
        </w:rPr>
        <w:t>项目履约过程中，质量、进度及安全严格按照采购文件要求执行，并自愿服从合同甲方监管，若出现不服从现场监管，无条件同意采购人取消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lang w:val="en-US" w:eastAsia="zh-CN"/>
        </w:rPr>
        <w:t>成交资格或合同甲方解除合同，并愿意承担因此造成的一切损失和处罚，包括但不限于信用惩戒、限制响应资格等。</w:t>
      </w:r>
    </w:p>
    <w:p w14:paraId="46BC0026">
      <w:pPr>
        <w:spacing w:line="360" w:lineRule="auto"/>
        <w:ind w:firstLine="480" w:firstLineChars="200"/>
        <w:rPr>
          <w:rFonts w:hint="eastAsia" w:asciiTheme="minorEastAsia" w:hAnsiTheme="minorEastAsia" w:eastAsiaTheme="minorEastAsia"/>
          <w:bCs/>
          <w:color w:val="auto"/>
          <w:sz w:val="24"/>
          <w:highlight w:val="none"/>
          <w:lang w:eastAsia="zh-CN"/>
        </w:rPr>
      </w:pP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lang w:val="en-US" w:eastAsia="zh-CN"/>
        </w:rPr>
        <w:t>4</w:t>
      </w:r>
      <w:r>
        <w:rPr>
          <w:rFonts w:hint="eastAsia" w:asciiTheme="minorEastAsia" w:hAnsiTheme="minorEastAsia" w:eastAsiaTheme="minorEastAsia"/>
          <w:bCs/>
          <w:color w:val="auto"/>
          <w:sz w:val="24"/>
          <w:highlight w:val="none"/>
          <w:lang w:eastAsia="zh-CN"/>
        </w:rPr>
        <w:t>）作业过程中如出现作业人员未有效佩戴现场安全防护必需的安全帽、安全绳、救生衣以及其他必需的作业防护等安全防护用品，发生不安全行为的，每出现一次，从</w:t>
      </w:r>
      <w:r>
        <w:rPr>
          <w:rFonts w:hint="eastAsia" w:asciiTheme="minorEastAsia" w:hAnsiTheme="minorEastAsia" w:eastAsiaTheme="minorEastAsia"/>
          <w:bCs/>
          <w:color w:val="auto"/>
          <w:sz w:val="24"/>
          <w:highlight w:val="none"/>
          <w:lang w:val="en-US" w:eastAsia="zh-CN"/>
        </w:rPr>
        <w:t>项目</w:t>
      </w:r>
      <w:r>
        <w:rPr>
          <w:rFonts w:hint="eastAsia" w:asciiTheme="minorEastAsia" w:hAnsiTheme="minorEastAsia" w:eastAsiaTheme="minorEastAsia"/>
          <w:bCs/>
          <w:color w:val="auto"/>
          <w:sz w:val="24"/>
          <w:highlight w:val="none"/>
          <w:lang w:eastAsia="zh-CN"/>
        </w:rPr>
        <w:t>结算价中自愿核减1000元，减完为止。</w:t>
      </w:r>
    </w:p>
    <w:p w14:paraId="214BD3DB">
      <w:pPr>
        <w:spacing w:line="360" w:lineRule="auto"/>
        <w:ind w:firstLine="480" w:firstLineChars="200"/>
        <w:rPr>
          <w:rFonts w:hint="default"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lang w:val="en-US" w:eastAsia="zh-CN"/>
        </w:rPr>
        <w:t>5</w:t>
      </w:r>
      <w:r>
        <w:rPr>
          <w:rFonts w:hint="eastAsia" w:asciiTheme="minorEastAsia" w:hAnsiTheme="minorEastAsia" w:eastAsiaTheme="minorEastAsia"/>
          <w:bCs/>
          <w:color w:val="auto"/>
          <w:sz w:val="24"/>
          <w:highlight w:val="none"/>
          <w:lang w:eastAsia="zh-CN"/>
        </w:rPr>
        <w:t>）</w:t>
      </w:r>
      <w:r>
        <w:rPr>
          <w:rFonts w:hint="eastAsia" w:asciiTheme="minorEastAsia" w:hAnsiTheme="minorEastAsia" w:eastAsiaTheme="minorEastAsia"/>
          <w:bCs/>
          <w:color w:val="auto"/>
          <w:sz w:val="24"/>
          <w:highlight w:val="none"/>
        </w:rPr>
        <w:t>合同履约期间，</w:t>
      </w:r>
      <w:r>
        <w:rPr>
          <w:rFonts w:hint="eastAsia" w:asciiTheme="minorEastAsia" w:hAnsiTheme="minorEastAsia" w:eastAsiaTheme="minorEastAsia"/>
          <w:bCs/>
          <w:color w:val="auto"/>
          <w:sz w:val="24"/>
          <w:highlight w:val="none"/>
          <w:lang w:val="en-US" w:eastAsia="zh-CN"/>
        </w:rPr>
        <w:t>所有项目</w:t>
      </w:r>
      <w:r>
        <w:rPr>
          <w:rFonts w:hint="eastAsia" w:asciiTheme="minorEastAsia" w:hAnsiTheme="minorEastAsia" w:eastAsiaTheme="minorEastAsia"/>
          <w:bCs/>
          <w:color w:val="auto"/>
          <w:sz w:val="24"/>
          <w:highlight w:val="none"/>
        </w:rPr>
        <w:t>人员突发疾病、意外等造成的人员伤亡及财产损失均由</w:t>
      </w:r>
      <w:r>
        <w:rPr>
          <w:rFonts w:hint="eastAsia" w:asciiTheme="minorEastAsia" w:hAnsiTheme="minorEastAsia" w:eastAsiaTheme="minorEastAsia"/>
          <w:bCs/>
          <w:color w:val="auto"/>
          <w:sz w:val="24"/>
          <w:highlight w:val="none"/>
          <w:lang w:val="en-US" w:eastAsia="zh-CN"/>
        </w:rPr>
        <w:t>我单位</w:t>
      </w:r>
      <w:r>
        <w:rPr>
          <w:rFonts w:hint="eastAsia" w:asciiTheme="minorEastAsia" w:hAnsiTheme="minorEastAsia" w:eastAsiaTheme="minorEastAsia"/>
          <w:bCs/>
          <w:color w:val="auto"/>
          <w:sz w:val="24"/>
          <w:highlight w:val="none"/>
        </w:rPr>
        <w:t>负责</w:t>
      </w:r>
      <w:r>
        <w:rPr>
          <w:rFonts w:hint="eastAsia" w:asciiTheme="minorEastAsia" w:hAnsiTheme="minorEastAsia" w:eastAsiaTheme="minorEastAsia"/>
          <w:bCs/>
          <w:color w:val="auto"/>
          <w:sz w:val="24"/>
          <w:highlight w:val="none"/>
          <w:lang w:val="en-US" w:eastAsia="zh-CN"/>
        </w:rPr>
        <w:t>承担，并全额赔偿因此给采购人或第三方造成的损失。</w:t>
      </w:r>
    </w:p>
    <w:p w14:paraId="4AE3DFBD">
      <w:pPr>
        <w:spacing w:line="360" w:lineRule="auto"/>
        <w:ind w:firstLine="480" w:firstLineChars="200"/>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w:t>
      </w:r>
      <w:r>
        <w:rPr>
          <w:rFonts w:hint="eastAsia" w:asciiTheme="minorEastAsia" w:hAnsiTheme="minorEastAsia" w:eastAsiaTheme="minorEastAsia"/>
          <w:bCs/>
          <w:color w:val="auto"/>
          <w:sz w:val="24"/>
          <w:highlight w:val="none"/>
          <w:lang w:val="en-US" w:eastAsia="zh-CN"/>
        </w:rPr>
        <w:t>6</w:t>
      </w:r>
      <w:r>
        <w:rPr>
          <w:rFonts w:hint="eastAsia" w:asciiTheme="minorEastAsia" w:hAnsiTheme="minorEastAsia" w:eastAsiaTheme="minorEastAsia"/>
          <w:bCs/>
          <w:color w:val="auto"/>
          <w:sz w:val="24"/>
          <w:highlight w:val="none"/>
        </w:rPr>
        <w:t>）在项目发生投诉、信访举报案件、履约存在争议时，拒绝协助配合调查的，无条件同意采购人取消</w:t>
      </w:r>
      <w:r>
        <w:rPr>
          <w:rFonts w:hint="eastAsia" w:cs="@仿宋_GB2312" w:asciiTheme="minorEastAsia" w:hAnsiTheme="minorEastAsia" w:eastAsiaTheme="minorEastAsia"/>
          <w:bCs/>
          <w:color w:val="auto"/>
          <w:kern w:val="2"/>
          <w:sz w:val="24"/>
          <w:highlight w:val="none"/>
          <w:lang w:val="en-US" w:eastAsia="zh-CN" w:bidi="ar-SA"/>
        </w:rPr>
        <w:t>我单位</w:t>
      </w:r>
      <w:r>
        <w:rPr>
          <w:rFonts w:hint="eastAsia" w:asciiTheme="minorEastAsia" w:hAnsiTheme="minorEastAsia" w:eastAsiaTheme="minorEastAsia"/>
          <w:bCs/>
          <w:color w:val="auto"/>
          <w:sz w:val="24"/>
          <w:highlight w:val="none"/>
        </w:rPr>
        <w:t>成交资格或</w:t>
      </w:r>
      <w:r>
        <w:rPr>
          <w:rFonts w:hint="eastAsia" w:asciiTheme="minorEastAsia" w:hAnsiTheme="minorEastAsia" w:eastAsiaTheme="minorEastAsia"/>
          <w:bCs/>
          <w:color w:val="auto"/>
          <w:sz w:val="24"/>
          <w:highlight w:val="none"/>
          <w:lang w:eastAsia="zh-CN"/>
        </w:rPr>
        <w:t>合同甲方解除合同</w:t>
      </w:r>
      <w:r>
        <w:rPr>
          <w:rFonts w:hint="eastAsia" w:asciiTheme="minorEastAsia" w:hAnsiTheme="minorEastAsia" w:eastAsiaTheme="minorEastAsia"/>
          <w:bCs/>
          <w:color w:val="auto"/>
          <w:sz w:val="24"/>
          <w:highlight w:val="none"/>
        </w:rPr>
        <w:t>，并愿意承担因此造成的一切损失和处罚，包括但不限于信用惩戒、限制响应资格等。</w:t>
      </w:r>
    </w:p>
    <w:p w14:paraId="4188126E">
      <w:pPr>
        <w:spacing w:line="360" w:lineRule="auto"/>
        <w:rPr>
          <w:rFonts w:asciiTheme="minorEastAsia" w:hAnsiTheme="minorEastAsia" w:eastAsiaTheme="minorEastAsia"/>
          <w:bCs/>
          <w:color w:val="auto"/>
          <w:sz w:val="24"/>
          <w:highlight w:val="none"/>
        </w:rPr>
      </w:pPr>
    </w:p>
    <w:p w14:paraId="384BD249">
      <w:pPr>
        <w:spacing w:line="360" w:lineRule="auto"/>
        <w:ind w:firstLine="4320" w:firstLineChars="1800"/>
        <w:rPr>
          <w:rFonts w:asciiTheme="minorEastAsia" w:hAnsiTheme="minorEastAsia" w:eastAsiaTheme="minorEastAsia"/>
          <w:bCs/>
          <w:color w:val="auto"/>
          <w:sz w:val="24"/>
          <w:highlight w:val="none"/>
          <w:u w:val="single"/>
        </w:rPr>
      </w:pPr>
      <w:r>
        <w:rPr>
          <w:rFonts w:hint="eastAsia" w:asciiTheme="minorEastAsia" w:hAnsiTheme="minorEastAsia" w:eastAsiaTheme="minorEastAsia"/>
          <w:bCs/>
          <w:color w:val="auto"/>
          <w:sz w:val="24"/>
          <w:highlight w:val="none"/>
        </w:rPr>
        <w:t>供应商电子签章：</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p>
    <w:p w14:paraId="41939620">
      <w:pPr>
        <w:spacing w:line="360" w:lineRule="auto"/>
        <w:ind w:firstLine="4320" w:firstLineChars="1800"/>
        <w:rPr>
          <w:rFonts w:asciiTheme="minorEastAsia" w:hAnsiTheme="minorEastAsia" w:eastAsiaTheme="minorEastAsia"/>
          <w:b/>
          <w:color w:val="auto"/>
          <w:sz w:val="24"/>
          <w:highlight w:val="none"/>
        </w:rPr>
      </w:pPr>
      <w:r>
        <w:rPr>
          <w:rFonts w:hint="eastAsia" w:asciiTheme="minorEastAsia" w:hAnsiTheme="minorEastAsia" w:eastAsiaTheme="minorEastAsia"/>
          <w:bCs/>
          <w:color w:val="auto"/>
          <w:sz w:val="24"/>
          <w:highlight w:val="none"/>
        </w:rPr>
        <w:t>日          期：</w:t>
      </w:r>
      <w:r>
        <w:rPr>
          <w:rFonts w:hint="eastAsia" w:asciiTheme="minorEastAsia" w:hAnsiTheme="minorEastAsia" w:eastAsiaTheme="minorEastAsia"/>
          <w:bCs/>
          <w:color w:val="auto"/>
          <w:sz w:val="24"/>
          <w:highlight w:val="none"/>
          <w:u w:val="single"/>
        </w:rPr>
        <w:t xml:space="preserve">             </w:t>
      </w:r>
    </w:p>
    <w:p w14:paraId="464073A2">
      <w:pPr>
        <w:rPr>
          <w:color w:val="auto"/>
          <w:highlight w:val="none"/>
        </w:rPr>
      </w:pPr>
    </w:p>
    <w:p w14:paraId="5DBA7AE6">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bookmarkEnd w:id="771"/>
    <w:p w14:paraId="7A4C13A5">
      <w:pPr>
        <w:spacing w:line="360" w:lineRule="auto"/>
        <w:jc w:val="center"/>
        <w:outlineLvl w:val="1"/>
        <w:rPr>
          <w:rFonts w:asciiTheme="minorEastAsia" w:hAnsiTheme="minorEastAsia" w:eastAsiaTheme="minorEastAsia"/>
          <w:b/>
          <w:color w:val="auto"/>
          <w:sz w:val="24"/>
          <w:highlight w:val="none"/>
        </w:rPr>
      </w:pPr>
      <w:bookmarkStart w:id="772" w:name="_Toc28645"/>
      <w:bookmarkStart w:id="773" w:name="_Toc8176"/>
      <w:r>
        <w:rPr>
          <w:rFonts w:hint="eastAsia" w:asciiTheme="minorEastAsia" w:hAnsiTheme="minorEastAsia" w:eastAsiaTheme="minorEastAsia"/>
          <w:b/>
          <w:color w:val="auto"/>
          <w:sz w:val="24"/>
          <w:highlight w:val="none"/>
          <w:lang w:val="en-US" w:eastAsia="zh-CN"/>
        </w:rPr>
        <w:t>十一、</w:t>
      </w:r>
      <w:r>
        <w:rPr>
          <w:rFonts w:hint="eastAsia" w:asciiTheme="minorEastAsia" w:hAnsiTheme="minorEastAsia" w:eastAsiaTheme="minorEastAsia"/>
          <w:b/>
          <w:color w:val="auto"/>
          <w:sz w:val="24"/>
          <w:highlight w:val="none"/>
        </w:rPr>
        <w:t>其他相关证明材料</w:t>
      </w:r>
      <w:bookmarkEnd w:id="772"/>
      <w:bookmarkEnd w:id="773"/>
    </w:p>
    <w:p w14:paraId="702FA31E">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提供符合</w:t>
      </w:r>
      <w:r>
        <w:rPr>
          <w:rFonts w:hint="eastAsia" w:asciiTheme="minorEastAsia" w:hAnsiTheme="minorEastAsia" w:eastAsiaTheme="minorEastAsia"/>
          <w:color w:val="auto"/>
          <w:sz w:val="24"/>
          <w:highlight w:val="none"/>
          <w:lang w:val="en-US" w:eastAsia="zh-CN"/>
        </w:rPr>
        <w:t>磋商</w:t>
      </w:r>
      <w:r>
        <w:rPr>
          <w:rFonts w:hint="eastAsia" w:asciiTheme="minorEastAsia" w:hAnsiTheme="minorEastAsia" w:eastAsiaTheme="minorEastAsia"/>
          <w:color w:val="auto"/>
          <w:sz w:val="24"/>
          <w:highlight w:val="none"/>
        </w:rPr>
        <w:t>邀请、采购需求及评标方法和标准规定的相关证明文件。</w:t>
      </w:r>
    </w:p>
    <w:p w14:paraId="56F2DCD1">
      <w:pPr>
        <w:spacing w:line="360" w:lineRule="auto"/>
        <w:ind w:firstLine="480" w:firstLineChars="200"/>
        <w:rPr>
          <w:rFonts w:asciiTheme="minorEastAsia" w:hAnsiTheme="minorEastAsia" w:eastAsiaTheme="minorEastAsia"/>
          <w:color w:val="auto"/>
          <w:sz w:val="24"/>
          <w:highlight w:val="none"/>
        </w:rPr>
      </w:pPr>
    </w:p>
    <w:p w14:paraId="2B2321A6">
      <w:pPr>
        <w:spacing w:line="360" w:lineRule="auto"/>
        <w:ind w:firstLine="435"/>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特别提示：</w:t>
      </w:r>
    </w:p>
    <w:p w14:paraId="2A8333A1">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供应商在响应文件制作时可在此栏内上传磋商文件</w:t>
      </w:r>
      <w:r>
        <w:rPr>
          <w:rFonts w:asciiTheme="minorEastAsia" w:hAnsiTheme="minorEastAsia" w:eastAsiaTheme="minorEastAsia"/>
          <w:color w:val="auto"/>
          <w:sz w:val="24"/>
          <w:highlight w:val="none"/>
        </w:rPr>
        <w:t>要求上传的证明资料</w:t>
      </w:r>
      <w:r>
        <w:rPr>
          <w:rFonts w:hint="eastAsia" w:asciiTheme="minorEastAsia" w:hAnsiTheme="minorEastAsia" w:eastAsiaTheme="minorEastAsia"/>
          <w:color w:val="auto"/>
          <w:sz w:val="24"/>
          <w:highlight w:val="none"/>
        </w:rPr>
        <w:t>，如营业执照、证书</w:t>
      </w:r>
      <w:r>
        <w:rPr>
          <w:rFonts w:asciiTheme="minorEastAsia" w:hAnsiTheme="minorEastAsia" w:eastAsiaTheme="minorEastAsia"/>
          <w:color w:val="auto"/>
          <w:sz w:val="24"/>
          <w:highlight w:val="none"/>
        </w:rPr>
        <w:t>等，应将上述证明材料制作成扫描件上传。</w:t>
      </w:r>
    </w:p>
    <w:p w14:paraId="6D2A2B93">
      <w:pPr>
        <w:pStyle w:val="51"/>
        <w:spacing w:before="0" w:beforeAutospacing="0" w:after="0" w:afterAutospacing="0" w:line="360" w:lineRule="auto"/>
        <w:ind w:firstLine="640"/>
        <w:jc w:val="both"/>
        <w:rPr>
          <w:color w:val="auto"/>
          <w:highlight w:val="none"/>
        </w:rPr>
      </w:pPr>
      <w:r>
        <w:rPr>
          <w:rFonts w:asciiTheme="minorEastAsia" w:hAnsiTheme="minorEastAsia" w:eastAsiaTheme="minorEastAsia"/>
          <w:color w:val="auto"/>
          <w:sz w:val="24"/>
          <w:highlight w:val="none"/>
        </w:rPr>
        <w:br w:type="page"/>
      </w:r>
    </w:p>
    <w:p w14:paraId="4A62C672">
      <w:pPr>
        <w:rPr>
          <w:rFonts w:hint="eastAsia" w:asciiTheme="minorEastAsia" w:hAnsiTheme="minorEastAsia" w:eastAsiaTheme="minorEastAsia"/>
          <w:b/>
          <w:color w:val="auto"/>
          <w:sz w:val="24"/>
          <w:highlight w:val="none"/>
          <w:lang w:val="en-US" w:eastAsia="zh-CN"/>
        </w:rPr>
      </w:pPr>
      <w:bookmarkStart w:id="774" w:name="_Toc24879"/>
    </w:p>
    <w:p w14:paraId="2CA0D47A">
      <w:pPr>
        <w:widowControl/>
        <w:jc w:val="center"/>
        <w:outlineLvl w:val="0"/>
        <w:rPr>
          <w:b/>
          <w:bCs/>
          <w:color w:val="auto"/>
          <w:sz w:val="28"/>
          <w:highlight w:val="none"/>
        </w:rPr>
      </w:pPr>
      <w:r>
        <w:rPr>
          <w:rFonts w:hint="eastAsia"/>
          <w:b/>
          <w:bCs/>
          <w:color w:val="auto"/>
          <w:sz w:val="28"/>
          <w:highlight w:val="none"/>
        </w:rPr>
        <w:t>第</w:t>
      </w:r>
      <w:r>
        <w:rPr>
          <w:rFonts w:hint="eastAsia"/>
          <w:b/>
          <w:bCs/>
          <w:color w:val="auto"/>
          <w:sz w:val="28"/>
          <w:highlight w:val="none"/>
          <w:lang w:val="en-US" w:eastAsia="zh-CN"/>
        </w:rPr>
        <w:t>七</w:t>
      </w:r>
      <w:r>
        <w:rPr>
          <w:rFonts w:hint="eastAsia"/>
          <w:b/>
          <w:bCs/>
          <w:color w:val="auto"/>
          <w:sz w:val="28"/>
          <w:highlight w:val="none"/>
        </w:rPr>
        <w:t>章  政府采购</w:t>
      </w:r>
      <w:r>
        <w:rPr>
          <w:rFonts w:hint="eastAsia" w:asciiTheme="minorEastAsia" w:hAnsiTheme="minorEastAsia" w:eastAsiaTheme="minorEastAsia"/>
          <w:b/>
          <w:color w:val="auto"/>
          <w:sz w:val="28"/>
          <w:highlight w:val="none"/>
        </w:rPr>
        <w:t>供应</w:t>
      </w:r>
      <w:r>
        <w:rPr>
          <w:rFonts w:hint="eastAsia"/>
          <w:b/>
          <w:bCs/>
          <w:color w:val="auto"/>
          <w:sz w:val="28"/>
          <w:highlight w:val="none"/>
        </w:rPr>
        <w:t>商询问函和质疑函范本</w:t>
      </w:r>
      <w:bookmarkEnd w:id="774"/>
    </w:p>
    <w:p w14:paraId="44C77BAD">
      <w:pPr>
        <w:spacing w:line="360" w:lineRule="auto"/>
        <w:jc w:val="center"/>
        <w:outlineLvl w:val="1"/>
        <w:rPr>
          <w:rFonts w:ascii="仿宋" w:hAnsi="仿宋" w:eastAsia="仿宋" w:cs="仿宋"/>
          <w:b/>
          <w:bCs/>
          <w:color w:val="auto"/>
          <w:sz w:val="32"/>
          <w:szCs w:val="44"/>
          <w:highlight w:val="none"/>
        </w:rPr>
      </w:pPr>
      <w:bookmarkStart w:id="775" w:name="_Toc2290"/>
      <w:bookmarkStart w:id="776" w:name="_Toc26448"/>
      <w:r>
        <w:rPr>
          <w:rFonts w:hint="eastAsia" w:ascii="仿宋" w:hAnsi="仿宋" w:eastAsia="仿宋" w:cs="仿宋"/>
          <w:b/>
          <w:bCs/>
          <w:color w:val="auto"/>
          <w:sz w:val="32"/>
          <w:szCs w:val="44"/>
          <w:highlight w:val="none"/>
        </w:rPr>
        <w:t>询问函范本</w:t>
      </w:r>
      <w:bookmarkEnd w:id="775"/>
      <w:bookmarkEnd w:id="776"/>
    </w:p>
    <w:p w14:paraId="51666AB5">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cs="仿宋" w:asciiTheme="minorEastAsia" w:hAnsiTheme="minorEastAsia" w:eastAsiaTheme="minorEastAsia"/>
          <w:i/>
          <w:iCs/>
          <w:color w:val="auto"/>
          <w:sz w:val="24"/>
          <w:szCs w:val="24"/>
          <w:highlight w:val="none"/>
        </w:rPr>
        <w:t>（如为对采购文件或采购程序的询问或疑问，请按询问函范本或电子交易系统中网上询问格式附件进行提交）</w:t>
      </w:r>
    </w:p>
    <w:p w14:paraId="7304BDC3">
      <w:pPr>
        <w:adjustRightInd w:val="0"/>
        <w:snapToGrid w:val="0"/>
        <w:spacing w:line="360" w:lineRule="auto"/>
        <w:rPr>
          <w:rFonts w:hint="eastAsia" w:cs="仿宋" w:asciiTheme="minorEastAsia" w:hAnsiTheme="minorEastAsia" w:eastAsiaTheme="minorEastAsia"/>
          <w:color w:val="auto"/>
          <w:sz w:val="24"/>
          <w:szCs w:val="24"/>
          <w:lang w:eastAsia="zh-CN"/>
        </w:rPr>
      </w:pPr>
      <w:r>
        <w:rPr>
          <w:rFonts w:hint="eastAsia" w:cs="仿宋" w:asciiTheme="minorEastAsia" w:hAnsiTheme="minorEastAsia" w:eastAsiaTheme="minorEastAsia"/>
          <w:color w:val="auto"/>
          <w:sz w:val="24"/>
          <w:szCs w:val="24"/>
          <w:highlight w:val="none"/>
          <w:lang w:val="en-US" w:eastAsia="zh-CN"/>
        </w:rPr>
        <w:t>致：</w:t>
      </w:r>
      <w:r>
        <w:rPr>
          <w:rFonts w:hint="eastAsia" w:cs="仿宋" w:asciiTheme="minorEastAsia" w:hAnsiTheme="minorEastAsia" w:eastAsiaTheme="minorEastAsia"/>
          <w:color w:val="auto"/>
          <w:sz w:val="24"/>
          <w:szCs w:val="24"/>
          <w:highlight w:val="none"/>
          <w:lang w:eastAsia="zh-CN"/>
        </w:rPr>
        <w:t>采购人</w:t>
      </w:r>
    </w:p>
    <w:p w14:paraId="689CB49E">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rPr>
        <w:t>我单位拟参与</w:t>
      </w:r>
      <w:r>
        <w:rPr>
          <w:rFonts w:hint="eastAsia" w:cs="仿宋" w:asciiTheme="minorEastAsia" w:hAnsiTheme="minorEastAsia" w:eastAsiaTheme="minorEastAsia"/>
          <w:color w:val="auto"/>
          <w:sz w:val="24"/>
          <w:szCs w:val="24"/>
          <w:u w:val="single"/>
          <w:lang w:val="en-US" w:eastAsia="zh-CN"/>
        </w:rPr>
        <w:t xml:space="preserve">           </w:t>
      </w:r>
      <w:r>
        <w:rPr>
          <w:rFonts w:hint="eastAsia" w:cs="仿宋" w:asciiTheme="minorEastAsia" w:hAnsiTheme="minorEastAsia" w:eastAsiaTheme="minorEastAsia"/>
          <w:color w:val="auto"/>
          <w:sz w:val="24"/>
          <w:szCs w:val="24"/>
          <w:u w:val="none"/>
          <w:lang w:val="en-US" w:eastAsia="zh-CN"/>
        </w:rPr>
        <w:t>（</w:t>
      </w:r>
      <w:r>
        <w:rPr>
          <w:rFonts w:hint="eastAsia" w:cs="仿宋" w:asciiTheme="minorEastAsia" w:hAnsiTheme="minorEastAsia" w:eastAsiaTheme="minorEastAsia"/>
          <w:i/>
          <w:iCs/>
          <w:color w:val="auto"/>
          <w:sz w:val="24"/>
          <w:szCs w:val="24"/>
          <w:u w:val="none"/>
          <w:lang w:val="en-US" w:eastAsia="zh-CN"/>
        </w:rPr>
        <w:t>项目名称、编号</w:t>
      </w:r>
      <w:r>
        <w:rPr>
          <w:rFonts w:hint="eastAsia" w:cs="仿宋" w:asciiTheme="minorEastAsia" w:hAnsiTheme="minorEastAsia" w:eastAsiaTheme="minorEastAsia"/>
          <w:color w:val="auto"/>
          <w:sz w:val="24"/>
          <w:szCs w:val="24"/>
          <w:u w:val="none"/>
          <w:lang w:val="en-US" w:eastAsia="zh-CN"/>
        </w:rPr>
        <w:t>）</w:t>
      </w:r>
      <w:r>
        <w:rPr>
          <w:rFonts w:hint="eastAsia" w:cs="仿宋" w:asciiTheme="minorEastAsia" w:hAnsiTheme="minorEastAsia" w:eastAsiaTheme="minorEastAsia"/>
          <w:color w:val="auto"/>
          <w:sz w:val="24"/>
          <w:szCs w:val="24"/>
        </w:rPr>
        <w:t>的采购活动，现有以下内容(或条款)存在疑问(或无法理解)，</w:t>
      </w:r>
      <w:r>
        <w:rPr>
          <w:rFonts w:hint="eastAsia" w:cs="仿宋" w:asciiTheme="minorEastAsia" w:hAnsiTheme="minorEastAsia" w:eastAsiaTheme="minorEastAsia"/>
          <w:color w:val="auto"/>
          <w:sz w:val="24"/>
          <w:szCs w:val="24"/>
          <w:highlight w:val="none"/>
        </w:rPr>
        <w:t>特提出询问。</w:t>
      </w:r>
    </w:p>
    <w:p w14:paraId="0025FF4F">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777" w:name="_Toc14234"/>
      <w:bookmarkStart w:id="778" w:name="_Toc32070"/>
      <w:r>
        <w:rPr>
          <w:rFonts w:hint="eastAsia" w:cs="仿宋" w:asciiTheme="minorEastAsia" w:hAnsiTheme="minorEastAsia" w:eastAsiaTheme="minorEastAsia"/>
          <w:color w:val="auto"/>
          <w:sz w:val="24"/>
          <w:szCs w:val="24"/>
          <w:highlight w:val="none"/>
        </w:rPr>
        <w:t>一、(事项一)</w:t>
      </w:r>
      <w:bookmarkEnd w:id="777"/>
      <w:bookmarkEnd w:id="778"/>
    </w:p>
    <w:p w14:paraId="62C63412">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1、(内容或条款)</w:t>
      </w:r>
    </w:p>
    <w:p w14:paraId="195382A8">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2、(说明疑问或无法理解原因)</w:t>
      </w:r>
    </w:p>
    <w:p w14:paraId="7FD079E3">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3、(建议)</w:t>
      </w:r>
    </w:p>
    <w:p w14:paraId="54F5A869">
      <w:pPr>
        <w:adjustRightInd w:val="0"/>
        <w:snapToGrid w:val="0"/>
        <w:spacing w:line="360" w:lineRule="auto"/>
        <w:ind w:firstLine="480" w:firstLineChars="200"/>
        <w:outlineLvl w:val="1"/>
        <w:rPr>
          <w:rFonts w:cs="仿宋" w:asciiTheme="minorEastAsia" w:hAnsiTheme="minorEastAsia" w:eastAsiaTheme="minorEastAsia"/>
          <w:color w:val="auto"/>
          <w:sz w:val="24"/>
          <w:szCs w:val="24"/>
          <w:highlight w:val="none"/>
        </w:rPr>
      </w:pPr>
      <w:bookmarkStart w:id="779" w:name="_Toc16507"/>
      <w:bookmarkStart w:id="780" w:name="_Toc6489"/>
      <w:r>
        <w:rPr>
          <w:rFonts w:hint="eastAsia" w:cs="仿宋" w:asciiTheme="minorEastAsia" w:hAnsiTheme="minorEastAsia" w:eastAsiaTheme="minorEastAsia"/>
          <w:color w:val="auto"/>
          <w:sz w:val="24"/>
          <w:szCs w:val="24"/>
          <w:highlight w:val="none"/>
        </w:rPr>
        <w:t>二、(事项二)</w:t>
      </w:r>
      <w:bookmarkEnd w:id="779"/>
      <w:bookmarkEnd w:id="780"/>
    </w:p>
    <w:p w14:paraId="6C7A902C">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6F5F1167">
      <w:pPr>
        <w:adjustRightInd w:val="0"/>
        <w:snapToGrid w:val="0"/>
        <w:spacing w:line="360" w:lineRule="auto"/>
        <w:ind w:firstLine="480" w:firstLineChars="200"/>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 xml:space="preserve">随附相关证明材料如下： </w:t>
      </w:r>
    </w:p>
    <w:p w14:paraId="7D7DEFA7">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 系 人：</w:t>
      </w:r>
      <w:r>
        <w:rPr>
          <w:rFonts w:hint="eastAsia" w:asciiTheme="minorEastAsia" w:hAnsiTheme="minorEastAsia" w:eastAsiaTheme="minorEastAsia"/>
          <w:color w:val="auto"/>
          <w:sz w:val="24"/>
          <w:highlight w:val="none"/>
          <w:u w:val="single"/>
        </w:rPr>
        <w:t xml:space="preserve">              </w:t>
      </w:r>
    </w:p>
    <w:p w14:paraId="4A48E147">
      <w:pPr>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联系电话：</w:t>
      </w:r>
      <w:r>
        <w:rPr>
          <w:rFonts w:hint="eastAsia" w:asciiTheme="minorEastAsia" w:hAnsiTheme="minorEastAsia" w:eastAsiaTheme="minorEastAsia"/>
          <w:color w:val="auto"/>
          <w:sz w:val="24"/>
          <w:highlight w:val="none"/>
          <w:u w:val="single"/>
        </w:rPr>
        <w:t xml:space="preserve">              </w:t>
      </w:r>
    </w:p>
    <w:p w14:paraId="6CE89F50">
      <w:pPr>
        <w:tabs>
          <w:tab w:val="left" w:pos="630"/>
        </w:tabs>
        <w:spacing w:line="360" w:lineRule="auto"/>
        <w:ind w:firstLine="4228" w:firstLineChars="1762"/>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日    期：</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p>
    <w:p w14:paraId="7F9B03D8">
      <w:pPr>
        <w:rPr>
          <w:rFonts w:asciiTheme="minorEastAsia" w:hAnsiTheme="minorEastAsia" w:eastAsiaTheme="minorEastAsia"/>
          <w:b/>
          <w:color w:val="auto"/>
          <w:sz w:val="52"/>
          <w:highlight w:val="none"/>
        </w:rPr>
      </w:pPr>
      <w:r>
        <w:rPr>
          <w:rFonts w:hint="eastAsia" w:ascii="仿宋" w:hAnsi="仿宋" w:eastAsia="仿宋" w:cs="仿宋"/>
          <w:b/>
          <w:bCs/>
          <w:color w:val="auto"/>
          <w:sz w:val="32"/>
          <w:szCs w:val="44"/>
          <w:highlight w:val="none"/>
        </w:rPr>
        <w:br w:type="page"/>
      </w:r>
    </w:p>
    <w:p w14:paraId="3D088345">
      <w:pPr>
        <w:jc w:val="center"/>
        <w:outlineLvl w:val="1"/>
        <w:rPr>
          <w:rFonts w:ascii="仿宋" w:hAnsi="仿宋" w:eastAsia="仿宋" w:cs="仿宋"/>
          <w:b/>
          <w:bCs/>
          <w:color w:val="auto"/>
          <w:sz w:val="32"/>
          <w:szCs w:val="44"/>
          <w:highlight w:val="none"/>
        </w:rPr>
      </w:pPr>
      <w:bookmarkStart w:id="781" w:name="_Toc4923"/>
      <w:bookmarkStart w:id="782" w:name="_Toc26224"/>
      <w:r>
        <w:rPr>
          <w:rFonts w:hint="eastAsia" w:ascii="仿宋" w:hAnsi="仿宋" w:eastAsia="仿宋" w:cs="仿宋"/>
          <w:b/>
          <w:bCs/>
          <w:color w:val="auto"/>
          <w:sz w:val="32"/>
          <w:szCs w:val="44"/>
          <w:highlight w:val="none"/>
        </w:rPr>
        <w:t>质疑函范本</w:t>
      </w:r>
      <w:bookmarkEnd w:id="781"/>
      <w:bookmarkEnd w:id="782"/>
    </w:p>
    <w:p w14:paraId="2654128C">
      <w:pPr>
        <w:adjustRightInd w:val="0"/>
        <w:snapToGrid w:val="0"/>
        <w:spacing w:before="312" w:beforeLines="100" w:line="360" w:lineRule="auto"/>
        <w:outlineLvl w:val="1"/>
        <w:rPr>
          <w:rFonts w:cs="仿宋" w:asciiTheme="minorEastAsia" w:hAnsiTheme="minorEastAsia" w:eastAsiaTheme="minorEastAsia"/>
          <w:b/>
          <w:bCs/>
          <w:color w:val="auto"/>
          <w:sz w:val="24"/>
          <w:szCs w:val="24"/>
          <w:highlight w:val="none"/>
        </w:rPr>
      </w:pPr>
      <w:bookmarkStart w:id="783" w:name="_Toc3847"/>
      <w:bookmarkStart w:id="784" w:name="_Toc10663"/>
      <w:r>
        <w:rPr>
          <w:rFonts w:hint="eastAsia" w:cs="仿宋" w:asciiTheme="minorEastAsia" w:hAnsiTheme="minorEastAsia" w:eastAsiaTheme="minorEastAsia"/>
          <w:b/>
          <w:bCs/>
          <w:color w:val="auto"/>
          <w:sz w:val="24"/>
          <w:szCs w:val="24"/>
          <w:highlight w:val="none"/>
        </w:rPr>
        <w:t>一、质疑供应商基本信息</w:t>
      </w:r>
      <w:bookmarkEnd w:id="783"/>
      <w:bookmarkEnd w:id="784"/>
    </w:p>
    <w:p w14:paraId="01AAFC2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质疑供应商：</w:t>
      </w:r>
      <w:r>
        <w:rPr>
          <w:rFonts w:hint="eastAsia" w:cs="仿宋" w:asciiTheme="minorEastAsia" w:hAnsiTheme="minorEastAsia" w:eastAsiaTheme="minorEastAsia"/>
          <w:color w:val="auto"/>
          <w:sz w:val="24"/>
          <w:szCs w:val="24"/>
          <w:highlight w:val="none"/>
          <w:u w:val="dotted"/>
        </w:rPr>
        <w:t xml:space="preserve">                                        </w:t>
      </w:r>
    </w:p>
    <w:p w14:paraId="0F359ED0">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12C1BE4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联系人：</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2D461DF2">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授权代表：</w:t>
      </w:r>
      <w:r>
        <w:rPr>
          <w:rFonts w:hint="eastAsia" w:cs="仿宋" w:asciiTheme="minorEastAsia" w:hAnsiTheme="minorEastAsia" w:eastAsiaTheme="minorEastAsia"/>
          <w:color w:val="auto"/>
          <w:sz w:val="24"/>
          <w:szCs w:val="24"/>
          <w:highlight w:val="none"/>
          <w:u w:val="dotted"/>
        </w:rPr>
        <w:t xml:space="preserve">                                          </w:t>
      </w:r>
    </w:p>
    <w:p w14:paraId="4EB8538E">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联系电话：</w:t>
      </w:r>
      <w:r>
        <w:rPr>
          <w:rFonts w:hint="eastAsia" w:cs="仿宋" w:asciiTheme="minorEastAsia" w:hAnsiTheme="minorEastAsia" w:eastAsiaTheme="minorEastAsia"/>
          <w:color w:val="auto"/>
          <w:sz w:val="24"/>
          <w:szCs w:val="24"/>
          <w:highlight w:val="none"/>
          <w:u w:val="dotted"/>
        </w:rPr>
        <w:t xml:space="preserve">                                          </w:t>
      </w:r>
    </w:p>
    <w:p w14:paraId="531A9464">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地址：</w:t>
      </w:r>
      <w:r>
        <w:rPr>
          <w:rFonts w:cs="仿宋" w:asciiTheme="minorEastAsia" w:hAnsiTheme="minorEastAsia" w:eastAsiaTheme="minorEastAsia"/>
          <w:color w:val="auto"/>
          <w:sz w:val="24"/>
          <w:szCs w:val="24"/>
          <w:highlight w:val="none"/>
        </w:rPr>
        <w:t xml:space="preserve"> </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邮编：</w:t>
      </w:r>
      <w:r>
        <w:rPr>
          <w:rFonts w:hint="eastAsia" w:cs="仿宋" w:asciiTheme="minorEastAsia" w:hAnsiTheme="minorEastAsia" w:eastAsiaTheme="minorEastAsia"/>
          <w:color w:val="auto"/>
          <w:sz w:val="24"/>
          <w:szCs w:val="24"/>
          <w:highlight w:val="none"/>
          <w:u w:val="dotted"/>
        </w:rPr>
        <w:t xml:space="preserve">               </w:t>
      </w:r>
    </w:p>
    <w:p w14:paraId="31DD5F10">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85" w:name="_Toc30012"/>
      <w:bookmarkStart w:id="786" w:name="_Toc19182"/>
      <w:r>
        <w:rPr>
          <w:rFonts w:hint="eastAsia" w:cs="仿宋" w:asciiTheme="minorEastAsia" w:hAnsiTheme="minorEastAsia" w:eastAsiaTheme="minorEastAsia"/>
          <w:b/>
          <w:bCs/>
          <w:color w:val="auto"/>
          <w:sz w:val="24"/>
          <w:szCs w:val="24"/>
          <w:highlight w:val="none"/>
        </w:rPr>
        <w:t>二、质疑项目基本情况</w:t>
      </w:r>
      <w:bookmarkEnd w:id="785"/>
      <w:bookmarkEnd w:id="786"/>
    </w:p>
    <w:p w14:paraId="10FDC621">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质疑项目的名称：</w:t>
      </w:r>
      <w:r>
        <w:rPr>
          <w:rFonts w:hint="eastAsia" w:cs="仿宋" w:asciiTheme="minorEastAsia" w:hAnsiTheme="minorEastAsia" w:eastAsiaTheme="minorEastAsia"/>
          <w:color w:val="auto"/>
          <w:sz w:val="24"/>
          <w:szCs w:val="24"/>
          <w:highlight w:val="none"/>
          <w:u w:val="dotted"/>
        </w:rPr>
        <w:t xml:space="preserve">                                    </w:t>
      </w:r>
    </w:p>
    <w:p w14:paraId="551C10CF">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质疑项目的编号：</w:t>
      </w:r>
      <w:r>
        <w:rPr>
          <w:rFonts w:hint="eastAsia" w:cs="仿宋" w:asciiTheme="minorEastAsia" w:hAnsiTheme="minorEastAsia" w:eastAsiaTheme="minorEastAsia"/>
          <w:color w:val="auto"/>
          <w:sz w:val="24"/>
          <w:szCs w:val="24"/>
          <w:highlight w:val="none"/>
          <w:u w:val="dotted"/>
        </w:rPr>
        <w:t xml:space="preserve">               </w:t>
      </w:r>
      <w:r>
        <w:rPr>
          <w:rFonts w:hint="eastAsia" w:cs="仿宋" w:asciiTheme="minorEastAsia" w:hAnsiTheme="minorEastAsia" w:eastAsiaTheme="minorEastAsia"/>
          <w:color w:val="auto"/>
          <w:sz w:val="24"/>
          <w:szCs w:val="24"/>
          <w:highlight w:val="none"/>
        </w:rPr>
        <w:t>包号：</w:t>
      </w:r>
      <w:r>
        <w:rPr>
          <w:rFonts w:hint="eastAsia" w:cs="仿宋" w:asciiTheme="minorEastAsia" w:hAnsiTheme="minorEastAsia" w:eastAsiaTheme="minorEastAsia"/>
          <w:color w:val="auto"/>
          <w:sz w:val="24"/>
          <w:szCs w:val="24"/>
          <w:highlight w:val="none"/>
          <w:u w:val="dotted"/>
        </w:rPr>
        <w:t xml:space="preserve">               </w:t>
      </w:r>
    </w:p>
    <w:p w14:paraId="624E404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采购人名称：</w:t>
      </w:r>
      <w:r>
        <w:rPr>
          <w:rFonts w:hint="eastAsia" w:cs="仿宋" w:asciiTheme="minorEastAsia" w:hAnsiTheme="minorEastAsia" w:eastAsiaTheme="minorEastAsia"/>
          <w:color w:val="auto"/>
          <w:sz w:val="24"/>
          <w:szCs w:val="24"/>
          <w:highlight w:val="none"/>
          <w:u w:val="dotted"/>
        </w:rPr>
        <w:t xml:space="preserve">                                        </w:t>
      </w:r>
    </w:p>
    <w:p w14:paraId="0D377A75">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采购文件获取日期：</w:t>
      </w:r>
      <w:r>
        <w:rPr>
          <w:rFonts w:hint="eastAsia" w:cs="仿宋" w:asciiTheme="minorEastAsia" w:hAnsiTheme="minorEastAsia" w:eastAsiaTheme="minorEastAsia"/>
          <w:color w:val="auto"/>
          <w:sz w:val="24"/>
          <w:szCs w:val="24"/>
          <w:highlight w:val="none"/>
          <w:u w:val="dotted"/>
        </w:rPr>
        <w:t xml:space="preserve">                                  </w:t>
      </w:r>
    </w:p>
    <w:p w14:paraId="4269B5D6">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87" w:name="_Toc9989"/>
      <w:bookmarkStart w:id="788" w:name="_Toc21700"/>
      <w:r>
        <w:rPr>
          <w:rFonts w:hint="eastAsia" w:cs="仿宋" w:asciiTheme="minorEastAsia" w:hAnsiTheme="minorEastAsia" w:eastAsiaTheme="minorEastAsia"/>
          <w:b/>
          <w:bCs/>
          <w:color w:val="auto"/>
          <w:sz w:val="24"/>
          <w:szCs w:val="24"/>
          <w:highlight w:val="none"/>
        </w:rPr>
        <w:t>三、质疑事项具体内容</w:t>
      </w:r>
      <w:bookmarkEnd w:id="787"/>
      <w:bookmarkEnd w:id="788"/>
    </w:p>
    <w:p w14:paraId="79B2C1A5">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质疑事项1：</w:t>
      </w:r>
      <w:r>
        <w:rPr>
          <w:rFonts w:hint="eastAsia" w:cs="仿宋" w:asciiTheme="minorEastAsia" w:hAnsiTheme="minorEastAsia" w:eastAsiaTheme="minorEastAsia"/>
          <w:color w:val="auto"/>
          <w:sz w:val="24"/>
          <w:szCs w:val="24"/>
          <w:highlight w:val="none"/>
          <w:u w:val="dotted"/>
        </w:rPr>
        <w:t xml:space="preserve">                                         </w:t>
      </w:r>
    </w:p>
    <w:p w14:paraId="2B7F36F7">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事实依据：</w:t>
      </w:r>
      <w:r>
        <w:rPr>
          <w:rFonts w:hint="eastAsia" w:cs="仿宋" w:asciiTheme="minorEastAsia" w:hAnsiTheme="minorEastAsia" w:eastAsiaTheme="minorEastAsia"/>
          <w:color w:val="auto"/>
          <w:sz w:val="24"/>
          <w:szCs w:val="24"/>
          <w:highlight w:val="none"/>
          <w:u w:val="dotted"/>
        </w:rPr>
        <w:t xml:space="preserve">                                          </w:t>
      </w:r>
    </w:p>
    <w:p w14:paraId="314E362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u w:val="dotted"/>
        </w:rPr>
        <w:t xml:space="preserve">                                                    </w:t>
      </w:r>
    </w:p>
    <w:p w14:paraId="249270CF">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法律依据：</w:t>
      </w:r>
      <w:r>
        <w:rPr>
          <w:rFonts w:hint="eastAsia" w:cs="仿宋" w:asciiTheme="minorEastAsia" w:hAnsiTheme="minorEastAsia" w:eastAsiaTheme="minorEastAsia"/>
          <w:color w:val="auto"/>
          <w:sz w:val="24"/>
          <w:szCs w:val="24"/>
          <w:highlight w:val="none"/>
          <w:u w:val="dotted"/>
        </w:rPr>
        <w:t xml:space="preserve">                                          </w:t>
      </w:r>
    </w:p>
    <w:p w14:paraId="4722AFBA">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u w:val="dotted"/>
        </w:rPr>
        <w:t xml:space="preserve">                                                    </w:t>
      </w:r>
    </w:p>
    <w:p w14:paraId="5F0BBE9E">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质疑事项2</w:t>
      </w:r>
    </w:p>
    <w:p w14:paraId="43B44723">
      <w:pPr>
        <w:adjustRightInd w:val="0"/>
        <w:snapToGrid w:val="0"/>
        <w:spacing w:line="360" w:lineRule="auto"/>
        <w:rPr>
          <w:rFonts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w:t>
      </w:r>
    </w:p>
    <w:p w14:paraId="75CE4DC6">
      <w:pPr>
        <w:adjustRightInd w:val="0"/>
        <w:snapToGrid w:val="0"/>
        <w:spacing w:line="360" w:lineRule="auto"/>
        <w:outlineLvl w:val="1"/>
        <w:rPr>
          <w:rFonts w:cs="仿宋" w:asciiTheme="minorEastAsia" w:hAnsiTheme="minorEastAsia" w:eastAsiaTheme="minorEastAsia"/>
          <w:b/>
          <w:bCs/>
          <w:color w:val="auto"/>
          <w:sz w:val="24"/>
          <w:szCs w:val="24"/>
          <w:highlight w:val="none"/>
        </w:rPr>
      </w:pPr>
      <w:bookmarkStart w:id="789" w:name="_Toc19016"/>
      <w:bookmarkStart w:id="790" w:name="_Toc10625"/>
      <w:r>
        <w:rPr>
          <w:rFonts w:hint="eastAsia" w:cs="仿宋" w:asciiTheme="minorEastAsia" w:hAnsiTheme="minorEastAsia" w:eastAsiaTheme="minorEastAsia"/>
          <w:b/>
          <w:bCs/>
          <w:color w:val="auto"/>
          <w:sz w:val="24"/>
          <w:szCs w:val="24"/>
          <w:highlight w:val="none"/>
        </w:rPr>
        <w:t>四、与质疑事项相关的质疑请求</w:t>
      </w:r>
      <w:bookmarkEnd w:id="789"/>
      <w:bookmarkEnd w:id="790"/>
    </w:p>
    <w:p w14:paraId="3D38583B">
      <w:pPr>
        <w:adjustRightInd w:val="0"/>
        <w:snapToGrid w:val="0"/>
        <w:spacing w:line="360" w:lineRule="auto"/>
        <w:rPr>
          <w:rFonts w:cs="仿宋" w:asciiTheme="minorEastAsia" w:hAnsiTheme="minorEastAsia" w:eastAsiaTheme="minorEastAsia"/>
          <w:color w:val="auto"/>
          <w:sz w:val="24"/>
          <w:szCs w:val="24"/>
          <w:highlight w:val="none"/>
          <w:u w:val="dotted"/>
        </w:rPr>
      </w:pPr>
      <w:r>
        <w:rPr>
          <w:rFonts w:hint="eastAsia" w:cs="仿宋" w:asciiTheme="minorEastAsia" w:hAnsiTheme="minorEastAsia" w:eastAsiaTheme="minorEastAsia"/>
          <w:color w:val="auto"/>
          <w:sz w:val="24"/>
          <w:szCs w:val="24"/>
          <w:highlight w:val="none"/>
        </w:rPr>
        <w:t>请求：</w:t>
      </w:r>
      <w:r>
        <w:rPr>
          <w:rFonts w:hint="eastAsia" w:cs="仿宋" w:asciiTheme="minorEastAsia" w:hAnsiTheme="minorEastAsia" w:eastAsiaTheme="minorEastAsia"/>
          <w:color w:val="auto"/>
          <w:sz w:val="24"/>
          <w:szCs w:val="24"/>
          <w:highlight w:val="none"/>
          <w:u w:val="dotted"/>
        </w:rPr>
        <w:t xml:space="preserve">                                              </w:t>
      </w:r>
    </w:p>
    <w:p w14:paraId="5644C5AC">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签字(签章)：                   公章：                      </w:t>
      </w:r>
    </w:p>
    <w:p w14:paraId="68268B9F">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日期：    </w:t>
      </w:r>
    </w:p>
    <w:p w14:paraId="32ABF330">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568CBD1D">
      <w:pPr>
        <w:outlineLvl w:val="0"/>
        <w:rPr>
          <w:rFonts w:asciiTheme="minorEastAsia" w:hAnsiTheme="minorEastAsia" w:eastAsiaTheme="minorEastAsia"/>
          <w:b/>
          <w:color w:val="auto"/>
          <w:sz w:val="28"/>
          <w:szCs w:val="32"/>
          <w:highlight w:val="none"/>
        </w:rPr>
      </w:pPr>
      <w:bookmarkStart w:id="791" w:name="_Toc25274"/>
      <w:bookmarkStart w:id="792" w:name="_Toc17684"/>
      <w:r>
        <w:rPr>
          <w:rFonts w:hint="eastAsia" w:asciiTheme="minorEastAsia" w:hAnsiTheme="minorEastAsia" w:eastAsiaTheme="minorEastAsia"/>
          <w:b/>
          <w:color w:val="auto"/>
          <w:sz w:val="28"/>
          <w:szCs w:val="32"/>
          <w:highlight w:val="none"/>
        </w:rPr>
        <w:t>质疑函制作说明：</w:t>
      </w:r>
      <w:bookmarkEnd w:id="791"/>
      <w:bookmarkEnd w:id="792"/>
    </w:p>
    <w:p w14:paraId="10596109">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4D276E8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FD0647D">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4714B7A6">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68B6E68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5C79A66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sectPr>
      <w:headerReference r:id="rId22" w:type="default"/>
      <w:footerReference r:id="rId2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203" w:usb1="288F0000" w:usb2="00000006" w:usb3="00000000" w:csb0="00040001" w:csb1="00000000"/>
  </w:font>
  <w:font w:name="MS Sans Serif">
    <w:altName w:val="Arial"/>
    <w:panose1 w:val="020B0500000000000000"/>
    <w:charset w:val="00"/>
    <w:family w:val="swiss"/>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7CA92">
    <w:pPr>
      <w:pStyle w:val="34"/>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BA593">
    <w:pPr>
      <w:pStyle w:val="34"/>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E8FE1">
                          <w:pPr>
                            <w:pStyle w:val="3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519E8FE1">
                    <w:pPr>
                      <w:pStyle w:val="3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B4021">
    <w:pPr>
      <w:pStyle w:val="34"/>
      <w:rPr>
        <w:rFonts w:asciiTheme="minorEastAsia" w:hAnsiTheme="minorEastAsia" w:eastAsiaTheme="minorEastAsia"/>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13355">
                          <w:pPr>
                            <w:pStyle w:val="3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C213355">
                    <w:pPr>
                      <w:pStyle w:val="3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DF8CE">
    <w:pPr>
      <w:pStyle w:val="34"/>
      <w:rPr>
        <w:rFonts w:asciiTheme="minorEastAsia" w:hAnsiTheme="minorEastAsia" w:eastAsiaTheme="minorEastAsia"/>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26181C">
                          <w:pPr>
                            <w:pStyle w:val="3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A26181C">
                    <w:pPr>
                      <w:pStyle w:val="3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AEDC">
    <w:pPr>
      <w:pStyle w:val="34"/>
      <w:jc w:val="center"/>
      <w:rPr>
        <w:rFonts w:hint="eastAsia" w:eastAsia="@仿宋_GB2312"/>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1798C">
                          <w:pPr>
                            <w:pStyle w:val="3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071798C">
                    <w:pPr>
                      <w:pStyle w:val="34"/>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val="en-US" w:eastAsia="zh-CN"/>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6560E">
    <w:pPr>
      <w:pStyle w:val="20"/>
      <w:spacing w:line="211" w:lineRule="auto"/>
      <w:ind w:left="3607"/>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E1CC9">
    <w:pPr>
      <w:pStyle w:val="20"/>
      <w:spacing w:line="211" w:lineRule="auto"/>
      <w:ind w:left="3607"/>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FE2BF">
    <w:pPr>
      <w:pStyle w:val="20"/>
      <w:spacing w:line="211" w:lineRule="auto"/>
      <w:ind w:left="4046"/>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9FFE7">
    <w:pPr>
      <w:pStyle w:val="20"/>
      <w:spacing w:line="211" w:lineRule="auto"/>
      <w:ind w:left="3607"/>
      <w:rPr>
        <w:sz w:val="18"/>
        <w:szCs w:val="18"/>
      </w:rPr>
    </w:pPr>
    <w:r>
      <w:rPr>
        <w:spacing w:val="-4"/>
        <w:sz w:val="18"/>
        <w:szCs w:val="18"/>
      </w:rPr>
      <w:t>第37页共83页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B8E39">
    <w:pPr>
      <w:pStyle w:val="20"/>
      <w:spacing w:line="211" w:lineRule="auto"/>
      <w:ind w:left="3409"/>
      <w:rPr>
        <w:sz w:val="18"/>
        <w:szCs w:val="18"/>
      </w:rPr>
    </w:pPr>
    <w:r>
      <w:rPr>
        <w:spacing w:val="-4"/>
        <w:sz w:val="18"/>
        <w:szCs w:val="18"/>
      </w:rPr>
      <w:t>第41页共83页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5049">
    <w:pPr>
      <w:pStyle w:val="20"/>
      <w:spacing w:line="211" w:lineRule="auto"/>
      <w:ind w:left="3409"/>
      <w:rPr>
        <w:sz w:val="18"/>
        <w:szCs w:val="18"/>
      </w:rPr>
    </w:pPr>
    <w:r>
      <w:rPr>
        <w:spacing w:val="-4"/>
        <w:sz w:val="18"/>
        <w:szCs w:val="18"/>
      </w:rPr>
      <w:t>第42页共83页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60FD2">
    <w:pPr>
      <w:pStyle w:val="20"/>
      <w:spacing w:line="211" w:lineRule="auto"/>
      <w:ind w:left="3409"/>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2B07">
    <w:pPr>
      <w:pStyle w:val="35"/>
      <w:jc w:val="left"/>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竞争性磋商文件</w:t>
    </w:r>
    <w:r>
      <w:rPr>
        <w:rFonts w:hint="eastAsia" w:asciiTheme="minorEastAsia" w:hAnsiTheme="minorEastAsia" w:eastAsiaTheme="minorEastAsia"/>
        <w:lang w:eastAsia="zh-CN"/>
      </w:rPr>
      <w:t>示范文本（</w:t>
    </w:r>
    <w:r>
      <w:rPr>
        <w:rFonts w:hint="eastAsia" w:asciiTheme="minorEastAsia" w:hAnsiTheme="minorEastAsia" w:eastAsiaTheme="minorEastAsia"/>
      </w:rPr>
      <w:t>工程类</w:t>
    </w:r>
    <w:r>
      <w:rPr>
        <w:rFonts w:hint="eastAsia" w:asciiTheme="minorEastAsia" w:hAnsiTheme="minorEastAsia" w:eastAsiaTheme="minorEastAsia"/>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51664">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3C3FD">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E4887">
    <w:pPr>
      <w:pStyle w:val="20"/>
      <w:spacing w:before="48" w:line="219" w:lineRule="auto"/>
      <w:ind w:left="450"/>
      <w:rPr>
        <w:sz w:val="18"/>
        <w:szCs w:val="18"/>
      </w:rPr>
    </w:pPr>
    <w:r>
      <mc:AlternateContent>
        <mc:Choice Requires="wps">
          <w:drawing>
            <wp:anchor distT="0" distB="0" distL="114300" distR="114300" simplePos="0" relativeHeight="251661312" behindDoc="0" locked="0" layoutInCell="0" allowOverlap="1">
              <wp:simplePos x="0" y="0"/>
              <wp:positionH relativeFrom="page">
                <wp:posOffset>1008380</wp:posOffset>
              </wp:positionH>
              <wp:positionV relativeFrom="page">
                <wp:posOffset>701040</wp:posOffset>
              </wp:positionV>
              <wp:extent cx="5544820" cy="9525"/>
              <wp:effectExtent l="0" t="0" r="0" b="0"/>
              <wp:wrapNone/>
              <wp:docPr id="7" name="任意多边形 7"/>
              <wp:cNvGraphicFramePr/>
              <a:graphic xmlns:a="http://schemas.openxmlformats.org/drawingml/2006/main">
                <a:graphicData uri="http://schemas.microsoft.com/office/word/2010/wordprocessingShape">
                  <wps:wsp>
                    <wps:cNvSpPr/>
                    <wps:spPr>
                      <a:xfrm>
                        <a:off x="0" y="0"/>
                        <a:ext cx="5544820" cy="9525"/>
                      </a:xfrm>
                      <a:custGeom>
                        <a:avLst/>
                        <a:gdLst/>
                        <a:ahLst/>
                        <a:cxnLst/>
                        <a:pathLst>
                          <a:path w="8732" h="15">
                            <a:moveTo>
                              <a:pt x="0" y="0"/>
                            </a:moveTo>
                            <a:lnTo>
                              <a:pt x="8731" y="0"/>
                            </a:lnTo>
                            <a:lnTo>
                              <a:pt x="8731"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9.4pt;margin-top:55.2pt;height:0.75pt;width:436.6pt;mso-position-horizontal-relative:page;mso-position-vertical-relative:page;z-index:251661312;mso-width-relative:page;mso-height-relative:page;" fillcolor="#000000" filled="t" stroked="f" coordsize="8732,15" o:allowincell="f" o:gfxdata="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rdqZ2QAAAAwBAAAPAAAA&#10;AAAAAAEAIAAAACIAAABkcnMvZG93bnJldi54bWxQSwECFAAUAAAACACHTuJAu/rdRhQCAAB7BAAA&#10;DgAAAAAAAAABACAAAAAoAQAAZHJzL2Uyb0RvYy54bWxQSwUGAAAAAAYABgBZAQAArgUAAAAA&#10;" path="m0,0l8731,0,8731,14,0,14,0,0xe">
              <v:fill on="t" focussize="0,0"/>
              <v:stroke on="f"/>
              <v:imagedata o:title=""/>
              <o:lock v:ext="edit" aspectratio="f"/>
            </v:shape>
          </w:pict>
        </mc:Fallback>
      </mc:AlternateContent>
    </w:r>
    <w:r>
      <w:rPr>
        <w:spacing w:val="-1"/>
        <w:sz w:val="18"/>
        <w:szCs w:val="18"/>
      </w:rPr>
      <w:t>安徽省政府采购项目竞争性磋商文件示范文本（工程类）</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5A3F7">
    <w:pPr>
      <w:pStyle w:val="3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3B524">
    <w:pPr>
      <w:pStyle w:val="35"/>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504D8">
    <w:pPr>
      <w:pStyle w:val="35"/>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3FA39">
    <w:pPr>
      <w:pStyle w:val="35"/>
      <w:jc w:val="both"/>
    </w:pPr>
    <w:r>
      <w:rPr>
        <w:rFonts w:hint="eastAsia"/>
        <w:lang w:val="en-US" w:eastAsia="zh-CN"/>
      </w:rPr>
      <w:t>安徽省</w:t>
    </w:r>
    <w:r>
      <w:rPr>
        <w:rFonts w:hint="eastAsia" w:ascii="宋体" w:hAnsi="宋体" w:eastAsia="宋体"/>
      </w:rPr>
      <w:t>政府采购</w:t>
    </w:r>
    <w:r>
      <w:rPr>
        <w:rFonts w:hint="eastAsia" w:ascii="宋体" w:hAnsi="宋体" w:eastAsia="宋体"/>
        <w:lang w:eastAsia="zh-CN"/>
      </w:rPr>
      <w:t>项目</w:t>
    </w:r>
    <w:r>
      <w:rPr>
        <w:rFonts w:hint="eastAsia" w:ascii="宋体" w:hAnsi="宋体" w:eastAsia="宋体"/>
      </w:rPr>
      <w:t>竞争性</w:t>
    </w:r>
    <w:r>
      <w:rPr>
        <w:rFonts w:hint="eastAsia"/>
        <w:lang w:val="en-US" w:eastAsia="zh-CN"/>
      </w:rPr>
      <w:t>磋商</w:t>
    </w:r>
    <w:r>
      <w:rPr>
        <w:rFonts w:hint="eastAsia" w:ascii="宋体" w:hAnsi="宋体" w:eastAsia="宋体"/>
      </w:rPr>
      <w:t>文件</w:t>
    </w:r>
    <w:r>
      <w:rPr>
        <w:rFonts w:hint="eastAsia" w:ascii="宋体" w:hAnsi="宋体" w:eastAsia="宋体"/>
        <w:lang w:eastAsia="zh-CN"/>
      </w:rPr>
      <w:t>示范文本（</w:t>
    </w:r>
    <w:r>
      <w:rPr>
        <w:rFonts w:hint="eastAsia" w:asciiTheme="minorEastAsia" w:hAnsiTheme="minorEastAsia" w:eastAsiaTheme="minorEastAsia"/>
      </w:rPr>
      <w:t>工程类</w:t>
    </w:r>
    <w:r>
      <w:rPr>
        <w:rFonts w:hint="eastAsia" w:ascii="宋体" w:hAnsi="宋体" w:eastAsia="宋体"/>
        <w:lang w:eastAsia="zh-CN"/>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6DE6C">
    <w:pPr>
      <w:pStyle w:val="35"/>
      <w:jc w:val="left"/>
    </w:pPr>
    <w:r>
      <w:rPr>
        <w:rFonts w:hint="eastAsia" w:asciiTheme="minorEastAsia" w:hAnsiTheme="minorEastAsia" w:eastAsiaTheme="minorEastAsia"/>
        <w:lang w:val="en-US" w:eastAsia="zh-CN"/>
      </w:rPr>
      <w:t>安徽省</w:t>
    </w:r>
    <w:r>
      <w:rPr>
        <w:rFonts w:hint="eastAsia" w:asciiTheme="minorEastAsia" w:hAnsiTheme="minorEastAsia" w:eastAsiaTheme="minorEastAsia"/>
      </w:rPr>
      <w:t>政府采购</w:t>
    </w:r>
    <w:r>
      <w:rPr>
        <w:rFonts w:hint="eastAsia" w:asciiTheme="minorEastAsia" w:hAnsiTheme="minorEastAsia" w:eastAsiaTheme="minorEastAsia"/>
        <w:lang w:eastAsia="zh-CN"/>
      </w:rPr>
      <w:t>项目</w:t>
    </w:r>
    <w:r>
      <w:rPr>
        <w:rFonts w:hint="eastAsia" w:asciiTheme="minorEastAsia" w:hAnsiTheme="minorEastAsia" w:eastAsiaTheme="minorEastAsia"/>
      </w:rPr>
      <w:t>竞争性磋商文件</w:t>
    </w:r>
    <w:r>
      <w:rPr>
        <w:rFonts w:hint="eastAsia" w:asciiTheme="minorEastAsia" w:hAnsiTheme="minorEastAsia" w:eastAsiaTheme="minorEastAsia"/>
        <w:lang w:eastAsia="zh-CN"/>
      </w:rPr>
      <w:t>示范文本（</w:t>
    </w:r>
    <w:r>
      <w:rPr>
        <w:rFonts w:hint="eastAsia" w:asciiTheme="minorEastAsia" w:hAnsiTheme="minorEastAsia" w:eastAsiaTheme="minorEastAsia"/>
      </w:rPr>
      <w:t>工程类</w:t>
    </w:r>
    <w:r>
      <w:rPr>
        <w:rFonts w:hint="eastAsia" w:asciiTheme="minorEastAsia" w:hAnsiTheme="minorEastAsia" w:eastAsiaTheme="minorEastAsia"/>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F563F"/>
    <w:multiLevelType w:val="singleLevel"/>
    <w:tmpl w:val="97BF563F"/>
    <w:lvl w:ilvl="0" w:tentative="0">
      <w:start w:val="1"/>
      <w:numFmt w:val="decimal"/>
      <w:suff w:val="nothing"/>
      <w:lvlText w:val="（%1）"/>
      <w:lvlJc w:val="left"/>
    </w:lvl>
  </w:abstractNum>
  <w:abstractNum w:abstractNumId="1">
    <w:nsid w:val="AC20A842"/>
    <w:multiLevelType w:val="singleLevel"/>
    <w:tmpl w:val="AC20A842"/>
    <w:lvl w:ilvl="0" w:tentative="0">
      <w:start w:val="1"/>
      <w:numFmt w:val="lowerLetter"/>
      <w:suff w:val="space"/>
      <w:lvlText w:val="%1."/>
      <w:lvlJc w:val="left"/>
    </w:lvl>
  </w:abstractNum>
  <w:abstractNum w:abstractNumId="2">
    <w:nsid w:val="AE0252B7"/>
    <w:multiLevelType w:val="singleLevel"/>
    <w:tmpl w:val="AE0252B7"/>
    <w:lvl w:ilvl="0" w:tentative="0">
      <w:start w:val="1"/>
      <w:numFmt w:val="decimal"/>
      <w:suff w:val="nothing"/>
      <w:lvlText w:val="（%1）"/>
      <w:lvlJc w:val="left"/>
    </w:lvl>
  </w:abstractNum>
  <w:abstractNum w:abstractNumId="3">
    <w:nsid w:val="C24A6640"/>
    <w:multiLevelType w:val="singleLevel"/>
    <w:tmpl w:val="C24A6640"/>
    <w:lvl w:ilvl="0" w:tentative="0">
      <w:start w:val="6"/>
      <w:numFmt w:val="decimal"/>
      <w:suff w:val="nothing"/>
      <w:lvlText w:val="（%1）"/>
      <w:lvlJc w:val="left"/>
    </w:lvl>
  </w:abstractNum>
  <w:abstractNum w:abstractNumId="4">
    <w:nsid w:val="CE5085AF"/>
    <w:multiLevelType w:val="singleLevel"/>
    <w:tmpl w:val="CE5085AF"/>
    <w:lvl w:ilvl="0" w:tentative="0">
      <w:start w:val="2"/>
      <w:numFmt w:val="decimal"/>
      <w:suff w:val="space"/>
      <w:lvlText w:val="%1."/>
      <w:lvlJc w:val="left"/>
    </w:lvl>
  </w:abstractNum>
  <w:abstractNum w:abstractNumId="5">
    <w:nsid w:val="D59201F4"/>
    <w:multiLevelType w:val="singleLevel"/>
    <w:tmpl w:val="D59201F4"/>
    <w:lvl w:ilvl="0" w:tentative="0">
      <w:start w:val="1"/>
      <w:numFmt w:val="decimal"/>
      <w:lvlText w:val="%1"/>
      <w:lvlJc w:val="left"/>
      <w:pPr>
        <w:tabs>
          <w:tab w:val="left" w:pos="420"/>
        </w:tabs>
        <w:ind w:left="425" w:hanging="425"/>
      </w:pPr>
      <w:rPr>
        <w:rFonts w:hint="default"/>
      </w:rPr>
    </w:lvl>
  </w:abstractNum>
  <w:abstractNum w:abstractNumId="6">
    <w:nsid w:val="00000003"/>
    <w:multiLevelType w:val="singleLevel"/>
    <w:tmpl w:val="00000003"/>
    <w:lvl w:ilvl="0" w:tentative="0">
      <w:start w:val="1"/>
      <w:numFmt w:val="decimal"/>
      <w:suff w:val="nothing"/>
      <w:lvlText w:val="（%1）"/>
      <w:lvlJc w:val="left"/>
    </w:lvl>
  </w:abstractNum>
  <w:abstractNum w:abstractNumId="7">
    <w:nsid w:val="4482DDAA"/>
    <w:multiLevelType w:val="singleLevel"/>
    <w:tmpl w:val="4482DDAA"/>
    <w:lvl w:ilvl="0" w:tentative="0">
      <w:start w:val="1"/>
      <w:numFmt w:val="decimal"/>
      <w:suff w:val="nothing"/>
      <w:lvlText w:val="（%1）"/>
      <w:lvlJc w:val="left"/>
    </w:lvl>
  </w:abstractNum>
  <w:abstractNum w:abstractNumId="8">
    <w:nsid w:val="7F7E5238"/>
    <w:multiLevelType w:val="multilevel"/>
    <w:tmpl w:val="7F7E5238"/>
    <w:lvl w:ilvl="0" w:tentative="0">
      <w:start w:val="1"/>
      <w:numFmt w:val="none"/>
      <w:pStyle w:val="170"/>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7"/>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2"/>
      <w:lvlText w:val="           "/>
      <w:lvlJc w:val="left"/>
      <w:pPr>
        <w:tabs>
          <w:tab w:val="left" w:pos="1440"/>
        </w:tabs>
        <w:ind w:left="1152" w:hanging="1152"/>
      </w:pPr>
      <w:rPr>
        <w:rFonts w:hint="eastAsia"/>
      </w:rPr>
    </w:lvl>
    <w:lvl w:ilvl="6" w:tentative="0">
      <w:start w:val="1"/>
      <w:numFmt w:val="decimal"/>
      <w:pStyle w:val="174"/>
      <w:lvlText w:val="%1.%2.%3.%4.%5.%6.%7"/>
      <w:lvlJc w:val="left"/>
      <w:pPr>
        <w:tabs>
          <w:tab w:val="left" w:pos="2520"/>
        </w:tabs>
        <w:ind w:left="1296" w:hanging="1296"/>
      </w:pPr>
      <w:rPr>
        <w:rFonts w:hint="eastAsia"/>
      </w:rPr>
    </w:lvl>
    <w:lvl w:ilvl="7" w:tentative="0">
      <w:start w:val="1"/>
      <w:numFmt w:val="decimal"/>
      <w:pStyle w:val="176"/>
      <w:lvlText w:val="%1.%2.%3.%4.%5.%6.%7.%8"/>
      <w:lvlJc w:val="left"/>
      <w:pPr>
        <w:tabs>
          <w:tab w:val="left" w:pos="1440"/>
        </w:tabs>
        <w:ind w:left="1440" w:hanging="1440"/>
      </w:pPr>
      <w:rPr>
        <w:rFonts w:hint="eastAsia"/>
      </w:rPr>
    </w:lvl>
    <w:lvl w:ilvl="8" w:tentative="0">
      <w:start w:val="1"/>
      <w:numFmt w:val="decimal"/>
      <w:pStyle w:val="178"/>
      <w:lvlText w:val="%1.%2.%3.%4.%5.%6.%7.%8.%9"/>
      <w:lvlJc w:val="left"/>
      <w:pPr>
        <w:tabs>
          <w:tab w:val="left" w:pos="1584"/>
        </w:tabs>
        <w:ind w:left="1584" w:hanging="1584"/>
      </w:pPr>
      <w:rPr>
        <w:rFonts w:hint="eastAsia"/>
      </w:rPr>
    </w:lvl>
  </w:abstractNum>
  <w:num w:numId="1">
    <w:abstractNumId w:val="8"/>
  </w:num>
  <w:num w:numId="2">
    <w:abstractNumId w:val="2"/>
  </w:num>
  <w:num w:numId="3">
    <w:abstractNumId w:val="3"/>
  </w:num>
  <w:num w:numId="4">
    <w:abstractNumId w:val="7"/>
  </w:num>
  <w:num w:numId="5">
    <w:abstractNumId w:val="6"/>
  </w:num>
  <w:num w:numId="6">
    <w:abstractNumId w:val="4"/>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jODJiNGEwMTYzZWNlZDZlMzgzYmMxMDlmZDdmZWIifQ=="/>
  </w:docVars>
  <w:rsids>
    <w:rsidRoot w:val="00276BA1"/>
    <w:rsid w:val="0000043F"/>
    <w:rsid w:val="000037F9"/>
    <w:rsid w:val="000049DA"/>
    <w:rsid w:val="000056B7"/>
    <w:rsid w:val="00005914"/>
    <w:rsid w:val="00007D87"/>
    <w:rsid w:val="000131F7"/>
    <w:rsid w:val="00014039"/>
    <w:rsid w:val="00016B6C"/>
    <w:rsid w:val="00020B57"/>
    <w:rsid w:val="00020B6D"/>
    <w:rsid w:val="00022976"/>
    <w:rsid w:val="000323E2"/>
    <w:rsid w:val="00040C25"/>
    <w:rsid w:val="00042139"/>
    <w:rsid w:val="00042498"/>
    <w:rsid w:val="00042B14"/>
    <w:rsid w:val="00044F49"/>
    <w:rsid w:val="000450C3"/>
    <w:rsid w:val="0005061B"/>
    <w:rsid w:val="00050A3F"/>
    <w:rsid w:val="00054AA3"/>
    <w:rsid w:val="00056ECB"/>
    <w:rsid w:val="00057B40"/>
    <w:rsid w:val="000623EA"/>
    <w:rsid w:val="000648D2"/>
    <w:rsid w:val="00066AD7"/>
    <w:rsid w:val="00070E0E"/>
    <w:rsid w:val="0007146E"/>
    <w:rsid w:val="00076DB7"/>
    <w:rsid w:val="00080FEB"/>
    <w:rsid w:val="000833F9"/>
    <w:rsid w:val="00084047"/>
    <w:rsid w:val="00094D41"/>
    <w:rsid w:val="00097CB9"/>
    <w:rsid w:val="000A0161"/>
    <w:rsid w:val="000A10A9"/>
    <w:rsid w:val="000A2DA0"/>
    <w:rsid w:val="000A6693"/>
    <w:rsid w:val="000A7403"/>
    <w:rsid w:val="000A7970"/>
    <w:rsid w:val="000A7D94"/>
    <w:rsid w:val="000B1511"/>
    <w:rsid w:val="000B6249"/>
    <w:rsid w:val="000B6562"/>
    <w:rsid w:val="000C1DB1"/>
    <w:rsid w:val="000C6302"/>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3DC0"/>
    <w:rsid w:val="00155F64"/>
    <w:rsid w:val="001571EE"/>
    <w:rsid w:val="00157856"/>
    <w:rsid w:val="00157B7B"/>
    <w:rsid w:val="00160729"/>
    <w:rsid w:val="00162F2F"/>
    <w:rsid w:val="0016455F"/>
    <w:rsid w:val="00165398"/>
    <w:rsid w:val="00166794"/>
    <w:rsid w:val="00166ED8"/>
    <w:rsid w:val="001714C9"/>
    <w:rsid w:val="00171515"/>
    <w:rsid w:val="00172B93"/>
    <w:rsid w:val="001776E1"/>
    <w:rsid w:val="0018119B"/>
    <w:rsid w:val="001844AB"/>
    <w:rsid w:val="001853C7"/>
    <w:rsid w:val="001903BA"/>
    <w:rsid w:val="00192879"/>
    <w:rsid w:val="001944B8"/>
    <w:rsid w:val="00196DA3"/>
    <w:rsid w:val="001971E5"/>
    <w:rsid w:val="001974FD"/>
    <w:rsid w:val="001A0C0F"/>
    <w:rsid w:val="001A68E5"/>
    <w:rsid w:val="001B25BE"/>
    <w:rsid w:val="001B2A54"/>
    <w:rsid w:val="001B2BA4"/>
    <w:rsid w:val="001B5014"/>
    <w:rsid w:val="001B7327"/>
    <w:rsid w:val="001C1E34"/>
    <w:rsid w:val="001D22EA"/>
    <w:rsid w:val="001D487F"/>
    <w:rsid w:val="001D503E"/>
    <w:rsid w:val="001D53B4"/>
    <w:rsid w:val="001E1835"/>
    <w:rsid w:val="001E3498"/>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32CF"/>
    <w:rsid w:val="002835E3"/>
    <w:rsid w:val="00284542"/>
    <w:rsid w:val="002A0EE7"/>
    <w:rsid w:val="002A14D1"/>
    <w:rsid w:val="002A1A1D"/>
    <w:rsid w:val="002A28AD"/>
    <w:rsid w:val="002B04FD"/>
    <w:rsid w:val="002B5318"/>
    <w:rsid w:val="002B6D27"/>
    <w:rsid w:val="002B7A09"/>
    <w:rsid w:val="002C00C4"/>
    <w:rsid w:val="002C060C"/>
    <w:rsid w:val="002C078A"/>
    <w:rsid w:val="002D05DD"/>
    <w:rsid w:val="002D0E4D"/>
    <w:rsid w:val="002D2965"/>
    <w:rsid w:val="002D3D02"/>
    <w:rsid w:val="002D4CB5"/>
    <w:rsid w:val="002D5900"/>
    <w:rsid w:val="002D684B"/>
    <w:rsid w:val="002E003E"/>
    <w:rsid w:val="002E05AB"/>
    <w:rsid w:val="002E2142"/>
    <w:rsid w:val="002E2D3A"/>
    <w:rsid w:val="002E3B26"/>
    <w:rsid w:val="002E4406"/>
    <w:rsid w:val="002E4AB8"/>
    <w:rsid w:val="002E7FC4"/>
    <w:rsid w:val="0030667B"/>
    <w:rsid w:val="00310070"/>
    <w:rsid w:val="0031081B"/>
    <w:rsid w:val="003110EC"/>
    <w:rsid w:val="00314289"/>
    <w:rsid w:val="003206A6"/>
    <w:rsid w:val="0032560D"/>
    <w:rsid w:val="00327C92"/>
    <w:rsid w:val="00333292"/>
    <w:rsid w:val="003344E7"/>
    <w:rsid w:val="0033580B"/>
    <w:rsid w:val="003365E7"/>
    <w:rsid w:val="003378D5"/>
    <w:rsid w:val="003473D7"/>
    <w:rsid w:val="00351AC8"/>
    <w:rsid w:val="00353075"/>
    <w:rsid w:val="00363E02"/>
    <w:rsid w:val="00363F8C"/>
    <w:rsid w:val="00370201"/>
    <w:rsid w:val="00373A37"/>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6E7"/>
    <w:rsid w:val="00491FF7"/>
    <w:rsid w:val="00492217"/>
    <w:rsid w:val="00494D24"/>
    <w:rsid w:val="004951D1"/>
    <w:rsid w:val="004960BB"/>
    <w:rsid w:val="004A1BA3"/>
    <w:rsid w:val="004A27D0"/>
    <w:rsid w:val="004A4D67"/>
    <w:rsid w:val="004B7E79"/>
    <w:rsid w:val="004C13CB"/>
    <w:rsid w:val="004C5B90"/>
    <w:rsid w:val="004D3D4B"/>
    <w:rsid w:val="004D4557"/>
    <w:rsid w:val="004D5498"/>
    <w:rsid w:val="004D66A5"/>
    <w:rsid w:val="004D6B00"/>
    <w:rsid w:val="004E1D50"/>
    <w:rsid w:val="004E3266"/>
    <w:rsid w:val="004E38BA"/>
    <w:rsid w:val="004E3EB6"/>
    <w:rsid w:val="004E50CA"/>
    <w:rsid w:val="004F27A0"/>
    <w:rsid w:val="0050027D"/>
    <w:rsid w:val="00501382"/>
    <w:rsid w:val="005048FB"/>
    <w:rsid w:val="00510798"/>
    <w:rsid w:val="005119B5"/>
    <w:rsid w:val="005125F1"/>
    <w:rsid w:val="005150CC"/>
    <w:rsid w:val="0052451A"/>
    <w:rsid w:val="00524A11"/>
    <w:rsid w:val="00527768"/>
    <w:rsid w:val="00530EA4"/>
    <w:rsid w:val="005327FB"/>
    <w:rsid w:val="00533251"/>
    <w:rsid w:val="00533FCA"/>
    <w:rsid w:val="005346EF"/>
    <w:rsid w:val="005369F1"/>
    <w:rsid w:val="005470D4"/>
    <w:rsid w:val="00547BAB"/>
    <w:rsid w:val="0055705E"/>
    <w:rsid w:val="005616B5"/>
    <w:rsid w:val="00566690"/>
    <w:rsid w:val="005679A4"/>
    <w:rsid w:val="00574CE6"/>
    <w:rsid w:val="0059223D"/>
    <w:rsid w:val="0059365B"/>
    <w:rsid w:val="00593ABC"/>
    <w:rsid w:val="00597B15"/>
    <w:rsid w:val="005A044C"/>
    <w:rsid w:val="005A149F"/>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08E4"/>
    <w:rsid w:val="00623DE2"/>
    <w:rsid w:val="00627601"/>
    <w:rsid w:val="006300D0"/>
    <w:rsid w:val="00632012"/>
    <w:rsid w:val="00634694"/>
    <w:rsid w:val="00634D55"/>
    <w:rsid w:val="00636517"/>
    <w:rsid w:val="00636EE7"/>
    <w:rsid w:val="00637690"/>
    <w:rsid w:val="00640E1E"/>
    <w:rsid w:val="00641BA3"/>
    <w:rsid w:val="0064389A"/>
    <w:rsid w:val="00645442"/>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90C2D"/>
    <w:rsid w:val="00690DB1"/>
    <w:rsid w:val="00693404"/>
    <w:rsid w:val="00693E5C"/>
    <w:rsid w:val="006953D9"/>
    <w:rsid w:val="006A1269"/>
    <w:rsid w:val="006A36E7"/>
    <w:rsid w:val="006A5803"/>
    <w:rsid w:val="006A65F3"/>
    <w:rsid w:val="006A69C3"/>
    <w:rsid w:val="006A7C15"/>
    <w:rsid w:val="006B1242"/>
    <w:rsid w:val="006B1DBC"/>
    <w:rsid w:val="006B1F84"/>
    <w:rsid w:val="006B3712"/>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5059"/>
    <w:rsid w:val="006F4C5B"/>
    <w:rsid w:val="006F5F03"/>
    <w:rsid w:val="006F5FFF"/>
    <w:rsid w:val="006F7F4C"/>
    <w:rsid w:val="00701431"/>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469DD"/>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4000"/>
    <w:rsid w:val="00805254"/>
    <w:rsid w:val="008101A2"/>
    <w:rsid w:val="00817A01"/>
    <w:rsid w:val="00820937"/>
    <w:rsid w:val="00823DDD"/>
    <w:rsid w:val="00825E35"/>
    <w:rsid w:val="00830A4E"/>
    <w:rsid w:val="008334F8"/>
    <w:rsid w:val="00834249"/>
    <w:rsid w:val="00835FFD"/>
    <w:rsid w:val="0084381F"/>
    <w:rsid w:val="00843E35"/>
    <w:rsid w:val="00845F72"/>
    <w:rsid w:val="00846020"/>
    <w:rsid w:val="0084791E"/>
    <w:rsid w:val="00850A91"/>
    <w:rsid w:val="008524CE"/>
    <w:rsid w:val="00856D9D"/>
    <w:rsid w:val="00857633"/>
    <w:rsid w:val="0086440C"/>
    <w:rsid w:val="008674ED"/>
    <w:rsid w:val="00874EE6"/>
    <w:rsid w:val="00876659"/>
    <w:rsid w:val="0087734C"/>
    <w:rsid w:val="00882141"/>
    <w:rsid w:val="00886BD4"/>
    <w:rsid w:val="00886CA2"/>
    <w:rsid w:val="008876EC"/>
    <w:rsid w:val="008922A8"/>
    <w:rsid w:val="00895BD5"/>
    <w:rsid w:val="008A16C4"/>
    <w:rsid w:val="008A4A27"/>
    <w:rsid w:val="008A649F"/>
    <w:rsid w:val="008A6FED"/>
    <w:rsid w:val="008B0945"/>
    <w:rsid w:val="008B39C5"/>
    <w:rsid w:val="008B51AA"/>
    <w:rsid w:val="008C67F2"/>
    <w:rsid w:val="008C7E63"/>
    <w:rsid w:val="008D064A"/>
    <w:rsid w:val="008D2537"/>
    <w:rsid w:val="008D2B0F"/>
    <w:rsid w:val="008D5EE5"/>
    <w:rsid w:val="008D633C"/>
    <w:rsid w:val="008D76DA"/>
    <w:rsid w:val="008D7DB2"/>
    <w:rsid w:val="008E449E"/>
    <w:rsid w:val="008E4BDD"/>
    <w:rsid w:val="008E5387"/>
    <w:rsid w:val="008E770C"/>
    <w:rsid w:val="008F00F4"/>
    <w:rsid w:val="008F187F"/>
    <w:rsid w:val="008F402F"/>
    <w:rsid w:val="008F76E8"/>
    <w:rsid w:val="00904508"/>
    <w:rsid w:val="009078A1"/>
    <w:rsid w:val="00911E9C"/>
    <w:rsid w:val="00917405"/>
    <w:rsid w:val="00920F7C"/>
    <w:rsid w:val="00922718"/>
    <w:rsid w:val="00924743"/>
    <w:rsid w:val="00932A87"/>
    <w:rsid w:val="00934CAE"/>
    <w:rsid w:val="0093560E"/>
    <w:rsid w:val="0094257D"/>
    <w:rsid w:val="009443B6"/>
    <w:rsid w:val="00946F68"/>
    <w:rsid w:val="0095467C"/>
    <w:rsid w:val="00954A61"/>
    <w:rsid w:val="00955C6F"/>
    <w:rsid w:val="00966C7B"/>
    <w:rsid w:val="009679A2"/>
    <w:rsid w:val="009701DC"/>
    <w:rsid w:val="009715D8"/>
    <w:rsid w:val="009811A8"/>
    <w:rsid w:val="00985C4F"/>
    <w:rsid w:val="00986E3C"/>
    <w:rsid w:val="00991460"/>
    <w:rsid w:val="009932CF"/>
    <w:rsid w:val="009941BF"/>
    <w:rsid w:val="00995BF9"/>
    <w:rsid w:val="009975CC"/>
    <w:rsid w:val="009A0CAF"/>
    <w:rsid w:val="009A2207"/>
    <w:rsid w:val="009B0EDA"/>
    <w:rsid w:val="009B6C42"/>
    <w:rsid w:val="009C3F38"/>
    <w:rsid w:val="009D2998"/>
    <w:rsid w:val="009D31F7"/>
    <w:rsid w:val="009D32C2"/>
    <w:rsid w:val="009D50DB"/>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0B4"/>
    <w:rsid w:val="00A63E86"/>
    <w:rsid w:val="00A75185"/>
    <w:rsid w:val="00A754A0"/>
    <w:rsid w:val="00A757C3"/>
    <w:rsid w:val="00A75E5B"/>
    <w:rsid w:val="00A75F4B"/>
    <w:rsid w:val="00A7684A"/>
    <w:rsid w:val="00A80C58"/>
    <w:rsid w:val="00A83B69"/>
    <w:rsid w:val="00A86533"/>
    <w:rsid w:val="00A91CA2"/>
    <w:rsid w:val="00A9220A"/>
    <w:rsid w:val="00A92FB8"/>
    <w:rsid w:val="00A948F1"/>
    <w:rsid w:val="00AA0BE3"/>
    <w:rsid w:val="00AA18F9"/>
    <w:rsid w:val="00AA1D7D"/>
    <w:rsid w:val="00AA2790"/>
    <w:rsid w:val="00AA3806"/>
    <w:rsid w:val="00AB01AC"/>
    <w:rsid w:val="00AB139D"/>
    <w:rsid w:val="00AB2A35"/>
    <w:rsid w:val="00AB2D05"/>
    <w:rsid w:val="00AB348D"/>
    <w:rsid w:val="00AB3EFB"/>
    <w:rsid w:val="00AC0B05"/>
    <w:rsid w:val="00AC1962"/>
    <w:rsid w:val="00AC7F9D"/>
    <w:rsid w:val="00AD079A"/>
    <w:rsid w:val="00AD1890"/>
    <w:rsid w:val="00AD6588"/>
    <w:rsid w:val="00AD7CCB"/>
    <w:rsid w:val="00AE2149"/>
    <w:rsid w:val="00AE2BF3"/>
    <w:rsid w:val="00AE33AE"/>
    <w:rsid w:val="00AE3F91"/>
    <w:rsid w:val="00AF5B63"/>
    <w:rsid w:val="00B0053D"/>
    <w:rsid w:val="00B00FF1"/>
    <w:rsid w:val="00B039E3"/>
    <w:rsid w:val="00B06D36"/>
    <w:rsid w:val="00B12BC4"/>
    <w:rsid w:val="00B22838"/>
    <w:rsid w:val="00B33E8F"/>
    <w:rsid w:val="00B33E95"/>
    <w:rsid w:val="00B3720B"/>
    <w:rsid w:val="00B372DF"/>
    <w:rsid w:val="00B420C8"/>
    <w:rsid w:val="00B45D0B"/>
    <w:rsid w:val="00B5558A"/>
    <w:rsid w:val="00B56513"/>
    <w:rsid w:val="00B5736B"/>
    <w:rsid w:val="00B576F1"/>
    <w:rsid w:val="00B6167E"/>
    <w:rsid w:val="00B61B64"/>
    <w:rsid w:val="00B64376"/>
    <w:rsid w:val="00B6570C"/>
    <w:rsid w:val="00B7401F"/>
    <w:rsid w:val="00B748E5"/>
    <w:rsid w:val="00B769CF"/>
    <w:rsid w:val="00B806C3"/>
    <w:rsid w:val="00B80D6F"/>
    <w:rsid w:val="00B84FCA"/>
    <w:rsid w:val="00B9089F"/>
    <w:rsid w:val="00B91826"/>
    <w:rsid w:val="00B91AEE"/>
    <w:rsid w:val="00B93568"/>
    <w:rsid w:val="00B95F5A"/>
    <w:rsid w:val="00B96EAD"/>
    <w:rsid w:val="00BA4B7C"/>
    <w:rsid w:val="00BA79F5"/>
    <w:rsid w:val="00BA7EA7"/>
    <w:rsid w:val="00BB3AB6"/>
    <w:rsid w:val="00BB766D"/>
    <w:rsid w:val="00BC007B"/>
    <w:rsid w:val="00BC26BA"/>
    <w:rsid w:val="00BC35F8"/>
    <w:rsid w:val="00BC403F"/>
    <w:rsid w:val="00BC481B"/>
    <w:rsid w:val="00BC6EB9"/>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2248"/>
    <w:rsid w:val="00C46A36"/>
    <w:rsid w:val="00C47037"/>
    <w:rsid w:val="00C509E3"/>
    <w:rsid w:val="00C53625"/>
    <w:rsid w:val="00C548BA"/>
    <w:rsid w:val="00C5679D"/>
    <w:rsid w:val="00C57784"/>
    <w:rsid w:val="00C602C1"/>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A4C7F"/>
    <w:rsid w:val="00CA5446"/>
    <w:rsid w:val="00CB14E5"/>
    <w:rsid w:val="00CB15F8"/>
    <w:rsid w:val="00CB218D"/>
    <w:rsid w:val="00CB377B"/>
    <w:rsid w:val="00CB5625"/>
    <w:rsid w:val="00CB5797"/>
    <w:rsid w:val="00CC1400"/>
    <w:rsid w:val="00CC1C17"/>
    <w:rsid w:val="00CC4CD2"/>
    <w:rsid w:val="00CC4F7F"/>
    <w:rsid w:val="00CD09E1"/>
    <w:rsid w:val="00CD1BB5"/>
    <w:rsid w:val="00CE1780"/>
    <w:rsid w:val="00CE4913"/>
    <w:rsid w:val="00CE66BD"/>
    <w:rsid w:val="00CF0671"/>
    <w:rsid w:val="00CF247A"/>
    <w:rsid w:val="00CF44AD"/>
    <w:rsid w:val="00CF4D7C"/>
    <w:rsid w:val="00CF4FC0"/>
    <w:rsid w:val="00CF7486"/>
    <w:rsid w:val="00D1072F"/>
    <w:rsid w:val="00D108A5"/>
    <w:rsid w:val="00D14585"/>
    <w:rsid w:val="00D153C8"/>
    <w:rsid w:val="00D169F2"/>
    <w:rsid w:val="00D20EFF"/>
    <w:rsid w:val="00D236BB"/>
    <w:rsid w:val="00D3019D"/>
    <w:rsid w:val="00D31324"/>
    <w:rsid w:val="00D4386E"/>
    <w:rsid w:val="00D51432"/>
    <w:rsid w:val="00D53ED8"/>
    <w:rsid w:val="00D541A0"/>
    <w:rsid w:val="00D5697F"/>
    <w:rsid w:val="00D64857"/>
    <w:rsid w:val="00D6493A"/>
    <w:rsid w:val="00D649A5"/>
    <w:rsid w:val="00D660EA"/>
    <w:rsid w:val="00D66833"/>
    <w:rsid w:val="00D67875"/>
    <w:rsid w:val="00D71E86"/>
    <w:rsid w:val="00D72F0F"/>
    <w:rsid w:val="00D731C6"/>
    <w:rsid w:val="00D745C5"/>
    <w:rsid w:val="00D75327"/>
    <w:rsid w:val="00D77D6B"/>
    <w:rsid w:val="00D801FE"/>
    <w:rsid w:val="00D80C36"/>
    <w:rsid w:val="00D81A32"/>
    <w:rsid w:val="00D86EE1"/>
    <w:rsid w:val="00D945DC"/>
    <w:rsid w:val="00D95E90"/>
    <w:rsid w:val="00D96126"/>
    <w:rsid w:val="00DA090D"/>
    <w:rsid w:val="00DA0FCD"/>
    <w:rsid w:val="00DA2FD5"/>
    <w:rsid w:val="00DB0C86"/>
    <w:rsid w:val="00DB4B1C"/>
    <w:rsid w:val="00DB5085"/>
    <w:rsid w:val="00DB619F"/>
    <w:rsid w:val="00DB7211"/>
    <w:rsid w:val="00DC1062"/>
    <w:rsid w:val="00DC132C"/>
    <w:rsid w:val="00DC181A"/>
    <w:rsid w:val="00DC5727"/>
    <w:rsid w:val="00DD13B9"/>
    <w:rsid w:val="00DD149F"/>
    <w:rsid w:val="00DD43F0"/>
    <w:rsid w:val="00DD44DE"/>
    <w:rsid w:val="00DE09AB"/>
    <w:rsid w:val="00DE352F"/>
    <w:rsid w:val="00DE4A3F"/>
    <w:rsid w:val="00DE5A99"/>
    <w:rsid w:val="00DF2880"/>
    <w:rsid w:val="00DF4367"/>
    <w:rsid w:val="00DF7291"/>
    <w:rsid w:val="00E03FF0"/>
    <w:rsid w:val="00E055BF"/>
    <w:rsid w:val="00E0574A"/>
    <w:rsid w:val="00E1243D"/>
    <w:rsid w:val="00E12742"/>
    <w:rsid w:val="00E146D4"/>
    <w:rsid w:val="00E14815"/>
    <w:rsid w:val="00E21D37"/>
    <w:rsid w:val="00E220ED"/>
    <w:rsid w:val="00E22B44"/>
    <w:rsid w:val="00E233AD"/>
    <w:rsid w:val="00E26EB1"/>
    <w:rsid w:val="00E30ACD"/>
    <w:rsid w:val="00E32735"/>
    <w:rsid w:val="00E34236"/>
    <w:rsid w:val="00E44B88"/>
    <w:rsid w:val="00E50BFA"/>
    <w:rsid w:val="00E66E36"/>
    <w:rsid w:val="00E702ED"/>
    <w:rsid w:val="00E709A4"/>
    <w:rsid w:val="00E71D4A"/>
    <w:rsid w:val="00E75917"/>
    <w:rsid w:val="00E772DB"/>
    <w:rsid w:val="00E86012"/>
    <w:rsid w:val="00E860CA"/>
    <w:rsid w:val="00E86BAB"/>
    <w:rsid w:val="00E92962"/>
    <w:rsid w:val="00E94E10"/>
    <w:rsid w:val="00E96743"/>
    <w:rsid w:val="00E96A42"/>
    <w:rsid w:val="00E97497"/>
    <w:rsid w:val="00EA046F"/>
    <w:rsid w:val="00EA49C5"/>
    <w:rsid w:val="00EA6279"/>
    <w:rsid w:val="00EB402C"/>
    <w:rsid w:val="00EB5027"/>
    <w:rsid w:val="00EC1836"/>
    <w:rsid w:val="00EC3990"/>
    <w:rsid w:val="00EC484B"/>
    <w:rsid w:val="00EC7E58"/>
    <w:rsid w:val="00ED15FA"/>
    <w:rsid w:val="00ED5C9F"/>
    <w:rsid w:val="00EE050C"/>
    <w:rsid w:val="00EE2113"/>
    <w:rsid w:val="00EE5730"/>
    <w:rsid w:val="00EE6E9A"/>
    <w:rsid w:val="00EF2AC4"/>
    <w:rsid w:val="00EF397E"/>
    <w:rsid w:val="00EF762E"/>
    <w:rsid w:val="00F0340C"/>
    <w:rsid w:val="00F04CED"/>
    <w:rsid w:val="00F06F68"/>
    <w:rsid w:val="00F11241"/>
    <w:rsid w:val="00F11D35"/>
    <w:rsid w:val="00F15E9D"/>
    <w:rsid w:val="00F23FA7"/>
    <w:rsid w:val="00F24C2D"/>
    <w:rsid w:val="00F2717E"/>
    <w:rsid w:val="00F272C4"/>
    <w:rsid w:val="00F27D59"/>
    <w:rsid w:val="00F316E1"/>
    <w:rsid w:val="00F32155"/>
    <w:rsid w:val="00F32A81"/>
    <w:rsid w:val="00F40C82"/>
    <w:rsid w:val="00F4197F"/>
    <w:rsid w:val="00F438EE"/>
    <w:rsid w:val="00F44F2A"/>
    <w:rsid w:val="00F45367"/>
    <w:rsid w:val="00F46998"/>
    <w:rsid w:val="00F5093F"/>
    <w:rsid w:val="00F5382D"/>
    <w:rsid w:val="00F53D9C"/>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B30"/>
    <w:rsid w:val="00F933B9"/>
    <w:rsid w:val="00F94674"/>
    <w:rsid w:val="00F94919"/>
    <w:rsid w:val="00F94A59"/>
    <w:rsid w:val="00FA25B6"/>
    <w:rsid w:val="00FA2FAF"/>
    <w:rsid w:val="00FA54F6"/>
    <w:rsid w:val="00FA64B1"/>
    <w:rsid w:val="00FA70F3"/>
    <w:rsid w:val="00FA71CD"/>
    <w:rsid w:val="00FA7C66"/>
    <w:rsid w:val="00FB0453"/>
    <w:rsid w:val="00FB0C07"/>
    <w:rsid w:val="00FB298D"/>
    <w:rsid w:val="00FB3171"/>
    <w:rsid w:val="00FB38B5"/>
    <w:rsid w:val="00FB444E"/>
    <w:rsid w:val="00FB5DC9"/>
    <w:rsid w:val="00FC1439"/>
    <w:rsid w:val="00FC3F65"/>
    <w:rsid w:val="00FC5007"/>
    <w:rsid w:val="00FC724B"/>
    <w:rsid w:val="00FC7910"/>
    <w:rsid w:val="00FD01E0"/>
    <w:rsid w:val="00FD50FC"/>
    <w:rsid w:val="00FE1627"/>
    <w:rsid w:val="00FE2D4E"/>
    <w:rsid w:val="00FF092F"/>
    <w:rsid w:val="00FF0DA7"/>
    <w:rsid w:val="00FF2DF6"/>
    <w:rsid w:val="00FF44E0"/>
    <w:rsid w:val="00FF6C72"/>
    <w:rsid w:val="01216A43"/>
    <w:rsid w:val="02DA018C"/>
    <w:rsid w:val="051777D5"/>
    <w:rsid w:val="060D5ED0"/>
    <w:rsid w:val="063B2DDF"/>
    <w:rsid w:val="06EE74DB"/>
    <w:rsid w:val="072015CC"/>
    <w:rsid w:val="07313DD6"/>
    <w:rsid w:val="0731588A"/>
    <w:rsid w:val="08617CF0"/>
    <w:rsid w:val="08675A2B"/>
    <w:rsid w:val="093E5132"/>
    <w:rsid w:val="09527068"/>
    <w:rsid w:val="099C3247"/>
    <w:rsid w:val="0B34273F"/>
    <w:rsid w:val="0B5759D8"/>
    <w:rsid w:val="0B584B6B"/>
    <w:rsid w:val="0B9A6428"/>
    <w:rsid w:val="0BB923B2"/>
    <w:rsid w:val="0BC76A6E"/>
    <w:rsid w:val="0BD069A1"/>
    <w:rsid w:val="0C0B76AE"/>
    <w:rsid w:val="0C695EBF"/>
    <w:rsid w:val="0C764D16"/>
    <w:rsid w:val="0D3E7892"/>
    <w:rsid w:val="0DB72352"/>
    <w:rsid w:val="0DFC12FE"/>
    <w:rsid w:val="0DFF1A91"/>
    <w:rsid w:val="0E30091C"/>
    <w:rsid w:val="0EB116DF"/>
    <w:rsid w:val="0EB9796D"/>
    <w:rsid w:val="0ED93BBF"/>
    <w:rsid w:val="0FC76BB7"/>
    <w:rsid w:val="10C6156E"/>
    <w:rsid w:val="10F935A7"/>
    <w:rsid w:val="11C706F1"/>
    <w:rsid w:val="123B7EDB"/>
    <w:rsid w:val="12E83133"/>
    <w:rsid w:val="13607801"/>
    <w:rsid w:val="1375778E"/>
    <w:rsid w:val="14BC5944"/>
    <w:rsid w:val="14E43199"/>
    <w:rsid w:val="16F15C51"/>
    <w:rsid w:val="17146EEB"/>
    <w:rsid w:val="18A85F98"/>
    <w:rsid w:val="1B9F3C67"/>
    <w:rsid w:val="1CFC5477"/>
    <w:rsid w:val="1D015171"/>
    <w:rsid w:val="1D191BE5"/>
    <w:rsid w:val="1D3B78BE"/>
    <w:rsid w:val="1DEC70E9"/>
    <w:rsid w:val="1E0B00F8"/>
    <w:rsid w:val="1E112FC8"/>
    <w:rsid w:val="1F2E6A6D"/>
    <w:rsid w:val="1F3852B4"/>
    <w:rsid w:val="21326E5F"/>
    <w:rsid w:val="21A12912"/>
    <w:rsid w:val="237C1D35"/>
    <w:rsid w:val="241D3932"/>
    <w:rsid w:val="247E2DFD"/>
    <w:rsid w:val="251A2ECB"/>
    <w:rsid w:val="25447F05"/>
    <w:rsid w:val="265B0373"/>
    <w:rsid w:val="272F15AE"/>
    <w:rsid w:val="274D5052"/>
    <w:rsid w:val="27E85AF1"/>
    <w:rsid w:val="288E11CC"/>
    <w:rsid w:val="28A96E2F"/>
    <w:rsid w:val="2A1534D2"/>
    <w:rsid w:val="2B5044AE"/>
    <w:rsid w:val="2B89414F"/>
    <w:rsid w:val="2CBE6BA3"/>
    <w:rsid w:val="2D1633EB"/>
    <w:rsid w:val="2D611D48"/>
    <w:rsid w:val="2E351AB9"/>
    <w:rsid w:val="2E930B5B"/>
    <w:rsid w:val="2E992065"/>
    <w:rsid w:val="2EB60132"/>
    <w:rsid w:val="2F850E2A"/>
    <w:rsid w:val="2F8779B7"/>
    <w:rsid w:val="30B408BB"/>
    <w:rsid w:val="320A202D"/>
    <w:rsid w:val="3215051D"/>
    <w:rsid w:val="34152599"/>
    <w:rsid w:val="3544508A"/>
    <w:rsid w:val="35557074"/>
    <w:rsid w:val="36843935"/>
    <w:rsid w:val="36AD04C3"/>
    <w:rsid w:val="36D668E1"/>
    <w:rsid w:val="36E71BB0"/>
    <w:rsid w:val="385414FE"/>
    <w:rsid w:val="38CD4FE1"/>
    <w:rsid w:val="3B5006E0"/>
    <w:rsid w:val="3C2546B9"/>
    <w:rsid w:val="3C9227B9"/>
    <w:rsid w:val="3E104487"/>
    <w:rsid w:val="3F5A582D"/>
    <w:rsid w:val="3F7365DA"/>
    <w:rsid w:val="404E5DB8"/>
    <w:rsid w:val="40520D3F"/>
    <w:rsid w:val="408D59ED"/>
    <w:rsid w:val="40B54BA9"/>
    <w:rsid w:val="43406525"/>
    <w:rsid w:val="445966BA"/>
    <w:rsid w:val="44CC5046"/>
    <w:rsid w:val="44F243AD"/>
    <w:rsid w:val="45B649C6"/>
    <w:rsid w:val="46AD0CBF"/>
    <w:rsid w:val="46D629D1"/>
    <w:rsid w:val="47C27D6C"/>
    <w:rsid w:val="4838270D"/>
    <w:rsid w:val="484D51F9"/>
    <w:rsid w:val="48C66DE1"/>
    <w:rsid w:val="48EC3373"/>
    <w:rsid w:val="48F007C1"/>
    <w:rsid w:val="493B64BB"/>
    <w:rsid w:val="495E0E6D"/>
    <w:rsid w:val="49CD7090"/>
    <w:rsid w:val="49D55251"/>
    <w:rsid w:val="4BE87A98"/>
    <w:rsid w:val="4C1743E7"/>
    <w:rsid w:val="4C2E43AC"/>
    <w:rsid w:val="4CAC76D1"/>
    <w:rsid w:val="4E616C92"/>
    <w:rsid w:val="4E6E3563"/>
    <w:rsid w:val="4E6F2E5D"/>
    <w:rsid w:val="4F133DD7"/>
    <w:rsid w:val="4F9B25B3"/>
    <w:rsid w:val="4F9B444D"/>
    <w:rsid w:val="508A5A0C"/>
    <w:rsid w:val="50B13DEA"/>
    <w:rsid w:val="5407371F"/>
    <w:rsid w:val="54BD3C0C"/>
    <w:rsid w:val="55076EDB"/>
    <w:rsid w:val="557F62EE"/>
    <w:rsid w:val="564865B1"/>
    <w:rsid w:val="565019E7"/>
    <w:rsid w:val="56861129"/>
    <w:rsid w:val="569861B6"/>
    <w:rsid w:val="56B6493F"/>
    <w:rsid w:val="56D26221"/>
    <w:rsid w:val="574F3C15"/>
    <w:rsid w:val="5809250B"/>
    <w:rsid w:val="58946959"/>
    <w:rsid w:val="589B3151"/>
    <w:rsid w:val="589E1721"/>
    <w:rsid w:val="59C04B5B"/>
    <w:rsid w:val="5A5113C2"/>
    <w:rsid w:val="5A8D3447"/>
    <w:rsid w:val="5C8F7148"/>
    <w:rsid w:val="5CBD7D9D"/>
    <w:rsid w:val="5CF85F48"/>
    <w:rsid w:val="5D5B355A"/>
    <w:rsid w:val="5D8C4430"/>
    <w:rsid w:val="5F3C0F4F"/>
    <w:rsid w:val="5F6103C2"/>
    <w:rsid w:val="5FCD130C"/>
    <w:rsid w:val="5FD07FE9"/>
    <w:rsid w:val="60613CC2"/>
    <w:rsid w:val="61737CE0"/>
    <w:rsid w:val="617A62BB"/>
    <w:rsid w:val="61D4472A"/>
    <w:rsid w:val="62450E0A"/>
    <w:rsid w:val="624D53FA"/>
    <w:rsid w:val="6270505E"/>
    <w:rsid w:val="62A2790D"/>
    <w:rsid w:val="62D33B51"/>
    <w:rsid w:val="62E93766"/>
    <w:rsid w:val="62EB49FC"/>
    <w:rsid w:val="632B05B6"/>
    <w:rsid w:val="63D905AD"/>
    <w:rsid w:val="645F3309"/>
    <w:rsid w:val="647A03AB"/>
    <w:rsid w:val="652674EA"/>
    <w:rsid w:val="65B46500"/>
    <w:rsid w:val="65EB1B85"/>
    <w:rsid w:val="664802AC"/>
    <w:rsid w:val="66D41C46"/>
    <w:rsid w:val="66E2747D"/>
    <w:rsid w:val="66F7550A"/>
    <w:rsid w:val="66FC02A6"/>
    <w:rsid w:val="673047EC"/>
    <w:rsid w:val="6833421D"/>
    <w:rsid w:val="683B31A6"/>
    <w:rsid w:val="6A0E2E73"/>
    <w:rsid w:val="6A4B69A3"/>
    <w:rsid w:val="6A9874AE"/>
    <w:rsid w:val="6AAD1A41"/>
    <w:rsid w:val="6B9C347D"/>
    <w:rsid w:val="6BAC18E9"/>
    <w:rsid w:val="6CB33A48"/>
    <w:rsid w:val="6CD64D31"/>
    <w:rsid w:val="6D2A1DC8"/>
    <w:rsid w:val="6D2F1B21"/>
    <w:rsid w:val="6E5F172B"/>
    <w:rsid w:val="6E6B3E54"/>
    <w:rsid w:val="6F5D0B2F"/>
    <w:rsid w:val="6F6117F5"/>
    <w:rsid w:val="6F84274A"/>
    <w:rsid w:val="6FBE314B"/>
    <w:rsid w:val="6FDC216E"/>
    <w:rsid w:val="70217AAF"/>
    <w:rsid w:val="70A0444C"/>
    <w:rsid w:val="71E7396A"/>
    <w:rsid w:val="74FC2405"/>
    <w:rsid w:val="758F5F4C"/>
    <w:rsid w:val="78373BAC"/>
    <w:rsid w:val="78D4376C"/>
    <w:rsid w:val="79775D93"/>
    <w:rsid w:val="799B26EC"/>
    <w:rsid w:val="79BD6CAD"/>
    <w:rsid w:val="79DA107C"/>
    <w:rsid w:val="7AAD2A82"/>
    <w:rsid w:val="7B853EC3"/>
    <w:rsid w:val="7BC272AD"/>
    <w:rsid w:val="7CAE2B9E"/>
    <w:rsid w:val="7D18299B"/>
    <w:rsid w:val="7E2F5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heme="minorBidi"/>
      <w:lang w:val="en-US" w:eastAsia="zh-CN" w:bidi="ar-SA"/>
    </w:rPr>
  </w:style>
  <w:style w:type="paragraph" w:styleId="3">
    <w:name w:val="heading 1"/>
    <w:basedOn w:val="1"/>
    <w:next w:val="1"/>
    <w:link w:val="8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98"/>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5">
    <w:name w:val="heading 3"/>
    <w:basedOn w:val="1"/>
    <w:next w:val="1"/>
    <w:link w:val="87"/>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92"/>
    <w:qFormat/>
    <w:uiPriority w:val="0"/>
    <w:pPr>
      <w:keepNext/>
      <w:keepLines/>
      <w:spacing w:before="280" w:after="290" w:line="376" w:lineRule="auto"/>
      <w:outlineLvl w:val="3"/>
    </w:pPr>
    <w:rPr>
      <w:b/>
      <w:bCs/>
      <w:sz w:val="28"/>
      <w:szCs w:val="28"/>
    </w:rPr>
  </w:style>
  <w:style w:type="paragraph" w:styleId="7">
    <w:name w:val="heading 5"/>
    <w:basedOn w:val="1"/>
    <w:next w:val="1"/>
    <w:link w:val="99"/>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8">
    <w:name w:val="heading 6"/>
    <w:basedOn w:val="7"/>
    <w:next w:val="1"/>
    <w:link w:val="100"/>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9">
    <w:name w:val="heading 7"/>
    <w:basedOn w:val="8"/>
    <w:next w:val="1"/>
    <w:link w:val="101"/>
    <w:qFormat/>
    <w:uiPriority w:val="0"/>
    <w:pPr>
      <w:tabs>
        <w:tab w:val="left" w:pos="1800"/>
        <w:tab w:val="clear" w:pos="1440"/>
      </w:tabs>
      <w:ind w:left="1276" w:hanging="1276"/>
      <w:outlineLvl w:val="6"/>
    </w:pPr>
  </w:style>
  <w:style w:type="paragraph" w:styleId="10">
    <w:name w:val="heading 8"/>
    <w:basedOn w:val="1"/>
    <w:next w:val="1"/>
    <w:link w:val="102"/>
    <w:qFormat/>
    <w:uiPriority w:val="0"/>
    <w:pPr>
      <w:keepNext/>
      <w:keepLines/>
      <w:spacing w:line="400" w:lineRule="exact"/>
      <w:jc w:val="center"/>
      <w:outlineLvl w:val="7"/>
    </w:pPr>
    <w:rPr>
      <w:rFonts w:eastAsia="黑体" w:cs="Times New Roman"/>
      <w:kern w:val="2"/>
      <w:sz w:val="32"/>
      <w:szCs w:val="32"/>
      <w:lang w:val="zh-CN"/>
    </w:rPr>
  </w:style>
  <w:style w:type="paragraph" w:styleId="11">
    <w:name w:val="heading 9"/>
    <w:basedOn w:val="1"/>
    <w:next w:val="1"/>
    <w:link w:val="103"/>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8">
    <w:name w:val="Default Paragraph Font"/>
    <w:semiHidden/>
    <w:unhideWhenUsed/>
    <w:qFormat/>
    <w:uiPriority w:val="1"/>
  </w:style>
  <w:style w:type="table" w:default="1" w:styleId="5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3"/>
    <w:qFormat/>
    <w:uiPriority w:val="0"/>
    <w:rPr>
      <w:rFonts w:hAnsi="Courier New" w:eastAsiaTheme="minorEastAsia"/>
      <w:szCs w:val="22"/>
    </w:rPr>
  </w:style>
  <w:style w:type="paragraph" w:styleId="12">
    <w:name w:val="List 3"/>
    <w:basedOn w:val="1"/>
    <w:qFormat/>
    <w:uiPriority w:val="0"/>
    <w:pPr>
      <w:ind w:left="100" w:leftChars="400" w:hanging="200" w:hangingChars="200"/>
    </w:pPr>
    <w:rPr>
      <w:rFonts w:ascii="Calibri" w:hAnsi="Calibri" w:cs="Times New Roman"/>
      <w:kern w:val="2"/>
      <w:sz w:val="21"/>
      <w:szCs w:val="22"/>
    </w:rPr>
  </w:style>
  <w:style w:type="paragraph" w:styleId="13">
    <w:name w:val="toc 7"/>
    <w:basedOn w:val="1"/>
    <w:next w:val="1"/>
    <w:unhideWhenUsed/>
    <w:qFormat/>
    <w:uiPriority w:val="39"/>
    <w:pPr>
      <w:ind w:left="1260"/>
      <w:jc w:val="left"/>
    </w:pPr>
    <w:rPr>
      <w:rFonts w:ascii="Calibri" w:hAnsi="Calibri" w:cs="Calibri"/>
      <w:kern w:val="2"/>
      <w:sz w:val="18"/>
      <w:szCs w:val="18"/>
    </w:rPr>
  </w:style>
  <w:style w:type="paragraph" w:styleId="14">
    <w:name w:val="Normal Indent"/>
    <w:basedOn w:val="1"/>
    <w:next w:val="1"/>
    <w:qFormat/>
    <w:uiPriority w:val="0"/>
    <w:pPr>
      <w:autoSpaceDE w:val="0"/>
      <w:autoSpaceDN w:val="0"/>
      <w:adjustRightInd w:val="0"/>
      <w:ind w:firstLine="420"/>
      <w:jc w:val="left"/>
    </w:pPr>
    <w:rPr>
      <w:rFonts w:hAnsi="Times New Roman" w:cs="Times New Roman"/>
      <w:sz w:val="24"/>
    </w:rPr>
  </w:style>
  <w:style w:type="paragraph" w:styleId="15">
    <w:name w:val="caption"/>
    <w:basedOn w:val="1"/>
    <w:next w:val="1"/>
    <w:qFormat/>
    <w:uiPriority w:val="0"/>
    <w:pPr>
      <w:spacing w:before="152" w:after="160"/>
    </w:pPr>
    <w:rPr>
      <w:rFonts w:ascii="Arial" w:hAnsi="Arial" w:eastAsia="黑体" w:cs="Arial"/>
      <w:kern w:val="2"/>
    </w:rPr>
  </w:style>
  <w:style w:type="paragraph" w:styleId="16">
    <w:name w:val="Document Map"/>
    <w:basedOn w:val="1"/>
    <w:link w:val="147"/>
    <w:qFormat/>
    <w:uiPriority w:val="0"/>
    <w:pPr>
      <w:shd w:val="clear" w:color="auto" w:fill="000080"/>
    </w:pPr>
    <w:rPr>
      <w:rFonts w:ascii="Calibri" w:hAnsi="Calibri" w:cs="Times New Roman"/>
      <w:bCs/>
      <w:kern w:val="2"/>
      <w:sz w:val="21"/>
      <w:szCs w:val="32"/>
      <w:lang w:val="zh-CN"/>
    </w:rPr>
  </w:style>
  <w:style w:type="paragraph" w:styleId="17">
    <w:name w:val="annotation text"/>
    <w:basedOn w:val="1"/>
    <w:link w:val="84"/>
    <w:qFormat/>
    <w:uiPriority w:val="0"/>
    <w:pPr>
      <w:jc w:val="left"/>
    </w:pPr>
    <w:rPr>
      <w:rFonts w:ascii="Arial" w:hAnsi="Arial" w:eastAsia="黑体" w:cs="Arial"/>
    </w:rPr>
  </w:style>
  <w:style w:type="paragraph" w:styleId="18">
    <w:name w:val="Salutation"/>
    <w:basedOn w:val="1"/>
    <w:next w:val="1"/>
    <w:link w:val="114"/>
    <w:qFormat/>
    <w:uiPriority w:val="0"/>
    <w:rPr>
      <w:rFonts w:ascii="仿宋_GB2312" w:hAnsi="Times New Roman" w:eastAsia="仿宋_GB2312" w:cs="Times New Roman"/>
      <w:kern w:val="2"/>
      <w:sz w:val="28"/>
      <w:lang w:val="zh-CN"/>
    </w:rPr>
  </w:style>
  <w:style w:type="paragraph" w:styleId="19">
    <w:name w:val="Body Text 3"/>
    <w:basedOn w:val="1"/>
    <w:link w:val="133"/>
    <w:qFormat/>
    <w:uiPriority w:val="0"/>
    <w:pPr>
      <w:adjustRightInd w:val="0"/>
      <w:snapToGrid w:val="0"/>
    </w:pPr>
    <w:rPr>
      <w:rFonts w:ascii="仿宋_GB2312" w:eastAsia="仿宋_GB2312" w:cs="Times New Roman"/>
      <w:bCs/>
      <w:color w:val="000000"/>
      <w:kern w:val="2"/>
      <w:sz w:val="24"/>
      <w:szCs w:val="32"/>
      <w:lang w:val="zh-CN"/>
    </w:rPr>
  </w:style>
  <w:style w:type="paragraph" w:styleId="20">
    <w:name w:val="Body Text"/>
    <w:basedOn w:val="1"/>
    <w:next w:val="21"/>
    <w:link w:val="93"/>
    <w:qFormat/>
    <w:uiPriority w:val="0"/>
    <w:pPr>
      <w:spacing w:after="120"/>
    </w:pPr>
    <w:rPr>
      <w:rFonts w:ascii="@微软简标宋" w:hAnsi="@微软简标宋" w:eastAsia="@微软简标宋" w:cs="@微软简标宋"/>
      <w:szCs w:val="24"/>
      <w:lang w:val="zh-CN"/>
    </w:rPr>
  </w:style>
  <w:style w:type="paragraph" w:customStyle="1" w:styleId="2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22">
    <w:name w:val="Body Text Indent"/>
    <w:basedOn w:val="1"/>
    <w:next w:val="23"/>
    <w:link w:val="108"/>
    <w:unhideWhenUsed/>
    <w:qFormat/>
    <w:uiPriority w:val="0"/>
    <w:pPr>
      <w:spacing w:after="120"/>
      <w:ind w:left="420" w:leftChars="200"/>
    </w:pPr>
    <w:rPr>
      <w:rFonts w:asciiTheme="minorHAnsi" w:hAnsiTheme="minorHAnsi"/>
      <w:kern w:val="2"/>
      <w:sz w:val="21"/>
      <w:szCs w:val="22"/>
    </w:rPr>
  </w:style>
  <w:style w:type="paragraph" w:styleId="23">
    <w:name w:val="envelope return"/>
    <w:basedOn w:val="1"/>
    <w:qFormat/>
    <w:uiPriority w:val="0"/>
    <w:pPr>
      <w:snapToGrid w:val="0"/>
    </w:pPr>
    <w:rPr>
      <w:rFonts w:ascii="Arial" w:hAnsi="Arial"/>
    </w:rPr>
  </w:style>
  <w:style w:type="paragraph" w:styleId="24">
    <w:name w:val="List 2"/>
    <w:basedOn w:val="1"/>
    <w:qFormat/>
    <w:uiPriority w:val="0"/>
    <w:pPr>
      <w:ind w:left="100" w:leftChars="200" w:hanging="200" w:hangingChars="200"/>
    </w:pPr>
    <w:rPr>
      <w:rFonts w:ascii="Calibri" w:hAnsi="Calibri" w:cs="Times New Roman"/>
      <w:kern w:val="2"/>
      <w:sz w:val="21"/>
      <w:szCs w:val="22"/>
    </w:rPr>
  </w:style>
  <w:style w:type="paragraph" w:styleId="25">
    <w:name w:val="List Continue"/>
    <w:basedOn w:val="1"/>
    <w:qFormat/>
    <w:uiPriority w:val="0"/>
    <w:pPr>
      <w:spacing w:after="120"/>
      <w:ind w:left="420" w:leftChars="200"/>
    </w:pPr>
    <w:rPr>
      <w:rFonts w:ascii="Calibri" w:hAnsi="Calibri" w:cs="Times New Roman"/>
      <w:kern w:val="2"/>
      <w:sz w:val="21"/>
      <w:szCs w:val="22"/>
    </w:rPr>
  </w:style>
  <w:style w:type="paragraph" w:styleId="26">
    <w:name w:val="Block Text"/>
    <w:basedOn w:val="1"/>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7">
    <w:name w:val="index 4"/>
    <w:basedOn w:val="1"/>
    <w:next w:val="1"/>
    <w:qFormat/>
    <w:uiPriority w:val="0"/>
    <w:pPr>
      <w:ind w:left="600" w:leftChars="600"/>
    </w:pPr>
    <w:rPr>
      <w:rFonts w:ascii="Times New Roman" w:hAnsi="Times New Roman" w:cs="Times New Roman"/>
      <w:kern w:val="2"/>
      <w:sz w:val="21"/>
      <w:szCs w:val="24"/>
    </w:rPr>
  </w:style>
  <w:style w:type="paragraph" w:styleId="28">
    <w:name w:val="toc 5"/>
    <w:basedOn w:val="1"/>
    <w:next w:val="1"/>
    <w:unhideWhenUsed/>
    <w:qFormat/>
    <w:uiPriority w:val="39"/>
    <w:pPr>
      <w:ind w:left="840"/>
      <w:jc w:val="left"/>
    </w:pPr>
    <w:rPr>
      <w:rFonts w:ascii="Calibri" w:hAnsi="Calibri" w:cs="Calibri"/>
      <w:kern w:val="2"/>
      <w:sz w:val="18"/>
      <w:szCs w:val="18"/>
    </w:rPr>
  </w:style>
  <w:style w:type="paragraph" w:styleId="29">
    <w:name w:val="toc 3"/>
    <w:basedOn w:val="1"/>
    <w:next w:val="1"/>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30">
    <w:name w:val="toc 8"/>
    <w:basedOn w:val="1"/>
    <w:next w:val="1"/>
    <w:unhideWhenUsed/>
    <w:qFormat/>
    <w:uiPriority w:val="39"/>
    <w:pPr>
      <w:ind w:left="1470"/>
      <w:jc w:val="left"/>
    </w:pPr>
    <w:rPr>
      <w:rFonts w:ascii="Calibri" w:hAnsi="Calibri" w:cs="Calibri"/>
      <w:kern w:val="2"/>
      <w:sz w:val="18"/>
      <w:szCs w:val="18"/>
    </w:rPr>
  </w:style>
  <w:style w:type="paragraph" w:styleId="31">
    <w:name w:val="Date"/>
    <w:basedOn w:val="1"/>
    <w:next w:val="1"/>
    <w:link w:val="80"/>
    <w:qFormat/>
    <w:uiPriority w:val="0"/>
    <w:rPr>
      <w:rFonts w:ascii="Arial" w:hAnsi="Arial" w:cs="Arial"/>
      <w:b/>
      <w:sz w:val="28"/>
    </w:rPr>
  </w:style>
  <w:style w:type="paragraph" w:styleId="32">
    <w:name w:val="Body Text Indent 2"/>
    <w:basedOn w:val="1"/>
    <w:link w:val="129"/>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3">
    <w:name w:val="Balloon Text"/>
    <w:basedOn w:val="1"/>
    <w:link w:val="67"/>
    <w:unhideWhenUsed/>
    <w:qFormat/>
    <w:uiPriority w:val="0"/>
    <w:rPr>
      <w:sz w:val="18"/>
      <w:szCs w:val="18"/>
    </w:rPr>
  </w:style>
  <w:style w:type="paragraph" w:styleId="34">
    <w:name w:val="footer"/>
    <w:basedOn w:val="1"/>
    <w:link w:val="72"/>
    <w:unhideWhenUsed/>
    <w:qFormat/>
    <w:uiPriority w:val="99"/>
    <w:pPr>
      <w:tabs>
        <w:tab w:val="center" w:pos="4153"/>
        <w:tab w:val="right" w:pos="8306"/>
      </w:tabs>
      <w:snapToGrid w:val="0"/>
      <w:jc w:val="left"/>
    </w:pPr>
    <w:rPr>
      <w:sz w:val="18"/>
      <w:szCs w:val="18"/>
    </w:rPr>
  </w:style>
  <w:style w:type="paragraph" w:styleId="35">
    <w:name w:val="header"/>
    <w:basedOn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pPr>
      <w:widowControl/>
      <w:spacing w:after="100" w:line="276" w:lineRule="auto"/>
      <w:jc w:val="left"/>
    </w:pPr>
    <w:rPr>
      <w:rFonts w:asciiTheme="minorHAnsi" w:hAnsiTheme="minorHAnsi" w:eastAsiaTheme="minorEastAsia"/>
      <w:sz w:val="22"/>
      <w:szCs w:val="22"/>
    </w:rPr>
  </w:style>
  <w:style w:type="paragraph" w:styleId="37">
    <w:name w:val="List Continue 4"/>
    <w:basedOn w:val="1"/>
    <w:qFormat/>
    <w:uiPriority w:val="0"/>
    <w:pPr>
      <w:spacing w:after="120"/>
      <w:ind w:left="1680" w:leftChars="800"/>
    </w:pPr>
    <w:rPr>
      <w:rFonts w:ascii="Calibri" w:hAnsi="Calibri" w:cs="Times New Roman"/>
      <w:kern w:val="2"/>
      <w:sz w:val="21"/>
      <w:szCs w:val="22"/>
    </w:rPr>
  </w:style>
  <w:style w:type="paragraph" w:styleId="38">
    <w:name w:val="toc 4"/>
    <w:basedOn w:val="1"/>
    <w:next w:val="1"/>
    <w:unhideWhenUsed/>
    <w:qFormat/>
    <w:uiPriority w:val="39"/>
    <w:pPr>
      <w:ind w:left="630"/>
      <w:jc w:val="left"/>
    </w:pPr>
    <w:rPr>
      <w:rFonts w:ascii="Calibri" w:hAnsi="Calibri" w:cs="Calibri"/>
      <w:kern w:val="2"/>
      <w:sz w:val="18"/>
      <w:szCs w:val="18"/>
    </w:rPr>
  </w:style>
  <w:style w:type="paragraph" w:styleId="39">
    <w:name w:val="index heading"/>
    <w:basedOn w:val="1"/>
    <w:next w:val="40"/>
    <w:semiHidden/>
    <w:qFormat/>
    <w:uiPriority w:val="0"/>
    <w:rPr>
      <w:rFonts w:ascii="Times New Roman" w:hAnsi="Times New Roman" w:cs="Times New Roman"/>
      <w:kern w:val="2"/>
      <w:sz w:val="21"/>
      <w:szCs w:val="24"/>
    </w:rPr>
  </w:style>
  <w:style w:type="paragraph" w:styleId="40">
    <w:name w:val="index 1"/>
    <w:basedOn w:val="1"/>
    <w:next w:val="1"/>
    <w:qFormat/>
    <w:uiPriority w:val="0"/>
    <w:pPr>
      <w:jc w:val="center"/>
    </w:pPr>
    <w:rPr>
      <w:rFonts w:ascii="Arial" w:hAnsi="Arial" w:eastAsia="Arial" w:cs="Arial"/>
      <w:b/>
      <w:bCs/>
      <w:sz w:val="28"/>
    </w:rPr>
  </w:style>
  <w:style w:type="paragraph" w:styleId="41">
    <w:name w:val="Subtitle"/>
    <w:basedOn w:val="1"/>
    <w:link w:val="221"/>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2">
    <w:name w:val="List"/>
    <w:basedOn w:val="1"/>
    <w:qFormat/>
    <w:uiPriority w:val="0"/>
    <w:pPr>
      <w:ind w:left="200" w:hanging="200" w:hangingChars="200"/>
    </w:pPr>
    <w:rPr>
      <w:rFonts w:ascii="Calibri" w:hAnsi="Calibri" w:cs="Times New Roman"/>
      <w:kern w:val="2"/>
      <w:sz w:val="21"/>
      <w:szCs w:val="22"/>
    </w:rPr>
  </w:style>
  <w:style w:type="paragraph" w:styleId="43">
    <w:name w:val="footnote text"/>
    <w:basedOn w:val="1"/>
    <w:link w:val="110"/>
    <w:unhideWhenUsed/>
    <w:qFormat/>
    <w:uiPriority w:val="0"/>
    <w:pPr>
      <w:snapToGrid w:val="0"/>
      <w:jc w:val="left"/>
    </w:pPr>
    <w:rPr>
      <w:rFonts w:ascii="Times New Roman" w:hAnsi="Times New Roman" w:cs="Times New Roman"/>
      <w:kern w:val="2"/>
      <w:sz w:val="18"/>
      <w:szCs w:val="18"/>
      <w:lang w:val="zh-CN"/>
    </w:rPr>
  </w:style>
  <w:style w:type="paragraph" w:styleId="44">
    <w:name w:val="toc 6"/>
    <w:basedOn w:val="1"/>
    <w:next w:val="1"/>
    <w:unhideWhenUsed/>
    <w:qFormat/>
    <w:uiPriority w:val="39"/>
    <w:pPr>
      <w:ind w:left="1050"/>
      <w:jc w:val="left"/>
    </w:pPr>
    <w:rPr>
      <w:rFonts w:ascii="Calibri" w:hAnsi="Calibri" w:cs="Calibri"/>
      <w:kern w:val="2"/>
      <w:sz w:val="18"/>
      <w:szCs w:val="18"/>
    </w:rPr>
  </w:style>
  <w:style w:type="paragraph" w:styleId="45">
    <w:name w:val="Body Text Indent 3"/>
    <w:basedOn w:val="1"/>
    <w:link w:val="128"/>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6">
    <w:name w:val="toc 2"/>
    <w:basedOn w:val="1"/>
    <w:next w:val="1"/>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7">
    <w:name w:val="toc 9"/>
    <w:basedOn w:val="1"/>
    <w:next w:val="1"/>
    <w:unhideWhenUsed/>
    <w:qFormat/>
    <w:uiPriority w:val="39"/>
    <w:pPr>
      <w:ind w:left="1680"/>
      <w:jc w:val="left"/>
    </w:pPr>
    <w:rPr>
      <w:rFonts w:ascii="Calibri" w:hAnsi="Calibri" w:cs="Calibri"/>
      <w:kern w:val="2"/>
      <w:sz w:val="18"/>
      <w:szCs w:val="18"/>
    </w:rPr>
  </w:style>
  <w:style w:type="paragraph" w:styleId="48">
    <w:name w:val="Body Text 2"/>
    <w:basedOn w:val="1"/>
    <w:link w:val="132"/>
    <w:qFormat/>
    <w:uiPriority w:val="0"/>
    <w:pPr>
      <w:spacing w:line="360" w:lineRule="auto"/>
    </w:pPr>
    <w:rPr>
      <w:rFonts w:hAnsi="Times New Roman" w:cs="Times New Roman"/>
      <w:spacing w:val="-20"/>
      <w:kern w:val="2"/>
      <w:sz w:val="28"/>
      <w:lang w:val="zh-CN"/>
    </w:rPr>
  </w:style>
  <w:style w:type="paragraph" w:styleId="49">
    <w:name w:val="List 4"/>
    <w:basedOn w:val="1"/>
    <w:qFormat/>
    <w:uiPriority w:val="0"/>
    <w:pPr>
      <w:ind w:left="100" w:leftChars="600" w:hanging="200" w:hangingChars="200"/>
    </w:pPr>
    <w:rPr>
      <w:rFonts w:ascii="Calibri" w:hAnsi="Calibri" w:cs="Times New Roman"/>
      <w:kern w:val="2"/>
      <w:sz w:val="21"/>
      <w:szCs w:val="22"/>
    </w:rPr>
  </w:style>
  <w:style w:type="paragraph" w:styleId="50">
    <w:name w:val="List Continue 2"/>
    <w:basedOn w:val="1"/>
    <w:qFormat/>
    <w:uiPriority w:val="0"/>
    <w:pPr>
      <w:spacing w:after="120"/>
      <w:ind w:left="840" w:leftChars="400"/>
    </w:pPr>
    <w:rPr>
      <w:rFonts w:ascii="Calibri" w:hAnsi="Calibri" w:cs="Times New Roman"/>
      <w:kern w:val="2"/>
      <w:sz w:val="21"/>
      <w:szCs w:val="22"/>
    </w:rPr>
  </w:style>
  <w:style w:type="paragraph" w:styleId="51">
    <w:name w:val="Normal (Web)"/>
    <w:basedOn w:val="1"/>
    <w:qFormat/>
    <w:uiPriority w:val="0"/>
    <w:pPr>
      <w:widowControl/>
      <w:spacing w:before="100" w:beforeAutospacing="1" w:after="100" w:afterAutospacing="1"/>
      <w:jc w:val="left"/>
    </w:pPr>
    <w:rPr>
      <w:rFonts w:cs="宋体"/>
      <w:color w:val="0066CC"/>
      <w:sz w:val="24"/>
      <w:szCs w:val="24"/>
    </w:rPr>
  </w:style>
  <w:style w:type="paragraph" w:styleId="52">
    <w:name w:val="Title"/>
    <w:basedOn w:val="4"/>
    <w:next w:val="1"/>
    <w:link w:val="136"/>
    <w:qFormat/>
    <w:uiPriority w:val="0"/>
    <w:pPr>
      <w:spacing w:before="0" w:after="0" w:line="360" w:lineRule="auto"/>
      <w:jc w:val="center"/>
    </w:pPr>
    <w:rPr>
      <w:rFonts w:ascii="宋体" w:hAnsi="宋体" w:eastAsia="黑体"/>
      <w:bCs w:val="0"/>
      <w:smallCaps/>
      <w:snapToGrid w:val="0"/>
      <w:sz w:val="44"/>
      <w:szCs w:val="24"/>
    </w:rPr>
  </w:style>
  <w:style w:type="paragraph" w:styleId="53">
    <w:name w:val="annotation subject"/>
    <w:basedOn w:val="17"/>
    <w:next w:val="17"/>
    <w:link w:val="95"/>
    <w:unhideWhenUsed/>
    <w:qFormat/>
    <w:uiPriority w:val="0"/>
    <w:rPr>
      <w:rFonts w:ascii="宋体" w:hAnsi="宋体" w:eastAsia="宋体" w:cstheme="minorBidi"/>
      <w:b/>
      <w:bCs/>
    </w:rPr>
  </w:style>
  <w:style w:type="paragraph" w:styleId="54">
    <w:name w:val="Body Text First Indent"/>
    <w:basedOn w:val="20"/>
    <w:semiHidden/>
    <w:unhideWhenUsed/>
    <w:qFormat/>
    <w:uiPriority w:val="99"/>
    <w:pPr>
      <w:ind w:firstLine="420" w:firstLineChars="100"/>
    </w:pPr>
  </w:style>
  <w:style w:type="paragraph" w:styleId="55">
    <w:name w:val="Body Text First Indent 2"/>
    <w:basedOn w:val="22"/>
    <w:unhideWhenUsed/>
    <w:qFormat/>
    <w:uiPriority w:val="0"/>
    <w:pPr>
      <w:spacing w:line="360" w:lineRule="auto"/>
      <w:ind w:firstLine="420" w:firstLineChars="200"/>
    </w:pPr>
    <w:rPr>
      <w:rFonts w:ascii="Calibri" w:hAnsi="Calibri" w:cs="Times New Roman"/>
      <w:szCs w:val="22"/>
    </w:rPr>
  </w:style>
  <w:style w:type="table" w:styleId="57">
    <w:name w:val="Table Grid"/>
    <w:basedOn w:val="56"/>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9">
    <w:name w:val="Strong"/>
    <w:qFormat/>
    <w:uiPriority w:val="0"/>
    <w:rPr>
      <w:b/>
      <w:bCs/>
    </w:rPr>
  </w:style>
  <w:style w:type="character" w:styleId="60">
    <w:name w:val="page number"/>
    <w:basedOn w:val="58"/>
    <w:qFormat/>
    <w:uiPriority w:val="0"/>
  </w:style>
  <w:style w:type="character" w:styleId="61">
    <w:name w:val="FollowedHyperlink"/>
    <w:basedOn w:val="58"/>
    <w:semiHidden/>
    <w:unhideWhenUsed/>
    <w:qFormat/>
    <w:uiPriority w:val="99"/>
    <w:rPr>
      <w:color w:val="800080" w:themeColor="followedHyperlink"/>
      <w:u w:val="single"/>
      <w14:textFill>
        <w14:solidFill>
          <w14:schemeClr w14:val="folHlink"/>
        </w14:solidFill>
      </w14:textFill>
    </w:rPr>
  </w:style>
  <w:style w:type="character" w:styleId="62">
    <w:name w:val="Emphasis"/>
    <w:qFormat/>
    <w:uiPriority w:val="0"/>
    <w:rPr>
      <w:color w:val="CC0033"/>
    </w:rPr>
  </w:style>
  <w:style w:type="character" w:styleId="63">
    <w:name w:val="Hyperlink"/>
    <w:basedOn w:val="58"/>
    <w:unhideWhenUsed/>
    <w:qFormat/>
    <w:uiPriority w:val="99"/>
    <w:rPr>
      <w:color w:val="0000FF" w:themeColor="hyperlink"/>
      <w:u w:val="single"/>
      <w14:textFill>
        <w14:solidFill>
          <w14:schemeClr w14:val="hlink"/>
        </w14:solidFill>
      </w14:textFill>
    </w:rPr>
  </w:style>
  <w:style w:type="character" w:styleId="64">
    <w:name w:val="annotation reference"/>
    <w:basedOn w:val="58"/>
    <w:unhideWhenUsed/>
    <w:qFormat/>
    <w:uiPriority w:val="0"/>
    <w:rPr>
      <w:sz w:val="21"/>
      <w:szCs w:val="21"/>
    </w:rPr>
  </w:style>
  <w:style w:type="character" w:styleId="65">
    <w:name w:val="footnote reference"/>
    <w:unhideWhenUsed/>
    <w:qFormat/>
    <w:uiPriority w:val="0"/>
    <w:rPr>
      <w:vertAlign w:val="superscript"/>
    </w:rPr>
  </w:style>
  <w:style w:type="character" w:styleId="66">
    <w:name w:val="HTML Sample"/>
    <w:qFormat/>
    <w:uiPriority w:val="0"/>
    <w:rPr>
      <w:rFonts w:hint="default" w:ascii="monospace" w:hAnsi="monospace" w:eastAsia="monospace" w:cs="monospace"/>
      <w:sz w:val="21"/>
      <w:szCs w:val="21"/>
    </w:rPr>
  </w:style>
  <w:style w:type="character" w:customStyle="1" w:styleId="67">
    <w:name w:val="批注框文本 Char"/>
    <w:basedOn w:val="58"/>
    <w:link w:val="33"/>
    <w:qFormat/>
    <w:uiPriority w:val="0"/>
    <w:rPr>
      <w:rFonts w:ascii="@仿宋_GB2312" w:hAnsi="@仿宋_GB2312" w:eastAsia="@仿宋_GB2312" w:cs="@仿宋_GB2312"/>
      <w:sz w:val="18"/>
      <w:szCs w:val="18"/>
    </w:rPr>
  </w:style>
  <w:style w:type="paragraph" w:customStyle="1" w:styleId="68">
    <w:name w:val="正文（缩进）"/>
    <w:basedOn w:val="1"/>
    <w:qFormat/>
    <w:uiPriority w:val="0"/>
    <w:pPr>
      <w:widowControl/>
      <w:spacing w:before="156" w:after="156"/>
      <w:ind w:firstLine="480" w:firstLineChars="200"/>
      <w:jc w:val="left"/>
    </w:pPr>
    <w:rPr>
      <w:sz w:val="24"/>
      <w:szCs w:val="24"/>
    </w:rPr>
  </w:style>
  <w:style w:type="paragraph" w:customStyle="1" w:styleId="69">
    <w:name w:val="xl31"/>
    <w:basedOn w:val="1"/>
    <w:qFormat/>
    <w:uiPriority w:val="0"/>
    <w:pPr>
      <w:widowControl/>
      <w:spacing w:before="100" w:beforeAutospacing="1" w:after="100" w:afterAutospacing="1"/>
      <w:jc w:val="center"/>
    </w:pPr>
    <w:rPr>
      <w:b/>
      <w:bCs/>
      <w:sz w:val="28"/>
      <w:szCs w:val="28"/>
    </w:rPr>
  </w:style>
  <w:style w:type="paragraph" w:customStyle="1" w:styleId="70">
    <w:name w:val="D&amp;L"/>
    <w:basedOn w:val="35"/>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71">
    <w:name w:val="页眉 Char"/>
    <w:basedOn w:val="58"/>
    <w:link w:val="35"/>
    <w:qFormat/>
    <w:uiPriority w:val="99"/>
    <w:rPr>
      <w:rFonts w:ascii="@仿宋_GB2312" w:hAnsi="@仿宋_GB2312" w:eastAsia="@仿宋_GB2312" w:cs="@仿宋_GB2312"/>
      <w:sz w:val="18"/>
      <w:szCs w:val="18"/>
    </w:rPr>
  </w:style>
  <w:style w:type="character" w:customStyle="1" w:styleId="72">
    <w:name w:val="页脚 Char"/>
    <w:basedOn w:val="58"/>
    <w:link w:val="34"/>
    <w:qFormat/>
    <w:uiPriority w:val="99"/>
    <w:rPr>
      <w:rFonts w:ascii="@仿宋_GB2312" w:hAnsi="@仿宋_GB2312" w:eastAsia="@仿宋_GB2312" w:cs="@仿宋_GB2312"/>
      <w:sz w:val="18"/>
      <w:szCs w:val="18"/>
    </w:rPr>
  </w:style>
  <w:style w:type="character" w:customStyle="1" w:styleId="73">
    <w:name w:val="纯文本 Char"/>
    <w:link w:val="2"/>
    <w:qFormat/>
    <w:uiPriority w:val="0"/>
    <w:rPr>
      <w:rFonts w:ascii="宋体" w:hAnsi="Courier New"/>
    </w:rPr>
  </w:style>
  <w:style w:type="character" w:customStyle="1" w:styleId="74">
    <w:name w:val="纯文本 字符1"/>
    <w:basedOn w:val="58"/>
    <w:semiHidden/>
    <w:qFormat/>
    <w:uiPriority w:val="99"/>
    <w:rPr>
      <w:rFonts w:hAnsi="Courier New" w:cs="Courier New" w:asciiTheme="minorEastAsia"/>
      <w:szCs w:val="20"/>
    </w:rPr>
  </w:style>
  <w:style w:type="character" w:customStyle="1" w:styleId="75">
    <w:name w:val="未处理的提及1"/>
    <w:basedOn w:val="58"/>
    <w:semiHidden/>
    <w:unhideWhenUsed/>
    <w:qFormat/>
    <w:uiPriority w:val="99"/>
    <w:rPr>
      <w:color w:val="605E5C"/>
      <w:shd w:val="clear" w:color="auto" w:fill="E1DFDD"/>
    </w:rPr>
  </w:style>
  <w:style w:type="paragraph" w:styleId="76">
    <w:name w:val="List Paragraph"/>
    <w:basedOn w:val="1"/>
    <w:qFormat/>
    <w:uiPriority w:val="34"/>
    <w:pPr>
      <w:ind w:firstLine="420" w:firstLineChars="200"/>
    </w:pPr>
  </w:style>
  <w:style w:type="paragraph" w:customStyle="1" w:styleId="77">
    <w:name w:val="Char Char Char Char Char Char Char1 Char"/>
    <w:basedOn w:val="1"/>
    <w:qFormat/>
    <w:uiPriority w:val="0"/>
    <w:rPr>
      <w:rFonts w:ascii="Arial" w:hAnsi="Arial" w:cs="Arial"/>
      <w:sz w:val="24"/>
    </w:rPr>
  </w:style>
  <w:style w:type="table" w:customStyle="1" w:styleId="78">
    <w:name w:val="网格表 1 浅色1"/>
    <w:basedOn w:val="56"/>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9">
    <w:name w:val="日期 字符"/>
    <w:basedOn w:val="58"/>
    <w:semiHidden/>
    <w:qFormat/>
    <w:uiPriority w:val="99"/>
    <w:rPr>
      <w:rFonts w:ascii="@仿宋_GB2312" w:hAnsi="@仿宋_GB2312" w:eastAsia="@仿宋_GB2312" w:cs="@仿宋_GB2312"/>
      <w:szCs w:val="20"/>
    </w:rPr>
  </w:style>
  <w:style w:type="character" w:customStyle="1" w:styleId="80">
    <w:name w:val="日期 Char"/>
    <w:link w:val="31"/>
    <w:qFormat/>
    <w:uiPriority w:val="0"/>
    <w:rPr>
      <w:rFonts w:ascii="Arial" w:hAnsi="Arial" w:eastAsia="宋体" w:cs="Arial"/>
      <w:b/>
      <w:sz w:val="28"/>
      <w:szCs w:val="20"/>
    </w:rPr>
  </w:style>
  <w:style w:type="character" w:customStyle="1" w:styleId="81">
    <w:name w:val="纯文本 Char1"/>
    <w:link w:val="82"/>
    <w:qFormat/>
    <w:locked/>
    <w:uiPriority w:val="99"/>
    <w:rPr>
      <w:rFonts w:ascii="Arial" w:hAnsi="Arial" w:eastAsia="Arial"/>
      <w:kern w:val="2"/>
      <w:sz w:val="21"/>
      <w:lang w:val="en-US" w:eastAsia="zh-CN" w:bidi="ar-SA"/>
    </w:rPr>
  </w:style>
  <w:style w:type="paragraph" w:customStyle="1" w:styleId="82">
    <w:name w:val="纯文本1"/>
    <w:basedOn w:val="1"/>
    <w:link w:val="81"/>
    <w:qFormat/>
    <w:uiPriority w:val="0"/>
    <w:rPr>
      <w:rFonts w:ascii="Arial" w:hAnsi="Arial" w:eastAsia="Arial"/>
    </w:rPr>
  </w:style>
  <w:style w:type="character" w:customStyle="1" w:styleId="83">
    <w:name w:val="批注文字 Char"/>
    <w:basedOn w:val="58"/>
    <w:qFormat/>
    <w:uiPriority w:val="0"/>
    <w:rPr>
      <w:rFonts w:ascii="@仿宋_GB2312" w:hAnsi="@仿宋_GB2312" w:eastAsia="@仿宋_GB2312" w:cs="@仿宋_GB2312"/>
      <w:szCs w:val="20"/>
    </w:rPr>
  </w:style>
  <w:style w:type="character" w:customStyle="1" w:styleId="84">
    <w:name w:val="批注文字 Char1"/>
    <w:link w:val="17"/>
    <w:qFormat/>
    <w:uiPriority w:val="99"/>
    <w:rPr>
      <w:rFonts w:ascii="Arial" w:hAnsi="Arial" w:eastAsia="黑体" w:cs="Arial"/>
      <w:szCs w:val="20"/>
    </w:rPr>
  </w:style>
  <w:style w:type="character" w:customStyle="1" w:styleId="85">
    <w:name w:val="标题 1 Char"/>
    <w:basedOn w:val="58"/>
    <w:link w:val="3"/>
    <w:qFormat/>
    <w:uiPriority w:val="0"/>
    <w:rPr>
      <w:rFonts w:ascii="@仿宋_GB2312" w:hAnsi="@仿宋_GB2312" w:eastAsia="@仿宋_GB2312" w:cs="@仿宋_GB2312"/>
      <w:b/>
      <w:bCs/>
      <w:kern w:val="44"/>
      <w:sz w:val="44"/>
      <w:szCs w:val="44"/>
    </w:rPr>
  </w:style>
  <w:style w:type="paragraph" w:customStyle="1" w:styleId="86">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7">
    <w:name w:val="标题 3 Char"/>
    <w:basedOn w:val="58"/>
    <w:link w:val="5"/>
    <w:qFormat/>
    <w:uiPriority w:val="0"/>
    <w:rPr>
      <w:rFonts w:ascii="@仿宋_GB2312" w:hAnsi="@仿宋_GB2312" w:eastAsia="@仿宋_GB2312" w:cs="@仿宋_GB2312"/>
      <w:b/>
      <w:bCs/>
      <w:sz w:val="32"/>
      <w:szCs w:val="32"/>
    </w:rPr>
  </w:style>
  <w:style w:type="character" w:customStyle="1" w:styleId="88">
    <w:name w:val="fontstyle01"/>
    <w:basedOn w:val="58"/>
    <w:qFormat/>
    <w:uiPriority w:val="0"/>
    <w:rPr>
      <w:rFonts w:hint="eastAsia" w:ascii="宋体" w:hAnsi="宋体" w:eastAsia="宋体"/>
      <w:color w:val="000000"/>
      <w:sz w:val="22"/>
      <w:szCs w:val="22"/>
    </w:rPr>
  </w:style>
  <w:style w:type="character" w:customStyle="1" w:styleId="89">
    <w:name w:val="fontstyle21"/>
    <w:basedOn w:val="58"/>
    <w:qFormat/>
    <w:uiPriority w:val="0"/>
    <w:rPr>
      <w:rFonts w:hint="default" w:ascii="TimesNewRomanPSMT" w:hAnsi="TimesNewRomanPSMT"/>
      <w:color w:val="000000"/>
      <w:sz w:val="22"/>
      <w:szCs w:val="22"/>
    </w:rPr>
  </w:style>
  <w:style w:type="character" w:customStyle="1" w:styleId="90">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91">
    <w:name w:val="标题 4 字符"/>
    <w:basedOn w:val="58"/>
    <w:semiHidden/>
    <w:qFormat/>
    <w:uiPriority w:val="9"/>
    <w:rPr>
      <w:rFonts w:asciiTheme="majorHAnsi" w:hAnsiTheme="majorHAnsi" w:eastAsiaTheme="majorEastAsia" w:cstheme="majorBidi"/>
      <w:b/>
      <w:bCs/>
      <w:sz w:val="28"/>
      <w:szCs w:val="28"/>
    </w:rPr>
  </w:style>
  <w:style w:type="character" w:customStyle="1" w:styleId="92">
    <w:name w:val="标题 4 Char"/>
    <w:link w:val="6"/>
    <w:qFormat/>
    <w:uiPriority w:val="0"/>
    <w:rPr>
      <w:rFonts w:ascii="@仿宋_GB2312" w:hAnsi="@仿宋_GB2312" w:eastAsia="@仿宋_GB2312" w:cs="@仿宋_GB2312"/>
      <w:b/>
      <w:bCs/>
      <w:sz w:val="28"/>
      <w:szCs w:val="28"/>
    </w:rPr>
  </w:style>
  <w:style w:type="character" w:customStyle="1" w:styleId="93">
    <w:name w:val="正文文本 Char"/>
    <w:basedOn w:val="58"/>
    <w:link w:val="20"/>
    <w:qFormat/>
    <w:uiPriority w:val="0"/>
    <w:rPr>
      <w:rFonts w:ascii="@微软简标宋" w:hAnsi="@微软简标宋" w:eastAsia="@微软简标宋" w:cs="@微软简标宋"/>
      <w:szCs w:val="24"/>
      <w:lang w:val="zh-CN" w:eastAsia="zh-CN"/>
    </w:rPr>
  </w:style>
  <w:style w:type="table" w:customStyle="1" w:styleId="94">
    <w:name w:val="网格型1"/>
    <w:basedOn w:val="5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5">
    <w:name w:val="批注主题 Char"/>
    <w:basedOn w:val="84"/>
    <w:link w:val="53"/>
    <w:qFormat/>
    <w:uiPriority w:val="0"/>
    <w:rPr>
      <w:rFonts w:ascii="Arial" w:hAnsi="Arial" w:eastAsia="黑体" w:cs="Arial"/>
      <w:b/>
      <w:bCs/>
      <w:szCs w:val="20"/>
    </w:rPr>
  </w:style>
  <w:style w:type="paragraph" w:customStyle="1" w:styleId="96">
    <w:name w:val="普通 (Web)"/>
    <w:basedOn w:val="1"/>
    <w:qFormat/>
    <w:uiPriority w:val="0"/>
    <w:pPr>
      <w:widowControl/>
      <w:spacing w:before="100" w:beforeAutospacing="1" w:after="100" w:afterAutospacing="1"/>
      <w:jc w:val="left"/>
    </w:pPr>
    <w:rPr>
      <w:rFonts w:cs="Times New Roman"/>
      <w:sz w:val="24"/>
      <w:szCs w:val="24"/>
    </w:rPr>
  </w:style>
  <w:style w:type="table" w:customStyle="1" w:styleId="97">
    <w:name w:val="网格型2"/>
    <w:basedOn w:val="56"/>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8">
    <w:name w:val="标题 2 Char"/>
    <w:basedOn w:val="58"/>
    <w:link w:val="4"/>
    <w:qFormat/>
    <w:uiPriority w:val="0"/>
    <w:rPr>
      <w:rFonts w:ascii="Cambria" w:hAnsi="Cambria" w:cs="Times New Roman"/>
      <w:b/>
      <w:bCs/>
      <w:kern w:val="2"/>
      <w:sz w:val="32"/>
      <w:szCs w:val="32"/>
      <w:lang w:val="zh-CN" w:eastAsia="zh-CN"/>
    </w:rPr>
  </w:style>
  <w:style w:type="character" w:customStyle="1" w:styleId="99">
    <w:name w:val="标题 5 Char"/>
    <w:basedOn w:val="58"/>
    <w:link w:val="7"/>
    <w:qFormat/>
    <w:uiPriority w:val="0"/>
    <w:rPr>
      <w:rFonts w:ascii="Calibri" w:hAnsi="Calibri" w:cs="Times New Roman"/>
      <w:b/>
      <w:bCs/>
      <w:kern w:val="2"/>
      <w:sz w:val="28"/>
      <w:szCs w:val="28"/>
      <w:lang w:val="zh-CN" w:eastAsia="zh-CN"/>
    </w:rPr>
  </w:style>
  <w:style w:type="character" w:customStyle="1" w:styleId="100">
    <w:name w:val="标题 6 Char"/>
    <w:basedOn w:val="58"/>
    <w:link w:val="8"/>
    <w:qFormat/>
    <w:uiPriority w:val="0"/>
    <w:rPr>
      <w:rFonts w:ascii="Times New Roman" w:hAnsi="Times New Roman" w:cs="Times New Roman"/>
      <w:b/>
      <w:bCs/>
      <w:kern w:val="2"/>
      <w:sz w:val="30"/>
      <w:szCs w:val="18"/>
      <w:lang w:val="zh-CN" w:eastAsia="zh-CN"/>
    </w:rPr>
  </w:style>
  <w:style w:type="character" w:customStyle="1" w:styleId="101">
    <w:name w:val="标题 7 Char"/>
    <w:basedOn w:val="58"/>
    <w:link w:val="9"/>
    <w:qFormat/>
    <w:uiPriority w:val="0"/>
    <w:rPr>
      <w:rFonts w:ascii="Times New Roman" w:hAnsi="Times New Roman" w:cs="Times New Roman"/>
      <w:b/>
      <w:bCs/>
      <w:kern w:val="2"/>
      <w:sz w:val="30"/>
      <w:szCs w:val="18"/>
      <w:lang w:val="zh-CN" w:eastAsia="zh-CN"/>
    </w:rPr>
  </w:style>
  <w:style w:type="character" w:customStyle="1" w:styleId="102">
    <w:name w:val="标题 8 Char"/>
    <w:basedOn w:val="58"/>
    <w:link w:val="10"/>
    <w:qFormat/>
    <w:uiPriority w:val="0"/>
    <w:rPr>
      <w:rFonts w:eastAsia="黑体" w:cs="Times New Roman"/>
      <w:kern w:val="2"/>
      <w:sz w:val="32"/>
      <w:szCs w:val="32"/>
      <w:lang w:val="zh-CN" w:eastAsia="zh-CN"/>
    </w:rPr>
  </w:style>
  <w:style w:type="character" w:customStyle="1" w:styleId="103">
    <w:name w:val="标题 9 Char"/>
    <w:basedOn w:val="58"/>
    <w:link w:val="11"/>
    <w:qFormat/>
    <w:uiPriority w:val="0"/>
    <w:rPr>
      <w:rFonts w:ascii="Cambria" w:hAnsi="Cambria" w:cs="Times New Roman"/>
      <w:kern w:val="2"/>
      <w:sz w:val="21"/>
      <w:szCs w:val="21"/>
      <w:lang w:val="zh-CN" w:eastAsia="zh-CN"/>
    </w:rPr>
  </w:style>
  <w:style w:type="character" w:customStyle="1" w:styleId="104">
    <w:name w:val="纯文本 Char2"/>
    <w:qFormat/>
    <w:uiPriority w:val="0"/>
    <w:rPr>
      <w:rFonts w:ascii="宋体" w:hAnsi="Courier New"/>
    </w:rPr>
  </w:style>
  <w:style w:type="table" w:customStyle="1" w:styleId="105">
    <w:name w:val="网格型3"/>
    <w:basedOn w:val="56"/>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网格表 1 浅色11"/>
    <w:basedOn w:val="56"/>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7">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8">
    <w:name w:val="正文文本缩进 Char"/>
    <w:basedOn w:val="58"/>
    <w:link w:val="22"/>
    <w:qFormat/>
    <w:uiPriority w:val="0"/>
    <w:rPr>
      <w:rFonts w:asciiTheme="minorHAnsi" w:hAnsiTheme="minorHAnsi"/>
      <w:kern w:val="2"/>
      <w:sz w:val="21"/>
      <w:szCs w:val="22"/>
    </w:rPr>
  </w:style>
  <w:style w:type="paragraph" w:customStyle="1" w:styleId="109">
    <w:name w:val="Char"/>
    <w:basedOn w:val="1"/>
    <w:qFormat/>
    <w:uiPriority w:val="0"/>
    <w:rPr>
      <w:rFonts w:ascii="Tahoma" w:hAnsi="Tahoma" w:cs="Times New Roman"/>
      <w:sz w:val="24"/>
    </w:rPr>
  </w:style>
  <w:style w:type="character" w:customStyle="1" w:styleId="110">
    <w:name w:val="脚注文本 Char"/>
    <w:basedOn w:val="58"/>
    <w:link w:val="43"/>
    <w:qFormat/>
    <w:uiPriority w:val="0"/>
    <w:rPr>
      <w:rFonts w:ascii="Times New Roman" w:hAnsi="Times New Roman" w:cs="Times New Roman"/>
      <w:kern w:val="2"/>
      <w:sz w:val="18"/>
      <w:szCs w:val="18"/>
      <w:lang w:val="zh-CN" w:eastAsia="zh-CN"/>
    </w:rPr>
  </w:style>
  <w:style w:type="paragraph" w:customStyle="1" w:styleId="111">
    <w:name w:val="样式 标题 3 + (中文) 黑体 小四 非加粗 段前: 7.8 磅 段后: 0 磅 行距: 固定值 20 磅"/>
    <w:basedOn w:val="5"/>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2">
    <w:name w:val="样式 标题 2 + Times New Roman 四号 非加粗 段前: 5 磅 段后: 0 磅 行距: 固定值 20..."/>
    <w:basedOn w:val="4"/>
    <w:qFormat/>
    <w:uiPriority w:val="0"/>
    <w:pPr>
      <w:spacing w:before="100" w:after="0" w:line="400" w:lineRule="exact"/>
    </w:pPr>
    <w:rPr>
      <w:rFonts w:ascii="Times New Roman" w:hAnsi="Times New Roman" w:eastAsia="黑体" w:cs="宋体"/>
      <w:b w:val="0"/>
      <w:bCs w:val="0"/>
      <w:sz w:val="28"/>
      <w:szCs w:val="20"/>
    </w:rPr>
  </w:style>
  <w:style w:type="paragraph" w:customStyle="1" w:styleId="113">
    <w:name w:val="Normal_2"/>
    <w:qFormat/>
    <w:uiPriority w:val="0"/>
    <w:rPr>
      <w:rFonts w:ascii="Times New Roman" w:hAnsi="Times New Roman" w:eastAsia="Times New Roman" w:cs="Times New Roman"/>
      <w:sz w:val="24"/>
      <w:szCs w:val="24"/>
      <w:lang w:val="en-US" w:eastAsia="zh-CN" w:bidi="ar-SA"/>
    </w:rPr>
  </w:style>
  <w:style w:type="character" w:customStyle="1" w:styleId="114">
    <w:name w:val="称呼 Char"/>
    <w:basedOn w:val="58"/>
    <w:link w:val="18"/>
    <w:qFormat/>
    <w:uiPriority w:val="0"/>
    <w:rPr>
      <w:rFonts w:ascii="仿宋_GB2312" w:hAnsi="Times New Roman" w:eastAsia="仿宋_GB2312" w:cs="Times New Roman"/>
      <w:kern w:val="2"/>
      <w:sz w:val="28"/>
      <w:lang w:val="zh-CN" w:eastAsia="zh-CN"/>
    </w:rPr>
  </w:style>
  <w:style w:type="paragraph" w:customStyle="1" w:styleId="115">
    <w:name w:val="正文1"/>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6">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_2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Normal_1"/>
    <w:qFormat/>
    <w:uiPriority w:val="0"/>
    <w:rPr>
      <w:rFonts w:ascii="Times New Roman" w:hAnsi="Times New Roman" w:eastAsia="Times New Roman" w:cs="Times New Roman"/>
      <w:sz w:val="24"/>
      <w:szCs w:val="24"/>
      <w:lang w:val="en-US" w:eastAsia="zh-CN" w:bidi="ar-SA"/>
    </w:rPr>
  </w:style>
  <w:style w:type="paragraph" w:customStyle="1" w:styleId="120">
    <w:name w:val="Normal_3"/>
    <w:qFormat/>
    <w:uiPriority w:val="0"/>
    <w:rPr>
      <w:rFonts w:ascii="Times New Roman" w:hAnsi="Times New Roman" w:eastAsia="Times New Roman" w:cs="Times New Roman"/>
      <w:sz w:val="24"/>
      <w:szCs w:val="24"/>
      <w:lang w:val="en-US" w:eastAsia="zh-CN" w:bidi="ar-SA"/>
    </w:rPr>
  </w:style>
  <w:style w:type="paragraph" w:customStyle="1" w:styleId="121">
    <w:name w:val="Char Char Char Char Char Char"/>
    <w:basedOn w:val="1"/>
    <w:qFormat/>
    <w:uiPriority w:val="0"/>
    <w:rPr>
      <w:rFonts w:ascii="Tahoma" w:hAnsi="Tahoma" w:cs="Times New Roman"/>
      <w:kern w:val="2"/>
      <w:sz w:val="24"/>
    </w:rPr>
  </w:style>
  <w:style w:type="paragraph" w:customStyle="1" w:styleId="122">
    <w:name w:val="Blockquote"/>
    <w:basedOn w:val="1"/>
    <w:link w:val="123"/>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3">
    <w:name w:val="Blockquote Char"/>
    <w:link w:val="122"/>
    <w:qFormat/>
    <w:uiPriority w:val="0"/>
    <w:rPr>
      <w:rFonts w:ascii="Times New Roman" w:hAnsi="Times New Roman" w:cs="Times New Roman"/>
      <w:sz w:val="24"/>
      <w:lang w:val="zh-CN" w:eastAsia="zh-CN"/>
    </w:rPr>
  </w:style>
  <w:style w:type="paragraph" w:customStyle="1" w:styleId="124">
    <w:name w:val="xl22"/>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paragraph" w:customStyle="1" w:styleId="125">
    <w:name w:val="样式1"/>
    <w:basedOn w:val="1"/>
    <w:next w:val="6"/>
    <w:qFormat/>
    <w:uiPriority w:val="0"/>
    <w:pPr>
      <w:spacing w:line="360" w:lineRule="auto"/>
      <w:ind w:firstLine="420" w:firstLineChars="200"/>
    </w:pPr>
    <w:rPr>
      <w:rFonts w:cs="Times New Roman"/>
      <w:kern w:val="2"/>
      <w:sz w:val="21"/>
      <w:szCs w:val="21"/>
    </w:rPr>
  </w:style>
  <w:style w:type="character" w:customStyle="1" w:styleId="126">
    <w:name w:val="tdrownotice1"/>
    <w:qFormat/>
    <w:uiPriority w:val="0"/>
    <w:rPr>
      <w:sz w:val="22"/>
    </w:rPr>
  </w:style>
  <w:style w:type="paragraph" w:customStyle="1" w:styleId="127">
    <w:name w:val="段落2"/>
    <w:basedOn w:val="1"/>
    <w:qFormat/>
    <w:uiPriority w:val="0"/>
    <w:pPr>
      <w:spacing w:line="360" w:lineRule="auto"/>
      <w:ind w:firstLine="480" w:firstLineChars="200"/>
    </w:pPr>
    <w:rPr>
      <w:rFonts w:ascii="Calibri" w:hAnsi="Calibri" w:cs="Courier New"/>
      <w:kern w:val="2"/>
      <w:sz w:val="24"/>
      <w:szCs w:val="21"/>
    </w:rPr>
  </w:style>
  <w:style w:type="character" w:customStyle="1" w:styleId="128">
    <w:name w:val="正文文本缩进 3 Char"/>
    <w:basedOn w:val="58"/>
    <w:link w:val="45"/>
    <w:qFormat/>
    <w:uiPriority w:val="0"/>
    <w:rPr>
      <w:rFonts w:hAnsi="MS Sans Serif" w:cs="Times New Roman"/>
      <w:bCs/>
      <w:color w:val="000000"/>
      <w:sz w:val="24"/>
      <w:lang w:val="zh-CN" w:eastAsia="zh-CN"/>
    </w:rPr>
  </w:style>
  <w:style w:type="character" w:customStyle="1" w:styleId="129">
    <w:name w:val="正文文本缩进 2 Char"/>
    <w:basedOn w:val="58"/>
    <w:link w:val="32"/>
    <w:qFormat/>
    <w:uiPriority w:val="0"/>
    <w:rPr>
      <w:rFonts w:hAnsi="MS Sans Serif" w:cs="Times New Roman"/>
      <w:bCs/>
      <w:spacing w:val="12"/>
      <w:sz w:val="24"/>
      <w:lang w:val="zh-CN" w:eastAsia="zh-CN"/>
    </w:rPr>
  </w:style>
  <w:style w:type="paragraph" w:customStyle="1" w:styleId="130">
    <w:name w:val="目录"/>
    <w:basedOn w:val="1"/>
    <w:qFormat/>
    <w:uiPriority w:val="0"/>
    <w:pPr>
      <w:widowControl/>
      <w:jc w:val="center"/>
    </w:pPr>
    <w:rPr>
      <w:rFonts w:hAnsi="Calibri" w:cs="Times New Roman"/>
      <w:b/>
      <w:sz w:val="36"/>
    </w:rPr>
  </w:style>
  <w:style w:type="paragraph" w:customStyle="1" w:styleId="131">
    <w:name w:val="目录文字"/>
    <w:basedOn w:val="1"/>
    <w:qFormat/>
    <w:uiPriority w:val="0"/>
    <w:pPr>
      <w:widowControl/>
      <w:spacing w:line="480" w:lineRule="auto"/>
      <w:jc w:val="left"/>
    </w:pPr>
    <w:rPr>
      <w:rFonts w:cs="Times New Roman"/>
      <w:sz w:val="24"/>
    </w:rPr>
  </w:style>
  <w:style w:type="character" w:customStyle="1" w:styleId="132">
    <w:name w:val="正文文本 2 Char"/>
    <w:basedOn w:val="58"/>
    <w:link w:val="48"/>
    <w:qFormat/>
    <w:uiPriority w:val="0"/>
    <w:rPr>
      <w:rFonts w:hAnsi="Times New Roman" w:cs="Times New Roman"/>
      <w:spacing w:val="-20"/>
      <w:kern w:val="2"/>
      <w:sz w:val="28"/>
      <w:lang w:val="zh-CN" w:eastAsia="zh-CN"/>
    </w:rPr>
  </w:style>
  <w:style w:type="character" w:customStyle="1" w:styleId="133">
    <w:name w:val="正文文本 3 Char"/>
    <w:basedOn w:val="58"/>
    <w:link w:val="19"/>
    <w:qFormat/>
    <w:uiPriority w:val="0"/>
    <w:rPr>
      <w:rFonts w:ascii="仿宋_GB2312" w:eastAsia="仿宋_GB2312" w:cs="Times New Roman"/>
      <w:bCs/>
      <w:color w:val="000000"/>
      <w:kern w:val="2"/>
      <w:sz w:val="24"/>
      <w:szCs w:val="32"/>
      <w:lang w:val="zh-CN" w:eastAsia="zh-CN"/>
    </w:rPr>
  </w:style>
  <w:style w:type="paragraph" w:customStyle="1" w:styleId="1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5">
    <w:name w:val="xl33"/>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6">
    <w:name w:val="标题 Char"/>
    <w:basedOn w:val="58"/>
    <w:link w:val="52"/>
    <w:qFormat/>
    <w:uiPriority w:val="0"/>
    <w:rPr>
      <w:rFonts w:eastAsia="黑体" w:cs="Times New Roman"/>
      <w:b/>
      <w:smallCaps/>
      <w:snapToGrid w:val="0"/>
      <w:kern w:val="2"/>
      <w:sz w:val="44"/>
      <w:szCs w:val="24"/>
      <w:lang w:val="zh-CN" w:eastAsia="zh-CN"/>
    </w:rPr>
  </w:style>
  <w:style w:type="paragraph" w:customStyle="1" w:styleId="137">
    <w:name w:val="段落1 Char"/>
    <w:basedOn w:val="2"/>
    <w:qFormat/>
    <w:uiPriority w:val="0"/>
    <w:pPr>
      <w:spacing w:line="360" w:lineRule="auto"/>
    </w:pPr>
    <w:rPr>
      <w:rFonts w:ascii="Times New Roman" w:hAnsi="Times New Roman" w:eastAsia="宋体" w:cs="Times New Roman"/>
      <w:kern w:val="2"/>
      <w:sz w:val="24"/>
      <w:szCs w:val="21"/>
      <w:lang w:val="zh-CN"/>
    </w:rPr>
  </w:style>
  <w:style w:type="paragraph" w:customStyle="1" w:styleId="138">
    <w:name w:val="样式3"/>
    <w:basedOn w:val="1"/>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39">
    <w:name w:val="简单回函地址"/>
    <w:basedOn w:val="1"/>
    <w:qFormat/>
    <w:uiPriority w:val="0"/>
    <w:rPr>
      <w:rFonts w:ascii="Calibri" w:hAnsi="Calibri" w:cs="Times New Roman"/>
      <w:kern w:val="2"/>
      <w:sz w:val="21"/>
      <w:szCs w:val="22"/>
    </w:rPr>
  </w:style>
  <w:style w:type="paragraph" w:customStyle="1" w:styleId="140">
    <w:name w:val="Char Char Char Char"/>
    <w:basedOn w:val="1"/>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41">
    <w:name w:val="Default Paragraph Char Char Char Char"/>
    <w:basedOn w:val="1"/>
    <w:next w:val="1"/>
    <w:qFormat/>
    <w:uiPriority w:val="0"/>
    <w:pPr>
      <w:widowControl/>
      <w:spacing w:line="360" w:lineRule="auto"/>
      <w:jc w:val="left"/>
    </w:pPr>
    <w:rPr>
      <w:rFonts w:ascii="Calibri" w:hAnsi="Calibri" w:cs="Times New Roman"/>
      <w:sz w:val="21"/>
      <w:lang w:eastAsia="en-US"/>
    </w:rPr>
  </w:style>
  <w:style w:type="character" w:customStyle="1" w:styleId="142">
    <w:name w:val="t_tag"/>
    <w:basedOn w:val="58"/>
    <w:qFormat/>
    <w:uiPriority w:val="0"/>
  </w:style>
  <w:style w:type="table" w:customStyle="1" w:styleId="143">
    <w:name w:val="网格型11"/>
    <w:basedOn w:val="56"/>
    <w:qFormat/>
    <w:uiPriority w:val="59"/>
    <w:rPr>
      <w:rFonts w:ascii="Times New Roman" w:hAnsi="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44">
    <w:name w:val="批注框文本 Char1"/>
    <w:basedOn w:val="58"/>
    <w:qFormat/>
    <w:uiPriority w:val="0"/>
    <w:rPr>
      <w:rFonts w:ascii="Times New Roman" w:hAnsi="Times New Roman" w:eastAsia="宋体" w:cs="Times New Roman"/>
      <w:sz w:val="18"/>
      <w:szCs w:val="18"/>
    </w:rPr>
  </w:style>
  <w:style w:type="character" w:customStyle="1" w:styleId="145">
    <w:name w:val="批注主题 Char1"/>
    <w:basedOn w:val="84"/>
    <w:qFormat/>
    <w:uiPriority w:val="0"/>
    <w:rPr>
      <w:rFonts w:ascii="@仿宋_GB2312" w:hAnsi="@仿宋_GB2312" w:eastAsia="@仿宋_GB2312" w:cs="@仿宋_GB2312"/>
      <w:b/>
      <w:bCs/>
      <w:szCs w:val="20"/>
    </w:rPr>
  </w:style>
  <w:style w:type="paragraph" w:customStyle="1" w:styleId="146">
    <w:name w:val="Char10 Char Char Char Char Char Char Char Char Char"/>
    <w:basedOn w:val="1"/>
    <w:next w:val="1"/>
    <w:qFormat/>
    <w:uiPriority w:val="0"/>
    <w:rPr>
      <w:rFonts w:ascii="Calibri" w:hAnsi="Calibri" w:cs="Times New Roman"/>
      <w:kern w:val="2"/>
      <w:sz w:val="21"/>
      <w:szCs w:val="22"/>
    </w:rPr>
  </w:style>
  <w:style w:type="character" w:customStyle="1" w:styleId="147">
    <w:name w:val="文档结构图 Char"/>
    <w:basedOn w:val="58"/>
    <w:link w:val="16"/>
    <w:qFormat/>
    <w:uiPriority w:val="0"/>
    <w:rPr>
      <w:rFonts w:ascii="Calibri" w:hAnsi="Calibri" w:cs="Times New Roman"/>
      <w:bCs/>
      <w:kern w:val="2"/>
      <w:sz w:val="21"/>
      <w:szCs w:val="32"/>
      <w:shd w:val="clear" w:color="auto" w:fill="000080"/>
      <w:lang w:val="zh-CN" w:eastAsia="zh-CN"/>
    </w:rPr>
  </w:style>
  <w:style w:type="character" w:customStyle="1" w:styleId="148">
    <w:name w:val="标题 1 Char1"/>
    <w:qFormat/>
    <w:uiPriority w:val="0"/>
    <w:rPr>
      <w:rFonts w:ascii="Calibri" w:hAnsi="Calibri" w:eastAsia="宋体"/>
      <w:b/>
      <w:kern w:val="44"/>
      <w:sz w:val="44"/>
      <w:szCs w:val="44"/>
    </w:rPr>
  </w:style>
  <w:style w:type="character" w:customStyle="1" w:styleId="149">
    <w:name w:val="标题 3 Char1"/>
    <w:semiHidden/>
    <w:qFormat/>
    <w:uiPriority w:val="0"/>
    <w:rPr>
      <w:rFonts w:ascii="Calibri" w:hAnsi="Calibri" w:eastAsia="宋体"/>
      <w:b/>
      <w:kern w:val="2"/>
      <w:sz w:val="32"/>
    </w:rPr>
  </w:style>
  <w:style w:type="character" w:customStyle="1" w:styleId="150">
    <w:name w:val="标题 4 Char1"/>
    <w:semiHidden/>
    <w:qFormat/>
    <w:uiPriority w:val="0"/>
    <w:rPr>
      <w:rFonts w:ascii="Cambria" w:hAnsi="Cambria" w:eastAsia="宋体"/>
      <w:b/>
      <w:kern w:val="2"/>
      <w:sz w:val="28"/>
      <w:szCs w:val="28"/>
    </w:rPr>
  </w:style>
  <w:style w:type="character" w:customStyle="1" w:styleId="151">
    <w:name w:val="标题 5 Char1"/>
    <w:semiHidden/>
    <w:qFormat/>
    <w:uiPriority w:val="0"/>
    <w:rPr>
      <w:rFonts w:ascii="Calibri" w:hAnsi="Calibri" w:eastAsia="宋体"/>
      <w:b/>
      <w:kern w:val="2"/>
      <w:sz w:val="28"/>
      <w:szCs w:val="28"/>
    </w:rPr>
  </w:style>
  <w:style w:type="character" w:customStyle="1" w:styleId="152">
    <w:name w:val="标题 6 Char1"/>
    <w:semiHidden/>
    <w:qFormat/>
    <w:uiPriority w:val="0"/>
    <w:rPr>
      <w:rFonts w:ascii="Cambria" w:hAnsi="Cambria" w:eastAsia="宋体"/>
      <w:b/>
      <w:kern w:val="2"/>
      <w:sz w:val="24"/>
      <w:szCs w:val="24"/>
    </w:rPr>
  </w:style>
  <w:style w:type="character" w:customStyle="1" w:styleId="153">
    <w:name w:val="标题 7 Char1"/>
    <w:semiHidden/>
    <w:qFormat/>
    <w:uiPriority w:val="0"/>
    <w:rPr>
      <w:rFonts w:ascii="Calibri" w:hAnsi="Calibri" w:eastAsia="宋体"/>
      <w:b/>
      <w:kern w:val="2"/>
      <w:sz w:val="24"/>
      <w:szCs w:val="24"/>
    </w:rPr>
  </w:style>
  <w:style w:type="character" w:customStyle="1" w:styleId="154">
    <w:name w:val="标题 8 Char1"/>
    <w:semiHidden/>
    <w:qFormat/>
    <w:uiPriority w:val="0"/>
    <w:rPr>
      <w:rFonts w:ascii="Cambria" w:hAnsi="Cambria" w:eastAsia="宋体"/>
      <w:kern w:val="2"/>
      <w:sz w:val="24"/>
      <w:szCs w:val="24"/>
    </w:rPr>
  </w:style>
  <w:style w:type="character" w:customStyle="1" w:styleId="155">
    <w:name w:val="标题 9 Char1"/>
    <w:semiHidden/>
    <w:qFormat/>
    <w:uiPriority w:val="0"/>
    <w:rPr>
      <w:rFonts w:ascii="Cambria" w:hAnsi="Cambria" w:eastAsia="宋体"/>
      <w:kern w:val="2"/>
      <w:sz w:val="21"/>
      <w:szCs w:val="21"/>
    </w:rPr>
  </w:style>
  <w:style w:type="paragraph" w:customStyle="1" w:styleId="156">
    <w:name w:val="MsoNormal"/>
    <w:basedOn w:val="157"/>
    <w:qFormat/>
    <w:uiPriority w:val="0"/>
    <w:rPr>
      <w:rFonts w:ascii="Calibri" w:hAnsi="Calibri" w:eastAsia="Calibri"/>
      <w:sz w:val="21"/>
    </w:rPr>
  </w:style>
  <w:style w:type="paragraph" w:customStyle="1" w:styleId="157">
    <w:name w:val="Normal_0"/>
    <w:qFormat/>
    <w:uiPriority w:val="0"/>
    <w:rPr>
      <w:rFonts w:ascii="Times New Roman" w:hAnsi="Times New Roman" w:eastAsia="宋体" w:cs="Times New Roman"/>
      <w:sz w:val="24"/>
      <w:szCs w:val="24"/>
      <w:lang w:val="en-US" w:eastAsia="zh-CN" w:bidi="ar-SA"/>
    </w:rPr>
  </w:style>
  <w:style w:type="paragraph" w:customStyle="1" w:styleId="158">
    <w:name w:val="标题 2_0"/>
    <w:basedOn w:val="159"/>
    <w:next w:val="160"/>
    <w:link w:val="161"/>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59">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1">
    <w:name w:val="标题 2 Char_0"/>
    <w:link w:val="158"/>
    <w:qFormat/>
    <w:uiPriority w:val="0"/>
    <w:rPr>
      <w:rFonts w:ascii="黑体" w:eastAsia="黑体" w:cs="Times New Roman"/>
      <w:b/>
      <w:smallCaps/>
      <w:snapToGrid w:val="0"/>
      <w:sz w:val="36"/>
      <w:szCs w:val="24"/>
      <w:lang w:val="zh-CN" w:eastAsia="zh-CN"/>
    </w:rPr>
  </w:style>
  <w:style w:type="paragraph" w:customStyle="1" w:styleId="162">
    <w:name w:val="纯文本_0"/>
    <w:basedOn w:val="160"/>
    <w:link w:val="163"/>
    <w:qFormat/>
    <w:uiPriority w:val="99"/>
    <w:rPr>
      <w:rFonts w:ascii="宋体" w:hAnsi="Courier New"/>
      <w:szCs w:val="21"/>
    </w:rPr>
  </w:style>
  <w:style w:type="character" w:customStyle="1" w:styleId="163">
    <w:name w:val="Texte Char1"/>
    <w:link w:val="162"/>
    <w:qFormat/>
    <w:uiPriority w:val="99"/>
    <w:rPr>
      <w:rFonts w:hAnsi="Courier New" w:cs="Times New Roman"/>
      <w:kern w:val="2"/>
      <w:sz w:val="21"/>
      <w:szCs w:val="21"/>
    </w:rPr>
  </w:style>
  <w:style w:type="paragraph" w:customStyle="1" w:styleId="164">
    <w:name w:val="纯文本_1"/>
    <w:basedOn w:val="165"/>
    <w:link w:val="166"/>
    <w:qFormat/>
    <w:uiPriority w:val="0"/>
    <w:rPr>
      <w:rFonts w:ascii="宋体" w:hAnsi="Courier New"/>
      <w:szCs w:val="21"/>
      <w:lang w:val="zh-CN"/>
    </w:rPr>
  </w:style>
  <w:style w:type="paragraph" w:customStyle="1" w:styleId="165">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6">
    <w:name w:val="纯文本 Char1_0"/>
    <w:link w:val="164"/>
    <w:qFormat/>
    <w:uiPriority w:val="0"/>
    <w:rPr>
      <w:rFonts w:hAnsi="Courier New" w:cs="Times New Roman"/>
      <w:kern w:val="2"/>
      <w:sz w:val="21"/>
      <w:szCs w:val="21"/>
      <w:lang w:val="zh-CN" w:eastAsia="zh-CN"/>
    </w:rPr>
  </w:style>
  <w:style w:type="paragraph" w:customStyle="1" w:styleId="167">
    <w:name w:val="标题 3_0"/>
    <w:basedOn w:val="168"/>
    <w:next w:val="169"/>
    <w:link w:val="180"/>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8">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9">
    <w:name w:val="正文缩进_0"/>
    <w:basedOn w:val="168"/>
    <w:unhideWhenUsed/>
    <w:qFormat/>
    <w:uiPriority w:val="0"/>
    <w:pPr>
      <w:ind w:firstLine="420" w:firstLineChars="200"/>
    </w:pPr>
    <w:rPr>
      <w:rFonts w:ascii="Calibri" w:hAnsi="Calibri"/>
      <w:bCs/>
      <w:szCs w:val="32"/>
    </w:rPr>
  </w:style>
  <w:style w:type="paragraph" w:customStyle="1" w:styleId="170">
    <w:name w:val="标题 1_0"/>
    <w:basedOn w:val="168"/>
    <w:next w:val="168"/>
    <w:link w:val="171"/>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71">
    <w:name w:val="标题 1 Char_0"/>
    <w:link w:val="170"/>
    <w:qFormat/>
    <w:uiPriority w:val="0"/>
    <w:rPr>
      <w:rFonts w:ascii="黑体" w:hAnsi="Times New Roman" w:eastAsia="黑体" w:cs="Times New Roman"/>
      <w:sz w:val="52"/>
      <w:lang w:val="zh-CN" w:eastAsia="zh-CN"/>
    </w:rPr>
  </w:style>
  <w:style w:type="paragraph" w:customStyle="1" w:styleId="172">
    <w:name w:val="标题 6_0"/>
    <w:basedOn w:val="168"/>
    <w:next w:val="168"/>
    <w:link w:val="173"/>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3">
    <w:name w:val="标题 6 Char_0"/>
    <w:link w:val="172"/>
    <w:qFormat/>
    <w:uiPriority w:val="0"/>
    <w:rPr>
      <w:rFonts w:ascii="Arial" w:hAnsi="Arial" w:eastAsia="黑体" w:cs="Times New Roman"/>
      <w:b/>
      <w:bCs/>
      <w:sz w:val="24"/>
      <w:szCs w:val="24"/>
      <w:lang w:val="zh-CN" w:eastAsia="zh-CN"/>
    </w:rPr>
  </w:style>
  <w:style w:type="paragraph" w:customStyle="1" w:styleId="174">
    <w:name w:val="标题 7_0"/>
    <w:basedOn w:val="168"/>
    <w:next w:val="168"/>
    <w:link w:val="175"/>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5">
    <w:name w:val="标题 7 Char_0"/>
    <w:link w:val="174"/>
    <w:qFormat/>
    <w:uiPriority w:val="0"/>
    <w:rPr>
      <w:rFonts w:ascii="Times New Roman" w:hAnsi="Times New Roman" w:cs="Times New Roman"/>
      <w:b/>
      <w:bCs/>
      <w:sz w:val="24"/>
      <w:szCs w:val="24"/>
      <w:lang w:val="zh-CN" w:eastAsia="zh-CN"/>
    </w:rPr>
  </w:style>
  <w:style w:type="paragraph" w:customStyle="1" w:styleId="176">
    <w:name w:val="标题 8_0"/>
    <w:basedOn w:val="168"/>
    <w:next w:val="168"/>
    <w:link w:val="177"/>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7">
    <w:name w:val="标题 8 Char_0"/>
    <w:link w:val="176"/>
    <w:qFormat/>
    <w:uiPriority w:val="0"/>
    <w:rPr>
      <w:rFonts w:ascii="Arial" w:hAnsi="Arial" w:eastAsia="黑体" w:cs="Times New Roman"/>
      <w:sz w:val="24"/>
      <w:szCs w:val="24"/>
      <w:lang w:val="zh-CN" w:eastAsia="zh-CN"/>
    </w:rPr>
  </w:style>
  <w:style w:type="paragraph" w:customStyle="1" w:styleId="178">
    <w:name w:val="标题 9_0"/>
    <w:basedOn w:val="168"/>
    <w:next w:val="168"/>
    <w:link w:val="179"/>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79">
    <w:name w:val="标题 9 Char_0"/>
    <w:link w:val="178"/>
    <w:qFormat/>
    <w:uiPriority w:val="0"/>
    <w:rPr>
      <w:rFonts w:ascii="Arial" w:hAnsi="Arial" w:eastAsia="黑体" w:cs="Times New Roman"/>
      <w:sz w:val="21"/>
      <w:szCs w:val="21"/>
      <w:lang w:val="zh-CN" w:eastAsia="zh-CN"/>
    </w:rPr>
  </w:style>
  <w:style w:type="character" w:customStyle="1" w:styleId="180">
    <w:name w:val="标题 3 Char_0"/>
    <w:link w:val="167"/>
    <w:qFormat/>
    <w:uiPriority w:val="0"/>
    <w:rPr>
      <w:rFonts w:ascii="Times New Roman" w:hAnsi="Times New Roman" w:cs="Times New Roman"/>
      <w:b/>
      <w:sz w:val="32"/>
      <w:lang w:val="zh-CN" w:eastAsia="zh-CN"/>
    </w:rPr>
  </w:style>
  <w:style w:type="paragraph" w:customStyle="1" w:styleId="181">
    <w:name w:val="Blockquote_0"/>
    <w:basedOn w:val="168"/>
    <w:link w:val="182"/>
    <w:qFormat/>
    <w:uiPriority w:val="0"/>
    <w:pPr>
      <w:autoSpaceDE w:val="0"/>
      <w:autoSpaceDN w:val="0"/>
      <w:adjustRightInd w:val="0"/>
      <w:spacing w:before="100" w:after="100"/>
      <w:ind w:left="360" w:right="360"/>
      <w:jc w:val="left"/>
    </w:pPr>
    <w:rPr>
      <w:kern w:val="0"/>
      <w:sz w:val="24"/>
      <w:szCs w:val="20"/>
      <w:lang w:val="zh-CN"/>
    </w:rPr>
  </w:style>
  <w:style w:type="character" w:customStyle="1" w:styleId="182">
    <w:name w:val="Blockquote Char_0"/>
    <w:link w:val="181"/>
    <w:qFormat/>
    <w:locked/>
    <w:uiPriority w:val="0"/>
    <w:rPr>
      <w:rFonts w:ascii="Times New Roman" w:hAnsi="Times New Roman" w:cs="Times New Roman"/>
      <w:sz w:val="24"/>
      <w:lang w:val="zh-CN" w:eastAsia="zh-CN"/>
    </w:rPr>
  </w:style>
  <w:style w:type="paragraph" w:customStyle="1" w:styleId="183">
    <w:name w:val="标题 4_0"/>
    <w:basedOn w:val="168"/>
    <w:next w:val="168"/>
    <w:link w:val="184"/>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4">
    <w:name w:val="标题 4 Char_0"/>
    <w:link w:val="183"/>
    <w:qFormat/>
    <w:uiPriority w:val="0"/>
    <w:rPr>
      <w:rFonts w:ascii="Arial" w:hAnsi="Arial" w:eastAsia="黑体" w:cs="Times New Roman"/>
      <w:sz w:val="28"/>
      <w:lang w:val="zh-CN" w:eastAsia="zh-CN"/>
    </w:rPr>
  </w:style>
  <w:style w:type="paragraph" w:customStyle="1" w:styleId="185">
    <w:name w:val="纯文本_2"/>
    <w:basedOn w:val="168"/>
    <w:link w:val="186"/>
    <w:qFormat/>
    <w:uiPriority w:val="0"/>
    <w:rPr>
      <w:rFonts w:ascii="宋体" w:hAnsi="Courier New"/>
      <w:szCs w:val="21"/>
      <w:lang w:val="zh-CN"/>
    </w:rPr>
  </w:style>
  <w:style w:type="character" w:customStyle="1" w:styleId="186">
    <w:name w:val="纯文本 Char1_1"/>
    <w:link w:val="185"/>
    <w:qFormat/>
    <w:uiPriority w:val="0"/>
    <w:rPr>
      <w:rFonts w:hAnsi="Courier New" w:cs="Times New Roman"/>
      <w:kern w:val="2"/>
      <w:sz w:val="21"/>
      <w:szCs w:val="21"/>
      <w:lang w:val="zh-CN" w:eastAsia="zh-CN"/>
    </w:rPr>
  </w:style>
  <w:style w:type="paragraph" w:customStyle="1" w:styleId="187">
    <w:name w:val="Blockquote_0_1"/>
    <w:basedOn w:val="188"/>
    <w:link w:val="189"/>
    <w:qFormat/>
    <w:uiPriority w:val="0"/>
    <w:pPr>
      <w:autoSpaceDE w:val="0"/>
      <w:autoSpaceDN w:val="0"/>
      <w:adjustRightInd w:val="0"/>
      <w:spacing w:before="100" w:after="100"/>
      <w:ind w:left="360" w:right="360"/>
      <w:jc w:val="left"/>
    </w:pPr>
    <w:rPr>
      <w:kern w:val="0"/>
      <w:sz w:val="24"/>
      <w:szCs w:val="20"/>
      <w:lang w:val="zh-CN"/>
    </w:rPr>
  </w:style>
  <w:style w:type="paragraph" w:customStyle="1" w:styleId="188">
    <w:name w:val="正文_1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9">
    <w:name w:val="Blockquote Char_0_1"/>
    <w:link w:val="187"/>
    <w:qFormat/>
    <w:locked/>
    <w:uiPriority w:val="0"/>
    <w:rPr>
      <w:rFonts w:ascii="Times New Roman" w:hAnsi="Times New Roman" w:cs="Times New Roman"/>
      <w:sz w:val="24"/>
      <w:lang w:val="zh-CN" w:eastAsia="zh-CN"/>
    </w:rPr>
  </w:style>
  <w:style w:type="paragraph" w:customStyle="1" w:styleId="190">
    <w:name w:val="正文文本_0"/>
    <w:basedOn w:val="168"/>
    <w:link w:val="191"/>
    <w:qFormat/>
    <w:uiPriority w:val="0"/>
    <w:pPr>
      <w:spacing w:after="120"/>
    </w:pPr>
    <w:rPr>
      <w:lang w:val="zh-CN"/>
    </w:rPr>
  </w:style>
  <w:style w:type="character" w:customStyle="1" w:styleId="191">
    <w:name w:val="正文文本 Char_0"/>
    <w:link w:val="190"/>
    <w:qFormat/>
    <w:uiPriority w:val="0"/>
    <w:rPr>
      <w:rFonts w:ascii="Times New Roman" w:hAnsi="Times New Roman" w:cs="Times New Roman"/>
      <w:kern w:val="2"/>
      <w:sz w:val="21"/>
      <w:szCs w:val="24"/>
      <w:lang w:val="zh-CN" w:eastAsia="zh-CN"/>
    </w:rPr>
  </w:style>
  <w:style w:type="paragraph" w:customStyle="1" w:styleId="192">
    <w:name w:val="普通(网站)_0"/>
    <w:basedOn w:val="168"/>
    <w:qFormat/>
    <w:uiPriority w:val="0"/>
    <w:pPr>
      <w:widowControl/>
      <w:spacing w:before="100" w:beforeAutospacing="1" w:after="100" w:afterAutospacing="1"/>
      <w:jc w:val="left"/>
    </w:pPr>
    <w:rPr>
      <w:rFonts w:ascii="宋体" w:hAnsi="宋体"/>
      <w:kern w:val="0"/>
      <w:sz w:val="24"/>
    </w:rPr>
  </w:style>
  <w:style w:type="paragraph" w:customStyle="1" w:styleId="19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5">
    <w:name w:val="脚注文本_0"/>
    <w:basedOn w:val="116"/>
    <w:link w:val="196"/>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6">
    <w:name w:val="脚注文本 Char_0"/>
    <w:link w:val="195"/>
    <w:qFormat/>
    <w:uiPriority w:val="0"/>
    <w:rPr>
      <w:rFonts w:ascii="Times New Roman" w:hAnsi="Times New Roman" w:cs="Times New Roman"/>
      <w:sz w:val="18"/>
      <w:lang w:val="zh-CN" w:eastAsia="zh-CN"/>
    </w:rPr>
  </w:style>
  <w:style w:type="paragraph" w:customStyle="1" w:styleId="197">
    <w:name w:val="font5"/>
    <w:basedOn w:val="1"/>
    <w:qFormat/>
    <w:uiPriority w:val="0"/>
    <w:pPr>
      <w:widowControl/>
      <w:spacing w:before="100" w:beforeAutospacing="1" w:after="100" w:afterAutospacing="1"/>
      <w:jc w:val="left"/>
    </w:pPr>
    <w:rPr>
      <w:rFonts w:hint="eastAsia" w:cs="Times New Roman"/>
      <w:sz w:val="18"/>
      <w:szCs w:val="18"/>
    </w:rPr>
  </w:style>
  <w:style w:type="paragraph" w:customStyle="1" w:styleId="19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19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3">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0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1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1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2">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3">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4">
    <w:name w:val="xl42"/>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5">
    <w:name w:val="xl43"/>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6">
    <w:name w:val="xl44"/>
    <w:basedOn w:val="1"/>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7">
    <w:name w:val="xl45"/>
    <w:basedOn w:val="1"/>
    <w:qFormat/>
    <w:uiPriority w:val="0"/>
    <w:pPr>
      <w:widowControl/>
      <w:spacing w:before="100" w:beforeAutospacing="1" w:after="100" w:afterAutospacing="1"/>
      <w:jc w:val="left"/>
      <w:textAlignment w:val="top"/>
    </w:pPr>
    <w:rPr>
      <w:rFonts w:cs="Times New Roman"/>
      <w:sz w:val="24"/>
      <w:szCs w:val="24"/>
    </w:rPr>
  </w:style>
  <w:style w:type="paragraph" w:customStyle="1" w:styleId="218">
    <w:name w:val="font6"/>
    <w:basedOn w:val="1"/>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19">
    <w:name w:val="Char Char Char Char Char"/>
    <w:basedOn w:val="1"/>
    <w:qFormat/>
    <w:uiPriority w:val="0"/>
    <w:rPr>
      <w:rFonts w:ascii="Tahoma" w:hAnsi="Tahoma" w:cs="Times New Roman"/>
      <w:kern w:val="2"/>
      <w:sz w:val="24"/>
    </w:rPr>
  </w:style>
  <w:style w:type="paragraph" w:customStyle="1" w:styleId="220">
    <w:name w:val="范本目录"/>
    <w:basedOn w:val="1"/>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21">
    <w:name w:val="副标题 Char"/>
    <w:basedOn w:val="58"/>
    <w:link w:val="41"/>
    <w:qFormat/>
    <w:uiPriority w:val="0"/>
    <w:rPr>
      <w:rFonts w:ascii="Arial" w:hAnsi="Arial" w:cs="Times New Roman"/>
      <w:b/>
      <w:bCs/>
      <w:kern w:val="28"/>
      <w:sz w:val="32"/>
      <w:szCs w:val="32"/>
      <w:lang w:val="zh-CN" w:eastAsia="zh-CN"/>
    </w:rPr>
  </w:style>
  <w:style w:type="character" w:customStyle="1" w:styleId="222">
    <w:name w:val="Char Char"/>
    <w:qFormat/>
    <w:uiPriority w:val="0"/>
    <w:rPr>
      <w:rFonts w:ascii="宋体" w:hAnsi="Courier New" w:eastAsia="宋体" w:cs="Courier New"/>
      <w:kern w:val="2"/>
      <w:sz w:val="21"/>
      <w:szCs w:val="21"/>
      <w:lang w:val="en-US" w:eastAsia="zh-CN" w:bidi="ar-SA"/>
    </w:rPr>
  </w:style>
  <w:style w:type="character" w:customStyle="1" w:styleId="223">
    <w:name w:val="标题4 Char Char"/>
    <w:link w:val="224"/>
    <w:qFormat/>
    <w:uiPriority w:val="0"/>
    <w:rPr>
      <w:rFonts w:ascii="Arial" w:hAnsi="Arial"/>
      <w:b/>
      <w:bCs/>
      <w:sz w:val="24"/>
      <w:szCs w:val="32"/>
    </w:rPr>
  </w:style>
  <w:style w:type="paragraph" w:customStyle="1" w:styleId="224">
    <w:name w:val="标题4"/>
    <w:basedOn w:val="4"/>
    <w:next w:val="27"/>
    <w:link w:val="223"/>
    <w:qFormat/>
    <w:uiPriority w:val="0"/>
    <w:pPr>
      <w:spacing w:before="0" w:after="0" w:line="413" w:lineRule="auto"/>
    </w:pPr>
    <w:rPr>
      <w:rFonts w:ascii="Arial" w:hAnsi="Arial" w:cstheme="minorBidi"/>
      <w:kern w:val="0"/>
      <w:sz w:val="24"/>
      <w:lang w:val="en-US"/>
    </w:rPr>
  </w:style>
  <w:style w:type="character" w:customStyle="1" w:styleId="225">
    <w:name w:val="明显引用 Char"/>
    <w:link w:val="226"/>
    <w:qFormat/>
    <w:uiPriority w:val="0"/>
    <w:rPr>
      <w:b/>
      <w:bCs/>
      <w:i/>
      <w:iCs/>
      <w:color w:val="4F81BD"/>
    </w:rPr>
  </w:style>
  <w:style w:type="paragraph" w:styleId="226">
    <w:name w:val="Intense Quote"/>
    <w:basedOn w:val="1"/>
    <w:next w:val="1"/>
    <w:link w:val="225"/>
    <w:qFormat/>
    <w:uiPriority w:val="0"/>
    <w:pPr>
      <w:pBdr>
        <w:bottom w:val="single" w:color="4F81BD" w:themeColor="accent1" w:sz="4" w:space="4"/>
      </w:pBdr>
      <w:spacing w:before="200" w:after="280"/>
      <w:ind w:left="936" w:right="936"/>
    </w:pPr>
    <w:rPr>
      <w:b/>
      <w:bCs/>
      <w:i/>
      <w:iCs/>
      <w:color w:val="4F81BD"/>
    </w:rPr>
  </w:style>
  <w:style w:type="paragraph" w:customStyle="1" w:styleId="227">
    <w:name w:val="明显引用1"/>
    <w:basedOn w:val="1"/>
    <w:next w:val="1"/>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8">
    <w:name w:val="明显引用 Char1"/>
    <w:basedOn w:val="58"/>
    <w:qFormat/>
    <w:uiPriority w:val="30"/>
    <w:rPr>
      <w:rFonts w:ascii="Times New Roman" w:hAnsi="Times New Roman" w:eastAsia="宋体" w:cs="Times New Roman"/>
      <w:i/>
      <w:iCs/>
      <w:color w:val="5B9BD5"/>
      <w:szCs w:val="24"/>
    </w:rPr>
  </w:style>
  <w:style w:type="character" w:customStyle="1" w:styleId="229">
    <w:name w:val="标题5 Char Char"/>
    <w:link w:val="230"/>
    <w:qFormat/>
    <w:uiPriority w:val="0"/>
    <w:rPr>
      <w:rFonts w:ascii="Arial" w:hAnsi="Arial"/>
      <w:b/>
      <w:bCs/>
      <w:sz w:val="24"/>
      <w:szCs w:val="32"/>
    </w:rPr>
  </w:style>
  <w:style w:type="paragraph" w:customStyle="1" w:styleId="230">
    <w:name w:val="标题5"/>
    <w:basedOn w:val="5"/>
    <w:link w:val="229"/>
    <w:qFormat/>
    <w:uiPriority w:val="0"/>
    <w:pPr>
      <w:spacing w:line="413" w:lineRule="auto"/>
      <w:jc w:val="left"/>
    </w:pPr>
    <w:rPr>
      <w:rFonts w:ascii="Arial" w:hAnsi="Arial"/>
      <w:sz w:val="24"/>
    </w:rPr>
  </w:style>
  <w:style w:type="character" w:customStyle="1" w:styleId="231">
    <w:name w:val="引用 Char"/>
    <w:link w:val="232"/>
    <w:qFormat/>
    <w:uiPriority w:val="0"/>
    <w:rPr>
      <w:i/>
      <w:iCs/>
      <w:color w:val="000000"/>
    </w:rPr>
  </w:style>
  <w:style w:type="paragraph" w:styleId="232">
    <w:name w:val="Quote"/>
    <w:basedOn w:val="1"/>
    <w:next w:val="1"/>
    <w:link w:val="231"/>
    <w:qFormat/>
    <w:uiPriority w:val="0"/>
    <w:rPr>
      <w:i/>
      <w:iCs/>
      <w:color w:val="000000"/>
    </w:rPr>
  </w:style>
  <w:style w:type="paragraph" w:customStyle="1" w:styleId="233">
    <w:name w:val="引用1"/>
    <w:basedOn w:val="1"/>
    <w:next w:val="1"/>
    <w:qFormat/>
    <w:uiPriority w:val="0"/>
    <w:rPr>
      <w:rFonts w:ascii="Calibri" w:hAnsi="Calibri" w:cs="Times New Roman"/>
      <w:i/>
      <w:iCs/>
      <w:color w:val="000000"/>
      <w:kern w:val="2"/>
      <w:sz w:val="21"/>
      <w:szCs w:val="22"/>
    </w:rPr>
  </w:style>
  <w:style w:type="character" w:customStyle="1" w:styleId="234">
    <w:name w:val="引用 Char1"/>
    <w:basedOn w:val="58"/>
    <w:qFormat/>
    <w:uiPriority w:val="29"/>
    <w:rPr>
      <w:rFonts w:ascii="Times New Roman" w:hAnsi="Times New Roman" w:eastAsia="宋体" w:cs="Times New Roman"/>
      <w:i/>
      <w:iCs/>
      <w:color w:val="404040"/>
      <w:szCs w:val="24"/>
    </w:rPr>
  </w:style>
  <w:style w:type="character" w:customStyle="1" w:styleId="235">
    <w:name w:val="ask-title2"/>
    <w:qFormat/>
    <w:uiPriority w:val="0"/>
  </w:style>
  <w:style w:type="character" w:customStyle="1" w:styleId="236">
    <w:name w:val="正文文本 Char1"/>
    <w:qFormat/>
    <w:uiPriority w:val="0"/>
    <w:rPr>
      <w:kern w:val="2"/>
      <w:sz w:val="21"/>
      <w:szCs w:val="22"/>
    </w:rPr>
  </w:style>
  <w:style w:type="character" w:customStyle="1" w:styleId="237">
    <w:name w:val="不明显强调1"/>
    <w:qFormat/>
    <w:uiPriority w:val="0"/>
    <w:rPr>
      <w:i/>
      <w:iCs/>
      <w:color w:val="808080"/>
    </w:rPr>
  </w:style>
  <w:style w:type="character" w:customStyle="1" w:styleId="238">
    <w:name w:val="明显参考1"/>
    <w:qFormat/>
    <w:uiPriority w:val="0"/>
    <w:rPr>
      <w:b/>
      <w:bCs/>
      <w:smallCaps/>
      <w:color w:val="C0504D"/>
      <w:spacing w:val="5"/>
      <w:u w:val="single"/>
    </w:rPr>
  </w:style>
  <w:style w:type="character" w:customStyle="1" w:styleId="239">
    <w:name w:val="书籍标题1"/>
    <w:qFormat/>
    <w:uiPriority w:val="0"/>
    <w:rPr>
      <w:b/>
      <w:bCs/>
      <w:smallCaps/>
      <w:spacing w:val="5"/>
    </w:rPr>
  </w:style>
  <w:style w:type="character" w:customStyle="1" w:styleId="240">
    <w:name w:val="日期 Char1"/>
    <w:qFormat/>
    <w:uiPriority w:val="0"/>
    <w:rPr>
      <w:kern w:val="2"/>
      <w:sz w:val="21"/>
      <w:szCs w:val="22"/>
    </w:rPr>
  </w:style>
  <w:style w:type="character" w:customStyle="1" w:styleId="241">
    <w:name w:val="明显强调1"/>
    <w:qFormat/>
    <w:uiPriority w:val="0"/>
    <w:rPr>
      <w:b/>
      <w:bCs/>
      <w:i/>
      <w:iCs/>
      <w:color w:val="4F81BD"/>
    </w:rPr>
  </w:style>
  <w:style w:type="character" w:customStyle="1" w:styleId="242">
    <w:name w:val="textcontents"/>
    <w:qFormat/>
    <w:uiPriority w:val="0"/>
    <w:rPr>
      <w:rFonts w:cs="Times New Roman"/>
    </w:rPr>
  </w:style>
  <w:style w:type="character" w:customStyle="1" w:styleId="243">
    <w:name w:val="不明显参考1"/>
    <w:qFormat/>
    <w:uiPriority w:val="0"/>
    <w:rPr>
      <w:smallCaps/>
      <w:color w:val="C0504D"/>
      <w:u w:val="single"/>
    </w:rPr>
  </w:style>
  <w:style w:type="character" w:customStyle="1" w:styleId="244">
    <w:name w:val="批注文字 Char Char"/>
    <w:qFormat/>
    <w:uiPriority w:val="0"/>
    <w:rPr>
      <w:rFonts w:ascii="宋体" w:hAnsi="Times New Roman" w:eastAsia="宋体" w:cs="Times New Roman"/>
      <w:sz w:val="28"/>
      <w:szCs w:val="20"/>
    </w:rPr>
  </w:style>
  <w:style w:type="character" w:customStyle="1" w:styleId="245">
    <w:name w:val="文档结构图 Char1"/>
    <w:qFormat/>
    <w:uiPriority w:val="0"/>
    <w:rPr>
      <w:rFonts w:ascii="宋体"/>
      <w:kern w:val="2"/>
      <w:sz w:val="18"/>
      <w:szCs w:val="18"/>
    </w:rPr>
  </w:style>
  <w:style w:type="paragraph" w:customStyle="1" w:styleId="246">
    <w:name w:val="修订1"/>
    <w:qFormat/>
    <w:uiPriority w:val="0"/>
    <w:rPr>
      <w:rFonts w:ascii="Times New Roman" w:hAnsi="Times New Roman" w:eastAsia="宋体" w:cs="Times New Roman"/>
      <w:kern w:val="2"/>
      <w:sz w:val="21"/>
      <w:szCs w:val="24"/>
      <w:lang w:val="en-US" w:eastAsia="zh-CN" w:bidi="ar-SA"/>
    </w:rPr>
  </w:style>
  <w:style w:type="character" w:customStyle="1" w:styleId="247">
    <w:name w:val="页脚 Char1"/>
    <w:semiHidden/>
    <w:qFormat/>
    <w:uiPriority w:val="99"/>
    <w:rPr>
      <w:kern w:val="2"/>
      <w:sz w:val="18"/>
      <w:szCs w:val="18"/>
    </w:rPr>
  </w:style>
  <w:style w:type="character" w:customStyle="1" w:styleId="248">
    <w:name w:val="批注框文本 Char2"/>
    <w:semiHidden/>
    <w:qFormat/>
    <w:uiPriority w:val="99"/>
    <w:rPr>
      <w:kern w:val="2"/>
      <w:sz w:val="18"/>
      <w:szCs w:val="18"/>
    </w:rPr>
  </w:style>
  <w:style w:type="character" w:customStyle="1" w:styleId="249">
    <w:name w:val="批注主题 Char2"/>
    <w:semiHidden/>
    <w:qFormat/>
    <w:uiPriority w:val="99"/>
    <w:rPr>
      <w:b/>
      <w:bCs/>
      <w:kern w:val="2"/>
      <w:sz w:val="21"/>
      <w:szCs w:val="22"/>
    </w:rPr>
  </w:style>
  <w:style w:type="character" w:customStyle="1" w:styleId="250">
    <w:name w:val="文档结构图 Char2"/>
    <w:semiHidden/>
    <w:qFormat/>
    <w:uiPriority w:val="99"/>
    <w:rPr>
      <w:rFonts w:ascii="宋体"/>
      <w:kern w:val="2"/>
      <w:sz w:val="18"/>
      <w:szCs w:val="18"/>
    </w:rPr>
  </w:style>
  <w:style w:type="character" w:customStyle="1" w:styleId="251">
    <w:name w:val="页眉 Char1"/>
    <w:semiHidden/>
    <w:qFormat/>
    <w:uiPriority w:val="99"/>
    <w:rPr>
      <w:kern w:val="2"/>
      <w:sz w:val="18"/>
      <w:szCs w:val="18"/>
    </w:rPr>
  </w:style>
  <w:style w:type="character" w:customStyle="1" w:styleId="252">
    <w:name w:val="日期 Char2"/>
    <w:semiHidden/>
    <w:qFormat/>
    <w:uiPriority w:val="99"/>
    <w:rPr>
      <w:kern w:val="2"/>
      <w:sz w:val="21"/>
      <w:szCs w:val="22"/>
    </w:rPr>
  </w:style>
  <w:style w:type="character" w:customStyle="1" w:styleId="253">
    <w:name w:val="正文文本 Char2"/>
    <w:semiHidden/>
    <w:qFormat/>
    <w:uiPriority w:val="99"/>
    <w:rPr>
      <w:kern w:val="2"/>
      <w:sz w:val="21"/>
      <w:szCs w:val="22"/>
    </w:rPr>
  </w:style>
  <w:style w:type="character" w:customStyle="1" w:styleId="254">
    <w:name w:val="标题 Char1"/>
    <w:qFormat/>
    <w:uiPriority w:val="10"/>
    <w:rPr>
      <w:rFonts w:ascii="Cambria" w:hAnsi="Cambria" w:cs="Times New Roman"/>
      <w:b/>
      <w:bCs/>
      <w:kern w:val="2"/>
      <w:sz w:val="32"/>
      <w:szCs w:val="32"/>
    </w:rPr>
  </w:style>
  <w:style w:type="character" w:customStyle="1" w:styleId="255">
    <w:name w:val="副标题 Char1"/>
    <w:qFormat/>
    <w:uiPriority w:val="11"/>
    <w:rPr>
      <w:rFonts w:ascii="Cambria" w:hAnsi="Cambria" w:cs="Times New Roman"/>
      <w:b/>
      <w:bCs/>
      <w:kern w:val="28"/>
      <w:sz w:val="32"/>
      <w:szCs w:val="32"/>
    </w:rPr>
  </w:style>
  <w:style w:type="paragraph" w:customStyle="1" w:styleId="256">
    <w:name w:val="空半行"/>
    <w:basedOn w:val="1"/>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7">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8">
    <w:name w:val="flNote"/>
    <w:basedOn w:val="1"/>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59">
    <w:name w:val="正文2 Char"/>
    <w:link w:val="260"/>
    <w:qFormat/>
    <w:uiPriority w:val="0"/>
    <w:rPr>
      <w:rFonts w:ascii="楷体" w:eastAsia="楷体"/>
      <w:b/>
      <w:color w:val="0000FF"/>
    </w:rPr>
  </w:style>
  <w:style w:type="paragraph" w:customStyle="1" w:styleId="260">
    <w:name w:val="正文2"/>
    <w:link w:val="259"/>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61">
    <w:name w:val="p0"/>
    <w:basedOn w:val="1"/>
    <w:qFormat/>
    <w:uiPriority w:val="0"/>
    <w:pPr>
      <w:widowControl/>
      <w:spacing w:before="100" w:beforeAutospacing="1" w:after="100" w:afterAutospacing="1"/>
      <w:jc w:val="left"/>
    </w:pPr>
    <w:rPr>
      <w:rFonts w:cs="宋体"/>
      <w:sz w:val="24"/>
      <w:szCs w:val="24"/>
    </w:rPr>
  </w:style>
  <w:style w:type="character" w:customStyle="1" w:styleId="262">
    <w:name w:val="正文文本 (2)_"/>
    <w:link w:val="263"/>
    <w:qFormat/>
    <w:locked/>
    <w:uiPriority w:val="99"/>
    <w:rPr>
      <w:rFonts w:ascii="MingLiU" w:eastAsia="MingLiU" w:cs="MingLiU"/>
      <w:spacing w:val="20"/>
      <w:sz w:val="22"/>
      <w:shd w:val="clear" w:color="auto" w:fill="FFFFFF"/>
    </w:rPr>
  </w:style>
  <w:style w:type="paragraph" w:customStyle="1" w:styleId="263">
    <w:name w:val="正文文本 (2)1"/>
    <w:basedOn w:val="1"/>
    <w:link w:val="262"/>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4">
    <w:name w:val="正文文本 (2) + 间距 0 pt5"/>
    <w:qFormat/>
    <w:uiPriority w:val="99"/>
    <w:rPr>
      <w:rFonts w:ascii="MingLiU" w:eastAsia="MingLiU" w:cs="MingLiU"/>
      <w:spacing w:val="0"/>
      <w:sz w:val="22"/>
      <w:shd w:val="clear" w:color="auto" w:fill="FFFFFF"/>
    </w:rPr>
  </w:style>
  <w:style w:type="character" w:customStyle="1" w:styleId="265">
    <w:name w:val="访问过的超链接1"/>
    <w:basedOn w:val="58"/>
    <w:semiHidden/>
    <w:unhideWhenUsed/>
    <w:qFormat/>
    <w:uiPriority w:val="99"/>
    <w:rPr>
      <w:color w:val="954F72"/>
      <w:u w:val="single"/>
    </w:rPr>
  </w:style>
  <w:style w:type="character" w:customStyle="1" w:styleId="266">
    <w:name w:val="明显引用 Char2"/>
    <w:basedOn w:val="58"/>
    <w:qFormat/>
    <w:uiPriority w:val="30"/>
    <w:rPr>
      <w:b/>
      <w:bCs/>
      <w:i/>
      <w:iCs/>
      <w:color w:val="4F81BD" w:themeColor="accent1"/>
      <w14:textFill>
        <w14:solidFill>
          <w14:schemeClr w14:val="accent1"/>
        </w14:solidFill>
      </w14:textFill>
    </w:rPr>
  </w:style>
  <w:style w:type="character" w:customStyle="1" w:styleId="267">
    <w:name w:val="引用 Char2"/>
    <w:basedOn w:val="58"/>
    <w:qFormat/>
    <w:uiPriority w:val="29"/>
    <w:rPr>
      <w:i/>
      <w:iCs/>
      <w:color w:val="000000" w:themeColor="text1"/>
      <w14:textFill>
        <w14:solidFill>
          <w14:schemeClr w14:val="tx1"/>
        </w14:solidFill>
      </w14:textFill>
    </w:rPr>
  </w:style>
  <w:style w:type="table" w:customStyle="1" w:styleId="268">
    <w:name w:val="网格型4"/>
    <w:basedOn w:val="56"/>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9">
    <w:name w:val="Table Normal"/>
    <w:semiHidden/>
    <w:unhideWhenUsed/>
    <w:qFormat/>
    <w:uiPriority w:val="0"/>
    <w:tblPr>
      <w:tblCellMar>
        <w:top w:w="0" w:type="dxa"/>
        <w:left w:w="0" w:type="dxa"/>
        <w:bottom w:w="0" w:type="dxa"/>
        <w:right w:w="0" w:type="dxa"/>
      </w:tblCellMar>
    </w:tblPr>
  </w:style>
  <w:style w:type="paragraph" w:customStyle="1" w:styleId="270">
    <w:name w:val="Table Text"/>
    <w:basedOn w:val="1"/>
    <w:semiHidden/>
    <w:qFormat/>
    <w:uiPriority w:val="0"/>
    <w:rPr>
      <w:rFonts w:ascii="Arial" w:hAnsi="Arial" w:eastAsia="Arial" w:cs="Arial"/>
      <w:sz w:val="21"/>
      <w:szCs w:val="21"/>
      <w:lang w:val="en-US" w:eastAsia="en-US" w:bidi="ar-SA"/>
    </w:rPr>
  </w:style>
  <w:style w:type="character" w:customStyle="1" w:styleId="271">
    <w:name w:val="NormalCharacter"/>
    <w:qFormat/>
    <w:uiPriority w:val="99"/>
  </w:style>
  <w:style w:type="character" w:customStyle="1" w:styleId="272">
    <w:name w:val="font21"/>
    <w:basedOn w:val="58"/>
    <w:qFormat/>
    <w:uiPriority w:val="0"/>
    <w:rPr>
      <w:rFonts w:hint="eastAsia" w:ascii="宋体" w:hAnsi="宋体" w:eastAsia="宋体" w:cs="宋体"/>
      <w:color w:val="000000"/>
      <w:sz w:val="24"/>
      <w:szCs w:val="24"/>
      <w:u w:val="none"/>
    </w:rPr>
  </w:style>
  <w:style w:type="character" w:customStyle="1" w:styleId="273">
    <w:name w:val="font61"/>
    <w:basedOn w:val="58"/>
    <w:qFormat/>
    <w:uiPriority w:val="0"/>
    <w:rPr>
      <w:rFonts w:hint="eastAsia" w:ascii="宋体" w:hAnsi="宋体" w:eastAsia="宋体" w:cs="宋体"/>
      <w:color w:val="000000"/>
      <w:sz w:val="24"/>
      <w:szCs w:val="24"/>
      <w:u w:val="none"/>
      <w:vertAlign w:val="superscript"/>
    </w:rPr>
  </w:style>
  <w:style w:type="paragraph" w:customStyle="1" w:styleId="274">
    <w:name w:val="样式 样式 正文文本缩进正文文字缩进 + 首行缩进:  2 字符2 + 首行缩进:  2 字符"/>
    <w:basedOn w:val="1"/>
    <w:qFormat/>
    <w:uiPriority w:val="0"/>
    <w:pPr>
      <w:ind w:left="100" w:leftChars="100" w:right="100" w:rightChars="100" w:firstLine="200" w:firstLineChars="100"/>
    </w:pPr>
    <w:rPr>
      <w:rFonts w:hAnsi="Arial"/>
      <w:szCs w:val="22"/>
    </w:rPr>
  </w:style>
  <w:style w:type="paragraph" w:customStyle="1" w:styleId="275">
    <w:name w:val="Body text|1"/>
    <w:basedOn w:val="1"/>
    <w:autoRedefine/>
    <w:qFormat/>
    <w:uiPriority w:val="99"/>
    <w:pPr>
      <w:spacing w:line="398" w:lineRule="auto"/>
      <w:ind w:firstLine="400"/>
    </w:pPr>
    <w:rPr>
      <w:rFonts w:ascii="宋体" w:hAnsi="宋体" w:cs="宋体"/>
      <w:sz w:val="30"/>
      <w:szCs w:val="3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46.jpeg"/><Relationship Id="rId7" Type="http://schemas.openxmlformats.org/officeDocument/2006/relationships/footer" Target="footer3.xml"/><Relationship Id="rId69" Type="http://schemas.openxmlformats.org/officeDocument/2006/relationships/image" Target="media/image45.jpeg"/><Relationship Id="rId68" Type="http://schemas.openxmlformats.org/officeDocument/2006/relationships/image" Target="media/image44.png"/><Relationship Id="rId67" Type="http://schemas.openxmlformats.org/officeDocument/2006/relationships/image" Target="media/image43.jpeg"/><Relationship Id="rId66" Type="http://schemas.openxmlformats.org/officeDocument/2006/relationships/image" Target="media/image42.jpeg"/><Relationship Id="rId65" Type="http://schemas.openxmlformats.org/officeDocument/2006/relationships/image" Target="media/image41.jpeg"/><Relationship Id="rId64" Type="http://schemas.openxmlformats.org/officeDocument/2006/relationships/image" Target="media/image40.jpeg"/><Relationship Id="rId63" Type="http://schemas.openxmlformats.org/officeDocument/2006/relationships/image" Target="media/image39.png"/><Relationship Id="rId62" Type="http://schemas.openxmlformats.org/officeDocument/2006/relationships/image" Target="media/image38.jpeg"/><Relationship Id="rId61" Type="http://schemas.openxmlformats.org/officeDocument/2006/relationships/image" Target="media/image37.jpeg"/><Relationship Id="rId60" Type="http://schemas.openxmlformats.org/officeDocument/2006/relationships/image" Target="media/image36.jpeg"/><Relationship Id="rId6" Type="http://schemas.openxmlformats.org/officeDocument/2006/relationships/header" Target="header2.xml"/><Relationship Id="rId59" Type="http://schemas.openxmlformats.org/officeDocument/2006/relationships/image" Target="media/image35.jpeg"/><Relationship Id="rId58" Type="http://schemas.openxmlformats.org/officeDocument/2006/relationships/image" Target="media/image34.jpeg"/><Relationship Id="rId57" Type="http://schemas.openxmlformats.org/officeDocument/2006/relationships/image" Target="media/image33.jpeg"/><Relationship Id="rId56" Type="http://schemas.openxmlformats.org/officeDocument/2006/relationships/image" Target="media/image32.jpeg"/><Relationship Id="rId55" Type="http://schemas.openxmlformats.org/officeDocument/2006/relationships/image" Target="media/image31.jpeg"/><Relationship Id="rId54" Type="http://schemas.openxmlformats.org/officeDocument/2006/relationships/image" Target="media/image30.jpeg"/><Relationship Id="rId53" Type="http://schemas.openxmlformats.org/officeDocument/2006/relationships/image" Target="media/image29.jpeg"/><Relationship Id="rId52" Type="http://schemas.openxmlformats.org/officeDocument/2006/relationships/image" Target="media/image28.jpeg"/><Relationship Id="rId51" Type="http://schemas.openxmlformats.org/officeDocument/2006/relationships/image" Target="media/image27.jpeg"/><Relationship Id="rId50" Type="http://schemas.openxmlformats.org/officeDocument/2006/relationships/image" Target="media/image26.jpeg"/><Relationship Id="rId5" Type="http://schemas.openxmlformats.org/officeDocument/2006/relationships/footer" Target="footer2.xml"/><Relationship Id="rId49" Type="http://schemas.openxmlformats.org/officeDocument/2006/relationships/image" Target="media/image25.jpeg"/><Relationship Id="rId48" Type="http://schemas.openxmlformats.org/officeDocument/2006/relationships/image" Target="media/image24.jpeg"/><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jpeg"/><Relationship Id="rId44" Type="http://schemas.openxmlformats.org/officeDocument/2006/relationships/image" Target="media/image20.jpeg"/><Relationship Id="rId43" Type="http://schemas.openxmlformats.org/officeDocument/2006/relationships/image" Target="media/image19.jpeg"/><Relationship Id="rId42" Type="http://schemas.openxmlformats.org/officeDocument/2006/relationships/image" Target="media/image18.jpeg"/><Relationship Id="rId41" Type="http://schemas.openxmlformats.org/officeDocument/2006/relationships/image" Target="media/image17.jpeg"/><Relationship Id="rId40" Type="http://schemas.openxmlformats.org/officeDocument/2006/relationships/image" Target="media/image16.jpeg"/><Relationship Id="rId4" Type="http://schemas.openxmlformats.org/officeDocument/2006/relationships/footer" Target="footer1.xml"/><Relationship Id="rId39" Type="http://schemas.openxmlformats.org/officeDocument/2006/relationships/image" Target="media/image15.jpeg"/><Relationship Id="rId38" Type="http://schemas.openxmlformats.org/officeDocument/2006/relationships/image" Target="media/image14.jpeg"/><Relationship Id="rId37" Type="http://schemas.openxmlformats.org/officeDocument/2006/relationships/image" Target="media/image13.jpeg"/><Relationship Id="rId36" Type="http://schemas.openxmlformats.org/officeDocument/2006/relationships/image" Target="media/image12.jpeg"/><Relationship Id="rId35" Type="http://schemas.openxmlformats.org/officeDocument/2006/relationships/image" Target="media/image11.jpeg"/><Relationship Id="rId34" Type="http://schemas.openxmlformats.org/officeDocument/2006/relationships/image" Target="media/image10.png"/><Relationship Id="rId33" Type="http://schemas.openxmlformats.org/officeDocument/2006/relationships/image" Target="media/image9.jpeg"/><Relationship Id="rId32" Type="http://schemas.openxmlformats.org/officeDocument/2006/relationships/image" Target="media/image8.jpe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E076E-A9C2-429F-926B-BF1D28797E37}">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157</Pages>
  <Words>5165</Words>
  <Characters>5673</Characters>
  <Lines>451</Lines>
  <Paragraphs>127</Paragraphs>
  <TotalTime>38</TotalTime>
  <ScaleCrop>false</ScaleCrop>
  <LinksUpToDate>false</LinksUpToDate>
  <CharactersWithSpaces>5746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2021-12-20T01:21:00Z</dcterms:created>
  <dc:creator>Anakin</dc:creator>
  <cp:lastModifiedBy>绵绵</cp:lastModifiedBy>
  <cp:lastPrinted>2019-12-07T15:20:00Z</cp:lastPrinted>
  <dcterms:modified xsi:type="dcterms:W3CDTF">2026-01-15T05:41:26Z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456A8E0987814F0689620C34DD97C5FE_12</vt:lpwstr>
  </property>
  <property fmtid="{D5CDD505-2E9C-101B-9397-08002B2CF9AE}" pid="4" name="KSOTemplateDocerSaveRecord">
    <vt:lpwstr>eyJoZGlkIjoiMTU5NmE5YWY5NWNjMjAzMmVmODZiYzJmY2Y5OTlmMzUiLCJ1c2VySWQiOiIxMjMyMDYzNDI1In0=</vt:lpwstr>
  </property>
</Properties>
</file>