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B3486">
      <w:pPr>
        <w:tabs>
          <w:tab w:val="left" w:pos="315"/>
          <w:tab w:val="left" w:pos="8820"/>
        </w:tabs>
        <w:spacing w:before="240" w:beforeLines="100" w:after="120" w:afterLines="50" w:line="500" w:lineRule="exact"/>
        <w:ind w:right="254" w:rightChars="127"/>
        <w:jc w:val="center"/>
        <w:rPr>
          <w:b/>
          <w:bCs/>
          <w:color w:val="auto"/>
          <w:sz w:val="52"/>
          <w:szCs w:val="52"/>
          <w:highlight w:val="none"/>
          <w:vertAlign w:val="superscript"/>
        </w:rPr>
      </w:pPr>
    </w:p>
    <w:p w14:paraId="191F0950">
      <w:pPr>
        <w:tabs>
          <w:tab w:val="left" w:pos="315"/>
          <w:tab w:val="left" w:pos="8820"/>
        </w:tabs>
        <w:spacing w:before="240" w:beforeLines="100" w:after="120" w:afterLines="50" w:line="500" w:lineRule="exact"/>
        <w:ind w:right="254" w:rightChars="127"/>
        <w:jc w:val="center"/>
        <w:rPr>
          <w:b/>
          <w:bCs/>
          <w:color w:val="auto"/>
          <w:sz w:val="52"/>
          <w:szCs w:val="52"/>
          <w:highlight w:val="none"/>
        </w:rPr>
      </w:pPr>
    </w:p>
    <w:p w14:paraId="6BE58195">
      <w:pPr>
        <w:tabs>
          <w:tab w:val="left" w:pos="315"/>
          <w:tab w:val="left" w:pos="8820"/>
        </w:tabs>
        <w:spacing w:before="240" w:beforeLines="100" w:after="120" w:afterLines="50" w:line="560" w:lineRule="exact"/>
        <w:ind w:right="254" w:rightChars="127"/>
        <w:jc w:val="center"/>
        <w:rPr>
          <w:rFonts w:hint="eastAsia"/>
          <w:b/>
          <w:bCs/>
          <w:color w:val="auto"/>
          <w:sz w:val="52"/>
          <w:szCs w:val="52"/>
          <w:highlight w:val="none"/>
        </w:rPr>
      </w:pPr>
      <w:bookmarkStart w:id="0" w:name="_Hlk9544796"/>
      <w:r>
        <w:rPr>
          <w:rFonts w:hint="eastAsia"/>
          <w:b/>
          <w:bCs/>
          <w:color w:val="auto"/>
          <w:sz w:val="52"/>
          <w:szCs w:val="52"/>
          <w:highlight w:val="none"/>
          <w:lang w:val="en-US" w:eastAsia="zh-CN"/>
        </w:rPr>
        <w:t>省淮河局、省临淮岗局水闸自动化运行维护等（第1包）</w:t>
      </w:r>
    </w:p>
    <w:p w14:paraId="15035BF6">
      <w:pPr>
        <w:tabs>
          <w:tab w:val="left" w:pos="315"/>
          <w:tab w:val="left" w:pos="8820"/>
        </w:tabs>
        <w:spacing w:before="240" w:beforeLines="100" w:after="120" w:afterLines="50" w:line="500" w:lineRule="exact"/>
        <w:ind w:right="254" w:rightChars="127"/>
        <w:jc w:val="center"/>
        <w:rPr>
          <w:rFonts w:hint="eastAsia"/>
          <w:b/>
          <w:bCs/>
          <w:color w:val="auto"/>
          <w:sz w:val="52"/>
          <w:szCs w:val="52"/>
          <w:highlight w:val="none"/>
        </w:rPr>
      </w:pPr>
    </w:p>
    <w:p w14:paraId="268F1243">
      <w:pPr>
        <w:tabs>
          <w:tab w:val="left" w:pos="315"/>
          <w:tab w:val="left" w:pos="8820"/>
        </w:tabs>
        <w:spacing w:before="240" w:beforeLines="100" w:after="120" w:afterLines="50" w:line="500" w:lineRule="exact"/>
        <w:ind w:right="254" w:rightChars="127"/>
        <w:jc w:val="center"/>
        <w:rPr>
          <w:rFonts w:hint="eastAsia"/>
          <w:b/>
          <w:bCs/>
          <w:color w:val="auto"/>
          <w:sz w:val="52"/>
          <w:szCs w:val="52"/>
          <w:highlight w:val="none"/>
        </w:rPr>
      </w:pPr>
      <w:r>
        <w:rPr>
          <w:rFonts w:hint="eastAsia"/>
          <w:b/>
          <w:bCs/>
          <w:color w:val="auto"/>
          <w:sz w:val="52"/>
          <w:szCs w:val="52"/>
          <w:highlight w:val="none"/>
        </w:rPr>
        <w:t>竞争性磋商文件</w:t>
      </w:r>
    </w:p>
    <w:p w14:paraId="42397321">
      <w:pPr>
        <w:tabs>
          <w:tab w:val="left" w:pos="315"/>
          <w:tab w:val="left" w:pos="8820"/>
        </w:tabs>
        <w:spacing w:before="240" w:beforeLines="100" w:after="120" w:afterLines="50" w:line="500" w:lineRule="exact"/>
        <w:ind w:right="254" w:rightChars="127"/>
        <w:jc w:val="center"/>
        <w:rPr>
          <w:rFonts w:hint="eastAsia"/>
          <w:b/>
          <w:bCs/>
          <w:color w:val="auto"/>
          <w:sz w:val="52"/>
          <w:szCs w:val="52"/>
          <w:highlight w:val="none"/>
          <w:lang w:val="en-US" w:eastAsia="zh-CN"/>
        </w:rPr>
      </w:pPr>
    </w:p>
    <w:bookmarkEnd w:id="0"/>
    <w:p w14:paraId="096D679C">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39FB7350">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AD5E30C">
      <w:pPr>
        <w:tabs>
          <w:tab w:val="left" w:pos="315"/>
          <w:tab w:val="left" w:pos="8820"/>
        </w:tabs>
        <w:spacing w:before="240" w:beforeLines="100" w:after="120" w:afterLines="50" w:line="500" w:lineRule="exact"/>
        <w:ind w:right="254" w:rightChars="127"/>
        <w:jc w:val="both"/>
        <w:rPr>
          <w:b/>
          <w:bCs/>
          <w:color w:val="auto"/>
          <w:sz w:val="44"/>
          <w:szCs w:val="44"/>
          <w:highlight w:val="none"/>
        </w:rPr>
      </w:pPr>
    </w:p>
    <w:p w14:paraId="3BDE347C">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0F3FBCE7">
      <w:pPr>
        <w:tabs>
          <w:tab w:val="left" w:pos="2410"/>
        </w:tabs>
        <w:autoSpaceDE w:val="0"/>
        <w:autoSpaceDN w:val="0"/>
        <w:adjustRightInd w:val="0"/>
        <w:snapToGrid w:val="0"/>
        <w:spacing w:line="360" w:lineRule="auto"/>
        <w:rPr>
          <w:rFonts w:hint="eastAsia"/>
          <w:b/>
          <w:bCs w:val="0"/>
          <w:color w:val="auto"/>
          <w:spacing w:val="20"/>
          <w:sz w:val="32"/>
          <w:szCs w:val="32"/>
          <w:highlight w:val="none"/>
          <w:u w:val="single"/>
          <w:lang w:val="en-US" w:eastAsia="zh-CN"/>
        </w:rPr>
      </w:pPr>
      <w:r>
        <w:rPr>
          <w:rFonts w:hint="eastAsia"/>
          <w:b/>
          <w:color w:val="auto"/>
          <w:spacing w:val="20"/>
          <w:sz w:val="32"/>
          <w:szCs w:val="32"/>
          <w:highlight w:val="none"/>
        </w:rPr>
        <w:t>项</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目</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名</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称：</w:t>
      </w:r>
      <w:r>
        <w:rPr>
          <w:rFonts w:hint="eastAsia"/>
          <w:b/>
          <w:bCs w:val="0"/>
          <w:color w:val="auto"/>
          <w:spacing w:val="20"/>
          <w:sz w:val="32"/>
          <w:szCs w:val="32"/>
          <w:highlight w:val="none"/>
          <w:u w:val="single"/>
          <w:lang w:val="en-US" w:eastAsia="zh-CN"/>
        </w:rPr>
        <w:t>省淮河局、省临淮岗局水闸自动化运行维护等（第1包）</w:t>
      </w:r>
    </w:p>
    <w:p w14:paraId="0B6E6DFA">
      <w:pPr>
        <w:tabs>
          <w:tab w:val="left" w:pos="2410"/>
        </w:tabs>
        <w:autoSpaceDE w:val="0"/>
        <w:autoSpaceDN w:val="0"/>
        <w:adjustRightInd w:val="0"/>
        <w:snapToGrid w:val="0"/>
        <w:spacing w:line="360" w:lineRule="auto"/>
        <w:rPr>
          <w:rFonts w:hint="default" w:eastAsia="宋体"/>
          <w:b/>
          <w:bCs w:val="0"/>
          <w:color w:val="auto"/>
          <w:spacing w:val="20"/>
          <w:sz w:val="32"/>
          <w:szCs w:val="32"/>
          <w:highlight w:val="none"/>
          <w:u w:val="single"/>
          <w:lang w:val="en-US" w:eastAsia="zh-CN"/>
        </w:rPr>
      </w:pPr>
      <w:r>
        <w:rPr>
          <w:rFonts w:hint="eastAsia"/>
          <w:b/>
          <w:color w:val="auto"/>
          <w:spacing w:val="20"/>
          <w:sz w:val="32"/>
          <w:szCs w:val="32"/>
          <w:highlight w:val="none"/>
        </w:rPr>
        <w:t>项</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目</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编</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号：</w:t>
      </w:r>
      <w:r>
        <w:rPr>
          <w:rFonts w:hint="eastAsia"/>
          <w:b/>
          <w:color w:val="auto"/>
          <w:spacing w:val="20"/>
          <w:sz w:val="32"/>
          <w:szCs w:val="32"/>
          <w:highlight w:val="none"/>
          <w:u w:val="single"/>
          <w:lang w:val="en-US" w:eastAsia="zh-CN"/>
        </w:rPr>
        <w:t>FSSD34000120261695号</w:t>
      </w:r>
      <w:r>
        <w:rPr>
          <w:rFonts w:hint="eastAsia"/>
          <w:b/>
          <w:color w:val="auto"/>
          <w:spacing w:val="20"/>
          <w:sz w:val="32"/>
          <w:szCs w:val="32"/>
          <w:highlight w:val="none"/>
          <w:lang w:val="en-US" w:eastAsia="zh-CN"/>
        </w:rPr>
        <w:t xml:space="preserve">          </w:t>
      </w:r>
    </w:p>
    <w:p w14:paraId="6E7369E8">
      <w:pPr>
        <w:tabs>
          <w:tab w:val="left" w:pos="2410"/>
        </w:tabs>
        <w:autoSpaceDE w:val="0"/>
        <w:autoSpaceDN w:val="0"/>
        <w:adjustRightInd w:val="0"/>
        <w:snapToGrid w:val="0"/>
        <w:spacing w:line="360" w:lineRule="auto"/>
        <w:rPr>
          <w:rFonts w:hint="eastAsia" w:ascii="Times New Roman"/>
          <w:b/>
          <w:bCs/>
          <w:i w:val="0"/>
          <w:iCs w:val="0"/>
          <w:color w:val="auto"/>
          <w:sz w:val="32"/>
          <w:highlight w:val="none"/>
          <w:u w:val="single"/>
          <w:lang w:eastAsia="zh-CN"/>
        </w:rPr>
      </w:pPr>
      <w:r>
        <w:rPr>
          <w:rFonts w:hint="eastAsia"/>
          <w:b/>
          <w:color w:val="auto"/>
          <w:spacing w:val="20"/>
          <w:sz w:val="32"/>
          <w:szCs w:val="32"/>
          <w:highlight w:val="none"/>
        </w:rPr>
        <w:t xml:space="preserve">采 </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 xml:space="preserve">购 </w:t>
      </w:r>
      <w:r>
        <w:rPr>
          <w:rFonts w:hint="eastAsia"/>
          <w:b/>
          <w:color w:val="auto"/>
          <w:spacing w:val="20"/>
          <w:sz w:val="32"/>
          <w:szCs w:val="32"/>
          <w:highlight w:val="none"/>
          <w:lang w:val="en-US" w:eastAsia="zh-CN"/>
        </w:rPr>
        <w:t xml:space="preserve">  </w:t>
      </w:r>
      <w:r>
        <w:rPr>
          <w:rFonts w:hint="eastAsia"/>
          <w:b/>
          <w:color w:val="auto"/>
          <w:spacing w:val="20"/>
          <w:sz w:val="32"/>
          <w:szCs w:val="32"/>
          <w:highlight w:val="none"/>
        </w:rPr>
        <w:t>人：</w:t>
      </w:r>
      <w:r>
        <w:rPr>
          <w:rFonts w:hint="eastAsia" w:ascii="Times New Roman"/>
          <w:b/>
          <w:bCs/>
          <w:i w:val="0"/>
          <w:iCs w:val="0"/>
          <w:color w:val="auto"/>
          <w:sz w:val="32"/>
          <w:highlight w:val="none"/>
          <w:u w:val="single"/>
          <w:lang w:eastAsia="zh-CN"/>
        </w:rPr>
        <w:t>安徽省淮河河道管理局</w:t>
      </w:r>
    </w:p>
    <w:p w14:paraId="1A8A3F2C">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采购代理机构：</w:t>
      </w:r>
      <w:r>
        <w:rPr>
          <w:rFonts w:ascii="Times New Roman"/>
          <w:b/>
          <w:bCs/>
          <w:color w:val="auto"/>
          <w:sz w:val="32"/>
          <w:highlight w:val="none"/>
          <w:u w:val="single"/>
        </w:rPr>
        <w:t>安徽安兆工程技术咨询服务有限公司</w:t>
      </w:r>
    </w:p>
    <w:p w14:paraId="48695598">
      <w:pPr>
        <w:tabs>
          <w:tab w:val="left" w:pos="2410"/>
        </w:tabs>
        <w:autoSpaceDE w:val="0"/>
        <w:autoSpaceDN w:val="0"/>
        <w:adjustRightInd w:val="0"/>
        <w:snapToGrid w:val="0"/>
        <w:spacing w:line="360" w:lineRule="auto"/>
        <w:jc w:val="center"/>
        <w:rPr>
          <w:rFonts w:hint="eastAsia"/>
          <w:b/>
          <w:color w:val="auto"/>
          <w:sz w:val="36"/>
          <w:highlight w:val="none"/>
          <w:u w:val="none"/>
          <w:lang w:val="en-US" w:eastAsia="zh-CN"/>
        </w:rPr>
      </w:pPr>
      <w:r>
        <w:rPr>
          <w:rFonts w:hint="eastAsia"/>
          <w:b/>
          <w:color w:val="auto"/>
          <w:sz w:val="36"/>
          <w:highlight w:val="none"/>
          <w:u w:val="none"/>
          <w:lang w:val="en-US" w:eastAsia="zh-CN"/>
        </w:rPr>
        <w:t>2026年3月</w:t>
      </w:r>
    </w:p>
    <w:p w14:paraId="5B4B3035">
      <w:pPr>
        <w:tabs>
          <w:tab w:val="left" w:pos="2410"/>
        </w:tabs>
        <w:autoSpaceDE w:val="0"/>
        <w:autoSpaceDN w:val="0"/>
        <w:adjustRightInd w:val="0"/>
        <w:snapToGrid w:val="0"/>
        <w:spacing w:line="360" w:lineRule="auto"/>
        <w:jc w:val="center"/>
        <w:rPr>
          <w:b/>
          <w:color w:val="auto"/>
          <w:sz w:val="36"/>
          <w:highlight w:val="none"/>
        </w:rPr>
      </w:pPr>
    </w:p>
    <w:p w14:paraId="64FFAD2C">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01FD7220">
      <w:pPr>
        <w:tabs>
          <w:tab w:val="left" w:pos="2410"/>
        </w:tabs>
        <w:autoSpaceDE w:val="0"/>
        <w:autoSpaceDN w:val="0"/>
        <w:adjustRightInd w:val="0"/>
        <w:snapToGrid w:val="0"/>
        <w:spacing w:line="360" w:lineRule="auto"/>
        <w:jc w:val="center"/>
        <w:rPr>
          <w:b/>
          <w:color w:val="auto"/>
          <w:sz w:val="28"/>
          <w:highlight w:val="none"/>
        </w:rPr>
      </w:pPr>
      <w:r>
        <w:rPr>
          <w:rFonts w:hint="eastAsia"/>
          <w:b/>
          <w:color w:val="auto"/>
          <w:sz w:val="28"/>
          <w:highlight w:val="none"/>
        </w:rPr>
        <w:t>目  录</w:t>
      </w:r>
    </w:p>
    <w:p w14:paraId="3862B64E">
      <w:pPr>
        <w:tabs>
          <w:tab w:val="left" w:pos="2410"/>
        </w:tabs>
        <w:autoSpaceDE w:val="0"/>
        <w:autoSpaceDN w:val="0"/>
        <w:adjustRightInd w:val="0"/>
        <w:snapToGrid w:val="0"/>
        <w:spacing w:line="360" w:lineRule="auto"/>
        <w:jc w:val="center"/>
        <w:rPr>
          <w:b/>
          <w:color w:val="auto"/>
          <w:sz w:val="28"/>
          <w:highlight w:val="none"/>
        </w:rPr>
      </w:pPr>
    </w:p>
    <w:p w14:paraId="7BCE86F8">
      <w:pPr>
        <w:pStyle w:val="36"/>
        <w:tabs>
          <w:tab w:val="right" w:leader="dot" w:pos="8279"/>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_Toc11403 </w:instrText>
      </w:r>
      <w:r>
        <w:rPr>
          <w:rFonts w:asciiTheme="minorEastAsia" w:hAnsiTheme="minorEastAsia"/>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磋商邀请</w:t>
      </w:r>
      <w:r>
        <w:rPr>
          <w:color w:val="auto"/>
          <w:highlight w:val="none"/>
        </w:rPr>
        <w:tab/>
      </w:r>
      <w:r>
        <w:rPr>
          <w:color w:val="auto"/>
          <w:highlight w:val="none"/>
        </w:rPr>
        <w:fldChar w:fldCharType="begin"/>
      </w:r>
      <w:r>
        <w:rPr>
          <w:color w:val="auto"/>
          <w:highlight w:val="none"/>
        </w:rPr>
        <w:instrText xml:space="preserve"> PAGEREF _Toc11403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color w:val="auto"/>
          <w:szCs w:val="24"/>
          <w:highlight w:val="none"/>
        </w:rPr>
        <w:fldChar w:fldCharType="end"/>
      </w:r>
    </w:p>
    <w:p w14:paraId="42034008">
      <w:pPr>
        <w:pStyle w:val="36"/>
        <w:tabs>
          <w:tab w:val="right" w:leader="dot" w:pos="8279"/>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_Toc28080 </w:instrText>
      </w:r>
      <w:r>
        <w:rPr>
          <w:rFonts w:asciiTheme="minorEastAsia" w:hAnsi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供应商</w:t>
      </w:r>
      <w:r>
        <w:rPr>
          <w:rFonts w:asciiTheme="minorEastAsia" w:hAnsiTheme="minorEastAsia" w:eastAsiaTheme="minorEastAsia"/>
          <w:color w:val="auto"/>
          <w:highlight w:val="none"/>
        </w:rPr>
        <w:t>须知</w:t>
      </w:r>
      <w:r>
        <w:rPr>
          <w:color w:val="auto"/>
          <w:highlight w:val="none"/>
        </w:rPr>
        <w:tab/>
      </w:r>
      <w:r>
        <w:rPr>
          <w:color w:val="auto"/>
          <w:highlight w:val="none"/>
        </w:rPr>
        <w:fldChar w:fldCharType="begin"/>
      </w:r>
      <w:r>
        <w:rPr>
          <w:color w:val="auto"/>
          <w:highlight w:val="none"/>
        </w:rPr>
        <w:instrText xml:space="preserve"> PAGEREF _Toc28080 \h </w:instrText>
      </w:r>
      <w:r>
        <w:rPr>
          <w:color w:val="auto"/>
          <w:highlight w:val="none"/>
        </w:rPr>
        <w:fldChar w:fldCharType="separate"/>
      </w:r>
      <w:r>
        <w:rPr>
          <w:color w:val="auto"/>
          <w:highlight w:val="none"/>
        </w:rPr>
        <w:t>5</w:t>
      </w:r>
      <w:r>
        <w:rPr>
          <w:color w:val="auto"/>
          <w:highlight w:val="none"/>
        </w:rPr>
        <w:fldChar w:fldCharType="end"/>
      </w:r>
      <w:r>
        <w:rPr>
          <w:rFonts w:asciiTheme="minorEastAsia" w:hAnsiTheme="minorEastAsia"/>
          <w:color w:val="auto"/>
          <w:szCs w:val="24"/>
          <w:highlight w:val="none"/>
        </w:rPr>
        <w:fldChar w:fldCharType="end"/>
      </w:r>
    </w:p>
    <w:p w14:paraId="304BCBD8">
      <w:pPr>
        <w:pStyle w:val="36"/>
        <w:tabs>
          <w:tab w:val="right" w:leader="dot" w:pos="8279"/>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_Toc30873 </w:instrText>
      </w:r>
      <w:r>
        <w:rPr>
          <w:rFonts w:asciiTheme="minorEastAsia" w:hAnsiTheme="minorEastAsia"/>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_Toc30873 \h </w:instrText>
      </w:r>
      <w:r>
        <w:rPr>
          <w:color w:val="auto"/>
          <w:highlight w:val="none"/>
        </w:rPr>
        <w:fldChar w:fldCharType="separate"/>
      </w:r>
      <w:r>
        <w:rPr>
          <w:color w:val="auto"/>
          <w:highlight w:val="none"/>
        </w:rPr>
        <w:t>21</w:t>
      </w:r>
      <w:r>
        <w:rPr>
          <w:color w:val="auto"/>
          <w:highlight w:val="none"/>
        </w:rPr>
        <w:fldChar w:fldCharType="end"/>
      </w:r>
      <w:r>
        <w:rPr>
          <w:rFonts w:asciiTheme="minorEastAsia" w:hAnsiTheme="minorEastAsia"/>
          <w:color w:val="auto"/>
          <w:szCs w:val="24"/>
          <w:highlight w:val="none"/>
        </w:rPr>
        <w:fldChar w:fldCharType="end"/>
      </w:r>
    </w:p>
    <w:p w14:paraId="1E657DBA">
      <w:pPr>
        <w:pStyle w:val="36"/>
        <w:tabs>
          <w:tab w:val="right" w:leader="dot" w:pos="8279"/>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_Toc11353 </w:instrText>
      </w:r>
      <w:r>
        <w:rPr>
          <w:rFonts w:asciiTheme="minorEastAsia" w:hAnsiTheme="minorEastAsia"/>
          <w:color w:val="auto"/>
          <w:szCs w:val="24"/>
          <w:highlight w:val="none"/>
        </w:rPr>
        <w:fldChar w:fldCharType="separate"/>
      </w:r>
      <w:r>
        <w:rPr>
          <w:rFonts w:hint="eastAsia" w:asciiTheme="minorEastAsia" w:hAnsiTheme="minorEastAsia" w:eastAsiaTheme="minorEastAsia"/>
          <w:color w:val="auto"/>
          <w:highlight w:val="none"/>
        </w:rPr>
        <w:t>第四章  评审方法和标准</w:t>
      </w:r>
      <w:r>
        <w:rPr>
          <w:color w:val="auto"/>
          <w:highlight w:val="none"/>
        </w:rPr>
        <w:tab/>
      </w:r>
      <w:r>
        <w:rPr>
          <w:color w:val="auto"/>
          <w:highlight w:val="none"/>
        </w:rPr>
        <w:fldChar w:fldCharType="begin"/>
      </w:r>
      <w:r>
        <w:rPr>
          <w:color w:val="auto"/>
          <w:highlight w:val="none"/>
        </w:rPr>
        <w:instrText xml:space="preserve"> PAGEREF _Toc11353 \h </w:instrText>
      </w:r>
      <w:r>
        <w:rPr>
          <w:color w:val="auto"/>
          <w:highlight w:val="none"/>
        </w:rPr>
        <w:fldChar w:fldCharType="separate"/>
      </w:r>
      <w:r>
        <w:rPr>
          <w:color w:val="auto"/>
          <w:highlight w:val="none"/>
        </w:rPr>
        <w:t>21</w:t>
      </w:r>
      <w:r>
        <w:rPr>
          <w:color w:val="auto"/>
          <w:highlight w:val="none"/>
        </w:rPr>
        <w:fldChar w:fldCharType="end"/>
      </w:r>
      <w:r>
        <w:rPr>
          <w:rFonts w:asciiTheme="minorEastAsia" w:hAnsiTheme="minorEastAsia"/>
          <w:color w:val="auto"/>
          <w:szCs w:val="24"/>
          <w:highlight w:val="none"/>
        </w:rPr>
        <w:fldChar w:fldCharType="end"/>
      </w:r>
    </w:p>
    <w:p w14:paraId="0832393B">
      <w:pPr>
        <w:pStyle w:val="36"/>
        <w:tabs>
          <w:tab w:val="right" w:leader="dot" w:pos="8279"/>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_Toc31277 </w:instrText>
      </w:r>
      <w:r>
        <w:rPr>
          <w:rFonts w:asciiTheme="minorEastAsia" w:hAnsiTheme="minorEastAsia"/>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_Toc31277 \h </w:instrText>
      </w:r>
      <w:r>
        <w:rPr>
          <w:color w:val="auto"/>
          <w:highlight w:val="none"/>
        </w:rPr>
        <w:fldChar w:fldCharType="separate"/>
      </w:r>
      <w:r>
        <w:rPr>
          <w:color w:val="auto"/>
          <w:highlight w:val="none"/>
        </w:rPr>
        <w:t>72</w:t>
      </w:r>
      <w:r>
        <w:rPr>
          <w:color w:val="auto"/>
          <w:highlight w:val="none"/>
        </w:rPr>
        <w:fldChar w:fldCharType="end"/>
      </w:r>
      <w:r>
        <w:rPr>
          <w:rFonts w:asciiTheme="minorEastAsia" w:hAnsiTheme="minorEastAsia"/>
          <w:color w:val="auto"/>
          <w:szCs w:val="24"/>
          <w:highlight w:val="none"/>
        </w:rPr>
        <w:fldChar w:fldCharType="end"/>
      </w:r>
    </w:p>
    <w:p w14:paraId="65F96179">
      <w:pPr>
        <w:pStyle w:val="36"/>
        <w:tabs>
          <w:tab w:val="right" w:leader="dot" w:pos="8279"/>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_Toc22734 </w:instrText>
      </w:r>
      <w:r>
        <w:rPr>
          <w:rFonts w:asciiTheme="minorEastAsia" w:hAnsiTheme="minorEastAsia"/>
          <w:color w:val="auto"/>
          <w:szCs w:val="24"/>
          <w:highlight w:val="none"/>
        </w:rPr>
        <w:fldChar w:fldCharType="separate"/>
      </w:r>
      <w:r>
        <w:rPr>
          <w:rFonts w:hint="eastAsia" w:asciiTheme="minorEastAsia" w:hAnsiTheme="minorEastAsia" w:eastAsiaTheme="minorEastAsia"/>
          <w:color w:val="auto"/>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_Toc22734 \h </w:instrText>
      </w:r>
      <w:r>
        <w:rPr>
          <w:color w:val="auto"/>
          <w:highlight w:val="none"/>
        </w:rPr>
        <w:fldChar w:fldCharType="separate"/>
      </w:r>
      <w:r>
        <w:rPr>
          <w:color w:val="auto"/>
          <w:highlight w:val="none"/>
        </w:rPr>
        <w:t>115</w:t>
      </w:r>
      <w:r>
        <w:rPr>
          <w:color w:val="auto"/>
          <w:highlight w:val="none"/>
        </w:rPr>
        <w:fldChar w:fldCharType="end"/>
      </w:r>
      <w:r>
        <w:rPr>
          <w:rFonts w:asciiTheme="minorEastAsia" w:hAnsiTheme="minorEastAsia"/>
          <w:color w:val="auto"/>
          <w:szCs w:val="24"/>
          <w:highlight w:val="none"/>
        </w:rPr>
        <w:fldChar w:fldCharType="end"/>
      </w:r>
    </w:p>
    <w:p w14:paraId="430FD750">
      <w:pPr>
        <w:pStyle w:val="36"/>
        <w:tabs>
          <w:tab w:val="right" w:leader="dot" w:pos="8279"/>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_Toc24879 </w:instrText>
      </w:r>
      <w:r>
        <w:rPr>
          <w:rFonts w:asciiTheme="minorEastAsia" w:hAnsiTheme="minorEastAsia"/>
          <w:color w:val="auto"/>
          <w:szCs w:val="24"/>
          <w:highlight w:val="none"/>
        </w:rPr>
        <w:fldChar w:fldCharType="separate"/>
      </w:r>
      <w:r>
        <w:rPr>
          <w:rFonts w:hint="eastAsia"/>
          <w:bCs/>
          <w:color w:val="auto"/>
          <w:highlight w:val="none"/>
        </w:rPr>
        <w:t>第</w:t>
      </w:r>
      <w:r>
        <w:rPr>
          <w:rFonts w:hint="eastAsia"/>
          <w:bCs/>
          <w:color w:val="auto"/>
          <w:highlight w:val="none"/>
          <w:lang w:val="en-US" w:eastAsia="zh-CN"/>
        </w:rPr>
        <w:t>七</w:t>
      </w:r>
      <w:r>
        <w:rPr>
          <w:rFonts w:hint="eastAsia"/>
          <w:bCs/>
          <w:color w:val="auto"/>
          <w:highlight w:val="none"/>
        </w:rPr>
        <w:t>章  政府采购</w:t>
      </w:r>
      <w:r>
        <w:rPr>
          <w:rFonts w:hint="eastAsia" w:asciiTheme="minorEastAsia" w:hAnsiTheme="minorEastAsia" w:eastAsiaTheme="minorEastAsia"/>
          <w:color w:val="auto"/>
          <w:highlight w:val="none"/>
        </w:rPr>
        <w:t>供应</w:t>
      </w:r>
      <w:r>
        <w:rPr>
          <w:rFonts w:hint="eastAsia"/>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_Toc24879 \h </w:instrText>
      </w:r>
      <w:r>
        <w:rPr>
          <w:color w:val="auto"/>
          <w:highlight w:val="none"/>
        </w:rPr>
        <w:fldChar w:fldCharType="separate"/>
      </w:r>
      <w:r>
        <w:rPr>
          <w:color w:val="auto"/>
          <w:highlight w:val="none"/>
        </w:rPr>
        <w:t>132</w:t>
      </w:r>
      <w:r>
        <w:rPr>
          <w:color w:val="auto"/>
          <w:highlight w:val="none"/>
        </w:rPr>
        <w:fldChar w:fldCharType="end"/>
      </w:r>
      <w:r>
        <w:rPr>
          <w:rFonts w:asciiTheme="minorEastAsia" w:hAnsiTheme="minorEastAsia"/>
          <w:color w:val="auto"/>
          <w:szCs w:val="24"/>
          <w:highlight w:val="none"/>
        </w:rPr>
        <w:fldChar w:fldCharType="end"/>
      </w:r>
    </w:p>
    <w:p w14:paraId="118E51DC">
      <w:pPr>
        <w:pStyle w:val="46"/>
        <w:tabs>
          <w:tab w:val="right" w:leader="dot" w:pos="8296"/>
        </w:tabs>
        <w:rPr>
          <w:rFonts w:asciiTheme="minorEastAsia" w:hAnsiTheme="minorEastAsia"/>
          <w:b/>
          <w:color w:val="auto"/>
          <w:szCs w:val="24"/>
          <w:highlight w:val="none"/>
        </w:rPr>
      </w:pPr>
      <w:r>
        <w:rPr>
          <w:rFonts w:asciiTheme="minorEastAsia" w:hAnsiTheme="minorEastAsia"/>
          <w:color w:val="auto"/>
          <w:szCs w:val="24"/>
          <w:highlight w:val="none"/>
        </w:rPr>
        <w:fldChar w:fldCharType="end"/>
      </w:r>
    </w:p>
    <w:p w14:paraId="1F061256">
      <w:pPr>
        <w:pStyle w:val="5"/>
        <w:rPr>
          <w:color w:val="auto"/>
          <w:highlight w:val="none"/>
        </w:rPr>
        <w:sectPr>
          <w:footerReference r:id="rId3" w:type="default"/>
          <w:pgSz w:w="11907" w:h="16840"/>
          <w:pgMar w:top="1474" w:right="1814" w:bottom="1474" w:left="1814" w:header="851" w:footer="992" w:gutter="0"/>
          <w:pgBorders>
            <w:top w:val="none" w:sz="0" w:space="0"/>
            <w:left w:val="none" w:sz="0" w:space="0"/>
            <w:bottom w:val="none" w:sz="0" w:space="0"/>
            <w:right w:val="none" w:sz="0" w:space="0"/>
          </w:pgBorders>
          <w:cols w:space="720" w:num="1"/>
          <w:docGrid w:linePitch="462" w:charSpace="0"/>
        </w:sectPr>
      </w:pPr>
    </w:p>
    <w:p w14:paraId="2429EC87">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78AE912E">
      <w:pPr>
        <w:spacing w:line="360" w:lineRule="auto"/>
        <w:ind w:firstLine="435"/>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1BA8ECD0">
      <w:pPr>
        <w:spacing w:line="360" w:lineRule="auto"/>
        <w:ind w:firstLine="435"/>
        <w:rPr>
          <w:rFonts w:hint="default" w:eastAsiaTheme="minorEastAsia"/>
          <w:color w:val="auto"/>
          <w:sz w:val="24"/>
          <w:szCs w:val="18"/>
          <w:highlight w:val="none"/>
          <w:u w:val="none"/>
          <w:lang w:val="en-US" w:eastAsia="zh-CN"/>
        </w:rPr>
      </w:pPr>
      <w:bookmarkStart w:id="4" w:name="_Toc26628"/>
      <w:r>
        <w:rPr>
          <w:rFonts w:hint="eastAsia" w:asciiTheme="minorEastAsia" w:hAnsiTheme="minorEastAsia" w:eastAsiaTheme="minorEastAsia"/>
          <w:color w:val="auto"/>
          <w:sz w:val="24"/>
          <w:highlight w:val="none"/>
        </w:rPr>
        <w:t>1.项目编</w:t>
      </w:r>
      <w:r>
        <w:rPr>
          <w:rFonts w:hint="eastAsia" w:asciiTheme="minorEastAsia" w:hAnsiTheme="minorEastAsia" w:eastAsiaTheme="minorEastAsia"/>
          <w:color w:val="auto"/>
          <w:sz w:val="24"/>
          <w:highlight w:val="none"/>
          <w:lang w:val="en-US" w:eastAsia="zh-CN"/>
        </w:rPr>
        <w:t>号：</w:t>
      </w:r>
      <w:r>
        <w:rPr>
          <w:rFonts w:hint="eastAsia" w:asciiTheme="minorEastAsia" w:hAnsiTheme="minorEastAsia" w:eastAsiaTheme="minorEastAsia"/>
          <w:color w:val="auto"/>
          <w:sz w:val="24"/>
          <w:highlight w:val="none"/>
          <w:lang w:val="en-US" w:eastAsia="zh-CN"/>
        </w:rPr>
        <w:fldChar w:fldCharType="begin"/>
      </w:r>
      <w:r>
        <w:rPr>
          <w:rFonts w:hint="eastAsia" w:asciiTheme="minorEastAsia" w:hAnsiTheme="minorEastAsia" w:eastAsiaTheme="minorEastAsia"/>
          <w:color w:val="auto"/>
          <w:sz w:val="24"/>
          <w:highlight w:val="none"/>
          <w:lang w:val="en-US" w:eastAsia="zh-CN"/>
        </w:rPr>
        <w:instrText xml:space="preserve"> HYPERLINK "https://pay.anhui.zcygov.cn/purchaseplan_front/" \l "/plan/list/view?id=1000000000005269095&amp;_app_=zcy.procurement" \t "https://www.anhui.zcygov.cn/project-center/_procurement_/purchasePlans/_blank" </w:instrText>
      </w:r>
      <w:r>
        <w:rPr>
          <w:rFonts w:hint="eastAsia" w:asciiTheme="minorEastAsia" w:hAnsiTheme="minorEastAsia" w:eastAsiaTheme="minorEastAsia"/>
          <w:color w:val="auto"/>
          <w:sz w:val="24"/>
          <w:highlight w:val="none"/>
          <w:lang w:val="en-US" w:eastAsia="zh-CN"/>
        </w:rPr>
        <w:fldChar w:fldCharType="separate"/>
      </w:r>
      <w:r>
        <w:rPr>
          <w:rFonts w:hint="eastAsia" w:asciiTheme="minorEastAsia" w:hAnsiTheme="minorEastAsia" w:eastAsiaTheme="minorEastAsia"/>
          <w:color w:val="auto"/>
          <w:sz w:val="24"/>
          <w:highlight w:val="none"/>
          <w:lang w:val="en-US" w:eastAsia="zh-CN"/>
        </w:rPr>
        <w:t>FSSD34000120261695号</w:t>
      </w:r>
      <w:r>
        <w:rPr>
          <w:rFonts w:hint="eastAsia" w:asciiTheme="minorEastAsia" w:hAnsiTheme="minorEastAsia" w:eastAsiaTheme="minorEastAsia"/>
          <w:color w:val="auto"/>
          <w:sz w:val="24"/>
          <w:highlight w:val="none"/>
          <w:lang w:val="en-US" w:eastAsia="zh-CN"/>
        </w:rPr>
        <w:fldChar w:fldCharType="end"/>
      </w:r>
      <w:r>
        <w:rPr>
          <w:rFonts w:hint="eastAsia" w:asciiTheme="minorEastAsia" w:hAnsiTheme="minorEastAsia" w:eastAsiaTheme="minorEastAsia"/>
          <w:color w:val="auto"/>
          <w:sz w:val="24"/>
          <w:highlight w:val="none"/>
          <w:lang w:val="en-US" w:eastAsia="zh-CN"/>
        </w:rPr>
        <w:t>001</w:t>
      </w:r>
    </w:p>
    <w:p w14:paraId="248049BC">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val="en-US" w:eastAsia="zh-CN"/>
        </w:rPr>
        <w:t>省淮河局、省临淮岗局水闸自动化运行维护等（第1包）</w:t>
      </w:r>
    </w:p>
    <w:p w14:paraId="31AD052F">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eastAsia="zh-CN"/>
        </w:rPr>
        <w:t>98万元</w:t>
      </w:r>
    </w:p>
    <w:p w14:paraId="330DBF1E">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lang w:eastAsia="zh-CN"/>
        </w:rPr>
        <w:t>98万元</w:t>
      </w:r>
    </w:p>
    <w:p w14:paraId="5AB03075">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lang w:val="en-US" w:eastAsia="zh-CN"/>
        </w:rPr>
        <w:t>省淮河局、省临淮岗局水闸自动化运行维护等第1包</w:t>
      </w:r>
      <w:r>
        <w:rPr>
          <w:rFonts w:hint="eastAsia" w:asciiTheme="minorEastAsia" w:hAnsiTheme="minorEastAsia" w:eastAsiaTheme="minorEastAsia"/>
          <w:color w:val="auto"/>
          <w:sz w:val="24"/>
          <w:highlight w:val="none"/>
          <w:lang w:eastAsia="zh-CN"/>
        </w:rPr>
        <w:t>，主要工作内容包括：</w:t>
      </w:r>
      <w:r>
        <w:rPr>
          <w:rFonts w:hint="eastAsia" w:cs="宋体"/>
          <w:bCs/>
          <w:color w:val="auto"/>
          <w:sz w:val="24"/>
          <w:szCs w:val="24"/>
          <w:highlight w:val="none"/>
          <w:u w:val="single"/>
          <w:lang w:eastAsia="zh-CN"/>
        </w:rPr>
        <w:t>安徽省淮河河道管理局水闸自动化控制、视频监视、网络通讯等设施维修改造等内容</w:t>
      </w:r>
      <w:r>
        <w:rPr>
          <w:rFonts w:hint="eastAsia" w:asciiTheme="minorEastAsia" w:hAnsiTheme="minorEastAsia" w:eastAsiaTheme="minorEastAsia"/>
          <w:color w:val="auto"/>
          <w:sz w:val="24"/>
          <w:highlight w:val="none"/>
          <w:lang w:eastAsia="zh-CN"/>
        </w:rPr>
        <w:t>。具体内容详见磋商文件。</w:t>
      </w:r>
    </w:p>
    <w:p w14:paraId="48012AA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lang w:eastAsia="zh-CN"/>
        </w:rPr>
        <w:t>合同签订之日起至2026年9月底</w:t>
      </w:r>
      <w:r>
        <w:rPr>
          <w:rFonts w:hint="eastAsia" w:asciiTheme="minorEastAsia" w:hAnsiTheme="minorEastAsia" w:eastAsiaTheme="minorEastAsia"/>
          <w:color w:val="auto"/>
          <w:sz w:val="24"/>
          <w:highlight w:val="none"/>
        </w:rPr>
        <w:t>。</w:t>
      </w:r>
    </w:p>
    <w:p w14:paraId="22DB850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664BA7FC">
      <w:pPr>
        <w:spacing w:line="360" w:lineRule="auto"/>
        <w:ind w:firstLine="435"/>
        <w:outlineLvl w:val="1"/>
        <w:rPr>
          <w:rFonts w:hint="eastAsia" w:eastAsia="宋体"/>
          <w:b/>
          <w:bCs/>
          <w:color w:val="auto"/>
          <w:sz w:val="24"/>
          <w:szCs w:val="18"/>
          <w:highlight w:val="none"/>
          <w:lang w:val="en-US" w:eastAsia="zh-CN"/>
        </w:rPr>
      </w:pPr>
      <w:bookmarkStart w:id="5"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4"/>
      <w:r>
        <w:rPr>
          <w:rFonts w:hint="eastAsia"/>
          <w:b/>
          <w:bCs/>
          <w:color w:val="auto"/>
          <w:sz w:val="24"/>
          <w:szCs w:val="18"/>
          <w:highlight w:val="none"/>
          <w:lang w:val="en-US" w:eastAsia="zh-CN"/>
        </w:rPr>
        <w:t>要求</w:t>
      </w:r>
      <w:bookmarkEnd w:id="5"/>
    </w:p>
    <w:p w14:paraId="29439696">
      <w:pPr>
        <w:adjustRightInd w:val="0"/>
        <w:snapToGrid w:val="0"/>
        <w:spacing w:line="560" w:lineRule="exact"/>
        <w:ind w:firstLine="480" w:firstLineChars="200"/>
        <w:jc w:val="left"/>
        <w:rPr>
          <w:rFonts w:ascii="宋体" w:hAnsi="宋体" w:eastAsia="宋体" w:cs="宋体"/>
          <w:color w:val="auto"/>
          <w:sz w:val="24"/>
          <w:szCs w:val="24"/>
          <w:highlight w:val="none"/>
        </w:rPr>
      </w:pPr>
      <w:bookmarkStart w:id="6" w:name="_Toc4065"/>
      <w:bookmarkStart w:id="7" w:name="_Toc2855"/>
      <w:r>
        <w:rPr>
          <w:rFonts w:hint="eastAsia" w:ascii="宋体" w:hAnsi="宋体" w:eastAsia="宋体" w:cs="宋体"/>
          <w:color w:val="auto"/>
          <w:sz w:val="24"/>
          <w:szCs w:val="24"/>
          <w:highlight w:val="none"/>
        </w:rPr>
        <w:t>1.满足《中华人民共和国政府采购法》第二十二条规定；</w:t>
      </w:r>
    </w:p>
    <w:p w14:paraId="625C6F5D">
      <w:pPr>
        <w:adjustRightInd w:val="0"/>
        <w:snapToGrid w:val="0"/>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w:t>
      </w:r>
    </w:p>
    <w:p w14:paraId="7FF207A8">
      <w:pPr>
        <w:adjustRightInd w:val="0"/>
        <w:snapToGrid w:val="0"/>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2.1中小企业政策</w:t>
      </w:r>
    </w:p>
    <w:p w14:paraId="1263A36B">
      <w:pPr>
        <w:adjustRightInd w:val="0"/>
        <w:snapToGrid w:val="0"/>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r>
        <w:rPr>
          <w:rFonts w:hint="eastAsia" w:ascii="宋体" w:hAnsi="宋体" w:eastAsia="宋体" w:cs="宋体"/>
          <w:color w:val="auto"/>
          <w:sz w:val="24"/>
          <w:szCs w:val="24"/>
          <w:highlight w:val="none"/>
        </w:rPr>
        <w:sym w:font="Wingdings 2" w:char="0052"/>
      </w:r>
      <w:r>
        <w:rPr>
          <w:rFonts w:hint="eastAsia" w:ascii="宋体" w:hAnsi="宋体" w:eastAsia="宋体" w:cs="宋体"/>
          <w:color w:val="auto"/>
          <w:sz w:val="24"/>
          <w:szCs w:val="24"/>
          <w:highlight w:val="none"/>
        </w:rPr>
        <w:t>本项目不专门面向中小企业预留采购份额。</w:t>
      </w:r>
    </w:p>
    <w:p w14:paraId="43BA4FD8">
      <w:pPr>
        <w:adjustRightInd w:val="0"/>
        <w:snapToGrid w:val="0"/>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本项目专门面向中小企业采购。</w:t>
      </w:r>
    </w:p>
    <w:p w14:paraId="22625766">
      <w:pPr>
        <w:adjustRightInd w:val="0"/>
        <w:snapToGrid w:val="0"/>
        <w:spacing w:line="560" w:lineRule="exact"/>
        <w:ind w:firstLine="480" w:firstLineChars="200"/>
        <w:jc w:val="left"/>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2.1.3□本项目预留部分采购项目预算专门面向中小企业采购。对于预留份额，提供的货物由符合政策要求的中小企业制造。预留份额通过以下措施进行：</w:t>
      </w:r>
      <w:r>
        <w:rPr>
          <w:rFonts w:hint="eastAsia" w:ascii="宋体" w:hAnsi="宋体" w:eastAsia="宋体" w:cs="宋体"/>
          <w:color w:val="auto"/>
          <w:sz w:val="24"/>
          <w:szCs w:val="24"/>
          <w:highlight w:val="none"/>
          <w:u w:val="single"/>
          <w:lang w:val="en-US" w:eastAsia="zh-CN"/>
        </w:rPr>
        <w:t xml:space="preserve"> </w:t>
      </w:r>
      <w:r>
        <w:rPr>
          <w:rFonts w:hint="eastAsia" w:asciiTheme="minorEastAsia" w:hAnsiTheme="minorEastAsia" w:eastAsiaTheme="minorEastAsia"/>
          <w:color w:val="auto"/>
          <w:sz w:val="24"/>
          <w:highlight w:val="none"/>
          <w:u w:val="single"/>
        </w:rPr>
        <w:t>/</w:t>
      </w:r>
      <w:r>
        <w:rPr>
          <w:rFonts w:hint="eastAsia" w:asciiTheme="minorEastAsia" w:hAnsiTheme="minorEastAsia" w:eastAsiaTheme="minorEastAsia"/>
          <w:color w:val="auto"/>
          <w:sz w:val="24"/>
          <w:highlight w:val="none"/>
          <w:lang w:eastAsia="zh-CN"/>
        </w:rPr>
        <w:t>。</w:t>
      </w:r>
    </w:p>
    <w:p w14:paraId="0980D39E">
      <w:pPr>
        <w:adjustRightInd w:val="0"/>
        <w:snapToGrid w:val="0"/>
        <w:spacing w:line="560" w:lineRule="exact"/>
        <w:ind w:firstLine="480" w:firstLineChars="200"/>
        <w:jc w:val="left"/>
        <w:rPr>
          <w:rFonts w:ascii="宋体" w:hAnsi="宋体" w:eastAsia="宋体" w:cs="宋体"/>
          <w:b/>
          <w:bCs/>
          <w:color w:val="auto"/>
          <w:sz w:val="24"/>
          <w:szCs w:val="24"/>
          <w:highlight w:val="none"/>
        </w:rPr>
      </w:pPr>
      <w:r>
        <w:rPr>
          <w:rFonts w:ascii="宋体" w:hAnsi="宋体" w:eastAsia="宋体" w:cs="宋体"/>
          <w:color w:val="auto"/>
          <w:sz w:val="24"/>
          <w:szCs w:val="24"/>
          <w:highlight w:val="none"/>
        </w:rPr>
        <w:t>2.2</w:t>
      </w:r>
      <w:r>
        <w:rPr>
          <w:rFonts w:hint="eastAsia" w:ascii="宋体" w:hAnsi="宋体" w:eastAsia="宋体" w:cs="宋体"/>
          <w:color w:val="auto"/>
          <w:sz w:val="24"/>
          <w:szCs w:val="24"/>
          <w:highlight w:val="none"/>
        </w:rPr>
        <w:t>其它落实政府采购政策的资格要求（如有）：</w:t>
      </w:r>
      <w:r>
        <w:rPr>
          <w:rFonts w:hint="eastAsia" w:ascii="宋体" w:hAnsi="宋体" w:eastAsia="宋体" w:cs="宋体"/>
          <w:color w:val="auto"/>
          <w:sz w:val="24"/>
          <w:szCs w:val="24"/>
          <w:highlight w:val="none"/>
          <w:u w:val="single"/>
          <w:lang w:val="en-US" w:eastAsia="zh-CN"/>
        </w:rPr>
        <w:t xml:space="preserve"> </w:t>
      </w:r>
      <w:r>
        <w:rPr>
          <w:rFonts w:hint="eastAsia" w:asciiTheme="minorEastAsia" w:hAnsiTheme="minorEastAsia" w:eastAsiaTheme="minorEastAsia"/>
          <w:color w:val="auto"/>
          <w:sz w:val="24"/>
          <w:highlight w:val="none"/>
          <w:u w:val="single"/>
        </w:rPr>
        <w:t>/</w:t>
      </w:r>
      <w:r>
        <w:rPr>
          <w:rFonts w:hint="eastAsia" w:ascii="宋体" w:hAnsi="宋体" w:eastAsia="宋体" w:cs="宋体"/>
          <w:b/>
          <w:bCs/>
          <w:color w:val="auto"/>
          <w:sz w:val="24"/>
          <w:szCs w:val="24"/>
          <w:highlight w:val="none"/>
        </w:rPr>
        <w:t>。</w:t>
      </w:r>
    </w:p>
    <w:p w14:paraId="644864F3">
      <w:pPr>
        <w:numPr>
          <w:ilvl w:val="0"/>
          <w:numId w:val="2"/>
        </w:numPr>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本项目的特定资格要求：</w:t>
      </w:r>
    </w:p>
    <w:p w14:paraId="33E7EA52">
      <w:pPr>
        <w:numPr>
          <w:ilvl w:val="0"/>
          <w:numId w:val="0"/>
        </w:numPr>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具有有效的电子与智能化工程专业承包二级及以上资质，且具有有效的安全生产许可证；</w:t>
      </w:r>
    </w:p>
    <w:p w14:paraId="3BEB2439">
      <w:pPr>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bookmarkStart w:id="8" w:name="OLE_LINK3"/>
      <w:r>
        <w:rPr>
          <w:rFonts w:hint="eastAsia" w:ascii="宋体" w:hAnsi="宋体" w:eastAsia="宋体" w:cs="宋体"/>
          <w:color w:val="auto"/>
          <w:sz w:val="24"/>
          <w:szCs w:val="24"/>
          <w:highlight w:val="none"/>
        </w:rPr>
        <w:t>拟任项目经理具有有效的机电工程专业二级及以上建造师注册证书，且具有有效的</w:t>
      </w:r>
      <w:r>
        <w:rPr>
          <w:rFonts w:hint="eastAsia" w:cs="宋体"/>
          <w:color w:val="auto"/>
          <w:sz w:val="24"/>
          <w:szCs w:val="24"/>
          <w:highlight w:val="none"/>
          <w:lang w:val="en-US" w:eastAsia="zh-CN"/>
        </w:rPr>
        <w:t>相关主管部门颁发的</w:t>
      </w:r>
      <w:r>
        <w:rPr>
          <w:rFonts w:hint="eastAsia" w:ascii="宋体" w:hAnsi="宋体" w:eastAsia="宋体" w:cs="宋体"/>
          <w:color w:val="auto"/>
          <w:sz w:val="24"/>
          <w:szCs w:val="24"/>
          <w:highlight w:val="none"/>
        </w:rPr>
        <w:t>安全生产考核合格B证。</w:t>
      </w:r>
      <w:bookmarkEnd w:id="8"/>
    </w:p>
    <w:p w14:paraId="7770EDB0">
      <w:pPr>
        <w:pStyle w:val="20"/>
        <w:rPr>
          <w:rFonts w:hint="eastAsia" w:ascii="宋体" w:hAnsi="宋体" w:eastAsia="宋体" w:cs="宋体"/>
          <w:color w:val="auto"/>
          <w:sz w:val="24"/>
          <w:szCs w:val="24"/>
          <w:highlight w:val="none"/>
        </w:rPr>
      </w:pPr>
    </w:p>
    <w:p w14:paraId="55AEAEC9">
      <w:pPr>
        <w:pStyle w:val="20"/>
        <w:rPr>
          <w:rFonts w:hint="eastAsia" w:ascii="宋体" w:hAnsi="宋体" w:eastAsia="宋体" w:cs="宋体"/>
          <w:color w:val="auto"/>
          <w:sz w:val="24"/>
          <w:szCs w:val="24"/>
          <w:highlight w:val="none"/>
        </w:rPr>
      </w:pPr>
    </w:p>
    <w:p w14:paraId="63716BC3">
      <w:pPr>
        <w:pStyle w:val="20"/>
        <w:rPr>
          <w:rFonts w:hint="eastAsia" w:ascii="宋体" w:hAnsi="宋体" w:eastAsia="宋体" w:cs="宋体"/>
          <w:color w:val="auto"/>
          <w:sz w:val="24"/>
          <w:szCs w:val="24"/>
          <w:highlight w:val="none"/>
        </w:rPr>
      </w:pPr>
    </w:p>
    <w:p w14:paraId="5F74481C">
      <w:pPr>
        <w:pStyle w:val="20"/>
        <w:rPr>
          <w:rFonts w:hint="eastAsia" w:ascii="宋体" w:hAnsi="宋体" w:eastAsia="宋体" w:cs="宋体"/>
          <w:color w:val="auto"/>
          <w:sz w:val="24"/>
          <w:szCs w:val="24"/>
          <w:highlight w:val="none"/>
        </w:rPr>
      </w:pPr>
    </w:p>
    <w:p w14:paraId="1CFE674F">
      <w:pPr>
        <w:spacing w:line="360" w:lineRule="auto"/>
        <w:ind w:firstLine="435"/>
        <w:outlineLvl w:val="1"/>
        <w:rPr>
          <w:rFonts w:hint="eastAsia"/>
          <w:b/>
          <w:bCs/>
          <w:color w:val="auto"/>
          <w:sz w:val="24"/>
          <w:szCs w:val="18"/>
          <w:highlight w:val="none"/>
          <w:lang w:val="en-US" w:eastAsia="zh-CN"/>
        </w:rPr>
      </w:pPr>
      <w:r>
        <w:rPr>
          <w:rFonts w:hint="eastAsia"/>
          <w:b/>
          <w:bCs/>
          <w:color w:val="auto"/>
          <w:sz w:val="24"/>
          <w:szCs w:val="18"/>
          <w:highlight w:val="none"/>
          <w:lang w:val="en-US" w:eastAsia="zh-CN"/>
        </w:rPr>
        <w:t>三、</w:t>
      </w:r>
      <w:bookmarkEnd w:id="6"/>
      <w:r>
        <w:rPr>
          <w:rFonts w:hint="eastAsia"/>
          <w:b/>
          <w:bCs/>
          <w:color w:val="auto"/>
          <w:sz w:val="24"/>
          <w:szCs w:val="18"/>
          <w:highlight w:val="none"/>
          <w:lang w:val="en-US" w:eastAsia="zh-CN"/>
        </w:rPr>
        <w:t>获取采购文件</w:t>
      </w:r>
      <w:bookmarkEnd w:id="7"/>
    </w:p>
    <w:p w14:paraId="0FB271BE">
      <w:pPr>
        <w:spacing w:line="360" w:lineRule="auto"/>
        <w:ind w:firstLine="540"/>
        <w:rPr>
          <w:rFonts w:hint="eastAsia" w:ascii="宋体" w:hAnsi="宋体" w:eastAsia="宋体" w:cs="宋体"/>
          <w:color w:val="auto"/>
          <w:sz w:val="24"/>
          <w:szCs w:val="24"/>
          <w:highlight w:val="none"/>
          <w:u w:val="none"/>
        </w:rPr>
      </w:pPr>
      <w:bookmarkStart w:id="9" w:name="_Toc16910"/>
      <w:r>
        <w:rPr>
          <w:rFonts w:hint="eastAsia" w:ascii="宋体" w:hAnsi="宋体" w:eastAsia="宋体" w:cs="宋体"/>
          <w:color w:val="auto"/>
          <w:sz w:val="24"/>
          <w:szCs w:val="24"/>
          <w:highlight w:val="none"/>
        </w:rPr>
        <w:t>时间：</w:t>
      </w:r>
      <w:r>
        <w:rPr>
          <w:rFonts w:hint="eastAsia" w:cs="宋体"/>
          <w:color w:val="auto"/>
          <w:sz w:val="24"/>
          <w:szCs w:val="24"/>
          <w:highlight w:val="none"/>
          <w:u w:val="none"/>
          <w:lang w:val="en-US" w:eastAsia="zh-CN"/>
        </w:rPr>
        <w:t>2026年3月23日</w:t>
      </w:r>
      <w:r>
        <w:rPr>
          <w:rFonts w:hint="eastAsia" w:ascii="宋体" w:hAnsi="宋体" w:eastAsia="宋体" w:cs="宋体"/>
          <w:color w:val="auto"/>
          <w:sz w:val="24"/>
          <w:szCs w:val="24"/>
          <w:highlight w:val="none"/>
          <w:u w:val="none"/>
        </w:rPr>
        <w:t>至</w:t>
      </w:r>
      <w:r>
        <w:rPr>
          <w:rFonts w:hint="eastAsia" w:cs="宋体"/>
          <w:color w:val="auto"/>
          <w:sz w:val="24"/>
          <w:szCs w:val="24"/>
          <w:highlight w:val="none"/>
          <w:u w:val="none"/>
          <w:lang w:val="en-US" w:eastAsia="zh-CN"/>
        </w:rPr>
        <w:t>2026年4月3日</w:t>
      </w:r>
      <w:r>
        <w:rPr>
          <w:rFonts w:hint="eastAsia" w:ascii="宋体" w:hAnsi="宋体" w:eastAsia="宋体" w:cs="宋体"/>
          <w:color w:val="auto"/>
          <w:sz w:val="24"/>
          <w:szCs w:val="24"/>
          <w:highlight w:val="none"/>
          <w:u w:val="none"/>
        </w:rPr>
        <w:t>，每天上午</w:t>
      </w:r>
      <w:r>
        <w:rPr>
          <w:rFonts w:hint="eastAsia" w:cs="宋体"/>
          <w:color w:val="auto"/>
          <w:sz w:val="24"/>
          <w:szCs w:val="24"/>
          <w:highlight w:val="none"/>
          <w:u w:val="none"/>
          <w:lang w:val="en-US" w:eastAsia="zh-CN"/>
        </w:rPr>
        <w:t>0：00</w:t>
      </w:r>
      <w:r>
        <w:rPr>
          <w:rFonts w:hint="eastAsia" w:ascii="宋体" w:hAnsi="宋体" w:eastAsia="宋体" w:cs="宋体"/>
          <w:color w:val="auto"/>
          <w:sz w:val="24"/>
          <w:szCs w:val="24"/>
          <w:highlight w:val="none"/>
          <w:u w:val="none"/>
        </w:rPr>
        <w:t>至</w:t>
      </w:r>
      <w:r>
        <w:rPr>
          <w:rFonts w:hint="eastAsia" w:cs="宋体"/>
          <w:color w:val="auto"/>
          <w:sz w:val="24"/>
          <w:szCs w:val="24"/>
          <w:highlight w:val="none"/>
          <w:u w:val="none"/>
          <w:lang w:val="en-US" w:eastAsia="zh-CN"/>
        </w:rPr>
        <w:t>12：00</w:t>
      </w:r>
      <w:r>
        <w:rPr>
          <w:rFonts w:hint="eastAsia" w:ascii="宋体" w:hAnsi="宋体" w:eastAsia="宋体" w:cs="宋体"/>
          <w:color w:val="auto"/>
          <w:sz w:val="24"/>
          <w:szCs w:val="24"/>
          <w:highlight w:val="none"/>
          <w:u w:val="none"/>
        </w:rPr>
        <w:t>，下午</w:t>
      </w:r>
      <w:r>
        <w:rPr>
          <w:rFonts w:hint="eastAsia" w:cs="宋体"/>
          <w:color w:val="auto"/>
          <w:sz w:val="24"/>
          <w:szCs w:val="24"/>
          <w:highlight w:val="none"/>
          <w:u w:val="none"/>
          <w:lang w:val="en-US" w:eastAsia="zh-CN"/>
        </w:rPr>
        <w:t>12：00</w:t>
      </w:r>
      <w:r>
        <w:rPr>
          <w:rFonts w:hint="eastAsia" w:ascii="宋体" w:hAnsi="宋体" w:eastAsia="宋体" w:cs="宋体"/>
          <w:color w:val="auto"/>
          <w:sz w:val="24"/>
          <w:szCs w:val="24"/>
          <w:highlight w:val="none"/>
          <w:u w:val="none"/>
        </w:rPr>
        <w:t>至</w:t>
      </w:r>
      <w:r>
        <w:rPr>
          <w:rFonts w:hint="eastAsia" w:cs="宋体"/>
          <w:color w:val="auto"/>
          <w:sz w:val="24"/>
          <w:szCs w:val="24"/>
          <w:highlight w:val="none"/>
          <w:u w:val="none"/>
          <w:lang w:val="en-US" w:eastAsia="zh-CN"/>
        </w:rPr>
        <w:t>23：59</w:t>
      </w:r>
      <w:r>
        <w:rPr>
          <w:rFonts w:hint="eastAsia" w:ascii="宋体" w:hAnsi="宋体" w:eastAsia="宋体" w:cs="宋体"/>
          <w:color w:val="auto"/>
          <w:sz w:val="24"/>
          <w:szCs w:val="24"/>
          <w:highlight w:val="none"/>
          <w:u w:val="none"/>
          <w:lang w:val="en-US" w:eastAsia="zh-CN"/>
        </w:rPr>
        <w:t xml:space="preserve">  </w:t>
      </w:r>
    </w:p>
    <w:p w14:paraId="4387759D">
      <w:pPr>
        <w:adjustRightInd w:val="0"/>
        <w:snapToGrid w:val="0"/>
        <w:spacing w:line="5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10" w:name="_Toc1322"/>
      <w:r>
        <w:rPr>
          <w:rFonts w:hint="eastAsia" w:ascii="宋体" w:hAnsi="宋体" w:eastAsia="宋体" w:cs="宋体"/>
          <w:color w:val="000000" w:themeColor="text1"/>
          <w:sz w:val="24"/>
          <w:szCs w:val="24"/>
          <w:highlight w:val="none"/>
          <w14:textFill>
            <w14:solidFill>
              <w14:schemeClr w14:val="tx1"/>
            </w14:solidFill>
          </w14:textFill>
        </w:rPr>
        <w:t xml:space="preserve">地点：“徽采云”电子交易系统 </w:t>
      </w:r>
    </w:p>
    <w:p w14:paraId="3EB7DF1A">
      <w:pPr>
        <w:adjustRightInd w:val="0"/>
        <w:snapToGrid w:val="0"/>
        <w:spacing w:line="5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方式：供应商登录“徽采云”电子交易系统在线获取采购文件</w:t>
      </w:r>
    </w:p>
    <w:p w14:paraId="2EF6C4D5">
      <w:pPr>
        <w:adjustRightInd w:val="0"/>
        <w:snapToGrid w:val="0"/>
        <w:spacing w:line="5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售价：0元</w:t>
      </w:r>
    </w:p>
    <w:p w14:paraId="43F9EB18">
      <w:pPr>
        <w:spacing w:line="360" w:lineRule="auto"/>
        <w:ind w:firstLine="435"/>
        <w:outlineLvl w:val="1"/>
        <w:rPr>
          <w:rFonts w:hint="eastAsia"/>
          <w:b/>
          <w:bCs/>
          <w:color w:val="auto"/>
          <w:sz w:val="24"/>
          <w:highlight w:val="none"/>
        </w:rPr>
      </w:pPr>
      <w:r>
        <w:rPr>
          <w:rFonts w:hint="eastAsia"/>
          <w:b/>
          <w:bCs/>
          <w:color w:val="auto"/>
          <w:sz w:val="24"/>
          <w:highlight w:val="none"/>
        </w:rPr>
        <w:t>四、</w:t>
      </w:r>
      <w:bookmarkEnd w:id="9"/>
      <w:r>
        <w:rPr>
          <w:rFonts w:hint="eastAsia"/>
          <w:b/>
          <w:bCs/>
          <w:color w:val="auto"/>
          <w:sz w:val="24"/>
          <w:highlight w:val="none"/>
        </w:rPr>
        <w:t>响应文件提交</w:t>
      </w:r>
      <w:bookmarkEnd w:id="10"/>
    </w:p>
    <w:p w14:paraId="50D636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none"/>
        </w:rPr>
      </w:pPr>
      <w:bookmarkStart w:id="11" w:name="_Toc11944"/>
      <w:r>
        <w:rPr>
          <w:rFonts w:hint="eastAsia" w:asciiTheme="minorEastAsia" w:hAnsiTheme="minorEastAsia" w:eastAsiaTheme="minorEastAsia" w:cstheme="minorEastAsia"/>
          <w:color w:val="auto"/>
          <w:sz w:val="24"/>
          <w:szCs w:val="24"/>
          <w:highlight w:val="none"/>
        </w:rPr>
        <w:t>截止时间</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u w:val="none"/>
          <w:lang w:val="en-US" w:eastAsia="zh-CN"/>
        </w:rPr>
        <w:t>2026年4月3日9</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none"/>
          <w:lang w:val="en-US" w:eastAsia="zh-CN"/>
        </w:rPr>
        <w:t>30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5B0064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s="宋体"/>
          <w:color w:val="auto"/>
          <w:sz w:val="24"/>
          <w:szCs w:val="24"/>
          <w:highlight w:val="none"/>
        </w:rPr>
        <w:t>“徽采云”电子交易系统</w:t>
      </w:r>
    </w:p>
    <w:p w14:paraId="3235E610">
      <w:pPr>
        <w:spacing w:line="360" w:lineRule="auto"/>
        <w:ind w:firstLine="435"/>
        <w:outlineLvl w:val="1"/>
        <w:rPr>
          <w:rFonts w:hint="eastAsia"/>
          <w:b/>
          <w:bCs/>
          <w:color w:val="auto"/>
          <w:sz w:val="24"/>
          <w:highlight w:val="none"/>
        </w:rPr>
      </w:pPr>
      <w:bookmarkStart w:id="12" w:name="_Toc28359093"/>
      <w:bookmarkStart w:id="13" w:name="_Toc35393802"/>
      <w:bookmarkStart w:id="14" w:name="_Toc28359016"/>
      <w:bookmarkStart w:id="15" w:name="_Toc27720"/>
      <w:bookmarkStart w:id="16" w:name="_Toc35393633"/>
      <w:r>
        <w:rPr>
          <w:rFonts w:hint="eastAsia"/>
          <w:b/>
          <w:bCs/>
          <w:color w:val="auto"/>
          <w:sz w:val="24"/>
          <w:highlight w:val="none"/>
        </w:rPr>
        <w:t>五、开启</w:t>
      </w:r>
      <w:bookmarkEnd w:id="12"/>
      <w:bookmarkEnd w:id="13"/>
      <w:bookmarkEnd w:id="14"/>
      <w:bookmarkEnd w:id="15"/>
      <w:bookmarkEnd w:id="16"/>
    </w:p>
    <w:p w14:paraId="2CA11D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none"/>
          <w:lang w:val="en-US" w:eastAsia="zh-CN"/>
        </w:rPr>
        <w:t>2026年4月3日9</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none"/>
          <w:lang w:val="en-US" w:eastAsia="zh-CN"/>
        </w:rPr>
        <w:t>30</w:t>
      </w:r>
      <w:r>
        <w:rPr>
          <w:rFonts w:hint="eastAsia" w:asciiTheme="minorEastAsia" w:hAnsiTheme="minorEastAsia" w:eastAsiaTheme="minorEastAsia" w:cstheme="minorEastAsia"/>
          <w:bCs/>
          <w:color w:val="auto"/>
          <w:sz w:val="24"/>
          <w:szCs w:val="24"/>
          <w:highlight w:val="none"/>
          <w:u w:val="none"/>
        </w:rPr>
        <w:t>分</w:t>
      </w:r>
      <w:r>
        <w:rPr>
          <w:rFonts w:hint="eastAsia" w:ascii="宋体" w:hAnsi="宋体" w:eastAsia="宋体" w:cs="宋体"/>
          <w:bCs/>
          <w:color w:val="auto"/>
          <w:sz w:val="24"/>
          <w:szCs w:val="24"/>
          <w:highlight w:val="none"/>
        </w:rPr>
        <w:t>（北京时间）</w:t>
      </w:r>
    </w:p>
    <w:p w14:paraId="54D960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地点：“徽采云”电子交易系统</w:t>
      </w:r>
    </w:p>
    <w:p w14:paraId="43CBB84D">
      <w:pPr>
        <w:spacing w:line="360" w:lineRule="auto"/>
        <w:ind w:firstLine="435"/>
        <w:outlineLvl w:val="1"/>
        <w:rPr>
          <w:rFonts w:hint="eastAsia"/>
          <w:b/>
          <w:bCs/>
          <w:color w:val="auto"/>
          <w:sz w:val="24"/>
          <w:highlight w:val="none"/>
        </w:rPr>
      </w:pPr>
      <w:bookmarkStart w:id="17" w:name="_Toc24365"/>
      <w:r>
        <w:rPr>
          <w:rFonts w:hint="eastAsia"/>
          <w:b/>
          <w:bCs/>
          <w:color w:val="auto"/>
          <w:sz w:val="24"/>
          <w:highlight w:val="none"/>
          <w:lang w:val="en-US" w:eastAsia="zh-CN"/>
        </w:rPr>
        <w:t>六</w:t>
      </w:r>
      <w:r>
        <w:rPr>
          <w:rFonts w:hint="eastAsia"/>
          <w:b/>
          <w:bCs/>
          <w:color w:val="auto"/>
          <w:sz w:val="24"/>
          <w:highlight w:val="none"/>
        </w:rPr>
        <w:t>、</w:t>
      </w:r>
      <w:bookmarkEnd w:id="11"/>
      <w:r>
        <w:rPr>
          <w:rFonts w:hint="eastAsia"/>
          <w:b/>
          <w:bCs/>
          <w:color w:val="auto"/>
          <w:sz w:val="24"/>
          <w:highlight w:val="none"/>
        </w:rPr>
        <w:t>公告期限</w:t>
      </w:r>
      <w:bookmarkEnd w:id="17"/>
    </w:p>
    <w:p w14:paraId="0E1E5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8" w:name="_Toc7722"/>
      <w:r>
        <w:rPr>
          <w:rFonts w:hint="eastAsia" w:ascii="宋体" w:hAnsi="宋体" w:eastAsia="宋体" w:cs="宋体"/>
          <w:color w:val="auto"/>
          <w:sz w:val="24"/>
          <w:szCs w:val="24"/>
          <w:highlight w:val="none"/>
        </w:rPr>
        <w:t>自本公告发布之日起3个工作日。</w:t>
      </w:r>
    </w:p>
    <w:p w14:paraId="563F3EBB">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9" w:name="_Toc22198"/>
      <w:bookmarkStart w:id="20" w:name="_Toc35393626"/>
      <w:bookmarkStart w:id="21" w:name="_Toc35393795"/>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9"/>
      <w:bookmarkEnd w:id="20"/>
      <w:bookmarkEnd w:id="21"/>
    </w:p>
    <w:p w14:paraId="196E17FD">
      <w:pPr>
        <w:pStyle w:val="20"/>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bookmarkStart w:id="22" w:name="_Toc25763"/>
      <w:r>
        <w:rPr>
          <w:rFonts w:hint="eastAsia" w:ascii="宋体" w:hAnsi="宋体" w:eastAsia="宋体" w:cs="宋体"/>
          <w:color w:val="000000" w:themeColor="text1"/>
          <w:sz w:val="24"/>
          <w:highlight w:val="none"/>
          <w:lang w:val="en-US"/>
          <w14:textFill>
            <w14:solidFill>
              <w14:schemeClr w14:val="tx1"/>
            </w14:solidFill>
          </w14:textFill>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F9B0FB1">
      <w:pPr>
        <w:pStyle w:val="20"/>
        <w:spacing w:after="0" w:line="360" w:lineRule="auto"/>
        <w:ind w:firstLine="480" w:firstLineChars="200"/>
        <w:rPr>
          <w:rFonts w:hint="eastAsia"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2.本项目落实节能环保、中小微型企业扶持等相关政府采购政策。</w:t>
      </w:r>
    </w:p>
    <w:p w14:paraId="6AB5B76A">
      <w:pPr>
        <w:pStyle w:val="20"/>
        <w:spacing w:after="0" w:line="360" w:lineRule="auto"/>
        <w:ind w:firstLine="480" w:firstLineChars="200"/>
        <w:rPr>
          <w:rFonts w:hint="eastAsia"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3.本次招标公告在安徽省政府采购网上发布。</w:t>
      </w:r>
    </w:p>
    <w:p w14:paraId="584A4D99">
      <w:pPr>
        <w:pStyle w:val="20"/>
        <w:spacing w:after="0" w:line="360" w:lineRule="auto"/>
        <w:ind w:firstLine="480" w:firstLineChars="200"/>
        <w:rPr>
          <w:rFonts w:hint="eastAsia"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4.潜在供应商应合理安排采购文件获取时间，特别是网络速度慢的地区防止在系统关闭前网络拥堵无法操作。如果因计算机及网络故障造成无法完成采购文件获取，责任自负。采购文件获取过程中有任何疑问，请在工作时间（09：00-17:30，节假日休息）拨打技术支持热线（非项目咨询）：95763。项目咨询请拨打代理机构项目联系人电话：0552-3092287。</w:t>
      </w:r>
    </w:p>
    <w:p w14:paraId="48E02732">
      <w:pPr>
        <w:pStyle w:val="20"/>
        <w:spacing w:after="0"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5.</w:t>
      </w:r>
      <w:r>
        <w:rPr>
          <w:rFonts w:hint="eastAsia" w:ascii="宋体" w:hAnsi="宋体" w:eastAsia="宋体" w:cs="宋体"/>
          <w:color w:val="000000" w:themeColor="text1"/>
          <w:sz w:val="24"/>
          <w:highlight w:val="none"/>
          <w:lang w:val="en-US" w:eastAsia="zh-CN"/>
          <w14:textFill>
            <w14:solidFill>
              <w14:schemeClr w14:val="tx1"/>
            </w14:solidFill>
          </w14:textFill>
        </w:rPr>
        <w:t>本项目符合财政部、工业和信息化部制定的《政府采购促进中小企业发展管理办法》第六条第三款之规定，为非专门面向中小企业采购项目。具体原因如下：按照本办法规定预留采购份额无法确保充分供应、充分竞争，或者存在可能影响政府采购目标实现的情形。</w:t>
      </w:r>
    </w:p>
    <w:p w14:paraId="2A7A28B0">
      <w:pPr>
        <w:spacing w:line="360" w:lineRule="auto"/>
        <w:ind w:firstLine="437"/>
        <w:outlineLvl w:val="1"/>
        <w:rPr>
          <w:b/>
          <w:bCs/>
          <w:color w:val="auto"/>
          <w:sz w:val="24"/>
          <w:szCs w:val="18"/>
          <w:highlight w:val="none"/>
        </w:rPr>
      </w:pPr>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8"/>
      <w:r>
        <w:rPr>
          <w:rFonts w:hint="eastAsia" w:ascii="宋体" w:hAnsi="宋体" w:eastAsia="宋体"/>
          <w:b/>
          <w:bCs/>
          <w:color w:val="auto"/>
          <w:sz w:val="24"/>
          <w:szCs w:val="18"/>
          <w:highlight w:val="none"/>
        </w:rPr>
        <w:t>对本次招标提出询问，请按以下方式联系</w:t>
      </w:r>
      <w:bookmarkEnd w:id="22"/>
    </w:p>
    <w:p w14:paraId="493526D9">
      <w:pPr>
        <w:spacing w:line="360" w:lineRule="auto"/>
        <w:ind w:firstLine="437"/>
        <w:outlineLvl w:val="2"/>
        <w:rPr>
          <w:rFonts w:hint="eastAsia" w:ascii="宋体" w:hAnsi="宋体" w:eastAsia="宋体"/>
          <w:color w:val="auto"/>
          <w:sz w:val="24"/>
          <w:szCs w:val="18"/>
          <w:highlight w:val="none"/>
          <w:lang w:val="en-US" w:eastAsia="zh-CN"/>
        </w:rPr>
      </w:pPr>
      <w:bookmarkStart w:id="23" w:name="_Toc13220"/>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5C5F8C3A">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：安徽省淮河河道管理局</w:t>
      </w:r>
    </w:p>
    <w:p w14:paraId="1871C3AB">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址：蚌埠市解放一路116号</w:t>
      </w:r>
    </w:p>
    <w:p w14:paraId="1FA123C5">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：0552-3918061</w:t>
      </w:r>
    </w:p>
    <w:p w14:paraId="605A999D">
      <w:pPr>
        <w:spacing w:line="360" w:lineRule="auto"/>
        <w:ind w:firstLine="437"/>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3F30393B">
      <w:pPr>
        <w:spacing w:line="360" w:lineRule="auto"/>
        <w:ind w:firstLine="435"/>
        <w:rPr>
          <w:rFonts w:hint="eastAsia"/>
          <w:color w:val="auto"/>
          <w:sz w:val="24"/>
          <w:szCs w:val="18"/>
          <w:highlight w:val="none"/>
          <w:u w:val="single"/>
          <w:lang w:val="en-US" w:eastAsia="zh-CN"/>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color w:val="auto"/>
          <w:sz w:val="24"/>
          <w:szCs w:val="18"/>
          <w:highlight w:val="none"/>
          <w:u w:val="none"/>
          <w:lang w:val="en-US" w:eastAsia="zh-CN"/>
        </w:rPr>
        <w:t>安徽安兆工程技术咨询服务有限公司</w:t>
      </w:r>
    </w:p>
    <w:p w14:paraId="6257A106">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rPr>
        <w:t>安徽省蚌埠市凤阳西路41号</w:t>
      </w:r>
    </w:p>
    <w:p w14:paraId="34CBCF1C">
      <w:pPr>
        <w:spacing w:line="360" w:lineRule="auto"/>
        <w:ind w:firstLine="435"/>
        <w:rPr>
          <w:rFonts w:hint="default"/>
          <w:color w:val="auto"/>
          <w:sz w:val="24"/>
          <w:szCs w:val="18"/>
          <w:highlight w:val="none"/>
          <w:u w:val="none"/>
          <w:lang w:val="en-US" w:eastAsia="zh-CN"/>
        </w:rPr>
      </w:pPr>
      <w:r>
        <w:rPr>
          <w:rFonts w:hint="eastAsia" w:ascii="宋体" w:hAnsi="宋体" w:eastAsia="宋体"/>
          <w:color w:val="auto"/>
          <w:sz w:val="24"/>
          <w:szCs w:val="18"/>
          <w:highlight w:val="none"/>
          <w:lang w:val="en-US" w:eastAsia="zh-CN"/>
        </w:rPr>
        <w:t>联系人：</w:t>
      </w:r>
      <w:r>
        <w:rPr>
          <w:rFonts w:hint="eastAsia"/>
          <w:color w:val="auto"/>
          <w:sz w:val="24"/>
          <w:szCs w:val="18"/>
          <w:highlight w:val="none"/>
          <w:u w:val="none"/>
          <w:lang w:val="en-US" w:eastAsia="zh-CN"/>
        </w:rPr>
        <w:t>薛工</w:t>
      </w:r>
    </w:p>
    <w:p w14:paraId="5A79E0B2">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：0552-3092287</w:t>
      </w:r>
    </w:p>
    <w:p w14:paraId="1A2FB47E">
      <w:pPr>
        <w:spacing w:line="360" w:lineRule="auto"/>
        <w:ind w:firstLine="437"/>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bookmarkEnd w:id="23"/>
    <w:p w14:paraId="0C3BE080">
      <w:pPr>
        <w:spacing w:line="360" w:lineRule="auto"/>
        <w:ind w:firstLine="435"/>
        <w:rPr>
          <w:rFonts w:hint="eastAsia"/>
          <w:color w:val="auto"/>
          <w:sz w:val="24"/>
          <w:szCs w:val="18"/>
          <w:highlight w:val="none"/>
        </w:rPr>
      </w:pPr>
      <w:r>
        <w:rPr>
          <w:rFonts w:hint="eastAsia"/>
          <w:color w:val="auto"/>
          <w:sz w:val="24"/>
          <w:szCs w:val="18"/>
          <w:highlight w:val="none"/>
        </w:rPr>
        <w:t>名  称：安徽省财政厅</w:t>
      </w:r>
    </w:p>
    <w:p w14:paraId="49A07C84">
      <w:pPr>
        <w:spacing w:line="360" w:lineRule="auto"/>
        <w:ind w:firstLine="435"/>
        <w:rPr>
          <w:rFonts w:hint="eastAsia"/>
          <w:color w:val="auto"/>
          <w:sz w:val="24"/>
          <w:szCs w:val="18"/>
          <w:highlight w:val="none"/>
        </w:rPr>
      </w:pPr>
      <w:r>
        <w:rPr>
          <w:rFonts w:hint="eastAsia"/>
          <w:color w:val="auto"/>
          <w:sz w:val="24"/>
          <w:szCs w:val="18"/>
          <w:highlight w:val="none"/>
        </w:rPr>
        <w:t>地  址：合肥市阜南西路238号</w:t>
      </w:r>
    </w:p>
    <w:p w14:paraId="4A36664A">
      <w:pPr>
        <w:spacing w:line="360" w:lineRule="auto"/>
        <w:ind w:firstLine="435"/>
        <w:rPr>
          <w:rFonts w:hint="eastAsia"/>
          <w:color w:val="auto"/>
          <w:sz w:val="24"/>
          <w:szCs w:val="18"/>
          <w:highlight w:val="none"/>
        </w:rPr>
      </w:pPr>
      <w:r>
        <w:rPr>
          <w:rFonts w:hint="eastAsia"/>
          <w:color w:val="auto"/>
          <w:sz w:val="24"/>
          <w:szCs w:val="18"/>
          <w:highlight w:val="none"/>
        </w:rPr>
        <w:t>联系方式：0551-68150413</w:t>
      </w:r>
    </w:p>
    <w:p w14:paraId="072811D9">
      <w:pPr>
        <w:spacing w:line="360" w:lineRule="auto"/>
        <w:ind w:firstLine="435"/>
        <w:rPr>
          <w:color w:val="auto"/>
          <w:sz w:val="24"/>
          <w:szCs w:val="18"/>
          <w:highlight w:val="none"/>
        </w:rPr>
      </w:pPr>
      <w:r>
        <w:rPr>
          <w:color w:val="auto"/>
          <w:sz w:val="24"/>
          <w:szCs w:val="18"/>
          <w:highlight w:val="none"/>
        </w:rPr>
        <w:br w:type="page"/>
      </w:r>
    </w:p>
    <w:p w14:paraId="0CD9E1F3">
      <w:pPr>
        <w:spacing w:line="360" w:lineRule="auto"/>
        <w:jc w:val="center"/>
        <w:outlineLvl w:val="0"/>
        <w:rPr>
          <w:rFonts w:asciiTheme="minorEastAsia" w:hAnsiTheme="minorEastAsia" w:eastAsiaTheme="minorEastAsia"/>
          <w:b/>
          <w:color w:val="auto"/>
          <w:sz w:val="28"/>
          <w:highlight w:val="none"/>
        </w:rPr>
      </w:pPr>
      <w:bookmarkStart w:id="24"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4"/>
    </w:p>
    <w:p w14:paraId="3981D3C1">
      <w:pPr>
        <w:spacing w:line="360" w:lineRule="auto"/>
        <w:jc w:val="center"/>
        <w:outlineLvl w:val="1"/>
        <w:rPr>
          <w:rFonts w:asciiTheme="minorEastAsia" w:hAnsiTheme="minorEastAsia" w:eastAsiaTheme="minorEastAsia"/>
          <w:b/>
          <w:color w:val="auto"/>
          <w:sz w:val="24"/>
          <w:highlight w:val="none"/>
        </w:rPr>
      </w:pPr>
      <w:bookmarkStart w:id="25" w:name="_Toc18621"/>
      <w:bookmarkStart w:id="26" w:name="_Toc12027"/>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5"/>
      <w:bookmarkEnd w:id="26"/>
    </w:p>
    <w:p w14:paraId="6442D35F">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866"/>
        <w:gridCol w:w="6856"/>
      </w:tblGrid>
      <w:tr w14:paraId="44ED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56406FE1">
            <w:pPr>
              <w:pStyle w:val="68"/>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66" w:type="pct"/>
            <w:vAlign w:val="center"/>
          </w:tcPr>
          <w:p w14:paraId="63DA30E3">
            <w:pPr>
              <w:pStyle w:val="68"/>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48" w:type="pct"/>
            <w:vAlign w:val="center"/>
          </w:tcPr>
          <w:p w14:paraId="7BB5DDCC">
            <w:pPr>
              <w:pStyle w:val="68"/>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EBC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150FD913">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66" w:type="pct"/>
            <w:vAlign w:val="center"/>
          </w:tcPr>
          <w:p w14:paraId="55987662">
            <w:pPr>
              <w:pStyle w:val="68"/>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48" w:type="pct"/>
            <w:vAlign w:val="center"/>
          </w:tcPr>
          <w:p w14:paraId="17C7B0C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682BC9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A7439B9">
            <w:pPr>
              <w:spacing w:line="360" w:lineRule="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时间：</w:t>
            </w:r>
            <w:r>
              <w:rPr>
                <w:rFonts w:hint="eastAsia"/>
                <w:bCs/>
                <w:color w:val="auto"/>
                <w:sz w:val="24"/>
                <w:highlight w:val="none"/>
                <w:u w:val="single"/>
                <w:lang w:val="en-US" w:eastAsia="zh-CN"/>
              </w:rPr>
              <w:t>/</w:t>
            </w:r>
          </w:p>
          <w:p w14:paraId="6287CD12">
            <w:pPr>
              <w:spacing w:line="360" w:lineRule="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r>
              <w:rPr>
                <w:rFonts w:hint="eastAsia"/>
                <w:bCs/>
                <w:color w:val="auto"/>
                <w:sz w:val="24"/>
                <w:highlight w:val="none"/>
                <w:u w:val="single"/>
                <w:lang w:val="en-US" w:eastAsia="zh-CN"/>
              </w:rPr>
              <w:t>/</w:t>
            </w:r>
          </w:p>
          <w:p w14:paraId="7E358B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val="en-US" w:eastAsia="zh-CN"/>
              </w:rPr>
            </w:pPr>
            <w:r>
              <w:rPr>
                <w:rFonts w:hint="eastAsia" w:ascii="宋体" w:hAnsi="宋体" w:eastAsia="宋体"/>
                <w:bCs/>
                <w:color w:val="auto"/>
                <w:sz w:val="24"/>
                <w:highlight w:val="none"/>
              </w:rPr>
              <w:t>联系人及联系电话：</w:t>
            </w:r>
            <w:r>
              <w:rPr>
                <w:rFonts w:hint="eastAsia"/>
                <w:bCs/>
                <w:color w:val="auto"/>
                <w:sz w:val="24"/>
                <w:highlight w:val="none"/>
                <w:u w:val="single"/>
                <w:lang w:val="en-US" w:eastAsia="zh-CN"/>
              </w:rPr>
              <w:t>/</w:t>
            </w:r>
          </w:p>
          <w:p w14:paraId="3D1B631C">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794A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0E726CB6">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66" w:type="pct"/>
            <w:vAlign w:val="center"/>
          </w:tcPr>
          <w:p w14:paraId="4F1280AF">
            <w:pPr>
              <w:pStyle w:val="68"/>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48" w:type="pct"/>
            <w:vAlign w:val="center"/>
          </w:tcPr>
          <w:p w14:paraId="1DF07210">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3</w:t>
            </w:r>
            <w:r>
              <w:rPr>
                <w:b w:val="0"/>
                <w:color w:val="auto"/>
                <w:sz w:val="24"/>
                <w:highlight w:val="none"/>
              </w:rPr>
              <w:t>月</w:t>
            </w:r>
            <w:r>
              <w:rPr>
                <w:rFonts w:hint="eastAsia"/>
                <w:b w:val="0"/>
                <w:color w:val="auto"/>
                <w:sz w:val="24"/>
                <w:highlight w:val="none"/>
                <w:u w:val="single"/>
                <w:lang w:val="en-US" w:eastAsia="zh-CN"/>
              </w:rPr>
              <w:t>25</w:t>
            </w:r>
            <w:r>
              <w:rPr>
                <w:b w:val="0"/>
                <w:color w:val="auto"/>
                <w:sz w:val="24"/>
                <w:highlight w:val="none"/>
              </w:rPr>
              <w:t>日</w:t>
            </w:r>
            <w:r>
              <w:rPr>
                <w:rFonts w:hint="eastAsia"/>
                <w:b w:val="0"/>
                <w:color w:val="auto"/>
                <w:sz w:val="24"/>
                <w:highlight w:val="none"/>
                <w:u w:val="single"/>
                <w:lang w:val="en-US" w:eastAsia="zh-CN"/>
              </w:rPr>
              <w:t>17</w:t>
            </w:r>
            <w:r>
              <w:rPr>
                <w:b w:val="0"/>
                <w:color w:val="auto"/>
                <w:sz w:val="24"/>
                <w:highlight w:val="none"/>
              </w:rPr>
              <w:t>时</w:t>
            </w:r>
            <w:r>
              <w:rPr>
                <w:rFonts w:hint="eastAsia"/>
                <w:b w:val="0"/>
                <w:color w:val="auto"/>
                <w:sz w:val="24"/>
                <w:highlight w:val="none"/>
                <w:u w:val="single"/>
                <w:lang w:val="en-US" w:eastAsia="zh-CN"/>
              </w:rPr>
              <w:t>30</w:t>
            </w:r>
            <w:r>
              <w:rPr>
                <w:rFonts w:hint="eastAsia"/>
                <w:b w:val="0"/>
                <w:color w:val="auto"/>
                <w:sz w:val="24"/>
                <w:highlight w:val="none"/>
              </w:rPr>
              <w:t>分</w:t>
            </w:r>
          </w:p>
        </w:tc>
      </w:tr>
      <w:tr w14:paraId="5837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484" w:type="pct"/>
            <w:vAlign w:val="center"/>
          </w:tcPr>
          <w:p w14:paraId="52D34804">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66" w:type="pct"/>
            <w:vAlign w:val="center"/>
          </w:tcPr>
          <w:p w14:paraId="20944684">
            <w:pPr>
              <w:pStyle w:val="68"/>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48" w:type="pct"/>
            <w:vAlign w:val="center"/>
          </w:tcPr>
          <w:p w14:paraId="19F1778A">
            <w:pPr>
              <w:pStyle w:val="68"/>
              <w:widowControl w:val="0"/>
              <w:spacing w:before="0" w:beforeAutospacing="0" w:after="0" w:afterAutospacing="0" w:line="360" w:lineRule="auto"/>
              <w:jc w:val="both"/>
              <w:rPr>
                <w:rFonts w:hint="default" w:eastAsia="宋体"/>
                <w:b/>
                <w:bCs w:val="0"/>
                <w:color w:val="auto"/>
                <w:sz w:val="24"/>
                <w:highlight w:val="none"/>
                <w:lang w:val="en-US" w:eastAsia="zh-CN"/>
              </w:rPr>
            </w:pPr>
            <w:r>
              <w:rPr>
                <w:rFonts w:hint="eastAsia"/>
                <w:b w:val="0"/>
                <w:bCs w:val="0"/>
                <w:color w:val="auto"/>
                <w:sz w:val="24"/>
                <w:szCs w:val="24"/>
                <w:highlight w:val="none"/>
                <w:lang w:eastAsia="zh-CN"/>
              </w:rPr>
              <w:t>□</w:t>
            </w:r>
            <w:r>
              <w:rPr>
                <w:b w:val="0"/>
                <w:color w:val="auto"/>
                <w:sz w:val="24"/>
                <w:highlight w:val="none"/>
              </w:rPr>
              <w:t xml:space="preserve">不分包    </w:t>
            </w:r>
            <w:r>
              <w:rPr>
                <w:b/>
                <w:bCs w:val="0"/>
                <w:color w:val="auto"/>
                <w:sz w:val="24"/>
                <w:highlight w:val="none"/>
              </w:rPr>
              <w:t xml:space="preserve"> </w:t>
            </w:r>
            <w:r>
              <w:rPr>
                <w:rFonts w:hint="eastAsia"/>
                <w:b/>
                <w:bCs w:val="0"/>
                <w:color w:val="auto"/>
                <w:sz w:val="24"/>
                <w:highlight w:val="none"/>
                <w:lang w:eastAsia="zh-CN"/>
              </w:rPr>
              <w:t>☑</w:t>
            </w:r>
            <w:r>
              <w:rPr>
                <w:b/>
                <w:bCs w:val="0"/>
                <w:color w:val="auto"/>
                <w:sz w:val="24"/>
                <w:highlight w:val="none"/>
              </w:rPr>
              <w:t>分为</w:t>
            </w:r>
            <w:r>
              <w:rPr>
                <w:rFonts w:hint="eastAsia"/>
                <w:b/>
                <w:bCs w:val="0"/>
                <w:color w:val="auto"/>
                <w:sz w:val="24"/>
                <w:highlight w:val="none"/>
                <w:lang w:val="en-US" w:eastAsia="zh-CN"/>
              </w:rPr>
              <w:t>多</w:t>
            </w:r>
            <w:r>
              <w:rPr>
                <w:b/>
                <w:bCs w:val="0"/>
                <w:color w:val="auto"/>
                <w:sz w:val="24"/>
                <w:highlight w:val="none"/>
              </w:rPr>
              <w:t>个包</w:t>
            </w:r>
            <w:r>
              <w:rPr>
                <w:rFonts w:hint="eastAsia"/>
                <w:b/>
                <w:bCs w:val="0"/>
                <w:color w:val="auto"/>
                <w:sz w:val="24"/>
                <w:highlight w:val="none"/>
                <w:lang w:eastAsia="zh-CN"/>
              </w:rPr>
              <w:t>，</w:t>
            </w:r>
            <w:r>
              <w:rPr>
                <w:rFonts w:hint="eastAsia"/>
                <w:b/>
                <w:bCs w:val="0"/>
                <w:color w:val="auto"/>
                <w:sz w:val="24"/>
                <w:highlight w:val="none"/>
                <w:lang w:val="en-US" w:eastAsia="zh-CN"/>
              </w:rPr>
              <w:t>本项目为第1包</w:t>
            </w:r>
          </w:p>
          <w:p w14:paraId="7FD68E3E">
            <w:pPr>
              <w:pStyle w:val="68"/>
              <w:widowControl w:val="0"/>
              <w:spacing w:before="0" w:beforeAutospacing="0" w:after="0" w:afterAutospacing="0" w:line="360" w:lineRule="auto"/>
              <w:jc w:val="both"/>
              <w:rPr>
                <w:b w:val="0"/>
                <w:color w:val="auto"/>
                <w:sz w:val="24"/>
                <w:highlight w:val="none"/>
              </w:rPr>
            </w:pPr>
            <w:r>
              <w:rPr>
                <w:rFonts w:hint="eastAsia"/>
                <w:b/>
                <w:bCs w:val="0"/>
                <w:color w:val="auto"/>
                <w:sz w:val="24"/>
                <w:szCs w:val="24"/>
                <w:highlight w:val="none"/>
              </w:rPr>
              <w:t>供应商参加多个包磋商的成交</w:t>
            </w:r>
            <w:r>
              <w:rPr>
                <w:b/>
                <w:bCs w:val="0"/>
                <w:color w:val="auto"/>
                <w:sz w:val="24"/>
                <w:szCs w:val="24"/>
                <w:highlight w:val="none"/>
              </w:rPr>
              <w:t>包</w:t>
            </w:r>
            <w:r>
              <w:rPr>
                <w:rFonts w:hint="eastAsia"/>
                <w:b/>
                <w:bCs w:val="0"/>
                <w:color w:val="auto"/>
                <w:sz w:val="24"/>
                <w:szCs w:val="24"/>
                <w:highlight w:val="none"/>
              </w:rPr>
              <w:t>数规定：</w:t>
            </w:r>
            <w:r>
              <w:rPr>
                <w:rFonts w:hint="eastAsia"/>
                <w:b/>
                <w:bCs w:val="0"/>
                <w:color w:val="auto"/>
                <w:sz w:val="24"/>
                <w:szCs w:val="18"/>
                <w:highlight w:val="none"/>
                <w:u w:val="single"/>
              </w:rPr>
              <w:t xml:space="preserve"> </w:t>
            </w:r>
            <w:r>
              <w:rPr>
                <w:rFonts w:hint="eastAsia"/>
                <w:b/>
                <w:bCs w:val="0"/>
                <w:color w:val="auto"/>
                <w:sz w:val="24"/>
                <w:szCs w:val="18"/>
                <w:highlight w:val="none"/>
                <w:u w:val="single"/>
                <w:lang w:val="en-US" w:eastAsia="zh-CN"/>
              </w:rPr>
              <w:t>详见磋商公告</w:t>
            </w:r>
            <w:r>
              <w:rPr>
                <w:b w:val="0"/>
                <w:bCs w:val="0"/>
                <w:color w:val="auto"/>
                <w:sz w:val="24"/>
                <w:szCs w:val="18"/>
                <w:highlight w:val="none"/>
                <w:u w:val="single"/>
              </w:rPr>
              <w:t xml:space="preserve"> </w:t>
            </w:r>
          </w:p>
        </w:tc>
      </w:tr>
      <w:tr w14:paraId="0374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484" w:type="pct"/>
            <w:vAlign w:val="center"/>
          </w:tcPr>
          <w:p w14:paraId="569A8C4B">
            <w:pPr>
              <w:pStyle w:val="69"/>
              <w:pBdr>
                <w:bottom w:val="none" w:color="auto" w:sz="0" w:space="0"/>
              </w:pBdr>
              <w:tabs>
                <w:tab w:val="clear" w:pos="4153"/>
                <w:tab w:val="clear" w:pos="8306"/>
              </w:tabs>
              <w:adjustRightInd/>
              <w:spacing w:line="360" w:lineRule="auto"/>
              <w:textAlignment w:val="auto"/>
              <w:rPr>
                <w:rFonts w:hint="eastAsia"/>
                <w:bCs/>
                <w:color w:val="auto"/>
                <w:kern w:val="2"/>
                <w:highlight w:val="none"/>
                <w:lang w:val="en-US" w:eastAsia="zh-CN"/>
              </w:rPr>
            </w:pPr>
            <w:r>
              <w:rPr>
                <w:rFonts w:hint="eastAsia"/>
                <w:b/>
                <w:bCs w:val="0"/>
                <w:color w:val="auto"/>
                <w:kern w:val="2"/>
                <w:highlight w:val="none"/>
                <w:lang w:val="en-US" w:eastAsia="zh-CN"/>
              </w:rPr>
              <w:t>8.1</w:t>
            </w:r>
          </w:p>
        </w:tc>
        <w:tc>
          <w:tcPr>
            <w:tcW w:w="966" w:type="pct"/>
            <w:vAlign w:val="center"/>
          </w:tcPr>
          <w:p w14:paraId="795D0AAE">
            <w:pPr>
              <w:pStyle w:val="68"/>
              <w:widowControl w:val="0"/>
              <w:spacing w:before="0" w:beforeAutospacing="0" w:after="0" w:afterAutospacing="0" w:line="360" w:lineRule="auto"/>
              <w:jc w:val="left"/>
              <w:rPr>
                <w:rFonts w:hint="eastAsia"/>
                <w:b w:val="0"/>
                <w:color w:val="auto"/>
                <w:sz w:val="24"/>
                <w:highlight w:val="none"/>
              </w:rPr>
            </w:pPr>
            <w:r>
              <w:rPr>
                <w:rFonts w:hint="eastAsia"/>
                <w:b/>
                <w:bCs w:val="0"/>
                <w:color w:val="auto"/>
                <w:sz w:val="24"/>
                <w:highlight w:val="none"/>
                <w:lang w:val="en-US" w:eastAsia="zh-CN"/>
              </w:rPr>
              <w:t>响应文件要求</w:t>
            </w:r>
          </w:p>
        </w:tc>
        <w:tc>
          <w:tcPr>
            <w:tcW w:w="3548" w:type="pct"/>
            <w:vAlign w:val="center"/>
          </w:tcPr>
          <w:p w14:paraId="756BF4B8">
            <w:pPr>
              <w:pStyle w:val="68"/>
              <w:widowControl w:val="0"/>
              <w:numPr>
                <w:ilvl w:val="0"/>
                <w:numId w:val="0"/>
              </w:numPr>
              <w:spacing w:before="0" w:beforeAutospacing="0" w:after="0" w:afterAutospacing="0" w:line="360" w:lineRule="auto"/>
              <w:jc w:val="both"/>
              <w:rPr>
                <w:rFonts w:hint="eastAsia" w:eastAsiaTheme="minorEastAsia"/>
                <w:b/>
                <w:bCs/>
                <w:color w:val="FF0000"/>
                <w:sz w:val="24"/>
                <w:highlight w:val="none"/>
                <w:lang w:val="en-US" w:eastAsia="zh-CN"/>
              </w:rPr>
            </w:pPr>
            <w:r>
              <w:rPr>
                <w:rFonts w:hint="eastAsia"/>
                <w:b/>
                <w:bCs w:val="0"/>
                <w:color w:val="auto"/>
                <w:sz w:val="24"/>
                <w:highlight w:val="none"/>
                <w:lang w:val="en-US" w:eastAsia="zh-CN"/>
              </w:rPr>
              <w:t>（1）响应文件页面数量：施工组织设计方案建议</w:t>
            </w:r>
            <w:r>
              <w:rPr>
                <w:rFonts w:hint="eastAsia" w:asciiTheme="minorEastAsia" w:hAnsiTheme="minorEastAsia" w:eastAsiaTheme="minorEastAsia" w:cstheme="minorEastAsia"/>
                <w:b/>
                <w:bCs/>
                <w:color w:val="FF0000"/>
                <w:sz w:val="24"/>
                <w:highlight w:val="none"/>
              </w:rPr>
              <w:t>不超过</w:t>
            </w:r>
            <w:r>
              <w:rPr>
                <w:rFonts w:hint="eastAsia" w:asciiTheme="minorEastAsia" w:hAnsiTheme="minorEastAsia" w:eastAsiaTheme="minorEastAsia" w:cstheme="minorEastAsia"/>
                <w:b/>
                <w:bCs/>
                <w:color w:val="FF0000"/>
                <w:sz w:val="24"/>
                <w:highlight w:val="none"/>
                <w:lang w:val="en-US" w:eastAsia="zh-CN"/>
              </w:rPr>
              <w:t>300</w:t>
            </w:r>
            <w:r>
              <w:rPr>
                <w:rFonts w:hint="eastAsia" w:eastAsiaTheme="minorEastAsia"/>
                <w:b/>
                <w:bCs/>
                <w:color w:val="FF0000"/>
                <w:sz w:val="24"/>
                <w:highlight w:val="none"/>
              </w:rPr>
              <w:t>页</w:t>
            </w:r>
            <w:r>
              <w:rPr>
                <w:rFonts w:hint="eastAsia" w:eastAsiaTheme="minorEastAsia"/>
                <w:b/>
                <w:bCs/>
                <w:color w:val="FF0000"/>
                <w:sz w:val="24"/>
                <w:highlight w:val="none"/>
                <w:lang w:val="en-US" w:eastAsia="zh-CN"/>
              </w:rPr>
              <w:t>;</w:t>
            </w:r>
          </w:p>
          <w:p w14:paraId="5C0BD4EA">
            <w:pPr>
              <w:pStyle w:val="68"/>
              <w:widowControl w:val="0"/>
              <w:numPr>
                <w:ilvl w:val="0"/>
                <w:numId w:val="0"/>
              </w:numPr>
              <w:spacing w:before="0" w:beforeAutospacing="0" w:after="0" w:afterAutospacing="0" w:line="360" w:lineRule="auto"/>
              <w:jc w:val="both"/>
              <w:rPr>
                <w:rFonts w:hint="eastAsia"/>
                <w:b/>
                <w:bCs w:val="0"/>
                <w:color w:val="auto"/>
                <w:sz w:val="24"/>
                <w:szCs w:val="24"/>
                <w:highlight w:val="none"/>
              </w:rPr>
            </w:pPr>
            <w:r>
              <w:rPr>
                <w:rFonts w:hint="eastAsia" w:eastAsiaTheme="minorEastAsia"/>
                <w:b/>
                <w:bCs/>
                <w:color w:val="auto"/>
                <w:sz w:val="24"/>
                <w:highlight w:val="none"/>
                <w:lang w:val="en-US" w:eastAsia="zh-CN"/>
              </w:rPr>
              <w:t>（2）成交后成交人须向采购人提供2份纸质响应文件。</w:t>
            </w:r>
          </w:p>
        </w:tc>
      </w:tr>
      <w:tr w14:paraId="6290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84" w:type="pct"/>
            <w:vAlign w:val="center"/>
          </w:tcPr>
          <w:p w14:paraId="4CF25EB5">
            <w:pPr>
              <w:pStyle w:val="69"/>
              <w:pBdr>
                <w:bottom w:val="none" w:color="auto" w:sz="0" w:space="0"/>
              </w:pBdr>
              <w:tabs>
                <w:tab w:val="clear" w:pos="4153"/>
                <w:tab w:val="clear" w:pos="8306"/>
              </w:tabs>
              <w:adjustRightInd/>
              <w:spacing w:line="360" w:lineRule="auto"/>
              <w:textAlignment w:val="auto"/>
              <w:rPr>
                <w:rFonts w:hint="default"/>
                <w:b/>
                <w:bCs w:val="0"/>
                <w:color w:val="auto"/>
                <w:kern w:val="2"/>
                <w:highlight w:val="none"/>
                <w:lang w:val="en-US" w:eastAsia="zh-CN"/>
              </w:rPr>
            </w:pPr>
            <w:r>
              <w:rPr>
                <w:rFonts w:hint="eastAsia"/>
                <w:b/>
                <w:bCs w:val="0"/>
                <w:color w:val="auto"/>
                <w:kern w:val="2"/>
                <w:highlight w:val="none"/>
                <w:lang w:val="en-US" w:eastAsia="zh-CN"/>
              </w:rPr>
              <w:t>9.2</w:t>
            </w:r>
          </w:p>
        </w:tc>
        <w:tc>
          <w:tcPr>
            <w:tcW w:w="966" w:type="pct"/>
            <w:vAlign w:val="center"/>
          </w:tcPr>
          <w:p w14:paraId="4C5A5312">
            <w:pPr>
              <w:pStyle w:val="68"/>
              <w:widowControl w:val="0"/>
              <w:spacing w:before="0" w:beforeAutospacing="0" w:after="0" w:afterAutospacing="0" w:line="360" w:lineRule="auto"/>
              <w:jc w:val="left"/>
              <w:rPr>
                <w:rFonts w:hint="eastAsia"/>
                <w:b/>
                <w:bCs w:val="0"/>
                <w:color w:val="auto"/>
                <w:sz w:val="24"/>
                <w:highlight w:val="none"/>
              </w:rPr>
            </w:pPr>
            <w:r>
              <w:rPr>
                <w:rFonts w:hint="eastAsia" w:ascii="宋体" w:hAnsi="宋体" w:eastAsia="宋体"/>
                <w:b/>
                <w:bCs w:val="0"/>
                <w:color w:val="auto"/>
                <w:sz w:val="24"/>
                <w:szCs w:val="24"/>
                <w:highlight w:val="none"/>
              </w:rPr>
              <w:t>最高限价</w:t>
            </w:r>
          </w:p>
        </w:tc>
        <w:tc>
          <w:tcPr>
            <w:tcW w:w="3548" w:type="pct"/>
            <w:vAlign w:val="center"/>
          </w:tcPr>
          <w:p w14:paraId="156BFE2E">
            <w:pPr>
              <w:widowControl w:val="0"/>
              <w:spacing w:line="360" w:lineRule="auto"/>
              <w:jc w:val="both"/>
              <w:rPr>
                <w:rFonts w:hint="eastAsia"/>
                <w:b/>
                <w:bCs/>
                <w:color w:val="auto"/>
                <w:sz w:val="24"/>
                <w:szCs w:val="18"/>
                <w:highlight w:val="none"/>
                <w:u w:val="single"/>
                <w:lang w:val="en-US" w:eastAsia="zh-CN"/>
              </w:rPr>
            </w:pPr>
            <w:r>
              <w:rPr>
                <w:rFonts w:hint="eastAsia"/>
                <w:b/>
                <w:bCs/>
                <w:color w:val="auto"/>
                <w:sz w:val="24"/>
                <w:szCs w:val="18"/>
                <w:highlight w:val="none"/>
                <w:u w:val="single"/>
                <w:lang w:val="en-US" w:eastAsia="zh-CN"/>
              </w:rPr>
              <w:t>第1包最高限价为98万元。</w:t>
            </w:r>
          </w:p>
          <w:p w14:paraId="6B798F93">
            <w:pPr>
              <w:widowControl w:val="0"/>
              <w:spacing w:line="360" w:lineRule="auto"/>
              <w:jc w:val="both"/>
              <w:rPr>
                <w:rFonts w:hint="eastAsia" w:cstheme="minorBidi"/>
                <w:b/>
                <w:bCs/>
                <w:color w:val="auto"/>
                <w:sz w:val="24"/>
                <w:szCs w:val="18"/>
                <w:highlight w:val="none"/>
                <w:u w:val="single"/>
                <w:lang w:val="en-US" w:eastAsia="zh-CN" w:bidi="ar-SA"/>
              </w:rPr>
            </w:pPr>
            <w:r>
              <w:rPr>
                <w:rFonts w:hint="eastAsia"/>
                <w:b/>
                <w:bCs/>
                <w:color w:val="auto"/>
                <w:sz w:val="24"/>
                <w:szCs w:val="24"/>
                <w:highlight w:val="none"/>
              </w:rPr>
              <w:t>供应商的</w:t>
            </w:r>
            <w:r>
              <w:rPr>
                <w:rFonts w:hint="eastAsia"/>
                <w:b/>
                <w:bCs/>
                <w:color w:val="auto"/>
                <w:sz w:val="24"/>
                <w:szCs w:val="24"/>
                <w:highlight w:val="none"/>
                <w:lang w:val="en-US" w:eastAsia="zh-CN"/>
              </w:rPr>
              <w:t>投标</w:t>
            </w:r>
            <w:r>
              <w:rPr>
                <w:rFonts w:hint="eastAsia"/>
                <w:b/>
                <w:bCs/>
                <w:color w:val="auto"/>
                <w:sz w:val="24"/>
                <w:szCs w:val="24"/>
                <w:highlight w:val="none"/>
              </w:rPr>
              <w:t>报价不得超过采购人公</w:t>
            </w:r>
            <w:r>
              <w:rPr>
                <w:b/>
                <w:bCs/>
                <w:color w:val="auto"/>
                <w:sz w:val="24"/>
                <w:szCs w:val="24"/>
                <w:highlight w:val="none"/>
              </w:rPr>
              <w:t>布的最高限价，否则其响应文件按照无效处理。</w:t>
            </w:r>
          </w:p>
        </w:tc>
      </w:tr>
      <w:tr w14:paraId="33FF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84" w:type="pct"/>
            <w:vAlign w:val="center"/>
          </w:tcPr>
          <w:p w14:paraId="6CD6A423">
            <w:pPr>
              <w:pStyle w:val="69"/>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66" w:type="pct"/>
            <w:vAlign w:val="center"/>
          </w:tcPr>
          <w:p w14:paraId="3D4B789B">
            <w:pPr>
              <w:pStyle w:val="68"/>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48" w:type="pct"/>
            <w:vAlign w:val="center"/>
          </w:tcPr>
          <w:p w14:paraId="7B97CC4F">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63A5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2E645D54">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66" w:type="pct"/>
            <w:vAlign w:val="center"/>
          </w:tcPr>
          <w:p w14:paraId="34E62884">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48" w:type="pct"/>
            <w:vAlign w:val="center"/>
          </w:tcPr>
          <w:p w14:paraId="213439D9">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90</w:t>
            </w:r>
            <w:r>
              <w:rPr>
                <w:rFonts w:hint="eastAsia"/>
                <w:b w:val="0"/>
                <w:color w:val="auto"/>
                <w:sz w:val="24"/>
                <w:highlight w:val="none"/>
              </w:rPr>
              <w:t>日历日</w:t>
            </w:r>
          </w:p>
        </w:tc>
      </w:tr>
      <w:tr w14:paraId="7FBA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54439FF6">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66" w:type="pct"/>
            <w:vAlign w:val="center"/>
          </w:tcPr>
          <w:p w14:paraId="00FF1EE0">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48" w:type="pct"/>
            <w:vAlign w:val="center"/>
          </w:tcPr>
          <w:p w14:paraId="3A2BAE7E">
            <w:pPr>
              <w:pStyle w:val="68"/>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60</w:t>
            </w:r>
            <w:r>
              <w:rPr>
                <w:rFonts w:hint="eastAsia"/>
                <w:b w:val="0"/>
                <w:color w:val="auto"/>
                <w:sz w:val="24"/>
                <w:highlight w:val="none"/>
                <w:u w:val="none"/>
              </w:rPr>
              <w:t>分钟内</w:t>
            </w:r>
          </w:p>
        </w:tc>
      </w:tr>
      <w:tr w14:paraId="43DA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24DA08F7">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66" w:type="pct"/>
            <w:vAlign w:val="center"/>
          </w:tcPr>
          <w:p w14:paraId="4457C2CE">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48" w:type="pct"/>
            <w:vAlign w:val="center"/>
          </w:tcPr>
          <w:p w14:paraId="418A12CA">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60CA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39EC7FA5">
            <w:pPr>
              <w:pStyle w:val="6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val="0"/>
              <w:spacing w:line="360" w:lineRule="auto"/>
              <w:textAlignment w:val="auto"/>
              <w:rPr>
                <w:rFonts w:hint="eastAsia"/>
                <w:bCs/>
                <w:color w:val="auto"/>
                <w:kern w:val="2"/>
                <w:highlight w:val="none"/>
              </w:rPr>
            </w:pPr>
            <w:r>
              <w:rPr>
                <w:rFonts w:hint="eastAsia" w:ascii="宋体" w:hAnsi="宋体" w:eastAsia="宋体" w:cstheme="minorBidi"/>
                <w:b w:val="0"/>
                <w:bCs/>
                <w:color w:val="FF0000"/>
                <w:sz w:val="24"/>
                <w:szCs w:val="28"/>
                <w:highlight w:val="none"/>
                <w:lang w:val="en-US" w:eastAsia="zh-CN" w:bidi="ar-SA"/>
              </w:rPr>
              <w:t>14.4.3</w:t>
            </w:r>
          </w:p>
        </w:tc>
        <w:tc>
          <w:tcPr>
            <w:tcW w:w="966" w:type="pct"/>
            <w:vAlign w:val="center"/>
          </w:tcPr>
          <w:p w14:paraId="5DDE5218">
            <w:pPr>
              <w:pStyle w:val="68"/>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b w:val="0"/>
                <w:color w:val="auto"/>
                <w:sz w:val="24"/>
                <w:highlight w:val="none"/>
              </w:rPr>
            </w:pPr>
            <w:r>
              <w:rPr>
                <w:rFonts w:hint="eastAsia" w:ascii="宋体" w:hAnsi="宋体" w:eastAsia="宋体" w:cstheme="minorBidi"/>
                <w:b w:val="0"/>
                <w:bCs/>
                <w:color w:val="FF0000"/>
                <w:sz w:val="24"/>
                <w:szCs w:val="28"/>
                <w:highlight w:val="none"/>
                <w:lang w:val="en-US" w:eastAsia="zh-CN" w:bidi="ar-SA"/>
              </w:rPr>
              <w:t>异常低价审查</w:t>
            </w:r>
          </w:p>
        </w:tc>
        <w:tc>
          <w:tcPr>
            <w:tcW w:w="3548" w:type="pct"/>
            <w:vAlign w:val="center"/>
          </w:tcPr>
          <w:p w14:paraId="62B70225">
            <w:pPr>
              <w:pStyle w:val="68"/>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本项增加以下内容：</w:t>
            </w:r>
          </w:p>
          <w:p w14:paraId="0185C5AF">
            <w:pPr>
              <w:pStyle w:val="5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政府采购评审中出现下列情形之一的，评审委员会应当启动异常低价响应审查程序： </w:t>
            </w:r>
          </w:p>
          <w:p w14:paraId="32DE245A">
            <w:pPr>
              <w:pStyle w:val="5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1.报价低于全部通过符合性审查供应商报价平均值50%的，即报价&lt;全部通过符合性审查供应商报价平均值×50%； </w:t>
            </w:r>
          </w:p>
          <w:p w14:paraId="4A164404">
            <w:pPr>
              <w:pStyle w:val="5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2.报价低于通过符合性审查的次低报价供应商报价50%的，即报价&lt;通过符合性审查的次低报价供应商报价×50%； </w:t>
            </w:r>
          </w:p>
          <w:p w14:paraId="69615856">
            <w:pPr>
              <w:pStyle w:val="5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3.报价低于采购项目最高限价45%的，即报价&lt;采购项目最高限价×45%； </w:t>
            </w:r>
          </w:p>
          <w:p w14:paraId="2B169363">
            <w:pPr>
              <w:pStyle w:val="5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4.评审委员会基于专业判断，认为供应商报价过低，有可能影响产品质量或者不能诚信履约的其他情形。 </w:t>
            </w:r>
          </w:p>
          <w:p w14:paraId="0B55BFAD">
            <w:pPr>
              <w:pStyle w:val="5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p>
          <w:p w14:paraId="61F3055A">
            <w:pPr>
              <w:pStyle w:val="5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480" w:firstLineChars="200"/>
              <w:jc w:val="both"/>
              <w:textAlignment w:val="auto"/>
              <w:rPr>
                <w:rFonts w:hint="eastAsia"/>
                <w:b w:val="0"/>
                <w:color w:val="auto"/>
                <w:sz w:val="24"/>
                <w:highlight w:val="none"/>
                <w:u w:val="none"/>
              </w:rPr>
            </w:pPr>
            <w:r>
              <w:rPr>
                <w:rFonts w:hint="eastAsia" w:ascii="宋体" w:hAnsi="宋体" w:eastAsia="宋体" w:cstheme="minorBidi"/>
                <w:b w:val="0"/>
                <w:bCs/>
                <w:color w:val="FF0000"/>
                <w:sz w:val="24"/>
                <w:szCs w:val="28"/>
                <w:highlight w:val="none"/>
                <w:lang w:val="en-US" w:eastAsia="zh-CN" w:bidi="ar-SA"/>
              </w:rPr>
              <w:t>供应商不能提供书面说明、证明材料，或者提供的书面说明、证明材料不能证明其报价合理性的，评审委员会应当将其作为无效响应处理。</w:t>
            </w:r>
          </w:p>
        </w:tc>
      </w:tr>
      <w:tr w14:paraId="62AF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00BA7D37">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66" w:type="pct"/>
            <w:vAlign w:val="center"/>
          </w:tcPr>
          <w:p w14:paraId="65A19DF9">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2C63B818">
            <w:pPr>
              <w:pStyle w:val="68"/>
              <w:widowControl w:val="0"/>
              <w:spacing w:before="0" w:beforeAutospacing="0" w:after="0" w:afterAutospacing="0" w:line="360" w:lineRule="auto"/>
              <w:jc w:val="both"/>
              <w:rPr>
                <w:b w:val="0"/>
                <w:color w:val="auto"/>
                <w:sz w:val="24"/>
                <w:highlight w:val="none"/>
              </w:rPr>
            </w:pPr>
            <w:r>
              <w:rPr>
                <w:rFonts w:hint="eastAsia"/>
                <w:b w:val="0"/>
                <w:i/>
                <w:color w:val="auto"/>
                <w:sz w:val="24"/>
                <w:highlight w:val="none"/>
              </w:rPr>
              <w:t>（非专门面向中小企业采购项目适用）</w:t>
            </w:r>
          </w:p>
        </w:tc>
        <w:tc>
          <w:tcPr>
            <w:tcW w:w="3548" w:type="pct"/>
            <w:vAlign w:val="center"/>
          </w:tcPr>
          <w:p w14:paraId="62642F61">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b w:val="0"/>
                <w:color w:val="auto"/>
                <w:sz w:val="24"/>
                <w:highlight w:val="none"/>
                <w:u w:val="single"/>
                <w:lang w:val="en-US" w:eastAsia="zh-CN"/>
              </w:rPr>
              <w:t>3%</w:t>
            </w:r>
            <w:r>
              <w:rPr>
                <w:rFonts w:hint="eastAsia" w:ascii="宋体" w:hAnsi="宋体" w:eastAsia="宋体"/>
                <w:b w:val="0"/>
                <w:color w:val="auto"/>
                <w:sz w:val="24"/>
                <w:highlight w:val="none"/>
              </w:rPr>
              <w:t>。</w:t>
            </w:r>
          </w:p>
          <w:p w14:paraId="7A03460E">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264467">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4ABE2B3">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p>
          <w:p w14:paraId="607324ED">
            <w:pPr>
              <w:pStyle w:val="68"/>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1A12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Merge w:val="restart"/>
            <w:vAlign w:val="center"/>
          </w:tcPr>
          <w:p w14:paraId="662D8029">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66" w:type="pct"/>
            <w:vMerge w:val="restart"/>
            <w:vAlign w:val="center"/>
          </w:tcPr>
          <w:p w14:paraId="7E6D4AB5">
            <w:pPr>
              <w:pStyle w:val="68"/>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48" w:type="pct"/>
            <w:vAlign w:val="center"/>
          </w:tcPr>
          <w:p w14:paraId="5206676F">
            <w:pPr>
              <w:pStyle w:val="68"/>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b w:val="0"/>
                <w:color w:val="auto"/>
                <w:sz w:val="24"/>
                <w:highlight w:val="none"/>
                <w:lang w:val="en-US" w:eastAsia="zh-CN"/>
              </w:rPr>
              <w:t>及</w:t>
            </w:r>
            <w:r>
              <w:rPr>
                <w:rFonts w:hint="eastAsia" w:ascii="宋体" w:hAnsi="宋体" w:eastAsia="宋体"/>
                <w:b w:val="0"/>
                <w:color w:val="auto"/>
                <w:sz w:val="24"/>
                <w:highlight w:val="none"/>
                <w:lang w:val="en-US" w:eastAsia="zh-CN"/>
              </w:rPr>
              <w:t>以上</w:t>
            </w:r>
          </w:p>
          <w:p w14:paraId="1EEBAE98">
            <w:pPr>
              <w:pStyle w:val="68"/>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4708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Merge w:val="continue"/>
            <w:vAlign w:val="center"/>
          </w:tcPr>
          <w:p w14:paraId="4D22848D">
            <w:pPr>
              <w:pStyle w:val="69"/>
              <w:pBdr>
                <w:bottom w:val="none" w:color="auto" w:sz="0" w:space="0"/>
              </w:pBdr>
              <w:tabs>
                <w:tab w:val="clear" w:pos="4153"/>
                <w:tab w:val="clear" w:pos="8306"/>
              </w:tabs>
              <w:adjustRightInd/>
              <w:spacing w:line="360" w:lineRule="auto"/>
              <w:textAlignment w:val="auto"/>
              <w:rPr>
                <w:bCs/>
                <w:color w:val="auto"/>
                <w:kern w:val="2"/>
                <w:highlight w:val="none"/>
              </w:rPr>
            </w:pPr>
          </w:p>
        </w:tc>
        <w:tc>
          <w:tcPr>
            <w:tcW w:w="966" w:type="pct"/>
            <w:vMerge w:val="continue"/>
            <w:vAlign w:val="center"/>
          </w:tcPr>
          <w:p w14:paraId="1249A41A">
            <w:pPr>
              <w:pStyle w:val="68"/>
              <w:widowControl w:val="0"/>
              <w:spacing w:before="0" w:beforeAutospacing="0" w:after="0" w:afterAutospacing="0" w:line="360" w:lineRule="auto"/>
              <w:jc w:val="both"/>
              <w:rPr>
                <w:b w:val="0"/>
                <w:color w:val="auto"/>
                <w:sz w:val="24"/>
                <w:highlight w:val="none"/>
              </w:rPr>
            </w:pPr>
          </w:p>
        </w:tc>
        <w:tc>
          <w:tcPr>
            <w:tcW w:w="3548" w:type="pct"/>
            <w:vAlign w:val="center"/>
          </w:tcPr>
          <w:p w14:paraId="60E3A15D">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364ACE0F">
            <w:pPr>
              <w:pStyle w:val="68"/>
              <w:widowControl w:val="0"/>
              <w:spacing w:before="0" w:beforeAutospacing="0" w:after="0" w:afterAutospacing="0" w:line="360" w:lineRule="auto"/>
              <w:jc w:val="both"/>
              <w:rPr>
                <w:b w:val="0"/>
                <w:color w:val="auto"/>
                <w:sz w:val="24"/>
                <w:highlight w:val="none"/>
              </w:rPr>
            </w:pPr>
            <w:r>
              <w:rPr>
                <w:rFonts w:hint="eastAsia" w:asciiTheme="minorEastAsia" w:hAnsiTheme="minorEastAsia"/>
                <w:b w:val="0"/>
                <w:color w:val="auto"/>
                <w:sz w:val="24"/>
                <w:szCs w:val="24"/>
                <w:highlight w:val="none"/>
              </w:rPr>
              <w:sym w:font="Wingdings" w:char="00A8"/>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采购人确定</w:t>
            </w:r>
          </w:p>
        </w:tc>
      </w:tr>
      <w:tr w14:paraId="718F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4487441F">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66" w:type="pct"/>
            <w:vAlign w:val="center"/>
          </w:tcPr>
          <w:p w14:paraId="750FC2D5">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48" w:type="pct"/>
            <w:vAlign w:val="center"/>
          </w:tcPr>
          <w:p w14:paraId="2E2DEB76">
            <w:pPr>
              <w:pStyle w:val="68"/>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303AC4D3">
            <w:pPr>
              <w:pStyle w:val="68"/>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975FE4F">
            <w:pPr>
              <w:pStyle w:val="68"/>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tc>
      </w:tr>
      <w:tr w14:paraId="503C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71FDE3BD">
            <w:pPr>
              <w:pStyle w:val="69"/>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66" w:type="pct"/>
            <w:vAlign w:val="center"/>
          </w:tcPr>
          <w:p w14:paraId="694E40CE">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48" w:type="pct"/>
            <w:vAlign w:val="center"/>
          </w:tcPr>
          <w:p w14:paraId="0B1DA285">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FE"/>
            </w:r>
            <w:r>
              <w:rPr>
                <w:rFonts w:hint="eastAsia"/>
                <w:b w:val="0"/>
                <w:color w:val="auto"/>
                <w:sz w:val="24"/>
                <w:highlight w:val="none"/>
              </w:rPr>
              <w:t>数据电文</w:t>
            </w:r>
          </w:p>
        </w:tc>
      </w:tr>
      <w:tr w14:paraId="2C2F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20A24DC6">
            <w:pPr>
              <w:pStyle w:val="69"/>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66" w:type="pct"/>
            <w:vAlign w:val="center"/>
          </w:tcPr>
          <w:p w14:paraId="65C54C0C">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48" w:type="pct"/>
            <w:vAlign w:val="center"/>
          </w:tcPr>
          <w:p w14:paraId="2D2E81C2">
            <w:pPr>
              <w:pStyle w:val="68"/>
              <w:widowControl w:val="0"/>
              <w:spacing w:before="0" w:beforeAutospacing="0" w:after="0" w:afterAutospacing="0" w:line="360" w:lineRule="auto"/>
              <w:jc w:val="both"/>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332AF3A3">
            <w:pPr>
              <w:pStyle w:val="68"/>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3C5E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4DC515EF">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66" w:type="pct"/>
            <w:vAlign w:val="center"/>
          </w:tcPr>
          <w:p w14:paraId="18F08EF1">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48" w:type="pct"/>
          </w:tcPr>
          <w:p w14:paraId="26F4EAFE">
            <w:pPr>
              <w:spacing w:line="360" w:lineRule="auto"/>
              <w:rPr>
                <w:bCs/>
                <w:color w:val="auto"/>
                <w:sz w:val="24"/>
                <w:szCs w:val="28"/>
                <w:highlight w:val="none"/>
              </w:rPr>
            </w:pPr>
            <w:r>
              <w:rPr>
                <w:rFonts w:hint="eastAsia"/>
                <w:bCs/>
                <w:color w:val="auto"/>
                <w:sz w:val="24"/>
                <w:szCs w:val="28"/>
                <w:highlight w:val="none"/>
              </w:rPr>
              <w:t>（1）金额：</w:t>
            </w:r>
          </w:p>
          <w:p w14:paraId="68D037C4">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4492A165">
            <w:pPr>
              <w:spacing w:line="360" w:lineRule="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合同价的</w:t>
            </w:r>
            <w:r>
              <w:rPr>
                <w:rFonts w:hint="eastAsia"/>
                <w:bCs/>
                <w:color w:val="auto"/>
                <w:sz w:val="24"/>
                <w:szCs w:val="28"/>
                <w:highlight w:val="none"/>
                <w:u w:val="single"/>
                <w:lang w:val="en-US" w:eastAsia="zh-CN"/>
              </w:rPr>
              <w:t>2.5</w:t>
            </w:r>
            <w:r>
              <w:rPr>
                <w:bCs/>
                <w:color w:val="auto"/>
                <w:sz w:val="24"/>
                <w:szCs w:val="28"/>
                <w:highlight w:val="none"/>
              </w:rPr>
              <w:t>%</w:t>
            </w:r>
          </w:p>
          <w:p w14:paraId="36C3D974">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lang w:val="en-US" w:eastAsia="zh-CN"/>
              </w:rPr>
              <w:t>/</w:t>
            </w:r>
            <w:r>
              <w:rPr>
                <w:rFonts w:hint="eastAsia"/>
                <w:bCs/>
                <w:color w:val="auto"/>
                <w:sz w:val="24"/>
                <w:szCs w:val="28"/>
                <w:highlight w:val="none"/>
              </w:rPr>
              <w:t>元</w:t>
            </w:r>
          </w:p>
          <w:p w14:paraId="77DDAB00">
            <w:pPr>
              <w:spacing w:line="360" w:lineRule="auto"/>
              <w:rPr>
                <w:bCs/>
                <w:color w:val="auto"/>
                <w:sz w:val="24"/>
                <w:szCs w:val="28"/>
                <w:highlight w:val="none"/>
              </w:rPr>
            </w:pPr>
            <w:r>
              <w:rPr>
                <w:rFonts w:hint="eastAsia"/>
                <w:bCs/>
                <w:color w:val="auto"/>
                <w:sz w:val="24"/>
                <w:szCs w:val="28"/>
                <w:highlight w:val="none"/>
              </w:rPr>
              <w:t>（2）支付方式：</w:t>
            </w:r>
          </w:p>
          <w:p w14:paraId="38D24250">
            <w:pPr>
              <w:spacing w:line="360" w:lineRule="auto"/>
              <w:rPr>
                <w:bCs/>
                <w:color w:val="auto"/>
                <w:sz w:val="24"/>
                <w:szCs w:val="28"/>
                <w:highlight w:val="none"/>
              </w:rPr>
            </w:pPr>
            <w:r>
              <w:rPr>
                <w:rFonts w:hint="eastAsia"/>
                <w:bCs/>
                <w:color w:val="auto"/>
                <w:sz w:val="24"/>
                <w:szCs w:val="28"/>
                <w:highlight w:val="none"/>
              </w:rPr>
              <w:sym w:font="Wingdings" w:char="00FE"/>
            </w:r>
            <w:r>
              <w:rPr>
                <w:bCs/>
                <w:color w:val="auto"/>
                <w:sz w:val="24"/>
                <w:szCs w:val="28"/>
                <w:highlight w:val="none"/>
              </w:rPr>
              <w:t>转账/电汇</w:t>
            </w:r>
            <w:r>
              <w:rPr>
                <w:rFonts w:hint="eastAsia"/>
                <w:bCs/>
                <w:color w:val="auto"/>
                <w:sz w:val="24"/>
                <w:szCs w:val="28"/>
                <w:highlight w:val="none"/>
              </w:rPr>
              <w:t xml:space="preserve"> </w:t>
            </w:r>
            <w:r>
              <w:rPr>
                <w:rFonts w:hint="eastAsia"/>
                <w:bCs/>
                <w:color w:val="auto"/>
                <w:sz w:val="24"/>
                <w:szCs w:val="28"/>
                <w:highlight w:val="none"/>
              </w:rPr>
              <w:sym w:font="Wingdings" w:char="00FE"/>
            </w:r>
            <w:r>
              <w:rPr>
                <w:bCs/>
                <w:color w:val="auto"/>
                <w:sz w:val="24"/>
                <w:szCs w:val="28"/>
                <w:highlight w:val="none"/>
              </w:rPr>
              <w:t xml:space="preserve">支票 </w:t>
            </w:r>
            <w:r>
              <w:rPr>
                <w:rFonts w:hint="eastAsia"/>
                <w:bCs/>
                <w:color w:val="auto"/>
                <w:sz w:val="24"/>
                <w:szCs w:val="28"/>
                <w:highlight w:val="none"/>
              </w:rPr>
              <w:sym w:font="Wingdings" w:char="00FE"/>
            </w:r>
            <w:r>
              <w:rPr>
                <w:bCs/>
                <w:color w:val="auto"/>
                <w:sz w:val="24"/>
                <w:szCs w:val="28"/>
                <w:highlight w:val="none"/>
              </w:rPr>
              <w:t>汇票</w:t>
            </w:r>
            <w:r>
              <w:rPr>
                <w:rFonts w:hint="eastAsia"/>
                <w:bCs/>
                <w:color w:val="auto"/>
                <w:sz w:val="24"/>
                <w:szCs w:val="28"/>
                <w:highlight w:val="none"/>
              </w:rPr>
              <w:t xml:space="preserve"> </w:t>
            </w:r>
            <w:r>
              <w:rPr>
                <w:rFonts w:hint="eastAsia"/>
                <w:bCs/>
                <w:color w:val="auto"/>
                <w:sz w:val="24"/>
                <w:szCs w:val="28"/>
                <w:highlight w:val="none"/>
              </w:rPr>
              <w:sym w:font="Wingdings" w:char="00FE"/>
            </w:r>
            <w:r>
              <w:rPr>
                <w:rFonts w:hint="eastAsia"/>
                <w:bCs/>
                <w:color w:val="auto"/>
                <w:sz w:val="24"/>
                <w:szCs w:val="28"/>
                <w:highlight w:val="none"/>
              </w:rPr>
              <w:t xml:space="preserve">本票 </w:t>
            </w:r>
            <w:r>
              <w:rPr>
                <w:rFonts w:hint="eastAsia"/>
                <w:bCs/>
                <w:color w:val="auto"/>
                <w:sz w:val="24"/>
                <w:szCs w:val="28"/>
                <w:highlight w:val="none"/>
              </w:rPr>
              <w:sym w:font="Wingdings" w:char="00FE"/>
            </w:r>
            <w:r>
              <w:rPr>
                <w:bCs/>
                <w:color w:val="auto"/>
                <w:sz w:val="24"/>
                <w:szCs w:val="28"/>
                <w:highlight w:val="none"/>
              </w:rPr>
              <w:t>保</w:t>
            </w:r>
            <w:r>
              <w:rPr>
                <w:rFonts w:hint="eastAsia"/>
                <w:bCs/>
                <w:color w:val="auto"/>
                <w:sz w:val="24"/>
                <w:szCs w:val="28"/>
                <w:highlight w:val="none"/>
              </w:rPr>
              <w:t xml:space="preserve">险 </w:t>
            </w:r>
            <w:r>
              <w:rPr>
                <w:rFonts w:hint="eastAsia"/>
                <w:bCs/>
                <w:color w:val="auto"/>
                <w:sz w:val="24"/>
                <w:szCs w:val="28"/>
                <w:highlight w:val="none"/>
              </w:rPr>
              <w:sym w:font="Wingdings" w:char="00FE"/>
            </w:r>
            <w:r>
              <w:rPr>
                <w:rFonts w:hint="eastAsia"/>
                <w:bCs/>
                <w:color w:val="auto"/>
                <w:sz w:val="24"/>
                <w:szCs w:val="28"/>
                <w:highlight w:val="none"/>
              </w:rPr>
              <w:t>保</w:t>
            </w:r>
            <w:r>
              <w:rPr>
                <w:bCs/>
                <w:color w:val="auto"/>
                <w:sz w:val="24"/>
                <w:szCs w:val="28"/>
                <w:highlight w:val="none"/>
              </w:rPr>
              <w:t>函</w:t>
            </w:r>
          </w:p>
          <w:p w14:paraId="0B5D3F9C">
            <w:pPr>
              <w:spacing w:line="360" w:lineRule="auto"/>
              <w:rPr>
                <w:rFonts w:hint="default"/>
                <w:b/>
                <w:color w:val="auto"/>
                <w:sz w:val="24"/>
                <w:szCs w:val="24"/>
                <w:highlight w:val="none"/>
                <w:u w:val="single"/>
                <w:lang w:val="en-US" w:eastAsia="zh-CN"/>
              </w:rPr>
            </w:pPr>
            <w:r>
              <w:rPr>
                <w:rFonts w:hint="eastAsia" w:ascii="宋体" w:hAnsi="宋体" w:eastAsia="宋体"/>
                <w:bCs/>
                <w:color w:val="auto"/>
                <w:kern w:val="0"/>
                <w:sz w:val="24"/>
                <w:szCs w:val="24"/>
                <w:highlight w:val="none"/>
                <w:lang w:eastAsia="zh-CN"/>
              </w:rPr>
              <w:t>（</w:t>
            </w:r>
            <w:r>
              <w:rPr>
                <w:rFonts w:hint="eastAsia" w:ascii="宋体" w:hAnsi="宋体" w:eastAsia="宋体"/>
                <w:bCs/>
                <w:color w:val="auto"/>
                <w:kern w:val="0"/>
                <w:sz w:val="24"/>
                <w:szCs w:val="24"/>
                <w:highlight w:val="none"/>
              </w:rPr>
              <w:t>3）收取单位：</w:t>
            </w:r>
            <w:r>
              <w:rPr>
                <w:rFonts w:hint="eastAsia" w:cs="宋体"/>
                <w:bCs/>
                <w:color w:val="auto"/>
                <w:kern w:val="2"/>
                <w:sz w:val="24"/>
                <w:szCs w:val="24"/>
                <w:highlight w:val="none"/>
                <w:u w:val="single"/>
                <w:lang w:val="en-US" w:eastAsia="zh-CN"/>
              </w:rPr>
              <w:t>各包合同甲方</w:t>
            </w:r>
          </w:p>
          <w:p w14:paraId="5F2AA9AD">
            <w:pPr>
              <w:spacing w:line="360" w:lineRule="auto"/>
              <w:rPr>
                <w:rFonts w:ascii="宋体" w:hAnsi="宋体" w:eastAsia="宋体"/>
                <w:bCs/>
                <w:color w:val="auto"/>
                <w:kern w:val="0"/>
                <w:sz w:val="24"/>
                <w:szCs w:val="24"/>
                <w:highlight w:val="none"/>
              </w:rPr>
            </w:pPr>
            <w:r>
              <w:rPr>
                <w:rFonts w:hint="eastAsia" w:ascii="宋体" w:hAnsi="宋体" w:eastAsia="宋体"/>
                <w:bCs/>
                <w:color w:val="auto"/>
                <w:kern w:val="0"/>
                <w:sz w:val="24"/>
                <w:szCs w:val="24"/>
                <w:highlight w:val="none"/>
              </w:rPr>
              <w:t>（4）收取账号：</w:t>
            </w:r>
            <w:r>
              <w:rPr>
                <w:rFonts w:hint="eastAsia" w:ascii="宋体" w:hAnsi="宋体" w:eastAsia="宋体"/>
                <w:bCs/>
                <w:color w:val="auto"/>
                <w:kern w:val="0"/>
                <w:sz w:val="24"/>
                <w:szCs w:val="24"/>
                <w:highlight w:val="none"/>
                <w:u w:val="single"/>
              </w:rPr>
              <w:t>成交后提供</w:t>
            </w:r>
          </w:p>
          <w:p w14:paraId="348F58E9">
            <w:pPr>
              <w:spacing w:line="360" w:lineRule="auto"/>
              <w:rPr>
                <w:rFonts w:hint="eastAsia" w:ascii="Times New Roman" w:hAnsi="Times New Roman" w:eastAsia="宋体" w:cs="Times New Roman"/>
                <w:color w:val="auto"/>
                <w:sz w:val="24"/>
                <w:szCs w:val="24"/>
                <w:highlight w:val="none"/>
                <w:u w:val="single"/>
                <w:lang w:eastAsia="zh-CN"/>
              </w:rPr>
            </w:pPr>
            <w:r>
              <w:rPr>
                <w:rFonts w:hint="eastAsia" w:ascii="宋体" w:hAnsi="宋体" w:eastAsia="宋体"/>
                <w:bCs/>
                <w:color w:val="auto"/>
                <w:kern w:val="0"/>
                <w:sz w:val="24"/>
                <w:szCs w:val="24"/>
                <w:highlight w:val="none"/>
              </w:rPr>
              <w:t>（5）</w:t>
            </w:r>
            <w:r>
              <w:rPr>
                <w:rFonts w:hint="eastAsia" w:ascii="宋体" w:hAnsi="宋体" w:eastAsia="宋体"/>
                <w:color w:val="auto"/>
                <w:sz w:val="24"/>
                <w:szCs w:val="24"/>
                <w:highlight w:val="none"/>
              </w:rPr>
              <w:t>退还时间：</w:t>
            </w:r>
            <w:r>
              <w:rPr>
                <w:rFonts w:hint="eastAsia" w:ascii="Times New Roman" w:hAnsi="Times New Roman" w:cs="Times New Roman"/>
                <w:color w:val="auto"/>
                <w:sz w:val="24"/>
                <w:szCs w:val="24"/>
                <w:highlight w:val="none"/>
                <w:u w:val="single"/>
                <w:lang w:eastAsia="zh-CN"/>
              </w:rPr>
              <w:t>履约保证金在合同生效之日起至项目验收合格前一直有效，验收</w:t>
            </w:r>
            <w:r>
              <w:rPr>
                <w:rFonts w:hint="eastAsia" w:ascii="Times New Roman" w:hAnsi="Times New Roman" w:cs="Times New Roman"/>
                <w:color w:val="auto"/>
                <w:sz w:val="24"/>
                <w:szCs w:val="24"/>
                <w:highlight w:val="none"/>
                <w:u w:val="single"/>
                <w:lang w:val="en-US" w:eastAsia="zh-CN"/>
              </w:rPr>
              <w:t>合格</w:t>
            </w:r>
            <w:r>
              <w:rPr>
                <w:rFonts w:hint="eastAsia" w:ascii="Times New Roman" w:hAnsi="Times New Roman" w:cs="Times New Roman"/>
                <w:color w:val="auto"/>
                <w:sz w:val="24"/>
                <w:szCs w:val="24"/>
                <w:highlight w:val="none"/>
                <w:u w:val="single"/>
                <w:lang w:eastAsia="zh-CN"/>
              </w:rPr>
              <w:t>后经乙方申请，</w:t>
            </w:r>
            <w:r>
              <w:rPr>
                <w:rFonts w:hint="eastAsia" w:ascii="Times New Roman" w:hAnsi="Times New Roman" w:cs="Times New Roman"/>
                <w:color w:val="auto"/>
                <w:sz w:val="24"/>
                <w:szCs w:val="24"/>
                <w:highlight w:val="none"/>
                <w:u w:val="single"/>
                <w:lang w:val="en-US" w:eastAsia="zh-CN"/>
              </w:rPr>
              <w:t>合同</w:t>
            </w:r>
            <w:r>
              <w:rPr>
                <w:rFonts w:hint="eastAsia" w:ascii="Times New Roman" w:hAnsi="Times New Roman" w:cs="Times New Roman"/>
                <w:color w:val="auto"/>
                <w:sz w:val="24"/>
                <w:szCs w:val="24"/>
                <w:highlight w:val="none"/>
                <w:u w:val="single"/>
                <w:lang w:eastAsia="zh-CN"/>
              </w:rPr>
              <w:t>甲方确认后按规定及时将履约保证金款项退还给乙方或者解除履约担保。</w:t>
            </w:r>
          </w:p>
          <w:p w14:paraId="60FCC1C4">
            <w:pPr>
              <w:spacing w:line="360" w:lineRule="auto"/>
              <w:rPr>
                <w:rFonts w:ascii="宋体" w:hAnsi="宋体" w:eastAsia="宋体"/>
                <w:color w:val="auto"/>
                <w:sz w:val="24"/>
                <w:szCs w:val="24"/>
                <w:highlight w:val="none"/>
              </w:rPr>
            </w:pPr>
            <w:r>
              <w:rPr>
                <w:rFonts w:hint="eastAsia" w:ascii="宋体" w:hAnsi="宋体" w:eastAsia="宋体" w:cs="宋体"/>
                <w:b/>
                <w:color w:val="auto"/>
                <w:sz w:val="24"/>
                <w:szCs w:val="24"/>
                <w:highlight w:val="none"/>
              </w:rPr>
              <w:t>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不履行合同，履约保证金不予退还；如果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未能按合同约定全面履行义务，合同</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有权从履约保证金中取得补偿或赔偿，同时不影响</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要求</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承担合同约定的超过履约保证金的违约责任的权利。</w:t>
            </w:r>
          </w:p>
          <w:p w14:paraId="4E04771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3CAC5A34">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63CEC3B">
            <w:pPr>
              <w:pStyle w:val="68"/>
              <w:widowControl w:val="0"/>
              <w:spacing w:before="0" w:beforeAutospacing="0" w:after="0" w:afterAutospacing="0" w:line="360" w:lineRule="auto"/>
              <w:jc w:val="both"/>
              <w:rPr>
                <w:color w:val="auto"/>
                <w:sz w:val="24"/>
                <w:highlight w:val="none"/>
              </w:rPr>
            </w:pPr>
            <w:r>
              <w:rPr>
                <w:rFonts w:hint="eastAsia" w:ascii="宋体" w:hAnsi="宋体" w:eastAsia="宋体"/>
                <w:bCs w:val="0"/>
                <w:color w:val="auto"/>
                <w:sz w:val="24"/>
                <w:szCs w:val="24"/>
                <w:highlight w:val="none"/>
              </w:rPr>
              <w:t>（2）以担保函、保证保险形式缴纳履约保证金的，受益人和收取单位须为</w:t>
            </w:r>
            <w:r>
              <w:rPr>
                <w:rFonts w:hint="eastAsia"/>
                <w:bCs w:val="0"/>
                <w:color w:val="auto"/>
                <w:sz w:val="24"/>
                <w:szCs w:val="24"/>
                <w:highlight w:val="none"/>
                <w:lang w:eastAsia="zh-CN"/>
              </w:rPr>
              <w:t>合同甲方</w:t>
            </w:r>
            <w:r>
              <w:rPr>
                <w:rFonts w:hint="eastAsia" w:ascii="宋体" w:hAnsi="宋体" w:eastAsia="宋体"/>
                <w:bCs w:val="0"/>
                <w:color w:val="auto"/>
                <w:sz w:val="24"/>
                <w:szCs w:val="24"/>
                <w:highlight w:val="none"/>
              </w:rPr>
              <w:t>。</w:t>
            </w:r>
          </w:p>
        </w:tc>
      </w:tr>
      <w:tr w14:paraId="5E30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5C591883">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66" w:type="pct"/>
            <w:vAlign w:val="center"/>
          </w:tcPr>
          <w:p w14:paraId="4D16F491">
            <w:pPr>
              <w:pStyle w:val="68"/>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48" w:type="pct"/>
            <w:vAlign w:val="center"/>
          </w:tcPr>
          <w:p w14:paraId="3D333F44">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（1）收费对象：成交供应商</w:t>
            </w:r>
          </w:p>
          <w:p w14:paraId="1E8B55D4">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（2）收取方式：转账/电汇</w:t>
            </w:r>
          </w:p>
          <w:p w14:paraId="26CFB799">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（3）收费标准：项目代理费分包支付，</w:t>
            </w:r>
            <w:r>
              <w:rPr>
                <w:rFonts w:hint="eastAsia"/>
                <w:b w:val="0"/>
                <w:bCs w:val="0"/>
                <w:color w:val="auto"/>
                <w:sz w:val="24"/>
                <w:szCs w:val="28"/>
                <w:highlight w:val="none"/>
                <w:lang w:val="en-US" w:eastAsia="zh-CN"/>
              </w:rPr>
              <w:t>1包代理费为玖仟捌佰元整</w:t>
            </w:r>
            <w:r>
              <w:rPr>
                <w:rFonts w:hint="eastAsia"/>
                <w:b w:val="0"/>
                <w:bCs w:val="0"/>
                <w:color w:val="auto"/>
                <w:sz w:val="24"/>
                <w:szCs w:val="28"/>
                <w:highlight w:val="none"/>
              </w:rPr>
              <w:t>，由</w:t>
            </w:r>
            <w:r>
              <w:rPr>
                <w:rFonts w:hint="eastAsia"/>
                <w:b w:val="0"/>
                <w:bCs w:val="0"/>
                <w:color w:val="auto"/>
                <w:sz w:val="24"/>
                <w:szCs w:val="28"/>
                <w:highlight w:val="none"/>
                <w:lang w:val="en-US" w:eastAsia="zh-CN"/>
              </w:rPr>
              <w:t>1包</w:t>
            </w:r>
            <w:r>
              <w:rPr>
                <w:rFonts w:hint="eastAsia"/>
                <w:b w:val="0"/>
                <w:bCs w:val="0"/>
                <w:color w:val="auto"/>
                <w:sz w:val="24"/>
                <w:szCs w:val="28"/>
                <w:highlight w:val="none"/>
              </w:rPr>
              <w:t>成交供应商支付，包含在</w:t>
            </w:r>
            <w:r>
              <w:rPr>
                <w:rFonts w:hint="eastAsia"/>
                <w:b w:val="0"/>
                <w:bCs w:val="0"/>
                <w:color w:val="auto"/>
                <w:sz w:val="24"/>
                <w:szCs w:val="28"/>
                <w:highlight w:val="none"/>
                <w:lang w:val="en-US" w:eastAsia="zh-CN"/>
              </w:rPr>
              <w:t>1</w:t>
            </w:r>
            <w:r>
              <w:rPr>
                <w:rFonts w:hint="eastAsia"/>
                <w:b w:val="0"/>
                <w:bCs w:val="0"/>
                <w:color w:val="auto"/>
                <w:sz w:val="24"/>
                <w:szCs w:val="28"/>
                <w:highlight w:val="none"/>
              </w:rPr>
              <w:t>包成交供应商投标报价的单价与合价中，不单独列项。</w:t>
            </w:r>
          </w:p>
          <w:p w14:paraId="7DF80B1D">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b w:val="0"/>
                <w:bCs w:val="0"/>
                <w:color w:val="auto"/>
                <w:sz w:val="24"/>
                <w:szCs w:val="28"/>
                <w:highlight w:val="none"/>
              </w:rPr>
              <w:t>（4）支付时间：领取成交通知书</w:t>
            </w:r>
            <w:r>
              <w:rPr>
                <w:rFonts w:hint="eastAsia"/>
                <w:b w:val="0"/>
                <w:bCs w:val="0"/>
                <w:color w:val="auto"/>
                <w:sz w:val="24"/>
                <w:szCs w:val="28"/>
                <w:highlight w:val="none"/>
                <w:lang w:val="en-US" w:eastAsia="zh-CN"/>
              </w:rPr>
              <w:t>后5日内</w:t>
            </w:r>
            <w:r>
              <w:rPr>
                <w:rFonts w:hint="eastAsia"/>
                <w:b w:val="0"/>
                <w:bCs w:val="0"/>
                <w:color w:val="auto"/>
                <w:sz w:val="24"/>
                <w:szCs w:val="28"/>
                <w:highlight w:val="none"/>
              </w:rPr>
              <w:t>一次性支付</w:t>
            </w:r>
          </w:p>
        </w:tc>
      </w:tr>
      <w:tr w14:paraId="2685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3538A44E">
            <w:pPr>
              <w:pStyle w:val="69"/>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66" w:type="pct"/>
            <w:vAlign w:val="center"/>
          </w:tcPr>
          <w:p w14:paraId="5956F7E1">
            <w:pPr>
              <w:pStyle w:val="68"/>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48" w:type="pct"/>
            <w:vAlign w:val="center"/>
          </w:tcPr>
          <w:p w14:paraId="0ACD6BE3">
            <w:pPr>
              <w:pStyle w:val="5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4A44ACE9">
            <w:pPr>
              <w:pStyle w:val="68"/>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1FEC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1EA7E19A">
            <w:pPr>
              <w:pStyle w:val="69"/>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66" w:type="pct"/>
            <w:vAlign w:val="center"/>
          </w:tcPr>
          <w:p w14:paraId="19DB6F6C">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48" w:type="pct"/>
            <w:vAlign w:val="center"/>
          </w:tcPr>
          <w:p w14:paraId="3C591085">
            <w:pPr>
              <w:pStyle w:val="68"/>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递交方式：“徽采云”电子交易系统</w:t>
            </w:r>
          </w:p>
          <w:p w14:paraId="19AD49B4">
            <w:pPr>
              <w:pStyle w:val="68"/>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接收部门：安徽省淮河河道管理局</w:t>
            </w:r>
          </w:p>
          <w:p w14:paraId="1FA0B053">
            <w:pPr>
              <w:pStyle w:val="68"/>
              <w:widowControl w:val="0"/>
              <w:spacing w:before="0" w:beforeAutospacing="0" w:after="0" w:afterAutospacing="0" w:line="360" w:lineRule="auto"/>
              <w:jc w:val="both"/>
              <w:rPr>
                <w:rFonts w:hint="default" w:ascii="宋体" w:hAnsi="宋体" w:eastAsia="宋体"/>
                <w:b w:val="0"/>
                <w:color w:val="auto"/>
                <w:sz w:val="24"/>
                <w:szCs w:val="24"/>
                <w:highlight w:val="none"/>
                <w:lang w:val="en-US" w:eastAsia="zh-CN"/>
              </w:rPr>
            </w:pPr>
            <w:r>
              <w:rPr>
                <w:rFonts w:ascii="宋体" w:hAnsi="宋体" w:eastAsia="宋体"/>
                <w:b w:val="0"/>
                <w:color w:val="auto"/>
                <w:sz w:val="24"/>
                <w:szCs w:val="24"/>
                <w:highlight w:val="none"/>
              </w:rPr>
              <w:t>联系电话：</w:t>
            </w:r>
            <w:r>
              <w:rPr>
                <w:rFonts w:hint="eastAsia" w:ascii="宋体" w:hAnsi="宋体" w:eastAsia="宋体"/>
                <w:b w:val="0"/>
                <w:color w:val="auto"/>
                <w:sz w:val="24"/>
                <w:szCs w:val="24"/>
                <w:highlight w:val="none"/>
              </w:rPr>
              <w:t>0552-3918027</w:t>
            </w:r>
          </w:p>
          <w:p w14:paraId="064FF712">
            <w:pPr>
              <w:pStyle w:val="68"/>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szCs w:val="24"/>
                <w:highlight w:val="none"/>
              </w:rPr>
              <w:t>通讯地址：安徽省蚌埠市解放一路116号</w:t>
            </w:r>
          </w:p>
        </w:tc>
      </w:tr>
      <w:tr w14:paraId="69F5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3816861E">
            <w:pPr>
              <w:pStyle w:val="69"/>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66" w:type="pct"/>
            <w:vAlign w:val="center"/>
          </w:tcPr>
          <w:p w14:paraId="06E64AA3">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48" w:type="pct"/>
            <w:vAlign w:val="center"/>
          </w:tcPr>
          <w:p w14:paraId="7548D206">
            <w:pPr>
              <w:pStyle w:val="68"/>
              <w:widowControl w:val="0"/>
              <w:spacing w:before="0" w:beforeAutospacing="0" w:after="0" w:afterAutospacing="0" w:line="360" w:lineRule="auto"/>
              <w:jc w:val="both"/>
              <w:rPr>
                <w:b w:val="0"/>
                <w:color w:val="auto"/>
                <w:sz w:val="24"/>
                <w:highlight w:val="none"/>
              </w:rPr>
            </w:pPr>
          </w:p>
        </w:tc>
      </w:tr>
      <w:tr w14:paraId="299C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4E5B990E">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66" w:type="pct"/>
            <w:vAlign w:val="center"/>
          </w:tcPr>
          <w:p w14:paraId="03549C07">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48" w:type="pct"/>
            <w:vAlign w:val="center"/>
          </w:tcPr>
          <w:p w14:paraId="1063FB6D">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7E6C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14D1A61C">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1867" w:type="dxa"/>
            <w:vAlign w:val="center"/>
          </w:tcPr>
          <w:p w14:paraId="29423E71">
            <w:pPr>
              <w:pStyle w:val="68"/>
              <w:widowControl w:val="0"/>
              <w:spacing w:before="0" w:beforeAutospacing="0" w:after="0" w:afterAutospacing="0" w:line="360" w:lineRule="auto"/>
              <w:jc w:val="both"/>
              <w:rPr>
                <w:rFonts w:hint="default" w:eastAsia="宋体"/>
                <w:b w:val="0"/>
                <w:color w:val="auto"/>
                <w:sz w:val="24"/>
                <w:highlight w:val="none"/>
                <w:lang w:val="en-US" w:eastAsia="zh-CN"/>
              </w:rPr>
            </w:pPr>
            <w:r>
              <w:rPr>
                <w:rFonts w:hint="eastAsia"/>
                <w:b w:val="0"/>
                <w:bCs w:val="0"/>
                <w:color w:val="000000" w:themeColor="text1"/>
                <w:sz w:val="24"/>
                <w14:textFill>
                  <w14:solidFill>
                    <w14:schemeClr w14:val="tx1"/>
                  </w14:solidFill>
                </w14:textFill>
              </w:rPr>
              <w:t>工程量清单和最高投标限价编制费</w:t>
            </w:r>
          </w:p>
        </w:tc>
        <w:tc>
          <w:tcPr>
            <w:tcW w:w="6855" w:type="dxa"/>
            <w:vAlign w:val="center"/>
          </w:tcPr>
          <w:p w14:paraId="14CE6C66">
            <w:pPr>
              <w:spacing w:line="360" w:lineRule="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w:t>
            </w:r>
            <w:r>
              <w:rPr>
                <w:bCs/>
                <w:color w:val="000000" w:themeColor="text1"/>
                <w:sz w:val="24"/>
                <w:szCs w:val="24"/>
                <w14:textFill>
                  <w14:solidFill>
                    <w14:schemeClr w14:val="tx1"/>
                  </w14:solidFill>
                </w14:textFill>
              </w:rPr>
              <w:t>收费对象</w:t>
            </w:r>
            <w:r>
              <w:rPr>
                <w:rFonts w:hint="eastAsia"/>
                <w:bCs/>
                <w:color w:val="000000" w:themeColor="text1"/>
                <w:sz w:val="24"/>
                <w:szCs w:val="24"/>
                <w14:textFill>
                  <w14:solidFill>
                    <w14:schemeClr w14:val="tx1"/>
                  </w14:solidFill>
                </w14:textFill>
              </w:rPr>
              <w:t>：成交供应商</w:t>
            </w:r>
          </w:p>
          <w:p w14:paraId="1CB899F6">
            <w:pPr>
              <w:spacing w:line="360" w:lineRule="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w:t>
            </w:r>
            <w:r>
              <w:rPr>
                <w:bCs/>
                <w:color w:val="000000" w:themeColor="text1"/>
                <w:sz w:val="24"/>
                <w:szCs w:val="24"/>
                <w14:textFill>
                  <w14:solidFill>
                    <w14:schemeClr w14:val="tx1"/>
                  </w14:solidFill>
                </w14:textFill>
              </w:rPr>
              <w:t>收取方式</w:t>
            </w:r>
            <w:r>
              <w:rPr>
                <w:rFonts w:hint="eastAsia"/>
                <w:bCs/>
                <w:color w:val="000000" w:themeColor="text1"/>
                <w:sz w:val="24"/>
                <w:szCs w:val="24"/>
                <w14:textFill>
                  <w14:solidFill>
                    <w14:schemeClr w14:val="tx1"/>
                  </w14:solidFill>
                </w14:textFill>
              </w:rPr>
              <w:t>：转账/电汇</w:t>
            </w:r>
          </w:p>
          <w:p w14:paraId="1D8E58F3">
            <w:pPr>
              <w:spacing w:line="360" w:lineRule="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w:t>
            </w:r>
            <w:r>
              <w:rPr>
                <w:bCs/>
                <w:color w:val="000000" w:themeColor="text1"/>
                <w:sz w:val="24"/>
                <w:szCs w:val="24"/>
                <w14:textFill>
                  <w14:solidFill>
                    <w14:schemeClr w14:val="tx1"/>
                  </w14:solidFill>
                </w14:textFill>
              </w:rPr>
              <w:t>收费标准：</w:t>
            </w:r>
            <w:r>
              <w:rPr>
                <w:rFonts w:hint="eastAsia"/>
                <w:bCs/>
                <w:color w:val="000000" w:themeColor="text1"/>
                <w:sz w:val="24"/>
                <w:szCs w:val="24"/>
                <w14:textFill>
                  <w14:solidFill>
                    <w14:schemeClr w14:val="tx1"/>
                  </w14:solidFill>
                </w14:textFill>
              </w:rPr>
              <w:t>项目造价费为</w:t>
            </w:r>
            <w:r>
              <w:rPr>
                <w:rFonts w:hint="eastAsia"/>
                <w:bCs/>
                <w:color w:val="000000" w:themeColor="text1"/>
                <w:sz w:val="24"/>
                <w:szCs w:val="24"/>
                <w:lang w:val="en-US" w:eastAsia="zh-CN"/>
                <w14:textFill>
                  <w14:solidFill>
                    <w14:schemeClr w14:val="tx1"/>
                  </w14:solidFill>
                </w14:textFill>
              </w:rPr>
              <w:t>陆仟柒佰</w:t>
            </w:r>
            <w:r>
              <w:rPr>
                <w:rFonts w:hint="eastAsia"/>
                <w:bCs/>
                <w:color w:val="000000" w:themeColor="text1"/>
                <w:sz w:val="24"/>
                <w:szCs w:val="24"/>
                <w14:textFill>
                  <w14:solidFill>
                    <w14:schemeClr w14:val="tx1"/>
                  </w14:solidFill>
                </w14:textFill>
              </w:rPr>
              <w:t>整，</w:t>
            </w:r>
            <w:r>
              <w:rPr>
                <w:rFonts w:hint="eastAsia"/>
                <w:color w:val="000000" w:themeColor="text1"/>
                <w:sz w:val="24"/>
                <w:szCs w:val="28"/>
                <w14:textFill>
                  <w14:solidFill>
                    <w14:schemeClr w14:val="tx1"/>
                  </w14:solidFill>
                </w14:textFill>
              </w:rPr>
              <w:t>由成交供应商支付，包含在成交供应商投标报价的单价与合价中，</w:t>
            </w:r>
            <w:r>
              <w:rPr>
                <w:rFonts w:hint="eastAsia"/>
                <w:bCs/>
                <w:color w:val="000000" w:themeColor="text1"/>
                <w:sz w:val="24"/>
                <w:szCs w:val="24"/>
                <w14:textFill>
                  <w14:solidFill>
                    <w14:schemeClr w14:val="tx1"/>
                  </w14:solidFill>
                </w14:textFill>
              </w:rPr>
              <w:t>不单独列项。</w:t>
            </w:r>
          </w:p>
          <w:p w14:paraId="560562F9">
            <w:pPr>
              <w:pStyle w:val="68"/>
              <w:widowControl w:val="0"/>
              <w:spacing w:before="0" w:beforeAutospacing="0" w:after="0" w:afterAutospacing="0" w:line="360" w:lineRule="auto"/>
              <w:jc w:val="both"/>
              <w:rPr>
                <w:rFonts w:hint="eastAsia" w:eastAsia="宋体"/>
                <w:b w:val="0"/>
                <w:color w:val="auto"/>
                <w:sz w:val="24"/>
                <w:highlight w:val="none"/>
                <w:lang w:val="en-US" w:eastAsia="zh-CN"/>
              </w:rPr>
            </w:pPr>
            <w:r>
              <w:rPr>
                <w:rFonts w:hint="eastAsia"/>
                <w:b w:val="0"/>
                <w:bCs w:val="0"/>
                <w:color w:val="000000" w:themeColor="text1"/>
                <w:sz w:val="24"/>
                <w:szCs w:val="24"/>
                <w14:textFill>
                  <w14:solidFill>
                    <w14:schemeClr w14:val="tx1"/>
                  </w14:solidFill>
                </w14:textFill>
              </w:rPr>
              <w:t>（4）支付时间：各包成交供应商在领取成交通知书前一次性支付。</w:t>
            </w:r>
          </w:p>
        </w:tc>
      </w:tr>
      <w:tr w14:paraId="56EB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40D77625">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66" w:type="pct"/>
            <w:vAlign w:val="center"/>
          </w:tcPr>
          <w:p w14:paraId="31AB29DC">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48" w:type="pct"/>
            <w:vAlign w:val="center"/>
          </w:tcPr>
          <w:p w14:paraId="0A535CC1">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single"/>
                <w:lang w:eastAsia="zh-CN"/>
              </w:rPr>
              <w:t>（</w:t>
            </w:r>
            <w:r>
              <w:rPr>
                <w:rFonts w:hint="eastAsia"/>
                <w:b w:val="0"/>
                <w:color w:val="auto"/>
                <w:sz w:val="24"/>
                <w:highlight w:val="none"/>
                <w:u w:val="single"/>
                <w:lang w:val="en-US" w:eastAsia="zh-CN"/>
              </w:rPr>
              <w:t>详见磋商公告）</w:t>
            </w:r>
            <w:r>
              <w:rPr>
                <w:b w:val="0"/>
                <w:color w:val="auto"/>
                <w:sz w:val="24"/>
                <w:highlight w:val="none"/>
                <w:u w:val="single"/>
              </w:rPr>
              <w:t xml:space="preserve"> </w:t>
            </w:r>
            <w:r>
              <w:rPr>
                <w:b w:val="0"/>
                <w:color w:val="auto"/>
                <w:sz w:val="24"/>
                <w:highlight w:val="none"/>
              </w:rPr>
              <w:t>日历天</w:t>
            </w:r>
          </w:p>
          <w:p w14:paraId="492E706F">
            <w:pPr>
              <w:pStyle w:val="68"/>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u w:val="single"/>
                <w:lang w:val="en-US" w:eastAsia="zh-CN"/>
              </w:rPr>
              <w:t>/</w:t>
            </w:r>
            <w:r>
              <w:rPr>
                <w:rFonts w:hint="eastAsia"/>
                <w:b w:val="0"/>
                <w:color w:val="auto"/>
                <w:sz w:val="24"/>
                <w:highlight w:val="none"/>
              </w:rPr>
              <w:t>，具体开工时间以开工令为准。</w:t>
            </w:r>
          </w:p>
        </w:tc>
      </w:tr>
      <w:tr w14:paraId="76EA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05289852">
            <w:pPr>
              <w:pStyle w:val="69"/>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66" w:type="pct"/>
            <w:vAlign w:val="center"/>
          </w:tcPr>
          <w:p w14:paraId="701FD904">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48" w:type="pct"/>
            <w:vAlign w:val="center"/>
          </w:tcPr>
          <w:p w14:paraId="7E71997E">
            <w:pPr>
              <w:pStyle w:val="95"/>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1209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1D7586C0">
            <w:pPr>
              <w:pStyle w:val="69"/>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66" w:type="pct"/>
            <w:vAlign w:val="center"/>
          </w:tcPr>
          <w:p w14:paraId="1AE25AFA">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48" w:type="pct"/>
            <w:vAlign w:val="center"/>
          </w:tcPr>
          <w:p w14:paraId="0A87E8CE">
            <w:pPr>
              <w:pStyle w:val="68"/>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8A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609EA463">
            <w:pPr>
              <w:pStyle w:val="69"/>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66" w:type="pct"/>
            <w:vAlign w:val="center"/>
          </w:tcPr>
          <w:p w14:paraId="0BEC524D">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48" w:type="pct"/>
            <w:vAlign w:val="center"/>
          </w:tcPr>
          <w:p w14:paraId="3B8CA641">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F6074CC">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101B1DE">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48763D6A">
            <w:pPr>
              <w:pStyle w:val="68"/>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3CE7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3667F9CF">
            <w:pPr>
              <w:pStyle w:val="69"/>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66" w:type="pct"/>
            <w:vAlign w:val="center"/>
          </w:tcPr>
          <w:p w14:paraId="15D164D0">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48" w:type="pct"/>
            <w:vAlign w:val="center"/>
          </w:tcPr>
          <w:p w14:paraId="10D000E4">
            <w:pPr>
              <w:pStyle w:val="68"/>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AF7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534E1D23">
            <w:pPr>
              <w:pStyle w:val="69"/>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66" w:type="pct"/>
            <w:vAlign w:val="center"/>
          </w:tcPr>
          <w:p w14:paraId="69E6FD75">
            <w:pPr>
              <w:pStyle w:val="68"/>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48" w:type="pct"/>
            <w:vAlign w:val="center"/>
          </w:tcPr>
          <w:p w14:paraId="58E06078">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585EC43A">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7643BCA8">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最高投标限价</w:t>
            </w:r>
          </w:p>
          <w:p w14:paraId="5105FC0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76BDDD74">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6D12603C">
            <w:pPr>
              <w:pStyle w:val="68"/>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7959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077393EF">
            <w:pPr>
              <w:pStyle w:val="69"/>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66" w:type="pct"/>
            <w:vAlign w:val="center"/>
          </w:tcPr>
          <w:p w14:paraId="180741C5">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48" w:type="pct"/>
            <w:vAlign w:val="center"/>
          </w:tcPr>
          <w:p w14:paraId="3644C69E">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4D3F680E">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01A2B6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C524AB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7BDC8D53">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758FB405">
            <w:pPr>
              <w:pStyle w:val="68"/>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6F0BABA3">
            <w:pPr>
              <w:pStyle w:val="68"/>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22D8E755">
            <w:pPr>
              <w:pStyle w:val="68"/>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2A3E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39F69AF8">
            <w:pPr>
              <w:pStyle w:val="69"/>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30.11</w:t>
            </w:r>
          </w:p>
        </w:tc>
        <w:tc>
          <w:tcPr>
            <w:tcW w:w="966" w:type="pct"/>
            <w:vAlign w:val="center"/>
          </w:tcPr>
          <w:p w14:paraId="0F9C538F">
            <w:pPr>
              <w:pStyle w:val="68"/>
              <w:widowControl w:val="0"/>
              <w:spacing w:before="0" w:beforeAutospacing="0" w:after="0" w:afterAutospacing="0" w:line="360" w:lineRule="auto"/>
              <w:jc w:val="both"/>
              <w:rPr>
                <w:rFonts w:hint="eastAsia"/>
                <w:b w:val="0"/>
                <w:color w:val="auto"/>
                <w:sz w:val="24"/>
                <w:highlight w:val="none"/>
              </w:rPr>
            </w:pPr>
            <w:r>
              <w:rPr>
                <w:rFonts w:ascii="宋体" w:hAnsi="宋体" w:eastAsia="宋体" w:cs="宋体"/>
                <w:sz w:val="24"/>
                <w:szCs w:val="24"/>
                <w:highlight w:val="none"/>
              </w:rPr>
              <w:t>重要提示</w:t>
            </w:r>
          </w:p>
        </w:tc>
        <w:tc>
          <w:tcPr>
            <w:tcW w:w="3548" w:type="pct"/>
            <w:vAlign w:val="center"/>
          </w:tcPr>
          <w:p w14:paraId="7F9B90F7">
            <w:pPr>
              <w:pStyle w:val="68"/>
              <w:widowControl w:val="0"/>
              <w:numPr>
                <w:ilvl w:val="0"/>
                <w:numId w:val="3"/>
              </w:numPr>
              <w:spacing w:before="0" w:beforeAutospacing="0" w:after="0" w:afterAutospacing="0" w:line="360" w:lineRule="auto"/>
              <w:jc w:val="both"/>
              <w:rPr>
                <w:rFonts w:ascii="宋体" w:hAnsi="宋体" w:eastAsia="宋体" w:cs="宋体"/>
                <w:sz w:val="24"/>
                <w:szCs w:val="24"/>
                <w:highlight w:val="none"/>
              </w:rPr>
            </w:pPr>
            <w:r>
              <w:rPr>
                <w:rFonts w:ascii="宋体" w:hAnsi="宋体" w:eastAsia="宋体" w:cs="宋体"/>
                <w:sz w:val="24"/>
                <w:szCs w:val="24"/>
                <w:highlight w:val="none"/>
              </w:rPr>
              <w:t>成交供应商应在规定期限内提交履约担保并与采购人签订合同，若成交供应商未能在规定期限内提交履约担保或签订合同，采购人有权取消成交供应商成交资格，并将相关违约行为报送监管部门，实施信用惩戒；</w:t>
            </w:r>
          </w:p>
          <w:p w14:paraId="2B4A3A9D">
            <w:pPr>
              <w:pStyle w:val="68"/>
              <w:widowControl w:val="0"/>
              <w:numPr>
                <w:ilvl w:val="0"/>
                <w:numId w:val="3"/>
              </w:numPr>
              <w:spacing w:before="0" w:beforeAutospacing="0" w:after="0" w:afterAutospacing="0" w:line="360" w:lineRule="auto"/>
              <w:ind w:left="0" w:leftChars="0" w:firstLine="0" w:firstLineChars="0"/>
              <w:jc w:val="both"/>
              <w:rPr>
                <w:rFonts w:ascii="宋体" w:hAnsi="宋体" w:eastAsia="宋体" w:cs="宋体"/>
                <w:sz w:val="24"/>
                <w:szCs w:val="24"/>
                <w:highlight w:val="none"/>
              </w:rPr>
            </w:pPr>
            <w:r>
              <w:rPr>
                <w:rFonts w:ascii="宋体" w:hAnsi="宋体" w:eastAsia="宋体" w:cs="宋体"/>
                <w:sz w:val="24"/>
                <w:szCs w:val="24"/>
                <w:highlight w:val="none"/>
              </w:rPr>
              <w:t>合同签订后，成交供应商存在规定时间内不组织人员进场开工，不履行合同义务等情况，采购人有权解除合同，并追究违约责任，同时将相关违约行为报送监管部门，记不良行为记录，实施信用惩戒；</w:t>
            </w:r>
          </w:p>
          <w:p w14:paraId="351B682C">
            <w:pPr>
              <w:pStyle w:val="68"/>
              <w:widowControl w:val="0"/>
              <w:numPr>
                <w:ilvl w:val="0"/>
                <w:numId w:val="3"/>
              </w:numPr>
              <w:spacing w:before="0" w:beforeAutospacing="0" w:after="0" w:afterAutospacing="0" w:line="360" w:lineRule="auto"/>
              <w:ind w:left="0" w:leftChars="0" w:firstLine="0" w:firstLineChars="0"/>
              <w:jc w:val="both"/>
              <w:rPr>
                <w:rFonts w:ascii="宋体" w:hAnsi="宋体" w:eastAsia="宋体" w:cs="宋体"/>
                <w:sz w:val="24"/>
                <w:szCs w:val="24"/>
                <w:highlight w:val="none"/>
              </w:rPr>
            </w:pPr>
            <w:r>
              <w:rPr>
                <w:rFonts w:ascii="宋体" w:hAnsi="宋体" w:eastAsia="宋体" w:cs="宋体"/>
                <w:sz w:val="24"/>
                <w:szCs w:val="24"/>
                <w:highlight w:val="none"/>
              </w:rPr>
              <w:t>成交供应商成交后被监管部门查实存在违法行为，不满足成交条件的，由采购人取消其成交资格，并做好项目后续工作；</w:t>
            </w:r>
          </w:p>
          <w:p w14:paraId="3916D69E">
            <w:pPr>
              <w:pStyle w:val="68"/>
              <w:widowControl w:val="0"/>
              <w:numPr>
                <w:ilvl w:val="0"/>
                <w:numId w:val="0"/>
              </w:numPr>
              <w:spacing w:before="0" w:beforeAutospacing="0" w:after="0" w:afterAutospacing="0" w:line="360" w:lineRule="auto"/>
              <w:ind w:leftChars="0"/>
              <w:jc w:val="both"/>
              <w:rPr>
                <w:rFonts w:hint="eastAsia" w:asciiTheme="minorEastAsia" w:hAnsiTheme="minorEastAsia" w:eastAsiaTheme="minorEastAsia" w:cstheme="minorBidi"/>
                <w:b w:val="0"/>
                <w:bCs/>
                <w:color w:val="auto"/>
                <w:sz w:val="24"/>
                <w:szCs w:val="24"/>
                <w:highlight w:val="none"/>
                <w:lang w:val="en-US" w:eastAsia="zh-CN" w:bidi="ar-SA"/>
              </w:rPr>
            </w:pPr>
            <w:r>
              <w:rPr>
                <w:rFonts w:ascii="宋体" w:hAnsi="宋体" w:eastAsia="宋体" w:cs="宋体"/>
                <w:sz w:val="24"/>
                <w:szCs w:val="24"/>
                <w:highlight w:val="none"/>
              </w:rPr>
              <w:t>（4）成交供应商在成交项目发生投诉、信访举报案件、履约存在争议时，拒绝协助配合执法部门调查案件的，采购人可以取消其成交资格或解除合同，并追究其违约责任。</w:t>
            </w:r>
          </w:p>
        </w:tc>
      </w:tr>
    </w:tbl>
    <w:p w14:paraId="7ED9AB1E">
      <w:pPr>
        <w:rPr>
          <w:rFonts w:hint="eastAsia" w:asciiTheme="minorEastAsia" w:hAnsiTheme="minorEastAsia" w:eastAsiaTheme="minorEastAsia"/>
          <w:b/>
          <w:color w:val="auto"/>
          <w:sz w:val="24"/>
          <w:highlight w:val="none"/>
        </w:rPr>
      </w:pPr>
      <w:bookmarkStart w:id="27" w:name="_Toc26858"/>
      <w:bookmarkStart w:id="28" w:name="_Toc18784"/>
      <w:r>
        <w:rPr>
          <w:rFonts w:hint="eastAsia" w:asciiTheme="minorEastAsia" w:hAnsiTheme="minorEastAsia" w:eastAsiaTheme="minorEastAsia"/>
          <w:b/>
          <w:color w:val="auto"/>
          <w:sz w:val="24"/>
          <w:highlight w:val="none"/>
        </w:rPr>
        <w:br w:type="page"/>
      </w:r>
    </w:p>
    <w:p w14:paraId="603DE55B">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7"/>
      <w:bookmarkEnd w:id="28"/>
    </w:p>
    <w:p w14:paraId="237C2C5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2722D35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491AED5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0D9D0C5B">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51CC00D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62BEF71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2BFFF667">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4D05C89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color w:val="auto"/>
          <w:sz w:val="24"/>
          <w:highlight w:val="none"/>
        </w:rPr>
        <w:t>联合体参加磋商的，</w:t>
      </w:r>
      <w:r>
        <w:rPr>
          <w:rFonts w:hint="eastAsia"/>
          <w:b w:val="0"/>
          <w:color w:val="auto"/>
          <w:sz w:val="24"/>
          <w:highlight w:val="none"/>
        </w:rPr>
        <w:t>磋商文件获取</w:t>
      </w:r>
      <w:r>
        <w:rPr>
          <w:b w:val="0"/>
          <w:color w:val="auto"/>
          <w:sz w:val="24"/>
          <w:highlight w:val="none"/>
        </w:rPr>
        <w:t>手续由联合体</w:t>
      </w:r>
      <w:r>
        <w:rPr>
          <w:rFonts w:hint="eastAsia"/>
          <w:b w:val="0"/>
          <w:color w:val="auto"/>
          <w:sz w:val="24"/>
          <w:highlight w:val="none"/>
        </w:rPr>
        <w:t>中</w:t>
      </w:r>
      <w:r>
        <w:rPr>
          <w:b w:val="0"/>
          <w:color w:val="auto"/>
          <w:sz w:val="24"/>
          <w:highlight w:val="none"/>
        </w:rPr>
        <w:t>任一</w:t>
      </w:r>
      <w:r>
        <w:rPr>
          <w:rFonts w:hint="eastAsia"/>
          <w:b w:val="0"/>
          <w:color w:val="auto"/>
          <w:sz w:val="24"/>
          <w:highlight w:val="none"/>
        </w:rPr>
        <w:t>成员单位</w:t>
      </w:r>
      <w:r>
        <w:rPr>
          <w:b w:val="0"/>
          <w:color w:val="auto"/>
          <w:sz w:val="24"/>
          <w:highlight w:val="none"/>
        </w:rPr>
        <w:t>办理均可。</w:t>
      </w:r>
    </w:p>
    <w:p w14:paraId="0D44901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5E2ED5CB">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29E30B9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5046251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569DE9E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4653233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4C7C8A8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22A23DD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C24C6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552F22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5C57E11">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23F05D9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2EFFA671">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633620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60BCBE69">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5048B58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40A56CC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18FC05C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2B24D97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C615F2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24C2922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5CD529A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13B500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A8921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31FF1C4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30B00F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3F7401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05B9CE1">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84E3E5D">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1AD7575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2843EB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6D94B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402119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7FCE54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5EF47D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1FBE2B7C">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3C03EB03">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48A395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10A2CF4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30E4C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003359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6A2A1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403FA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5B69E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22F297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67FFB48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005BA32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D6F133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D3AAA0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AA9627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3EC97E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1FFF8D0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2F6FF56A">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2FBCBE0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74766D0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3A9A4B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427BAE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7DCB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31F02C85">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7FC262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746A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40F8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E5069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525E39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66E1BDF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09D4247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27F37E62">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750C75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36DEAA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157D9CAD">
      <w:pPr>
        <w:spacing w:line="360" w:lineRule="auto"/>
        <w:ind w:firstLine="435"/>
        <w:rPr>
          <w:color w:val="000000" w:themeColor="text1"/>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14.3.4 </w:t>
      </w:r>
      <w:r>
        <w:rPr>
          <w:rFonts w:hint="eastAsia" w:asciiTheme="minorEastAsia" w:hAnsiTheme="minorEastAsia" w:eastAsiaTheme="minorEastAsia"/>
          <w:b/>
          <w:bCs/>
          <w:color w:val="000000" w:themeColor="text1"/>
          <w:sz w:val="24"/>
          <w14:textFill>
            <w14:solidFill>
              <w14:schemeClr w14:val="tx1"/>
            </w14:solidFill>
          </w14:textFill>
        </w:rPr>
        <w:t>异常低价响应审查。</w:t>
      </w:r>
      <w:r>
        <w:rPr>
          <w:rFonts w:hint="eastAsia"/>
          <w:color w:val="000000" w:themeColor="text1"/>
          <w:sz w:val="24"/>
          <w14:textFill>
            <w14:solidFill>
              <w14:schemeClr w14:val="tx1"/>
            </w14:solidFill>
          </w14:textFill>
        </w:rPr>
        <w:t>根据《关于推进解决政府采购异常低价问题的通知》（财库〔</w:t>
      </w:r>
      <w:r>
        <w:rPr>
          <w:color w:val="000000" w:themeColor="text1"/>
          <w:sz w:val="24"/>
          <w14:textFill>
            <w14:solidFill>
              <w14:schemeClr w14:val="tx1"/>
            </w14:solidFill>
          </w14:textFill>
        </w:rPr>
        <w:t>202</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号</w:t>
      </w:r>
      <w:r>
        <w:rPr>
          <w:rFonts w:hint="eastAsia"/>
          <w:color w:val="000000" w:themeColor="text1"/>
          <w:sz w:val="24"/>
          <w14:textFill>
            <w14:solidFill>
              <w14:schemeClr w14:val="tx1"/>
            </w14:solidFill>
          </w14:textFill>
        </w:rPr>
        <w:t>），磋商小组进行异常低价响应审查。</w:t>
      </w:r>
    </w:p>
    <w:p w14:paraId="591B9777">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14.3.5</w:t>
      </w:r>
      <w:r>
        <w:rPr>
          <w:rFonts w:hint="eastAsia" w:asciiTheme="minorEastAsia" w:hAnsiTheme="minorEastAsia" w:eastAsiaTheme="minorEastAsia"/>
          <w:b/>
          <w:color w:val="000000" w:themeColor="text1"/>
          <w:sz w:val="24"/>
          <w14:textFill>
            <w14:solidFill>
              <w14:schemeClr w14:val="tx1"/>
            </w14:solidFill>
          </w14:textFill>
        </w:rPr>
        <w:t>综合评分</w:t>
      </w:r>
      <w:r>
        <w:rPr>
          <w:rFonts w:hint="eastAsia" w:asciiTheme="minorEastAsia" w:hAnsiTheme="minorEastAsia" w:eastAsiaTheme="minorEastAsia"/>
          <w:color w:val="000000" w:themeColor="text1"/>
          <w:sz w:val="24"/>
          <w14:textFill>
            <w14:solidFill>
              <w14:schemeClr w14:val="tx1"/>
            </w14:solidFill>
          </w14:textFill>
        </w:rPr>
        <w:t>。磋商小组只对通过初审、</w:t>
      </w:r>
      <w:r>
        <w:rPr>
          <w:rFonts w:hint="eastAsia"/>
          <w:color w:val="000000" w:themeColor="text1"/>
          <w:sz w:val="24"/>
          <w14:textFill>
            <w14:solidFill>
              <w14:schemeClr w14:val="tx1"/>
            </w14:solidFill>
          </w14:textFill>
        </w:rPr>
        <w:t>异常低价响应审查</w:t>
      </w:r>
      <w:r>
        <w:rPr>
          <w:rFonts w:hint="eastAsia" w:asciiTheme="minorEastAsia" w:hAnsiTheme="minorEastAsia" w:eastAsiaTheme="minorEastAsia"/>
          <w:color w:val="000000" w:themeColor="text1"/>
          <w:sz w:val="24"/>
          <w14:textFill>
            <w14:solidFill>
              <w14:schemeClr w14:val="tx1"/>
            </w14:solidFill>
          </w14:textFill>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760C1222">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14.4相关说明。</w:t>
      </w:r>
    </w:p>
    <w:p w14:paraId="7F00AC4C">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14.4.1为保证磋商活动顺利进行，供应商可派相关技术人员进行网上答疑； </w:t>
      </w:r>
    </w:p>
    <w:p w14:paraId="0DD988F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14.4.2磋</w:t>
      </w:r>
      <w:r>
        <w:rPr>
          <w:rFonts w:asciiTheme="minorEastAsia" w:hAnsiTheme="minorEastAsia" w:eastAsiaTheme="minorEastAsia"/>
          <w:color w:val="000000" w:themeColor="text1"/>
          <w:sz w:val="24"/>
          <w14:textFill>
            <w14:solidFill>
              <w14:schemeClr w14:val="tx1"/>
            </w14:solidFill>
          </w14:textFill>
        </w:rPr>
        <w:t>商小组根据与</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磋商情况可能实质性变动</w:t>
      </w:r>
      <w:r>
        <w:rPr>
          <w:rFonts w:hint="eastAsia" w:asciiTheme="minorEastAsia" w:hAnsiTheme="minorEastAsia" w:eastAsiaTheme="minorEastAsia"/>
          <w:color w:val="000000" w:themeColor="text1"/>
          <w:sz w:val="24"/>
          <w14:textFill>
            <w14:solidFill>
              <w14:schemeClr w14:val="tx1"/>
            </w14:solidFill>
          </w14:textFill>
        </w:rPr>
        <w:t>磋商文件</w:t>
      </w:r>
      <w:r>
        <w:rPr>
          <w:rFonts w:asciiTheme="minorEastAsia" w:hAnsiTheme="minorEastAsia" w:eastAsiaTheme="minorEastAsia"/>
          <w:color w:val="000000" w:themeColor="text1"/>
          <w:sz w:val="24"/>
          <w14:textFill>
            <w14:solidFill>
              <w14:schemeClr w14:val="tx1"/>
            </w14:solidFill>
          </w14:textFill>
        </w:rPr>
        <w:t>的内容，包括采购需求中的技术、服务要求以及合同草案条款。磋商文件有实质性变动的，</w:t>
      </w:r>
      <w:r>
        <w:rPr>
          <w:rFonts w:hint="eastAsia" w:asciiTheme="minorEastAsia" w:hAnsiTheme="minorEastAsia" w:eastAsiaTheme="minorEastAsia"/>
          <w:color w:val="000000" w:themeColor="text1"/>
          <w:sz w:val="24"/>
          <w14:textFill>
            <w14:solidFill>
              <w14:schemeClr w14:val="tx1"/>
            </w14:solidFill>
          </w14:textFill>
        </w:rPr>
        <w:t>经采购人代表确认作为磋商文件的有效组成部分，</w:t>
      </w:r>
      <w:r>
        <w:rPr>
          <w:rFonts w:asciiTheme="minorEastAsia" w:hAnsiTheme="minorEastAsia" w:eastAsiaTheme="minorEastAsia"/>
          <w:color w:val="000000" w:themeColor="text1"/>
          <w:sz w:val="24"/>
          <w14:textFill>
            <w14:solidFill>
              <w14:schemeClr w14:val="tx1"/>
            </w14:solidFill>
          </w14:textFill>
        </w:rPr>
        <w:t>磋商小组</w:t>
      </w:r>
      <w:r>
        <w:rPr>
          <w:rFonts w:hint="eastAsia" w:asciiTheme="minorEastAsia" w:hAnsiTheme="minorEastAsia" w:eastAsiaTheme="minorEastAsia"/>
          <w:color w:val="000000" w:themeColor="text1"/>
          <w:sz w:val="24"/>
          <w14:textFill>
            <w14:solidFill>
              <w14:schemeClr w14:val="tx1"/>
            </w14:solidFill>
          </w14:textFill>
        </w:rPr>
        <w:t>将</w:t>
      </w:r>
      <w:r>
        <w:rPr>
          <w:rFonts w:asciiTheme="minorEastAsia" w:hAnsiTheme="minorEastAsia" w:eastAsiaTheme="minorEastAsia"/>
          <w:color w:val="000000" w:themeColor="text1"/>
          <w:sz w:val="24"/>
          <w14:textFill>
            <w14:solidFill>
              <w14:schemeClr w14:val="tx1"/>
            </w14:solidFill>
          </w14:textFill>
        </w:rPr>
        <w:t>以书面形式通知所有参加磋商的供应商。</w:t>
      </w:r>
    </w:p>
    <w:p w14:paraId="258AC555">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14.4.3</w:t>
      </w:r>
      <w:r>
        <w:rPr>
          <w:rFonts w:asciiTheme="minorEastAsia" w:hAnsiTheme="minorEastAsia" w:eastAsiaTheme="minorEastAsia"/>
          <w:color w:val="000000" w:themeColor="text1"/>
          <w:sz w:val="24"/>
          <w14:textFill>
            <w14:solidFill>
              <w14:schemeClr w14:val="tx1"/>
            </w14:solidFill>
          </w14:textFill>
        </w:rPr>
        <w:t>无论何种原因，即使供应商</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时携带了证书材料的原件，但响应文件中未提供与之内容完全一致的</w:t>
      </w:r>
      <w:r>
        <w:rPr>
          <w:rFonts w:hint="eastAsia" w:asciiTheme="minorEastAsia" w:hAnsiTheme="minorEastAsia" w:eastAsiaTheme="minorEastAsia"/>
          <w:color w:val="000000" w:themeColor="text1"/>
          <w:sz w:val="24"/>
          <w14:textFill>
            <w14:solidFill>
              <w14:schemeClr w14:val="tx1"/>
            </w14:solidFill>
          </w14:textFill>
        </w:rPr>
        <w:t>扫描件</w:t>
      </w:r>
      <w:r>
        <w:rPr>
          <w:rFonts w:asciiTheme="minorEastAsia" w:hAnsiTheme="minorEastAsia" w:eastAsiaTheme="minorEastAsia"/>
          <w:color w:val="000000" w:themeColor="text1"/>
          <w:sz w:val="24"/>
          <w14:textFill>
            <w14:solidFill>
              <w14:schemeClr w14:val="tx1"/>
            </w14:solidFill>
          </w14:textFill>
        </w:rPr>
        <w:t>的，</w:t>
      </w:r>
      <w:r>
        <w:rPr>
          <w:rFonts w:hint="eastAsia" w:asciiTheme="minorEastAsia" w:hAnsiTheme="minorEastAsia" w:eastAsiaTheme="minorEastAsia"/>
          <w:color w:val="000000" w:themeColor="text1"/>
          <w:sz w:val="24"/>
          <w14:textFill>
            <w14:solidFill>
              <w14:schemeClr w14:val="tx1"/>
            </w14:solidFill>
          </w14:textFill>
        </w:rPr>
        <w:t>磋商</w:t>
      </w:r>
      <w:r>
        <w:rPr>
          <w:rFonts w:asciiTheme="minorEastAsia" w:hAnsiTheme="minorEastAsia" w:eastAsiaTheme="minorEastAsia"/>
          <w:color w:val="000000" w:themeColor="text1"/>
          <w:sz w:val="24"/>
          <w14:textFill>
            <w14:solidFill>
              <w14:schemeClr w14:val="tx1"/>
            </w14:solidFill>
          </w14:textFill>
        </w:rPr>
        <w:t>小组可以视同其未提供。</w:t>
      </w:r>
    </w:p>
    <w:p w14:paraId="235C9ED2">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14.4.4磋商</w:t>
      </w:r>
      <w:r>
        <w:rPr>
          <w:rFonts w:asciiTheme="minorEastAsia" w:hAnsiTheme="minorEastAsia" w:eastAsiaTheme="minorEastAsia"/>
          <w:color w:val="000000" w:themeColor="text1"/>
          <w:sz w:val="24"/>
          <w14:textFill>
            <w14:solidFill>
              <w14:schemeClr w14:val="tx1"/>
            </w14:solidFill>
          </w14:textFill>
        </w:rPr>
        <w:t>小组决定响应文件的响应性及符合性只根据响应文件本身的内容，而不寻求其他外部证据。</w:t>
      </w:r>
    </w:p>
    <w:p w14:paraId="42EB2B7D">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供应商</w:t>
      </w:r>
      <w:r>
        <w:rPr>
          <w:rFonts w:hint="eastAsia" w:asciiTheme="minorEastAsia" w:hAnsiTheme="minorEastAsia" w:eastAsiaTheme="minorEastAsia"/>
          <w:color w:val="000000" w:themeColor="text1"/>
          <w:sz w:val="24"/>
          <w14:textFill>
            <w14:solidFill>
              <w14:schemeClr w14:val="tx1"/>
            </w14:solidFill>
          </w14:textFill>
        </w:rPr>
        <w:t>授权</w:t>
      </w:r>
      <w:r>
        <w:rPr>
          <w:rFonts w:asciiTheme="minorEastAsia" w:hAnsiTheme="minorEastAsia" w:eastAsiaTheme="minorEastAsia"/>
          <w:color w:val="000000" w:themeColor="text1"/>
          <w:sz w:val="24"/>
          <w14:textFill>
            <w14:solidFill>
              <w14:schemeClr w14:val="tx1"/>
            </w14:solidFill>
          </w14:textFill>
        </w:rPr>
        <w:t>代表对</w:t>
      </w:r>
      <w:r>
        <w:rPr>
          <w:rFonts w:hint="eastAsia" w:asciiTheme="minorEastAsia" w:hAnsiTheme="minorEastAsia" w:eastAsiaTheme="minorEastAsia"/>
          <w:color w:val="000000" w:themeColor="text1"/>
          <w:sz w:val="24"/>
          <w14:textFill>
            <w14:solidFill>
              <w14:schemeClr w14:val="tx1"/>
            </w14:solidFill>
          </w14:textFill>
        </w:rPr>
        <w:t>磋商过程</w:t>
      </w:r>
      <w:r>
        <w:rPr>
          <w:rFonts w:asciiTheme="minorEastAsia" w:hAnsiTheme="minorEastAsia" w:eastAsiaTheme="minorEastAsia"/>
          <w:color w:val="000000" w:themeColor="text1"/>
          <w:sz w:val="24"/>
          <w14:textFill>
            <w14:solidFill>
              <w14:schemeClr w14:val="tx1"/>
            </w14:solidFill>
          </w14:textFill>
        </w:rPr>
        <w:t>有疑义，以及认为采购人、采购代理机构相关工作人员有需要回避的情形的，应当场提出询问或者回避申请</w:t>
      </w:r>
      <w:r>
        <w:rPr>
          <w:rFonts w:hint="eastAsia" w:asciiTheme="minorEastAsia" w:hAnsiTheme="minorEastAsia" w:eastAsiaTheme="minorEastAsia"/>
          <w:color w:val="000000" w:themeColor="text1"/>
          <w:sz w:val="24"/>
          <w14:textFill>
            <w14:solidFill>
              <w14:schemeClr w14:val="tx1"/>
            </w14:solidFill>
          </w14:textFill>
        </w:rPr>
        <w:t>，并说明理由。</w:t>
      </w:r>
      <w:r>
        <w:rPr>
          <w:rFonts w:asciiTheme="minorEastAsia" w:hAnsiTheme="minorEastAsia" w:eastAsiaTheme="minorEastAsia"/>
          <w:color w:val="000000" w:themeColor="text1"/>
          <w:sz w:val="24"/>
          <w14:textFill>
            <w14:solidFill>
              <w14:schemeClr w14:val="tx1"/>
            </w14:solidFill>
          </w14:textFill>
        </w:rPr>
        <w:t xml:space="preserve"> </w:t>
      </w:r>
    </w:p>
    <w:p w14:paraId="12BF91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11D7CC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F1526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0DC890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066184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10A97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C9183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012BEB44">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30C12C93">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3CD39EB2">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066D118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9ED71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3C3DDD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0AA29F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57F42E2F">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hint="eastAsia" w:asciiTheme="majorEastAsia" w:hAnsiTheme="majorEastAsia" w:eastAsiaTheme="majorEastAsia"/>
          <w:b/>
          <w:bCs/>
          <w:color w:val="auto"/>
          <w:sz w:val="24"/>
          <w:highlight w:val="none"/>
        </w:rPr>
        <w:t>对于同时属于小微企业、监狱企业或残疾人福利性单位的，不重复进行最后报价扣除。</w:t>
      </w:r>
    </w:p>
    <w:p w14:paraId="7E12F16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109FF5F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4EB8C0E6">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191B0B95">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1018B20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23BC9BE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2A21255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6C55BF7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51DDE0F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45968DE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D2DCBEC">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69C08A3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00765919">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CF5570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2C2415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2FD176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0B1B4A55">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2F73967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7A52E5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7507CD3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0D2035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3FBD7CD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04854705">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BBA3F9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w:t>
      </w:r>
      <w:r>
        <w:rPr>
          <w:rFonts w:hint="default" w:ascii="宋体" w:hAnsi="宋体" w:eastAsia="宋体"/>
          <w:b w:val="0"/>
          <w:bCs w:val="0"/>
          <w:color w:val="auto"/>
          <w:sz w:val="24"/>
          <w:szCs w:val="18"/>
          <w:highlight w:val="none"/>
        </w:rPr>
        <w:t>、</w:t>
      </w:r>
      <w:r>
        <w:rPr>
          <w:rFonts w:hint="eastAsia" w:ascii="宋体" w:hAnsi="宋体" w:eastAsia="宋体"/>
          <w:b w:val="0"/>
          <w:bCs w:val="0"/>
          <w:color w:val="auto"/>
          <w:sz w:val="24"/>
          <w:szCs w:val="18"/>
          <w:highlight w:val="none"/>
          <w:lang w:val="en-US" w:eastAsia="zh-CN"/>
        </w:rPr>
        <w:t>安徽省水利厅-安徽省淮河河道管理局</w:t>
      </w:r>
      <w:r>
        <w:rPr>
          <w:rFonts w:hint="eastAsia"/>
          <w:b w:val="0"/>
          <w:bCs w:val="0"/>
          <w:color w:val="auto"/>
          <w:sz w:val="24"/>
          <w:szCs w:val="18"/>
          <w:highlight w:val="none"/>
          <w:lang w:val="en-US" w:eastAsia="zh-CN"/>
        </w:rPr>
        <w:t>网站</w:t>
      </w:r>
      <w:r>
        <w:rPr>
          <w:rFonts w:hint="eastAsia"/>
          <w:color w:val="auto"/>
          <w:sz w:val="24"/>
          <w:szCs w:val="18"/>
          <w:highlight w:val="none"/>
        </w:rPr>
        <w:t>上</w:t>
      </w:r>
      <w:r>
        <w:rPr>
          <w:rFonts w:asciiTheme="minorEastAsia" w:hAnsiTheme="minorEastAsia" w:eastAsiaTheme="minorEastAsia"/>
          <w:color w:val="auto"/>
          <w:sz w:val="24"/>
          <w:highlight w:val="none"/>
        </w:rPr>
        <w:t>发布成交结果公告。</w:t>
      </w:r>
    </w:p>
    <w:p w14:paraId="30FABD8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6EA34B9F">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888F32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5D98DC04">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F3E4B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6706FA6">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1304D5CE">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150597E5">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1B59799A">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C19B154">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2FE614A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9091152">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76E359EA">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79E659A4">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178E5575">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6CDC884">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72D0F803">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ABF5F3B">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18C6F383">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5095640B">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314C674F">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486EF90E">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187D780">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32C2B04">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6D9A0928">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2CA482BD">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50FF1BC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5E83F0B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4D23975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2E6CB04">
      <w:pPr>
        <w:spacing w:line="360" w:lineRule="auto"/>
        <w:jc w:val="center"/>
        <w:outlineLvl w:val="0"/>
        <w:rPr>
          <w:rFonts w:asciiTheme="minorEastAsia" w:hAnsiTheme="minorEastAsia" w:eastAsiaTheme="minorEastAsia"/>
          <w:b/>
          <w:color w:val="auto"/>
          <w:sz w:val="28"/>
          <w:highlight w:val="none"/>
        </w:rPr>
      </w:pPr>
      <w:bookmarkStart w:id="33" w:name="_Toc30873"/>
      <w:bookmarkStart w:id="34" w:name="_Toc11353"/>
      <w:r>
        <w:rPr>
          <w:rFonts w:hint="eastAsia" w:asciiTheme="minorEastAsia" w:hAnsiTheme="minorEastAsia" w:eastAsiaTheme="minorEastAsia"/>
          <w:b/>
          <w:color w:val="auto"/>
          <w:sz w:val="28"/>
          <w:highlight w:val="none"/>
        </w:rPr>
        <w:t>第三章  采购需求</w:t>
      </w:r>
      <w:bookmarkEnd w:id="33"/>
    </w:p>
    <w:tbl>
      <w:tblPr>
        <w:tblStyle w:val="9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277"/>
        <w:gridCol w:w="6287"/>
      </w:tblGrid>
      <w:tr w14:paraId="565C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87AF50E">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1277" w:type="dxa"/>
            <w:vAlign w:val="center"/>
          </w:tcPr>
          <w:p w14:paraId="24E0052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6287" w:type="dxa"/>
            <w:vAlign w:val="center"/>
          </w:tcPr>
          <w:p w14:paraId="14A45DA0">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3EA2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D107F11">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1277" w:type="dxa"/>
            <w:vAlign w:val="center"/>
          </w:tcPr>
          <w:p w14:paraId="01BAB7A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6287" w:type="dxa"/>
            <w:vAlign w:val="center"/>
          </w:tcPr>
          <w:p w14:paraId="11F44237">
            <w:pPr>
              <w:spacing w:line="360" w:lineRule="auto"/>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（1）供应商一旦成交，磋商时所报的本项目的项目经理</w:t>
            </w:r>
            <w:r>
              <w:rPr>
                <w:rFonts w:hint="eastAsia" w:cs="宋体"/>
                <w:bCs/>
                <w:color w:val="auto"/>
                <w:kern w:val="2"/>
                <w:sz w:val="24"/>
                <w:szCs w:val="24"/>
                <w:highlight w:val="none"/>
              </w:rPr>
              <w:t>每月在施工现场的时间：驻场时间每月不少于</w:t>
            </w:r>
            <w:r>
              <w:rPr>
                <w:rFonts w:hint="eastAsia" w:cs="宋体"/>
                <w:bCs/>
                <w:color w:val="auto"/>
                <w:kern w:val="2"/>
                <w:sz w:val="24"/>
                <w:szCs w:val="24"/>
                <w:highlight w:val="none"/>
                <w:u w:val="single"/>
              </w:rPr>
              <w:t xml:space="preserve"> </w:t>
            </w:r>
            <w:r>
              <w:rPr>
                <w:rFonts w:hint="eastAsia" w:cs="宋体"/>
                <w:bCs/>
                <w:color w:val="auto"/>
                <w:kern w:val="2"/>
                <w:sz w:val="24"/>
                <w:szCs w:val="24"/>
                <w:highlight w:val="none"/>
                <w:u w:val="single"/>
                <w:lang w:val="en-US" w:eastAsia="zh-CN"/>
              </w:rPr>
              <w:t>22</w:t>
            </w:r>
            <w:r>
              <w:rPr>
                <w:rFonts w:hint="eastAsia" w:cs="宋体"/>
                <w:bCs/>
                <w:color w:val="auto"/>
                <w:kern w:val="2"/>
                <w:sz w:val="24"/>
                <w:szCs w:val="24"/>
                <w:highlight w:val="none"/>
                <w:u w:val="single"/>
              </w:rPr>
              <w:t xml:space="preserve"> </w:t>
            </w:r>
            <w:r>
              <w:rPr>
                <w:rFonts w:hint="eastAsia" w:cs="宋体"/>
                <w:bCs/>
                <w:color w:val="auto"/>
                <w:kern w:val="2"/>
                <w:sz w:val="24"/>
                <w:szCs w:val="24"/>
                <w:highlight w:val="none"/>
              </w:rPr>
              <w:t>天，每天在岗工作时间不得少于</w:t>
            </w:r>
            <w:r>
              <w:rPr>
                <w:rFonts w:hint="eastAsia" w:cs="宋体"/>
                <w:bCs/>
                <w:color w:val="auto"/>
                <w:kern w:val="2"/>
                <w:sz w:val="24"/>
                <w:szCs w:val="24"/>
                <w:highlight w:val="none"/>
                <w:u w:val="single"/>
              </w:rPr>
              <w:t xml:space="preserve"> </w:t>
            </w:r>
            <w:r>
              <w:rPr>
                <w:rFonts w:hint="eastAsia" w:cs="宋体"/>
                <w:bCs/>
                <w:color w:val="auto"/>
                <w:kern w:val="2"/>
                <w:sz w:val="24"/>
                <w:szCs w:val="24"/>
                <w:highlight w:val="none"/>
                <w:u w:val="single"/>
                <w:lang w:val="en-US" w:eastAsia="zh-CN"/>
              </w:rPr>
              <w:t>8</w:t>
            </w:r>
            <w:r>
              <w:rPr>
                <w:rFonts w:hint="eastAsia" w:cs="宋体"/>
                <w:bCs/>
                <w:color w:val="auto"/>
                <w:kern w:val="2"/>
                <w:sz w:val="24"/>
                <w:szCs w:val="24"/>
                <w:highlight w:val="none"/>
                <w:u w:val="single"/>
              </w:rPr>
              <w:t xml:space="preserve"> </w:t>
            </w:r>
            <w:r>
              <w:rPr>
                <w:rFonts w:hint="eastAsia" w:cs="宋体"/>
                <w:bCs/>
                <w:color w:val="auto"/>
                <w:kern w:val="2"/>
                <w:sz w:val="24"/>
                <w:szCs w:val="24"/>
                <w:highlight w:val="none"/>
              </w:rPr>
              <w:t>小时</w:t>
            </w:r>
            <w:r>
              <w:rPr>
                <w:rFonts w:hint="eastAsia" w:ascii="宋体" w:hAnsi="宋体" w:eastAsia="宋体" w:cs="@仿宋_GB2312"/>
                <w:color w:val="auto"/>
                <w:kern w:val="2"/>
                <w:sz w:val="24"/>
                <w:szCs w:val="24"/>
                <w:highlight w:val="none"/>
              </w:rPr>
              <w:t>，否则采购人有权终止合同。由此造成的损失，成交供应商自行承担并赔偿可能给采购人造成的损失。</w:t>
            </w:r>
          </w:p>
          <w:p w14:paraId="212DFF6D">
            <w:pPr>
              <w:spacing w:line="360" w:lineRule="auto"/>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4A448F1C">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eastAsia="宋体" w:cs="@仿宋_GB2312"/>
                <w:color w:val="auto"/>
                <w:kern w:val="2"/>
                <w:sz w:val="24"/>
                <w:szCs w:val="24"/>
                <w:highlight w:val="none"/>
              </w:rPr>
              <w:t>（3）成交供应商未能按照承诺到岗尽职的，采购人将视情况严重程度对其作出相应处理，给予警告并发出整改通知。如仍未及时整改，采购人有权责令其停工整改、直至终止合同，引进新的</w:t>
            </w:r>
            <w:r>
              <w:rPr>
                <w:rFonts w:hint="eastAsia" w:cs="@仿宋_GB2312"/>
                <w:color w:val="auto"/>
                <w:kern w:val="2"/>
                <w:sz w:val="24"/>
                <w:szCs w:val="24"/>
                <w:highlight w:val="none"/>
                <w:lang w:eastAsia="zh-CN"/>
              </w:rPr>
              <w:t>乙方</w:t>
            </w:r>
            <w:r>
              <w:rPr>
                <w:rFonts w:hint="eastAsia" w:ascii="宋体" w:hAnsi="宋体" w:eastAsia="宋体" w:cs="@仿宋_GB2312"/>
                <w:color w:val="auto"/>
                <w:kern w:val="2"/>
                <w:sz w:val="24"/>
                <w:szCs w:val="24"/>
                <w:highlight w:val="none"/>
              </w:rPr>
              <w:t>。采购人还将停止支付工程款项，扣留任何未付的工程进度款项补偿建设单位的有关损失或工期延误的损失，并就此向</w:t>
            </w:r>
            <w:r>
              <w:rPr>
                <w:rFonts w:hint="eastAsia" w:cs="@仿宋_GB2312"/>
                <w:color w:val="auto"/>
                <w:kern w:val="2"/>
                <w:sz w:val="24"/>
                <w:szCs w:val="24"/>
                <w:highlight w:val="none"/>
                <w:lang w:val="en-US" w:eastAsia="zh-CN"/>
              </w:rPr>
              <w:t>供应商</w:t>
            </w:r>
            <w:r>
              <w:rPr>
                <w:rFonts w:hint="eastAsia" w:ascii="宋体" w:hAnsi="宋体" w:eastAsia="宋体" w:cs="@仿宋_GB2312"/>
                <w:color w:val="auto"/>
                <w:kern w:val="2"/>
                <w:sz w:val="24"/>
                <w:szCs w:val="24"/>
                <w:highlight w:val="none"/>
              </w:rPr>
              <w:t>索赔。</w:t>
            </w:r>
          </w:p>
        </w:tc>
      </w:tr>
      <w:tr w14:paraId="38C1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1" w:hRule="atLeast"/>
        </w:trPr>
        <w:tc>
          <w:tcPr>
            <w:tcW w:w="958" w:type="dxa"/>
            <w:vAlign w:val="center"/>
          </w:tcPr>
          <w:p w14:paraId="16852A50">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1277" w:type="dxa"/>
            <w:vAlign w:val="center"/>
          </w:tcPr>
          <w:p w14:paraId="53B6C204">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6287" w:type="dxa"/>
            <w:vAlign w:val="center"/>
          </w:tcPr>
          <w:p w14:paraId="2BC39691">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质量合格，满足国家和行业规范标准。</w:t>
            </w:r>
          </w:p>
          <w:p w14:paraId="3A7D5A72">
            <w:pPr>
              <w:spacing w:line="360" w:lineRule="auto"/>
              <w:rPr>
                <w:rFonts w:hint="default"/>
                <w:color w:val="auto"/>
                <w:kern w:val="2"/>
                <w:sz w:val="21"/>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注：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4CD0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58" w:type="dxa"/>
            <w:vAlign w:val="center"/>
          </w:tcPr>
          <w:p w14:paraId="16BA726E">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1277" w:type="dxa"/>
            <w:vAlign w:val="center"/>
          </w:tcPr>
          <w:p w14:paraId="6F068E6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计划工期</w:t>
            </w:r>
          </w:p>
        </w:tc>
        <w:tc>
          <w:tcPr>
            <w:tcW w:w="6287" w:type="dxa"/>
            <w:vAlign w:val="center"/>
          </w:tcPr>
          <w:p w14:paraId="6943AE40">
            <w:pPr>
              <w:snapToGrid w:val="0"/>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b w:val="0"/>
                <w:color w:val="auto"/>
                <w:kern w:val="2"/>
                <w:sz w:val="24"/>
                <w:szCs w:val="22"/>
                <w:highlight w:val="none"/>
                <w:u w:val="single"/>
                <w:lang w:val="en-US" w:eastAsia="zh-CN"/>
              </w:rPr>
              <w:t>合同签订后合同签订之日起至2026年9月底内完成所有工作内容。</w:t>
            </w:r>
          </w:p>
        </w:tc>
      </w:tr>
      <w:tr w14:paraId="14D4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4DBE1D2">
            <w:pPr>
              <w:spacing w:line="360" w:lineRule="auto"/>
              <w:jc w:val="center"/>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4</w:t>
            </w:r>
          </w:p>
        </w:tc>
        <w:tc>
          <w:tcPr>
            <w:tcW w:w="1277" w:type="dxa"/>
            <w:vAlign w:val="center"/>
          </w:tcPr>
          <w:p w14:paraId="5634F077">
            <w:pPr>
              <w:spacing w:line="360" w:lineRule="auto"/>
              <w:rPr>
                <w:rFonts w:cs="@仿宋_GB2312" w:asciiTheme="minorEastAsia" w:hAnsiTheme="minorEastAsia" w:eastAsiaTheme="minorEastAsia"/>
                <w:color w:val="FF0000"/>
                <w:kern w:val="2"/>
                <w:sz w:val="24"/>
                <w:szCs w:val="22"/>
                <w:highlight w:val="none"/>
              </w:rPr>
            </w:pPr>
            <w:r>
              <w:rPr>
                <w:rFonts w:hint="eastAsia" w:cs="@仿宋_GB2312" w:asciiTheme="minorEastAsia" w:hAnsiTheme="minorEastAsia" w:eastAsiaTheme="minorEastAsia"/>
                <w:color w:val="FF0000"/>
                <w:kern w:val="2"/>
                <w:sz w:val="24"/>
                <w:szCs w:val="22"/>
                <w:highlight w:val="none"/>
              </w:rPr>
              <w:t>报价须知</w:t>
            </w:r>
          </w:p>
        </w:tc>
        <w:tc>
          <w:tcPr>
            <w:tcW w:w="6287" w:type="dxa"/>
            <w:vAlign w:val="center"/>
          </w:tcPr>
          <w:p w14:paraId="6E28F944">
            <w:pPr>
              <w:pStyle w:val="68"/>
              <w:keepNext w:val="0"/>
              <w:keepLines w:val="0"/>
              <w:widowControl w:val="0"/>
              <w:numPr>
                <w:ilvl w:val="0"/>
                <w:numId w:val="4"/>
              </w:numPr>
              <w:suppressLineNumbers w:val="0"/>
              <w:spacing w:before="0" w:beforeAutospacing="0" w:after="0" w:afterAutospacing="0" w:line="360" w:lineRule="auto"/>
              <w:ind w:right="0" w:rightChars="0"/>
              <w:jc w:val="both"/>
              <w:rPr>
                <w:rFonts w:hint="eastAsia" w:cs="@仿宋_GB2312" w:asciiTheme="minorEastAsia" w:hAnsiTheme="minorEastAsia" w:eastAsiaTheme="minorEastAsia"/>
                <w:color w:val="FF0000"/>
                <w:kern w:val="2"/>
                <w:sz w:val="24"/>
                <w:szCs w:val="22"/>
                <w:highlight w:val="none"/>
              </w:rPr>
            </w:pPr>
            <w:r>
              <w:rPr>
                <w:rFonts w:cs="@仿宋_GB2312" w:asciiTheme="minorEastAsia" w:hAnsiTheme="minorEastAsia" w:eastAsiaTheme="minorEastAsia"/>
                <w:bCs/>
                <w:color w:val="FF0000"/>
                <w:kern w:val="2"/>
                <w:sz w:val="24"/>
                <w:szCs w:val="28"/>
                <w:highlight w:val="none"/>
              </w:rPr>
              <w:t>供应商最后报价均不得高于磋商文件（公告）列明的项目预算</w:t>
            </w:r>
            <w:r>
              <w:rPr>
                <w:rFonts w:hint="eastAsia" w:cs="@仿宋_GB2312" w:asciiTheme="minorEastAsia" w:hAnsiTheme="minorEastAsia" w:eastAsiaTheme="minorEastAsia"/>
                <w:bCs/>
                <w:color w:val="FF0000"/>
                <w:kern w:val="2"/>
                <w:sz w:val="24"/>
                <w:szCs w:val="28"/>
                <w:highlight w:val="none"/>
                <w:lang w:val="en-US" w:eastAsia="zh-CN"/>
              </w:rPr>
              <w:t>金额</w:t>
            </w:r>
            <w:r>
              <w:rPr>
                <w:rFonts w:hint="eastAsia" w:cs="@仿宋_GB2312" w:asciiTheme="minorEastAsia" w:hAnsiTheme="minorEastAsia" w:eastAsiaTheme="minorEastAsia"/>
                <w:bCs/>
                <w:color w:val="FF0000"/>
                <w:kern w:val="2"/>
                <w:sz w:val="24"/>
                <w:szCs w:val="28"/>
                <w:highlight w:val="none"/>
              </w:rPr>
              <w:t>、最高限价</w:t>
            </w:r>
            <w:r>
              <w:rPr>
                <w:rFonts w:hint="eastAsia" w:cs="宋体"/>
                <w:b/>
                <w:color w:val="FF0000"/>
                <w:kern w:val="2"/>
                <w:sz w:val="24"/>
                <w:szCs w:val="22"/>
                <w:highlight w:val="none"/>
                <w:lang w:eastAsia="zh-CN"/>
              </w:rPr>
              <w:t>，</w:t>
            </w:r>
            <w:r>
              <w:rPr>
                <w:rFonts w:cs="@仿宋_GB2312" w:asciiTheme="minorEastAsia" w:hAnsiTheme="minorEastAsia" w:eastAsiaTheme="minorEastAsia"/>
                <w:bCs/>
                <w:color w:val="FF0000"/>
                <w:kern w:val="2"/>
                <w:sz w:val="24"/>
                <w:szCs w:val="28"/>
                <w:highlight w:val="none"/>
              </w:rPr>
              <w:t>否则其响应文件将被认定为</w:t>
            </w:r>
            <w:r>
              <w:rPr>
                <w:rFonts w:cs="@仿宋_GB2312" w:asciiTheme="minorEastAsia" w:hAnsiTheme="minorEastAsia" w:eastAsiaTheme="minorEastAsia"/>
                <w:b/>
                <w:color w:val="FF0000"/>
                <w:kern w:val="2"/>
                <w:sz w:val="24"/>
                <w:szCs w:val="28"/>
                <w:highlight w:val="none"/>
              </w:rPr>
              <w:t>响应无效</w:t>
            </w:r>
            <w:r>
              <w:rPr>
                <w:rFonts w:hint="eastAsia" w:cs="@仿宋_GB2312" w:asciiTheme="minorEastAsia" w:hAnsiTheme="minorEastAsia" w:eastAsiaTheme="minorEastAsia"/>
                <w:color w:val="FF0000"/>
                <w:kern w:val="2"/>
                <w:sz w:val="24"/>
                <w:szCs w:val="22"/>
                <w:highlight w:val="none"/>
              </w:rPr>
              <w:t>。</w:t>
            </w:r>
          </w:p>
          <w:p w14:paraId="3D564023">
            <w:pPr>
              <w:pStyle w:val="68"/>
              <w:widowControl w:val="0"/>
              <w:spacing w:before="0" w:beforeAutospacing="0" w:after="0" w:afterAutospacing="0" w:line="360" w:lineRule="auto"/>
              <w:jc w:val="both"/>
              <w:rPr>
                <w:rFonts w:hint="eastAsia" w:cs="@仿宋_GB2312" w:asciiTheme="minorEastAsia" w:hAnsiTheme="minorEastAsia" w:eastAsiaTheme="minorEastAsia"/>
                <w:color w:val="FF0000"/>
                <w:kern w:val="2"/>
                <w:sz w:val="24"/>
                <w:szCs w:val="22"/>
                <w:highlight w:val="none"/>
                <w:lang w:eastAsia="zh-CN"/>
              </w:rPr>
            </w:pPr>
            <w:r>
              <w:rPr>
                <w:rFonts w:hint="eastAsia" w:cs="@仿宋_GB2312" w:asciiTheme="minorEastAsia" w:hAnsiTheme="minorEastAsia" w:eastAsiaTheme="minorEastAsia"/>
                <w:color w:val="FF0000"/>
                <w:kern w:val="2"/>
                <w:sz w:val="24"/>
                <w:szCs w:val="22"/>
                <w:highlight w:val="none"/>
              </w:rPr>
              <w:t>（</w:t>
            </w:r>
            <w:r>
              <w:rPr>
                <w:rFonts w:hint="eastAsia" w:cs="@仿宋_GB2312" w:asciiTheme="minorEastAsia" w:hAnsiTheme="minorEastAsia" w:eastAsiaTheme="minorEastAsia"/>
                <w:bCs/>
                <w:color w:val="FF0000"/>
                <w:kern w:val="2"/>
                <w:sz w:val="24"/>
                <w:szCs w:val="28"/>
                <w:highlight w:val="none"/>
              </w:rPr>
              <w:t>2）安全生产费用</w:t>
            </w:r>
            <w:r>
              <w:rPr>
                <w:rFonts w:hint="eastAsia" w:cs="@仿宋_GB2312" w:asciiTheme="minorEastAsia" w:hAnsiTheme="minorEastAsia" w:eastAsiaTheme="minorEastAsia"/>
                <w:bCs/>
                <w:color w:val="FF0000"/>
                <w:kern w:val="2"/>
                <w:sz w:val="24"/>
                <w:szCs w:val="28"/>
                <w:highlight w:val="none"/>
                <w:lang w:eastAsia="zh-CN"/>
              </w:rPr>
              <w:t>：24500.38</w:t>
            </w:r>
            <w:r>
              <w:rPr>
                <w:rFonts w:hint="eastAsia" w:cs="@仿宋_GB2312" w:asciiTheme="minorEastAsia" w:hAnsiTheme="minorEastAsia" w:eastAsiaTheme="minorEastAsia"/>
                <w:bCs/>
                <w:color w:val="FF0000"/>
                <w:kern w:val="2"/>
                <w:sz w:val="24"/>
                <w:szCs w:val="28"/>
                <w:highlight w:val="none"/>
                <w:lang w:val="en-US" w:eastAsia="zh-CN"/>
              </w:rPr>
              <w:t>元，固定价格，二次报价不得删减修改</w:t>
            </w:r>
            <w:r>
              <w:rPr>
                <w:rFonts w:hint="eastAsia" w:cs="@仿宋_GB2312" w:asciiTheme="minorEastAsia" w:hAnsiTheme="minorEastAsia" w:eastAsiaTheme="minorEastAsia"/>
                <w:bCs/>
                <w:color w:val="FF0000"/>
                <w:kern w:val="2"/>
                <w:sz w:val="24"/>
                <w:szCs w:val="28"/>
                <w:highlight w:val="none"/>
                <w:lang w:eastAsia="zh-CN"/>
              </w:rPr>
              <w:t>，否则其响应文件将被认定为响应无效。</w:t>
            </w:r>
            <w:r>
              <w:rPr>
                <w:rFonts w:hint="eastAsia" w:cs="@仿宋_GB2312" w:asciiTheme="minorEastAsia" w:hAnsiTheme="minorEastAsia" w:eastAsiaTheme="minorEastAsia"/>
                <w:color w:val="FF0000"/>
                <w:kern w:val="2"/>
                <w:sz w:val="24"/>
                <w:highlight w:val="none"/>
              </w:rPr>
              <w:t>专款专用，开工前报具体的措施方案，经合同甲方审核同意后实施，据实结算</w:t>
            </w:r>
            <w:r>
              <w:rPr>
                <w:rFonts w:hint="eastAsia" w:cs="@仿宋_GB2312" w:asciiTheme="minorEastAsia" w:hAnsiTheme="minorEastAsia" w:eastAsiaTheme="minorEastAsia"/>
                <w:color w:val="FF0000"/>
                <w:kern w:val="2"/>
                <w:sz w:val="24"/>
                <w:highlight w:val="none"/>
                <w:lang w:eastAsia="zh-CN"/>
              </w:rPr>
              <w:t>。</w:t>
            </w:r>
          </w:p>
          <w:p w14:paraId="38025E2F">
            <w:pPr>
              <w:numPr>
                <w:ilvl w:val="0"/>
                <w:numId w:val="0"/>
              </w:numPr>
              <w:spacing w:line="360" w:lineRule="auto"/>
              <w:rPr>
                <w:rFonts w:hint="eastAsia" w:eastAsia="@微软简标宋"/>
                <w:color w:val="FF0000"/>
                <w:kern w:val="2"/>
                <w:sz w:val="21"/>
                <w:szCs w:val="22"/>
                <w:highlight w:val="none"/>
                <w:lang w:eastAsia="zh-CN"/>
              </w:rPr>
            </w:pPr>
            <w:r>
              <w:rPr>
                <w:rFonts w:hint="eastAsia" w:cs="Times New Roman"/>
                <w:color w:val="FF0000"/>
                <w:kern w:val="2"/>
                <w:sz w:val="24"/>
                <w:szCs w:val="22"/>
                <w:highlight w:val="none"/>
                <w:lang w:eastAsia="zh-CN"/>
              </w:rPr>
              <w:t>（</w:t>
            </w:r>
            <w:r>
              <w:rPr>
                <w:rFonts w:hint="eastAsia" w:cs="Times New Roman"/>
                <w:color w:val="FF0000"/>
                <w:kern w:val="2"/>
                <w:sz w:val="24"/>
                <w:szCs w:val="22"/>
                <w:highlight w:val="none"/>
                <w:lang w:val="en-US" w:eastAsia="zh-CN"/>
              </w:rPr>
              <w:t>3）</w:t>
            </w:r>
            <w:r>
              <w:rPr>
                <w:rFonts w:hint="eastAsia" w:cs="Times New Roman"/>
                <w:color w:val="FF0000"/>
                <w:kern w:val="2"/>
                <w:sz w:val="24"/>
                <w:szCs w:val="22"/>
                <w:highlight w:val="none"/>
              </w:rPr>
              <w:t>除</w:t>
            </w:r>
            <w:r>
              <w:rPr>
                <w:rFonts w:hint="eastAsia" w:cs="Times New Roman"/>
                <w:color w:val="FF0000"/>
                <w:kern w:val="2"/>
                <w:sz w:val="24"/>
                <w:szCs w:val="22"/>
                <w:highlight w:val="none"/>
                <w:lang w:val="en-US" w:eastAsia="zh-CN"/>
              </w:rPr>
              <w:t>磋商</w:t>
            </w:r>
            <w:r>
              <w:rPr>
                <w:rFonts w:hint="eastAsia" w:cs="Times New Roman"/>
                <w:color w:val="FF0000"/>
                <w:kern w:val="2"/>
                <w:sz w:val="24"/>
                <w:szCs w:val="22"/>
                <w:highlight w:val="none"/>
              </w:rPr>
              <w:t>文件另有规定外,</w:t>
            </w:r>
            <w:r>
              <w:rPr>
                <w:rFonts w:hint="eastAsia" w:cs="Times New Roman"/>
                <w:color w:val="FF0000"/>
                <w:kern w:val="2"/>
                <w:sz w:val="24"/>
                <w:szCs w:val="22"/>
                <w:highlight w:val="none"/>
                <w:lang w:val="en-US" w:eastAsia="zh-CN"/>
              </w:rPr>
              <w:t>供应商</w:t>
            </w:r>
            <w:r>
              <w:rPr>
                <w:rFonts w:hint="eastAsia" w:cs="Times New Roman"/>
                <w:color w:val="FF0000"/>
                <w:kern w:val="2"/>
                <w:sz w:val="24"/>
                <w:szCs w:val="22"/>
                <w:highlight w:val="none"/>
              </w:rPr>
              <w:t>不得随意增加、删除或涂改</w:t>
            </w:r>
            <w:r>
              <w:rPr>
                <w:rFonts w:hint="eastAsia" w:cs="Times New Roman"/>
                <w:color w:val="FF0000"/>
                <w:kern w:val="2"/>
                <w:sz w:val="24"/>
                <w:szCs w:val="22"/>
                <w:highlight w:val="none"/>
                <w:lang w:val="en-US" w:eastAsia="zh-CN"/>
              </w:rPr>
              <w:t>磋商</w:t>
            </w:r>
            <w:r>
              <w:rPr>
                <w:rFonts w:hint="eastAsia" w:cs="Times New Roman"/>
                <w:color w:val="FF0000"/>
                <w:kern w:val="2"/>
                <w:sz w:val="24"/>
                <w:szCs w:val="22"/>
                <w:highlight w:val="none"/>
              </w:rPr>
              <w:t>文件工程量清单中的任何内容</w:t>
            </w:r>
            <w:r>
              <w:rPr>
                <w:rFonts w:hint="eastAsia" w:cs="宋体"/>
                <w:b/>
                <w:color w:val="FF0000"/>
                <w:kern w:val="2"/>
                <w:sz w:val="24"/>
                <w:szCs w:val="22"/>
                <w:highlight w:val="none"/>
                <w:lang w:eastAsia="zh-CN"/>
              </w:rPr>
              <w:t>，</w:t>
            </w:r>
            <w:r>
              <w:rPr>
                <w:rFonts w:cs="@仿宋_GB2312" w:asciiTheme="minorEastAsia" w:hAnsiTheme="minorEastAsia" w:eastAsiaTheme="minorEastAsia"/>
                <w:bCs/>
                <w:color w:val="FF0000"/>
                <w:kern w:val="2"/>
                <w:sz w:val="24"/>
                <w:szCs w:val="28"/>
                <w:highlight w:val="none"/>
              </w:rPr>
              <w:t>否则其响应文件将被认定为</w:t>
            </w:r>
            <w:r>
              <w:rPr>
                <w:rFonts w:cs="@仿宋_GB2312" w:asciiTheme="minorEastAsia" w:hAnsiTheme="minorEastAsia" w:eastAsiaTheme="minorEastAsia"/>
                <w:b/>
                <w:color w:val="FF0000"/>
                <w:kern w:val="2"/>
                <w:sz w:val="24"/>
                <w:szCs w:val="28"/>
                <w:highlight w:val="none"/>
              </w:rPr>
              <w:t>响应无效</w:t>
            </w:r>
            <w:r>
              <w:rPr>
                <w:rFonts w:hint="eastAsia" w:cs="@仿宋_GB2312" w:asciiTheme="minorEastAsia" w:hAnsiTheme="minorEastAsia" w:eastAsiaTheme="minorEastAsia"/>
                <w:color w:val="FF0000"/>
                <w:kern w:val="2"/>
                <w:sz w:val="24"/>
                <w:szCs w:val="22"/>
                <w:highlight w:val="none"/>
              </w:rPr>
              <w:t>。</w:t>
            </w:r>
          </w:p>
        </w:tc>
      </w:tr>
      <w:tr w14:paraId="0B61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0F8741BE">
            <w:pPr>
              <w:spacing w:line="360" w:lineRule="auto"/>
              <w:jc w:val="center"/>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5</w:t>
            </w:r>
          </w:p>
        </w:tc>
        <w:tc>
          <w:tcPr>
            <w:tcW w:w="1277" w:type="dxa"/>
            <w:vAlign w:val="center"/>
          </w:tcPr>
          <w:p w14:paraId="0E6A8AA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重要说明</w:t>
            </w:r>
          </w:p>
        </w:tc>
        <w:tc>
          <w:tcPr>
            <w:tcW w:w="6287" w:type="dxa"/>
            <w:vAlign w:val="center"/>
          </w:tcPr>
          <w:p w14:paraId="7C5A04B6">
            <w:pPr>
              <w:spacing w:line="360" w:lineRule="auto"/>
              <w:rPr>
                <w:rFonts w:asciiTheme="minorHAnsi" w:hAnsiTheme="minorHAnsi" w:eastAsiaTheme="minorEastAsia"/>
                <w:color w:val="000000" w:themeColor="text1"/>
                <w:kern w:val="2"/>
                <w:sz w:val="24"/>
                <w:szCs w:val="18"/>
                <w14:textFill>
                  <w14:solidFill>
                    <w14:schemeClr w14:val="tx1"/>
                  </w14:solidFill>
                </w14:textFill>
              </w:rPr>
            </w:pPr>
            <w:r>
              <w:rPr>
                <w:rFonts w:hint="eastAsia" w:cs="宋体" w:asciiTheme="minorHAnsi" w:hAnsiTheme="minorHAnsi" w:eastAsiaTheme="minorEastAsia"/>
                <w:color w:val="000000" w:themeColor="text1"/>
                <w:kern w:val="2"/>
                <w:sz w:val="24"/>
                <w:szCs w:val="24"/>
                <w14:textFill>
                  <w14:solidFill>
                    <w14:schemeClr w14:val="tx1"/>
                  </w14:solidFill>
                </w14:textFill>
              </w:rPr>
              <w:t>1、</w:t>
            </w:r>
            <w:r>
              <w:rPr>
                <w:rFonts w:cs="宋体" w:asciiTheme="minorHAnsi" w:hAnsiTheme="minorHAnsi" w:eastAsiaTheme="minorEastAsia"/>
                <w:color w:val="000000" w:themeColor="text1"/>
                <w:kern w:val="2"/>
                <w:sz w:val="24"/>
                <w:szCs w:val="24"/>
                <w14:textFill>
                  <w14:solidFill>
                    <w14:schemeClr w14:val="tx1"/>
                  </w14:solidFill>
                </w14:textFill>
              </w:rPr>
              <w:t>政府采购政策（包括但不限于下列具体政策要求</w:t>
            </w:r>
            <w:r>
              <w:rPr>
                <w:rFonts w:hint="eastAsia" w:cs="宋体" w:asciiTheme="minorHAnsi" w:hAnsiTheme="minorHAnsi" w:eastAsiaTheme="minorEastAsia"/>
                <w:color w:val="000000" w:themeColor="text1"/>
                <w:kern w:val="2"/>
                <w:sz w:val="24"/>
                <w:szCs w:val="24"/>
                <w14:textFill>
                  <w14:solidFill>
                    <w14:schemeClr w14:val="tx1"/>
                  </w14:solidFill>
                </w14:textFill>
              </w:rPr>
              <w:t>）</w:t>
            </w:r>
            <w:r>
              <w:rPr>
                <w:rFonts w:hint="eastAsia" w:asciiTheme="minorHAnsi" w:hAnsiTheme="minorHAnsi" w:eastAsiaTheme="minorEastAsia"/>
                <w:color w:val="000000" w:themeColor="text1"/>
                <w:kern w:val="2"/>
                <w:sz w:val="24"/>
                <w:szCs w:val="18"/>
                <w14:textFill>
                  <w14:solidFill>
                    <w14:schemeClr w14:val="tx1"/>
                  </w14:solidFill>
                </w14:textFill>
              </w:rPr>
              <w:t>：</w:t>
            </w:r>
          </w:p>
          <w:p w14:paraId="23581C65">
            <w:pPr>
              <w:spacing w:line="360" w:lineRule="auto"/>
              <w:rPr>
                <w:rFonts w:cs="宋体" w:asciiTheme="minorHAnsi" w:hAnsiTheme="minorHAnsi" w:eastAsiaTheme="minorEastAsia"/>
                <w:color w:val="000000" w:themeColor="text1"/>
                <w:kern w:val="2"/>
                <w:sz w:val="24"/>
                <w:szCs w:val="24"/>
                <w14:textFill>
                  <w14:solidFill>
                    <w14:schemeClr w14:val="tx1"/>
                  </w14:solidFill>
                </w14:textFill>
              </w:rPr>
            </w:pPr>
            <w:r>
              <w:rPr>
                <w:rFonts w:hint="eastAsia" w:cs="宋体" w:asciiTheme="minorHAnsi" w:hAnsiTheme="minorHAnsi" w:eastAsiaTheme="minorEastAsia"/>
                <w:color w:val="000000" w:themeColor="text1"/>
                <w:kern w:val="2"/>
                <w:sz w:val="24"/>
                <w:szCs w:val="24"/>
                <w14:textFill>
                  <w14:solidFill>
                    <w14:schemeClr w14:val="tx1"/>
                  </w14:solidFill>
                </w14:textFill>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48E39B34">
            <w:pPr>
              <w:spacing w:line="360" w:lineRule="auto"/>
              <w:rPr>
                <w:rFonts w:cs="宋体" w:asciiTheme="minorHAnsi" w:hAnsiTheme="minorHAnsi" w:eastAsiaTheme="minorEastAsia"/>
                <w:color w:val="000000" w:themeColor="text1"/>
                <w:kern w:val="2"/>
                <w:sz w:val="24"/>
                <w:szCs w:val="24"/>
                <w14:textFill>
                  <w14:solidFill>
                    <w14:schemeClr w14:val="tx1"/>
                  </w14:solidFill>
                </w14:textFill>
              </w:rPr>
            </w:pPr>
            <w:r>
              <w:rPr>
                <w:rFonts w:hint="eastAsia" w:cs="宋体" w:asciiTheme="minorHAnsi" w:hAnsiTheme="minorHAnsi" w:eastAsiaTheme="minorEastAsia"/>
                <w:color w:val="000000" w:themeColor="text1"/>
                <w:kern w:val="2"/>
                <w:sz w:val="24"/>
                <w:szCs w:val="24"/>
                <w14:textFill>
                  <w14:solidFill>
                    <w14:schemeClr w14:val="tx1"/>
                  </w14:solidFill>
                </w14:textFill>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AD832A4">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（3）本项目的磋商文件、最高投标限价、澄清、修改、补充等相关资料均通过电子服务系统发布，请供应商自行从网上下载，供应商应当及时查看有无相关澄清、修改、补充等内容。</w:t>
            </w:r>
          </w:p>
          <w:p w14:paraId="3474D81E">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cs="Times New Roman" w:asciiTheme="minorHAnsi" w:hAnsiTheme="minorHAnsi" w:eastAsiaTheme="minorEastAsia"/>
                <w:b/>
                <w:bCs/>
                <w:color w:val="000000" w:themeColor="text1"/>
                <w:kern w:val="2"/>
                <w:sz w:val="24"/>
                <w:szCs w:val="24"/>
                <w14:textFill>
                  <w14:solidFill>
                    <w14:schemeClr w14:val="tx1"/>
                  </w14:solidFill>
                </w14:textFill>
              </w:rPr>
              <w:t>（4）</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供应商在工程实施过程中用工行为，必须严格执行国家及地方政府的有关规定，依法签订劳动合同，并按规定及时足额支付工资；合同履约期间，作业人员突发疾病、意外等造成的人员伤亡及财产损失均由供应商负责。</w:t>
            </w:r>
          </w:p>
        </w:tc>
      </w:tr>
      <w:tr w14:paraId="2F5F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4F8EEF8B">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cs="@仿宋_GB2312" w:asciiTheme="minorEastAsia" w:hAnsiTheme="minorEastAsia" w:eastAsiaTheme="minorEastAsia"/>
                <w:color w:val="000000" w:themeColor="text1"/>
                <w:kern w:val="2"/>
                <w:sz w:val="24"/>
                <w:szCs w:val="22"/>
                <w14:textFill>
                  <w14:solidFill>
                    <w14:schemeClr w14:val="tx1"/>
                  </w14:solidFill>
                </w14:textFill>
              </w:rPr>
              <w:t>6</w:t>
            </w:r>
          </w:p>
        </w:tc>
        <w:tc>
          <w:tcPr>
            <w:tcW w:w="1277" w:type="dxa"/>
            <w:vAlign w:val="center"/>
          </w:tcPr>
          <w:p w14:paraId="0488A989">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项目经理</w:t>
            </w:r>
          </w:p>
        </w:tc>
        <w:tc>
          <w:tcPr>
            <w:tcW w:w="6287" w:type="dxa"/>
            <w:vAlign w:val="center"/>
          </w:tcPr>
          <w:p w14:paraId="6C5A0D58">
            <w:pPr>
              <w:spacing w:line="360" w:lineRule="auto"/>
              <w:rPr>
                <w:rFonts w:cs="@仿宋_GB2312" w:asciiTheme="minorHAnsi" w:hAnsiTheme="minorHAnsi" w:eastAsiaTheme="minorEastAsia"/>
                <w:b/>
                <w:bCs/>
                <w:color w:val="000000" w:themeColor="text1"/>
                <w:kern w:val="2"/>
                <w:sz w:val="24"/>
                <w:szCs w:val="24"/>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（1）项目经理资质要求：供应商拟委任的项目经理须具有符合磋商公告中资质要求的注册建造师证书和有效的安全生产考核合格证（B证），注册单位必须是供应商本单位。</w:t>
            </w:r>
          </w:p>
          <w:p w14:paraId="695025A3">
            <w:pPr>
              <w:spacing w:line="360" w:lineRule="auto"/>
              <w:rPr>
                <w:rFonts w:cs="@仿宋_GB2312" w:asciiTheme="minorHAnsi" w:hAnsiTheme="minorHAnsi" w:eastAsiaTheme="minorEastAsia"/>
                <w:b/>
                <w:bCs/>
                <w:color w:val="000000" w:themeColor="text1"/>
                <w:kern w:val="2"/>
                <w:sz w:val="24"/>
                <w:szCs w:val="24"/>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（2）项目经理社保：供应商为项目经理缴纳的2025年6月以来任意一个月的社保证明材料（至少包含养老保险）。项目经理的社会保险的缴纳单位应当是供应商或者供应商不具备独立法人资格的分支机构。</w:t>
            </w:r>
          </w:p>
          <w:p w14:paraId="0FB6EBEF">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（3）项目经理不得同时担任两个及以上建设工程施工项目负责人，法定情形除外。</w:t>
            </w:r>
          </w:p>
          <w:p w14:paraId="14BA6313">
            <w:pPr>
              <w:spacing w:line="360" w:lineRule="auto"/>
              <w:rPr>
                <w:rFonts w:cs="@仿宋_GB2312" w:asciiTheme="minorHAnsi" w:hAnsiTheme="minorHAnsi" w:eastAsiaTheme="minorEastAsia"/>
                <w:color w:val="000000" w:themeColor="text1"/>
                <w:kern w:val="2"/>
                <w:sz w:val="24"/>
                <w:szCs w:val="24"/>
                <w14:textFill>
                  <w14:solidFill>
                    <w14:schemeClr w14:val="tx1"/>
                  </w14:solidFill>
                </w14:textFill>
              </w:rPr>
            </w:pPr>
            <w:r>
              <w:rPr>
                <w:rFonts w:hint="eastAsia" w:cs="@仿宋_GB2312" w:asciiTheme="minorHAnsi" w:hAnsiTheme="minorHAnsi" w:eastAsiaTheme="minorEastAsia"/>
                <w:color w:val="000000" w:themeColor="text1"/>
                <w:kern w:val="2"/>
                <w:sz w:val="24"/>
                <w:szCs w:val="24"/>
                <w14:textFill>
                  <w14:solidFill>
                    <w14:schemeClr w14:val="tx1"/>
                  </w14:solidFill>
                </w14:textFill>
              </w:rPr>
              <w:t>（4）成交后若项目经理在其他项目上担任项目经理岗位，导致该项目经理无法进场履约的，采购人可取消其成交资格。供应商因此原因被取消成交资格的，视为无正当理由放弃成交资格。</w:t>
            </w:r>
          </w:p>
          <w:p w14:paraId="6586B642">
            <w:pPr>
              <w:spacing w:line="360" w:lineRule="auto"/>
              <w:rPr>
                <w:rFonts w:cs="@仿宋_GB2312" w:asciiTheme="minorHAnsi" w:hAnsiTheme="minorHAnsi" w:eastAsiaTheme="minorEastAsia"/>
                <w:b/>
                <w:bCs/>
                <w:color w:val="000000" w:themeColor="text1"/>
                <w:kern w:val="2"/>
                <w:sz w:val="24"/>
                <w:szCs w:val="24"/>
                <w14:textFill>
                  <w14:solidFill>
                    <w14:schemeClr w14:val="tx1"/>
                  </w14:solidFill>
                </w14:textFill>
              </w:rPr>
            </w:pP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（5）项目经理不接受退休人员及返聘人员担任（响应文件中须提供项目经理身份证）。</w:t>
            </w:r>
          </w:p>
          <w:p w14:paraId="5C48747E">
            <w:pPr>
              <w:spacing w:line="360" w:lineRule="auto"/>
              <w:rPr>
                <w:rFonts w:cs="宋体" w:asciiTheme="minorHAnsi" w:hAnsiTheme="minorHAnsi" w:eastAsiaTheme="minorEastAsia"/>
                <w:color w:val="000000" w:themeColor="text1"/>
                <w:kern w:val="2"/>
                <w:sz w:val="24"/>
                <w:szCs w:val="24"/>
                <w14:textFill>
                  <w14:solidFill>
                    <w14:schemeClr w14:val="tx1"/>
                  </w14:solidFill>
                </w14:textFill>
              </w:rPr>
            </w:pPr>
            <w:r>
              <w:rPr>
                <w:rFonts w:cs="宋体" w:asciiTheme="minorHAnsi" w:hAnsiTheme="minorHAnsi" w:eastAsiaTheme="minorEastAsia"/>
                <w:color w:val="000000" w:themeColor="text1"/>
                <w:kern w:val="2"/>
                <w:sz w:val="24"/>
                <w:szCs w:val="24"/>
                <w14:textFill>
                  <w14:solidFill>
                    <w14:schemeClr w14:val="tx1"/>
                  </w14:solidFill>
                </w14:textFill>
              </w:rPr>
              <w:t>（</w:t>
            </w:r>
            <w:r>
              <w:rPr>
                <w:rFonts w:hint="eastAsia" w:cs="宋体" w:asciiTheme="minorHAnsi" w:hAnsiTheme="minorHAnsi" w:eastAsiaTheme="minorEastAsia"/>
                <w:color w:val="000000" w:themeColor="text1"/>
                <w:kern w:val="2"/>
                <w:sz w:val="24"/>
                <w:szCs w:val="24"/>
                <w14:textFill>
                  <w14:solidFill>
                    <w14:schemeClr w14:val="tx1"/>
                  </w14:solidFill>
                </w14:textFill>
              </w:rPr>
              <w:t>6</w:t>
            </w:r>
            <w:r>
              <w:rPr>
                <w:rFonts w:cs="宋体" w:asciiTheme="minorHAnsi" w:hAnsiTheme="minorHAnsi" w:eastAsiaTheme="minorEastAsia"/>
                <w:color w:val="000000" w:themeColor="text1"/>
                <w:kern w:val="2"/>
                <w:sz w:val="24"/>
                <w:szCs w:val="24"/>
                <w14:textFill>
                  <w14:solidFill>
                    <w14:schemeClr w14:val="tx1"/>
                  </w14:solidFill>
                </w14:textFill>
              </w:rPr>
              <w:t>）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p w14:paraId="37BE6343">
            <w:pPr>
              <w:spacing w:line="360" w:lineRule="auto"/>
              <w:rPr>
                <w:rFonts w:hint="eastAsia" w:ascii="宋体" w:hAnsi="宋体" w:eastAsia="宋体" w:cs="宋体"/>
                <w:color w:val="auto"/>
                <w:kern w:val="2"/>
                <w:sz w:val="24"/>
                <w:szCs w:val="24"/>
                <w:highlight w:val="none"/>
              </w:rPr>
            </w:pPr>
            <w:r>
              <w:rPr>
                <w:rFonts w:cs="宋体" w:asciiTheme="minorHAnsi" w:hAnsiTheme="minorHAnsi" w:eastAsiaTheme="minorEastAsia"/>
                <w:color w:val="000000" w:themeColor="text1"/>
                <w:kern w:val="2"/>
                <w:sz w:val="24"/>
                <w:szCs w:val="24"/>
                <w14:textFill>
                  <w14:solidFill>
                    <w14:schemeClr w14:val="tx1"/>
                  </w14:solidFill>
                </w14:textFill>
              </w:rPr>
              <w:t>（</w:t>
            </w:r>
            <w:r>
              <w:rPr>
                <w:rFonts w:hint="eastAsia" w:cs="宋体" w:asciiTheme="minorHAnsi" w:hAnsiTheme="minorHAnsi" w:eastAsiaTheme="minorEastAsia"/>
                <w:color w:val="000000" w:themeColor="text1"/>
                <w:kern w:val="2"/>
                <w:sz w:val="24"/>
                <w:szCs w:val="24"/>
                <w14:textFill>
                  <w14:solidFill>
                    <w14:schemeClr w14:val="tx1"/>
                  </w14:solidFill>
                </w14:textFill>
              </w:rPr>
              <w:t>7</w:t>
            </w:r>
            <w:r>
              <w:rPr>
                <w:rFonts w:cs="宋体" w:asciiTheme="minorHAnsi" w:hAnsiTheme="minorHAnsi" w:eastAsiaTheme="minorEastAsia"/>
                <w:color w:val="000000" w:themeColor="text1"/>
                <w:kern w:val="2"/>
                <w:sz w:val="24"/>
                <w:szCs w:val="24"/>
                <w14:textFill>
                  <w14:solidFill>
                    <w14:schemeClr w14:val="tx1"/>
                  </w14:solidFill>
                </w14:textFill>
              </w:rPr>
              <w:t>）拟委任项目经理为二级注册建造师的，</w:t>
            </w:r>
            <w:r>
              <w:rPr>
                <w:rFonts w:hint="eastAsia" w:cs="宋体" w:asciiTheme="minorHAnsi" w:hAnsiTheme="minorHAnsi" w:eastAsiaTheme="minorEastAsia"/>
                <w:color w:val="000000" w:themeColor="text1"/>
                <w:kern w:val="2"/>
                <w:sz w:val="24"/>
                <w:szCs w:val="24"/>
                <w14:textFill>
                  <w14:solidFill>
                    <w14:schemeClr w14:val="tx1"/>
                  </w14:solidFill>
                </w14:textFill>
              </w:rPr>
              <w:t>响应文件</w:t>
            </w:r>
            <w:r>
              <w:rPr>
                <w:rFonts w:cs="宋体" w:asciiTheme="minorHAnsi" w:hAnsiTheme="minorHAnsi" w:eastAsiaTheme="minorEastAsia"/>
                <w:color w:val="000000" w:themeColor="text1"/>
                <w:kern w:val="2"/>
                <w:sz w:val="24"/>
                <w:szCs w:val="24"/>
                <w14:textFill>
                  <w14:solidFill>
                    <w14:schemeClr w14:val="tx1"/>
                  </w14:solidFill>
                </w14:textFill>
              </w:rPr>
              <w:t>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对于其他省份颁发的二级建造师注册证书使用要求，证书颁发单位另有规定的按其规定执行。</w:t>
            </w:r>
          </w:p>
        </w:tc>
      </w:tr>
      <w:tr w14:paraId="56A1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AD3DB60">
            <w:pPr>
              <w:spacing w:line="360" w:lineRule="auto"/>
              <w:jc w:val="center"/>
              <w:rPr>
                <w:rFonts w:hint="eastAsia" w:asciiTheme="minorEastAsia" w:hAnsiTheme="minorEastAsia" w:eastAsiaTheme="minorEastAsia" w:cstheme="minorEastAsia"/>
                <w:color w:val="auto"/>
                <w:kern w:val="2"/>
                <w:sz w:val="24"/>
                <w:szCs w:val="22"/>
                <w:highlight w:val="none"/>
                <w:lang w:val="en-US" w:eastAsia="zh-CN"/>
              </w:rPr>
            </w:pPr>
            <w:r>
              <w:rPr>
                <w:rFonts w:hint="eastAsia" w:cs="@仿宋_GB2312" w:asciiTheme="minorEastAsia" w:hAnsiTheme="minorEastAsia" w:eastAsiaTheme="minorEastAsia"/>
                <w:color w:val="000000" w:themeColor="text1"/>
                <w:kern w:val="2"/>
                <w:sz w:val="24"/>
                <w:szCs w:val="22"/>
                <w14:textFill>
                  <w14:solidFill>
                    <w14:schemeClr w14:val="tx1"/>
                  </w14:solidFill>
                </w14:textFill>
              </w:rPr>
              <w:t>7</w:t>
            </w:r>
          </w:p>
        </w:tc>
        <w:tc>
          <w:tcPr>
            <w:tcW w:w="1277" w:type="dxa"/>
            <w:vAlign w:val="center"/>
          </w:tcPr>
          <w:p w14:paraId="31BBEDBF">
            <w:pPr>
              <w:pStyle w:val="68"/>
              <w:widowControl w:val="0"/>
              <w:spacing w:before="0" w:beforeAutospacing="0" w:after="0" w:afterAutospacing="0" w:line="360" w:lineRule="auto"/>
              <w:rPr>
                <w:rFonts w:hint="eastAsia" w:asciiTheme="minorEastAsia" w:hAnsiTheme="minorEastAsia" w:eastAsiaTheme="minorEastAsia" w:cstheme="minorEastAsia"/>
                <w:b w:val="0"/>
                <w:color w:val="auto"/>
                <w:kern w:val="2"/>
                <w:sz w:val="24"/>
                <w:highlight w:val="none"/>
              </w:rPr>
            </w:pPr>
            <w:r>
              <w:rPr>
                <w:rFonts w:hint="eastAsia" w:asciiTheme="minorHAnsi" w:hAnsiTheme="minorHAnsi" w:eastAsiaTheme="minorEastAsia"/>
                <w:b w:val="0"/>
                <w:color w:val="000000" w:themeColor="text1"/>
                <w:kern w:val="2"/>
                <w:sz w:val="24"/>
                <w14:textFill>
                  <w14:solidFill>
                    <w14:schemeClr w14:val="tx1"/>
                  </w14:solidFill>
                </w14:textFill>
              </w:rPr>
              <w:t>本项目采购标的名称及所属行业</w:t>
            </w:r>
          </w:p>
        </w:tc>
        <w:tc>
          <w:tcPr>
            <w:tcW w:w="6287" w:type="dxa"/>
            <w:vAlign w:val="center"/>
          </w:tcPr>
          <w:p w14:paraId="09C29ACD">
            <w:pPr>
              <w:spacing w:line="360" w:lineRule="auto"/>
              <w:jc w:val="left"/>
              <w:rPr>
                <w:rFonts w:hint="eastAsia" w:asciiTheme="minorEastAsia" w:hAnsiTheme="minorEastAsia" w:eastAsiaTheme="minorEastAsia"/>
                <w:color w:val="000000" w:themeColor="text1"/>
                <w:kern w:val="2"/>
                <w:sz w:val="24"/>
                <w:szCs w:val="22"/>
                <w:lang w:eastAsia="zh-CN"/>
                <w14:textFill>
                  <w14:solidFill>
                    <w14:schemeClr w14:val="tx1"/>
                  </w14:solidFill>
                </w14:textFill>
              </w:rPr>
            </w:pPr>
            <w:r>
              <w:rPr>
                <w:rFonts w:hint="eastAsia" w:asciiTheme="minorEastAsia" w:hAnsiTheme="minorEastAsia" w:eastAsiaTheme="minorEastAsia"/>
                <w:color w:val="000000" w:themeColor="text1"/>
                <w:kern w:val="2"/>
                <w:sz w:val="24"/>
                <w:szCs w:val="22"/>
                <w14:textFill>
                  <w14:solidFill>
                    <w14:schemeClr w14:val="tx1"/>
                  </w14:solidFill>
                </w14:textFill>
              </w:rPr>
              <w:t>标的名称：</w:t>
            </w:r>
            <w:r>
              <w:rPr>
                <w:rFonts w:hint="default" w:cs="宋体" w:asciiTheme="minorHAnsi" w:hAnsiTheme="minorHAnsi" w:eastAsiaTheme="minorEastAsia"/>
                <w:b w:val="0"/>
                <w:bCs w:val="0"/>
                <w:color w:val="000000" w:themeColor="text1"/>
                <w:spacing w:val="0"/>
                <w:kern w:val="2"/>
                <w:sz w:val="24"/>
                <w:szCs w:val="24"/>
                <w:highlight w:val="none"/>
                <w:u w:val="none"/>
                <w:lang w:val="en-US" w:eastAsia="zh-CN"/>
                <w14:textFill>
                  <w14:solidFill>
                    <w14:schemeClr w14:val="tx1"/>
                  </w14:solidFill>
                </w14:textFill>
              </w:rPr>
              <w:t>省淮河局、省临淮岗局水闸自动化运行维护等（第1包）</w:t>
            </w:r>
          </w:p>
          <w:p w14:paraId="0F1419E7">
            <w:pPr>
              <w:rPr>
                <w:rFonts w:hint="eastAsia" w:asciiTheme="minorEastAsia" w:hAnsiTheme="minorEastAsia" w:eastAsiaTheme="minorEastAsia" w:cstheme="minorEastAsia"/>
                <w:color w:val="auto"/>
                <w:kern w:val="2"/>
                <w:sz w:val="24"/>
                <w:szCs w:val="22"/>
                <w:highlight w:val="none"/>
              </w:rPr>
            </w:pPr>
            <w:r>
              <w:rPr>
                <w:rFonts w:hint="eastAsia" w:asciiTheme="minorEastAsia" w:hAnsiTheme="minorEastAsia" w:eastAsiaTheme="minorEastAsia"/>
                <w:color w:val="000000" w:themeColor="text1"/>
                <w:kern w:val="2"/>
                <w:sz w:val="24"/>
                <w:szCs w:val="22"/>
                <w14:textFill>
                  <w14:solidFill>
                    <w14:schemeClr w14:val="tx1"/>
                  </w14:solidFill>
                </w14:textFill>
              </w:rPr>
              <w:t>所属行业：</w:t>
            </w:r>
            <w:r>
              <w:rPr>
                <w:rFonts w:hint="eastAsia" w:asciiTheme="minorEastAsia" w:hAnsiTheme="minorEastAsia" w:eastAsiaTheme="minorEastAsia"/>
                <w:color w:val="000000" w:themeColor="text1"/>
                <w:kern w:val="2"/>
                <w:sz w:val="24"/>
                <w:szCs w:val="22"/>
                <w:u w:val="single"/>
                <w14:textFill>
                  <w14:solidFill>
                    <w14:schemeClr w14:val="tx1"/>
                  </w14:solidFill>
                </w14:textFill>
              </w:rPr>
              <w:t>建筑业</w:t>
            </w:r>
          </w:p>
        </w:tc>
      </w:tr>
      <w:tr w14:paraId="0BDB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9787966">
            <w:pPr>
              <w:spacing w:line="360" w:lineRule="auto"/>
              <w:jc w:val="center"/>
              <w:rPr>
                <w:rFonts w:hint="default" w:cs="@仿宋_GB2312" w:asciiTheme="minorEastAsia" w:hAnsiTheme="minorEastAsia" w:eastAsiaTheme="minorEastAsia"/>
                <w:color w:val="000000" w:themeColor="text1"/>
                <w:kern w:val="2"/>
                <w:sz w:val="24"/>
                <w:szCs w:val="22"/>
                <w:lang w:val="en-US" w:eastAsia="zh-CN"/>
                <w14:textFill>
                  <w14:solidFill>
                    <w14:schemeClr w14:val="tx1"/>
                  </w14:solidFill>
                </w14:textFill>
              </w:rPr>
            </w:pPr>
            <w:r>
              <w:rPr>
                <w:rFonts w:hint="eastAsia" w:cs="@仿宋_GB2312" w:asciiTheme="minorEastAsia" w:hAnsiTheme="minorEastAsia" w:eastAsiaTheme="minorEastAsia"/>
                <w:color w:val="000000" w:themeColor="text1"/>
                <w:kern w:val="2"/>
                <w:sz w:val="24"/>
                <w:szCs w:val="22"/>
                <w:lang w:val="en-US" w:eastAsia="zh-CN"/>
                <w14:textFill>
                  <w14:solidFill>
                    <w14:schemeClr w14:val="tx1"/>
                  </w14:solidFill>
                </w14:textFill>
              </w:rPr>
              <w:t>8</w:t>
            </w:r>
          </w:p>
        </w:tc>
        <w:tc>
          <w:tcPr>
            <w:tcW w:w="1277" w:type="dxa"/>
            <w:vAlign w:val="center"/>
          </w:tcPr>
          <w:p w14:paraId="17D349BC">
            <w:pPr>
              <w:pStyle w:val="68"/>
              <w:widowControl w:val="0"/>
              <w:spacing w:before="0" w:beforeAutospacing="0" w:after="0" w:afterAutospacing="0" w:line="360" w:lineRule="auto"/>
              <w:rPr>
                <w:rFonts w:hint="default" w:asciiTheme="minorHAnsi" w:hAnsiTheme="minorHAnsi" w:eastAsiaTheme="minorEastAsia"/>
                <w:b w:val="0"/>
                <w:color w:val="000000" w:themeColor="text1"/>
                <w:kern w:val="2"/>
                <w:sz w:val="24"/>
                <w:lang w:val="en-US" w:eastAsia="zh-CN"/>
                <w14:textFill>
                  <w14:solidFill>
                    <w14:schemeClr w14:val="tx1"/>
                  </w14:solidFill>
                </w14:textFill>
              </w:rPr>
            </w:pPr>
            <w:r>
              <w:rPr>
                <w:rFonts w:hint="eastAsia" w:ascii="Times New Roman" w:hAnsi="Times New Roman"/>
                <w:b/>
                <w:bCs/>
                <w:color w:val="FF0000"/>
                <w:kern w:val="2"/>
                <w:sz w:val="24"/>
                <w:szCs w:val="24"/>
                <w:highlight w:val="none"/>
                <w:lang w:val="en-US" w:eastAsia="zh-CN" w:bidi="ar"/>
              </w:rPr>
              <w:t>设备产品质保</w:t>
            </w:r>
          </w:p>
        </w:tc>
        <w:tc>
          <w:tcPr>
            <w:tcW w:w="6287" w:type="dxa"/>
            <w:vAlign w:val="center"/>
          </w:tcPr>
          <w:p w14:paraId="4F1D5CF7">
            <w:pPr>
              <w:rPr>
                <w:rFonts w:hint="default" w:asciiTheme="minorEastAsia" w:hAnsiTheme="minorEastAsia" w:eastAsiaTheme="minorEastAsia"/>
                <w:color w:val="000000" w:themeColor="text1"/>
                <w:kern w:val="2"/>
                <w:sz w:val="24"/>
                <w:szCs w:val="22"/>
                <w:lang w:val="en-US"/>
                <w14:textFill>
                  <w14:solidFill>
                    <w14:schemeClr w14:val="tx1"/>
                  </w14:solidFill>
                </w14:textFill>
              </w:rPr>
            </w:pPr>
            <w:r>
              <w:rPr>
                <w:rFonts w:hint="eastAsia" w:ascii="Times New Roman" w:hAnsi="Times New Roman"/>
                <w:b/>
                <w:bCs/>
                <w:color w:val="FF0000"/>
                <w:kern w:val="2"/>
                <w:sz w:val="24"/>
                <w:szCs w:val="24"/>
                <w:highlight w:val="none"/>
                <w:lang w:val="en-US" w:eastAsia="zh-CN" w:bidi="ar"/>
              </w:rPr>
              <w:t>我方承诺为采购需求（技术参数）中要求提供质保的设备提供设备产品质保，质保期为一年。</w:t>
            </w:r>
          </w:p>
        </w:tc>
      </w:tr>
    </w:tbl>
    <w:p w14:paraId="3C17E3F1">
      <w:pPr>
        <w:pStyle w:val="5"/>
        <w:ind w:firstLine="0" w:firstLineChars="0"/>
        <w:rPr>
          <w:rFonts w:hint="eastAsia" w:ascii="宋体" w:hAnsi="宋体" w:eastAsia="宋体" w:cs="宋体"/>
          <w:color w:val="auto"/>
          <w:highlight w:val="none"/>
          <w:lang w:val="en-US" w:eastAsia="zh-CN"/>
        </w:rPr>
      </w:pPr>
      <w:r>
        <w:rPr>
          <w:rFonts w:hint="eastAsia" w:cs="宋体"/>
          <w:color w:val="auto"/>
          <w:highlight w:val="none"/>
          <w:lang w:val="en-US" w:eastAsia="zh-CN"/>
        </w:rPr>
        <w:t>1.</w:t>
      </w:r>
      <w:r>
        <w:rPr>
          <w:rFonts w:hint="eastAsia" w:ascii="宋体" w:hAnsi="宋体" w:eastAsia="宋体" w:cs="宋体"/>
          <w:color w:val="auto"/>
          <w:highlight w:val="none"/>
          <w:lang w:val="en-US" w:eastAsia="zh-CN"/>
        </w:rPr>
        <w:t>项目背景</w:t>
      </w:r>
    </w:p>
    <w:p w14:paraId="38FCBD7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安徽省淮河河道管理局(以下简称“省淮河局”)成立于1961年11月(原安徽省淮河修防局1991年更名)，为安徽省水利厅派出机构，正处级建制。下辖19个直属事业单位，包括颍东、颍上凤台、潘集、蒙城、怀远、五河、明光等8个局直河道管理单位，王家坝闸、曹台闸、东湖闸、东淝闸、阜阳闸、颍上闸、蒙城闸、窑河闸、</w:t>
      </w:r>
      <w:r>
        <w:rPr>
          <w:rFonts w:hint="eastAsia" w:ascii="宋体" w:hAnsi="宋体" w:eastAsia="宋体" w:cs="@仿宋_GB2312"/>
          <w:color w:val="auto"/>
          <w:kern w:val="2"/>
          <w:sz w:val="24"/>
          <w:szCs w:val="22"/>
          <w:highlight w:val="none"/>
          <w:lang w:val="en-US" w:eastAsia="zh-CN"/>
        </w:rPr>
        <w:t>安徽省淮河河道管理局</w:t>
      </w:r>
      <w:r>
        <w:rPr>
          <w:rFonts w:hint="default" w:ascii="宋体" w:hAnsi="宋体" w:eastAsia="宋体" w:cs="@仿宋_GB2312"/>
          <w:color w:val="auto"/>
          <w:kern w:val="2"/>
          <w:sz w:val="24"/>
          <w:szCs w:val="22"/>
          <w:highlight w:val="none"/>
          <w:lang w:val="en-US" w:eastAsia="zh-CN"/>
        </w:rPr>
        <w:t>等9个局直水闸管理单位以及测绘院和防汛机动抢险大队。目前，省淮河局共承担着沿淮6市(阜阳、亳州、六安、淮南、蚌埠和滁州)14个县(区)700余公里河道(其中淮河干流河道418km)、708km堤防(其中一级堤防592公里)，89座水闸(其中8座大型水闸、10座中型水闸和71小型水闸)的管理任务</w:t>
      </w:r>
      <w:r>
        <w:rPr>
          <w:rFonts w:hint="eastAsia" w:ascii="宋体" w:hAnsi="宋体" w:eastAsia="宋体" w:cs="@仿宋_GB2312"/>
          <w:color w:val="auto"/>
          <w:kern w:val="2"/>
          <w:sz w:val="24"/>
          <w:szCs w:val="22"/>
          <w:highlight w:val="none"/>
          <w:lang w:val="en-US" w:eastAsia="zh-CN"/>
        </w:rPr>
        <w:t>。</w:t>
      </w:r>
    </w:p>
    <w:p w14:paraId="41B9471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2020年8月开始，省淮河局实施安徽省淮河河道管理系统固定视频及水闸自动化项目。项目共建设了50台硬盘录像机和 417路固定视频监视点</w:t>
      </w:r>
      <w:r>
        <w:rPr>
          <w:rFonts w:hint="eastAsia" w:cs="@仿宋_GB2312"/>
          <w:color w:val="auto"/>
          <w:kern w:val="2"/>
          <w:sz w:val="24"/>
          <w:szCs w:val="22"/>
          <w:highlight w:val="none"/>
          <w:lang w:val="en-US" w:eastAsia="zh-CN"/>
        </w:rPr>
        <w:t>；</w:t>
      </w:r>
      <w:r>
        <w:rPr>
          <w:rFonts w:hint="default" w:ascii="宋体" w:hAnsi="宋体" w:eastAsia="宋体" w:cs="@仿宋_GB2312"/>
          <w:color w:val="auto"/>
          <w:kern w:val="2"/>
          <w:sz w:val="24"/>
          <w:szCs w:val="22"/>
          <w:highlight w:val="none"/>
          <w:lang w:val="en-US" w:eastAsia="zh-CN"/>
        </w:rPr>
        <w:t>完成了局直68座水闸(其中12座大中型水闸、56座小型涵闸)自动化改造，</w:t>
      </w:r>
      <w:r>
        <w:rPr>
          <w:rFonts w:hint="eastAsia" w:ascii="宋体" w:hAnsi="宋体" w:eastAsia="宋体" w:cs="@仿宋_GB2312"/>
          <w:color w:val="auto"/>
          <w:kern w:val="2"/>
          <w:sz w:val="24"/>
          <w:szCs w:val="22"/>
          <w:highlight w:val="none"/>
          <w:lang w:val="en-US" w:eastAsia="zh-CN"/>
        </w:rPr>
        <w:t>安徽省淮河河道管理局</w:t>
      </w:r>
      <w:r>
        <w:rPr>
          <w:rFonts w:hint="default" w:ascii="宋体" w:hAnsi="宋体" w:eastAsia="宋体" w:cs="@仿宋_GB2312"/>
          <w:color w:val="auto"/>
          <w:kern w:val="2"/>
          <w:sz w:val="24"/>
          <w:szCs w:val="22"/>
          <w:highlight w:val="none"/>
          <w:lang w:val="en-US" w:eastAsia="zh-CN"/>
        </w:rPr>
        <w:t>、颍上闸等8座已建自动化水闸接入;完成了现场设备层的 76座水闸现地控制系统、采集控制层的30个计算机监控系统和展示与管理层的8个工情监测系统建设:项目于 2021年9月完工，实现了水闸水情、工情及安全监测等信息的自动采集，实现了大型水闸桥头堡控制、小型涵闸集约化管理，极大提升了水早灾害防御能力。</w:t>
      </w:r>
    </w:p>
    <w:p w14:paraId="64EF2487">
      <w:pPr>
        <w:pStyle w:val="5"/>
        <w:pageBreakBefore w:val="0"/>
        <w:widowControl w:val="0"/>
        <w:kinsoku/>
        <w:wordWrap/>
        <w:overflowPunct/>
        <w:topLinePunct w:val="0"/>
        <w:autoSpaceDE/>
        <w:autoSpaceDN/>
        <w:bidi w:val="0"/>
        <w:adjustRightInd/>
        <w:snapToGrid/>
        <w:ind w:firstLine="562" w:firstLineChars="200"/>
        <w:textAlignment w:val="auto"/>
        <w:rPr>
          <w:rFonts w:hint="eastAsia" w:cs="宋体"/>
          <w:color w:val="auto"/>
          <w:highlight w:val="none"/>
          <w:lang w:val="en-US" w:eastAsia="zh-CN"/>
        </w:rPr>
      </w:pPr>
      <w:r>
        <w:rPr>
          <w:rFonts w:hint="eastAsia" w:cs="宋体"/>
          <w:color w:val="auto"/>
          <w:highlight w:val="none"/>
          <w:lang w:val="en-US" w:eastAsia="zh-CN"/>
        </w:rPr>
        <w:t>2.项目技术标准</w:t>
      </w:r>
    </w:p>
    <w:p w14:paraId="5E1E11D0">
      <w:pPr>
        <w:bidi w:val="0"/>
        <w:spacing w:line="360" w:lineRule="auto"/>
        <w:ind w:firstLine="480" w:firstLineChars="200"/>
        <w:rPr>
          <w:rFonts w:hint="eastAsia" w:ascii="宋体" w:hAnsi="宋体" w:eastAsia="宋体" w:cs="@仿宋_GB2312"/>
          <w:b/>
          <w:bCs/>
          <w:color w:val="auto"/>
          <w:kern w:val="2"/>
          <w:sz w:val="24"/>
          <w:szCs w:val="22"/>
          <w:highlight w:val="none"/>
          <w:lang w:val="en-US" w:eastAsia="zh-CN"/>
        </w:rPr>
      </w:pPr>
      <w:r>
        <w:rPr>
          <w:rFonts w:hint="eastAsia" w:cs="宋体"/>
          <w:color w:val="auto"/>
          <w:sz w:val="24"/>
          <w:szCs w:val="24"/>
          <w:highlight w:val="none"/>
          <w:lang w:val="en-US" w:eastAsia="zh-CN"/>
        </w:rPr>
        <w:t>本项目</w:t>
      </w:r>
      <w:r>
        <w:rPr>
          <w:rFonts w:hint="eastAsia" w:ascii="宋体" w:hAnsi="宋体" w:eastAsia="宋体" w:cs="宋体"/>
          <w:color w:val="auto"/>
          <w:sz w:val="24"/>
          <w:szCs w:val="24"/>
          <w:highlight w:val="none"/>
          <w:lang w:val="en-US" w:eastAsia="zh-CN"/>
        </w:rPr>
        <w:t>施工</w:t>
      </w:r>
      <w:r>
        <w:rPr>
          <w:rFonts w:hint="eastAsia"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标准需满足</w:t>
      </w:r>
      <w:r>
        <w:rPr>
          <w:rFonts w:hint="eastAsia" w:cs="宋体"/>
          <w:color w:val="auto"/>
          <w:sz w:val="24"/>
          <w:szCs w:val="24"/>
          <w:highlight w:val="none"/>
          <w:lang w:val="en-US" w:eastAsia="zh-CN"/>
        </w:rPr>
        <w:t>国家现行的</w:t>
      </w:r>
      <w:r>
        <w:rPr>
          <w:rFonts w:hint="eastAsia" w:ascii="宋体" w:hAnsi="宋体" w:eastAsia="宋体" w:cs="宋体"/>
          <w:color w:val="auto"/>
          <w:sz w:val="24"/>
          <w:szCs w:val="24"/>
          <w:highlight w:val="none"/>
          <w:lang w:val="en-US" w:eastAsia="zh-CN"/>
        </w:rPr>
        <w:t>标准及规范</w:t>
      </w:r>
      <w:r>
        <w:rPr>
          <w:rFonts w:hint="eastAsia" w:cs="宋体"/>
          <w:color w:val="auto"/>
          <w:sz w:val="24"/>
          <w:szCs w:val="24"/>
          <w:highlight w:val="none"/>
          <w:lang w:val="en-US" w:eastAsia="zh-CN"/>
        </w:rPr>
        <w:t>。</w:t>
      </w:r>
    </w:p>
    <w:p w14:paraId="0258840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zh-CN"/>
        </w:rPr>
        <w:t>2.1</w:t>
      </w:r>
      <w:r>
        <w:rPr>
          <w:rFonts w:hint="eastAsia" w:ascii="宋体" w:hAnsi="宋体" w:eastAsia="宋体" w:cs="@仿宋_GB2312"/>
          <w:b/>
          <w:bCs/>
          <w:color w:val="auto"/>
          <w:kern w:val="2"/>
          <w:sz w:val="24"/>
          <w:szCs w:val="22"/>
          <w:highlight w:val="none"/>
          <w:lang w:val="en-US" w:eastAsia="en-US"/>
        </w:rPr>
        <w:t>配电箱及机柜技术标准与要求</w:t>
      </w:r>
    </w:p>
    <w:p w14:paraId="24BD0FF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en-US"/>
        </w:rPr>
        <w:t>.1配电箱柜内元器件要求</w:t>
      </w:r>
    </w:p>
    <w:p w14:paraId="4C7A759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en-US"/>
        </w:rPr>
        <w:t>柜内所有元器件性能可靠，安全稳定，且能满足系统长期运行需求。</w:t>
      </w:r>
    </w:p>
    <w:p w14:paraId="130D14C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（2）</w:t>
      </w:r>
      <w:r>
        <w:rPr>
          <w:rFonts w:hint="default" w:ascii="宋体" w:hAnsi="宋体" w:eastAsia="宋体" w:cs="@仿宋_GB2312"/>
          <w:color w:val="auto"/>
          <w:kern w:val="2"/>
          <w:sz w:val="24"/>
          <w:szCs w:val="22"/>
          <w:highlight w:val="none"/>
          <w:lang w:val="en-US" w:eastAsia="en-US"/>
        </w:rPr>
        <w:t>所有选用的元器件均符合国家相应的标准和规范要求。</w:t>
      </w:r>
    </w:p>
    <w:p w14:paraId="0B715F4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en-US"/>
        </w:rPr>
        <w:t>按钮电气接点额定值</w:t>
      </w:r>
    </w:p>
    <w:p w14:paraId="19542B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最高设计电压：交流500V 或直流250V</w:t>
      </w:r>
    </w:p>
    <w:p w14:paraId="74C8BDE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最大持续电流：10A(交流或直流)</w:t>
      </w:r>
    </w:p>
    <w:p w14:paraId="579615E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最大感性开断电流：交流220V/3A 或直流220V/1.1A</w:t>
      </w:r>
    </w:p>
    <w:p w14:paraId="7855F7C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最大感性关合电流：交流220V/30A 或直流220V/15A</w:t>
      </w:r>
    </w:p>
    <w:p w14:paraId="0053322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（4）</w:t>
      </w:r>
      <w:r>
        <w:rPr>
          <w:rFonts w:hint="default" w:ascii="宋体" w:hAnsi="宋体" w:eastAsia="宋体" w:cs="@仿宋_GB2312"/>
          <w:color w:val="auto"/>
          <w:kern w:val="2"/>
          <w:sz w:val="24"/>
          <w:szCs w:val="22"/>
          <w:highlight w:val="none"/>
          <w:lang w:val="en-US" w:eastAsia="en-US"/>
        </w:rPr>
        <w:t>断路器、接触器由阻燃材料制成，电气寿命达到200万次，机械寿命最高可</w:t>
      </w:r>
    </w:p>
    <w:p w14:paraId="15C68B3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 xml:space="preserve">达到2000万次，绝缘电压可达1000V。 </w:t>
      </w:r>
    </w:p>
    <w:p w14:paraId="3CED9D90">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zh-CN"/>
        </w:rPr>
        <w:t>2.2</w:t>
      </w:r>
      <w:r>
        <w:rPr>
          <w:rFonts w:hint="default" w:ascii="宋体" w:hAnsi="宋体" w:eastAsia="宋体" w:cs="@仿宋_GB2312"/>
          <w:b/>
          <w:bCs/>
          <w:color w:val="auto"/>
          <w:kern w:val="2"/>
          <w:sz w:val="24"/>
          <w:szCs w:val="22"/>
          <w:highlight w:val="none"/>
          <w:lang w:val="en-US" w:eastAsia="en-US"/>
        </w:rPr>
        <w:t>一般电气特性</w:t>
      </w:r>
    </w:p>
    <w:p w14:paraId="5E7D0ED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en-US"/>
        </w:rPr>
        <w:t>绝缘电阻</w:t>
      </w:r>
    </w:p>
    <w:p w14:paraId="7D01B7E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交流回路外部端子对地绝缘电阻为10MΩ(2)不接地直流回路对地绝缘电阻为 1M</w:t>
      </w:r>
      <w:r>
        <w:rPr>
          <w:rFonts w:hint="eastAsia" w:ascii="宋体" w:hAnsi="宋体" w:eastAsia="宋体" w:cs="@仿宋_GB2312"/>
          <w:color w:val="auto"/>
          <w:kern w:val="2"/>
          <w:sz w:val="24"/>
          <w:szCs w:val="22"/>
          <w:highlight w:val="none"/>
          <w:lang w:val="en-US" w:eastAsia="zh-CN"/>
        </w:rPr>
        <w:t>Ω</w:t>
      </w:r>
      <w:r>
        <w:rPr>
          <w:rFonts w:hint="default" w:ascii="宋体" w:hAnsi="宋体" w:eastAsia="宋体" w:cs="@仿宋_GB2312"/>
          <w:color w:val="auto"/>
          <w:kern w:val="2"/>
          <w:sz w:val="24"/>
          <w:szCs w:val="22"/>
          <w:highlight w:val="none"/>
          <w:lang w:val="en-US" w:eastAsia="en-US"/>
        </w:rPr>
        <w:t>。</w:t>
      </w:r>
    </w:p>
    <w:p w14:paraId="38A3D59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.2</w:t>
      </w:r>
      <w:r>
        <w:rPr>
          <w:rFonts w:hint="default" w:ascii="宋体" w:hAnsi="宋体" w:eastAsia="宋体" w:cs="@仿宋_GB2312"/>
          <w:color w:val="auto"/>
          <w:kern w:val="2"/>
          <w:sz w:val="24"/>
          <w:szCs w:val="22"/>
          <w:highlight w:val="none"/>
          <w:lang w:val="en-US" w:eastAsia="en-US"/>
        </w:rPr>
        <w:t>绝缘强度</w:t>
      </w:r>
    </w:p>
    <w:p w14:paraId="14FB82C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en-US"/>
        </w:rPr>
        <w:t>500V 以下、60V 及以上端子与外壳间能承受交流2000V 电压1min</w:t>
      </w:r>
      <w:r>
        <w:rPr>
          <w:rFonts w:hint="eastAsia" w:ascii="宋体" w:hAnsi="宋体" w:eastAsia="宋体" w:cs="@仿宋_GB2312"/>
          <w:color w:val="auto"/>
          <w:kern w:val="2"/>
          <w:sz w:val="24"/>
          <w:szCs w:val="22"/>
          <w:highlight w:val="none"/>
          <w:lang w:val="en-US" w:eastAsia="zh-CN"/>
        </w:rPr>
        <w:t>；</w:t>
      </w:r>
    </w:p>
    <w:p w14:paraId="351E5CC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en-US"/>
        </w:rPr>
        <w:t>60V 以下端子与外壳间能承受交流500V 电压1min</w:t>
      </w:r>
      <w:r>
        <w:rPr>
          <w:rFonts w:hint="eastAsia" w:ascii="宋体" w:hAnsi="宋体" w:eastAsia="宋体" w:cs="@仿宋_GB2312"/>
          <w:color w:val="auto"/>
          <w:kern w:val="2"/>
          <w:sz w:val="24"/>
          <w:szCs w:val="22"/>
          <w:highlight w:val="none"/>
          <w:lang w:val="en-US" w:eastAsia="zh-CN"/>
        </w:rPr>
        <w:t>；</w:t>
      </w:r>
    </w:p>
    <w:p w14:paraId="639DA3E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en-US"/>
        </w:rPr>
        <w:t>机柜内框架与外壳能承受交流1500V 电压1min</w:t>
      </w:r>
      <w:r>
        <w:rPr>
          <w:rFonts w:hint="eastAsia" w:ascii="宋体" w:hAnsi="宋体" w:eastAsia="宋体" w:cs="@仿宋_GB2312"/>
          <w:color w:val="auto"/>
          <w:kern w:val="2"/>
          <w:sz w:val="24"/>
          <w:szCs w:val="22"/>
          <w:highlight w:val="none"/>
          <w:lang w:val="en-US" w:eastAsia="zh-CN"/>
        </w:rPr>
        <w:t>；</w:t>
      </w:r>
    </w:p>
    <w:p w14:paraId="5A5EC9A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en-US"/>
        </w:rPr>
        <w:t>浪涌抑制能力</w:t>
      </w:r>
    </w:p>
    <w:p w14:paraId="05668B3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本系统所有电源设备、数据和控制接口设备、通信接口设备的浪涌抑制能力(SWC)。</w:t>
      </w:r>
    </w:p>
    <w:p w14:paraId="3A87B6E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.4</w:t>
      </w:r>
      <w:r>
        <w:rPr>
          <w:rFonts w:hint="default" w:ascii="宋体" w:hAnsi="宋体" w:eastAsia="宋体" w:cs="@仿宋_GB2312"/>
          <w:color w:val="auto"/>
          <w:kern w:val="2"/>
          <w:sz w:val="24"/>
          <w:szCs w:val="22"/>
          <w:highlight w:val="none"/>
          <w:lang w:val="en-US" w:eastAsia="en-US"/>
        </w:rPr>
        <w:t>抗干扰措施</w:t>
      </w:r>
    </w:p>
    <w:p w14:paraId="09EA9C9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系统设计及实施时考虑现地环境中可能存在电磁的、静电的和感应的暂态电压，以 及涵闸可能遭雷击等情况，采取相应的抗干扰措施。</w:t>
      </w:r>
    </w:p>
    <w:p w14:paraId="541843F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.5</w:t>
      </w:r>
      <w:r>
        <w:rPr>
          <w:rFonts w:hint="default" w:ascii="宋体" w:hAnsi="宋体" w:eastAsia="宋体" w:cs="@仿宋_GB2312"/>
          <w:color w:val="auto"/>
          <w:kern w:val="2"/>
          <w:sz w:val="24"/>
          <w:szCs w:val="22"/>
          <w:highlight w:val="none"/>
          <w:lang w:val="en-US" w:eastAsia="en-US"/>
        </w:rPr>
        <w:t>接地与防雷，本系统采用接地网接地，对涵闸接地系统接地电阻，如不满足 需按要求制作接地装置，施工结束后，接地电阻值必须符合设计要求。</w:t>
      </w:r>
    </w:p>
    <w:p w14:paraId="1555D85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.6</w:t>
      </w:r>
      <w:r>
        <w:rPr>
          <w:rFonts w:hint="default" w:ascii="宋体" w:hAnsi="宋体" w:eastAsia="宋体" w:cs="@仿宋_GB2312"/>
          <w:color w:val="auto"/>
          <w:kern w:val="2"/>
          <w:sz w:val="24"/>
          <w:szCs w:val="22"/>
          <w:highlight w:val="none"/>
          <w:lang w:val="en-US" w:eastAsia="en-US"/>
        </w:rPr>
        <w:t>所有引入柜内的电源回路应配置防雷保护器，采取有效的屏蔽及防雷措施， 防止电磁干扰和雷电干扰；室外安装的摄像机应采取防雷措施。</w:t>
      </w:r>
    </w:p>
    <w:p w14:paraId="4C5BBF4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.7</w:t>
      </w:r>
      <w:r>
        <w:rPr>
          <w:rFonts w:hint="default" w:ascii="宋体" w:hAnsi="宋体" w:eastAsia="宋体" w:cs="@仿宋_GB2312"/>
          <w:color w:val="auto"/>
          <w:kern w:val="2"/>
          <w:sz w:val="24"/>
          <w:szCs w:val="22"/>
          <w:highlight w:val="none"/>
          <w:lang w:val="en-US" w:eastAsia="en-US"/>
        </w:rPr>
        <w:t>机柜挂墙安装，与墙面采用膨胀螺栓连接。柜体应可靠接地。机柜设备位置 安装正确。</w:t>
      </w:r>
    </w:p>
    <w:p w14:paraId="66798A2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.8</w:t>
      </w:r>
      <w:r>
        <w:rPr>
          <w:rFonts w:hint="default" w:ascii="宋体" w:hAnsi="宋体" w:eastAsia="宋体" w:cs="@仿宋_GB2312"/>
          <w:color w:val="auto"/>
          <w:kern w:val="2"/>
          <w:sz w:val="24"/>
          <w:szCs w:val="22"/>
          <w:highlight w:val="none"/>
          <w:lang w:val="en-US" w:eastAsia="en-US"/>
        </w:rPr>
        <w:t>机柜的安装应端正牢固，机架安装垂直度偏差应不大于3mm。</w:t>
      </w:r>
    </w:p>
    <w:p w14:paraId="1B0B624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.9</w:t>
      </w:r>
      <w:r>
        <w:rPr>
          <w:rFonts w:hint="default" w:ascii="宋体" w:hAnsi="宋体" w:eastAsia="宋体" w:cs="@仿宋_GB2312"/>
          <w:color w:val="auto"/>
          <w:kern w:val="2"/>
          <w:sz w:val="24"/>
          <w:szCs w:val="22"/>
          <w:highlight w:val="none"/>
          <w:lang w:val="en-US" w:eastAsia="en-US"/>
        </w:rPr>
        <w:t>端子同一侧压接不超过两根导线。导线为多股软线，接线前采用鼻冷压后接 入端子。</w:t>
      </w:r>
    </w:p>
    <w:p w14:paraId="579746C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.10</w:t>
      </w:r>
      <w:r>
        <w:rPr>
          <w:rFonts w:hint="default" w:ascii="宋体" w:hAnsi="宋体" w:eastAsia="宋体" w:cs="@仿宋_GB2312"/>
          <w:color w:val="auto"/>
          <w:kern w:val="2"/>
          <w:sz w:val="24"/>
          <w:szCs w:val="22"/>
          <w:highlight w:val="none"/>
          <w:lang w:val="en-US" w:eastAsia="en-US"/>
        </w:rPr>
        <w:t>告警显示单元安装位置端正合理，告警标示清楚。</w:t>
      </w:r>
    </w:p>
    <w:p w14:paraId="4E2D624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.11</w:t>
      </w:r>
      <w:r>
        <w:rPr>
          <w:rFonts w:hint="default" w:ascii="宋体" w:hAnsi="宋体" w:eastAsia="宋体" w:cs="@仿宋_GB2312"/>
          <w:color w:val="auto"/>
          <w:kern w:val="2"/>
          <w:sz w:val="24"/>
          <w:szCs w:val="22"/>
          <w:highlight w:val="none"/>
          <w:lang w:val="en-US" w:eastAsia="en-US"/>
        </w:rPr>
        <w:t>所有紧固件必须拧紧，同类螺丝露出螺帽的长度应一致。设备的紧固应符合 工程设计要求。</w:t>
      </w:r>
    </w:p>
    <w:p w14:paraId="41FEE4E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.12</w:t>
      </w:r>
      <w:r>
        <w:rPr>
          <w:rFonts w:hint="default" w:ascii="宋体" w:hAnsi="宋体" w:eastAsia="宋体" w:cs="@仿宋_GB2312"/>
          <w:color w:val="auto"/>
          <w:kern w:val="2"/>
          <w:sz w:val="24"/>
          <w:szCs w:val="22"/>
          <w:highlight w:val="none"/>
          <w:lang w:val="en-US" w:eastAsia="en-US"/>
        </w:rPr>
        <w:t>机柜上的各种零件不得脱落或碰坏，漆面如有脱落应予补漆。各种文字和符 号标志应正确、清晰、齐全。</w:t>
      </w:r>
    </w:p>
    <w:p w14:paraId="5B54264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2.3线缆敷设技术标准与要求</w:t>
      </w:r>
    </w:p>
    <w:p w14:paraId="1D5345D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en-US"/>
        </w:rPr>
        <w:t>.1标准及要求</w:t>
      </w:r>
    </w:p>
    <w:p w14:paraId="2DDCC39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en-US"/>
        </w:rPr>
        <w:t>一般情况下堤身前后30m 为发包人管理范围。在发包人管理范围外的施工协 调工作由承包人负责。线缆沟根据现场情况尽量敷设在发包人所属单位管理范围内。</w:t>
      </w:r>
    </w:p>
    <w:p w14:paraId="1BC459C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（2）</w:t>
      </w:r>
      <w:r>
        <w:rPr>
          <w:rFonts w:hint="default" w:ascii="宋体" w:hAnsi="宋体" w:eastAsia="宋体" w:cs="@仿宋_GB2312"/>
          <w:color w:val="auto"/>
          <w:kern w:val="2"/>
          <w:sz w:val="24"/>
          <w:szCs w:val="22"/>
          <w:highlight w:val="none"/>
          <w:lang w:val="en-US" w:eastAsia="en-US"/>
        </w:rPr>
        <w:t>穿越堤防敷设时应垂直于堤顶道路，沿堤脚敷设时应平行于堤脚，规划路径 时应留有足够的转弯半径。</w:t>
      </w:r>
    </w:p>
    <w:p w14:paraId="10F2F6D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en-US"/>
        </w:rPr>
        <w:t>沿堤脚的线缆敷设深度不小于0.8m, 与堤脚距离不小于0.5米。施工过程中遇 到必须在发包人管理范围外施工的，线缆敷设深度不小于1m。</w:t>
      </w:r>
    </w:p>
    <w:p w14:paraId="6C69C00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（4）</w:t>
      </w:r>
      <w:r>
        <w:rPr>
          <w:rFonts w:hint="default" w:ascii="宋体" w:hAnsi="宋体" w:eastAsia="宋体" w:cs="@仿宋_GB2312"/>
          <w:color w:val="auto"/>
          <w:kern w:val="2"/>
          <w:sz w:val="24"/>
          <w:szCs w:val="22"/>
          <w:highlight w:val="none"/>
          <w:lang w:val="en-US" w:eastAsia="en-US"/>
        </w:rPr>
        <w:t>不同深度线缆沟对接时应做缓坡。</w:t>
      </w:r>
    </w:p>
    <w:p w14:paraId="6871230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（5）</w:t>
      </w:r>
      <w:r>
        <w:rPr>
          <w:rFonts w:hint="default" w:ascii="宋体" w:hAnsi="宋体" w:eastAsia="宋体" w:cs="@仿宋_GB2312"/>
          <w:color w:val="auto"/>
          <w:kern w:val="2"/>
          <w:sz w:val="24"/>
          <w:szCs w:val="22"/>
          <w:highlight w:val="none"/>
          <w:lang w:val="en-US" w:eastAsia="en-US"/>
        </w:rPr>
        <w:t>线缆穿管后用原土回填，以完全覆盖电力专用保护管为标准，回填深度满足 规范要求，不小于0.8m。</w:t>
      </w:r>
    </w:p>
    <w:p w14:paraId="5227377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en-US"/>
        </w:rPr>
        <w:t>.2敷设及穿管要求</w:t>
      </w:r>
    </w:p>
    <w:p w14:paraId="56079A1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en-US"/>
        </w:rPr>
        <w:t>线缆放线时要缓慢平稳并破除线缆的缠绕应力，防止应扭曲应力损坏线缆。 管口应做平滑处理，无毛刺和尖锐棱角，防止割伤线缆，回填前管口密封。</w:t>
      </w:r>
    </w:p>
    <w:p w14:paraId="4706250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（2）</w:t>
      </w:r>
      <w:r>
        <w:rPr>
          <w:rFonts w:hint="default" w:ascii="宋体" w:hAnsi="宋体" w:eastAsia="宋体" w:cs="@仿宋_GB2312"/>
          <w:color w:val="auto"/>
          <w:kern w:val="2"/>
          <w:sz w:val="24"/>
          <w:szCs w:val="22"/>
          <w:highlight w:val="none"/>
          <w:lang w:val="en-US" w:eastAsia="en-US"/>
        </w:rPr>
        <w:t>线缆敷设穿越路面等情况时，混泥土路面开槽，电缆敷设采用DN25 镀锌钢 管进行防护。堤坝顶管敷设，采用电力专用保护管(内径50mm, 壁厚2mm) 防护，回填前 做好管口封堵，敷设深度不小于0.5m。 线缆从地下到供电杆、电表箱等可见处，用镀 锌钢管防护；线缆进入到涵闸时，要考虑到总体规划，达到整齐美观。采用新建镀锌管 防护或者桥架防护等形式。</w:t>
      </w:r>
    </w:p>
    <w:p w14:paraId="22C2B6D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en-US"/>
        </w:rPr>
        <w:t>线缆进入涵闸时，应从现地控制箱底部穿入，洞口用防火泥封堵；如现场条件不支持直接从底部穿入，需要从涵闸内部布置桥架或墙面、地面开槽，并进行外观恢复。</w:t>
      </w:r>
    </w:p>
    <w:p w14:paraId="71F5767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（5）</w:t>
      </w:r>
      <w:r>
        <w:rPr>
          <w:rFonts w:hint="default" w:ascii="宋体" w:hAnsi="宋体" w:eastAsia="宋体" w:cs="@仿宋_GB2312"/>
          <w:color w:val="auto"/>
          <w:kern w:val="2"/>
          <w:sz w:val="24"/>
          <w:szCs w:val="22"/>
          <w:highlight w:val="none"/>
          <w:lang w:val="en-US" w:eastAsia="en-US"/>
        </w:rPr>
        <w:t>线缆中单股电缆直径在4平方及以上的，需要使用接线端子。</w:t>
      </w:r>
    </w:p>
    <w:p w14:paraId="67A3F43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（6）</w:t>
      </w:r>
      <w:r>
        <w:rPr>
          <w:rFonts w:hint="default" w:ascii="宋体" w:hAnsi="宋体" w:eastAsia="宋体" w:cs="@仿宋_GB2312"/>
          <w:color w:val="auto"/>
          <w:kern w:val="2"/>
          <w:sz w:val="24"/>
          <w:szCs w:val="22"/>
          <w:highlight w:val="none"/>
          <w:lang w:val="en-US" w:eastAsia="en-US"/>
        </w:rPr>
        <w:t>回填</w:t>
      </w:r>
    </w:p>
    <w:p w14:paraId="39ECA21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①</w:t>
      </w:r>
      <w:r>
        <w:rPr>
          <w:rFonts w:hint="default" w:ascii="宋体" w:hAnsi="宋体" w:eastAsia="宋体" w:cs="@仿宋_GB2312"/>
          <w:color w:val="auto"/>
          <w:kern w:val="2"/>
          <w:sz w:val="24"/>
          <w:szCs w:val="22"/>
          <w:highlight w:val="none"/>
          <w:lang w:val="en-US" w:eastAsia="en-US"/>
        </w:rPr>
        <w:t>回填前应检查确保线缆最大弯曲半径不小于线缆外径的20倍。</w:t>
      </w:r>
    </w:p>
    <w:p w14:paraId="293F8DD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②</w:t>
      </w:r>
      <w:r>
        <w:rPr>
          <w:rFonts w:hint="default" w:ascii="宋体" w:hAnsi="宋体" w:eastAsia="宋体" w:cs="@仿宋_GB2312"/>
          <w:color w:val="auto"/>
          <w:kern w:val="2"/>
          <w:sz w:val="24"/>
          <w:szCs w:val="22"/>
          <w:highlight w:val="none"/>
          <w:lang w:val="en-US" w:eastAsia="en-US"/>
        </w:rPr>
        <w:t>回填前电缆应进行绝缘电阻检测或耐压试验1000V 兆欧表测其相间及相对地的绝缘电阻应不低于10M</w:t>
      </w:r>
      <w:r>
        <w:rPr>
          <w:rFonts w:hint="eastAsia" w:ascii="宋体" w:hAnsi="宋体" w:eastAsia="宋体" w:cs="@仿宋_GB2312"/>
          <w:color w:val="auto"/>
          <w:kern w:val="2"/>
          <w:sz w:val="24"/>
          <w:szCs w:val="22"/>
          <w:highlight w:val="none"/>
          <w:lang w:val="en-US" w:eastAsia="zh-CN"/>
        </w:rPr>
        <w:t>Ω</w:t>
      </w:r>
      <w:r>
        <w:rPr>
          <w:rFonts w:hint="default" w:ascii="宋体" w:hAnsi="宋体" w:eastAsia="宋体" w:cs="@仿宋_GB2312"/>
          <w:color w:val="auto"/>
          <w:kern w:val="2"/>
          <w:sz w:val="24"/>
          <w:szCs w:val="22"/>
          <w:highlight w:val="none"/>
          <w:lang w:val="en-US" w:eastAsia="en-US"/>
        </w:rPr>
        <w:t>。</w:t>
      </w:r>
    </w:p>
    <w:p w14:paraId="6C14E16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③</w:t>
      </w:r>
      <w:r>
        <w:rPr>
          <w:rFonts w:hint="default" w:ascii="宋体" w:hAnsi="宋体" w:eastAsia="宋体" w:cs="@仿宋_GB2312"/>
          <w:color w:val="auto"/>
          <w:kern w:val="2"/>
          <w:sz w:val="24"/>
          <w:szCs w:val="22"/>
          <w:highlight w:val="none"/>
          <w:lang w:val="en-US" w:eastAsia="en-US"/>
        </w:rPr>
        <w:t>回填前应通知现场管理单位组织进行隐蔽工程中间验收，做好记录和签证后 回 填 。</w:t>
      </w:r>
    </w:p>
    <w:p w14:paraId="1D34CF9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④</w:t>
      </w:r>
      <w:r>
        <w:rPr>
          <w:rFonts w:hint="default" w:ascii="宋体" w:hAnsi="宋体" w:eastAsia="宋体" w:cs="@仿宋_GB2312"/>
          <w:color w:val="auto"/>
          <w:kern w:val="2"/>
          <w:sz w:val="24"/>
          <w:szCs w:val="22"/>
          <w:highlight w:val="none"/>
          <w:lang w:val="en-US" w:eastAsia="en-US"/>
        </w:rPr>
        <w:t>回填料应分层夯实。</w:t>
      </w:r>
    </w:p>
    <w:p w14:paraId="08C0F4F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⑤</w:t>
      </w:r>
      <w:r>
        <w:rPr>
          <w:rFonts w:hint="default" w:ascii="宋体" w:hAnsi="宋体" w:eastAsia="宋体" w:cs="@仿宋_GB2312"/>
          <w:color w:val="auto"/>
          <w:kern w:val="2"/>
          <w:sz w:val="24"/>
          <w:szCs w:val="22"/>
          <w:highlight w:val="none"/>
          <w:lang w:val="en-US" w:eastAsia="en-US"/>
        </w:rPr>
        <w:t>回填后场地应恢复原貌。沿堤脚敷设的线缆，应回填后，恢复草皮；堤顶两 边的手井上应在手井盖上覆盖土工膜后回填，并在手井旁以标示桩为记；其他硬化路面也应恢复原状。</w:t>
      </w:r>
    </w:p>
    <w:p w14:paraId="0DB01F5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cs="@仿宋_GB2312"/>
          <w:color w:val="auto"/>
          <w:kern w:val="2"/>
          <w:sz w:val="24"/>
          <w:szCs w:val="24"/>
          <w:highlight w:val="none"/>
          <w:lang w:val="en-US" w:eastAsia="zh-CN"/>
        </w:rPr>
        <w:t>2</w:t>
      </w:r>
      <w:r>
        <w:rPr>
          <w:rFonts w:hint="eastAsia" w:ascii="宋体" w:hAnsi="宋体" w:eastAsia="宋体" w:cs="@仿宋_GB2312"/>
          <w:color w:val="auto"/>
          <w:kern w:val="2"/>
          <w:sz w:val="24"/>
          <w:szCs w:val="24"/>
          <w:highlight w:val="none"/>
          <w:lang w:val="en-US" w:eastAsia="zh-CN"/>
        </w:rPr>
        <w:t>.</w:t>
      </w:r>
      <w:r>
        <w:rPr>
          <w:rFonts w:hint="eastAsia" w:cs="@仿宋_GB2312"/>
          <w:color w:val="auto"/>
          <w:kern w:val="2"/>
          <w:sz w:val="24"/>
          <w:szCs w:val="24"/>
          <w:highlight w:val="none"/>
          <w:lang w:val="en-US" w:eastAsia="zh-CN"/>
        </w:rPr>
        <w:t>3</w:t>
      </w:r>
      <w:r>
        <w:rPr>
          <w:rFonts w:hint="eastAsia" w:ascii="宋体" w:hAnsi="宋体" w:eastAsia="宋体" w:cs="@仿宋_GB2312"/>
          <w:color w:val="auto"/>
          <w:kern w:val="2"/>
          <w:sz w:val="24"/>
          <w:szCs w:val="24"/>
          <w:highlight w:val="none"/>
          <w:lang w:val="en-US" w:eastAsia="zh-CN"/>
        </w:rPr>
        <w:t>.3线缆敷设其他要求</w:t>
      </w:r>
    </w:p>
    <w:p w14:paraId="182E5F6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default" w:ascii="宋体" w:hAnsi="宋体" w:eastAsia="宋体" w:cs="@仿宋_GB2312"/>
          <w:color w:val="auto"/>
          <w:kern w:val="2"/>
          <w:sz w:val="24"/>
          <w:szCs w:val="24"/>
          <w:highlight w:val="none"/>
          <w:lang w:val="en-US" w:eastAsia="en-US"/>
        </w:rPr>
        <w:t>线缆敷设应充分与所属管理单位沟通，符合管理单位要求。</w:t>
      </w:r>
    </w:p>
    <w:p w14:paraId="249E2E1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2.4立杆及基础接地制作要求</w:t>
      </w:r>
    </w:p>
    <w:p w14:paraId="0F4367A1">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4"/>
          <w:highlight w:val="none"/>
          <w:lang w:val="en-US" w:eastAsia="en-US"/>
        </w:rPr>
      </w:pPr>
      <w:r>
        <w:rPr>
          <w:rFonts w:hint="eastAsia" w:ascii="宋体" w:hAnsi="宋体" w:eastAsia="宋体" w:cs="@仿宋_GB2312"/>
          <w:b/>
          <w:bCs/>
          <w:color w:val="auto"/>
          <w:kern w:val="2"/>
          <w:sz w:val="24"/>
          <w:szCs w:val="24"/>
          <w:highlight w:val="none"/>
          <w:lang w:val="en-US" w:eastAsia="zh-CN"/>
        </w:rPr>
        <w:t>1</w:t>
      </w:r>
      <w:r>
        <w:rPr>
          <w:rFonts w:hint="eastAsia" w:cs="@仿宋_GB2312"/>
          <w:b/>
          <w:bCs/>
          <w:color w:val="auto"/>
          <w:kern w:val="2"/>
          <w:sz w:val="24"/>
          <w:szCs w:val="24"/>
          <w:highlight w:val="none"/>
          <w:lang w:val="en-US" w:eastAsia="zh-CN"/>
        </w:rPr>
        <w:t>2</w:t>
      </w:r>
      <w:r>
        <w:rPr>
          <w:rFonts w:hint="eastAsia" w:ascii="宋体" w:hAnsi="宋体" w:eastAsia="宋体" w:cs="@仿宋_GB2312"/>
          <w:b/>
          <w:bCs/>
          <w:color w:val="auto"/>
          <w:kern w:val="2"/>
          <w:sz w:val="24"/>
          <w:szCs w:val="24"/>
          <w:highlight w:val="none"/>
          <w:lang w:val="en-US" w:eastAsia="zh-CN"/>
        </w:rPr>
        <w:t>米杆</w:t>
      </w:r>
      <w:r>
        <w:rPr>
          <w:rFonts w:hint="eastAsia" w:cs="@仿宋_GB2312"/>
          <w:b/>
          <w:bCs/>
          <w:color w:val="auto"/>
          <w:kern w:val="2"/>
          <w:sz w:val="24"/>
          <w:szCs w:val="24"/>
          <w:highlight w:val="none"/>
          <w:lang w:val="en-US" w:eastAsia="zh-CN"/>
        </w:rPr>
        <w:t>、6米杆</w:t>
      </w:r>
      <w:r>
        <w:rPr>
          <w:rFonts w:hint="eastAsia" w:ascii="宋体" w:hAnsi="宋体" w:eastAsia="宋体" w:cs="@仿宋_GB2312"/>
          <w:b/>
          <w:bCs/>
          <w:color w:val="auto"/>
          <w:kern w:val="2"/>
          <w:sz w:val="24"/>
          <w:szCs w:val="24"/>
          <w:highlight w:val="none"/>
          <w:lang w:val="en-US" w:eastAsia="zh-CN"/>
        </w:rPr>
        <w:t>要求：</w:t>
      </w:r>
      <w:r>
        <w:rPr>
          <w:rFonts w:hint="eastAsia" w:ascii="宋体" w:hAnsi="宋体" w:eastAsia="宋体" w:cs="@仿宋_GB2312"/>
          <w:b/>
          <w:bCs/>
          <w:color w:val="auto"/>
          <w:kern w:val="2"/>
          <w:sz w:val="24"/>
          <w:szCs w:val="24"/>
          <w:highlight w:val="none"/>
          <w:lang w:val="en-US" w:eastAsia="en-US"/>
        </w:rPr>
        <w:t>合同签署</w:t>
      </w:r>
      <w:r>
        <w:rPr>
          <w:rFonts w:hint="eastAsia" w:cs="@仿宋_GB2312"/>
          <w:b/>
          <w:bCs/>
          <w:color w:val="auto"/>
          <w:kern w:val="2"/>
          <w:sz w:val="24"/>
          <w:szCs w:val="24"/>
          <w:highlight w:val="none"/>
          <w:lang w:val="en-US" w:eastAsia="zh-CN"/>
        </w:rPr>
        <w:t>15</w:t>
      </w:r>
      <w:r>
        <w:rPr>
          <w:rFonts w:hint="eastAsia" w:ascii="宋体" w:hAnsi="宋体" w:eastAsia="宋体" w:cs="@仿宋_GB2312"/>
          <w:b/>
          <w:bCs/>
          <w:color w:val="auto"/>
          <w:kern w:val="2"/>
          <w:sz w:val="24"/>
          <w:szCs w:val="24"/>
          <w:highlight w:val="none"/>
          <w:lang w:val="en-US" w:eastAsia="en-US"/>
        </w:rPr>
        <w:t>日内，成交供应商委托具体相关资质的设计单位提供立杆设计图（CAD图）、基础施工图纸，经采购人确认后方可实施。</w:t>
      </w:r>
    </w:p>
    <w:p w14:paraId="463A250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立杆及防雷接地具体包括立杆(含引雷针),立杆基础(含接地极)、信号避雷器、电源避雷器等。由于摄像机需要有良好的稳定性与安全性，故立杆应根据《安全防范工程技术标准》(GB 50348-2018)等进行设计和实施。</w:t>
      </w:r>
    </w:p>
    <w:p w14:paraId="36FFBA5C">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4"/>
          <w:highlight w:val="none"/>
          <w:lang w:val="en-US" w:eastAsia="zh-CN"/>
        </w:rPr>
      </w:pPr>
      <w:r>
        <w:rPr>
          <w:rFonts w:hint="eastAsia" w:ascii="宋体" w:hAnsi="宋体" w:eastAsia="宋体" w:cs="@仿宋_GB2312"/>
          <w:b/>
          <w:bCs/>
          <w:color w:val="auto"/>
          <w:kern w:val="2"/>
          <w:sz w:val="24"/>
          <w:szCs w:val="24"/>
          <w:highlight w:val="none"/>
          <w:lang w:val="en-US" w:eastAsia="zh-CN"/>
        </w:rPr>
        <w:t>（1）</w:t>
      </w:r>
      <w:r>
        <w:rPr>
          <w:rFonts w:hint="eastAsia" w:cs="@仿宋_GB2312"/>
          <w:b/>
          <w:bCs/>
          <w:color w:val="auto"/>
          <w:kern w:val="2"/>
          <w:sz w:val="24"/>
          <w:szCs w:val="24"/>
          <w:highlight w:val="none"/>
          <w:lang w:val="en-US" w:eastAsia="zh-CN"/>
        </w:rPr>
        <w:t>12米</w:t>
      </w:r>
      <w:r>
        <w:rPr>
          <w:rFonts w:hint="eastAsia" w:ascii="宋体" w:hAnsi="宋体" w:eastAsia="宋体" w:cs="@仿宋_GB2312"/>
          <w:b/>
          <w:bCs/>
          <w:color w:val="auto"/>
          <w:kern w:val="2"/>
          <w:sz w:val="24"/>
          <w:szCs w:val="24"/>
          <w:highlight w:val="none"/>
          <w:lang w:val="en-US" w:eastAsia="en-US"/>
        </w:rPr>
        <w:t>立杆</w:t>
      </w:r>
    </w:p>
    <w:p w14:paraId="395EBFD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①</w:t>
      </w:r>
      <w:r>
        <w:rPr>
          <w:rFonts w:hint="eastAsia" w:ascii="宋体" w:hAnsi="宋体" w:eastAsia="宋体" w:cs="@仿宋_GB2312"/>
          <w:color w:val="auto"/>
          <w:kern w:val="2"/>
          <w:sz w:val="24"/>
          <w:szCs w:val="24"/>
          <w:highlight w:val="none"/>
          <w:lang w:val="en-US" w:eastAsia="zh-CN"/>
        </w:rPr>
        <w:t>杆形：钢管杆，外型美观、简洁、协调，颜色暂定为白色，高度1</w:t>
      </w:r>
      <w:r>
        <w:rPr>
          <w:rFonts w:hint="eastAsia" w:cs="@仿宋_GB2312"/>
          <w:color w:val="auto"/>
          <w:kern w:val="2"/>
          <w:sz w:val="24"/>
          <w:szCs w:val="24"/>
          <w:highlight w:val="none"/>
          <w:lang w:val="en-US" w:eastAsia="zh-CN"/>
        </w:rPr>
        <w:t>2</w:t>
      </w:r>
      <w:r>
        <w:rPr>
          <w:rFonts w:hint="eastAsia" w:ascii="宋体" w:hAnsi="宋体" w:eastAsia="宋体" w:cs="@仿宋_GB2312"/>
          <w:color w:val="auto"/>
          <w:kern w:val="2"/>
          <w:sz w:val="24"/>
          <w:szCs w:val="24"/>
          <w:highlight w:val="none"/>
          <w:lang w:val="en-US" w:eastAsia="zh-CN"/>
        </w:rPr>
        <w:t>米；</w:t>
      </w:r>
    </w:p>
    <w:p w14:paraId="66F8A52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②</w:t>
      </w:r>
      <w:r>
        <w:rPr>
          <w:rFonts w:hint="eastAsia" w:ascii="宋体" w:hAnsi="宋体" w:eastAsia="宋体" w:cs="@仿宋_GB2312"/>
          <w:color w:val="auto"/>
          <w:kern w:val="2"/>
          <w:sz w:val="24"/>
          <w:szCs w:val="24"/>
          <w:highlight w:val="none"/>
          <w:lang w:val="en-US" w:eastAsia="zh-CN"/>
        </w:rPr>
        <w:t>杆体选用Q235或优质钢材制造，壁厚不小于6mm，杆体釆用数控折弯机一次成型，釆用自动缩口；</w:t>
      </w:r>
    </w:p>
    <w:p w14:paraId="2D9A109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③</w:t>
      </w:r>
      <w:r>
        <w:rPr>
          <w:rFonts w:hint="eastAsia" w:ascii="宋体" w:hAnsi="宋体" w:eastAsia="宋体" w:cs="@仿宋_GB2312"/>
          <w:color w:val="auto"/>
          <w:kern w:val="2"/>
          <w:sz w:val="24"/>
          <w:szCs w:val="24"/>
          <w:highlight w:val="none"/>
          <w:lang w:val="en-US" w:eastAsia="zh-CN"/>
        </w:rPr>
        <w:t>监控杆防腐处理为热镀，镀锌层表面光滑美观，光泽一致。无皱皮、流坠及锌瘤、起皮、斑点、阴阳面缺陷存在，锌层厚度＞85um以上，镀锌层附着力应符合GB2694-98标准，20年不褪色，灯杆防腐寿命大于30年</w:t>
      </w:r>
    </w:p>
    <w:p w14:paraId="25B6B61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④</w:t>
      </w:r>
      <w:r>
        <w:rPr>
          <w:rFonts w:hint="eastAsia" w:ascii="宋体" w:hAnsi="宋体" w:eastAsia="宋体" w:cs="@仿宋_GB2312"/>
          <w:color w:val="auto"/>
          <w:kern w:val="2"/>
          <w:sz w:val="24"/>
          <w:szCs w:val="24"/>
          <w:highlight w:val="none"/>
          <w:lang w:val="en-US" w:eastAsia="zh-CN"/>
        </w:rPr>
        <w:t>焊机自动焊接，整个杆均按相关设计标准执行</w:t>
      </w:r>
    </w:p>
    <w:p w14:paraId="59960FE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⑤</w:t>
      </w:r>
      <w:r>
        <w:rPr>
          <w:rFonts w:hint="eastAsia" w:ascii="宋体" w:hAnsi="宋体" w:eastAsia="宋体" w:cs="@仿宋_GB2312"/>
          <w:color w:val="auto"/>
          <w:kern w:val="2"/>
          <w:sz w:val="24"/>
          <w:szCs w:val="24"/>
          <w:highlight w:val="none"/>
          <w:lang w:val="en-US" w:eastAsia="zh-CN"/>
        </w:rPr>
        <w:t>主杆与底法兰采用双面焊接，外焊加强筋</w:t>
      </w:r>
    </w:p>
    <w:p w14:paraId="631C2CB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⑥</w:t>
      </w:r>
      <w:r>
        <w:rPr>
          <w:rFonts w:hint="eastAsia" w:ascii="宋体" w:hAnsi="宋体" w:eastAsia="宋体" w:cs="@仿宋_GB2312"/>
          <w:color w:val="auto"/>
          <w:kern w:val="2"/>
          <w:sz w:val="24"/>
          <w:szCs w:val="24"/>
          <w:highlight w:val="none"/>
          <w:lang w:val="en-US" w:eastAsia="zh-CN"/>
        </w:rPr>
        <w:t>杆体表面全部热浸镀锌，高温烤漆，静电喷塑，表面喷塑厚度MlOOum,附着力达到GB9286-880级，表面光滑：硬度M2H,采用室外耐候性材料，喷塑材料为全聚酯塑粉</w:t>
      </w:r>
    </w:p>
    <w:p w14:paraId="043DC85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⑦</w:t>
      </w:r>
      <w:r>
        <w:rPr>
          <w:rFonts w:hint="eastAsia" w:ascii="宋体" w:hAnsi="宋体" w:eastAsia="宋体" w:cs="@仿宋_GB2312"/>
          <w:color w:val="auto"/>
          <w:kern w:val="2"/>
          <w:sz w:val="24"/>
          <w:szCs w:val="24"/>
          <w:highlight w:val="none"/>
          <w:lang w:val="en-US" w:eastAsia="zh-CN"/>
        </w:rPr>
        <w:t>监控杆强抗风、坚固耐用，设计抗风能力＞36m/s,抗震能力为10级</w:t>
      </w:r>
    </w:p>
    <w:p w14:paraId="3E74891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4"/>
          <w:highlight w:val="none"/>
          <w:lang w:val="en-US" w:eastAsia="zh-CN"/>
        </w:rPr>
      </w:pPr>
      <w:r>
        <w:rPr>
          <w:rFonts w:hint="eastAsia" w:cs="@仿宋_GB2312"/>
          <w:color w:val="auto"/>
          <w:kern w:val="2"/>
          <w:sz w:val="24"/>
          <w:szCs w:val="24"/>
          <w:highlight w:val="none"/>
          <w:lang w:val="en-US" w:eastAsia="zh-CN"/>
        </w:rPr>
        <w:t>⑧</w:t>
      </w:r>
      <w:r>
        <w:rPr>
          <w:rFonts w:hint="eastAsia" w:ascii="宋体" w:hAnsi="宋体" w:eastAsia="宋体" w:cs="@仿宋_GB2312"/>
          <w:color w:val="auto"/>
          <w:kern w:val="2"/>
          <w:sz w:val="24"/>
          <w:szCs w:val="24"/>
          <w:highlight w:val="none"/>
          <w:lang w:val="en-US" w:eastAsia="zh-CN"/>
        </w:rPr>
        <w:t>接线门釆用内置式M6内六角螺栓固定、防盗</w:t>
      </w:r>
    </w:p>
    <w:p w14:paraId="186274C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4"/>
          <w:highlight w:val="none"/>
          <w:lang w:val="en-US" w:eastAsia="zh-CN"/>
        </w:rPr>
      </w:pPr>
      <w:r>
        <w:rPr>
          <w:rFonts w:hint="eastAsia" w:cs="@仿宋_GB2312"/>
          <w:color w:val="auto"/>
          <w:kern w:val="2"/>
          <w:sz w:val="24"/>
          <w:szCs w:val="24"/>
          <w:highlight w:val="none"/>
          <w:lang w:val="en-US" w:eastAsia="zh-CN"/>
        </w:rPr>
        <w:t>⑨</w:t>
      </w:r>
      <w:r>
        <w:rPr>
          <w:rFonts w:hint="default" w:cs="@仿宋_GB2312"/>
          <w:color w:val="auto"/>
          <w:kern w:val="2"/>
          <w:sz w:val="24"/>
          <w:szCs w:val="24"/>
          <w:highlight w:val="none"/>
          <w:lang w:val="en-US" w:eastAsia="zh-CN"/>
        </w:rPr>
        <w:t>杆件口径450-200-12mm； 底法兰800-25</w:t>
      </w:r>
      <w:r>
        <w:rPr>
          <w:rFonts w:hint="eastAsia" w:cs="@仿宋_GB2312"/>
          <w:color w:val="auto"/>
          <w:kern w:val="2"/>
          <w:sz w:val="24"/>
          <w:szCs w:val="24"/>
          <w:highlight w:val="none"/>
          <w:lang w:val="en-US" w:eastAsia="zh-CN"/>
        </w:rPr>
        <w:t>。</w:t>
      </w:r>
    </w:p>
    <w:p w14:paraId="03CD87D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_GB2312"/>
          <w:color w:val="auto"/>
          <w:kern w:val="2"/>
          <w:sz w:val="24"/>
          <w:szCs w:val="24"/>
          <w:highlight w:val="none"/>
          <w:lang w:val="en-US" w:eastAsia="zh-CN"/>
        </w:rPr>
      </w:pPr>
      <w:r>
        <w:rPr>
          <w:rFonts w:hint="eastAsia" w:cs="@仿宋_GB2312"/>
          <w:color w:val="auto"/>
          <w:kern w:val="2"/>
          <w:sz w:val="24"/>
          <w:szCs w:val="24"/>
          <w:highlight w:val="none"/>
          <w:lang w:val="en-US" w:eastAsia="zh-CN"/>
        </w:rPr>
        <w:t>⑩</w:t>
      </w:r>
      <w:r>
        <w:rPr>
          <w:rFonts w:hint="eastAsia" w:cs="@仿宋_GB2312"/>
          <w:b/>
          <w:bCs/>
          <w:color w:val="auto"/>
          <w:kern w:val="2"/>
          <w:sz w:val="24"/>
          <w:szCs w:val="24"/>
          <w:highlight w:val="none"/>
          <w:lang w:val="en-US" w:eastAsia="zh-CN"/>
        </w:rPr>
        <w:t>需采用一体化设计，可根据实际使用的场景搭载雷达水位计、雨量计、GNSS测量设备、堤防宣传告示牌、LED宣传牌、堤顶路面照明补光灯、无人机机库等设备，作为上述设备搭载平台，为设备提供电源和网络传输。</w:t>
      </w:r>
    </w:p>
    <w:p w14:paraId="45EAE4EA">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_GB2312"/>
          <w:b/>
          <w:bCs/>
          <w:color w:val="auto"/>
          <w:kern w:val="2"/>
          <w:sz w:val="24"/>
          <w:szCs w:val="24"/>
          <w:highlight w:val="none"/>
          <w:lang w:val="en-US" w:eastAsia="zh-CN"/>
        </w:rPr>
      </w:pPr>
      <w:r>
        <w:rPr>
          <w:rFonts w:hint="eastAsia" w:cs="@仿宋_GB2312"/>
          <w:b/>
          <w:bCs/>
          <w:color w:val="auto"/>
          <w:kern w:val="2"/>
          <w:sz w:val="24"/>
          <w:szCs w:val="24"/>
          <w:highlight w:val="none"/>
          <w:lang w:val="en-US" w:eastAsia="zh-CN"/>
        </w:rPr>
        <w:t>（2）12米杆基础</w:t>
      </w:r>
    </w:p>
    <w:p w14:paraId="4004CBD2">
      <w:pPr>
        <w:tabs>
          <w:tab w:val="left" w:pos="7840"/>
        </w:tabs>
        <w:adjustRightInd w:val="0"/>
        <w:snapToGrid w:val="0"/>
        <w:spacing w:line="400" w:lineRule="exact"/>
        <w:ind w:firstLine="480" w:firstLineChars="200"/>
        <w:rPr>
          <w:color w:val="auto"/>
          <w:sz w:val="24"/>
          <w:szCs w:val="24"/>
          <w:highlight w:val="none"/>
        </w:rPr>
      </w:pPr>
      <w:r>
        <w:rPr>
          <w:rFonts w:hint="eastAsia" w:ascii="仿宋_GB2312" w:hAnsi="仿宋_GB2312" w:eastAsia="仿宋_GB2312" w:cs="仿宋_GB2312"/>
          <w:color w:val="auto"/>
          <w:kern w:val="2"/>
          <w:sz w:val="24"/>
          <w:szCs w:val="24"/>
          <w:highlight w:val="none"/>
          <w:lang w:val="en-US" w:eastAsia="zh-CN"/>
        </w:rPr>
        <w:t>①</w:t>
      </w:r>
      <w:r>
        <w:rPr>
          <w:rFonts w:hint="eastAsia"/>
          <w:color w:val="auto"/>
          <w:sz w:val="24"/>
          <w:szCs w:val="24"/>
          <w:highlight w:val="none"/>
        </w:rPr>
        <w:t>基槽开挖与回填</w:t>
      </w:r>
    </w:p>
    <w:p w14:paraId="3D48577A">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基槽开挖要求开挖到持力层，且持力层地基承载力≥100KPa；如设计标高仍未达到持力层，则应继续挖到指定持力层，再用C15素混凝土回填至设计基底标高。</w:t>
      </w:r>
    </w:p>
    <w:p w14:paraId="402A63BD">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基槽开挖若无充足场地放坡，应结合施工场地考虑临时支护措施。</w:t>
      </w:r>
    </w:p>
    <w:p w14:paraId="01B8B52F">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基槽开挖时，应尽量减少对基底土的扰动，以免破坏土的原状结构，使地基承载力降低。</w:t>
      </w:r>
    </w:p>
    <w:p w14:paraId="781DAF27">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基槽开挖完毕，应会同各有关部门验槽，合格后方可继续施工。</w:t>
      </w:r>
    </w:p>
    <w:p w14:paraId="36D40446">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施工完基础后，用粘性土回填，压实系数不小于0.95。</w:t>
      </w:r>
    </w:p>
    <w:p w14:paraId="77FC3B4B">
      <w:pPr>
        <w:tabs>
          <w:tab w:val="left" w:pos="7840"/>
        </w:tabs>
        <w:adjustRightInd w:val="0"/>
        <w:snapToGrid w:val="0"/>
        <w:spacing w:line="400" w:lineRule="exact"/>
        <w:ind w:firstLine="480" w:firstLineChars="200"/>
        <w:rPr>
          <w:color w:val="auto"/>
          <w:sz w:val="24"/>
          <w:szCs w:val="24"/>
          <w:highlight w:val="none"/>
        </w:rPr>
      </w:pPr>
      <w:r>
        <w:rPr>
          <w:rFonts w:hint="eastAsia" w:ascii="仿宋_GB2312" w:hAnsi="仿宋_GB2312" w:eastAsia="仿宋_GB2312" w:cs="仿宋_GB2312"/>
          <w:color w:val="auto"/>
          <w:kern w:val="2"/>
          <w:sz w:val="24"/>
          <w:szCs w:val="24"/>
          <w:highlight w:val="none"/>
          <w:lang w:val="en-US" w:eastAsia="zh-CN"/>
        </w:rPr>
        <w:t>②</w:t>
      </w:r>
      <w:r>
        <w:rPr>
          <w:rFonts w:hint="eastAsia"/>
          <w:color w:val="auto"/>
          <w:sz w:val="24"/>
          <w:szCs w:val="24"/>
          <w:highlight w:val="none"/>
        </w:rPr>
        <w:t>基槽降水</w:t>
      </w:r>
    </w:p>
    <w:p w14:paraId="17E7159E">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由于施工场地可能位于河道滩地或堤脚，应结合临时支护措施合理设置基坑降排水方案。</w:t>
      </w:r>
    </w:p>
    <w:p w14:paraId="297414C8">
      <w:pPr>
        <w:tabs>
          <w:tab w:val="left" w:pos="7840"/>
        </w:tabs>
        <w:adjustRightInd w:val="0"/>
        <w:snapToGrid w:val="0"/>
        <w:spacing w:line="400" w:lineRule="exact"/>
        <w:ind w:firstLine="480" w:firstLineChars="200"/>
        <w:rPr>
          <w:rFonts w:hint="eastAsia"/>
          <w:color w:val="auto"/>
          <w:sz w:val="24"/>
          <w:szCs w:val="24"/>
          <w:highlight w:val="none"/>
        </w:rPr>
      </w:pPr>
      <w:r>
        <w:rPr>
          <w:rFonts w:hint="eastAsia"/>
          <w:color w:val="auto"/>
          <w:sz w:val="24"/>
          <w:szCs w:val="24"/>
          <w:highlight w:val="none"/>
          <w:lang w:val="en-US" w:eastAsia="zh-CN"/>
        </w:rPr>
        <w:t>③</w:t>
      </w:r>
      <w:r>
        <w:rPr>
          <w:rFonts w:hint="eastAsia"/>
          <w:color w:val="auto"/>
          <w:sz w:val="24"/>
          <w:szCs w:val="24"/>
          <w:highlight w:val="none"/>
        </w:rPr>
        <w:t>混凝土与钢筋</w:t>
      </w:r>
    </w:p>
    <w:p w14:paraId="36F70BC4">
      <w:pPr>
        <w:tabs>
          <w:tab w:val="left" w:pos="7840"/>
        </w:tabs>
        <w:adjustRightInd w:val="0"/>
        <w:snapToGrid w:val="0"/>
        <w:spacing w:line="400" w:lineRule="exact"/>
        <w:ind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C35商混基础，尺寸不小于1000mm*1000mm*1500mm</w:t>
      </w:r>
      <w:r>
        <w:rPr>
          <w:rFonts w:hint="eastAsia"/>
          <w:b/>
          <w:bCs/>
          <w:color w:val="auto"/>
          <w:sz w:val="24"/>
          <w:szCs w:val="24"/>
          <w:highlight w:val="none"/>
          <w:lang w:eastAsia="zh-CN"/>
        </w:rPr>
        <w:t>；</w:t>
      </w:r>
      <w:r>
        <w:rPr>
          <w:rFonts w:hint="eastAsia"/>
          <w:b/>
          <w:bCs/>
          <w:color w:val="auto"/>
          <w:sz w:val="24"/>
          <w:szCs w:val="24"/>
          <w:highlight w:val="none"/>
          <w:lang w:val="en-US" w:eastAsia="zh-CN"/>
        </w:rPr>
        <w:t>若现场条件不允许商混进场，可下降至C25自拌基础，尺寸不小于1000mm*1000mm*1900mm。</w:t>
      </w:r>
    </w:p>
    <w:p w14:paraId="4F0C9332">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混凝土所用水泥强度等级应与混凝土设计强度相适应，采用普通硅酸盐水泥应符合国家标准。粗骨料宜用质地坚硬，粒形级配良好的碎石卵石，不得使用未经分级的混合石子，其质量标准应符合有关规定。细骨料宜采用质地坚硬、颗粒洁净、级配良好的天然砂，其质量标准应符合有关规定。混凝土的配合比应通过试验选定，混凝土拌制运输和养护应符合有关规定。混凝土施工过程中，若气温降至低于0°C时 ，应采取有效保温防护措施。</w:t>
      </w:r>
    </w:p>
    <w:p w14:paraId="6E7B7777">
      <w:pPr>
        <w:tabs>
          <w:tab w:val="left" w:pos="7840"/>
        </w:tabs>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钢筋：钢筋保护层厚度为50mm；钢筋的连接均采用焊接；焊接接头质量符合有关规范；钢筋锚固长度≥40d，焊接长度≥35d。本工程钢筋混凝土结构所用钢筋为热轧钢筋HPB235和HRB400，钢筋的机械性能应符合国家标准；钢筋应有出厂质量保证书和试验报告单，使用前仍应作拉力延伸率冷弯试验，需要焊接的钢筋，应作焊接工艺试验。钢筋需要代换时，应符合水工钢筋混凝土结构设计规范的规定，并应征得设计单位同意。钢筋的直径、安装位置、间距及各部分钢筋的大小尺寸，均应符合设计图纸的规定，钢筋下面或钢筋与模板间，应设足够数量强度高于构件设计强度、质量合格的混凝土垫块；侧面使用的垫块应埋设铁丝，并与钢筋扎紧；所有垫块互相错开分散布置。</w:t>
      </w:r>
    </w:p>
    <w:p w14:paraId="70732EC8">
      <w:pPr>
        <w:tabs>
          <w:tab w:val="left" w:pos="7840"/>
        </w:tabs>
        <w:adjustRightInd w:val="0"/>
        <w:snapToGrid w:val="0"/>
        <w:spacing w:line="400" w:lineRule="exact"/>
        <w:ind w:firstLine="480" w:firstLineChars="200"/>
        <w:rPr>
          <w:rFonts w:hint="eastAsia"/>
          <w:color w:val="auto"/>
          <w:sz w:val="24"/>
          <w:szCs w:val="24"/>
          <w:highlight w:val="none"/>
          <w:lang w:val="en-US" w:eastAsia="en-US"/>
        </w:rPr>
      </w:pPr>
      <w:r>
        <w:rPr>
          <w:rFonts w:hint="eastAsia"/>
          <w:color w:val="auto"/>
          <w:sz w:val="24"/>
          <w:szCs w:val="24"/>
          <w:highlight w:val="none"/>
          <w:lang w:val="en-US" w:eastAsia="zh-CN"/>
        </w:rPr>
        <w:t>④</w:t>
      </w:r>
      <w:r>
        <w:rPr>
          <w:rFonts w:hint="eastAsia"/>
          <w:color w:val="auto"/>
          <w:sz w:val="24"/>
          <w:szCs w:val="24"/>
          <w:highlight w:val="none"/>
          <w:lang w:val="en-US" w:eastAsia="en-US"/>
        </w:rPr>
        <w:t>防雷及接地</w:t>
      </w:r>
    </w:p>
    <w:p w14:paraId="6E3DF0F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视频立杆的防雷和接地是设备安全运行的保证，系统设施的雷击过电压及电磁干扰防护，是保护通信线路、设备及人身安全的重要技术手段，是确保通信线路畅通、设备安全运行不可缺少的技术环节。视频立杆和太阳能电池板在室外安装，易引雷，为保护设备，在充电控制器前端加装直流电源避雷器。各避雷器接地线应可靠连接接地端子，接地端子由40×4mm的镀锌扁钢连接接地体，接地体接地电阻要求不大于10Ω。</w:t>
      </w:r>
    </w:p>
    <w:p w14:paraId="5B6CFF1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防雷接地网的制作</w:t>
      </w:r>
      <w:r>
        <w:rPr>
          <w:rFonts w:hint="eastAsia" w:cs="@仿宋_GB2312"/>
          <w:color w:val="auto"/>
          <w:kern w:val="2"/>
          <w:sz w:val="24"/>
          <w:szCs w:val="24"/>
          <w:highlight w:val="none"/>
          <w:lang w:val="en-US" w:eastAsia="zh-CN"/>
        </w:rPr>
        <w:t>:</w:t>
      </w:r>
      <w:r>
        <w:rPr>
          <w:rFonts w:hint="eastAsia" w:ascii="宋体" w:hAnsi="宋体" w:eastAsia="宋体" w:cs="@仿宋_GB2312"/>
          <w:color w:val="auto"/>
          <w:kern w:val="2"/>
          <w:sz w:val="24"/>
          <w:szCs w:val="24"/>
          <w:highlight w:val="none"/>
          <w:lang w:val="en-US" w:eastAsia="en-US"/>
        </w:rPr>
        <w:t>接地网的垂直接地极采用不小于φ40×4mm,长度2.5m的热镀锌钢管4根，呈直线排列垂直打入土壤中，间距2-2.5m,上端距地面不小于0.8m,钢管之间用扁钢焊接在一起，需两面焊接，焊口作防腐处理(刷黑漆或沥青)。用2根40×4mm扁钢连接接地网和接地端子，扁钢与接地端子之间有连接板连接。接地电阻的阻值不大于10</w:t>
      </w:r>
      <w:r>
        <w:rPr>
          <w:rFonts w:hint="eastAsia" w:ascii="宋体" w:hAnsi="宋体" w:eastAsia="宋体" w:cs="@仿宋_GB2312"/>
          <w:color w:val="auto"/>
          <w:kern w:val="2"/>
          <w:sz w:val="24"/>
          <w:szCs w:val="24"/>
          <w:highlight w:val="none"/>
          <w:lang w:val="en-US" w:eastAsia="zh-CN"/>
        </w:rPr>
        <w:t>Ω</w:t>
      </w:r>
      <w:r>
        <w:rPr>
          <w:rFonts w:hint="eastAsia" w:ascii="宋体" w:hAnsi="宋体" w:eastAsia="宋体" w:cs="@仿宋_GB2312"/>
          <w:color w:val="auto"/>
          <w:kern w:val="2"/>
          <w:sz w:val="24"/>
          <w:szCs w:val="24"/>
          <w:highlight w:val="none"/>
          <w:lang w:val="en-US" w:eastAsia="en-US"/>
        </w:rPr>
        <w:t>。如地阻阻值达不到规范要求，需按上述方法再加一组地极，直至达到规范要求。</w:t>
      </w:r>
    </w:p>
    <w:p w14:paraId="74B93FF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安装位置附近无可利用的接地系统时，必须单独设计地网，地网的制作规格如下：</w:t>
      </w:r>
    </w:p>
    <w:p w14:paraId="6D9BB73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接地体通常使用φ50×4mm镀锌钢管或50mm×5mm热镀锌角钢，接地体之间用40mm×4mm</w:t>
      </w:r>
    </w:p>
    <w:p w14:paraId="3C804D6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热镀锌扁钢可靠焊接，焊接长度大于10cm。</w:t>
      </w:r>
    </w:p>
    <w:p w14:paraId="10A076F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接地体数量根据土质而定，如接地电阻达不到要求，可以增加接地体的数量。</w:t>
      </w:r>
    </w:p>
    <w:p w14:paraId="65A426E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接地体安装完成后，应使用接地摇表测量接地电阻大小，要求接地电阻小于10Ω。</w:t>
      </w:r>
    </w:p>
    <w:p w14:paraId="5550B92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注意雨后不应立即测量电阻。</w:t>
      </w:r>
    </w:p>
    <w:p w14:paraId="7DC9B13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接地体应作完善的防腐处理，接地体外型示意图如下所示：</w:t>
      </w:r>
    </w:p>
    <w:p w14:paraId="451D6DD1">
      <w:pPr>
        <w:numPr>
          <w:ilvl w:val="0"/>
          <w:numId w:val="0"/>
        </w:numPr>
        <w:bidi w:val="0"/>
        <w:ind w:leftChars="0" w:firstLine="420" w:firstLineChars="200"/>
        <w:jc w:val="center"/>
        <w:outlineLvl w:val="9"/>
        <w:rPr>
          <w:rFonts w:hint="eastAsia" w:eastAsia="宋体"/>
          <w:color w:val="auto"/>
          <w:sz w:val="21"/>
          <w:szCs w:val="21"/>
          <w:highlight w:val="none"/>
          <w:lang w:eastAsia="zh-CN"/>
        </w:rPr>
      </w:pPr>
      <w:r>
        <w:rPr>
          <w:rFonts w:hint="eastAsia" w:eastAsia="宋体"/>
          <w:color w:val="auto"/>
          <w:sz w:val="21"/>
          <w:szCs w:val="21"/>
          <w:highlight w:val="none"/>
          <w:lang w:eastAsia="zh-CN"/>
        </w:rPr>
        <w:drawing>
          <wp:inline distT="0" distB="0" distL="114300" distR="114300">
            <wp:extent cx="4666615" cy="2752725"/>
            <wp:effectExtent l="9525" t="9525" r="10160" b="19050"/>
            <wp:docPr id="1" name="图片 1" descr="174055217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40552178900"/>
                    <pic:cNvPicPr>
                      <a:picLocks noChangeAspect="1"/>
                    </pic:cNvPicPr>
                  </pic:nvPicPr>
                  <pic:blipFill>
                    <a:blip r:embed="rId10"/>
                    <a:stretch>
                      <a:fillRect/>
                    </a:stretch>
                  </pic:blipFill>
                  <pic:spPr>
                    <a:xfrm>
                      <a:off x="0" y="0"/>
                      <a:ext cx="4666615" cy="2752725"/>
                    </a:xfrm>
                    <a:prstGeom prst="rect">
                      <a:avLst/>
                    </a:prstGeom>
                    <a:noFill/>
                    <a:ln w="9525" cap="flat" cmpd="sng">
                      <a:solidFill>
                        <a:srgbClr val="000000"/>
                      </a:solidFill>
                      <a:prstDash val="solid"/>
                      <a:round/>
                      <a:headEnd type="none" w="med" len="med"/>
                      <a:tailEnd type="none" w="med" len="med"/>
                    </a:ln>
                  </pic:spPr>
                </pic:pic>
              </a:graphicData>
            </a:graphic>
          </wp:inline>
        </w:drawing>
      </w:r>
    </w:p>
    <w:p w14:paraId="78CE4FF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t>工艺要求</w:t>
      </w:r>
      <w:r>
        <w:rPr>
          <w:rFonts w:hint="eastAsia" w:cs="@仿宋_GB2312"/>
          <w:color w:val="auto"/>
          <w:kern w:val="2"/>
          <w:sz w:val="24"/>
          <w:szCs w:val="24"/>
          <w:highlight w:val="none"/>
          <w:lang w:val="en-US" w:eastAsia="zh-CN"/>
        </w:rPr>
        <w:t>:</w:t>
      </w:r>
      <w:r>
        <w:rPr>
          <w:rFonts w:hint="eastAsia" w:ascii="宋体" w:hAnsi="宋体" w:eastAsia="宋体" w:cs="@仿宋_GB2312"/>
          <w:color w:val="auto"/>
          <w:kern w:val="2"/>
          <w:sz w:val="24"/>
          <w:szCs w:val="24"/>
          <w:highlight w:val="none"/>
          <w:lang w:val="en-US" w:eastAsia="en-US"/>
        </w:rPr>
        <w:t>A.所有接地扁钢材料均须经热镀锌处理，接地扁钢采用50×4mm扁钢。B.所有垂直接地极采用热镀锌钢管，不小于50×4mm,长度不小于2.5m。C.接地线的连接应采用焊接，焊接处应作防腐处理，露出地面的地线和接头应采用防锈措施，如刷沥青、黑漆等。</w:t>
      </w:r>
    </w:p>
    <w:p w14:paraId="09F13E0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r>
        <w:rPr>
          <w:rFonts w:hint="eastAsia" w:ascii="宋体" w:hAnsi="宋体" w:eastAsia="宋体" w:cs="@仿宋_GB2312"/>
          <w:color w:val="auto"/>
          <w:kern w:val="2"/>
          <w:sz w:val="24"/>
          <w:szCs w:val="24"/>
          <w:highlight w:val="none"/>
          <w:lang w:val="en-US" w:eastAsia="en-US"/>
        </w:rPr>
        <w:t>安装要求</w:t>
      </w:r>
      <w:r>
        <w:rPr>
          <w:rFonts w:hint="eastAsia" w:cs="@仿宋_GB2312"/>
          <w:color w:val="auto"/>
          <w:kern w:val="2"/>
          <w:sz w:val="24"/>
          <w:szCs w:val="24"/>
          <w:highlight w:val="none"/>
          <w:lang w:val="en-US" w:eastAsia="zh-CN"/>
        </w:rPr>
        <w:t>:</w:t>
      </w:r>
      <w:r>
        <w:rPr>
          <w:rFonts w:hint="eastAsia" w:ascii="宋体" w:hAnsi="宋体" w:eastAsia="宋体" w:cs="@仿宋_GB2312"/>
          <w:color w:val="auto"/>
          <w:kern w:val="2"/>
          <w:sz w:val="24"/>
          <w:szCs w:val="24"/>
          <w:highlight w:val="none"/>
          <w:lang w:val="en-US" w:eastAsia="en-US"/>
        </w:rPr>
        <w:t>应符合现行国家标准《电气装置安装工程电缆线路施工及验收规范》的有关规定；接地体的焊接应采用搭焊，搭焊长度为圆钢直径的6倍；接地体安装点下方应无任何管道、线缆经过。</w:t>
      </w:r>
    </w:p>
    <w:p w14:paraId="02F8DF67">
      <w:pPr>
        <w:rPr>
          <w:rFonts w:hint="default"/>
          <w:color w:val="auto"/>
          <w:highlight w:val="none"/>
          <w:lang w:val="en-US" w:eastAsia="zh-CN"/>
        </w:rPr>
      </w:pPr>
      <w:r>
        <w:rPr>
          <w:rFonts w:hint="default"/>
          <w:color w:val="auto"/>
          <w:highlight w:val="none"/>
          <w:lang w:val="en-US" w:eastAsia="zh-CN"/>
        </w:rPr>
        <w:br w:type="page"/>
      </w:r>
    </w:p>
    <w:p w14:paraId="29F6A880">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4"/>
          <w:highlight w:val="none"/>
          <w:lang w:val="en-US" w:eastAsia="en-US"/>
        </w:rPr>
      </w:pPr>
      <w:r>
        <w:rPr>
          <w:rFonts w:hint="eastAsia" w:ascii="宋体" w:hAnsi="宋体" w:eastAsia="宋体" w:cs="@仿宋_GB2312"/>
          <w:b/>
          <w:bCs/>
          <w:color w:val="auto"/>
          <w:kern w:val="2"/>
          <w:sz w:val="24"/>
          <w:szCs w:val="24"/>
          <w:highlight w:val="none"/>
          <w:lang w:val="en-US" w:eastAsia="zh-CN"/>
        </w:rPr>
        <w:t>（</w:t>
      </w:r>
      <w:r>
        <w:rPr>
          <w:rFonts w:hint="eastAsia" w:cs="@仿宋_GB2312"/>
          <w:b/>
          <w:bCs/>
          <w:color w:val="auto"/>
          <w:kern w:val="2"/>
          <w:sz w:val="24"/>
          <w:szCs w:val="24"/>
          <w:highlight w:val="none"/>
          <w:lang w:val="en-US" w:eastAsia="zh-CN"/>
        </w:rPr>
        <w:t>3</w:t>
      </w:r>
      <w:r>
        <w:rPr>
          <w:rFonts w:hint="eastAsia" w:ascii="宋体" w:hAnsi="宋体" w:eastAsia="宋体" w:cs="@仿宋_GB2312"/>
          <w:b/>
          <w:bCs/>
          <w:color w:val="auto"/>
          <w:kern w:val="2"/>
          <w:sz w:val="24"/>
          <w:szCs w:val="24"/>
          <w:highlight w:val="none"/>
          <w:lang w:val="en-US" w:eastAsia="zh-CN"/>
        </w:rPr>
        <w:t>）</w:t>
      </w:r>
      <w:r>
        <w:rPr>
          <w:rFonts w:hint="eastAsia" w:cs="@仿宋_GB2312"/>
          <w:b/>
          <w:bCs/>
          <w:color w:val="auto"/>
          <w:kern w:val="2"/>
          <w:sz w:val="24"/>
          <w:szCs w:val="24"/>
          <w:highlight w:val="none"/>
          <w:lang w:val="en-US" w:eastAsia="zh-CN"/>
        </w:rPr>
        <w:t>6米</w:t>
      </w:r>
      <w:r>
        <w:rPr>
          <w:rFonts w:hint="eastAsia" w:ascii="宋体" w:hAnsi="宋体" w:eastAsia="宋体" w:cs="@仿宋_GB2312"/>
          <w:b/>
          <w:bCs/>
          <w:color w:val="auto"/>
          <w:kern w:val="2"/>
          <w:sz w:val="24"/>
          <w:szCs w:val="24"/>
          <w:highlight w:val="none"/>
          <w:lang w:val="en-US" w:eastAsia="en-US"/>
        </w:rPr>
        <w:t>立杆</w:t>
      </w:r>
    </w:p>
    <w:p w14:paraId="1814861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采购人提供的</w:t>
      </w:r>
      <w:r>
        <w:rPr>
          <w:rFonts w:hint="eastAsia" w:cs="@仿宋_GB2312"/>
          <w:color w:val="auto"/>
          <w:kern w:val="2"/>
          <w:sz w:val="24"/>
          <w:szCs w:val="24"/>
          <w:highlight w:val="none"/>
          <w:lang w:val="en-US" w:eastAsia="zh-CN"/>
        </w:rPr>
        <w:t>6</w:t>
      </w:r>
      <w:r>
        <w:rPr>
          <w:rFonts w:hint="eastAsia" w:ascii="宋体" w:hAnsi="宋体" w:eastAsia="宋体" w:cs="@仿宋_GB2312"/>
          <w:color w:val="auto"/>
          <w:kern w:val="2"/>
          <w:sz w:val="24"/>
          <w:szCs w:val="24"/>
          <w:highlight w:val="none"/>
          <w:lang w:val="en-US" w:eastAsia="zh-CN"/>
        </w:rPr>
        <w:t>米</w:t>
      </w:r>
      <w:r>
        <w:rPr>
          <w:rFonts w:hint="eastAsia" w:ascii="宋体" w:hAnsi="宋体" w:eastAsia="宋体" w:cs="@仿宋_GB2312"/>
          <w:color w:val="auto"/>
          <w:kern w:val="2"/>
          <w:sz w:val="24"/>
          <w:szCs w:val="24"/>
          <w:highlight w:val="none"/>
          <w:lang w:val="en-US" w:eastAsia="en-US"/>
        </w:rPr>
        <w:t>立杆</w:t>
      </w:r>
      <w:r>
        <w:rPr>
          <w:rFonts w:hint="eastAsia" w:ascii="宋体" w:hAnsi="宋体" w:eastAsia="宋体" w:cs="@仿宋_GB2312"/>
          <w:color w:val="auto"/>
          <w:kern w:val="2"/>
          <w:sz w:val="24"/>
          <w:szCs w:val="24"/>
          <w:highlight w:val="none"/>
          <w:lang w:val="en-US" w:eastAsia="zh-CN"/>
        </w:rPr>
        <w:t>原设计图如下，供供应商参考编制改造图纸和基础图纸使用。</w:t>
      </w:r>
    </w:p>
    <w:p w14:paraId="67713F52">
      <w:pPr>
        <w:bidi w:val="0"/>
        <w:ind w:firstLine="400" w:firstLineChars="200"/>
        <w:jc w:val="left"/>
        <w:outlineLvl w:val="9"/>
        <w:rPr>
          <w:rFonts w:hint="eastAsia"/>
          <w:b/>
          <w:bCs/>
          <w:strike/>
          <w:dstrike w:val="0"/>
          <w:color w:val="auto"/>
          <w:highlight w:val="none"/>
          <w:lang w:val="en-US" w:eastAsia="zh-CN"/>
        </w:rPr>
      </w:pPr>
      <w:r>
        <w:drawing>
          <wp:inline distT="0" distB="0" distL="114300" distR="114300">
            <wp:extent cx="5272405" cy="3864610"/>
            <wp:effectExtent l="0" t="0" r="10795" b="889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272405" cy="3864610"/>
                    </a:xfrm>
                    <a:prstGeom prst="rect">
                      <a:avLst/>
                    </a:prstGeom>
                    <a:noFill/>
                    <a:ln>
                      <a:noFill/>
                    </a:ln>
                  </pic:spPr>
                </pic:pic>
              </a:graphicData>
            </a:graphic>
          </wp:inline>
        </w:drawing>
      </w:r>
    </w:p>
    <w:p w14:paraId="0B95C36A">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4"/>
          <w:highlight w:val="none"/>
          <w:lang w:val="en-US" w:eastAsia="zh-CN"/>
        </w:rPr>
      </w:pPr>
      <w:r>
        <w:rPr>
          <w:rFonts w:hint="eastAsia" w:ascii="宋体" w:hAnsi="宋体" w:eastAsia="宋体" w:cs="@仿宋_GB2312"/>
          <w:b/>
          <w:bCs/>
          <w:color w:val="auto"/>
          <w:kern w:val="2"/>
          <w:sz w:val="24"/>
          <w:szCs w:val="24"/>
          <w:highlight w:val="none"/>
          <w:lang w:val="en-US" w:eastAsia="zh-CN"/>
        </w:rPr>
        <w:t xml:space="preserve">   （4）</w:t>
      </w:r>
      <w:r>
        <w:rPr>
          <w:rFonts w:hint="eastAsia" w:cs="@仿宋_GB2312"/>
          <w:b/>
          <w:bCs/>
          <w:color w:val="auto"/>
          <w:kern w:val="2"/>
          <w:sz w:val="24"/>
          <w:szCs w:val="24"/>
          <w:highlight w:val="none"/>
          <w:lang w:val="en-US" w:eastAsia="zh-CN"/>
        </w:rPr>
        <w:t>6</w:t>
      </w:r>
      <w:r>
        <w:rPr>
          <w:rFonts w:hint="eastAsia" w:ascii="宋体" w:hAnsi="宋体" w:eastAsia="宋体" w:cs="@仿宋_GB2312"/>
          <w:b/>
          <w:bCs/>
          <w:color w:val="auto"/>
          <w:kern w:val="2"/>
          <w:sz w:val="24"/>
          <w:szCs w:val="24"/>
          <w:highlight w:val="none"/>
          <w:lang w:val="en-US" w:eastAsia="zh-CN"/>
        </w:rPr>
        <w:t>米杆基础</w:t>
      </w:r>
    </w:p>
    <w:p w14:paraId="6196DF0B">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_GB2312"/>
          <w:b/>
          <w:bCs/>
          <w:color w:val="auto"/>
          <w:kern w:val="2"/>
          <w:sz w:val="24"/>
          <w:szCs w:val="24"/>
          <w:highlight w:val="none"/>
          <w:lang w:val="en-US" w:eastAsia="zh-CN"/>
        </w:rPr>
      </w:pPr>
      <w:r>
        <w:rPr>
          <w:rFonts w:hint="eastAsia" w:ascii="宋体" w:hAnsi="宋体" w:eastAsia="宋体" w:cs="@仿宋_GB2312"/>
          <w:b/>
          <w:bCs/>
          <w:color w:val="auto"/>
          <w:kern w:val="2"/>
          <w:sz w:val="24"/>
          <w:szCs w:val="24"/>
          <w:highlight w:val="none"/>
          <w:lang w:val="en-US" w:eastAsia="en-US"/>
        </w:rPr>
        <w:t>基槽开挖与回填</w:t>
      </w:r>
      <w:r>
        <w:rPr>
          <w:rFonts w:hint="eastAsia" w:ascii="宋体" w:hAnsi="宋体" w:eastAsia="宋体" w:cs="@仿宋_GB2312"/>
          <w:b/>
          <w:bCs/>
          <w:color w:val="auto"/>
          <w:kern w:val="2"/>
          <w:sz w:val="24"/>
          <w:szCs w:val="24"/>
          <w:highlight w:val="none"/>
          <w:lang w:val="en-US" w:eastAsia="zh-CN"/>
        </w:rPr>
        <w:t>、</w:t>
      </w:r>
      <w:r>
        <w:rPr>
          <w:rFonts w:hint="eastAsia" w:ascii="宋体" w:hAnsi="宋体" w:eastAsia="宋体" w:cs="@仿宋_GB2312"/>
          <w:b/>
          <w:bCs/>
          <w:color w:val="auto"/>
          <w:kern w:val="2"/>
          <w:sz w:val="24"/>
          <w:szCs w:val="24"/>
          <w:highlight w:val="none"/>
          <w:lang w:val="en-US" w:eastAsia="en-US"/>
        </w:rPr>
        <w:t>基槽降水</w:t>
      </w:r>
      <w:r>
        <w:rPr>
          <w:rFonts w:hint="eastAsia" w:ascii="宋体" w:hAnsi="宋体" w:eastAsia="宋体" w:cs="@仿宋_GB2312"/>
          <w:b/>
          <w:bCs/>
          <w:color w:val="auto"/>
          <w:kern w:val="2"/>
          <w:sz w:val="24"/>
          <w:szCs w:val="24"/>
          <w:highlight w:val="none"/>
          <w:lang w:val="en-US" w:eastAsia="zh-CN"/>
        </w:rPr>
        <w:t>、</w:t>
      </w:r>
      <w:r>
        <w:rPr>
          <w:rFonts w:hint="eastAsia" w:ascii="宋体" w:hAnsi="宋体" w:eastAsia="宋体" w:cs="@仿宋_GB2312"/>
          <w:b/>
          <w:bCs/>
          <w:color w:val="auto"/>
          <w:kern w:val="2"/>
          <w:sz w:val="24"/>
          <w:szCs w:val="24"/>
          <w:highlight w:val="none"/>
          <w:lang w:val="en-US" w:eastAsia="en-US"/>
        </w:rPr>
        <w:t>混凝土与钢筋</w:t>
      </w:r>
      <w:r>
        <w:rPr>
          <w:rFonts w:hint="eastAsia" w:ascii="宋体" w:hAnsi="宋体" w:eastAsia="宋体" w:cs="@仿宋_GB2312"/>
          <w:b/>
          <w:bCs/>
          <w:color w:val="auto"/>
          <w:kern w:val="2"/>
          <w:sz w:val="24"/>
          <w:szCs w:val="24"/>
          <w:highlight w:val="none"/>
          <w:lang w:val="en-US" w:eastAsia="zh-CN"/>
        </w:rPr>
        <w:t>、</w:t>
      </w:r>
      <w:r>
        <w:rPr>
          <w:rFonts w:hint="eastAsia" w:ascii="宋体" w:hAnsi="宋体" w:eastAsia="宋体" w:cs="@仿宋_GB2312"/>
          <w:b/>
          <w:bCs/>
          <w:color w:val="auto"/>
          <w:kern w:val="2"/>
          <w:sz w:val="24"/>
          <w:szCs w:val="24"/>
          <w:highlight w:val="none"/>
          <w:lang w:val="en-US" w:eastAsia="en-US"/>
        </w:rPr>
        <w:t>防雷及接地</w:t>
      </w:r>
      <w:r>
        <w:rPr>
          <w:rFonts w:hint="eastAsia" w:cs="@仿宋_GB2312"/>
          <w:b/>
          <w:bCs/>
          <w:color w:val="auto"/>
          <w:kern w:val="2"/>
          <w:sz w:val="24"/>
          <w:szCs w:val="24"/>
          <w:highlight w:val="none"/>
          <w:lang w:val="en-US" w:eastAsia="zh-CN"/>
        </w:rPr>
        <w:t>等按照要求参照12米立杆。</w:t>
      </w:r>
    </w:p>
    <w:p w14:paraId="398EFBFC">
      <w:pPr>
        <w:tabs>
          <w:tab w:val="left" w:pos="7840"/>
        </w:tabs>
        <w:adjustRightInd w:val="0"/>
        <w:snapToGrid w:val="0"/>
        <w:spacing w:line="400" w:lineRule="exact"/>
        <w:ind w:firstLine="482" w:firstLineChars="200"/>
        <w:rPr>
          <w:rFonts w:hint="default"/>
          <w:b/>
          <w:bCs/>
          <w:color w:val="auto"/>
          <w:sz w:val="24"/>
          <w:szCs w:val="24"/>
          <w:highlight w:val="none"/>
          <w:lang w:val="en-US" w:eastAsia="zh-CN"/>
        </w:rPr>
      </w:pPr>
      <w:r>
        <w:rPr>
          <w:rFonts w:hint="eastAsia" w:cs="@仿宋_GB2312"/>
          <w:b/>
          <w:bCs/>
          <w:color w:val="auto"/>
          <w:kern w:val="2"/>
          <w:sz w:val="24"/>
          <w:szCs w:val="24"/>
          <w:highlight w:val="none"/>
          <w:lang w:val="en-US" w:eastAsia="zh-CN"/>
        </w:rPr>
        <w:t>混凝土与钢筋的要求：</w:t>
      </w:r>
      <w:r>
        <w:rPr>
          <w:rFonts w:hint="eastAsia"/>
          <w:b/>
          <w:bCs/>
          <w:color w:val="auto"/>
          <w:sz w:val="24"/>
          <w:szCs w:val="24"/>
          <w:highlight w:val="none"/>
          <w:lang w:val="en-US" w:eastAsia="zh-CN"/>
        </w:rPr>
        <w:t>C35商混基础，尺寸不小于800mm*800mm*1000mm</w:t>
      </w:r>
      <w:r>
        <w:rPr>
          <w:rFonts w:hint="eastAsia"/>
          <w:b/>
          <w:bCs/>
          <w:color w:val="auto"/>
          <w:sz w:val="24"/>
          <w:szCs w:val="24"/>
          <w:highlight w:val="none"/>
          <w:lang w:eastAsia="zh-CN"/>
        </w:rPr>
        <w:t>；</w:t>
      </w:r>
      <w:r>
        <w:rPr>
          <w:rFonts w:hint="eastAsia"/>
          <w:b/>
          <w:bCs/>
          <w:color w:val="auto"/>
          <w:sz w:val="24"/>
          <w:szCs w:val="24"/>
          <w:highlight w:val="none"/>
          <w:lang w:val="en-US" w:eastAsia="zh-CN"/>
        </w:rPr>
        <w:t>若现场条件不允许商混进场，可下降至C25自拌基础，尺寸不小于800mm*800mm*1300mm。</w:t>
      </w:r>
    </w:p>
    <w:p w14:paraId="3AAC7BB2">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4"/>
          <w:highlight w:val="none"/>
          <w:lang w:val="en-US" w:eastAsia="zh-CN"/>
        </w:rPr>
      </w:pPr>
    </w:p>
    <w:p w14:paraId="66FDB72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4"/>
          <w:highlight w:val="none"/>
          <w:lang w:val="en-US" w:eastAsia="en-US"/>
        </w:rPr>
      </w:pPr>
      <w:r>
        <w:rPr>
          <w:rFonts w:hint="eastAsia" w:ascii="宋体" w:hAnsi="宋体" w:eastAsia="宋体" w:cs="@仿宋_GB2312"/>
          <w:color w:val="auto"/>
          <w:kern w:val="2"/>
          <w:sz w:val="24"/>
          <w:szCs w:val="24"/>
          <w:highlight w:val="none"/>
          <w:lang w:val="en-US" w:eastAsia="en-US"/>
        </w:rPr>
        <w:br w:type="page"/>
      </w:r>
    </w:p>
    <w:p w14:paraId="2F42A061">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en-US"/>
        </w:rPr>
      </w:pPr>
      <w:bookmarkStart w:id="35" w:name="_Toc45806494"/>
      <w:bookmarkStart w:id="36" w:name="_Toc45885019"/>
      <w:bookmarkStart w:id="37" w:name="_Toc45885521"/>
      <w:bookmarkStart w:id="38" w:name="_Toc45885223"/>
      <w:r>
        <w:rPr>
          <w:rFonts w:hint="eastAsia" w:ascii="宋体" w:hAnsi="宋体" w:eastAsia="宋体" w:cs="@仿宋_GB2312"/>
          <w:b/>
          <w:bCs/>
          <w:color w:val="auto"/>
          <w:kern w:val="2"/>
          <w:sz w:val="24"/>
          <w:szCs w:val="22"/>
          <w:highlight w:val="none"/>
          <w:lang w:val="en-US" w:eastAsia="zh-CN"/>
        </w:rPr>
        <w:t xml:space="preserve">2.5 </w:t>
      </w:r>
      <w:r>
        <w:rPr>
          <w:rFonts w:hint="eastAsia" w:ascii="宋体" w:hAnsi="宋体" w:eastAsia="宋体" w:cs="@仿宋_GB2312"/>
          <w:b/>
          <w:bCs/>
          <w:color w:val="auto"/>
          <w:kern w:val="2"/>
          <w:sz w:val="24"/>
          <w:szCs w:val="22"/>
          <w:highlight w:val="none"/>
          <w:lang w:val="en-US" w:eastAsia="en-US"/>
        </w:rPr>
        <w:t>光纤</w:t>
      </w:r>
      <w:bookmarkEnd w:id="35"/>
      <w:bookmarkEnd w:id="36"/>
      <w:bookmarkEnd w:id="37"/>
      <w:bookmarkEnd w:id="38"/>
      <w:r>
        <w:rPr>
          <w:rFonts w:hint="eastAsia" w:ascii="宋体" w:hAnsi="宋体" w:eastAsia="宋体" w:cs="@仿宋_GB2312"/>
          <w:b/>
          <w:bCs/>
          <w:color w:val="auto"/>
          <w:kern w:val="2"/>
          <w:sz w:val="24"/>
          <w:szCs w:val="22"/>
          <w:highlight w:val="none"/>
          <w:lang w:val="en-US" w:eastAsia="zh-CN"/>
        </w:rPr>
        <w:t>检修及敷设</w:t>
      </w:r>
    </w:p>
    <w:p w14:paraId="749B497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bookmarkStart w:id="39" w:name="_Toc45885522"/>
      <w:bookmarkStart w:id="40" w:name="_Toc45885224"/>
      <w:r>
        <w:rPr>
          <w:rFonts w:hint="eastAsia" w:cs="@仿宋_GB2312"/>
          <w:color w:val="auto"/>
          <w:kern w:val="2"/>
          <w:sz w:val="24"/>
          <w:szCs w:val="22"/>
          <w:highlight w:val="none"/>
          <w:lang w:val="en-US" w:eastAsia="zh-CN"/>
        </w:rPr>
        <w:t>2.5</w:t>
      </w: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en-US"/>
        </w:rPr>
        <w:t>施工机具及材料</w:t>
      </w:r>
      <w:bookmarkEnd w:id="39"/>
      <w:bookmarkEnd w:id="40"/>
    </w:p>
    <w:p w14:paraId="3D519C6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电缆开沟机、光纤熔接机、光时域放射仪、光纤接头盒等、单模光缆、软土细沙、水泥砂浆等主要机具及材料。</w:t>
      </w:r>
    </w:p>
    <w:p w14:paraId="2D63660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bookmarkStart w:id="41" w:name="_Toc45885524"/>
      <w:bookmarkStart w:id="42" w:name="_Toc45885226"/>
      <w:r>
        <w:rPr>
          <w:rFonts w:hint="eastAsia" w:cs="@仿宋_GB2312"/>
          <w:color w:val="auto"/>
          <w:kern w:val="2"/>
          <w:sz w:val="24"/>
          <w:szCs w:val="22"/>
          <w:highlight w:val="none"/>
          <w:lang w:val="en-US" w:eastAsia="zh-CN"/>
        </w:rPr>
        <w:t>2.5</w:t>
      </w: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en-US"/>
        </w:rPr>
        <w:t>工艺要求</w:t>
      </w:r>
      <w:bookmarkEnd w:id="41"/>
      <w:bookmarkEnd w:id="42"/>
    </w:p>
    <w:p w14:paraId="511F5A5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en-US"/>
        </w:rPr>
        <w:t>路由复测</w:t>
      </w:r>
    </w:p>
    <w:p w14:paraId="1AAA7A2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en-US"/>
        </w:rPr>
        <w:t>核定光缆路由的具体走向、敷设方式、环境条件及接头的具体地点，是否符合施工图设计。</w:t>
      </w:r>
    </w:p>
    <w:p w14:paraId="4B3F79B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en-US"/>
        </w:rPr>
        <w:t>核定地面距离和中继段长度。</w:t>
      </w:r>
    </w:p>
    <w:p w14:paraId="3155841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en-US"/>
        </w:rPr>
        <w:t>核定光缆穿越障碍物需要采取防护措施地段的具体位置和处理措施。</w:t>
      </w:r>
    </w:p>
    <w:p w14:paraId="65B5378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zh-CN"/>
        </w:rPr>
        <w:t>核定光缆沟坎、护坎、护坡、堵塞等光缆保护的地点、地段和数量。</w:t>
      </w:r>
    </w:p>
    <w:p w14:paraId="6A3ED4C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zh-CN"/>
        </w:rPr>
        <w:t>光缆与其他设备设施、树木、建筑物及地下管等最小距离要符合设计要求。</w:t>
      </w:r>
    </w:p>
    <w:p w14:paraId="2287FD9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zh-CN"/>
        </w:rPr>
        <w:t>光缆的路由走向、敷设位置及接续点应保证安全可靠，便于施工、维护。</w:t>
      </w:r>
    </w:p>
    <w:p w14:paraId="680707F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开挖缆沟</w:t>
      </w:r>
    </w:p>
    <w:p w14:paraId="09E9D3D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开挖缆沟前，应根据批准的施工图，沿路由撒放灰线，直线段灰线撒放应顺直，不应有蛇形弯或脱节现场。</w:t>
      </w:r>
    </w:p>
    <w:p w14:paraId="7825BBB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缆沟沟深符合设计要求。</w:t>
      </w:r>
    </w:p>
    <w:p w14:paraId="284F597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zh-CN"/>
        </w:rPr>
        <w:t>光缆敷设方式</w:t>
      </w:r>
    </w:p>
    <w:p w14:paraId="2462E99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1)全成端方式</w:t>
      </w:r>
    </w:p>
    <w:p w14:paraId="60CAF0B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pict>
          <v:shape id="对象 33" o:spid="_x0000_s1027" o:spt="75" type="#_x0000_t75" style="position:absolute;left:0pt;margin-left:76.55pt;margin-top:97.05pt;height:58pt;width:272.5pt;mso-wrap-distance-bottom:0pt;mso-wrap-distance-top:0pt;z-index:251662336;mso-width-relative:page;mso-height-relative:page;" o:ole="t" filled="f" o:preferrelative="t" stroked="f" coordsize="21600,21600">
            <v:path/>
            <v:fill on="f" focussize="0,0"/>
            <v:stroke on="f"/>
            <v:imagedata r:id="rId13" o:title=""/>
            <o:lock v:ext="edit" aspectratio="t"/>
            <w10:wrap type="topAndBottom"/>
          </v:shape>
          <o:OLEObject Type="Embed" ProgID="" ShapeID="对象 33" DrawAspect="Content" ObjectID="_1468075725" r:id="rId12">
            <o:LockedField>false</o:LockedField>
          </o:OLEObject>
        </w:pict>
      </w:r>
      <w:r>
        <w:rPr>
          <w:rFonts w:hint="eastAsia" w:ascii="宋体" w:hAnsi="宋体" w:eastAsia="宋体" w:cs="@仿宋_GB2312"/>
          <w:color w:val="auto"/>
          <w:kern w:val="2"/>
          <w:sz w:val="24"/>
          <w:szCs w:val="22"/>
          <w:highlight w:val="none"/>
          <w:lang w:val="en-US" w:eastAsia="zh-CN"/>
        </w:rPr>
        <w:t>本工程光缆成端采用全进全出的纤芯方式，即双方向的光缆全部进入综合配线架，光纤全部在光配线架上成端，组网时在光配线架上进行跳接，全成端方式如图3.1-1所示。</w:t>
      </w:r>
    </w:p>
    <w:p w14:paraId="50D3CF95">
      <w:pPr>
        <w:pStyle w:val="75"/>
        <w:tabs>
          <w:tab w:val="left" w:pos="7840"/>
        </w:tabs>
        <w:adjustRightInd w:val="0"/>
        <w:snapToGrid w:val="0"/>
        <w:spacing w:line="400" w:lineRule="exact"/>
        <w:ind w:left="0" w:firstLine="400" w:firstLineChars="200"/>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图3.1-1光缆全成端方式示意</w:t>
      </w:r>
    </w:p>
    <w:p w14:paraId="0E1EA67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2)掏接方式</w:t>
      </w:r>
    </w:p>
    <w:p w14:paraId="2836663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drawing>
          <wp:anchor distT="0" distB="0" distL="114300" distR="114300" simplePos="0" relativeHeight="251661312" behindDoc="0" locked="0" layoutInCell="1" allowOverlap="1">
            <wp:simplePos x="0" y="0"/>
            <wp:positionH relativeFrom="margin">
              <wp:posOffset>1435100</wp:posOffset>
            </wp:positionH>
            <wp:positionV relativeFrom="paragraph">
              <wp:posOffset>902970</wp:posOffset>
            </wp:positionV>
            <wp:extent cx="2814955" cy="1200785"/>
            <wp:effectExtent l="0" t="0" r="4445" b="5715"/>
            <wp:wrapTopAndBottom/>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14"/>
                    <a:stretch>
                      <a:fillRect/>
                    </a:stretch>
                  </pic:blipFill>
                  <pic:spPr>
                    <a:xfrm>
                      <a:off x="0" y="0"/>
                      <a:ext cx="2814955" cy="1200785"/>
                    </a:xfrm>
                    <a:prstGeom prst="rect">
                      <a:avLst/>
                    </a:prstGeom>
                    <a:noFill/>
                    <a:ln>
                      <a:noFill/>
                    </a:ln>
                  </pic:spPr>
                </pic:pic>
              </a:graphicData>
            </a:graphic>
          </wp:anchor>
        </w:drawing>
      </w:r>
      <w:r>
        <w:rPr>
          <w:rFonts w:hint="eastAsia" w:ascii="宋体" w:hAnsi="宋体" w:eastAsia="宋体" w:cs="@仿宋_GB2312"/>
          <w:color w:val="auto"/>
          <w:kern w:val="2"/>
          <w:sz w:val="24"/>
          <w:szCs w:val="22"/>
          <w:highlight w:val="none"/>
          <w:lang w:val="en-US" w:eastAsia="zh-CN"/>
        </w:rPr>
        <w:t>当光缆经过某涵闸且该涵闸有使用纤芯需求时，采取掏接方式，即将该涵闸需要的光纤在局前最近接头盒位置掏接布放至节点，上光配线架(ODF)，其它过路光纤不进节点，光缆掏接方式如图3.2-2所示。</w:t>
      </w:r>
    </w:p>
    <w:p w14:paraId="6A4229FD">
      <w:pPr>
        <w:tabs>
          <w:tab w:val="left" w:pos="7840"/>
        </w:tabs>
        <w:adjustRightInd w:val="0"/>
        <w:snapToGrid w:val="0"/>
        <w:spacing w:line="400" w:lineRule="exact"/>
        <w:ind w:left="0" w:leftChars="0" w:firstLine="400" w:firstLineChars="200"/>
        <w:jc w:val="center"/>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图3.2-2光缆掏接方式示意图</w:t>
      </w:r>
    </w:p>
    <w:p w14:paraId="6C49272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3)沿堤肩敷设方式</w:t>
      </w:r>
    </w:p>
    <w:p w14:paraId="5DDF184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仿宋_GB2312"/>
          <w:color w:val="auto"/>
          <w:kern w:val="2"/>
          <w:sz w:val="24"/>
          <w:szCs w:val="22"/>
          <w:highlight w:val="none"/>
          <w:lang w:val="en-US" w:eastAsia="zh-CN"/>
        </w:rPr>
        <w:t>新建光缆原则上埋设在河道内侧护堤地，沿堤脚线走向，距堤脚线0.5米，具体如图3.3-3所示。</w:t>
      </w:r>
    </w:p>
    <w:p w14:paraId="17E1AAF2">
      <w:pPr>
        <w:tabs>
          <w:tab w:val="left" w:pos="7840"/>
        </w:tabs>
        <w:adjustRightInd w:val="0"/>
        <w:snapToGrid w:val="0"/>
        <w:spacing w:line="400" w:lineRule="exact"/>
        <w:ind w:firstLine="480" w:firstLineChars="200"/>
        <w:jc w:val="center"/>
        <w:outlineLvl w:val="9"/>
        <w:rPr>
          <w:rFonts w:hint="eastAsia" w:ascii="宋体" w:hAnsi="宋体" w:eastAsia="宋体" w:cs="宋体"/>
          <w:color w:val="auto"/>
          <w:szCs w:val="21"/>
          <w:highlight w:val="none"/>
        </w:rPr>
      </w:pPr>
      <w:r>
        <w:rPr>
          <w:rFonts w:hint="eastAsia" w:ascii="宋体" w:hAnsi="宋体" w:eastAsia="宋体" w:cs="@仿宋_GB2312"/>
          <w:color w:val="auto"/>
          <w:kern w:val="2"/>
          <w:sz w:val="24"/>
          <w:szCs w:val="22"/>
          <w:highlight w:val="none"/>
          <w:lang w:val="en-US" w:eastAsia="zh-CN"/>
        </w:rPr>
        <w:drawing>
          <wp:anchor distT="0" distB="0" distL="114300" distR="114300" simplePos="0" relativeHeight="251659264" behindDoc="0" locked="0" layoutInCell="1" allowOverlap="1">
            <wp:simplePos x="0" y="0"/>
            <wp:positionH relativeFrom="margin">
              <wp:posOffset>1166495</wp:posOffset>
            </wp:positionH>
            <wp:positionV relativeFrom="paragraph">
              <wp:posOffset>229235</wp:posOffset>
            </wp:positionV>
            <wp:extent cx="2792095" cy="1126490"/>
            <wp:effectExtent l="0" t="0" r="1905" b="3810"/>
            <wp:wrapTopAndBottom/>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a:stretch>
                      <a:fillRect/>
                    </a:stretch>
                  </pic:blipFill>
                  <pic:spPr>
                    <a:xfrm>
                      <a:off x="0" y="0"/>
                      <a:ext cx="2792095" cy="1126490"/>
                    </a:xfrm>
                    <a:prstGeom prst="rect">
                      <a:avLst/>
                    </a:prstGeom>
                    <a:noFill/>
                    <a:ln>
                      <a:noFill/>
                    </a:ln>
                  </pic:spPr>
                </pic:pic>
              </a:graphicData>
            </a:graphic>
          </wp:anchor>
        </w:drawing>
      </w:r>
      <w:r>
        <w:rPr>
          <w:rFonts w:hint="eastAsia" w:ascii="宋体" w:hAnsi="宋体" w:eastAsia="宋体" w:cs="宋体"/>
          <w:color w:val="auto"/>
          <w:szCs w:val="21"/>
          <w:highlight w:val="none"/>
        </w:rPr>
        <w:t>图3.3-3光缆敷设示意图</w:t>
      </w:r>
    </w:p>
    <w:p w14:paraId="0230945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4)光缆经过桥、涵闸时的敷设方式</w:t>
      </w:r>
    </w:p>
    <w:p w14:paraId="4A4AC29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drawing>
          <wp:anchor distT="0" distB="0" distL="114300" distR="114300" simplePos="0" relativeHeight="251660288" behindDoc="0" locked="0" layoutInCell="1" allowOverlap="1">
            <wp:simplePos x="0" y="0"/>
            <wp:positionH relativeFrom="margin">
              <wp:posOffset>1570990</wp:posOffset>
            </wp:positionH>
            <wp:positionV relativeFrom="paragraph">
              <wp:posOffset>645795</wp:posOffset>
            </wp:positionV>
            <wp:extent cx="2447925" cy="1140460"/>
            <wp:effectExtent l="0" t="0" r="3175" b="2540"/>
            <wp:wrapTopAndBottom/>
            <wp:docPr id="17" name="图片 5" descr="wps2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descr="wps2BB2"/>
                    <pic:cNvPicPr>
                      <a:picLocks noChangeAspect="1"/>
                    </pic:cNvPicPr>
                  </pic:nvPicPr>
                  <pic:blipFill>
                    <a:blip r:embed="rId16"/>
                    <a:stretch>
                      <a:fillRect/>
                    </a:stretch>
                  </pic:blipFill>
                  <pic:spPr>
                    <a:xfrm>
                      <a:off x="0" y="0"/>
                      <a:ext cx="2447925" cy="1140460"/>
                    </a:xfrm>
                    <a:prstGeom prst="rect">
                      <a:avLst/>
                    </a:prstGeom>
                    <a:noFill/>
                    <a:ln>
                      <a:noFill/>
                    </a:ln>
                  </pic:spPr>
                </pic:pic>
              </a:graphicData>
            </a:graphic>
          </wp:anchor>
        </w:drawing>
      </w:r>
      <w:r>
        <w:rPr>
          <w:rFonts w:hint="eastAsia" w:ascii="宋体" w:hAnsi="宋体" w:eastAsia="宋体" w:cs="@仿宋_GB2312"/>
          <w:color w:val="auto"/>
          <w:kern w:val="2"/>
          <w:sz w:val="24"/>
          <w:szCs w:val="22"/>
          <w:highlight w:val="none"/>
          <w:lang w:val="en-US" w:eastAsia="zh-CN"/>
        </w:rPr>
        <w:t>光缆在过桥、涵闸口时，侧面桥梁处有足够的空间（高度在50cm以上）时，拟采用三角支架上方敷设钢管的方式敷设，敷设方式如下图3.4-1。</w:t>
      </w:r>
    </w:p>
    <w:p w14:paraId="757D1F84">
      <w:pPr>
        <w:pStyle w:val="276"/>
        <w:spacing w:before="0" w:after="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图3.4-1过桥、涵闸口方式一</w:t>
      </w:r>
    </w:p>
    <w:p w14:paraId="2486A33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2.5</w:t>
      </w:r>
      <w:r>
        <w:rPr>
          <w:rFonts w:hint="eastAsia" w:ascii="宋体" w:hAnsi="宋体" w:eastAsia="宋体" w:cs="@仿宋_GB2312"/>
          <w:color w:val="auto"/>
          <w:kern w:val="2"/>
          <w:sz w:val="24"/>
          <w:szCs w:val="22"/>
          <w:highlight w:val="none"/>
          <w:lang w:val="en-US" w:eastAsia="zh-CN"/>
        </w:rPr>
        <w:t>.3光缆敷设施工要求</w:t>
      </w:r>
    </w:p>
    <w:p w14:paraId="096EB07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zh-CN"/>
        </w:rPr>
        <w:t>光缆埋深不小于0.8m，沟底应平整，并在沟底和光缆上方各铺10cm的软土细沙。光缆穿越机耕路及未定型的土路时，采用横铺红砖保护、缆与公路及易受重压地段采用砼加筋包封。</w:t>
      </w:r>
    </w:p>
    <w:p w14:paraId="606DA2D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光缆应按照设计配盘并结合手井的施工情况进行合理配盘。</w:t>
      </w:r>
    </w:p>
    <w:p w14:paraId="6AD5D32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zh-CN"/>
        </w:rPr>
        <w:t>光缆到货后应进行单盘测试，并将单盘测试记录与光缆出厂测试记录相比较确定合格后归档。</w:t>
      </w:r>
    </w:p>
    <w:p w14:paraId="5BDEB5C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zh-CN"/>
        </w:rPr>
        <w:t>光缆敷设施工中，应当保证光缆外护套的完整性。</w:t>
      </w:r>
    </w:p>
    <w:p w14:paraId="4520FF7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zh-CN"/>
        </w:rPr>
        <w:t>光缆敷设安装的最小曲率半径应符合规定。</w:t>
      </w:r>
    </w:p>
    <w:p w14:paraId="5715B43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zh-CN"/>
        </w:rPr>
        <w:t>光缆如在局部改变外护层结构，且光缆可以满足敷设条件要求的，可不换程式以减少光缆接头。</w:t>
      </w:r>
    </w:p>
    <w:p w14:paraId="17EEE7B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(7)</w:t>
      </w:r>
      <w:r>
        <w:rPr>
          <w:rFonts w:hint="eastAsia" w:ascii="宋体" w:hAnsi="宋体" w:eastAsia="宋体" w:cs="@仿宋_GB2312"/>
          <w:color w:val="auto"/>
          <w:kern w:val="2"/>
          <w:sz w:val="24"/>
          <w:szCs w:val="22"/>
          <w:highlight w:val="none"/>
          <w:lang w:val="en-US" w:eastAsia="zh-CN"/>
        </w:rPr>
        <w:t>整盘光缆可由中间向两边双向布放，也可由一端向另一端连续布放。</w:t>
      </w:r>
    </w:p>
    <w:p w14:paraId="3976367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(8)</w:t>
      </w:r>
      <w:r>
        <w:rPr>
          <w:rFonts w:hint="eastAsia" w:ascii="宋体" w:hAnsi="宋体" w:eastAsia="宋体" w:cs="@仿宋_GB2312"/>
          <w:color w:val="auto"/>
          <w:kern w:val="2"/>
          <w:sz w:val="24"/>
          <w:szCs w:val="22"/>
          <w:highlight w:val="none"/>
          <w:lang w:val="en-US" w:eastAsia="zh-CN"/>
        </w:rPr>
        <w:t>光缆布放完毕，应在各手孔内安装光缆标牌，标牌沿手孔一侧绑扎固定，并采用纵刨塑料管或蛇皮管进行保护。</w:t>
      </w:r>
    </w:p>
    <w:p w14:paraId="732C8DB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(9)</w:t>
      </w:r>
      <w:r>
        <w:rPr>
          <w:rFonts w:hint="eastAsia" w:ascii="宋体" w:hAnsi="宋体" w:eastAsia="宋体" w:cs="@仿宋_GB2312"/>
          <w:color w:val="auto"/>
          <w:kern w:val="2"/>
          <w:sz w:val="24"/>
          <w:szCs w:val="22"/>
          <w:highlight w:val="none"/>
          <w:lang w:val="en-US" w:eastAsia="zh-CN"/>
        </w:rPr>
        <w:t>光缆的预留除设计要求中规定的以外，还应根据建设地实际情况进行设置。光缆预留点已设置手孔的，一般在手孔内作光缆盘留。</w:t>
      </w:r>
    </w:p>
    <w:p w14:paraId="3C3975F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(10)</w:t>
      </w:r>
      <w:r>
        <w:rPr>
          <w:rFonts w:hint="eastAsia" w:ascii="宋体" w:hAnsi="宋体" w:eastAsia="宋体" w:cs="@仿宋_GB2312"/>
          <w:color w:val="auto"/>
          <w:kern w:val="2"/>
          <w:sz w:val="24"/>
          <w:szCs w:val="22"/>
          <w:highlight w:val="none"/>
          <w:lang w:val="en-US" w:eastAsia="zh-CN"/>
        </w:rPr>
        <w:t>在钢管或其他类似材质的管道中敷设光缆时应视情况使用塑料子管以保护光缆。在塑料管道中敷设时，在大孔径塑管中应敷设多根塑料子管以节省空间。</w:t>
      </w:r>
    </w:p>
    <w:p w14:paraId="71ED38D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(11)</w:t>
      </w:r>
      <w:r>
        <w:rPr>
          <w:rFonts w:hint="eastAsia" w:ascii="宋体" w:hAnsi="宋体" w:eastAsia="宋体" w:cs="@仿宋_GB2312"/>
          <w:color w:val="auto"/>
          <w:kern w:val="2"/>
          <w:sz w:val="24"/>
          <w:szCs w:val="22"/>
          <w:highlight w:val="none"/>
          <w:lang w:val="en-US" w:eastAsia="zh-CN"/>
        </w:rPr>
        <w:t>光缆接头盒在手孔内宜安装在常年积水水位以上的位置，采用保护托架或其他方法承托。</w:t>
      </w:r>
    </w:p>
    <w:p w14:paraId="7D78D88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(12)</w:t>
      </w:r>
      <w:r>
        <w:rPr>
          <w:rFonts w:hint="eastAsia" w:ascii="宋体" w:hAnsi="宋体" w:eastAsia="宋体" w:cs="@仿宋_GB2312"/>
          <w:color w:val="auto"/>
          <w:kern w:val="2"/>
          <w:sz w:val="24"/>
          <w:szCs w:val="22"/>
          <w:highlight w:val="none"/>
          <w:lang w:val="en-US" w:eastAsia="zh-CN"/>
        </w:rPr>
        <w:t>对有防水要求的段落应对占用管孔及子管进行可靠的防水封堵，并进行防水渗漏试验，确保无渗漏。</w:t>
      </w:r>
    </w:p>
    <w:p w14:paraId="09D5EFE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2.5</w:t>
      </w:r>
      <w:r>
        <w:rPr>
          <w:rFonts w:hint="eastAsia" w:ascii="宋体" w:hAnsi="宋体" w:eastAsia="宋体" w:cs="@仿宋_GB2312"/>
          <w:color w:val="auto"/>
          <w:kern w:val="2"/>
          <w:sz w:val="24"/>
          <w:szCs w:val="22"/>
          <w:highlight w:val="none"/>
          <w:lang w:val="en-US" w:eastAsia="zh-CN"/>
        </w:rPr>
        <w:t>.4光缆接续及接头安装要求</w:t>
      </w:r>
    </w:p>
    <w:p w14:paraId="1DE2D77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zh-CN"/>
        </w:rPr>
        <w:t>光缆接续和测试人员必须经过专门技术培训后，才能上岗工作。</w:t>
      </w:r>
    </w:p>
    <w:p w14:paraId="03873B4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光缆接头的设置，按照光缆配盘情况并尽量减少接头数量，从而减少光纤的衰减和降低工程造价。除正常光缆接续点以外，在光缆需连续引上和引下等光缆单盘连续敷设有困难的特殊地段需要设置光缆接头。</w:t>
      </w:r>
    </w:p>
    <w:p w14:paraId="4889F72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zh-CN"/>
        </w:rPr>
        <w:t>光纤固定接头采用熔接法，且光纤接头衰减应从严控制，光纤接头损耗应达到设计规定值：单纤平均接头损耗≤0.06dB。</w:t>
      </w:r>
    </w:p>
    <w:p w14:paraId="085C57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zh-CN"/>
        </w:rPr>
        <w:t>光缆加强件在接头处应有强度可靠的连接（高压感应区、雷区等需要采用防护措施的特殊地段除外），接头盒设置地点应考虑安全、稳固，应设置在安全和便于维护抢修的地点，尽量避免设置在桥涵、水底等地点。</w:t>
      </w:r>
    </w:p>
    <w:p w14:paraId="06D3C36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zh-CN"/>
        </w:rPr>
        <w:t>管道光缆接头在手孔中位置的确定，应便于施工维护。</w:t>
      </w:r>
    </w:p>
    <w:p w14:paraId="48E399F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zh-CN"/>
        </w:rPr>
        <w:t>光缆接续前应核对光纤纤序，光纤接续后不得出现纤序错接，另需放置按规定标识的接续卡。</w:t>
      </w:r>
    </w:p>
    <w:p w14:paraId="15E53BD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(7)</w:t>
      </w:r>
      <w:r>
        <w:rPr>
          <w:rFonts w:hint="eastAsia" w:ascii="宋体" w:hAnsi="宋体" w:eastAsia="宋体" w:cs="@仿宋_GB2312"/>
          <w:color w:val="auto"/>
          <w:kern w:val="2"/>
          <w:sz w:val="24"/>
          <w:szCs w:val="22"/>
          <w:highlight w:val="none"/>
          <w:lang w:val="en-US" w:eastAsia="zh-CN"/>
        </w:rPr>
        <w:t>光纤预留在接头盒内应保证足够的盘绕半径，并无挤压、松动。</w:t>
      </w:r>
    </w:p>
    <w:p w14:paraId="35006CF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(8)</w:t>
      </w:r>
      <w:r>
        <w:rPr>
          <w:rFonts w:hint="eastAsia" w:ascii="宋体" w:hAnsi="宋体" w:eastAsia="宋体" w:cs="@仿宋_GB2312"/>
          <w:color w:val="auto"/>
          <w:kern w:val="2"/>
          <w:sz w:val="24"/>
          <w:szCs w:val="22"/>
          <w:highlight w:val="none"/>
          <w:lang w:val="en-US" w:eastAsia="zh-CN"/>
        </w:rPr>
        <w:t>光纤接头损耗及纤长应在施工现场及时作好记录。</w:t>
      </w:r>
    </w:p>
    <w:p w14:paraId="79A67C8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2.5</w:t>
      </w:r>
      <w:r>
        <w:rPr>
          <w:rFonts w:hint="eastAsia" w:ascii="宋体" w:hAnsi="宋体" w:eastAsia="宋体" w:cs="@仿宋_GB2312"/>
          <w:color w:val="auto"/>
          <w:kern w:val="2"/>
          <w:sz w:val="24"/>
          <w:szCs w:val="22"/>
          <w:highlight w:val="none"/>
          <w:lang w:val="en-US" w:eastAsia="zh-CN"/>
        </w:rPr>
        <w:t>.5穿堤手井施工图(施工参考下图标准),尺寸及砌筑材料满足要求,详见附图1</w:t>
      </w:r>
    </w:p>
    <w:p w14:paraId="1DFD3932">
      <w:pPr>
        <w:pStyle w:val="14"/>
        <w:ind w:firstLine="480" w:firstLineChars="200"/>
        <w:jc w:val="center"/>
        <w:outlineLvl w:val="9"/>
        <w:rPr>
          <w:rFonts w:hint="eastAsia"/>
          <w:color w:val="auto"/>
          <w:highlight w:val="none"/>
          <w:lang w:eastAsia="en-US"/>
        </w:rPr>
      </w:pPr>
      <w:r>
        <w:rPr>
          <w:rFonts w:hint="eastAsia" w:eastAsia="宋体"/>
          <w:color w:val="auto"/>
          <w:highlight w:val="none"/>
          <w:lang w:eastAsia="zh-CN"/>
        </w:rPr>
        <w:drawing>
          <wp:inline distT="0" distB="0" distL="114300" distR="114300">
            <wp:extent cx="5045710" cy="3537585"/>
            <wp:effectExtent l="0" t="0" r="8890" b="5715"/>
            <wp:docPr id="23" name="图片 23" descr="1740552349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40552349203"/>
                    <pic:cNvPicPr>
                      <a:picLocks noChangeAspect="1"/>
                    </pic:cNvPicPr>
                  </pic:nvPicPr>
                  <pic:blipFill>
                    <a:blip r:embed="rId17"/>
                    <a:stretch>
                      <a:fillRect/>
                    </a:stretch>
                  </pic:blipFill>
                  <pic:spPr>
                    <a:xfrm>
                      <a:off x="0" y="0"/>
                      <a:ext cx="5045710" cy="3537585"/>
                    </a:xfrm>
                    <a:prstGeom prst="rect">
                      <a:avLst/>
                    </a:prstGeom>
                  </pic:spPr>
                </pic:pic>
              </a:graphicData>
            </a:graphic>
          </wp:inline>
        </w:drawing>
      </w:r>
    </w:p>
    <w:p w14:paraId="088CB9F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2.6 颍上闸自动化改造</w:t>
      </w:r>
    </w:p>
    <w:p w14:paraId="675DE38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颍上闸现有闸门开度仪、闸位计存在量程不足缺陷：仪表量程小于闸门最大开度，闸门开度超量程时数据显示乱码，严重影响水闸安全运行。</w:t>
      </w:r>
    </w:p>
    <w:p w14:paraId="793A0C2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本次改造需整体更换原有闸门开度仪、闸位计、主令开关及配套线缆；同步采购电气柜核心元件作为防汛备品备件，保障系统应急抢修与度汛安全。所有设备更换、安装、调试、率定需满足水闸自动化控制规范，实现数据精准采集、稳定传输、可靠显示。</w:t>
      </w:r>
    </w:p>
    <w:p w14:paraId="785482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（1）闸位计更换与率定</w:t>
      </w:r>
    </w:p>
    <w:p w14:paraId="1616805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1）拆除原有24 台启闭机配套闸位计、安装支架、信号转接模块、连接线缆等全部附属配件，清理安装基面。</w:t>
      </w:r>
    </w:p>
    <w:p w14:paraId="78F1D78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2）新装闸位计量程全覆盖闸门最大开度，无超量程乱码、跳数、漂移问题，精度满足水利工程测控标准。</w:t>
      </w:r>
    </w:p>
    <w:p w14:paraId="70AD159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3）完成新装设备安装固定、接线、通电调试、现场率定，确保闸位数据实时、准确、稳定上传至自动化系统。</w:t>
      </w:r>
    </w:p>
    <w:p w14:paraId="5BE4CB9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4）同步接入并实现：闸上 / 下游水面、启闭机房、交通桥等点位网络高清视频监视信息稳定采集、显示与存储。</w:t>
      </w:r>
    </w:p>
    <w:p w14:paraId="6DC6804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（2）开度仪表更换与率定</w:t>
      </w:r>
    </w:p>
    <w:p w14:paraId="2FB22CB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1）拆除原有开度仪表及相关线缆，新装仪表量程匹配闸门全行程，信号输出稳定、无干扰、无乱码。</w:t>
      </w:r>
    </w:p>
    <w:p w14:paraId="1CEB48C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2）完成仪表安装、接线、调试、率定，确保闸门开度数据实时精准。</w:t>
      </w:r>
    </w:p>
    <w:p w14:paraId="5A6E8CD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3）同步接入并实现：闸前水位、闸后水位信息实时采集、修正、上传与显示。</w:t>
      </w:r>
    </w:p>
    <w:p w14:paraId="2B56A9B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（3）闸上综合自动化系统控制与运行数据采集</w:t>
      </w:r>
    </w:p>
    <w:p w14:paraId="7317B35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1）全面接入计算机监控系统、视频监视系统软硬件运行状态，实现全要素采集。</w:t>
      </w:r>
    </w:p>
    <w:p w14:paraId="677733A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2）采集内容包括但不限于：系统稳定运行时长、停止运行时长、故障诊断信息、参数调整记录、报警信息（越限/故障/失联） 等。</w:t>
      </w:r>
    </w:p>
    <w:p w14:paraId="0774CBE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3）实现数据统一上传、分类存储、历史查询、故障追溯，满足自动化控制、运行管理及防汛调度要求。</w:t>
      </w:r>
    </w:p>
    <w:p w14:paraId="0C224FC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（4）控制柜元器件</w:t>
      </w:r>
    </w:p>
    <w:p w14:paraId="39AB6A5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按防汛应急维修需求，采购电气柜关键元件作为备品备件，型号匹配现场在用设备，满足快速更换、应急抢修，保障度汛安全。</w:t>
      </w:r>
    </w:p>
    <w:p w14:paraId="10C0433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2.7 刘桥闸自动化控制系统维修</w:t>
      </w:r>
    </w:p>
    <w:p w14:paraId="25CE868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怀远局刘桥闸现有启闭机控制系统老旧，存在两级控制、3 台启闭机控制方式不统一问题，造成现场操作管理不便、闸门运行安全隐患突出。本项目利用怀远局已拆除涵闸LCU机柜进行改造，迁移部署至刘桥闸启闭机室，实现启闭机统一控制及数据采集，消除安全隐患、提升运行管理效率。</w:t>
      </w:r>
    </w:p>
    <w:p w14:paraId="13BE6C9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（1）LCU机柜改造（1控1改造1控3机柜）</w:t>
      </w:r>
    </w:p>
    <w:p w14:paraId="1700088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将原一控一模式 LCU 机柜改造为一控三模式，适配 3 台启闭机集中控制需求，完善控制逻辑、硬件配置及接线优化，实现 3 台启闭机LCU 集中统一控制，消除控制方式不一、两级控制隐患。</w:t>
      </w:r>
    </w:p>
    <w:p w14:paraId="0064639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（2）原控制柜与原配电柜拆除整改</w:t>
      </w:r>
    </w:p>
    <w:p w14:paraId="76B1D2E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拆除原有老旧控制柜及配电柜，按规范重新布局、固定、接线，消除电气安全隐患，满足新系统供电及控制要求。</w:t>
      </w:r>
    </w:p>
    <w:p w14:paraId="6CB394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（3）闸位计利旧与开度仪表安装调试</w:t>
      </w:r>
    </w:p>
    <w:p w14:paraId="63171C9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利旧原有螺杆式闸位计，拆除更换原有开度仪表，完成安装、接线、标定及调试，确保闸门开度采集准确可靠。</w:t>
      </w:r>
    </w:p>
    <w:p w14:paraId="35D4118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（4）相关线缆敷设与整理</w:t>
      </w:r>
    </w:p>
    <w:p w14:paraId="2D5133E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敷设控制电缆、信号电缆、电源电缆，按电气规范桥架 / 穿管布设，做到走向合理、防护到位、标识完整，与强电弱电分离布设，规范电气柜、线缆布局，提升现场运维便利性。</w:t>
      </w:r>
    </w:p>
    <w:p w14:paraId="755A707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（5）闸门控制功能与数据采集功能测试</w:t>
      </w:r>
    </w:p>
    <w:p w14:paraId="5EAF4FE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完成闸门控制功能（上升、下降、停止、限位保护）及数据采集功能（开度、电流、状态、故障信号）调试与联调测试，确保系统稳定、动作准确、数据上传，满足怀远局对代管涵闸安全运行、标准化管理要求正常。</w:t>
      </w:r>
    </w:p>
    <w:p w14:paraId="6C29CEA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（6）数据接入与系统集成</w:t>
      </w:r>
    </w:p>
    <w:p w14:paraId="7C2DCDC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水位、闸位等监测数据接入相应的实时数据库，怀远局及省淮河局工控界面增加刘桥闸相关内容，省淮河局综合业务平台增加刘桥闸相关采集数据及展示画面。</w:t>
      </w:r>
    </w:p>
    <w:p w14:paraId="22AF0ED7">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2.8 省淮河局数据库维护</w:t>
      </w:r>
    </w:p>
    <w:p w14:paraId="21A3ADC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（1）系统定期巡检，每月1次，汛期（5-9月）每月2次，</w:t>
      </w:r>
      <w:r>
        <w:rPr>
          <w:rFonts w:hint="eastAsia" w:cs="@仿宋_GB2312"/>
          <w:b/>
          <w:bCs/>
          <w:color w:val="auto"/>
          <w:kern w:val="2"/>
          <w:sz w:val="24"/>
          <w:szCs w:val="22"/>
          <w:highlight w:val="none"/>
          <w:lang w:val="en-US" w:eastAsia="zh-CN"/>
        </w:rPr>
        <w:t>防汛</w:t>
      </w:r>
      <w:r>
        <w:rPr>
          <w:rFonts w:ascii="Arial" w:hAnsi="Arial" w:eastAsia="宋体" w:cs="Arial"/>
          <w:b/>
          <w:bCs/>
          <w:i w:val="0"/>
          <w:iCs w:val="0"/>
          <w:caps w:val="0"/>
          <w:color w:val="000000"/>
          <w:spacing w:val="0"/>
          <w:sz w:val="21"/>
          <w:szCs w:val="21"/>
          <w:shd w:val="clear" w:fill="FFFFFF"/>
        </w:rPr>
        <w:t>Ⅳ</w:t>
      </w:r>
      <w:r>
        <w:rPr>
          <w:rFonts w:hint="eastAsia" w:ascii="Arial" w:hAnsi="Arial" w:eastAsia="宋体" w:cs="Arial"/>
          <w:b/>
          <w:bCs/>
          <w:i w:val="0"/>
          <w:iCs w:val="0"/>
          <w:caps w:val="0"/>
          <w:color w:val="000000"/>
          <w:spacing w:val="0"/>
          <w:sz w:val="21"/>
          <w:szCs w:val="21"/>
          <w:shd w:val="clear" w:fill="FFFFFF"/>
          <w:lang w:val="en-US" w:eastAsia="zh-CN"/>
        </w:rPr>
        <w:t>级响应及以上期</w:t>
      </w:r>
      <w:r>
        <w:rPr>
          <w:rFonts w:hint="eastAsia" w:cs="@仿宋_GB2312"/>
          <w:b/>
          <w:bCs/>
          <w:color w:val="auto"/>
          <w:kern w:val="2"/>
          <w:sz w:val="24"/>
          <w:szCs w:val="22"/>
          <w:highlight w:val="none"/>
          <w:lang w:val="en-US" w:eastAsia="zh-CN"/>
        </w:rPr>
        <w:t>间驻场保障</w:t>
      </w:r>
      <w:r>
        <w:rPr>
          <w:rFonts w:hint="eastAsia" w:cs="@仿宋_GB2312"/>
          <w:color w:val="auto"/>
          <w:kern w:val="2"/>
          <w:sz w:val="24"/>
          <w:szCs w:val="22"/>
          <w:highlight w:val="none"/>
          <w:lang w:val="en-US" w:eastAsia="zh-CN"/>
        </w:rPr>
        <w:t>，持续监控系统等各项数据状态，重点排查省平台数据同步异常、延迟、丢失问题，分析原因并处理，保障数据传输稳定完整。</w:t>
      </w:r>
    </w:p>
    <w:p w14:paraId="00843C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（2）核查闸门开度表数据完整性、准确性及关联逻辑，对异常数据进行清洗、修正、优化，解决数据无法查找、查询卡顿、关联错误等问题。</w:t>
      </w:r>
    </w:p>
    <w:p w14:paraId="29D2CDA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（3）根据业务需求完成自动化字段新增、修改、映射、关联等配置调整，保障系统功能正常运行。</w:t>
      </w:r>
    </w:p>
    <w:p w14:paraId="3CBE6B2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（4）及时处理系统运行漏洞，完成漏洞修复、测试验证与版本发布，提升系统稳定性与安全性。</w:t>
      </w:r>
    </w:p>
    <w:p w14:paraId="0B0A0A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（5）配合闸站监测基础数据新增录入、接入配置及系统维护；持续开展数据库迭代优化、历史数据规整、补丁更新升级。</w:t>
      </w:r>
    </w:p>
    <w:p w14:paraId="47B4016E">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2.9 省淮河局LED屏维修维保</w:t>
      </w:r>
    </w:p>
    <w:p w14:paraId="5CC7F4D5">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2.9.1现有设备情况：</w:t>
      </w:r>
    </w:p>
    <w:p w14:paraId="4FC0D0D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（1）LED屏1安装于省淮河局机关一楼，间距2.5mm，面积约15平方米，生产厂家为三思；</w:t>
      </w:r>
    </w:p>
    <w:p w14:paraId="4C4605B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（2）LED屏2安装于省淮河局机关一楼，间距1.58mm，面积约30平方米，生产厂家为艾比森；</w:t>
      </w:r>
    </w:p>
    <w:p w14:paraId="0F70334A">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2.9.2  LED屏进行日常维修维护。</w:t>
      </w:r>
    </w:p>
    <w:p w14:paraId="37972E8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除故障情况以外，每月定期上门检修1次，汛期阶段（5-9月），每月至少上门2次检修维护，特殊或重大会议由采购人提前通知，供应商提前排查保障确保屏幕正常使用，并驻场保障。</w:t>
      </w:r>
    </w:p>
    <w:p w14:paraId="1ECC14E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p>
    <w:tbl>
      <w:tblPr>
        <w:tblStyle w:val="56"/>
        <w:tblpPr w:leftFromText="180" w:rightFromText="180" w:vertAnchor="text" w:horzAnchor="page" w:tblpX="1764" w:tblpY="110"/>
        <w:tblOverlap w:val="never"/>
        <w:tblW w:w="92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237"/>
        <w:gridCol w:w="2747"/>
        <w:gridCol w:w="4765"/>
      </w:tblGrid>
      <w:tr w14:paraId="0829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502" w:type="dxa"/>
            <w:vAlign w:val="center"/>
          </w:tcPr>
          <w:p w14:paraId="5ED76329">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序号</w:t>
            </w:r>
          </w:p>
        </w:tc>
        <w:tc>
          <w:tcPr>
            <w:tcW w:w="1237" w:type="dxa"/>
            <w:vAlign w:val="center"/>
          </w:tcPr>
          <w:p w14:paraId="1AA35EA9">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项目名称</w:t>
            </w:r>
          </w:p>
        </w:tc>
        <w:tc>
          <w:tcPr>
            <w:tcW w:w="2747" w:type="dxa"/>
            <w:vAlign w:val="center"/>
          </w:tcPr>
          <w:p w14:paraId="63A121C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项目分类</w:t>
            </w:r>
          </w:p>
        </w:tc>
        <w:tc>
          <w:tcPr>
            <w:tcW w:w="4765" w:type="dxa"/>
            <w:vAlign w:val="center"/>
          </w:tcPr>
          <w:p w14:paraId="4F80B040">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项目内容</w:t>
            </w:r>
          </w:p>
        </w:tc>
      </w:tr>
      <w:tr w14:paraId="4859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02" w:type="dxa"/>
            <w:vMerge w:val="restart"/>
            <w:vAlign w:val="center"/>
          </w:tcPr>
          <w:p w14:paraId="49F4CF6F">
            <w:pPr>
              <w:jc w:val="center"/>
              <w:rPr>
                <w:rFonts w:hint="eastAsia" w:ascii="宋体" w:hAnsi="宋体" w:eastAsia="宋体" w:cs="宋体"/>
                <w:sz w:val="24"/>
                <w:szCs w:val="24"/>
                <w:vertAlign w:val="baseline"/>
                <w:lang w:eastAsia="zh-CN"/>
              </w:rPr>
            </w:pPr>
          </w:p>
          <w:p w14:paraId="6FF361EF">
            <w:pPr>
              <w:bidi w:val="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w:t>
            </w:r>
          </w:p>
          <w:p w14:paraId="4D355542">
            <w:pPr>
              <w:bidi w:val="0"/>
              <w:ind w:firstLine="493" w:firstLineChars="0"/>
              <w:jc w:val="center"/>
              <w:rPr>
                <w:rFonts w:hint="default"/>
                <w:lang w:val="en-US" w:eastAsia="zh-CN"/>
              </w:rPr>
            </w:pPr>
            <w:r>
              <w:rPr>
                <w:rFonts w:hint="eastAsia"/>
                <w:lang w:val="en-US" w:eastAsia="zh-CN"/>
              </w:rPr>
              <w:t>1</w:t>
            </w:r>
          </w:p>
        </w:tc>
        <w:tc>
          <w:tcPr>
            <w:tcW w:w="1237" w:type="dxa"/>
            <w:vMerge w:val="restart"/>
            <w:vAlign w:val="center"/>
          </w:tcPr>
          <w:p w14:paraId="50EA601F">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常规检查项目</w:t>
            </w:r>
          </w:p>
        </w:tc>
        <w:tc>
          <w:tcPr>
            <w:tcW w:w="2747" w:type="dxa"/>
            <w:vAlign w:val="center"/>
          </w:tcPr>
          <w:p w14:paraId="472009E7">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外观清洁</w:t>
            </w:r>
          </w:p>
        </w:tc>
        <w:tc>
          <w:tcPr>
            <w:tcW w:w="4765" w:type="dxa"/>
            <w:vAlign w:val="center"/>
          </w:tcPr>
          <w:p w14:paraId="0F02DF20">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屏体表面除尘、箱体缝隙清洁</w:t>
            </w:r>
          </w:p>
        </w:tc>
      </w:tr>
      <w:tr w14:paraId="1E94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502" w:type="dxa"/>
            <w:vMerge w:val="continue"/>
            <w:vAlign w:val="center"/>
          </w:tcPr>
          <w:p w14:paraId="2089B71A">
            <w:pPr>
              <w:jc w:val="center"/>
              <w:rPr>
                <w:rFonts w:hint="eastAsia" w:ascii="宋体" w:hAnsi="宋体" w:eastAsia="宋体" w:cs="宋体"/>
                <w:sz w:val="24"/>
                <w:szCs w:val="24"/>
                <w:vertAlign w:val="baseline"/>
                <w:lang w:eastAsia="zh-CN"/>
              </w:rPr>
            </w:pPr>
          </w:p>
        </w:tc>
        <w:tc>
          <w:tcPr>
            <w:tcW w:w="1237" w:type="dxa"/>
            <w:vMerge w:val="continue"/>
            <w:vAlign w:val="center"/>
          </w:tcPr>
          <w:p w14:paraId="343FF7C8">
            <w:pPr>
              <w:jc w:val="center"/>
              <w:rPr>
                <w:rFonts w:hint="eastAsia" w:ascii="宋体" w:hAnsi="宋体" w:eastAsia="宋体" w:cs="宋体"/>
                <w:sz w:val="24"/>
                <w:szCs w:val="24"/>
                <w:vertAlign w:val="baseline"/>
                <w:lang w:eastAsia="zh-CN"/>
              </w:rPr>
            </w:pPr>
          </w:p>
        </w:tc>
        <w:tc>
          <w:tcPr>
            <w:tcW w:w="2747" w:type="dxa"/>
            <w:vAlign w:val="center"/>
          </w:tcPr>
          <w:p w14:paraId="5CD76280">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结构稳定性检查</w:t>
            </w:r>
          </w:p>
        </w:tc>
        <w:tc>
          <w:tcPr>
            <w:tcW w:w="4765" w:type="dxa"/>
            <w:vAlign w:val="center"/>
          </w:tcPr>
          <w:p w14:paraId="29AD84F5">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检查箱体固定螺丝、支架松动、防水密封性</w:t>
            </w:r>
          </w:p>
        </w:tc>
      </w:tr>
      <w:tr w14:paraId="39C0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02" w:type="dxa"/>
            <w:vMerge w:val="continue"/>
            <w:vAlign w:val="center"/>
          </w:tcPr>
          <w:p w14:paraId="37604D01">
            <w:pPr>
              <w:jc w:val="center"/>
              <w:rPr>
                <w:rFonts w:hint="eastAsia" w:ascii="宋体" w:hAnsi="宋体" w:eastAsia="宋体" w:cs="宋体"/>
                <w:sz w:val="24"/>
                <w:szCs w:val="24"/>
                <w:vertAlign w:val="baseline"/>
                <w:lang w:eastAsia="zh-CN"/>
              </w:rPr>
            </w:pPr>
          </w:p>
        </w:tc>
        <w:tc>
          <w:tcPr>
            <w:tcW w:w="1237" w:type="dxa"/>
            <w:vMerge w:val="continue"/>
            <w:vAlign w:val="center"/>
          </w:tcPr>
          <w:p w14:paraId="11B8A06A">
            <w:pPr>
              <w:jc w:val="center"/>
              <w:rPr>
                <w:rFonts w:hint="eastAsia" w:ascii="宋体" w:hAnsi="宋体" w:eastAsia="宋体" w:cs="宋体"/>
                <w:sz w:val="24"/>
                <w:szCs w:val="24"/>
                <w:vertAlign w:val="baseline"/>
                <w:lang w:eastAsia="zh-CN"/>
              </w:rPr>
            </w:pPr>
          </w:p>
        </w:tc>
        <w:tc>
          <w:tcPr>
            <w:tcW w:w="2747" w:type="dxa"/>
            <w:vAlign w:val="center"/>
          </w:tcPr>
          <w:p w14:paraId="32D317EA">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电源系统检测</w:t>
            </w:r>
          </w:p>
        </w:tc>
        <w:tc>
          <w:tcPr>
            <w:tcW w:w="4765" w:type="dxa"/>
            <w:vAlign w:val="center"/>
          </w:tcPr>
          <w:p w14:paraId="525040C0">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测试电源电压稳定性、排查线路老化</w:t>
            </w:r>
          </w:p>
        </w:tc>
      </w:tr>
      <w:tr w14:paraId="073B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2" w:type="dxa"/>
            <w:vMerge w:val="continue"/>
            <w:vAlign w:val="center"/>
          </w:tcPr>
          <w:p w14:paraId="111FADC7">
            <w:pPr>
              <w:jc w:val="center"/>
              <w:rPr>
                <w:rFonts w:hint="eastAsia" w:ascii="宋体" w:hAnsi="宋体" w:eastAsia="宋体" w:cs="宋体"/>
                <w:sz w:val="24"/>
                <w:szCs w:val="24"/>
                <w:vertAlign w:val="baseline"/>
                <w:lang w:eastAsia="zh-CN"/>
              </w:rPr>
            </w:pPr>
          </w:p>
        </w:tc>
        <w:tc>
          <w:tcPr>
            <w:tcW w:w="1237" w:type="dxa"/>
            <w:vMerge w:val="continue"/>
            <w:vAlign w:val="center"/>
          </w:tcPr>
          <w:p w14:paraId="2415B7DE">
            <w:pPr>
              <w:jc w:val="center"/>
              <w:rPr>
                <w:rFonts w:hint="eastAsia" w:ascii="宋体" w:hAnsi="宋体" w:eastAsia="宋体" w:cs="宋体"/>
                <w:sz w:val="24"/>
                <w:szCs w:val="24"/>
                <w:vertAlign w:val="baseline"/>
                <w:lang w:eastAsia="zh-CN"/>
              </w:rPr>
            </w:pPr>
          </w:p>
        </w:tc>
        <w:tc>
          <w:tcPr>
            <w:tcW w:w="2747" w:type="dxa"/>
            <w:vAlign w:val="center"/>
          </w:tcPr>
          <w:p w14:paraId="43942811">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信号传输检查</w:t>
            </w:r>
          </w:p>
        </w:tc>
        <w:tc>
          <w:tcPr>
            <w:tcW w:w="4765" w:type="dxa"/>
            <w:vAlign w:val="center"/>
          </w:tcPr>
          <w:p w14:paraId="6F7F813C">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测试信号线、接收卡、发送卡工作状态</w:t>
            </w:r>
          </w:p>
        </w:tc>
      </w:tr>
      <w:tr w14:paraId="6493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02" w:type="dxa"/>
            <w:vMerge w:val="restart"/>
            <w:vAlign w:val="center"/>
          </w:tcPr>
          <w:p w14:paraId="0107A7BA">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237" w:type="dxa"/>
            <w:vMerge w:val="restart"/>
            <w:vAlign w:val="center"/>
          </w:tcPr>
          <w:p w14:paraId="3F527C85">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故障维修项目</w:t>
            </w:r>
          </w:p>
        </w:tc>
        <w:tc>
          <w:tcPr>
            <w:tcW w:w="2747" w:type="dxa"/>
            <w:vAlign w:val="center"/>
          </w:tcPr>
          <w:p w14:paraId="0C8C1998">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L</w:t>
            </w:r>
            <w:r>
              <w:rPr>
                <w:rFonts w:hint="eastAsia" w:ascii="宋体" w:hAnsi="宋体" w:eastAsia="宋体" w:cs="宋体"/>
                <w:sz w:val="24"/>
                <w:szCs w:val="24"/>
                <w:vertAlign w:val="baseline"/>
                <w:lang w:val="en-US" w:eastAsia="zh-CN"/>
              </w:rPr>
              <w:t>ED</w:t>
            </w:r>
            <w:r>
              <w:rPr>
                <w:rFonts w:hint="eastAsia" w:ascii="宋体" w:hAnsi="宋体" w:eastAsia="宋体" w:cs="宋体"/>
                <w:sz w:val="24"/>
                <w:szCs w:val="24"/>
                <w:vertAlign w:val="baseline"/>
                <w:lang w:eastAsia="zh-CN"/>
              </w:rPr>
              <w:t>灯珠更换</w:t>
            </w:r>
          </w:p>
        </w:tc>
        <w:tc>
          <w:tcPr>
            <w:tcW w:w="4765" w:type="dxa"/>
            <w:vAlign w:val="center"/>
          </w:tcPr>
          <w:p w14:paraId="19B4A417">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更换故障灯珠（含材料费）</w:t>
            </w:r>
          </w:p>
        </w:tc>
      </w:tr>
      <w:tr w14:paraId="0DE1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02" w:type="dxa"/>
            <w:vMerge w:val="continue"/>
            <w:vAlign w:val="center"/>
          </w:tcPr>
          <w:p w14:paraId="0E15B11F">
            <w:pPr>
              <w:jc w:val="center"/>
              <w:rPr>
                <w:rFonts w:hint="eastAsia" w:ascii="宋体" w:hAnsi="宋体" w:eastAsia="宋体" w:cs="宋体"/>
                <w:sz w:val="24"/>
                <w:szCs w:val="24"/>
                <w:vertAlign w:val="baseline"/>
                <w:lang w:val="en-US" w:eastAsia="zh-CN"/>
              </w:rPr>
            </w:pPr>
          </w:p>
        </w:tc>
        <w:tc>
          <w:tcPr>
            <w:tcW w:w="1237" w:type="dxa"/>
            <w:vMerge w:val="continue"/>
            <w:vAlign w:val="center"/>
          </w:tcPr>
          <w:p w14:paraId="5E310F43">
            <w:pPr>
              <w:jc w:val="center"/>
              <w:rPr>
                <w:rFonts w:hint="eastAsia" w:ascii="宋体" w:hAnsi="宋体" w:eastAsia="宋体" w:cs="宋体"/>
                <w:sz w:val="24"/>
                <w:szCs w:val="24"/>
                <w:vertAlign w:val="baseline"/>
                <w:lang w:eastAsia="zh-CN"/>
              </w:rPr>
            </w:pPr>
          </w:p>
        </w:tc>
        <w:tc>
          <w:tcPr>
            <w:tcW w:w="2747" w:type="dxa"/>
            <w:vAlign w:val="center"/>
          </w:tcPr>
          <w:p w14:paraId="04325D22">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LED模块更换</w:t>
            </w:r>
          </w:p>
        </w:tc>
        <w:tc>
          <w:tcPr>
            <w:tcW w:w="4765" w:type="dxa"/>
            <w:vAlign w:val="center"/>
          </w:tcPr>
          <w:p w14:paraId="68E4C8D1">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维修或更换电源、接收卡（主材甲供）</w:t>
            </w:r>
          </w:p>
        </w:tc>
      </w:tr>
      <w:tr w14:paraId="6F25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02" w:type="dxa"/>
            <w:vMerge w:val="continue"/>
            <w:vAlign w:val="center"/>
          </w:tcPr>
          <w:p w14:paraId="57CD93E5">
            <w:pPr>
              <w:jc w:val="center"/>
              <w:rPr>
                <w:rFonts w:hint="eastAsia" w:ascii="宋体" w:hAnsi="宋体" w:eastAsia="宋体" w:cs="宋体"/>
                <w:sz w:val="24"/>
                <w:szCs w:val="24"/>
                <w:vertAlign w:val="baseline"/>
                <w:lang w:val="en-US" w:eastAsia="zh-CN"/>
              </w:rPr>
            </w:pPr>
          </w:p>
        </w:tc>
        <w:tc>
          <w:tcPr>
            <w:tcW w:w="1237" w:type="dxa"/>
            <w:vMerge w:val="continue"/>
            <w:vAlign w:val="center"/>
          </w:tcPr>
          <w:p w14:paraId="3460CEDD">
            <w:pPr>
              <w:jc w:val="center"/>
              <w:rPr>
                <w:rFonts w:hint="eastAsia" w:ascii="宋体" w:hAnsi="宋体" w:eastAsia="宋体" w:cs="宋体"/>
                <w:sz w:val="24"/>
                <w:szCs w:val="24"/>
                <w:vertAlign w:val="baseline"/>
                <w:lang w:eastAsia="zh-CN"/>
              </w:rPr>
            </w:pPr>
          </w:p>
        </w:tc>
        <w:tc>
          <w:tcPr>
            <w:tcW w:w="2747" w:type="dxa"/>
            <w:vAlign w:val="center"/>
          </w:tcPr>
          <w:p w14:paraId="25037BCD">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故障检修</w:t>
            </w:r>
            <w:r>
              <w:rPr>
                <w:rFonts w:hint="eastAsia" w:ascii="宋体" w:hAnsi="宋体" w:eastAsia="宋体" w:cs="宋体"/>
                <w:sz w:val="24"/>
                <w:szCs w:val="24"/>
                <w:vertAlign w:val="baseline"/>
                <w:lang w:val="en-US" w:eastAsia="zh-CN"/>
              </w:rPr>
              <w:t xml:space="preserve"> </w:t>
            </w:r>
            <w:r>
              <w:rPr>
                <w:rFonts w:hint="eastAsia" w:ascii="宋体" w:hAnsi="宋体" w:eastAsia="宋体" w:cs="宋体"/>
                <w:sz w:val="24"/>
                <w:szCs w:val="24"/>
                <w:vertAlign w:val="baseline"/>
                <w:lang w:eastAsia="zh-CN"/>
              </w:rPr>
              <w:t>软件调试</w:t>
            </w:r>
          </w:p>
        </w:tc>
        <w:tc>
          <w:tcPr>
            <w:tcW w:w="4765" w:type="dxa"/>
            <w:vAlign w:val="center"/>
          </w:tcPr>
          <w:p w14:paraId="196AFD2D">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辅材、系统升级、参数校准、播放软件维护</w:t>
            </w:r>
          </w:p>
        </w:tc>
      </w:tr>
      <w:tr w14:paraId="79C6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502" w:type="dxa"/>
            <w:vAlign w:val="center"/>
          </w:tcPr>
          <w:p w14:paraId="2343602A">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237" w:type="dxa"/>
            <w:vAlign w:val="center"/>
          </w:tcPr>
          <w:p w14:paraId="27C47537">
            <w:pPr>
              <w:jc w:val="center"/>
              <w:rPr>
                <w:rFonts w:hint="eastAsia" w:ascii="宋体" w:hAnsi="宋体" w:eastAsia="宋体" w:cs="宋体"/>
                <w:sz w:val="24"/>
                <w:szCs w:val="24"/>
                <w:vertAlign w:val="baseline"/>
                <w:lang w:eastAsia="zh-CN"/>
              </w:rPr>
            </w:pPr>
            <w:r>
              <w:rPr>
                <w:rFonts w:hint="eastAsia" w:cs="宋体"/>
                <w:sz w:val="24"/>
                <w:szCs w:val="24"/>
                <w:vertAlign w:val="baseline"/>
                <w:lang w:val="en-US" w:eastAsia="zh-CN"/>
              </w:rPr>
              <w:t>应急</w:t>
            </w:r>
            <w:r>
              <w:rPr>
                <w:rFonts w:hint="eastAsia" w:ascii="宋体" w:hAnsi="宋体" w:eastAsia="宋体" w:cs="宋体"/>
                <w:sz w:val="24"/>
                <w:szCs w:val="24"/>
                <w:vertAlign w:val="baseline"/>
                <w:lang w:eastAsia="zh-CN"/>
              </w:rPr>
              <w:t>服务</w:t>
            </w:r>
          </w:p>
        </w:tc>
        <w:tc>
          <w:tcPr>
            <w:tcW w:w="2747" w:type="dxa"/>
            <w:vAlign w:val="center"/>
          </w:tcPr>
          <w:p w14:paraId="3E069E7A">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应急响应服务</w:t>
            </w:r>
          </w:p>
        </w:tc>
        <w:tc>
          <w:tcPr>
            <w:tcW w:w="4765" w:type="dxa"/>
            <w:vAlign w:val="center"/>
          </w:tcPr>
          <w:p w14:paraId="2F775AE6">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4</w:t>
            </w:r>
            <w:r>
              <w:rPr>
                <w:rFonts w:hint="eastAsia" w:ascii="宋体" w:hAnsi="宋体" w:eastAsia="宋体" w:cs="宋体"/>
                <w:sz w:val="24"/>
                <w:szCs w:val="24"/>
                <w:vertAlign w:val="baseline"/>
                <w:lang w:eastAsia="zh-CN"/>
              </w:rPr>
              <w:t>小时内上门紧急维修，提供登高脚手架</w:t>
            </w:r>
          </w:p>
        </w:tc>
      </w:tr>
    </w:tbl>
    <w:p w14:paraId="7657AB7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p>
    <w:p w14:paraId="0C57D507">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2.10 省淮河局自动化驻场运维</w:t>
      </w:r>
    </w:p>
    <w:p w14:paraId="5F38AAF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本次采购1人（9月-12月共4个月）驻场运维服务及1次巡检服务，巡检期间供应商自带车辆及工具，巡检范围包括全局已建70处自动化现地控制系统。</w:t>
      </w:r>
    </w:p>
    <w:p w14:paraId="3E24720D">
      <w:pPr>
        <w:pStyle w:val="5"/>
        <w:pageBreakBefore w:val="0"/>
        <w:widowControl w:val="0"/>
        <w:kinsoku/>
        <w:wordWrap/>
        <w:overflowPunct/>
        <w:topLinePunct w:val="0"/>
        <w:autoSpaceDE/>
        <w:autoSpaceDN/>
        <w:bidi w:val="0"/>
        <w:adjustRightInd/>
        <w:snapToGrid/>
        <w:ind w:firstLine="562" w:firstLineChars="200"/>
        <w:textAlignment w:val="auto"/>
        <w:rPr>
          <w:rFonts w:hint="default" w:cs="宋体"/>
          <w:color w:val="auto"/>
          <w:highlight w:val="none"/>
          <w:lang w:val="en-US" w:eastAsia="zh-CN"/>
        </w:rPr>
      </w:pPr>
      <w:r>
        <w:rPr>
          <w:rFonts w:hint="eastAsia" w:cs="宋体"/>
          <w:color w:val="auto"/>
          <w:highlight w:val="none"/>
          <w:lang w:val="en-US" w:eastAsia="zh-CN"/>
        </w:rPr>
        <w:t>3.工程量清单</w:t>
      </w:r>
    </w:p>
    <w:p w14:paraId="1BD811A1">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lang w:val="en-US" w:eastAsia="zh-CN"/>
        </w:rPr>
        <w:t>.1.工程量清单</w:t>
      </w:r>
      <w:r>
        <w:rPr>
          <w:rFonts w:hint="default" w:ascii="宋体" w:hAnsi="宋体" w:eastAsia="宋体" w:cs="@仿宋_GB2312"/>
          <w:b/>
          <w:bCs/>
          <w:color w:val="auto"/>
          <w:kern w:val="2"/>
          <w:sz w:val="24"/>
          <w:szCs w:val="22"/>
          <w:highlight w:val="none"/>
          <w:lang w:val="en-US" w:eastAsia="zh-CN"/>
        </w:rPr>
        <w:t>及</w:t>
      </w:r>
      <w:r>
        <w:rPr>
          <w:rFonts w:hint="eastAsia" w:ascii="宋体" w:hAnsi="宋体" w:eastAsia="宋体" w:cs="@仿宋_GB2312"/>
          <w:b/>
          <w:bCs/>
          <w:color w:val="auto"/>
          <w:kern w:val="2"/>
          <w:sz w:val="24"/>
          <w:szCs w:val="22"/>
          <w:highlight w:val="none"/>
          <w:lang w:val="en-US" w:eastAsia="zh-CN"/>
        </w:rPr>
        <w:t>响应</w:t>
      </w:r>
      <w:r>
        <w:rPr>
          <w:rFonts w:hint="default" w:ascii="宋体" w:hAnsi="宋体" w:eastAsia="宋体" w:cs="@仿宋_GB2312"/>
          <w:b/>
          <w:bCs/>
          <w:color w:val="auto"/>
          <w:kern w:val="2"/>
          <w:sz w:val="24"/>
          <w:szCs w:val="22"/>
          <w:highlight w:val="none"/>
          <w:lang w:val="en-US" w:eastAsia="zh-CN"/>
        </w:rPr>
        <w:t>报价说明</w:t>
      </w:r>
    </w:p>
    <w:p w14:paraId="16C29C1C">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lang w:val="en-US" w:eastAsia="zh-CN"/>
        </w:rPr>
        <w:t>.1.1</w:t>
      </w:r>
      <w:r>
        <w:rPr>
          <w:rFonts w:hint="default" w:ascii="宋体" w:hAnsi="宋体" w:eastAsia="宋体" w:cs="@仿宋_GB2312"/>
          <w:b/>
          <w:bCs/>
          <w:color w:val="auto"/>
          <w:kern w:val="2"/>
          <w:sz w:val="24"/>
          <w:szCs w:val="22"/>
          <w:highlight w:val="none"/>
          <w:lang w:val="en-US" w:eastAsia="zh-CN"/>
        </w:rPr>
        <w:t>工程量清单说明</w:t>
      </w:r>
    </w:p>
    <w:p w14:paraId="279E03D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（1）本工程量清单是根据磋商文件中包括的、有合同约束力的技术条款以及有关工程量清单的国家标准、行业标准、合同条款中约定的工程量计算规则编制。</w:t>
      </w:r>
    </w:p>
    <w:p w14:paraId="6DA3C79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en-US"/>
        </w:rPr>
        <w:t>（2）本工程量清单应与磋商文件中的</w:t>
      </w:r>
      <w:r>
        <w:rPr>
          <w:rFonts w:hint="default" w:ascii="宋体" w:hAnsi="宋体" w:eastAsia="宋体" w:cs="@仿宋_GB2312"/>
          <w:color w:val="auto"/>
          <w:kern w:val="2"/>
          <w:sz w:val="24"/>
          <w:szCs w:val="22"/>
          <w:highlight w:val="none"/>
          <w:lang w:val="en-US" w:eastAsia="zh-CN"/>
        </w:rPr>
        <w:t>磋商</w:t>
      </w:r>
      <w:r>
        <w:rPr>
          <w:rFonts w:hint="default" w:ascii="宋体" w:hAnsi="宋体" w:eastAsia="宋体" w:cs="@仿宋_GB2312"/>
          <w:color w:val="auto"/>
          <w:kern w:val="2"/>
          <w:sz w:val="24"/>
          <w:szCs w:val="22"/>
          <w:highlight w:val="none"/>
          <w:lang w:val="en-US" w:eastAsia="en-US"/>
        </w:rPr>
        <w:t>须知、合同条款、</w:t>
      </w:r>
      <w:r>
        <w:rPr>
          <w:rFonts w:hint="default" w:ascii="宋体" w:hAnsi="宋体" w:eastAsia="宋体" w:cs="@仿宋_GB2312"/>
          <w:color w:val="auto"/>
          <w:kern w:val="2"/>
          <w:sz w:val="24"/>
          <w:szCs w:val="22"/>
          <w:highlight w:val="none"/>
          <w:lang w:val="en-US" w:eastAsia="zh-CN"/>
        </w:rPr>
        <w:t>发包人</w:t>
      </w:r>
      <w:r>
        <w:rPr>
          <w:rFonts w:hint="default" w:ascii="宋体" w:hAnsi="宋体" w:eastAsia="宋体" w:cs="@仿宋_GB2312"/>
          <w:color w:val="auto"/>
          <w:kern w:val="2"/>
          <w:sz w:val="24"/>
          <w:szCs w:val="22"/>
          <w:highlight w:val="none"/>
          <w:lang w:val="en-US" w:eastAsia="en-US"/>
        </w:rPr>
        <w:t>要求及图纸等一起阅读和理解。</w:t>
      </w:r>
    </w:p>
    <w:p w14:paraId="7C572776">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lang w:val="en-US" w:eastAsia="zh-CN"/>
        </w:rPr>
        <w:t>.1.</w:t>
      </w:r>
      <w:r>
        <w:rPr>
          <w:rFonts w:hint="default" w:ascii="宋体" w:hAnsi="宋体" w:eastAsia="宋体" w:cs="@仿宋_GB2312"/>
          <w:b/>
          <w:bCs/>
          <w:color w:val="auto"/>
          <w:kern w:val="2"/>
          <w:sz w:val="24"/>
          <w:szCs w:val="22"/>
          <w:highlight w:val="none"/>
          <w:lang w:val="en-US" w:eastAsia="zh-CN"/>
        </w:rPr>
        <w:t>2.投标报价说明</w:t>
      </w:r>
    </w:p>
    <w:p w14:paraId="01D685ED">
      <w:pPr>
        <w:spacing w:line="360" w:lineRule="auto"/>
        <w:ind w:firstLine="480" w:firstLineChars="200"/>
        <w:rPr>
          <w:rFonts w:hint="eastAsia" w:ascii="宋体" w:hAnsi="宋体" w:cs="@仿宋_GB2312"/>
          <w:color w:val="auto"/>
          <w:kern w:val="2"/>
          <w:sz w:val="24"/>
          <w:szCs w:val="22"/>
          <w:highlight w:val="none"/>
        </w:rPr>
      </w:pPr>
      <w:r>
        <w:rPr>
          <w:rFonts w:hint="eastAsia" w:ascii="宋体" w:hAnsi="宋体" w:cs="@仿宋_GB2312"/>
          <w:color w:val="auto"/>
          <w:kern w:val="2"/>
          <w:sz w:val="24"/>
          <w:szCs w:val="22"/>
          <w:highlight w:val="none"/>
        </w:rPr>
        <w:t>（1）工程量清单中的每一子目须填入单价或价格，且只允许有一个报价。</w:t>
      </w:r>
    </w:p>
    <w:p w14:paraId="134996D9">
      <w:pPr>
        <w:spacing w:line="360" w:lineRule="auto"/>
        <w:ind w:firstLine="480" w:firstLineChars="200"/>
        <w:rPr>
          <w:rFonts w:hint="eastAsia" w:ascii="宋体" w:hAnsi="宋体" w:cs="@仿宋_GB2312"/>
          <w:color w:val="auto"/>
          <w:kern w:val="2"/>
          <w:sz w:val="24"/>
          <w:szCs w:val="22"/>
          <w:highlight w:val="none"/>
        </w:rPr>
      </w:pPr>
      <w:r>
        <w:rPr>
          <w:rFonts w:hint="eastAsia" w:ascii="宋体" w:hAnsi="宋体" w:cs="@仿宋_GB2312"/>
          <w:color w:val="auto"/>
          <w:kern w:val="2"/>
          <w:sz w:val="24"/>
          <w:szCs w:val="22"/>
          <w:highlight w:val="none"/>
        </w:rPr>
        <w:t>（2）工程量清单中标价的单价或金额，应包括所需人工费、施工机械使用费、材料费、其他（运杂费、质检费、安装费、缺陷修复费、保险费，以及合同明示或暗示的风险、责任和义务等），以及管理费、利润等。</w:t>
      </w:r>
    </w:p>
    <w:p w14:paraId="775913BC">
      <w:pPr>
        <w:spacing w:line="360" w:lineRule="auto"/>
        <w:ind w:firstLine="480" w:firstLineChars="200"/>
        <w:rPr>
          <w:rFonts w:hint="eastAsia" w:ascii="宋体" w:hAnsi="宋体" w:cs="@仿宋_GB2312"/>
          <w:color w:val="auto"/>
          <w:kern w:val="2"/>
          <w:sz w:val="24"/>
          <w:szCs w:val="22"/>
          <w:highlight w:val="none"/>
        </w:rPr>
      </w:pPr>
      <w:r>
        <w:rPr>
          <w:rFonts w:hint="eastAsia" w:ascii="宋体" w:hAnsi="宋体" w:cs="@仿宋_GB2312"/>
          <w:color w:val="auto"/>
          <w:kern w:val="2"/>
          <w:sz w:val="24"/>
          <w:szCs w:val="22"/>
          <w:highlight w:val="none"/>
        </w:rPr>
        <w:t xml:space="preserve">（3）工程量清单中供应商没有填入单价或价格的子目，其费用视为已分摊在工程量清单中其他相关子目的单价或价格之中。    </w:t>
      </w:r>
    </w:p>
    <w:p w14:paraId="1DDE91EA">
      <w:pPr>
        <w:spacing w:line="360" w:lineRule="auto"/>
        <w:ind w:firstLine="480" w:firstLineChars="200"/>
        <w:rPr>
          <w:rFonts w:hint="eastAsia" w:ascii="宋体" w:hAnsi="宋体" w:cs="@仿宋_GB2312"/>
          <w:color w:val="auto"/>
          <w:kern w:val="2"/>
          <w:sz w:val="24"/>
          <w:szCs w:val="22"/>
          <w:highlight w:val="none"/>
        </w:rPr>
      </w:pPr>
      <w:r>
        <w:rPr>
          <w:rFonts w:hint="eastAsia" w:ascii="宋体" w:hAnsi="宋体" w:cs="@仿宋_GB2312"/>
          <w:color w:val="auto"/>
          <w:kern w:val="2"/>
          <w:sz w:val="24"/>
          <w:szCs w:val="22"/>
          <w:highlight w:val="none"/>
        </w:rPr>
        <w:t>（</w:t>
      </w:r>
      <w:r>
        <w:rPr>
          <w:rFonts w:hint="eastAsia" w:ascii="宋体" w:hAnsi="宋体" w:cs="@仿宋_GB2312"/>
          <w:color w:val="auto"/>
          <w:kern w:val="2"/>
          <w:sz w:val="24"/>
          <w:szCs w:val="22"/>
          <w:highlight w:val="none"/>
          <w:lang w:val="en-US" w:eastAsia="zh-CN"/>
        </w:rPr>
        <w:t>4</w:t>
      </w:r>
      <w:r>
        <w:rPr>
          <w:rFonts w:hint="eastAsia" w:ascii="宋体" w:hAnsi="宋体" w:cs="@仿宋_GB2312"/>
          <w:color w:val="auto"/>
          <w:kern w:val="2"/>
          <w:sz w:val="24"/>
          <w:szCs w:val="22"/>
          <w:highlight w:val="none"/>
        </w:rPr>
        <w:t>）投标总价应按工程报价汇总表合计金额填写，</w:t>
      </w:r>
      <w:r>
        <w:rPr>
          <w:rFonts w:hint="eastAsia" w:ascii="宋体" w:hAnsi="宋体" w:cs="@仿宋_GB2312"/>
          <w:color w:val="auto"/>
          <w:kern w:val="2"/>
          <w:sz w:val="24"/>
          <w:szCs w:val="22"/>
          <w:highlight w:val="none"/>
          <w:lang w:eastAsia="zh-CN"/>
        </w:rPr>
        <w:t>供应商</w:t>
      </w:r>
      <w:r>
        <w:rPr>
          <w:rFonts w:hint="eastAsia" w:ascii="宋体" w:hAnsi="宋体" w:cs="@仿宋_GB2312"/>
          <w:color w:val="auto"/>
          <w:kern w:val="2"/>
          <w:sz w:val="24"/>
          <w:szCs w:val="22"/>
          <w:highlight w:val="none"/>
        </w:rPr>
        <w:t>对投标报价的任何优惠均应反映在相应清单项目的综合单价中。</w:t>
      </w:r>
    </w:p>
    <w:p w14:paraId="02B5FB81">
      <w:pPr>
        <w:spacing w:line="360" w:lineRule="auto"/>
        <w:ind w:firstLine="480" w:firstLineChars="200"/>
        <w:rPr>
          <w:rFonts w:hint="eastAsia" w:ascii="宋体" w:hAnsi="宋体" w:cs="@仿宋_GB2312"/>
          <w:color w:val="auto"/>
          <w:kern w:val="2"/>
          <w:sz w:val="24"/>
          <w:szCs w:val="22"/>
          <w:highlight w:val="none"/>
        </w:rPr>
      </w:pPr>
      <w:r>
        <w:rPr>
          <w:rFonts w:hint="eastAsia" w:ascii="宋体" w:hAnsi="宋体" w:cs="@仿宋_GB2312"/>
          <w:color w:val="auto"/>
          <w:kern w:val="2"/>
          <w:sz w:val="24"/>
          <w:szCs w:val="22"/>
          <w:highlight w:val="none"/>
        </w:rPr>
        <w:t>（</w:t>
      </w:r>
      <w:r>
        <w:rPr>
          <w:rFonts w:hint="eastAsia" w:ascii="宋体" w:hAnsi="宋体" w:cs="@仿宋_GB2312"/>
          <w:color w:val="auto"/>
          <w:kern w:val="2"/>
          <w:sz w:val="24"/>
          <w:szCs w:val="22"/>
          <w:highlight w:val="none"/>
          <w:lang w:val="en-US" w:eastAsia="zh-CN"/>
        </w:rPr>
        <w:t>5</w:t>
      </w:r>
      <w:r>
        <w:rPr>
          <w:rFonts w:hint="eastAsia" w:ascii="宋体" w:hAnsi="宋体" w:cs="@仿宋_GB2312"/>
          <w:color w:val="auto"/>
          <w:kern w:val="2"/>
          <w:sz w:val="24"/>
          <w:szCs w:val="22"/>
          <w:highlight w:val="none"/>
        </w:rPr>
        <w:t>）金额（价格）均应以人民币表示；如果投标报价汇总表的投标总价与报价函填报的投标总价不一致，应当以报价函中填写的大写金额为准。</w:t>
      </w:r>
    </w:p>
    <w:p w14:paraId="17937319">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lang w:val="en-US" w:eastAsia="zh-CN"/>
        </w:rPr>
        <w:t>.1.</w:t>
      </w:r>
      <w:r>
        <w:rPr>
          <w:rFonts w:hint="default" w:ascii="宋体" w:hAnsi="宋体" w:eastAsia="宋体" w:cs="@仿宋_GB2312"/>
          <w:b/>
          <w:bCs/>
          <w:color w:val="auto"/>
          <w:kern w:val="2"/>
          <w:sz w:val="24"/>
          <w:szCs w:val="22"/>
          <w:highlight w:val="none"/>
          <w:lang w:val="en-US" w:eastAsia="zh-CN"/>
        </w:rPr>
        <w:t>3.其他说明</w:t>
      </w:r>
    </w:p>
    <w:p w14:paraId="0E5D777A">
      <w:pPr>
        <w:spacing w:line="360" w:lineRule="auto"/>
        <w:ind w:firstLine="480" w:firstLineChars="200"/>
        <w:rPr>
          <w:rFonts w:hint="eastAsia" w:ascii="宋体" w:hAnsi="宋体" w:cs="@仿宋_GB2312"/>
          <w:color w:val="auto"/>
          <w:kern w:val="2"/>
          <w:sz w:val="24"/>
          <w:szCs w:val="22"/>
          <w:highlight w:val="none"/>
        </w:rPr>
      </w:pPr>
      <w:r>
        <w:rPr>
          <w:rFonts w:hint="eastAsia" w:ascii="宋体" w:hAnsi="宋体" w:cs="@仿宋_GB2312"/>
          <w:color w:val="auto"/>
          <w:kern w:val="2"/>
          <w:sz w:val="24"/>
          <w:szCs w:val="22"/>
          <w:highlight w:val="none"/>
        </w:rPr>
        <w:t>（1）</w:t>
      </w:r>
      <w:r>
        <w:rPr>
          <w:rFonts w:hint="eastAsia" w:ascii="宋体" w:hAnsi="宋体" w:cs="@仿宋_GB2312"/>
          <w:color w:val="auto"/>
          <w:kern w:val="2"/>
          <w:sz w:val="24"/>
          <w:szCs w:val="22"/>
          <w:highlight w:val="none"/>
          <w:lang w:eastAsia="zh-CN"/>
        </w:rPr>
        <w:t>供应商</w:t>
      </w:r>
      <w:r>
        <w:rPr>
          <w:rFonts w:hint="eastAsia" w:ascii="宋体" w:hAnsi="宋体" w:cs="@仿宋_GB2312"/>
          <w:color w:val="auto"/>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1DC549D1">
      <w:pPr>
        <w:spacing w:line="360" w:lineRule="auto"/>
        <w:ind w:firstLine="480" w:firstLineChars="200"/>
        <w:rPr>
          <w:rFonts w:hint="eastAsia" w:ascii="宋体" w:hAnsi="宋体" w:eastAsia="宋体" w:cs="@仿宋_GB2312"/>
          <w:color w:val="auto"/>
          <w:kern w:val="2"/>
          <w:sz w:val="24"/>
          <w:szCs w:val="22"/>
          <w:highlight w:val="none"/>
        </w:rPr>
      </w:pPr>
      <w:r>
        <w:rPr>
          <w:rFonts w:hint="eastAsia" w:ascii="宋体" w:hAnsi="宋体" w:cs="@仿宋_GB2312"/>
          <w:color w:val="auto"/>
          <w:kern w:val="2"/>
          <w:sz w:val="24"/>
          <w:szCs w:val="22"/>
          <w:highlight w:val="none"/>
        </w:rPr>
        <w:t>（2）因市场变化及法律、法规、规章和政策发</w:t>
      </w:r>
      <w:r>
        <w:rPr>
          <w:rFonts w:hint="eastAsia" w:ascii="宋体" w:hAnsi="宋体" w:eastAsia="宋体" w:cs="@仿宋_GB2312"/>
          <w:color w:val="auto"/>
          <w:kern w:val="2"/>
          <w:sz w:val="24"/>
          <w:szCs w:val="22"/>
          <w:highlight w:val="none"/>
        </w:rPr>
        <w:t>生变化等一切可能影响工程造价的因素及其经济风险均已包含在综合单价中，</w:t>
      </w:r>
      <w:r>
        <w:rPr>
          <w:rFonts w:hint="eastAsia" w:ascii="宋体" w:hAnsi="宋体" w:eastAsia="宋体" w:cs="@仿宋_GB2312"/>
          <w:color w:val="auto"/>
          <w:kern w:val="2"/>
          <w:sz w:val="24"/>
          <w:szCs w:val="22"/>
          <w:highlight w:val="none"/>
          <w:lang w:val="en-US" w:eastAsia="zh-CN"/>
        </w:rPr>
        <w:t>除合同约定外</w:t>
      </w:r>
      <w:r>
        <w:rPr>
          <w:rFonts w:hint="eastAsia" w:ascii="宋体" w:hAnsi="宋体" w:eastAsia="宋体" w:cs="@仿宋_GB2312"/>
          <w:color w:val="auto"/>
          <w:kern w:val="2"/>
          <w:sz w:val="24"/>
          <w:szCs w:val="22"/>
          <w:highlight w:val="none"/>
        </w:rPr>
        <w:t>合同综合单价不予调整。</w:t>
      </w:r>
    </w:p>
    <w:p w14:paraId="6A64EFDB">
      <w:pPr>
        <w:spacing w:line="360" w:lineRule="auto"/>
        <w:ind w:firstLine="480" w:firstLineChars="200"/>
        <w:rPr>
          <w:rFonts w:hint="eastAsia" w:ascii="宋体" w:hAnsi="宋体" w:eastAsia="宋体" w:cs="@仿宋_GB2312"/>
          <w:color w:val="auto"/>
          <w:kern w:val="2"/>
          <w:sz w:val="24"/>
          <w:szCs w:val="22"/>
          <w:highlight w:val="none"/>
          <w:lang w:eastAsia="zh-CN"/>
        </w:rPr>
      </w:pPr>
      <w:r>
        <w:rPr>
          <w:rFonts w:hint="eastAsia" w:ascii="宋体" w:hAnsi="宋体" w:cs="@仿宋_GB2312"/>
          <w:color w:val="auto"/>
          <w:kern w:val="2"/>
          <w:sz w:val="24"/>
          <w:szCs w:val="22"/>
          <w:highlight w:val="none"/>
        </w:rPr>
        <w:t>（3）与其他工程施工单位发生交叉作业而增加的费用包含在报价内</w:t>
      </w:r>
      <w:r>
        <w:rPr>
          <w:rFonts w:hint="eastAsia" w:ascii="宋体" w:hAnsi="宋体" w:cs="@仿宋_GB2312"/>
          <w:color w:val="auto"/>
          <w:kern w:val="2"/>
          <w:sz w:val="24"/>
          <w:szCs w:val="22"/>
          <w:highlight w:val="none"/>
          <w:lang w:eastAsia="zh-CN"/>
        </w:rPr>
        <w:t>。</w:t>
      </w:r>
    </w:p>
    <w:p w14:paraId="58393805">
      <w:pPr>
        <w:spacing w:line="360" w:lineRule="auto"/>
        <w:ind w:firstLine="480" w:firstLineChars="200"/>
        <w:rPr>
          <w:rFonts w:hint="eastAsia" w:ascii="宋体" w:hAnsi="宋体" w:cs="@仿宋_GB2312"/>
          <w:color w:val="auto"/>
          <w:kern w:val="2"/>
          <w:sz w:val="24"/>
          <w:szCs w:val="22"/>
          <w:highlight w:val="none"/>
        </w:rPr>
      </w:pPr>
      <w:r>
        <w:rPr>
          <w:rFonts w:hint="eastAsia" w:ascii="宋体" w:hAnsi="宋体" w:cs="@仿宋_GB2312"/>
          <w:color w:val="auto"/>
          <w:kern w:val="2"/>
          <w:sz w:val="24"/>
          <w:szCs w:val="22"/>
          <w:highlight w:val="none"/>
        </w:rPr>
        <w:t>（4）由于前期不可预见，而新增加的施工内容，经相关部门出具设计变更及处理方案后，方可调整相应费用。</w:t>
      </w:r>
    </w:p>
    <w:p w14:paraId="2B4FA1BE">
      <w:pPr>
        <w:spacing w:line="360" w:lineRule="auto"/>
        <w:ind w:firstLine="480" w:firstLineChars="200"/>
        <w:rPr>
          <w:rFonts w:hint="eastAsia"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（5）因天气、地形、施工环境等条件发生变化，采取</w:t>
      </w:r>
      <w:r>
        <w:rPr>
          <w:rFonts w:hint="eastAsia" w:ascii="宋体" w:hAnsi="宋体" w:eastAsia="宋体" w:cs="@仿宋_GB2312"/>
          <w:b w:val="0"/>
          <w:bCs w:val="0"/>
          <w:color w:val="auto"/>
          <w:kern w:val="2"/>
          <w:sz w:val="24"/>
          <w:szCs w:val="22"/>
          <w:highlight w:val="none"/>
        </w:rPr>
        <w:t>临时措施工程</w:t>
      </w:r>
      <w:r>
        <w:rPr>
          <w:rFonts w:hint="eastAsia" w:ascii="宋体" w:hAnsi="宋体" w:eastAsia="宋体" w:cs="@仿宋_GB2312"/>
          <w:color w:val="auto"/>
          <w:kern w:val="2"/>
          <w:sz w:val="24"/>
          <w:szCs w:val="22"/>
          <w:highlight w:val="none"/>
        </w:rPr>
        <w:t>增加的费用或场地内可见障碍物清除的费用包含在报价内。</w:t>
      </w:r>
    </w:p>
    <w:p w14:paraId="68BC90D3">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lang w:val="en-US" w:eastAsia="zh-CN"/>
        </w:rPr>
        <w:t>.2.工程量清单及报价要求</w:t>
      </w:r>
    </w:p>
    <w:p w14:paraId="108464C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b/>
          <w:bCs/>
          <w:color w:val="auto"/>
          <w:sz w:val="24"/>
          <w:szCs w:val="24"/>
          <w:highlight w:val="none"/>
          <w:shd w:val="clear" w:color="auto" w:fill="auto"/>
          <w:lang w:val="en-US" w:eastAsia="zh-CN"/>
        </w:rPr>
      </w:pPr>
      <w:r>
        <w:rPr>
          <w:rFonts w:hint="eastAsia" w:ascii="Times New Roman" w:hAnsi="Times New Roman"/>
          <w:b/>
          <w:bCs/>
          <w:color w:val="auto"/>
          <w:sz w:val="24"/>
          <w:szCs w:val="24"/>
          <w:highlight w:val="none"/>
          <w:shd w:val="clear" w:color="auto" w:fill="auto"/>
          <w:lang w:val="en-US" w:eastAsia="zh-CN"/>
        </w:rPr>
        <w:t xml:space="preserve">    详见附件</w:t>
      </w:r>
    </w:p>
    <w:p w14:paraId="2862404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b/>
          <w:bCs/>
          <w:color w:val="auto"/>
          <w:sz w:val="24"/>
          <w:szCs w:val="24"/>
          <w:highlight w:val="none"/>
          <w:shd w:val="clear" w:color="auto" w:fill="auto"/>
          <w:lang w:val="en-US" w:eastAsia="zh-CN"/>
        </w:rPr>
      </w:pPr>
      <w:r>
        <w:rPr>
          <w:rFonts w:hint="eastAsia" w:ascii="Times New Roman" w:hAnsi="Times New Roman" w:eastAsia="宋体"/>
          <w:b/>
          <w:bCs/>
          <w:color w:val="auto"/>
          <w:sz w:val="24"/>
          <w:szCs w:val="24"/>
          <w:highlight w:val="none"/>
          <w:shd w:val="clear" w:color="auto" w:fill="auto"/>
          <w:lang w:val="en-US" w:eastAsia="zh-CN"/>
        </w:rPr>
        <w:t>注：</w:t>
      </w:r>
    </w:p>
    <w:p w14:paraId="3910C7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b/>
          <w:bCs/>
          <w:color w:val="auto"/>
          <w:sz w:val="24"/>
          <w:szCs w:val="24"/>
          <w:highlight w:val="none"/>
          <w:shd w:val="clear" w:color="auto" w:fill="auto"/>
          <w:lang w:val="en-US" w:eastAsia="zh-CN"/>
        </w:rPr>
      </w:pPr>
      <w:r>
        <w:rPr>
          <w:rFonts w:hint="eastAsia" w:ascii="Times New Roman" w:hAnsi="Times New Roman" w:eastAsia="宋体"/>
          <w:b/>
          <w:bCs/>
          <w:color w:val="auto"/>
          <w:sz w:val="24"/>
          <w:szCs w:val="24"/>
          <w:highlight w:val="none"/>
          <w:shd w:val="clear" w:color="auto" w:fill="auto"/>
          <w:lang w:val="en-US" w:eastAsia="zh-CN"/>
        </w:rPr>
        <w:t>响应报价需包含临时工程措施费和所有设备的运输、安装、调试及运行维护等整个项目施工建设的完整报价，同时包括系统整体建设过程中的线缆、辅助材料等费用；</w:t>
      </w:r>
    </w:p>
    <w:p w14:paraId="338CF3A5">
      <w:pPr>
        <w:rPr>
          <w:rFonts w:hint="eastAsia" w:ascii="宋体" w:hAnsi="宋体"/>
          <w:b/>
          <w:color w:val="auto"/>
          <w:sz w:val="24"/>
          <w:szCs w:val="18"/>
          <w:highlight w:val="yellow"/>
          <w:lang w:eastAsia="zh-CN"/>
        </w:rPr>
      </w:pPr>
      <w:r>
        <w:rPr>
          <w:rFonts w:hint="default"/>
          <w:color w:val="auto"/>
          <w:highlight w:val="yellow"/>
        </w:rPr>
        <w:br w:type="page"/>
      </w:r>
    </w:p>
    <w:p w14:paraId="1CDA4965">
      <w:pPr>
        <w:pStyle w:val="5"/>
        <w:pageBreakBefore w:val="0"/>
        <w:widowControl w:val="0"/>
        <w:kinsoku/>
        <w:wordWrap/>
        <w:overflowPunct/>
        <w:topLinePunct w:val="0"/>
        <w:autoSpaceDE/>
        <w:autoSpaceDN/>
        <w:bidi w:val="0"/>
        <w:adjustRightInd/>
        <w:snapToGrid/>
        <w:ind w:firstLine="562" w:firstLineChars="200"/>
        <w:textAlignment w:val="auto"/>
        <w:rPr>
          <w:rFonts w:hint="default" w:cs="宋体"/>
          <w:color w:val="FF0000"/>
          <w:highlight w:val="none"/>
          <w:lang w:val="en-US" w:eastAsia="zh-CN"/>
        </w:rPr>
      </w:pPr>
      <w:r>
        <w:rPr>
          <w:rFonts w:hint="eastAsia" w:cs="宋体"/>
          <w:color w:val="auto"/>
          <w:highlight w:val="none"/>
          <w:lang w:val="en-US" w:eastAsia="zh-CN"/>
        </w:rPr>
        <w:t>4.技术参数</w:t>
      </w:r>
      <w:r>
        <w:rPr>
          <w:rFonts w:hint="eastAsia" w:cs="宋体"/>
          <w:color w:val="FF0000"/>
          <w:highlight w:val="none"/>
          <w:lang w:val="en-US" w:eastAsia="zh-CN"/>
        </w:rPr>
        <w:t>（以下设备须提供质保承诺）</w:t>
      </w:r>
    </w:p>
    <w:p w14:paraId="6BC07AF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4.1</w:t>
      </w:r>
      <w:r>
        <w:rPr>
          <w:rFonts w:hint="default" w:ascii="宋体" w:hAnsi="宋体" w:eastAsia="宋体" w:cs="@仿宋_GB2312"/>
          <w:b/>
          <w:bCs/>
          <w:color w:val="auto"/>
          <w:kern w:val="2"/>
          <w:sz w:val="24"/>
          <w:szCs w:val="22"/>
          <w:highlight w:val="none"/>
          <w:lang w:val="en-US" w:eastAsia="zh-CN"/>
        </w:rPr>
        <w:t>热成像观测型双目监控摄像机</w:t>
      </w:r>
    </w:p>
    <w:p w14:paraId="0AC47E3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w:t>
      </w:r>
      <w:r>
        <w:rPr>
          <w:rFonts w:hint="eastAsia" w:ascii="宋体" w:hAnsi="宋体" w:eastAsia="宋体" w:cs="@仿宋_GB2312"/>
          <w:b/>
          <w:bCs/>
          <w:color w:val="auto"/>
          <w:kern w:val="2"/>
          <w:sz w:val="24"/>
          <w:szCs w:val="22"/>
          <w:highlight w:val="none"/>
          <w:lang w:val="en-US" w:eastAsia="en-US"/>
        </w:rPr>
        <w:t>具体技术参数</w:t>
      </w:r>
      <w:r>
        <w:rPr>
          <w:rFonts w:hint="eastAsia" w:cs="@仿宋_GB2312"/>
          <w:b/>
          <w:bCs/>
          <w:color w:val="auto"/>
          <w:kern w:val="2"/>
          <w:sz w:val="24"/>
          <w:szCs w:val="22"/>
          <w:highlight w:val="none"/>
          <w:lang w:val="en-US" w:eastAsia="zh-CN"/>
        </w:rPr>
        <w:t>不低于</w:t>
      </w:r>
      <w:r>
        <w:rPr>
          <w:rFonts w:hint="eastAsia" w:ascii="宋体" w:hAnsi="宋体" w:eastAsia="宋体" w:cs="@仿宋_GB2312"/>
          <w:b/>
          <w:bCs/>
          <w:color w:val="auto"/>
          <w:kern w:val="2"/>
          <w:sz w:val="24"/>
          <w:szCs w:val="22"/>
          <w:highlight w:val="none"/>
          <w:lang w:val="en-US" w:eastAsia="en-US"/>
        </w:rPr>
        <w:t>以下要求：</w:t>
      </w:r>
    </w:p>
    <w:p w14:paraId="74467CE5">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00545B8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zh-CN"/>
        </w:rPr>
        <w:t>热成像分辨率</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384 × 288；热成像焦距</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 xml:space="preserve">50 mm； </w:t>
      </w:r>
    </w:p>
    <w:p w14:paraId="485764A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w:t>
      </w:r>
      <w:r>
        <w:rPr>
          <w:rFonts w:hint="default" w:ascii="宋体" w:hAnsi="宋体" w:eastAsia="宋体" w:cs="@仿宋_GB2312"/>
          <w:color w:val="auto"/>
          <w:kern w:val="2"/>
          <w:sz w:val="24"/>
          <w:szCs w:val="22"/>
          <w:highlight w:val="none"/>
          <w:lang w:val="en-US" w:eastAsia="zh-CN"/>
        </w:rPr>
        <w:t>可见光分辨率</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2688 × 1520，</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400万实时高清</w:t>
      </w:r>
      <w:r>
        <w:rPr>
          <w:rFonts w:hint="eastAsia" w:cs="@仿宋_GB2312"/>
          <w:color w:val="auto"/>
          <w:kern w:val="2"/>
          <w:sz w:val="24"/>
          <w:szCs w:val="22"/>
          <w:highlight w:val="none"/>
          <w:lang w:val="en-US" w:eastAsia="zh-CN"/>
        </w:rPr>
        <w:t>；</w:t>
      </w:r>
    </w:p>
    <w:p w14:paraId="1815905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zh-CN"/>
        </w:rPr>
        <w:t>可见光焦距：</w:t>
      </w:r>
      <w:r>
        <w:rPr>
          <w:rFonts w:hint="eastAsia" w:ascii="宋体" w:hAnsi="宋体"/>
          <w:color w:val="000000"/>
          <w:sz w:val="21"/>
          <w:szCs w:val="21"/>
          <w:lang w:eastAsia="zh-CN"/>
        </w:rPr>
        <w:t>最大焦距不小于</w:t>
      </w:r>
      <w:r>
        <w:rPr>
          <w:rFonts w:ascii="宋体" w:hAnsi="宋体"/>
          <w:color w:val="000000"/>
          <w:sz w:val="21"/>
          <w:szCs w:val="21"/>
          <w:lang w:eastAsia="zh-CN"/>
        </w:rPr>
        <w:t>33</w:t>
      </w:r>
      <w:r>
        <w:rPr>
          <w:rFonts w:hint="default" w:ascii="宋体" w:hAnsi="宋体" w:eastAsia="宋体" w:cs="@仿宋_GB2312"/>
          <w:color w:val="auto"/>
          <w:kern w:val="2"/>
          <w:sz w:val="24"/>
          <w:szCs w:val="22"/>
          <w:highlight w:val="none"/>
          <w:lang w:val="en-US" w:eastAsia="zh-CN"/>
        </w:rPr>
        <w:t>6 mm，光学变倍</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 xml:space="preserve">56倍 </w:t>
      </w:r>
      <w:r>
        <w:rPr>
          <w:rFonts w:hint="eastAsia" w:cs="@仿宋_GB2312"/>
          <w:color w:val="auto"/>
          <w:kern w:val="2"/>
          <w:sz w:val="24"/>
          <w:szCs w:val="22"/>
          <w:highlight w:val="none"/>
          <w:lang w:val="en-US" w:eastAsia="zh-CN"/>
        </w:rPr>
        <w:t>；</w:t>
      </w:r>
    </w:p>
    <w:p w14:paraId="24C2054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（4）</w:t>
      </w:r>
      <w:r>
        <w:rPr>
          <w:rFonts w:hint="default" w:ascii="宋体" w:hAnsi="宋体" w:eastAsia="宋体" w:cs="@仿宋_GB2312"/>
          <w:color w:val="auto"/>
          <w:kern w:val="2"/>
          <w:sz w:val="24"/>
          <w:szCs w:val="22"/>
          <w:highlight w:val="none"/>
          <w:lang w:val="en-US" w:eastAsia="zh-CN"/>
        </w:rPr>
        <w:t>可见光补光功能：红外补光有效距离</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150 m</w:t>
      </w:r>
      <w:r>
        <w:rPr>
          <w:rFonts w:hint="eastAsia" w:cs="@仿宋_GB2312"/>
          <w:color w:val="auto"/>
          <w:kern w:val="2"/>
          <w:sz w:val="24"/>
          <w:szCs w:val="22"/>
          <w:highlight w:val="none"/>
          <w:lang w:val="en-US" w:eastAsia="zh-CN"/>
        </w:rPr>
        <w:t>；</w:t>
      </w:r>
    </w:p>
    <w:p w14:paraId="44C1347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（5）可见光透雾功能：支持光学透雾和算法透雾</w:t>
      </w:r>
    </w:p>
    <w:p w14:paraId="12ED39A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（6）可见光防抖功能：陀螺仪电子防抖</w:t>
      </w:r>
    </w:p>
    <w:p w14:paraId="4402A99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 xml:space="preserve">（7）水平范围：360°连续旋转，垂直范围：-20°~90° </w:t>
      </w:r>
    </w:p>
    <w:p w14:paraId="3422DA2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（8）</w:t>
      </w:r>
      <w:r>
        <w:rPr>
          <w:rFonts w:hint="default" w:ascii="宋体" w:hAnsi="宋体" w:eastAsia="宋体" w:cs="@仿宋_GB2312"/>
          <w:color w:val="auto"/>
          <w:kern w:val="2"/>
          <w:sz w:val="24"/>
          <w:szCs w:val="22"/>
          <w:highlight w:val="none"/>
          <w:lang w:val="en-US" w:eastAsia="zh-CN"/>
        </w:rPr>
        <w:t>功率：整机静态功耗≈30W  运动功耗≤50W  整机最大峰值功耗≤65W（开启除冰加热）</w:t>
      </w:r>
      <w:r>
        <w:rPr>
          <w:rFonts w:hint="eastAsia" w:cs="@仿宋_GB2312"/>
          <w:color w:val="auto"/>
          <w:kern w:val="2"/>
          <w:sz w:val="24"/>
          <w:szCs w:val="22"/>
          <w:highlight w:val="none"/>
          <w:lang w:val="en-US" w:eastAsia="zh-CN"/>
        </w:rPr>
        <w:t>；</w:t>
      </w:r>
    </w:p>
    <w:p w14:paraId="7E76B28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（9）</w:t>
      </w:r>
      <w:r>
        <w:rPr>
          <w:rFonts w:hint="default" w:ascii="宋体" w:hAnsi="宋体" w:eastAsia="宋体" w:cs="@仿宋_GB2312"/>
          <w:color w:val="auto"/>
          <w:kern w:val="2"/>
          <w:sz w:val="24"/>
          <w:szCs w:val="22"/>
          <w:highlight w:val="none"/>
          <w:lang w:val="en-US" w:eastAsia="zh-CN"/>
        </w:rPr>
        <w:t>工作温度和湿度：-40 ℃~70 ℃，＜90% RH</w:t>
      </w:r>
      <w:r>
        <w:rPr>
          <w:rFonts w:hint="eastAsia" w:cs="@仿宋_GB2312"/>
          <w:color w:val="auto"/>
          <w:kern w:val="2"/>
          <w:sz w:val="24"/>
          <w:szCs w:val="22"/>
          <w:highlight w:val="none"/>
          <w:lang w:val="en-US" w:eastAsia="zh-CN"/>
        </w:rPr>
        <w:t>；</w:t>
      </w:r>
    </w:p>
    <w:p w14:paraId="7A99FC2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（10）</w:t>
      </w:r>
      <w:r>
        <w:rPr>
          <w:rFonts w:hint="default" w:ascii="宋体" w:hAnsi="宋体" w:eastAsia="宋体" w:cs="@仿宋_GB2312"/>
          <w:color w:val="auto"/>
          <w:kern w:val="2"/>
          <w:sz w:val="24"/>
          <w:szCs w:val="22"/>
          <w:highlight w:val="none"/>
          <w:lang w:val="en-US" w:eastAsia="zh-CN"/>
        </w:rPr>
        <w:t>防护等级</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IP66，TVS 6000V 防雷、防浪涌、防突波，符合GB/T17626.5 四级标准</w:t>
      </w:r>
      <w:r>
        <w:rPr>
          <w:rFonts w:hint="eastAsia" w:cs="@仿宋_GB2312"/>
          <w:color w:val="auto"/>
          <w:kern w:val="2"/>
          <w:sz w:val="24"/>
          <w:szCs w:val="22"/>
          <w:highlight w:val="none"/>
          <w:lang w:val="en-US" w:eastAsia="zh-CN"/>
        </w:rPr>
        <w:t>。</w:t>
      </w:r>
    </w:p>
    <w:p w14:paraId="6E708B79">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4.2</w:t>
      </w:r>
      <w:r>
        <w:rPr>
          <w:rFonts w:hint="default" w:ascii="宋体" w:hAnsi="宋体" w:eastAsia="宋体" w:cs="@仿宋_GB2312"/>
          <w:b/>
          <w:bCs/>
          <w:color w:val="auto"/>
          <w:kern w:val="2"/>
          <w:sz w:val="24"/>
          <w:szCs w:val="22"/>
          <w:highlight w:val="none"/>
          <w:lang w:val="en-US" w:eastAsia="zh-CN"/>
        </w:rPr>
        <w:t>热成像双光谱中载云台</w:t>
      </w:r>
    </w:p>
    <w:p w14:paraId="299FAC0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为保证系统精度和长期稳定性，设备性能水平不低于海康威视、大华、宇视产品。具体技术参数需满足以下要求：</w:t>
      </w:r>
    </w:p>
    <w:p w14:paraId="2152598C">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20B539D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热成像双光谱中载云台更换，参数不低于：</w:t>
      </w:r>
    </w:p>
    <w:p w14:paraId="07E610A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（1）热成像分辨率不低于640 × 512，热成像焦距不低于100 mm；</w:t>
      </w:r>
    </w:p>
    <w:p w14:paraId="5B85F51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（2）可见光分辨率不低于2688 x 1520，不低于400万实时高清；</w:t>
      </w:r>
    </w:p>
    <w:p w14:paraId="64D3E73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zh-CN"/>
        </w:rPr>
        <w:t>可见光焦距：</w:t>
      </w:r>
      <w:r>
        <w:rPr>
          <w:rFonts w:hint="eastAsia" w:ascii="宋体" w:hAnsi="宋体"/>
          <w:color w:val="000000"/>
          <w:sz w:val="21"/>
          <w:szCs w:val="21"/>
          <w:lang w:eastAsia="zh-CN"/>
        </w:rPr>
        <w:t>最大焦距不小于</w:t>
      </w:r>
      <w:r>
        <w:rPr>
          <w:rFonts w:ascii="宋体" w:hAnsi="宋体"/>
          <w:color w:val="000000"/>
          <w:sz w:val="21"/>
          <w:szCs w:val="21"/>
          <w:lang w:eastAsia="zh-CN"/>
        </w:rPr>
        <w:t>33</w:t>
      </w:r>
      <w:r>
        <w:rPr>
          <w:rFonts w:hint="default" w:ascii="宋体" w:hAnsi="宋体" w:eastAsia="宋体" w:cs="@仿宋_GB2312"/>
          <w:color w:val="auto"/>
          <w:kern w:val="2"/>
          <w:sz w:val="24"/>
          <w:szCs w:val="22"/>
          <w:highlight w:val="none"/>
          <w:lang w:val="en-US" w:eastAsia="zh-CN"/>
        </w:rPr>
        <w:t>6 mm，光学变倍</w:t>
      </w:r>
      <w:r>
        <w:rPr>
          <w:rFonts w:hint="eastAsia" w:cs="@仿宋_GB2312"/>
          <w:color w:val="auto"/>
          <w:kern w:val="2"/>
          <w:sz w:val="24"/>
          <w:szCs w:val="22"/>
          <w:highlight w:val="none"/>
          <w:lang w:val="en-US" w:eastAsia="zh-CN"/>
        </w:rPr>
        <w:t>不低于</w:t>
      </w:r>
      <w:r>
        <w:rPr>
          <w:rFonts w:hint="default" w:ascii="宋体" w:hAnsi="宋体" w:eastAsia="宋体" w:cs="@仿宋_GB2312"/>
          <w:color w:val="auto"/>
          <w:kern w:val="2"/>
          <w:sz w:val="24"/>
          <w:szCs w:val="22"/>
          <w:highlight w:val="none"/>
          <w:lang w:val="en-US" w:eastAsia="zh-CN"/>
        </w:rPr>
        <w:t xml:space="preserve">56倍 </w:t>
      </w:r>
      <w:r>
        <w:rPr>
          <w:rFonts w:hint="eastAsia" w:cs="@仿宋_GB2312"/>
          <w:color w:val="auto"/>
          <w:kern w:val="2"/>
          <w:sz w:val="24"/>
          <w:szCs w:val="22"/>
          <w:highlight w:val="none"/>
          <w:lang w:val="en-US" w:eastAsia="zh-CN"/>
        </w:rPr>
        <w:t>；</w:t>
      </w:r>
    </w:p>
    <w:p w14:paraId="4359132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 xml:space="preserve">（4）可见光补光功能：激光补光有效距离不低于800 m </w:t>
      </w:r>
    </w:p>
    <w:p w14:paraId="073096A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（5）可见光透雾功能：支持光学透雾和算法透雾</w:t>
      </w:r>
    </w:p>
    <w:p w14:paraId="135DE49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（6）可见光防抖功能：陀螺仪电子防抖</w:t>
      </w:r>
    </w:p>
    <w:p w14:paraId="42FA09E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 xml:space="preserve">（7）水平范围：360°连续旋转，垂直范围：+40°~-90° </w:t>
      </w:r>
    </w:p>
    <w:p w14:paraId="20B88C5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（8）功率：工作功耗≤70 W，最大功耗≤130 W</w:t>
      </w:r>
    </w:p>
    <w:p w14:paraId="43FB787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（9）工作温度和湿度：-40 ℃~70 ℃，＜90% RH</w:t>
      </w:r>
    </w:p>
    <w:p w14:paraId="3B44287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（10）防护等级不低于IP66，电磁兼容符合GB/T17626.5四级标准</w:t>
      </w:r>
    </w:p>
    <w:p w14:paraId="2C75414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4.3高清网络</w:t>
      </w:r>
      <w:r>
        <w:rPr>
          <w:rFonts w:hint="default" w:ascii="宋体" w:hAnsi="宋体" w:eastAsia="宋体" w:cs="@仿宋_GB2312"/>
          <w:b/>
          <w:bCs/>
          <w:color w:val="auto"/>
          <w:kern w:val="2"/>
          <w:sz w:val="24"/>
          <w:szCs w:val="22"/>
          <w:highlight w:val="none"/>
          <w:lang w:val="en-US" w:eastAsia="zh-CN"/>
        </w:rPr>
        <w:t>枪型摄像机</w:t>
      </w:r>
    </w:p>
    <w:p w14:paraId="7E6F19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为保证系统精度和长期稳定性，设备性能水平不低于海康威视、大华、宇视产品。具体技术参数需满足以下要求：</w:t>
      </w:r>
    </w:p>
    <w:p w14:paraId="307BEC69">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7AEBEE6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(1)像素不低于400万；图像传感器CMOS尺寸不小于1/3英寸；</w:t>
      </w:r>
    </w:p>
    <w:p w14:paraId="076ED8D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(2)最大输出图像分辨率不低于2560X1440@25fps;</w:t>
      </w:r>
    </w:p>
    <w:p w14:paraId="7AA3A6E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(3)支持H.265编码；</w:t>
      </w:r>
    </w:p>
    <w:p w14:paraId="1E8DC48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(4)内置红外补光灯，最大红外监控距离不低于50米；</w:t>
      </w:r>
    </w:p>
    <w:p w14:paraId="5E26409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zh-CN"/>
        </w:rPr>
        <w:t>)支持DC12V和POE供电方式；</w:t>
      </w:r>
    </w:p>
    <w:p w14:paraId="0B550B5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zh-CN"/>
        </w:rPr>
        <w:t>)防护等级不低于IP67</w:t>
      </w:r>
      <w:r>
        <w:rPr>
          <w:rFonts w:hint="default" w:ascii="宋体" w:hAnsi="宋体" w:eastAsia="宋体" w:cs="@仿宋_GB2312"/>
          <w:color w:val="auto"/>
          <w:kern w:val="2"/>
          <w:sz w:val="24"/>
          <w:szCs w:val="22"/>
          <w:highlight w:val="none"/>
          <w:lang w:val="en-US" w:eastAsia="zh-CN"/>
        </w:rPr>
        <w:t>。</w:t>
      </w:r>
    </w:p>
    <w:p w14:paraId="51508A51">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4.4</w:t>
      </w:r>
      <w:r>
        <w:rPr>
          <w:rFonts w:hint="default" w:ascii="宋体" w:hAnsi="宋体" w:eastAsia="宋体" w:cs="@仿宋_GB2312"/>
          <w:b/>
          <w:bCs/>
          <w:color w:val="auto"/>
          <w:kern w:val="2"/>
          <w:sz w:val="24"/>
          <w:szCs w:val="22"/>
          <w:highlight w:val="none"/>
          <w:lang w:val="en-US" w:eastAsia="zh-CN"/>
        </w:rPr>
        <w:t>高清网络半球形摄像机</w:t>
      </w:r>
    </w:p>
    <w:p w14:paraId="06EF445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为保证系统精度和长期稳定性，设备性能水平不低于海康威视、大华、宇视产品。具体技术参数需满足以下要求：</w:t>
      </w:r>
    </w:p>
    <w:p w14:paraId="5A355AB3">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34FA2E1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zh-CN"/>
        </w:rPr>
        <w:t>像素不低于400万；图像传感器CMOS尺寸不小于1/2.7英寸；</w:t>
      </w:r>
    </w:p>
    <w:p w14:paraId="484EE01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最大输出图像分辨率不低于2592</w:t>
      </w:r>
      <w:r>
        <w:rPr>
          <w:rFonts w:hint="eastAsia" w:cs="@仿宋_GB2312"/>
          <w:color w:val="auto"/>
          <w:kern w:val="2"/>
          <w:sz w:val="24"/>
          <w:szCs w:val="22"/>
          <w:highlight w:val="none"/>
          <w:lang w:val="en-US" w:eastAsia="zh-CN"/>
        </w:rPr>
        <w:t>*</w:t>
      </w:r>
      <w:r>
        <w:rPr>
          <w:rFonts w:hint="eastAsia" w:ascii="宋体" w:hAnsi="宋体" w:eastAsia="宋体" w:cs="@仿宋_GB2312"/>
          <w:color w:val="auto"/>
          <w:kern w:val="2"/>
          <w:sz w:val="24"/>
          <w:szCs w:val="22"/>
          <w:highlight w:val="none"/>
          <w:lang w:val="en-US" w:eastAsia="zh-CN"/>
        </w:rPr>
        <w:t>1520@20fps；</w:t>
      </w:r>
    </w:p>
    <w:p w14:paraId="488F67E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zh-CN"/>
        </w:rPr>
        <w:t>支持H.265/H.264H智能编码，R0I区域增强，SVC自适应编码，适用不同带宽和存储环境；</w:t>
      </w:r>
    </w:p>
    <w:p w14:paraId="6B594A6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zh-CN"/>
        </w:rPr>
        <w:t>最大红外监控距离不低于50米；</w:t>
      </w:r>
    </w:p>
    <w:p w14:paraId="0B993D0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5</w:t>
      </w:r>
      <w:r>
        <w:rPr>
          <w:rFonts w:hint="default" w:ascii="宋体" w:hAnsi="宋体" w:eastAsia="宋体" w:cs="@仿宋_GB2312"/>
          <w:color w:val="auto"/>
          <w:kern w:val="2"/>
          <w:sz w:val="24"/>
          <w:szCs w:val="22"/>
          <w:highlight w:val="none"/>
          <w:lang w:val="en-US" w:eastAsia="zh-CN"/>
        </w:rPr>
        <w:t>)</w:t>
      </w:r>
      <w:r>
        <w:rPr>
          <w:rFonts w:hint="eastAsia" w:ascii="宋体" w:hAnsi="宋体" w:eastAsia="宋体" w:cs="@仿宋_GB2312"/>
          <w:color w:val="auto"/>
          <w:kern w:val="2"/>
          <w:sz w:val="24"/>
          <w:szCs w:val="22"/>
          <w:highlight w:val="none"/>
          <w:lang w:val="en-US" w:eastAsia="zh-CN"/>
        </w:rPr>
        <w:t>支持DC12V和POE供电方式，宽压设计；</w:t>
      </w:r>
    </w:p>
    <w:p w14:paraId="57327B3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default" w:ascii="宋体" w:hAnsi="宋体" w:eastAsia="宋体" w:cs="@仿宋_GB2312"/>
          <w:color w:val="auto"/>
          <w:kern w:val="2"/>
          <w:sz w:val="24"/>
          <w:szCs w:val="22"/>
          <w:highlight w:val="none"/>
          <w:lang w:val="en-US" w:eastAsia="zh-CN"/>
        </w:rPr>
        <w:t>(</w:t>
      </w:r>
      <w:r>
        <w:rPr>
          <w:rFonts w:hint="eastAsia" w:cs="@仿宋_GB2312"/>
          <w:color w:val="auto"/>
          <w:kern w:val="2"/>
          <w:sz w:val="24"/>
          <w:szCs w:val="22"/>
          <w:highlight w:val="none"/>
          <w:lang w:val="en-US" w:eastAsia="zh-CN"/>
        </w:rPr>
        <w:t>6</w:t>
      </w:r>
      <w:r>
        <w:rPr>
          <w:rFonts w:hint="default" w:ascii="宋体" w:hAnsi="宋体" w:eastAsia="宋体" w:cs="@仿宋_GB2312"/>
          <w:color w:val="auto"/>
          <w:kern w:val="2"/>
          <w:sz w:val="24"/>
          <w:szCs w:val="22"/>
          <w:highlight w:val="none"/>
          <w:lang w:val="en-US" w:eastAsia="zh-CN"/>
        </w:rPr>
        <w:t>)</w:t>
      </w:r>
      <w:r>
        <w:rPr>
          <w:rFonts w:hint="eastAsia" w:ascii="宋体" w:hAnsi="宋体" w:eastAsia="宋体" w:cs="@仿宋_GB2312"/>
          <w:color w:val="auto"/>
          <w:kern w:val="2"/>
          <w:sz w:val="24"/>
          <w:szCs w:val="22"/>
          <w:highlight w:val="none"/>
          <w:lang w:val="en-US" w:eastAsia="zh-CN"/>
        </w:rPr>
        <w:t>防护等级不低于IP67。</w:t>
      </w:r>
    </w:p>
    <w:p w14:paraId="0FFB0A0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4.5高清网络球</w:t>
      </w:r>
      <w:r>
        <w:rPr>
          <w:rFonts w:hint="default" w:ascii="宋体" w:hAnsi="宋体" w:eastAsia="宋体" w:cs="@仿宋_GB2312"/>
          <w:b/>
          <w:bCs/>
          <w:color w:val="auto"/>
          <w:kern w:val="2"/>
          <w:sz w:val="24"/>
          <w:szCs w:val="22"/>
          <w:highlight w:val="none"/>
          <w:lang w:val="en-US" w:eastAsia="zh-CN"/>
        </w:rPr>
        <w:t>型摄像机</w:t>
      </w:r>
      <w:r>
        <w:rPr>
          <w:rFonts w:hint="eastAsia" w:ascii="宋体" w:hAnsi="宋体" w:eastAsia="宋体" w:cs="@仿宋_GB2312"/>
          <w:b/>
          <w:bCs/>
          <w:color w:val="auto"/>
          <w:kern w:val="2"/>
          <w:sz w:val="24"/>
          <w:szCs w:val="22"/>
          <w:highlight w:val="none"/>
          <w:lang w:val="en-US" w:eastAsia="zh-CN"/>
        </w:rPr>
        <w:t>1</w:t>
      </w:r>
    </w:p>
    <w:p w14:paraId="13DF28C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为保证系统精度和长期稳定性，设备性能水平不低于海康威视、大华、宇视产品。具体技术参数需满足以下要求：</w:t>
      </w:r>
    </w:p>
    <w:p w14:paraId="4B862955">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4D3AEC1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zh-CN"/>
        </w:rPr>
        <w:t>不低于400万像素；</w:t>
      </w:r>
    </w:p>
    <w:p w14:paraId="1414ADE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（2）</w:t>
      </w:r>
      <w:r>
        <w:rPr>
          <w:rFonts w:hint="default" w:ascii="宋体" w:hAnsi="宋体" w:eastAsia="宋体" w:cs="@仿宋_GB2312"/>
          <w:color w:val="auto"/>
          <w:kern w:val="2"/>
          <w:sz w:val="24"/>
          <w:szCs w:val="22"/>
          <w:highlight w:val="none"/>
          <w:lang w:val="en-US" w:eastAsia="zh-CN"/>
        </w:rPr>
        <w:t>支持区域入侵侦测，越界侦测，进入区域侦测和离开区域侦测等智能侦测；</w:t>
      </w:r>
    </w:p>
    <w:p w14:paraId="07622F6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zh-CN"/>
        </w:rPr>
        <w:t>采用高效补光阵列，红外补光；</w:t>
      </w:r>
    </w:p>
    <w:p w14:paraId="196B532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（4）</w:t>
      </w:r>
      <w:r>
        <w:rPr>
          <w:rFonts w:hint="default" w:ascii="宋体" w:hAnsi="宋体" w:eastAsia="宋体" w:cs="@仿宋_GB2312"/>
          <w:color w:val="auto"/>
          <w:kern w:val="2"/>
          <w:sz w:val="24"/>
          <w:szCs w:val="22"/>
          <w:highlight w:val="none"/>
          <w:lang w:val="en-US" w:eastAsia="zh-CN"/>
        </w:rPr>
        <w:t>不低于23倍光学变倍，16倍数字变倍；</w:t>
      </w:r>
    </w:p>
    <w:p w14:paraId="1B33C10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4.6 高清网络球</w:t>
      </w:r>
      <w:r>
        <w:rPr>
          <w:rFonts w:hint="default" w:ascii="宋体" w:hAnsi="宋体" w:eastAsia="宋体" w:cs="@仿宋_GB2312"/>
          <w:b/>
          <w:bCs/>
          <w:color w:val="auto"/>
          <w:kern w:val="2"/>
          <w:sz w:val="24"/>
          <w:szCs w:val="22"/>
          <w:highlight w:val="none"/>
          <w:lang w:val="en-US" w:eastAsia="zh-CN"/>
        </w:rPr>
        <w:t>型摄像机</w:t>
      </w:r>
      <w:r>
        <w:rPr>
          <w:rFonts w:hint="eastAsia" w:ascii="宋体" w:hAnsi="宋体" w:eastAsia="宋体" w:cs="@仿宋_GB2312"/>
          <w:b/>
          <w:bCs/>
          <w:color w:val="auto"/>
          <w:kern w:val="2"/>
          <w:sz w:val="24"/>
          <w:szCs w:val="22"/>
          <w:highlight w:val="none"/>
          <w:lang w:val="en-US" w:eastAsia="zh-CN"/>
        </w:rPr>
        <w:t>2</w:t>
      </w:r>
    </w:p>
    <w:p w14:paraId="2918791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为保证系统精度和长期稳定性，设备性能水平不低于海康威视、大华、宇视产品。具体技术参数需满足以下要求：</w:t>
      </w:r>
    </w:p>
    <w:p w14:paraId="3EB731B1">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6D3CA21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zh-CN"/>
        </w:rPr>
        <w:t>不低于400万像素；</w:t>
      </w:r>
    </w:p>
    <w:p w14:paraId="386BCC2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（2）</w:t>
      </w:r>
      <w:r>
        <w:rPr>
          <w:rFonts w:hint="default" w:ascii="宋体" w:hAnsi="宋体" w:eastAsia="宋体" w:cs="@仿宋_GB2312"/>
          <w:color w:val="auto"/>
          <w:kern w:val="2"/>
          <w:sz w:val="24"/>
          <w:szCs w:val="22"/>
          <w:highlight w:val="none"/>
          <w:lang w:val="en-US" w:eastAsia="zh-CN"/>
        </w:rPr>
        <w:t>支持区域入侵侦测，越界侦测，进入区域侦测和离开区域侦测等智能侦测；</w:t>
      </w:r>
    </w:p>
    <w:p w14:paraId="0618A78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（3）</w:t>
      </w:r>
      <w:r>
        <w:rPr>
          <w:rFonts w:hint="default" w:ascii="宋体" w:hAnsi="宋体" w:eastAsia="宋体" w:cs="@仿宋_GB2312"/>
          <w:color w:val="auto"/>
          <w:kern w:val="2"/>
          <w:sz w:val="24"/>
          <w:szCs w:val="22"/>
          <w:highlight w:val="none"/>
          <w:lang w:val="en-US" w:eastAsia="zh-CN"/>
        </w:rPr>
        <w:t>采用高效补光阵列，红外补光；</w:t>
      </w:r>
    </w:p>
    <w:p w14:paraId="46BE421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（4）</w:t>
      </w:r>
      <w:r>
        <w:rPr>
          <w:rFonts w:hint="default" w:ascii="宋体" w:hAnsi="宋体" w:eastAsia="宋体" w:cs="@仿宋_GB2312"/>
          <w:color w:val="auto"/>
          <w:kern w:val="2"/>
          <w:sz w:val="24"/>
          <w:szCs w:val="22"/>
          <w:highlight w:val="none"/>
          <w:lang w:val="en-US" w:eastAsia="zh-CN"/>
        </w:rPr>
        <w:t>不低于23倍光学变倍，16倍数字变倍；</w:t>
      </w:r>
    </w:p>
    <w:p w14:paraId="28EF51F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（5）含256G存储卡；</w:t>
      </w:r>
    </w:p>
    <w:p w14:paraId="7100A8D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（6）支持sim卡接入</w:t>
      </w:r>
    </w:p>
    <w:p w14:paraId="52CD47D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4.7 硬盘录像机1</w:t>
      </w:r>
    </w:p>
    <w:p w14:paraId="5491E28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凤台局大兴所现有的</w:t>
      </w:r>
      <w:r>
        <w:rPr>
          <w:rFonts w:hint="eastAsia" w:ascii="宋体" w:hAnsi="宋体" w:eastAsia="宋体" w:cs="@仿宋_GB2312"/>
          <w:color w:val="auto"/>
          <w:kern w:val="2"/>
          <w:sz w:val="24"/>
          <w:szCs w:val="22"/>
          <w:highlight w:val="none"/>
          <w:lang w:val="en-US" w:eastAsia="zh-CN"/>
        </w:rPr>
        <w:t>8路4槽硬盘硬盘录像机更换</w:t>
      </w:r>
      <w:r>
        <w:rPr>
          <w:rFonts w:hint="eastAsia" w:cs="@仿宋_GB2312"/>
          <w:color w:val="auto"/>
          <w:kern w:val="2"/>
          <w:sz w:val="24"/>
          <w:szCs w:val="22"/>
          <w:highlight w:val="none"/>
          <w:lang w:val="en-US" w:eastAsia="zh-CN"/>
        </w:rPr>
        <w:t>（原有硬盘利旧）</w:t>
      </w:r>
      <w:r>
        <w:rPr>
          <w:rFonts w:hint="eastAsia" w:ascii="宋体" w:hAnsi="宋体" w:eastAsia="宋体" w:cs="@仿宋_GB2312"/>
          <w:color w:val="auto"/>
          <w:kern w:val="2"/>
          <w:sz w:val="24"/>
          <w:szCs w:val="22"/>
          <w:highlight w:val="none"/>
          <w:lang w:val="en-US" w:eastAsia="zh-CN"/>
        </w:rPr>
        <w:t>：</w:t>
      </w:r>
    </w:p>
    <w:p w14:paraId="660DB2A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为保证系统精度和长期稳定性，设备性能水平不低于海康威视、大华、宇视产品。具体技术参数需满足以下要求：</w:t>
      </w:r>
    </w:p>
    <w:p w14:paraId="2C794E05">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3B31F19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zh-CN"/>
        </w:rPr>
        <w:t>可接入</w:t>
      </w:r>
      <w:r>
        <w:rPr>
          <w:rFonts w:hint="eastAsia" w:ascii="宋体" w:hAnsi="宋体" w:eastAsia="宋体" w:cs="@仿宋_GB2312"/>
          <w:color w:val="auto"/>
          <w:kern w:val="2"/>
          <w:sz w:val="24"/>
          <w:szCs w:val="22"/>
          <w:highlight w:val="none"/>
          <w:lang w:val="en-US" w:eastAsia="zh-CN"/>
        </w:rPr>
        <w:t>不少于8</w:t>
      </w:r>
      <w:r>
        <w:rPr>
          <w:rFonts w:hint="default" w:ascii="宋体" w:hAnsi="宋体" w:eastAsia="宋体" w:cs="@仿宋_GB2312"/>
          <w:color w:val="auto"/>
          <w:kern w:val="2"/>
          <w:sz w:val="24"/>
          <w:szCs w:val="22"/>
          <w:highlight w:val="none"/>
          <w:lang w:val="en-US" w:eastAsia="zh-CN"/>
        </w:rPr>
        <w:t>路分辨率为1920×1080的视频图像；</w:t>
      </w:r>
    </w:p>
    <w:p w14:paraId="038547A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（2）不少于4个SATA接口；</w:t>
      </w:r>
    </w:p>
    <w:p w14:paraId="0926371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(3)支持最大接入带宽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320Mbps，最大存储带宽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320Mbps，最大转发带宽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256Mbps，最大回放带宽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256Mbps；</w:t>
      </w:r>
    </w:p>
    <w:p w14:paraId="3A5F8D3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(4)支持H.265高效视频编码码流，支持H.265、H.264 IP设备混合接入；</w:t>
      </w:r>
    </w:p>
    <w:p w14:paraId="1E829D8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(5)支持</w:t>
      </w:r>
      <w:r>
        <w:rPr>
          <w:rFonts w:hint="eastAsia" w:ascii="宋体" w:hAnsi="宋体" w:eastAsia="宋体" w:cs="@仿宋_GB2312"/>
          <w:color w:val="auto"/>
          <w:kern w:val="2"/>
          <w:sz w:val="24"/>
          <w:szCs w:val="22"/>
          <w:highlight w:val="none"/>
          <w:lang w:val="en-US" w:eastAsia="zh-CN"/>
        </w:rPr>
        <w:t>1个</w:t>
      </w:r>
      <w:r>
        <w:rPr>
          <w:rFonts w:hint="default" w:ascii="宋体" w:hAnsi="宋体" w:eastAsia="宋体" w:cs="@仿宋_GB2312"/>
          <w:color w:val="auto"/>
          <w:kern w:val="2"/>
          <w:sz w:val="24"/>
          <w:szCs w:val="22"/>
          <w:highlight w:val="none"/>
          <w:lang w:val="en-US" w:eastAsia="zh-CN"/>
        </w:rPr>
        <w:t>HDMI与</w:t>
      </w:r>
      <w:r>
        <w:rPr>
          <w:rFonts w:hint="eastAsia" w:ascii="宋体" w:hAnsi="宋体" w:eastAsia="宋体" w:cs="@仿宋_GB2312"/>
          <w:color w:val="auto"/>
          <w:kern w:val="2"/>
          <w:sz w:val="24"/>
          <w:szCs w:val="22"/>
          <w:highlight w:val="none"/>
          <w:lang w:val="en-US" w:eastAsia="zh-CN"/>
        </w:rPr>
        <w:t>1个</w:t>
      </w:r>
      <w:r>
        <w:rPr>
          <w:rFonts w:hint="default" w:ascii="宋体" w:hAnsi="宋体" w:eastAsia="宋体" w:cs="@仿宋_GB2312"/>
          <w:color w:val="auto"/>
          <w:kern w:val="2"/>
          <w:sz w:val="24"/>
          <w:szCs w:val="22"/>
          <w:highlight w:val="none"/>
          <w:lang w:val="en-US" w:eastAsia="zh-CN"/>
        </w:rPr>
        <w:t>VGA</w:t>
      </w:r>
      <w:r>
        <w:rPr>
          <w:rFonts w:hint="eastAsia" w:ascii="宋体" w:hAnsi="宋体" w:eastAsia="宋体" w:cs="@仿宋_GB2312"/>
          <w:color w:val="auto"/>
          <w:kern w:val="2"/>
          <w:sz w:val="24"/>
          <w:szCs w:val="22"/>
          <w:highlight w:val="none"/>
          <w:lang w:val="en-US" w:eastAsia="zh-CN"/>
        </w:rPr>
        <w:t>接口</w:t>
      </w:r>
      <w:r>
        <w:rPr>
          <w:rFonts w:hint="default" w:ascii="宋体" w:hAnsi="宋体" w:eastAsia="宋体" w:cs="@仿宋_GB2312"/>
          <w:color w:val="auto"/>
          <w:kern w:val="2"/>
          <w:sz w:val="24"/>
          <w:szCs w:val="22"/>
          <w:highlight w:val="none"/>
          <w:lang w:val="en-US" w:eastAsia="zh-CN"/>
        </w:rPr>
        <w:t>异源输出， HDMI支持4K显示输出， VGA支持高清1080p显示输出；</w:t>
      </w:r>
    </w:p>
    <w:p w14:paraId="6C3A1CB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4.8 硬盘录像机2</w:t>
      </w:r>
    </w:p>
    <w:p w14:paraId="570A3A1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蒙城局城防所</w:t>
      </w:r>
      <w:r>
        <w:rPr>
          <w:rFonts w:hint="eastAsia" w:ascii="宋体" w:hAnsi="宋体" w:eastAsia="宋体" w:cs="@仿宋_GB2312"/>
          <w:color w:val="auto"/>
          <w:kern w:val="2"/>
          <w:sz w:val="24"/>
          <w:szCs w:val="22"/>
          <w:highlight w:val="none"/>
          <w:lang w:val="en-US" w:eastAsia="zh-CN"/>
        </w:rPr>
        <w:t>硬盘硬盘录像机更换</w:t>
      </w:r>
      <w:r>
        <w:rPr>
          <w:rFonts w:hint="eastAsia" w:cs="@仿宋_GB2312"/>
          <w:color w:val="auto"/>
          <w:kern w:val="2"/>
          <w:sz w:val="24"/>
          <w:szCs w:val="22"/>
          <w:highlight w:val="none"/>
          <w:lang w:val="en-US" w:eastAsia="zh-CN"/>
        </w:rPr>
        <w:t>，32路8槽带6*8T硬盘，城防所原有硬盘录像机安装至蒙城局。</w:t>
      </w:r>
    </w:p>
    <w:p w14:paraId="1C3EFA3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为保证系统精度和长期稳定性，设备性能水平不低于海康威视、大华、宇视产品。具体技术参数需满足以下要求：</w:t>
      </w:r>
    </w:p>
    <w:p w14:paraId="498FBDBE">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5C6028A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(1)</w:t>
      </w:r>
      <w:r>
        <w:rPr>
          <w:rFonts w:hint="default" w:ascii="宋体" w:hAnsi="宋体" w:eastAsia="宋体" w:cs="@仿宋_GB2312"/>
          <w:color w:val="auto"/>
          <w:kern w:val="2"/>
          <w:sz w:val="24"/>
          <w:szCs w:val="22"/>
          <w:highlight w:val="none"/>
          <w:lang w:val="en-US" w:eastAsia="zh-CN"/>
        </w:rPr>
        <w:t>可接入</w:t>
      </w:r>
      <w:r>
        <w:rPr>
          <w:rFonts w:hint="eastAsia" w:ascii="宋体" w:hAnsi="宋体" w:eastAsia="宋体" w:cs="@仿宋_GB2312"/>
          <w:color w:val="auto"/>
          <w:kern w:val="2"/>
          <w:sz w:val="24"/>
          <w:szCs w:val="22"/>
          <w:highlight w:val="none"/>
          <w:lang w:val="en-US" w:eastAsia="zh-CN"/>
        </w:rPr>
        <w:t>不少于8</w:t>
      </w:r>
      <w:r>
        <w:rPr>
          <w:rFonts w:hint="default" w:ascii="宋体" w:hAnsi="宋体" w:eastAsia="宋体" w:cs="@仿宋_GB2312"/>
          <w:color w:val="auto"/>
          <w:kern w:val="2"/>
          <w:sz w:val="24"/>
          <w:szCs w:val="22"/>
          <w:highlight w:val="none"/>
          <w:lang w:val="en-US" w:eastAsia="zh-CN"/>
        </w:rPr>
        <w:t>路分辨率为1920×1080的视频图像；</w:t>
      </w:r>
      <w:r>
        <w:rPr>
          <w:rFonts w:hint="eastAsia" w:ascii="宋体" w:hAnsi="宋体" w:eastAsia="宋体" w:cs="@仿宋_GB2312"/>
          <w:color w:val="auto"/>
          <w:kern w:val="2"/>
          <w:sz w:val="24"/>
          <w:szCs w:val="22"/>
          <w:highlight w:val="none"/>
          <w:lang w:val="en-US" w:eastAsia="zh-CN"/>
        </w:rPr>
        <w:t>；</w:t>
      </w:r>
    </w:p>
    <w:p w14:paraId="24FED49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（2）不少于</w:t>
      </w:r>
      <w:r>
        <w:rPr>
          <w:rFonts w:hint="eastAsia" w:cs="@仿宋_GB2312"/>
          <w:color w:val="auto"/>
          <w:kern w:val="2"/>
          <w:sz w:val="24"/>
          <w:szCs w:val="22"/>
          <w:highlight w:val="none"/>
          <w:lang w:val="en-US" w:eastAsia="zh-CN"/>
        </w:rPr>
        <w:t>8</w:t>
      </w:r>
      <w:r>
        <w:rPr>
          <w:rFonts w:hint="eastAsia" w:ascii="宋体" w:hAnsi="宋体" w:eastAsia="宋体" w:cs="@仿宋_GB2312"/>
          <w:color w:val="auto"/>
          <w:kern w:val="2"/>
          <w:sz w:val="24"/>
          <w:szCs w:val="22"/>
          <w:highlight w:val="none"/>
          <w:lang w:val="en-US" w:eastAsia="zh-CN"/>
        </w:rPr>
        <w:t>个SATA接口</w:t>
      </w:r>
      <w:r>
        <w:rPr>
          <w:rFonts w:hint="eastAsia" w:cs="@仿宋_GB2312"/>
          <w:color w:val="auto"/>
          <w:kern w:val="2"/>
          <w:sz w:val="24"/>
          <w:szCs w:val="22"/>
          <w:highlight w:val="none"/>
          <w:lang w:val="en-US" w:eastAsia="zh-CN"/>
        </w:rPr>
        <w:t>，并配置6个8T硬盘</w:t>
      </w:r>
      <w:r>
        <w:rPr>
          <w:rFonts w:hint="eastAsia" w:ascii="宋体" w:hAnsi="宋体" w:eastAsia="宋体" w:cs="@仿宋_GB2312"/>
          <w:color w:val="auto"/>
          <w:kern w:val="2"/>
          <w:sz w:val="24"/>
          <w:szCs w:val="22"/>
          <w:highlight w:val="none"/>
          <w:lang w:val="en-US" w:eastAsia="zh-CN"/>
        </w:rPr>
        <w:t>；</w:t>
      </w:r>
    </w:p>
    <w:p w14:paraId="576F16B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(3)支持最大接入带宽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320Mbps，最大存储带宽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320Mbps，最大转发带宽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256Mbps，最大回放带宽</w:t>
      </w:r>
      <w:r>
        <w:rPr>
          <w:rFonts w:hint="eastAsia" w:cs="@仿宋_GB2312"/>
          <w:color w:val="auto"/>
          <w:kern w:val="2"/>
          <w:sz w:val="24"/>
          <w:szCs w:val="22"/>
          <w:highlight w:val="none"/>
          <w:lang w:val="en-US" w:eastAsia="zh-CN"/>
        </w:rPr>
        <w:t>不少于</w:t>
      </w:r>
      <w:r>
        <w:rPr>
          <w:rFonts w:hint="eastAsia" w:ascii="宋体" w:hAnsi="宋体" w:eastAsia="宋体" w:cs="@仿宋_GB2312"/>
          <w:color w:val="auto"/>
          <w:kern w:val="2"/>
          <w:sz w:val="24"/>
          <w:szCs w:val="22"/>
          <w:highlight w:val="none"/>
          <w:lang w:val="en-US" w:eastAsia="zh-CN"/>
        </w:rPr>
        <w:t>256Mbps；</w:t>
      </w:r>
    </w:p>
    <w:p w14:paraId="1CF2364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(4)支持H.265高效视频编码码流，支持H.265、H.264 IP设备混合接入；</w:t>
      </w:r>
    </w:p>
    <w:p w14:paraId="1AB9866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(5)支持</w:t>
      </w:r>
      <w:r>
        <w:rPr>
          <w:rFonts w:hint="eastAsia" w:ascii="宋体" w:hAnsi="宋体" w:eastAsia="宋体" w:cs="@仿宋_GB2312"/>
          <w:color w:val="auto"/>
          <w:kern w:val="2"/>
          <w:sz w:val="24"/>
          <w:szCs w:val="22"/>
          <w:highlight w:val="none"/>
          <w:lang w:val="en-US" w:eastAsia="zh-CN"/>
        </w:rPr>
        <w:t>1个</w:t>
      </w:r>
      <w:r>
        <w:rPr>
          <w:rFonts w:hint="default" w:ascii="宋体" w:hAnsi="宋体" w:eastAsia="宋体" w:cs="@仿宋_GB2312"/>
          <w:color w:val="auto"/>
          <w:kern w:val="2"/>
          <w:sz w:val="24"/>
          <w:szCs w:val="22"/>
          <w:highlight w:val="none"/>
          <w:lang w:val="en-US" w:eastAsia="zh-CN"/>
        </w:rPr>
        <w:t>HDMI与</w:t>
      </w:r>
      <w:r>
        <w:rPr>
          <w:rFonts w:hint="eastAsia" w:ascii="宋体" w:hAnsi="宋体" w:eastAsia="宋体" w:cs="@仿宋_GB2312"/>
          <w:color w:val="auto"/>
          <w:kern w:val="2"/>
          <w:sz w:val="24"/>
          <w:szCs w:val="22"/>
          <w:highlight w:val="none"/>
          <w:lang w:val="en-US" w:eastAsia="zh-CN"/>
        </w:rPr>
        <w:t>1个</w:t>
      </w:r>
      <w:r>
        <w:rPr>
          <w:rFonts w:hint="default" w:ascii="宋体" w:hAnsi="宋体" w:eastAsia="宋体" w:cs="@仿宋_GB2312"/>
          <w:color w:val="auto"/>
          <w:kern w:val="2"/>
          <w:sz w:val="24"/>
          <w:szCs w:val="22"/>
          <w:highlight w:val="none"/>
          <w:lang w:val="en-US" w:eastAsia="zh-CN"/>
        </w:rPr>
        <w:t>VGA</w:t>
      </w:r>
      <w:r>
        <w:rPr>
          <w:rFonts w:hint="eastAsia" w:ascii="宋体" w:hAnsi="宋体" w:eastAsia="宋体" w:cs="@仿宋_GB2312"/>
          <w:color w:val="auto"/>
          <w:kern w:val="2"/>
          <w:sz w:val="24"/>
          <w:szCs w:val="22"/>
          <w:highlight w:val="none"/>
          <w:lang w:val="en-US" w:eastAsia="zh-CN"/>
        </w:rPr>
        <w:t>接口</w:t>
      </w:r>
      <w:r>
        <w:rPr>
          <w:rFonts w:hint="default" w:ascii="宋体" w:hAnsi="宋体" w:eastAsia="宋体" w:cs="@仿宋_GB2312"/>
          <w:color w:val="auto"/>
          <w:kern w:val="2"/>
          <w:sz w:val="24"/>
          <w:szCs w:val="22"/>
          <w:highlight w:val="none"/>
          <w:lang w:val="en-US" w:eastAsia="zh-CN"/>
        </w:rPr>
        <w:t>异源输出， HDMI支持4K显示输出， VGA支持高清1080p显示输出；</w:t>
      </w:r>
    </w:p>
    <w:p w14:paraId="402A869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4.9 会议摄像机</w:t>
      </w:r>
    </w:p>
    <w:p w14:paraId="767C912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w:t>
      </w:r>
      <w:r>
        <w:rPr>
          <w:rFonts w:hint="eastAsia" w:cs="@仿宋_GB2312"/>
          <w:color w:val="auto"/>
          <w:kern w:val="2"/>
          <w:sz w:val="24"/>
          <w:szCs w:val="22"/>
          <w:highlight w:val="none"/>
          <w:lang w:val="en-US" w:eastAsia="zh-CN"/>
        </w:rPr>
        <w:t>华为</w:t>
      </w:r>
      <w:r>
        <w:rPr>
          <w:rFonts w:hint="eastAsia" w:ascii="宋体" w:hAnsi="宋体" w:eastAsia="宋体" w:cs="@仿宋_GB2312"/>
          <w:color w:val="auto"/>
          <w:kern w:val="2"/>
          <w:sz w:val="24"/>
          <w:szCs w:val="22"/>
          <w:highlight w:val="none"/>
          <w:lang w:val="en-US" w:eastAsia="en-US"/>
        </w:rPr>
        <w:t>、</w:t>
      </w:r>
      <w:r>
        <w:rPr>
          <w:rFonts w:hint="eastAsia" w:cs="@仿宋_GB2312"/>
          <w:color w:val="auto"/>
          <w:kern w:val="2"/>
          <w:sz w:val="24"/>
          <w:szCs w:val="22"/>
          <w:highlight w:val="none"/>
          <w:lang w:val="en-US" w:eastAsia="zh-CN"/>
        </w:rPr>
        <w:t>海康</w:t>
      </w:r>
      <w:r>
        <w:rPr>
          <w:rFonts w:hint="eastAsia" w:ascii="宋体" w:hAnsi="宋体" w:eastAsia="宋体" w:cs="@仿宋_GB2312"/>
          <w:color w:val="auto"/>
          <w:kern w:val="2"/>
          <w:sz w:val="24"/>
          <w:szCs w:val="22"/>
          <w:highlight w:val="none"/>
          <w:lang w:val="en-US" w:eastAsia="en-US"/>
        </w:rPr>
        <w:t>、</w:t>
      </w:r>
      <w:r>
        <w:rPr>
          <w:rFonts w:hint="eastAsia" w:cs="@仿宋_GB2312"/>
          <w:color w:val="auto"/>
          <w:kern w:val="2"/>
          <w:sz w:val="24"/>
          <w:szCs w:val="22"/>
          <w:highlight w:val="none"/>
          <w:lang w:val="en-US" w:eastAsia="zh-CN"/>
        </w:rPr>
        <w:t>大华</w:t>
      </w:r>
      <w:r>
        <w:rPr>
          <w:rFonts w:hint="eastAsia" w:ascii="宋体" w:hAnsi="宋体" w:eastAsia="宋体" w:cs="@仿宋_GB2312"/>
          <w:color w:val="auto"/>
          <w:kern w:val="2"/>
          <w:sz w:val="24"/>
          <w:szCs w:val="22"/>
          <w:highlight w:val="none"/>
          <w:lang w:val="en-US" w:eastAsia="en-US"/>
        </w:rPr>
        <w:t>产品。具体技术参数需满足以下要求：</w:t>
      </w:r>
    </w:p>
    <w:p w14:paraId="7DDB2529">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0512282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zh-CN"/>
        </w:rPr>
        <w:t>支持图像倒转功能，方便摄像机安装在天花板上；</w:t>
      </w:r>
    </w:p>
    <w:p w14:paraId="53A6BE3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支持1080P（50/60fps）、1080i（50/60fps）、1080p （25/30fps）、720（50/60fps）视频输出；</w:t>
      </w:r>
    </w:p>
    <w:p w14:paraId="4DE32AB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zh-CN"/>
        </w:rPr>
        <w:t>支持不小于12倍光学变焦；</w:t>
      </w:r>
    </w:p>
    <w:p w14:paraId="6742D4F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zh-CN"/>
        </w:rPr>
        <w:t>本地预置位不少于254个；</w:t>
      </w:r>
    </w:p>
    <w:p w14:paraId="5AA708EF">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zh-CN"/>
        </w:rPr>
      </w:pPr>
      <w:r>
        <w:rPr>
          <w:rFonts w:hint="eastAsia" w:cs="@仿宋_GB2312"/>
          <w:b/>
          <w:bCs/>
          <w:color w:val="auto"/>
          <w:kern w:val="2"/>
          <w:sz w:val="24"/>
          <w:szCs w:val="22"/>
          <w:highlight w:val="none"/>
          <w:lang w:val="en-US" w:eastAsia="zh-CN"/>
        </w:rPr>
        <w:t>（5）</w:t>
      </w:r>
      <w:r>
        <w:rPr>
          <w:rFonts w:hint="eastAsia" w:ascii="宋体" w:hAnsi="宋体" w:eastAsia="宋体" w:cs="@仿宋_GB2312"/>
          <w:b/>
          <w:bCs/>
          <w:color w:val="auto"/>
          <w:kern w:val="2"/>
          <w:sz w:val="24"/>
          <w:szCs w:val="22"/>
          <w:highlight w:val="none"/>
          <w:lang w:val="en-US" w:eastAsia="zh-CN"/>
        </w:rPr>
        <w:t>为确保系统的稳定性和兼容性，本次采购必须与现有视频会议终端华为TE50兼容。</w:t>
      </w:r>
    </w:p>
    <w:p w14:paraId="698F3F0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4.10 功率放大器</w:t>
      </w:r>
    </w:p>
    <w:p w14:paraId="5D2A234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仿宋_GB2312"/>
          <w:color w:val="auto"/>
          <w:kern w:val="2"/>
          <w:sz w:val="24"/>
          <w:szCs w:val="22"/>
          <w:highlight w:val="none"/>
          <w:lang w:val="en-US" w:eastAsia="zh-CN"/>
        </w:rPr>
      </w:pPr>
      <w:r>
        <w:rPr>
          <w:rFonts w:hint="eastAsia" w:cs="@仿宋_GB2312"/>
          <w:color w:val="auto"/>
          <w:kern w:val="2"/>
          <w:sz w:val="24"/>
          <w:szCs w:val="22"/>
          <w:highlight w:val="none"/>
          <w:lang w:val="en-US" w:eastAsia="zh-CN"/>
        </w:rPr>
        <w:t>怀远局3楼会商室用。</w:t>
      </w:r>
    </w:p>
    <w:p w14:paraId="6F1586F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为保证系统精度和长期稳定性，设备性能水平不低于</w:t>
      </w:r>
      <w:r>
        <w:rPr>
          <w:rFonts w:hint="eastAsia" w:ascii="宋体" w:hAnsi="宋体" w:eastAsia="宋体" w:cs="@仿宋_GB2312"/>
          <w:color w:val="auto"/>
          <w:kern w:val="2"/>
          <w:sz w:val="24"/>
          <w:szCs w:val="22"/>
          <w:highlight w:val="none"/>
          <w:lang w:val="en-US" w:eastAsia="zh-CN"/>
        </w:rPr>
        <w:t>AUDIOCENTER、KKF、EAV</w:t>
      </w:r>
      <w:r>
        <w:rPr>
          <w:rFonts w:hint="eastAsia" w:ascii="宋体" w:hAnsi="宋体" w:eastAsia="宋体" w:cs="@仿宋_GB2312"/>
          <w:color w:val="auto"/>
          <w:kern w:val="2"/>
          <w:sz w:val="24"/>
          <w:szCs w:val="22"/>
          <w:highlight w:val="none"/>
          <w:lang w:val="en-US" w:eastAsia="en-US"/>
        </w:rPr>
        <w:t>产品。具体技术参数需满足以下要求：</w:t>
      </w:r>
    </w:p>
    <w:p w14:paraId="2F39874F">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0912E5F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zh-CN"/>
        </w:rPr>
        <w:t>立体声道模式4Ω (±15%)不低于840W；立体声道模式8Ω(±15%)不低于600W；桥接单声道 模式8Ω(±15%)不低于1680W；</w:t>
      </w:r>
    </w:p>
    <w:p w14:paraId="6BEEEB7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电压增益：37dB；频率响应(1W):20Hz-20KHz ±1dB；总谐波失真(THD):&lt;1%,100Hz-20KHz；互调失真60Hz and 7KHz at 4:1from full rated output to -30dB:=/&lt;0.35%；转换速率:&gt;10V/us；阻尼系数(8ohms)10Hz-400Hz:&gt;200；信噪比(以额定输出功率为参考）20Hz to 20KHz.A计权:&gt;100dB；串扰(以额定输出功率为参考)At1kHz:-75dB At20kHz:-58dB</w:t>
      </w:r>
    </w:p>
    <w:p w14:paraId="7C0C7C6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zh-CN"/>
        </w:rPr>
        <w:t>输入灵敏度(额定功率8 ohms):0.46V/0.775V（提供设备接口图佐证）</w:t>
      </w:r>
    </w:p>
    <w:p w14:paraId="5136AB6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zh-CN"/>
        </w:rPr>
        <w:t>输入阻抗(额定)平行:20k ohms；非平行:10k ohms</w:t>
      </w:r>
    </w:p>
    <w:p w14:paraId="4C48218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zh-CN"/>
        </w:rPr>
        <w:t>具有防止短路、空载、开/关机噪音、无线电干扰保护电路等功能；</w:t>
      </w:r>
    </w:p>
    <w:p w14:paraId="08DC831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zh-CN"/>
        </w:rPr>
        <w:t>强制风扇冷却。</w:t>
      </w:r>
    </w:p>
    <w:p w14:paraId="2FE47B2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4.11主扩扬声器</w:t>
      </w:r>
    </w:p>
    <w:p w14:paraId="0AC7935F">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en-US"/>
        </w:rPr>
        <w:t>为保证系统精度和长期稳定性，设备性能水平不低于</w:t>
      </w:r>
      <w:r>
        <w:rPr>
          <w:rFonts w:hint="eastAsia" w:ascii="宋体" w:hAnsi="宋体" w:eastAsia="宋体" w:cs="@仿宋_GB2312"/>
          <w:b/>
          <w:bCs/>
          <w:color w:val="auto"/>
          <w:kern w:val="2"/>
          <w:sz w:val="24"/>
          <w:szCs w:val="22"/>
          <w:highlight w:val="none"/>
          <w:lang w:val="en-US" w:eastAsia="zh-CN"/>
        </w:rPr>
        <w:t>AUDIOCENTER、KKF、EAV</w:t>
      </w:r>
      <w:r>
        <w:rPr>
          <w:rFonts w:hint="eastAsia" w:ascii="宋体" w:hAnsi="宋体" w:eastAsia="宋体" w:cs="@仿宋_GB2312"/>
          <w:b/>
          <w:bCs/>
          <w:color w:val="auto"/>
          <w:kern w:val="2"/>
          <w:sz w:val="24"/>
          <w:szCs w:val="22"/>
          <w:highlight w:val="none"/>
          <w:lang w:val="en-US" w:eastAsia="en-US"/>
        </w:rPr>
        <w:t>产品。具体技术参数需满足以下要求：</w:t>
      </w:r>
    </w:p>
    <w:p w14:paraId="0429F12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en-US"/>
        </w:rPr>
        <w:t>(对于采购人参考品牌的材料，供应商可选用参考品牌或不低于参考品牌质量标准的其它品牌；采用其它品牌的应在响应文件中提供相关技术参数证明材料供磋商小组评审，未提供相关技术参数证明材料或经磋商小组评审未通过的，成交后只能从采购人参考品牌中进行选择，价格不予调整。)</w:t>
      </w:r>
    </w:p>
    <w:p w14:paraId="11F0BFF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zh-CN"/>
        </w:rPr>
        <w:t>单元组成：低频 8英寸（200毫米）纸盘，2英寸（55毫米）音圈，高频 1英寸（25毫米）出口，1.4英寸（36毫米）音圈；</w:t>
      </w:r>
    </w:p>
    <w:p w14:paraId="3CE29DD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zh-CN"/>
        </w:rPr>
        <w:t>频率响应：65-20000Hz</w:t>
      </w:r>
    </w:p>
    <w:p w14:paraId="138106E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zh-CN"/>
        </w:rPr>
        <w:t>覆盖角度：90度X60度（可旋转）</w:t>
      </w:r>
    </w:p>
    <w:p w14:paraId="749DF27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zh-CN"/>
        </w:rPr>
        <w:t>灵  敏  度： 95dB/1瓦.1米</w:t>
      </w:r>
    </w:p>
    <w:p w14:paraId="123EB2C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zh-CN"/>
        </w:rPr>
        <w:t>声压级输出：116dB（连续），122dB（峰值）</w:t>
      </w:r>
    </w:p>
    <w:p w14:paraId="1B718B2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zh-CN"/>
        </w:rPr>
        <w:t>标准阻抗：8欧姆</w:t>
      </w:r>
    </w:p>
    <w:p w14:paraId="20F0A85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default" w:ascii="宋体" w:hAnsi="宋体" w:eastAsia="宋体" w:cs="@仿宋_GB2312"/>
          <w:color w:val="auto"/>
          <w:kern w:val="2"/>
          <w:sz w:val="24"/>
          <w:szCs w:val="22"/>
          <w:highlight w:val="none"/>
          <w:lang w:val="en-US" w:eastAsia="zh-CN"/>
        </w:rPr>
        <w:t>(7)</w:t>
      </w:r>
      <w:r>
        <w:rPr>
          <w:rFonts w:hint="eastAsia" w:ascii="宋体" w:hAnsi="宋体" w:eastAsia="宋体" w:cs="@仿宋_GB2312"/>
          <w:color w:val="auto"/>
          <w:kern w:val="2"/>
          <w:sz w:val="24"/>
          <w:szCs w:val="22"/>
          <w:highlight w:val="none"/>
          <w:lang w:val="en-US" w:eastAsia="zh-CN"/>
        </w:rPr>
        <w:t>功    率：不小于150瓦（额定）</w:t>
      </w:r>
    </w:p>
    <w:p w14:paraId="0C1B908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4.12 无线接收主机</w:t>
      </w:r>
    </w:p>
    <w:p w14:paraId="48866A1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en-US"/>
        </w:rPr>
        <w:t>可兼容无线手持话筒、无线领夹麦、无线头戴话筒、无线鹅颈话筒和无线方杆话筒任意搭配使用；</w:t>
      </w:r>
    </w:p>
    <w:p w14:paraId="3E2DD40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en-US"/>
        </w:rPr>
        <w:t>搭载DSP处理芯片，内部集成了音频放大器、预加重滤波器、压扩电路和锁相环频率合成器、可配置的功率放大器等，提供稳定的信号连接和防啸叫技术；</w:t>
      </w:r>
    </w:p>
    <w:p w14:paraId="264D8EE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en-US"/>
        </w:rPr>
        <w:t>采用稳定可靠的微控制器，实现无线麦克风整机控制；</w:t>
      </w:r>
    </w:p>
    <w:p w14:paraId="68FC4B5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en-US"/>
        </w:rPr>
        <w:t>支持自动静音及冲击消除技术，避免开关机的冲击和噪音；</w:t>
      </w:r>
    </w:p>
    <w:p w14:paraId="1052F2E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en-US"/>
        </w:rPr>
        <w:t>支持红外数据自动同步功能，每个通道具备独立的红外对频按键，实现一键自动对频；</w:t>
      </w:r>
    </w:p>
    <w:p w14:paraId="14C1AE1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en-US"/>
        </w:rPr>
        <w:t>载波频段：630-690MHz；</w:t>
      </w:r>
    </w:p>
    <w:p w14:paraId="3BF289F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（7）</w:t>
      </w:r>
      <w:r>
        <w:rPr>
          <w:rFonts w:hint="eastAsia" w:ascii="宋体" w:hAnsi="宋体" w:eastAsia="宋体" w:cs="@仿宋_GB2312"/>
          <w:color w:val="auto"/>
          <w:kern w:val="2"/>
          <w:sz w:val="24"/>
          <w:szCs w:val="22"/>
          <w:highlight w:val="none"/>
          <w:lang w:val="en-US" w:eastAsia="en-US"/>
        </w:rPr>
        <w:t>每套最大支持≥6个单元同时使用；</w:t>
      </w:r>
    </w:p>
    <w:p w14:paraId="7F146C3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（8）</w:t>
      </w:r>
      <w:r>
        <w:rPr>
          <w:rFonts w:hint="eastAsia" w:ascii="宋体" w:hAnsi="宋体" w:eastAsia="宋体" w:cs="@仿宋_GB2312"/>
          <w:color w:val="auto"/>
          <w:kern w:val="2"/>
          <w:sz w:val="24"/>
          <w:szCs w:val="22"/>
          <w:highlight w:val="none"/>
          <w:lang w:val="en-US" w:eastAsia="en-US"/>
        </w:rPr>
        <w:t>工作有效距离：≥100米。</w:t>
      </w:r>
    </w:p>
    <w:p w14:paraId="09CA2DB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4.13 会议话筒</w:t>
      </w:r>
    </w:p>
    <w:p w14:paraId="2BDD063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en-US"/>
        </w:rPr>
        <w:t>超心型指向性的拾音头设计，具有话音高保真、稳定的专业品质；</w:t>
      </w:r>
    </w:p>
    <w:p w14:paraId="090915A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en-US"/>
        </w:rPr>
        <w:t>具备≥2英寸液晶显示屏，显示当前频点、电量、开关状态、发言计时等；</w:t>
      </w:r>
    </w:p>
    <w:p w14:paraId="4BA64D6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en-US"/>
        </w:rPr>
        <w:t>内置锂电池，有效工作时间≥18小时；</w:t>
      </w:r>
    </w:p>
    <w:p w14:paraId="02D6AAA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en-US"/>
        </w:rPr>
        <w:t>咪杆采用鹅颈设计，底座采用分离式底座，更适合实际使用与维护；</w:t>
      </w:r>
    </w:p>
    <w:p w14:paraId="7E6C3C1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en-US"/>
        </w:rPr>
        <w:t>咪杆带有灯圈提示，当话筒打开发言时，灯圈会自己打开，清楚显示话筒当前的状态；</w:t>
      </w:r>
    </w:p>
    <w:p w14:paraId="161FD7F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（6）</w:t>
      </w:r>
      <w:r>
        <w:rPr>
          <w:rFonts w:hint="eastAsia" w:ascii="宋体" w:hAnsi="宋体" w:eastAsia="宋体" w:cs="@仿宋_GB2312"/>
          <w:color w:val="auto"/>
          <w:kern w:val="2"/>
          <w:sz w:val="24"/>
          <w:szCs w:val="22"/>
          <w:highlight w:val="none"/>
          <w:lang w:val="en-US" w:eastAsia="en-US"/>
        </w:rPr>
        <w:t>载波频段:UHF630-690MHz。</w:t>
      </w:r>
    </w:p>
    <w:p w14:paraId="5BCBED46">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eastAsia" w:ascii="宋体" w:hAnsi="宋体" w:eastAsia="宋体" w:cs="@仿宋_GB2312"/>
          <w:b/>
          <w:bCs/>
          <w:color w:val="auto"/>
          <w:kern w:val="2"/>
          <w:sz w:val="24"/>
          <w:szCs w:val="22"/>
          <w:highlight w:val="none"/>
          <w:lang w:val="en-US" w:eastAsia="en-US"/>
        </w:rPr>
      </w:pPr>
      <w:r>
        <w:rPr>
          <w:rFonts w:hint="eastAsia" w:ascii="宋体" w:hAnsi="宋体" w:eastAsia="宋体" w:cs="@仿宋_GB2312"/>
          <w:b/>
          <w:bCs/>
          <w:color w:val="auto"/>
          <w:kern w:val="2"/>
          <w:sz w:val="24"/>
          <w:szCs w:val="22"/>
          <w:highlight w:val="none"/>
          <w:lang w:val="en-US" w:eastAsia="zh-CN"/>
        </w:rPr>
        <w:t xml:space="preserve">4.14 </w:t>
      </w:r>
      <w:r>
        <w:rPr>
          <w:rFonts w:hint="eastAsia" w:ascii="宋体" w:hAnsi="宋体" w:eastAsia="宋体" w:cs="@仿宋_GB2312"/>
          <w:b/>
          <w:bCs/>
          <w:color w:val="auto"/>
          <w:kern w:val="2"/>
          <w:sz w:val="24"/>
          <w:szCs w:val="22"/>
          <w:highlight w:val="none"/>
          <w:lang w:val="en-US" w:eastAsia="en-US"/>
        </w:rPr>
        <w:t>信号放大器</w:t>
      </w:r>
    </w:p>
    <w:p w14:paraId="2C3776E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en-US"/>
        </w:rPr>
        <w:t>主机</w:t>
      </w:r>
      <w:r>
        <w:rPr>
          <w:rFonts w:hint="eastAsia" w:ascii="宋体" w:hAnsi="宋体" w:eastAsia="宋体" w:cs="@仿宋_GB2312"/>
          <w:color w:val="auto"/>
          <w:kern w:val="2"/>
          <w:sz w:val="24"/>
          <w:szCs w:val="22"/>
          <w:highlight w:val="none"/>
          <w:lang w:val="en-US" w:eastAsia="zh-CN"/>
        </w:rPr>
        <w:t>参数</w:t>
      </w:r>
      <w:r>
        <w:rPr>
          <w:rFonts w:hint="eastAsia" w:ascii="宋体" w:hAnsi="宋体" w:eastAsia="宋体" w:cs="@仿宋_GB2312"/>
          <w:color w:val="auto"/>
          <w:kern w:val="2"/>
          <w:sz w:val="24"/>
          <w:szCs w:val="22"/>
          <w:highlight w:val="none"/>
          <w:lang w:val="en-US" w:eastAsia="en-US"/>
        </w:rPr>
        <w:t>：</w:t>
      </w:r>
    </w:p>
    <w:p w14:paraId="4600B5B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en-US"/>
        </w:rPr>
        <w:t>标准机柜设计结构，1U；</w:t>
      </w:r>
    </w:p>
    <w:p w14:paraId="76DBB53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en-US"/>
        </w:rPr>
        <w:t>频带:400-1000MHz；</w:t>
      </w:r>
    </w:p>
    <w:p w14:paraId="6C617B8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en-US"/>
        </w:rPr>
        <w:t>双4路射频输出BNC接口，可同时供四台一拖二无线接收机使用；</w:t>
      </w:r>
    </w:p>
    <w:p w14:paraId="6131CE1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en-US"/>
        </w:rPr>
        <w:t>4路(DC12V/1A)独立输出直流电源，可同时给四台接收机供电；</w:t>
      </w:r>
    </w:p>
    <w:p w14:paraId="3FABB7A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（5）</w:t>
      </w:r>
      <w:r>
        <w:rPr>
          <w:rFonts w:hint="eastAsia" w:ascii="宋体" w:hAnsi="宋体" w:eastAsia="宋体" w:cs="@仿宋_GB2312"/>
          <w:color w:val="auto"/>
          <w:kern w:val="2"/>
          <w:sz w:val="24"/>
          <w:szCs w:val="22"/>
          <w:highlight w:val="none"/>
          <w:lang w:val="en-US" w:eastAsia="en-US"/>
        </w:rPr>
        <w:t>天线输入BNC座有供应信号强波器的电源输出，可直接连接天线强波器；</w:t>
      </w:r>
    </w:p>
    <w:p w14:paraId="0147FE9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en-US"/>
        </w:rPr>
        <w:t>指向性天线</w:t>
      </w:r>
      <w:r>
        <w:rPr>
          <w:rFonts w:hint="eastAsia" w:ascii="宋体" w:hAnsi="宋体" w:eastAsia="宋体" w:cs="@仿宋_GB2312"/>
          <w:color w:val="auto"/>
          <w:kern w:val="2"/>
          <w:sz w:val="24"/>
          <w:szCs w:val="22"/>
          <w:highlight w:val="none"/>
          <w:lang w:val="en-US" w:eastAsia="zh-CN"/>
        </w:rPr>
        <w:t>参数：</w:t>
      </w:r>
    </w:p>
    <w:p w14:paraId="54F496A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lang w:val="en-US" w:eastAsia="en-US"/>
        </w:rPr>
        <w:t>一体化设计，由主机供电，无需外置供电；</w:t>
      </w:r>
    </w:p>
    <w:p w14:paraId="7CC5434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lang w:val="en-US" w:eastAsia="en-US"/>
        </w:rPr>
        <w:t>具有TNC接头，用于连接主机；</w:t>
      </w:r>
    </w:p>
    <w:p w14:paraId="1A11840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（3）</w:t>
      </w:r>
      <w:r>
        <w:rPr>
          <w:rFonts w:hint="eastAsia" w:ascii="宋体" w:hAnsi="宋体" w:eastAsia="宋体" w:cs="@仿宋_GB2312"/>
          <w:color w:val="auto"/>
          <w:kern w:val="2"/>
          <w:sz w:val="24"/>
          <w:szCs w:val="22"/>
          <w:highlight w:val="none"/>
          <w:lang w:val="en-US" w:eastAsia="en-US"/>
        </w:rPr>
        <w:t>多极化天线（多角度），具有良好的增益和接收距离；</w:t>
      </w:r>
    </w:p>
    <w:p w14:paraId="462EA52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kern w:val="2"/>
          <w:sz w:val="24"/>
          <w:szCs w:val="22"/>
          <w:highlight w:val="none"/>
          <w:lang w:val="en-US" w:eastAsia="en-US"/>
        </w:rPr>
      </w:pPr>
      <w:r>
        <w:rPr>
          <w:rFonts w:hint="eastAsia" w:ascii="宋体" w:hAnsi="宋体" w:eastAsia="宋体" w:cs="@仿宋_GB2312"/>
          <w:color w:val="auto"/>
          <w:kern w:val="2"/>
          <w:sz w:val="24"/>
          <w:szCs w:val="22"/>
          <w:highlight w:val="none"/>
          <w:lang w:val="en-US" w:eastAsia="zh-CN"/>
        </w:rPr>
        <w:t>（4）</w:t>
      </w:r>
      <w:r>
        <w:rPr>
          <w:rFonts w:hint="eastAsia" w:ascii="宋体" w:hAnsi="宋体" w:eastAsia="宋体" w:cs="@仿宋_GB2312"/>
          <w:color w:val="auto"/>
          <w:kern w:val="2"/>
          <w:sz w:val="24"/>
          <w:szCs w:val="22"/>
          <w:highlight w:val="none"/>
          <w:lang w:val="en-US" w:eastAsia="en-US"/>
        </w:rPr>
        <w:t>频率范围:400--1000MHZ。</w:t>
      </w:r>
    </w:p>
    <w:p w14:paraId="56011271">
      <w:pPr>
        <w:rPr>
          <w:rFonts w:hint="eastAsia" w:asciiTheme="minorEastAsia" w:hAnsiTheme="minorEastAsia" w:eastAsiaTheme="minorEastAsia"/>
          <w:b/>
          <w:color w:val="auto"/>
          <w:sz w:val="28"/>
          <w:highlight w:val="none"/>
        </w:rPr>
      </w:pPr>
    </w:p>
    <w:p w14:paraId="7A399142">
      <w:pPr>
        <w:rPr>
          <w:rFonts w:hint="eastAsia" w:asciiTheme="minorEastAsia" w:hAnsiTheme="minorEastAsia" w:eastAsiaTheme="minorEastAsia"/>
          <w:b/>
          <w:color w:val="auto"/>
          <w:sz w:val="28"/>
          <w:highlight w:val="none"/>
        </w:rPr>
      </w:pPr>
    </w:p>
    <w:p w14:paraId="645B6BDE">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63644AAC">
      <w:pPr>
        <w:spacing w:line="360" w:lineRule="auto"/>
        <w:jc w:val="center"/>
        <w:outlineLvl w:val="0"/>
        <w:rPr>
          <w:rFonts w:asciiTheme="minorEastAsia" w:hAnsiTheme="minorEastAsia" w:eastAsiaTheme="minorEastAsia"/>
          <w:b/>
          <w:color w:val="auto"/>
          <w:sz w:val="28"/>
          <w:highlight w:val="none"/>
        </w:rPr>
      </w:pPr>
      <w:bookmarkStart w:id="720" w:name="_GoBack"/>
      <w:bookmarkEnd w:id="720"/>
      <w:r>
        <w:rPr>
          <w:rFonts w:hint="eastAsia" w:asciiTheme="minorEastAsia" w:hAnsiTheme="minorEastAsia" w:eastAsiaTheme="minorEastAsia"/>
          <w:b/>
          <w:color w:val="auto"/>
          <w:sz w:val="28"/>
          <w:highlight w:val="none"/>
        </w:rPr>
        <w:t>第四章  评审方法和标准</w:t>
      </w:r>
      <w:bookmarkEnd w:id="34"/>
    </w:p>
    <w:p w14:paraId="506E6D35">
      <w:pPr>
        <w:spacing w:line="360" w:lineRule="auto"/>
        <w:ind w:firstLine="437"/>
        <w:outlineLvl w:val="1"/>
        <w:rPr>
          <w:rFonts w:asciiTheme="minorEastAsia" w:hAnsiTheme="minorEastAsia" w:eastAsiaTheme="minorEastAsia"/>
          <w:b/>
          <w:color w:val="auto"/>
          <w:sz w:val="24"/>
          <w:highlight w:val="none"/>
        </w:rPr>
      </w:pPr>
      <w:bookmarkStart w:id="43" w:name="_Toc31533"/>
      <w:bookmarkStart w:id="44" w:name="_Toc3679"/>
      <w:r>
        <w:rPr>
          <w:rFonts w:hint="eastAsia" w:asciiTheme="minorEastAsia" w:hAnsiTheme="minorEastAsia" w:eastAsiaTheme="minorEastAsia"/>
          <w:b/>
          <w:color w:val="auto"/>
          <w:sz w:val="24"/>
          <w:highlight w:val="none"/>
        </w:rPr>
        <w:t>一、总则</w:t>
      </w:r>
      <w:bookmarkEnd w:id="43"/>
      <w:bookmarkEnd w:id="44"/>
    </w:p>
    <w:p w14:paraId="3942E8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598532D1">
      <w:pPr>
        <w:spacing w:line="360" w:lineRule="auto"/>
        <w:ind w:firstLine="437"/>
        <w:outlineLvl w:val="1"/>
        <w:rPr>
          <w:rFonts w:asciiTheme="minorEastAsia" w:hAnsiTheme="minorEastAsia" w:eastAsiaTheme="minorEastAsia"/>
          <w:b/>
          <w:color w:val="auto"/>
          <w:sz w:val="24"/>
          <w:highlight w:val="none"/>
        </w:rPr>
      </w:pPr>
      <w:bookmarkStart w:id="45" w:name="_Toc16232"/>
      <w:bookmarkStart w:id="46" w:name="_Toc13405"/>
      <w:r>
        <w:rPr>
          <w:rFonts w:hint="eastAsia" w:asciiTheme="minorEastAsia" w:hAnsiTheme="minorEastAsia" w:eastAsiaTheme="minorEastAsia"/>
          <w:b/>
          <w:color w:val="auto"/>
          <w:sz w:val="24"/>
          <w:highlight w:val="none"/>
        </w:rPr>
        <w:t>二、评审方法</w:t>
      </w:r>
      <w:bookmarkEnd w:id="45"/>
      <w:bookmarkEnd w:id="46"/>
    </w:p>
    <w:p w14:paraId="08482786">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40A809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5"/>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541"/>
        <w:gridCol w:w="4717"/>
        <w:gridCol w:w="1863"/>
      </w:tblGrid>
      <w:tr w14:paraId="26CD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16" w:type="dxa"/>
            <w:gridSpan w:val="4"/>
            <w:tcBorders>
              <w:bottom w:val="single" w:color="auto" w:sz="4" w:space="0"/>
            </w:tcBorders>
            <w:vAlign w:val="center"/>
          </w:tcPr>
          <w:p w14:paraId="7C67ED89">
            <w:pPr>
              <w:adjustRightInd w:val="0"/>
              <w:snapToGrid w:val="0"/>
              <w:spacing w:line="240" w:lineRule="auto"/>
              <w:ind w:right="-10"/>
              <w:jc w:val="center"/>
              <w:rPr>
                <w:rFonts w:hint="eastAsia" w:ascii="Calibri" w:hAnsi="Calibri" w:cs="Times New Roman"/>
                <w:b/>
                <w:color w:val="auto"/>
                <w:kern w:val="2"/>
                <w:sz w:val="21"/>
                <w:szCs w:val="21"/>
                <w:highlight w:val="none"/>
              </w:rPr>
            </w:pPr>
            <w:r>
              <w:rPr>
                <w:rFonts w:hint="eastAsia" w:ascii="Calibri" w:hAnsi="Calibri" w:cs="Times New Roman"/>
                <w:b/>
                <w:color w:val="auto"/>
                <w:kern w:val="2"/>
                <w:sz w:val="21"/>
                <w:szCs w:val="21"/>
                <w:highlight w:val="none"/>
              </w:rPr>
              <w:t>初审表</w:t>
            </w:r>
          </w:p>
        </w:tc>
      </w:tr>
      <w:tr w14:paraId="02B4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95" w:type="dxa"/>
            <w:tcBorders>
              <w:bottom w:val="single" w:color="auto" w:sz="4" w:space="0"/>
            </w:tcBorders>
            <w:vAlign w:val="center"/>
          </w:tcPr>
          <w:p w14:paraId="6D7C6418">
            <w:pPr>
              <w:adjustRightInd w:val="0"/>
              <w:snapToGrid w:val="0"/>
              <w:spacing w:line="240" w:lineRule="auto"/>
              <w:ind w:right="-10" w:rightChars="0"/>
              <w:jc w:val="center"/>
              <w:rPr>
                <w:rFonts w:ascii="Calibri" w:hAnsi="Calibri" w:cs="Times New Roman"/>
                <w:b/>
                <w:bCs/>
                <w:color w:val="auto"/>
                <w:kern w:val="2"/>
                <w:sz w:val="21"/>
                <w:szCs w:val="21"/>
                <w:highlight w:val="none"/>
              </w:rPr>
            </w:pPr>
            <w:r>
              <w:rPr>
                <w:rFonts w:hint="eastAsia" w:ascii="宋体" w:hAnsi="宋体" w:eastAsia="宋体"/>
                <w:b/>
                <w:bCs/>
                <w:color w:val="auto"/>
                <w:sz w:val="21"/>
                <w:szCs w:val="21"/>
                <w:highlight w:val="none"/>
              </w:rPr>
              <w:t>序号</w:t>
            </w:r>
          </w:p>
        </w:tc>
        <w:tc>
          <w:tcPr>
            <w:tcW w:w="1541" w:type="dxa"/>
            <w:tcBorders>
              <w:bottom w:val="single" w:color="auto" w:sz="4" w:space="0"/>
            </w:tcBorders>
            <w:vAlign w:val="center"/>
          </w:tcPr>
          <w:p w14:paraId="0AC099AE">
            <w:pPr>
              <w:pStyle w:val="69"/>
              <w:pBdr>
                <w:bottom w:val="none" w:color="auto" w:sz="0" w:space="0"/>
              </w:pBdr>
              <w:tabs>
                <w:tab w:val="clear" w:pos="4153"/>
                <w:tab w:val="clear" w:pos="8306"/>
              </w:tabs>
              <w:snapToGrid w:val="0"/>
              <w:spacing w:line="240" w:lineRule="auto"/>
              <w:ind w:right="-10" w:rightChars="0"/>
              <w:textAlignment w:val="auto"/>
              <w:rPr>
                <w:rFonts w:ascii="Calibri" w:hAnsi="Calibri" w:cs="Times New Roman"/>
                <w:b/>
                <w:bCs/>
                <w:color w:val="auto"/>
                <w:kern w:val="2"/>
                <w:sz w:val="21"/>
                <w:szCs w:val="21"/>
                <w:highlight w:val="none"/>
              </w:rPr>
            </w:pPr>
            <w:r>
              <w:rPr>
                <w:rFonts w:hint="eastAsia" w:ascii="宋体" w:hAnsi="宋体" w:eastAsia="宋体"/>
                <w:b/>
                <w:bCs/>
                <w:color w:val="auto"/>
                <w:kern w:val="2"/>
                <w:sz w:val="21"/>
                <w:szCs w:val="21"/>
                <w:highlight w:val="none"/>
                <w:lang w:val="en-US" w:eastAsia="zh-CN"/>
              </w:rPr>
              <w:t>审查因素</w:t>
            </w:r>
          </w:p>
        </w:tc>
        <w:tc>
          <w:tcPr>
            <w:tcW w:w="4717" w:type="dxa"/>
            <w:tcBorders>
              <w:bottom w:val="single" w:color="auto" w:sz="4" w:space="0"/>
            </w:tcBorders>
            <w:vAlign w:val="center"/>
          </w:tcPr>
          <w:p w14:paraId="3ED44C83">
            <w:pPr>
              <w:adjustRightInd w:val="0"/>
              <w:snapToGrid w:val="0"/>
              <w:spacing w:line="240" w:lineRule="auto"/>
              <w:ind w:right="-10" w:rightChars="0"/>
              <w:jc w:val="center"/>
              <w:rPr>
                <w:rFonts w:ascii="Calibri" w:hAnsi="Calibri" w:cs="Times New Roman"/>
                <w:b/>
                <w:bCs/>
                <w:color w:val="auto"/>
                <w:kern w:val="2"/>
                <w:sz w:val="21"/>
                <w:szCs w:val="21"/>
                <w:highlight w:val="none"/>
              </w:rPr>
            </w:pPr>
            <w:r>
              <w:rPr>
                <w:rFonts w:hint="eastAsia" w:ascii="宋体" w:hAnsi="宋体" w:eastAsia="宋体"/>
                <w:b/>
                <w:bCs/>
                <w:color w:val="auto"/>
                <w:sz w:val="21"/>
                <w:szCs w:val="21"/>
                <w:highlight w:val="none"/>
                <w:lang w:val="en-US" w:eastAsia="zh-CN"/>
              </w:rPr>
              <w:t>审查内容</w:t>
            </w:r>
          </w:p>
        </w:tc>
        <w:tc>
          <w:tcPr>
            <w:tcW w:w="1863" w:type="dxa"/>
            <w:tcBorders>
              <w:bottom w:val="single" w:color="auto" w:sz="4" w:space="0"/>
            </w:tcBorders>
            <w:vAlign w:val="center"/>
          </w:tcPr>
          <w:p w14:paraId="18AD7EAE">
            <w:pPr>
              <w:adjustRightInd w:val="0"/>
              <w:snapToGrid w:val="0"/>
              <w:spacing w:line="240" w:lineRule="auto"/>
              <w:ind w:right="-10" w:rightChars="0"/>
              <w:jc w:val="center"/>
              <w:rPr>
                <w:rFonts w:hint="eastAsia" w:ascii="Calibri" w:hAnsi="Calibri" w:cs="Times New Roman"/>
                <w:b/>
                <w:bCs/>
                <w:color w:val="auto"/>
                <w:kern w:val="2"/>
                <w:sz w:val="21"/>
                <w:szCs w:val="21"/>
                <w:highlight w:val="none"/>
              </w:rPr>
            </w:pPr>
            <w:r>
              <w:rPr>
                <w:rFonts w:hint="eastAsia" w:ascii="宋体" w:hAnsi="宋体" w:eastAsia="宋体"/>
                <w:b/>
                <w:bCs/>
                <w:color w:val="auto"/>
                <w:sz w:val="21"/>
                <w:szCs w:val="21"/>
                <w:highlight w:val="none"/>
              </w:rPr>
              <w:t>格式要求</w:t>
            </w:r>
          </w:p>
        </w:tc>
      </w:tr>
      <w:tr w14:paraId="78C7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795" w:type="dxa"/>
            <w:tcBorders>
              <w:bottom w:val="single" w:color="auto" w:sz="4" w:space="0"/>
            </w:tcBorders>
            <w:vAlign w:val="center"/>
          </w:tcPr>
          <w:p w14:paraId="1DEDE1D7">
            <w:pPr>
              <w:adjustRightInd w:val="0"/>
              <w:snapToGrid w:val="0"/>
              <w:spacing w:line="240" w:lineRule="auto"/>
              <w:ind w:right="-10" w:rightChars="0"/>
              <w:jc w:val="center"/>
              <w:rPr>
                <w:rFonts w:cs="Times New Roman"/>
                <w:color w:val="auto"/>
                <w:kern w:val="2"/>
                <w:sz w:val="21"/>
                <w:szCs w:val="21"/>
                <w:highlight w:val="none"/>
              </w:rPr>
            </w:pPr>
            <w:r>
              <w:rPr>
                <w:rFonts w:hint="eastAsia" w:ascii="宋体" w:hAnsi="宋体" w:eastAsia="宋体"/>
                <w:color w:val="auto"/>
                <w:sz w:val="21"/>
                <w:szCs w:val="21"/>
                <w:highlight w:val="none"/>
              </w:rPr>
              <w:t>1</w:t>
            </w:r>
          </w:p>
        </w:tc>
        <w:tc>
          <w:tcPr>
            <w:tcW w:w="1541" w:type="dxa"/>
            <w:tcBorders>
              <w:bottom w:val="single" w:color="auto" w:sz="4" w:space="0"/>
            </w:tcBorders>
            <w:vAlign w:val="center"/>
          </w:tcPr>
          <w:p w14:paraId="3F1758DA">
            <w:pPr>
              <w:spacing w:after="50" w:line="240" w:lineRule="auto"/>
              <w:ind w:right="-10" w:rightChars="0"/>
              <w:jc w:val="center"/>
              <w:rPr>
                <w:rFonts w:ascii="Calibri" w:hAnsi="Calibri" w:cs="Times New Roman"/>
                <w:color w:val="auto"/>
                <w:kern w:val="2"/>
                <w:sz w:val="21"/>
                <w:szCs w:val="21"/>
                <w:highlight w:val="none"/>
              </w:rPr>
            </w:pPr>
            <w:r>
              <w:rPr>
                <w:rFonts w:ascii="宋体" w:hAnsi="宋体" w:eastAsia="宋体" w:cs="宋体"/>
                <w:color w:val="auto"/>
                <w:spacing w:val="9"/>
                <w:sz w:val="21"/>
                <w:szCs w:val="21"/>
                <w:highlight w:val="none"/>
              </w:rPr>
              <w:t>营业执照等证明</w:t>
            </w:r>
            <w:r>
              <w:rPr>
                <w:rFonts w:ascii="宋体" w:hAnsi="宋体" w:eastAsia="宋体" w:cs="宋体"/>
                <w:color w:val="auto"/>
                <w:spacing w:val="-3"/>
                <w:sz w:val="21"/>
                <w:szCs w:val="21"/>
                <w:highlight w:val="none"/>
              </w:rPr>
              <w:t>文件</w:t>
            </w:r>
          </w:p>
        </w:tc>
        <w:tc>
          <w:tcPr>
            <w:tcW w:w="4717" w:type="dxa"/>
            <w:tcBorders>
              <w:bottom w:val="single" w:color="auto" w:sz="4" w:space="0"/>
            </w:tcBorders>
            <w:vAlign w:val="center"/>
          </w:tcPr>
          <w:p w14:paraId="19BAA7EF">
            <w:pPr>
              <w:spacing w:after="50" w:line="240" w:lineRule="auto"/>
              <w:ind w:right="-10" w:rightChars="0"/>
              <w:jc w:val="left"/>
              <w:rPr>
                <w:rFonts w:hint="eastAsia" w:ascii="Calibri" w:hAnsi="Calibri" w:cs="Times New Roman"/>
                <w:color w:val="auto"/>
                <w:kern w:val="2"/>
                <w:sz w:val="21"/>
                <w:szCs w:val="21"/>
                <w:highlight w:val="none"/>
              </w:rPr>
            </w:pPr>
            <w:r>
              <w:rPr>
                <w:rFonts w:hint="eastAsia" w:ascii="Calibri" w:hAnsi="Calibri" w:cs="Times New Roman"/>
                <w:color w:val="auto"/>
                <w:kern w:val="2"/>
                <w:sz w:val="21"/>
                <w:szCs w:val="21"/>
                <w:highlight w:val="none"/>
              </w:rPr>
              <w:t>（1）供应商为企业（包括合伙企业）的，应提供有效的营业执照；</w:t>
            </w:r>
          </w:p>
          <w:p w14:paraId="36343E67">
            <w:pPr>
              <w:spacing w:after="50" w:line="240" w:lineRule="auto"/>
              <w:ind w:right="-10" w:rightChars="0"/>
              <w:jc w:val="left"/>
              <w:rPr>
                <w:rFonts w:hint="eastAsia" w:ascii="Calibri" w:hAnsi="Calibri" w:cs="Times New Roman"/>
                <w:color w:val="auto"/>
                <w:kern w:val="2"/>
                <w:sz w:val="21"/>
                <w:szCs w:val="21"/>
                <w:highlight w:val="none"/>
              </w:rPr>
            </w:pPr>
            <w:r>
              <w:rPr>
                <w:rFonts w:hint="eastAsia" w:ascii="Calibri" w:hAnsi="Calibri" w:cs="Times New Roman"/>
                <w:color w:val="auto"/>
                <w:kern w:val="2"/>
                <w:sz w:val="21"/>
                <w:szCs w:val="21"/>
                <w:highlight w:val="none"/>
              </w:rPr>
              <w:t>（2）供应商为事业单位的，应提供有效的事业单位法人证书；</w:t>
            </w:r>
          </w:p>
          <w:p w14:paraId="273D1DD2">
            <w:pPr>
              <w:spacing w:after="50" w:line="240" w:lineRule="auto"/>
              <w:ind w:right="-10" w:rightChars="0"/>
              <w:jc w:val="left"/>
              <w:rPr>
                <w:rFonts w:ascii="Calibri" w:hAnsi="Calibri" w:cs="Times New Roman"/>
                <w:color w:val="auto"/>
                <w:kern w:val="2"/>
                <w:sz w:val="21"/>
                <w:szCs w:val="21"/>
                <w:highlight w:val="none"/>
              </w:rPr>
            </w:pPr>
            <w:r>
              <w:rPr>
                <w:rFonts w:hint="eastAsia" w:ascii="Calibri" w:hAnsi="Calibri" w:cs="Times New Roman"/>
                <w:color w:val="auto"/>
                <w:kern w:val="2"/>
                <w:sz w:val="21"/>
                <w:szCs w:val="21"/>
                <w:highlight w:val="none"/>
              </w:rPr>
              <w:t>（3）供应商是非企业机构的，应提供有效的执业许可证或登记证书等证明文件。</w:t>
            </w:r>
          </w:p>
        </w:tc>
        <w:tc>
          <w:tcPr>
            <w:tcW w:w="1863" w:type="dxa"/>
            <w:tcBorders>
              <w:bottom w:val="single" w:color="auto" w:sz="4" w:space="0"/>
            </w:tcBorders>
            <w:vAlign w:val="center"/>
          </w:tcPr>
          <w:p w14:paraId="135AF19E">
            <w:pPr>
              <w:spacing w:line="240" w:lineRule="auto"/>
              <w:jc w:val="left"/>
              <w:rPr>
                <w:rFonts w:hint="eastAsia" w:cs="Times New Roman"/>
                <w:color w:val="auto"/>
                <w:kern w:val="2"/>
                <w:sz w:val="21"/>
                <w:szCs w:val="21"/>
                <w:highlight w:val="none"/>
              </w:rPr>
            </w:pP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en-US" w:eastAsia="zh-CN"/>
              </w:rPr>
              <w:t>材料</w:t>
            </w:r>
            <w:r>
              <w:rPr>
                <w:rFonts w:hint="eastAsia" w:ascii="宋体" w:hAnsi="宋体" w:eastAsia="宋体" w:cs="宋体"/>
                <w:b w:val="0"/>
                <w:bCs w:val="0"/>
                <w:color w:val="auto"/>
                <w:sz w:val="21"/>
                <w:szCs w:val="21"/>
                <w:highlight w:val="none"/>
              </w:rPr>
              <w:t>扫描件</w:t>
            </w:r>
            <w:r>
              <w:rPr>
                <w:rFonts w:hint="eastAsia" w:ascii="宋体" w:hAnsi="宋体" w:eastAsia="宋体" w:cs="宋体"/>
                <w:b w:val="0"/>
                <w:bCs w:val="0"/>
                <w:color w:val="auto"/>
                <w:sz w:val="21"/>
                <w:szCs w:val="21"/>
                <w:highlight w:val="none"/>
                <w:lang w:val="en-US" w:eastAsia="zh-CN"/>
              </w:rPr>
              <w:t>或电子证照</w:t>
            </w:r>
            <w:r>
              <w:rPr>
                <w:rFonts w:hint="eastAsia" w:ascii="宋体" w:hAnsi="宋体" w:eastAsia="宋体" w:cs="宋体"/>
                <w:b w:val="0"/>
                <w:bCs w:val="0"/>
                <w:color w:val="auto"/>
                <w:sz w:val="21"/>
                <w:szCs w:val="21"/>
                <w:highlight w:val="none"/>
              </w:rPr>
              <w:t>，应完整的体现出</w:t>
            </w:r>
            <w:r>
              <w:rPr>
                <w:rFonts w:hint="eastAsia" w:ascii="宋体" w:hAnsi="宋体" w:eastAsia="宋体" w:cs="宋体"/>
                <w:b w:val="0"/>
                <w:bCs w:val="0"/>
                <w:color w:val="auto"/>
                <w:sz w:val="21"/>
                <w:szCs w:val="21"/>
                <w:highlight w:val="none"/>
                <w:lang w:val="en-US" w:eastAsia="zh-CN"/>
              </w:rPr>
              <w:t>材料或电子证照</w:t>
            </w:r>
            <w:r>
              <w:rPr>
                <w:rFonts w:hint="eastAsia" w:ascii="宋体" w:hAnsi="宋体" w:eastAsia="宋体" w:cs="宋体"/>
                <w:b w:val="0"/>
                <w:bCs w:val="0"/>
                <w:color w:val="auto"/>
                <w:sz w:val="21"/>
                <w:szCs w:val="21"/>
                <w:highlight w:val="none"/>
              </w:rPr>
              <w:t>全部内容。</w:t>
            </w:r>
          </w:p>
        </w:tc>
      </w:tr>
      <w:tr w14:paraId="4392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95" w:type="dxa"/>
            <w:vAlign w:val="center"/>
          </w:tcPr>
          <w:p w14:paraId="16874EE3">
            <w:pPr>
              <w:adjustRightInd w:val="0"/>
              <w:snapToGrid w:val="0"/>
              <w:spacing w:line="240" w:lineRule="auto"/>
              <w:ind w:right="-10" w:rightChars="0"/>
              <w:jc w:val="center"/>
              <w:rPr>
                <w:rFonts w:cs="Times New Roman"/>
                <w:color w:val="auto"/>
                <w:kern w:val="2"/>
                <w:sz w:val="21"/>
                <w:szCs w:val="21"/>
                <w:highlight w:val="none"/>
              </w:rPr>
            </w:pPr>
            <w:r>
              <w:rPr>
                <w:rFonts w:hint="eastAsia" w:ascii="宋体" w:hAnsi="宋体" w:eastAsia="宋体"/>
                <w:color w:val="auto"/>
                <w:sz w:val="21"/>
                <w:szCs w:val="21"/>
                <w:highlight w:val="none"/>
                <w:lang w:val="en-US" w:eastAsia="zh-CN"/>
              </w:rPr>
              <w:t>2</w:t>
            </w:r>
          </w:p>
        </w:tc>
        <w:tc>
          <w:tcPr>
            <w:tcW w:w="1541" w:type="dxa"/>
            <w:vAlign w:val="center"/>
          </w:tcPr>
          <w:p w14:paraId="38AD11B1">
            <w:pPr>
              <w:spacing w:after="50" w:line="240" w:lineRule="auto"/>
              <w:ind w:right="-10" w:rightChars="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供应商资格声明书</w:t>
            </w:r>
          </w:p>
        </w:tc>
        <w:tc>
          <w:tcPr>
            <w:tcW w:w="4717" w:type="dxa"/>
            <w:vAlign w:val="center"/>
          </w:tcPr>
          <w:p w14:paraId="55A4E96D">
            <w:pPr>
              <w:spacing w:after="50" w:line="240" w:lineRule="auto"/>
              <w:ind w:right="-10" w:rightChars="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1863" w:type="dxa"/>
            <w:vAlign w:val="center"/>
          </w:tcPr>
          <w:p w14:paraId="6A9563AA">
            <w:pPr>
              <w:spacing w:line="240" w:lineRule="auto"/>
              <w:jc w:val="left"/>
              <w:rPr>
                <w:rFonts w:hint="eastAsia" w:cs="Times New Roman"/>
                <w:color w:val="auto"/>
                <w:kern w:val="2"/>
                <w:sz w:val="21"/>
                <w:szCs w:val="21"/>
                <w:highlight w:val="none"/>
              </w:rPr>
            </w:pPr>
            <w:r>
              <w:rPr>
                <w:rFonts w:hint="eastAsia" w:ascii="宋体" w:hAnsi="宋体" w:eastAsia="宋体"/>
                <w:color w:val="auto"/>
                <w:sz w:val="21"/>
                <w:szCs w:val="21"/>
                <w:highlight w:val="none"/>
              </w:rPr>
              <w:t>详见第六章</w:t>
            </w:r>
            <w:r>
              <w:rPr>
                <w:rFonts w:hint="eastAsia" w:ascii="宋体" w:hAnsi="宋体" w:eastAsia="宋体"/>
                <w:color w:val="auto"/>
                <w:sz w:val="21"/>
                <w:szCs w:val="21"/>
                <w:highlight w:val="none"/>
                <w:lang w:val="en-US" w:eastAsia="zh-CN"/>
              </w:rPr>
              <w:t>响应</w:t>
            </w:r>
            <w:r>
              <w:rPr>
                <w:rFonts w:hint="eastAsia" w:ascii="宋体" w:hAnsi="宋体" w:eastAsia="宋体"/>
                <w:color w:val="auto"/>
                <w:sz w:val="21"/>
                <w:szCs w:val="21"/>
                <w:highlight w:val="none"/>
              </w:rPr>
              <w:t>文件格式</w:t>
            </w:r>
            <w:r>
              <w:rPr>
                <w:rFonts w:hint="eastAsia" w:ascii="宋体" w:hAnsi="宋体" w:eastAsia="宋体"/>
                <w:color w:val="auto"/>
                <w:sz w:val="21"/>
                <w:szCs w:val="21"/>
                <w:highlight w:val="none"/>
                <w:lang w:eastAsia="zh-CN"/>
              </w:rPr>
              <w:t>。</w:t>
            </w:r>
          </w:p>
        </w:tc>
      </w:tr>
      <w:tr w14:paraId="7D7E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C4C03B2">
            <w:pPr>
              <w:adjustRightInd w:val="0"/>
              <w:snapToGrid w:val="0"/>
              <w:spacing w:line="240" w:lineRule="auto"/>
              <w:ind w:right="-10" w:rightChars="0"/>
              <w:jc w:val="center"/>
              <w:rPr>
                <w:rFonts w:cs="Times New Roman"/>
                <w:color w:val="auto"/>
                <w:kern w:val="2"/>
                <w:sz w:val="21"/>
                <w:szCs w:val="21"/>
                <w:highlight w:val="none"/>
              </w:rPr>
            </w:pPr>
            <w:r>
              <w:rPr>
                <w:rFonts w:hint="eastAsia" w:ascii="宋体" w:hAnsi="宋体" w:eastAsia="宋体"/>
                <w:color w:val="auto"/>
                <w:sz w:val="21"/>
                <w:szCs w:val="21"/>
                <w:highlight w:val="none"/>
                <w:lang w:val="en-US" w:eastAsia="zh-CN"/>
              </w:rPr>
              <w:t>3</w:t>
            </w:r>
          </w:p>
        </w:tc>
        <w:tc>
          <w:tcPr>
            <w:tcW w:w="1541" w:type="dxa"/>
            <w:vAlign w:val="center"/>
          </w:tcPr>
          <w:p w14:paraId="388659C5">
            <w:pPr>
              <w:spacing w:after="50" w:line="240" w:lineRule="auto"/>
              <w:ind w:right="-10" w:rightChars="0"/>
              <w:jc w:val="center"/>
              <w:rPr>
                <w:rFonts w:ascii="Calibri" w:hAnsi="Calibri" w:cs="Times New Roman"/>
                <w:color w:val="auto"/>
                <w:kern w:val="2"/>
                <w:sz w:val="21"/>
                <w:szCs w:val="21"/>
                <w:highlight w:val="none"/>
              </w:rPr>
            </w:pPr>
            <w:r>
              <w:rPr>
                <w:rFonts w:hint="eastAsia" w:ascii="宋体" w:hAnsi="宋体" w:eastAsia="宋体"/>
                <w:color w:val="auto"/>
                <w:sz w:val="21"/>
                <w:szCs w:val="21"/>
                <w:highlight w:val="none"/>
                <w:lang w:val="en-US" w:eastAsia="zh-CN"/>
              </w:rPr>
              <w:t>供应商</w:t>
            </w:r>
            <w:r>
              <w:rPr>
                <w:rFonts w:hint="eastAsia" w:ascii="宋体" w:hAnsi="宋体" w:eastAsia="宋体" w:cs="宋体"/>
                <w:color w:val="auto"/>
                <w:sz w:val="21"/>
                <w:szCs w:val="21"/>
                <w:highlight w:val="none"/>
              </w:rPr>
              <w:t>信用记录</w:t>
            </w:r>
          </w:p>
        </w:tc>
        <w:tc>
          <w:tcPr>
            <w:tcW w:w="4717" w:type="dxa"/>
            <w:vAlign w:val="center"/>
          </w:tcPr>
          <w:p w14:paraId="2520A1E8">
            <w:pPr>
              <w:spacing w:after="50" w:line="240" w:lineRule="auto"/>
              <w:ind w:right="-10" w:rightChars="0"/>
              <w:jc w:val="left"/>
              <w:rPr>
                <w:rFonts w:ascii="Calibri" w:hAnsi="Calibri" w:cs="Times New Roman"/>
                <w:color w:val="auto"/>
                <w:kern w:val="2"/>
                <w:sz w:val="21"/>
                <w:szCs w:val="21"/>
                <w:highlight w:val="none"/>
              </w:rPr>
            </w:pPr>
            <w:r>
              <w:rPr>
                <w:rFonts w:hint="eastAsia"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olor w:val="auto"/>
                <w:sz w:val="21"/>
                <w:szCs w:val="21"/>
                <w:highlight w:val="none"/>
              </w:rPr>
              <w:t>的不良信用记录情形</w:t>
            </w:r>
          </w:p>
        </w:tc>
        <w:tc>
          <w:tcPr>
            <w:tcW w:w="1863" w:type="dxa"/>
            <w:vAlign w:val="center"/>
          </w:tcPr>
          <w:p w14:paraId="41093B94">
            <w:pPr>
              <w:spacing w:line="240" w:lineRule="auto"/>
              <w:jc w:val="left"/>
              <w:rPr>
                <w:rFonts w:hint="eastAsia" w:cs="Times New Roman"/>
                <w:color w:val="auto"/>
                <w:kern w:val="2"/>
                <w:sz w:val="21"/>
                <w:szCs w:val="21"/>
                <w:highlight w:val="none"/>
              </w:rPr>
            </w:pPr>
            <w:r>
              <w:rPr>
                <w:rFonts w:hint="eastAsia" w:ascii="宋体" w:hAnsi="宋体" w:eastAsia="宋体" w:cs="宋体"/>
                <w:color w:val="auto"/>
                <w:sz w:val="21"/>
                <w:szCs w:val="21"/>
                <w:highlight w:val="none"/>
              </w:rPr>
              <w:t>无须</w:t>
            </w:r>
            <w:r>
              <w:rPr>
                <w:rFonts w:hint="eastAsia" w:ascii="宋体" w:hAnsi="宋体" w:eastAsia="宋体" w:cs="宋体"/>
                <w:color w:val="auto"/>
                <w:sz w:val="21"/>
                <w:szCs w:val="21"/>
                <w:highlight w:val="none"/>
                <w:lang w:val="en-US" w:eastAsia="zh-CN"/>
              </w:rPr>
              <w:t>供应商提</w:t>
            </w:r>
            <w:r>
              <w:rPr>
                <w:rFonts w:hint="eastAsia" w:ascii="宋体" w:hAnsi="宋体" w:eastAsia="宋体" w:cs="宋体"/>
                <w:color w:val="auto"/>
                <w:sz w:val="21"/>
                <w:szCs w:val="21"/>
                <w:highlight w:val="none"/>
              </w:rPr>
              <w:t>供，由采购人或采购代理机构查询。</w:t>
            </w:r>
          </w:p>
        </w:tc>
      </w:tr>
      <w:tr w14:paraId="3A22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5" w:type="dxa"/>
            <w:vMerge w:val="restart"/>
            <w:vAlign w:val="center"/>
          </w:tcPr>
          <w:p w14:paraId="3B24D5C6">
            <w:pPr>
              <w:adjustRightInd w:val="0"/>
              <w:snapToGrid w:val="0"/>
              <w:spacing w:line="240" w:lineRule="auto"/>
              <w:ind w:right="-10" w:rightChars="0"/>
              <w:jc w:val="center"/>
              <w:rPr>
                <w:rFonts w:cs="Times New Roman"/>
                <w:color w:val="auto"/>
                <w:kern w:val="2"/>
                <w:sz w:val="21"/>
                <w:szCs w:val="21"/>
                <w:highlight w:val="none"/>
              </w:rPr>
            </w:pPr>
            <w:r>
              <w:rPr>
                <w:rFonts w:hint="eastAsia"/>
                <w:color w:val="auto"/>
                <w:sz w:val="21"/>
                <w:szCs w:val="21"/>
                <w:highlight w:val="none"/>
                <w:lang w:val="en-US" w:eastAsia="zh-CN"/>
              </w:rPr>
              <w:t>4</w:t>
            </w:r>
          </w:p>
        </w:tc>
        <w:tc>
          <w:tcPr>
            <w:tcW w:w="1541" w:type="dxa"/>
            <w:vMerge w:val="restart"/>
            <w:vAlign w:val="center"/>
          </w:tcPr>
          <w:p w14:paraId="1B281FC1">
            <w:pPr>
              <w:spacing w:after="50" w:line="240" w:lineRule="auto"/>
              <w:ind w:right="-10" w:rightChars="0"/>
              <w:jc w:val="both"/>
              <w:rPr>
                <w:rFonts w:ascii="Calibri" w:hAnsi="Calibri" w:cs="Times New Roman"/>
                <w:color w:val="auto"/>
                <w:kern w:val="2"/>
                <w:sz w:val="21"/>
                <w:szCs w:val="21"/>
                <w:highlight w:val="none"/>
              </w:rPr>
            </w:pPr>
            <w:r>
              <w:rPr>
                <w:rFonts w:ascii="宋体" w:hAnsi="宋体" w:eastAsia="宋体" w:cs="宋体"/>
                <w:color w:val="auto"/>
                <w:spacing w:val="10"/>
                <w:sz w:val="21"/>
                <w:szCs w:val="21"/>
                <w:highlight w:val="none"/>
              </w:rPr>
              <w:t>其他特定资格要求</w:t>
            </w:r>
          </w:p>
        </w:tc>
        <w:tc>
          <w:tcPr>
            <w:tcW w:w="4717" w:type="dxa"/>
            <w:vAlign w:val="center"/>
          </w:tcPr>
          <w:p w14:paraId="44D9D859">
            <w:pPr>
              <w:spacing w:after="50" w:line="240" w:lineRule="auto"/>
              <w:ind w:right="-10" w:rightChars="0"/>
              <w:jc w:val="left"/>
              <w:rPr>
                <w:rFonts w:ascii="Calibri" w:hAnsi="Calibri" w:cs="Times New Roman"/>
                <w:color w:val="auto"/>
                <w:kern w:val="2"/>
                <w:sz w:val="21"/>
                <w:szCs w:val="21"/>
                <w:highlight w:val="none"/>
              </w:rPr>
            </w:pPr>
            <w:r>
              <w:rPr>
                <w:rFonts w:hint="eastAsia" w:ascii="宋体" w:hAnsi="宋体" w:eastAsia="宋体" w:cs="宋体"/>
                <w:b/>
                <w:bCs/>
                <w:color w:val="auto"/>
                <w:sz w:val="21"/>
                <w:szCs w:val="21"/>
                <w:highlight w:val="none"/>
              </w:rPr>
              <w:t>资质证书</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提供满足供应商资格中本项目的特定资格要求的资质证书扫描件。</w:t>
            </w:r>
          </w:p>
        </w:tc>
        <w:tc>
          <w:tcPr>
            <w:tcW w:w="1863" w:type="dxa"/>
            <w:vMerge w:val="restart"/>
            <w:vAlign w:val="center"/>
          </w:tcPr>
          <w:p w14:paraId="2CF7A356">
            <w:pPr>
              <w:spacing w:after="50" w:line="240" w:lineRule="auto"/>
              <w:ind w:right="-10" w:rightChars="0"/>
              <w:jc w:val="both"/>
              <w:rPr>
                <w:rFonts w:hint="eastAsia" w:cs="Times New Roman"/>
                <w:color w:val="auto"/>
                <w:kern w:val="2"/>
                <w:sz w:val="21"/>
                <w:szCs w:val="21"/>
                <w:highlight w:val="none"/>
              </w:rPr>
            </w:pP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en-US" w:eastAsia="zh-CN"/>
              </w:rPr>
              <w:t>材料</w:t>
            </w:r>
            <w:r>
              <w:rPr>
                <w:rFonts w:hint="eastAsia" w:ascii="宋体" w:hAnsi="宋体" w:eastAsia="宋体" w:cs="宋体"/>
                <w:b w:val="0"/>
                <w:bCs w:val="0"/>
                <w:color w:val="auto"/>
                <w:sz w:val="21"/>
                <w:szCs w:val="21"/>
                <w:highlight w:val="none"/>
              </w:rPr>
              <w:t>扫描件</w:t>
            </w:r>
            <w:r>
              <w:rPr>
                <w:rFonts w:hint="eastAsia" w:ascii="宋体" w:hAnsi="宋体" w:eastAsia="宋体" w:cs="宋体"/>
                <w:b w:val="0"/>
                <w:bCs w:val="0"/>
                <w:color w:val="auto"/>
                <w:sz w:val="21"/>
                <w:szCs w:val="21"/>
                <w:highlight w:val="none"/>
                <w:lang w:val="en-US" w:eastAsia="zh-CN"/>
              </w:rPr>
              <w:t>或电子证照</w:t>
            </w:r>
            <w:r>
              <w:rPr>
                <w:rFonts w:hint="eastAsia" w:ascii="宋体" w:hAnsi="宋体" w:eastAsia="宋体" w:cs="宋体"/>
                <w:b w:val="0"/>
                <w:bCs w:val="0"/>
                <w:color w:val="auto"/>
                <w:sz w:val="21"/>
                <w:szCs w:val="21"/>
                <w:highlight w:val="none"/>
              </w:rPr>
              <w:t>，应完整的体现出</w:t>
            </w:r>
            <w:r>
              <w:rPr>
                <w:rFonts w:hint="eastAsia" w:ascii="宋体" w:hAnsi="宋体" w:eastAsia="宋体" w:cs="宋体"/>
                <w:b w:val="0"/>
                <w:bCs w:val="0"/>
                <w:color w:val="auto"/>
                <w:sz w:val="21"/>
                <w:szCs w:val="21"/>
                <w:highlight w:val="none"/>
                <w:lang w:val="en-US" w:eastAsia="zh-CN"/>
              </w:rPr>
              <w:t>材料或电子证照</w:t>
            </w:r>
            <w:r>
              <w:rPr>
                <w:rFonts w:hint="eastAsia" w:ascii="宋体" w:hAnsi="宋体" w:eastAsia="宋体" w:cs="宋体"/>
                <w:b w:val="0"/>
                <w:bCs w:val="0"/>
                <w:color w:val="auto"/>
                <w:sz w:val="21"/>
                <w:szCs w:val="21"/>
                <w:highlight w:val="none"/>
              </w:rPr>
              <w:t>全部内容。</w:t>
            </w:r>
          </w:p>
        </w:tc>
      </w:tr>
      <w:tr w14:paraId="5E5B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5" w:type="dxa"/>
            <w:vMerge w:val="continue"/>
            <w:vAlign w:val="center"/>
          </w:tcPr>
          <w:p w14:paraId="45C104A8">
            <w:pPr>
              <w:spacing w:after="50" w:line="240" w:lineRule="auto"/>
              <w:ind w:right="-10" w:rightChars="0"/>
              <w:jc w:val="both"/>
              <w:rPr>
                <w:color w:val="auto"/>
                <w:highlight w:val="none"/>
              </w:rPr>
            </w:pPr>
          </w:p>
        </w:tc>
        <w:tc>
          <w:tcPr>
            <w:tcW w:w="1541" w:type="dxa"/>
            <w:vMerge w:val="continue"/>
            <w:vAlign w:val="center"/>
          </w:tcPr>
          <w:p w14:paraId="6A47C5A3">
            <w:pPr>
              <w:spacing w:after="50" w:line="240" w:lineRule="auto"/>
              <w:ind w:right="-10" w:rightChars="0"/>
              <w:jc w:val="both"/>
              <w:rPr>
                <w:color w:val="auto"/>
                <w:highlight w:val="none"/>
              </w:rPr>
            </w:pPr>
          </w:p>
        </w:tc>
        <w:tc>
          <w:tcPr>
            <w:tcW w:w="4717" w:type="dxa"/>
            <w:vAlign w:val="center"/>
          </w:tcPr>
          <w:p w14:paraId="2611F1B1">
            <w:pPr>
              <w:spacing w:after="50" w:line="240" w:lineRule="auto"/>
              <w:ind w:right="-10" w:rightChars="0"/>
              <w:jc w:val="left"/>
              <w:rPr>
                <w:rFonts w:ascii="Calibri" w:hAnsi="Calibri" w:cs="Times New Roman"/>
                <w:color w:val="auto"/>
                <w:kern w:val="2"/>
                <w:sz w:val="21"/>
                <w:szCs w:val="21"/>
                <w:highlight w:val="none"/>
              </w:rPr>
            </w:pPr>
            <w:r>
              <w:rPr>
                <w:rFonts w:hint="eastAsia" w:ascii="宋体" w:hAnsi="宋体" w:eastAsia="宋体" w:cs="宋体"/>
                <w:b/>
                <w:bCs/>
                <w:color w:val="auto"/>
                <w:sz w:val="21"/>
                <w:szCs w:val="21"/>
                <w:highlight w:val="none"/>
              </w:rPr>
              <w:t>安全生产许可证</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提供有效的安全生产许可证扫描件。</w:t>
            </w:r>
          </w:p>
        </w:tc>
        <w:tc>
          <w:tcPr>
            <w:tcW w:w="1863" w:type="dxa"/>
            <w:vMerge w:val="continue"/>
            <w:vAlign w:val="center"/>
          </w:tcPr>
          <w:p w14:paraId="74D4DDDF">
            <w:pPr>
              <w:spacing w:after="50" w:line="240" w:lineRule="auto"/>
              <w:ind w:right="-10" w:rightChars="0"/>
              <w:jc w:val="both"/>
              <w:rPr>
                <w:rFonts w:ascii="Calibri" w:hAnsi="Calibri" w:cs="Times New Roman"/>
                <w:color w:val="auto"/>
                <w:kern w:val="2"/>
                <w:sz w:val="21"/>
                <w:szCs w:val="21"/>
                <w:highlight w:val="none"/>
              </w:rPr>
            </w:pPr>
          </w:p>
        </w:tc>
      </w:tr>
      <w:tr w14:paraId="4236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5" w:type="dxa"/>
            <w:vMerge w:val="continue"/>
            <w:vAlign w:val="center"/>
          </w:tcPr>
          <w:p w14:paraId="4AF625B1">
            <w:pPr>
              <w:spacing w:after="50" w:line="240" w:lineRule="auto"/>
              <w:ind w:right="-10" w:rightChars="0"/>
              <w:jc w:val="both"/>
              <w:rPr>
                <w:rFonts w:ascii="Calibri" w:hAnsi="Calibri" w:cs="Times New Roman"/>
                <w:color w:val="auto"/>
                <w:kern w:val="2"/>
                <w:sz w:val="21"/>
                <w:szCs w:val="21"/>
                <w:highlight w:val="none"/>
              </w:rPr>
            </w:pPr>
          </w:p>
        </w:tc>
        <w:tc>
          <w:tcPr>
            <w:tcW w:w="1541" w:type="dxa"/>
            <w:vMerge w:val="continue"/>
            <w:vAlign w:val="center"/>
          </w:tcPr>
          <w:p w14:paraId="603CE457">
            <w:pPr>
              <w:spacing w:after="50" w:line="240" w:lineRule="auto"/>
              <w:ind w:right="-10" w:rightChars="0"/>
              <w:jc w:val="both"/>
              <w:rPr>
                <w:rFonts w:ascii="Calibri" w:hAnsi="Calibri" w:cs="Times New Roman"/>
                <w:color w:val="auto"/>
                <w:kern w:val="2"/>
                <w:sz w:val="21"/>
                <w:szCs w:val="21"/>
                <w:highlight w:val="none"/>
              </w:rPr>
            </w:pPr>
          </w:p>
        </w:tc>
        <w:tc>
          <w:tcPr>
            <w:tcW w:w="4717" w:type="dxa"/>
            <w:vAlign w:val="center"/>
          </w:tcPr>
          <w:p w14:paraId="448EACF6">
            <w:pPr>
              <w:spacing w:after="50" w:line="240" w:lineRule="auto"/>
              <w:ind w:right="-10" w:right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项目经理：</w:t>
            </w:r>
          </w:p>
          <w:p w14:paraId="39271A46">
            <w:pPr>
              <w:spacing w:after="50" w:line="240" w:lineRule="auto"/>
              <w:ind w:right="-10" w:rightChars="0"/>
              <w:jc w:val="left"/>
              <w:rPr>
                <w:rFonts w:hint="eastAsia" w:ascii="宋体" w:hAnsi="宋体" w:eastAsia="宋体"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t>提供符合资质要求的注册建造师证书和有效的安全生产考核合格证（B证），注册单位必须是供应商本单位；</w:t>
            </w:r>
          </w:p>
          <w:p w14:paraId="6F68BC6C">
            <w:pPr>
              <w:spacing w:after="50" w:line="240" w:lineRule="auto"/>
              <w:ind w:right="-10" w:rightChars="0"/>
              <w:jc w:val="left"/>
              <w:rPr>
                <w:rFonts w:ascii="Calibri" w:hAnsi="Calibri" w:cs="Times New Roman"/>
                <w:color w:val="auto"/>
                <w:kern w:val="2"/>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提供项目经理承诺，格式后附。</w:t>
            </w:r>
          </w:p>
        </w:tc>
        <w:tc>
          <w:tcPr>
            <w:tcW w:w="1863" w:type="dxa"/>
            <w:vMerge w:val="continue"/>
            <w:vAlign w:val="center"/>
          </w:tcPr>
          <w:p w14:paraId="76A1D451">
            <w:pPr>
              <w:spacing w:after="50" w:line="240" w:lineRule="auto"/>
              <w:ind w:right="-10" w:rightChars="0"/>
              <w:jc w:val="both"/>
              <w:rPr>
                <w:rFonts w:ascii="Calibri" w:hAnsi="Calibri" w:cs="Times New Roman"/>
                <w:color w:val="auto"/>
                <w:kern w:val="2"/>
                <w:sz w:val="21"/>
                <w:szCs w:val="21"/>
                <w:highlight w:val="none"/>
              </w:rPr>
            </w:pPr>
          </w:p>
        </w:tc>
      </w:tr>
      <w:tr w14:paraId="1714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1081EBB">
            <w:pPr>
              <w:adjustRightInd w:val="0"/>
              <w:snapToGrid w:val="0"/>
              <w:spacing w:line="240" w:lineRule="auto"/>
              <w:ind w:right="-10" w:rightChars="0"/>
              <w:jc w:val="center"/>
              <w:rPr>
                <w:rFonts w:hint="eastAsia" w:eastAsia="宋体" w:cs="Times New Roman"/>
                <w:color w:val="auto"/>
                <w:kern w:val="2"/>
                <w:sz w:val="21"/>
                <w:szCs w:val="21"/>
                <w:highlight w:val="none"/>
                <w:lang w:eastAsia="zh-CN"/>
              </w:rPr>
            </w:pPr>
            <w:r>
              <w:rPr>
                <w:rFonts w:hint="eastAsia" w:cs="Times New Roman" w:asciiTheme="minorEastAsia" w:hAnsiTheme="minorEastAsia" w:eastAsiaTheme="minorEastAsia"/>
                <w:color w:val="auto"/>
                <w:kern w:val="2"/>
                <w:sz w:val="21"/>
                <w:szCs w:val="21"/>
                <w:highlight w:val="none"/>
                <w:lang w:val="en-US" w:eastAsia="zh-CN"/>
              </w:rPr>
              <w:t>5</w:t>
            </w:r>
          </w:p>
        </w:tc>
        <w:tc>
          <w:tcPr>
            <w:tcW w:w="1541" w:type="dxa"/>
            <w:vAlign w:val="center"/>
          </w:tcPr>
          <w:p w14:paraId="0BA80FFB">
            <w:pPr>
              <w:adjustRightInd w:val="0"/>
              <w:snapToGrid w:val="0"/>
              <w:spacing w:line="240" w:lineRule="auto"/>
              <w:ind w:right="-10" w:rightChars="0"/>
              <w:jc w:val="center"/>
              <w:rPr>
                <w:rFonts w:ascii="Calibri" w:hAnsi="Calibri" w:cs="Times New Roman"/>
                <w:color w:val="auto"/>
                <w:kern w:val="2"/>
                <w:sz w:val="21"/>
                <w:szCs w:val="21"/>
                <w:highlight w:val="none"/>
              </w:rPr>
            </w:pPr>
            <w:r>
              <w:rPr>
                <w:rFonts w:hint="eastAsia" w:cs="Times New Roman"/>
                <w:color w:val="auto"/>
                <w:kern w:val="2"/>
                <w:sz w:val="21"/>
                <w:szCs w:val="21"/>
                <w:highlight w:val="none"/>
              </w:rPr>
              <w:t>授权书</w:t>
            </w:r>
          </w:p>
        </w:tc>
        <w:tc>
          <w:tcPr>
            <w:tcW w:w="4717" w:type="dxa"/>
            <w:vAlign w:val="center"/>
          </w:tcPr>
          <w:p w14:paraId="6F814131">
            <w:pPr>
              <w:adjustRightInd w:val="0"/>
              <w:snapToGrid w:val="0"/>
              <w:spacing w:line="240" w:lineRule="auto"/>
              <w:ind w:right="-10" w:rightChars="0"/>
              <w:jc w:val="left"/>
              <w:rPr>
                <w:rFonts w:ascii="Calibri" w:hAnsi="Calibri" w:cs="Times New Roman"/>
                <w:color w:val="auto"/>
                <w:kern w:val="2"/>
                <w:sz w:val="21"/>
                <w:szCs w:val="21"/>
                <w:highlight w:val="none"/>
              </w:rPr>
            </w:pPr>
            <w:r>
              <w:rPr>
                <w:rFonts w:hint="eastAsia" w:cs="Times New Roman"/>
                <w:color w:val="auto"/>
                <w:kern w:val="2"/>
                <w:sz w:val="21"/>
                <w:szCs w:val="21"/>
                <w:highlight w:val="none"/>
              </w:rPr>
              <w:t>符合</w:t>
            </w:r>
            <w:r>
              <w:rPr>
                <w:rFonts w:hint="eastAsia" w:cs="Times New Roman"/>
                <w:color w:val="auto"/>
                <w:kern w:val="2"/>
                <w:sz w:val="21"/>
                <w:szCs w:val="21"/>
                <w:highlight w:val="none"/>
                <w:lang w:val="en-US" w:eastAsia="zh-CN"/>
              </w:rPr>
              <w:t>磋商</w:t>
            </w:r>
            <w:r>
              <w:rPr>
                <w:rFonts w:hint="eastAsia" w:cs="Times New Roman"/>
                <w:color w:val="auto"/>
                <w:kern w:val="2"/>
                <w:sz w:val="21"/>
                <w:szCs w:val="21"/>
                <w:highlight w:val="none"/>
              </w:rPr>
              <w:t>文件要求。</w:t>
            </w:r>
          </w:p>
        </w:tc>
        <w:tc>
          <w:tcPr>
            <w:tcW w:w="1863" w:type="dxa"/>
            <w:vAlign w:val="center"/>
          </w:tcPr>
          <w:p w14:paraId="6F4C3F25">
            <w:pPr>
              <w:adjustRightInd w:val="0"/>
              <w:snapToGrid w:val="0"/>
              <w:spacing w:line="240" w:lineRule="auto"/>
              <w:ind w:right="-10" w:rightChars="0"/>
              <w:jc w:val="left"/>
              <w:rPr>
                <w:rFonts w:hint="eastAsia" w:eastAsia="宋体" w:cs="Times New Roman"/>
                <w:color w:val="auto"/>
                <w:kern w:val="2"/>
                <w:sz w:val="21"/>
                <w:szCs w:val="21"/>
                <w:highlight w:val="none"/>
                <w:lang w:eastAsia="zh-CN"/>
              </w:rPr>
            </w:pPr>
            <w:r>
              <w:rPr>
                <w:rFonts w:hint="eastAsia" w:ascii="宋体" w:hAnsi="宋体" w:eastAsia="宋体"/>
                <w:color w:val="auto"/>
                <w:sz w:val="21"/>
                <w:szCs w:val="21"/>
                <w:highlight w:val="none"/>
              </w:rPr>
              <w:t>详见第六章</w:t>
            </w:r>
            <w:r>
              <w:rPr>
                <w:rFonts w:hint="eastAsia" w:ascii="宋体" w:hAnsi="宋体" w:eastAsia="宋体"/>
                <w:color w:val="auto"/>
                <w:sz w:val="21"/>
                <w:szCs w:val="21"/>
                <w:highlight w:val="none"/>
                <w:lang w:val="en-US" w:eastAsia="zh-CN"/>
              </w:rPr>
              <w:t>响应</w:t>
            </w:r>
            <w:r>
              <w:rPr>
                <w:rFonts w:hint="eastAsia" w:ascii="宋体" w:hAnsi="宋体" w:eastAsia="宋体"/>
                <w:color w:val="auto"/>
                <w:sz w:val="21"/>
                <w:szCs w:val="21"/>
                <w:highlight w:val="none"/>
              </w:rPr>
              <w:t>文件格式</w:t>
            </w:r>
            <w:r>
              <w:rPr>
                <w:rFonts w:hint="eastAsia" w:ascii="宋体" w:hAnsi="宋体" w:eastAsia="宋体"/>
                <w:color w:val="auto"/>
                <w:sz w:val="21"/>
                <w:szCs w:val="21"/>
                <w:highlight w:val="none"/>
                <w:lang w:eastAsia="zh-CN"/>
              </w:rPr>
              <w:t>。</w:t>
            </w:r>
          </w:p>
        </w:tc>
      </w:tr>
      <w:tr w14:paraId="4D22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40FA76E">
            <w:pPr>
              <w:adjustRightInd w:val="0"/>
              <w:snapToGrid w:val="0"/>
              <w:spacing w:line="240" w:lineRule="auto"/>
              <w:ind w:right="-10" w:rightChars="0"/>
              <w:jc w:val="center"/>
              <w:rPr>
                <w:rFonts w:hint="eastAsia" w:eastAsia="宋体" w:cs="Times New Roman"/>
                <w:color w:val="auto"/>
                <w:kern w:val="2"/>
                <w:sz w:val="21"/>
                <w:szCs w:val="21"/>
                <w:highlight w:val="none"/>
                <w:lang w:eastAsia="zh-CN"/>
              </w:rPr>
            </w:pPr>
            <w:r>
              <w:rPr>
                <w:rFonts w:hint="eastAsia" w:cs="Times New Roman" w:asciiTheme="minorEastAsia" w:hAnsiTheme="minorEastAsia" w:eastAsiaTheme="minorEastAsia"/>
                <w:color w:val="auto"/>
                <w:kern w:val="2"/>
                <w:sz w:val="21"/>
                <w:szCs w:val="21"/>
                <w:highlight w:val="none"/>
                <w:lang w:val="en-US" w:eastAsia="zh-CN"/>
              </w:rPr>
              <w:t>6</w:t>
            </w:r>
          </w:p>
        </w:tc>
        <w:tc>
          <w:tcPr>
            <w:tcW w:w="1541" w:type="dxa"/>
            <w:vAlign w:val="center"/>
          </w:tcPr>
          <w:p w14:paraId="3EDD703B">
            <w:pPr>
              <w:adjustRightInd w:val="0"/>
              <w:snapToGrid w:val="0"/>
              <w:spacing w:line="240" w:lineRule="auto"/>
              <w:ind w:right="-10" w:rightChars="0"/>
              <w:jc w:val="center"/>
              <w:rPr>
                <w:rFonts w:ascii="Calibri" w:hAnsi="Calibri" w:cs="Times New Roman"/>
                <w:color w:val="auto"/>
                <w:kern w:val="2"/>
                <w:sz w:val="21"/>
                <w:szCs w:val="21"/>
                <w:highlight w:val="none"/>
              </w:rPr>
            </w:pPr>
            <w:r>
              <w:rPr>
                <w:rFonts w:hint="eastAsia" w:cs="Times New Roman"/>
                <w:color w:val="auto"/>
                <w:kern w:val="2"/>
                <w:sz w:val="21"/>
                <w:szCs w:val="21"/>
                <w:highlight w:val="none"/>
                <w:lang w:val="en-US" w:eastAsia="zh-CN"/>
              </w:rPr>
              <w:t>磋商</w:t>
            </w:r>
            <w:r>
              <w:rPr>
                <w:rFonts w:hint="eastAsia" w:cs="Times New Roman"/>
                <w:color w:val="auto"/>
                <w:kern w:val="2"/>
                <w:sz w:val="21"/>
                <w:szCs w:val="21"/>
                <w:highlight w:val="none"/>
              </w:rPr>
              <w:t>响应函</w:t>
            </w:r>
          </w:p>
        </w:tc>
        <w:tc>
          <w:tcPr>
            <w:tcW w:w="4717" w:type="dxa"/>
            <w:vAlign w:val="center"/>
          </w:tcPr>
          <w:p w14:paraId="7E2C95CB">
            <w:pPr>
              <w:adjustRightInd w:val="0"/>
              <w:snapToGrid w:val="0"/>
              <w:spacing w:line="240" w:lineRule="auto"/>
              <w:ind w:right="-10" w:rightChars="0"/>
              <w:jc w:val="left"/>
              <w:rPr>
                <w:rFonts w:ascii="Calibri" w:hAnsi="Calibri" w:cs="Times New Roman"/>
                <w:color w:val="auto"/>
                <w:kern w:val="2"/>
                <w:sz w:val="21"/>
                <w:szCs w:val="21"/>
                <w:highlight w:val="none"/>
              </w:rPr>
            </w:pPr>
            <w:r>
              <w:rPr>
                <w:rFonts w:hint="eastAsia" w:cs="Times New Roman"/>
                <w:color w:val="auto"/>
                <w:kern w:val="2"/>
                <w:sz w:val="21"/>
                <w:szCs w:val="21"/>
                <w:highlight w:val="none"/>
              </w:rPr>
              <w:t>符合</w:t>
            </w:r>
            <w:r>
              <w:rPr>
                <w:rFonts w:hint="eastAsia" w:cs="Times New Roman"/>
                <w:color w:val="auto"/>
                <w:kern w:val="2"/>
                <w:sz w:val="21"/>
                <w:szCs w:val="21"/>
                <w:highlight w:val="none"/>
                <w:lang w:val="en-US" w:eastAsia="zh-CN"/>
              </w:rPr>
              <w:t>磋商</w:t>
            </w:r>
            <w:r>
              <w:rPr>
                <w:rFonts w:hint="eastAsia" w:cs="Times New Roman"/>
                <w:color w:val="auto"/>
                <w:kern w:val="2"/>
                <w:sz w:val="21"/>
                <w:szCs w:val="21"/>
                <w:highlight w:val="none"/>
              </w:rPr>
              <w:t>文件要求。</w:t>
            </w:r>
          </w:p>
        </w:tc>
        <w:tc>
          <w:tcPr>
            <w:tcW w:w="1863" w:type="dxa"/>
            <w:vAlign w:val="center"/>
          </w:tcPr>
          <w:p w14:paraId="67838B4E">
            <w:pPr>
              <w:adjustRightInd w:val="0"/>
              <w:snapToGrid w:val="0"/>
              <w:spacing w:line="240" w:lineRule="auto"/>
              <w:ind w:right="-10" w:rightChars="0"/>
              <w:jc w:val="left"/>
              <w:rPr>
                <w:rFonts w:hint="eastAsia" w:eastAsia="宋体" w:cs="Times New Roman"/>
                <w:color w:val="auto"/>
                <w:kern w:val="2"/>
                <w:sz w:val="21"/>
                <w:szCs w:val="21"/>
                <w:highlight w:val="none"/>
                <w:lang w:eastAsia="zh-CN"/>
              </w:rPr>
            </w:pPr>
            <w:r>
              <w:rPr>
                <w:rFonts w:hint="eastAsia" w:ascii="宋体" w:hAnsi="宋体" w:eastAsia="宋体"/>
                <w:color w:val="auto"/>
                <w:sz w:val="21"/>
                <w:szCs w:val="21"/>
                <w:highlight w:val="none"/>
              </w:rPr>
              <w:t>详见第六章</w:t>
            </w:r>
            <w:r>
              <w:rPr>
                <w:rFonts w:hint="eastAsia" w:ascii="宋体" w:hAnsi="宋体" w:eastAsia="宋体"/>
                <w:color w:val="auto"/>
                <w:sz w:val="21"/>
                <w:szCs w:val="21"/>
                <w:highlight w:val="none"/>
                <w:lang w:val="en-US" w:eastAsia="zh-CN"/>
              </w:rPr>
              <w:t>响应</w:t>
            </w:r>
            <w:r>
              <w:rPr>
                <w:rFonts w:hint="eastAsia" w:ascii="宋体" w:hAnsi="宋体" w:eastAsia="宋体"/>
                <w:color w:val="auto"/>
                <w:sz w:val="21"/>
                <w:szCs w:val="21"/>
                <w:highlight w:val="none"/>
              </w:rPr>
              <w:t>文件格式</w:t>
            </w:r>
            <w:r>
              <w:rPr>
                <w:rFonts w:hint="eastAsia" w:ascii="宋体" w:hAnsi="宋体" w:eastAsia="宋体"/>
                <w:color w:val="auto"/>
                <w:sz w:val="21"/>
                <w:szCs w:val="21"/>
                <w:highlight w:val="none"/>
                <w:lang w:eastAsia="zh-CN"/>
              </w:rPr>
              <w:t>。</w:t>
            </w:r>
          </w:p>
        </w:tc>
      </w:tr>
      <w:tr w14:paraId="7931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905C6FC">
            <w:pPr>
              <w:adjustRightInd w:val="0"/>
              <w:snapToGrid w:val="0"/>
              <w:spacing w:line="240" w:lineRule="auto"/>
              <w:ind w:right="-10" w:rightChars="0"/>
              <w:jc w:val="center"/>
              <w:rPr>
                <w:rFonts w:hint="eastAsia" w:eastAsia="宋体" w:cs="Times New Roman"/>
                <w:color w:val="auto"/>
                <w:kern w:val="2"/>
                <w:sz w:val="21"/>
                <w:szCs w:val="21"/>
                <w:highlight w:val="none"/>
                <w:lang w:eastAsia="zh-CN"/>
              </w:rPr>
            </w:pPr>
            <w:r>
              <w:rPr>
                <w:rFonts w:hint="eastAsia"/>
                <w:color w:val="auto"/>
                <w:sz w:val="21"/>
                <w:szCs w:val="21"/>
                <w:highlight w:val="none"/>
                <w:lang w:val="en-US" w:eastAsia="zh-CN"/>
              </w:rPr>
              <w:t>7</w:t>
            </w:r>
          </w:p>
        </w:tc>
        <w:tc>
          <w:tcPr>
            <w:tcW w:w="1541" w:type="dxa"/>
            <w:vAlign w:val="center"/>
          </w:tcPr>
          <w:p w14:paraId="03298B96">
            <w:pPr>
              <w:spacing w:after="50" w:line="240" w:lineRule="auto"/>
              <w:ind w:right="-10" w:rightChars="0"/>
              <w:jc w:val="center"/>
              <w:rPr>
                <w:rFonts w:ascii="Calibri" w:hAnsi="Calibri" w:cs="Times New Roman"/>
                <w:color w:val="auto"/>
                <w:kern w:val="2"/>
                <w:sz w:val="21"/>
                <w:szCs w:val="21"/>
                <w:highlight w:val="none"/>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717" w:type="dxa"/>
            <w:vAlign w:val="center"/>
          </w:tcPr>
          <w:p w14:paraId="3716B1B6">
            <w:pPr>
              <w:spacing w:after="50" w:line="240" w:lineRule="auto"/>
              <w:ind w:right="-10" w:rightChars="0"/>
              <w:jc w:val="both"/>
              <w:rPr>
                <w:rFonts w:ascii="Calibri" w:hAnsi="Calibri" w:cs="Times New Roman"/>
                <w:color w:val="auto"/>
                <w:kern w:val="2"/>
                <w:sz w:val="21"/>
                <w:szCs w:val="21"/>
                <w:highlight w:val="none"/>
              </w:rPr>
            </w:pPr>
            <w:r>
              <w:rPr>
                <w:rFonts w:hint="eastAsia" w:asciiTheme="minorEastAsia" w:hAnsiTheme="minorEastAsia" w:eastAsiaTheme="minorEastAsia"/>
                <w:color w:val="auto"/>
                <w:sz w:val="21"/>
                <w:szCs w:val="21"/>
                <w:highlight w:val="none"/>
              </w:rPr>
              <w:t>符合</w:t>
            </w:r>
            <w:r>
              <w:rPr>
                <w:rFonts w:hint="eastAsia" w:cs="Times New Roman"/>
                <w:color w:val="auto"/>
                <w:kern w:val="2"/>
                <w:sz w:val="21"/>
                <w:szCs w:val="21"/>
                <w:highlight w:val="none"/>
                <w:lang w:val="en-US" w:eastAsia="zh-CN"/>
              </w:rPr>
              <w:t>磋商</w:t>
            </w:r>
            <w:r>
              <w:rPr>
                <w:rFonts w:hint="eastAsia"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lang w:val="en-US" w:eastAsia="zh-CN"/>
              </w:rPr>
              <w:t>要求</w:t>
            </w:r>
          </w:p>
        </w:tc>
        <w:tc>
          <w:tcPr>
            <w:tcW w:w="1863" w:type="dxa"/>
            <w:vAlign w:val="center"/>
          </w:tcPr>
          <w:p w14:paraId="262F144C">
            <w:pPr>
              <w:adjustRightInd w:val="0"/>
              <w:snapToGrid w:val="0"/>
              <w:spacing w:line="240" w:lineRule="auto"/>
              <w:ind w:right="-10" w:rightChars="0"/>
              <w:jc w:val="both"/>
              <w:rPr>
                <w:rFonts w:hint="eastAsia" w:eastAsia="宋体" w:cs="Times New Roman"/>
                <w:color w:val="auto"/>
                <w:kern w:val="2"/>
                <w:sz w:val="21"/>
                <w:szCs w:val="21"/>
                <w:highlight w:val="none"/>
                <w:lang w:eastAsia="zh-CN"/>
              </w:rPr>
            </w:pPr>
            <w:r>
              <w:rPr>
                <w:rFonts w:hint="eastAsia" w:ascii="宋体" w:hAnsi="宋体" w:eastAsia="宋体"/>
                <w:color w:val="auto"/>
                <w:sz w:val="21"/>
                <w:szCs w:val="21"/>
                <w:highlight w:val="none"/>
              </w:rPr>
              <w:t>详见第六章</w:t>
            </w:r>
            <w:r>
              <w:rPr>
                <w:rFonts w:hint="eastAsia" w:ascii="宋体" w:hAnsi="宋体" w:eastAsia="宋体"/>
                <w:color w:val="auto"/>
                <w:sz w:val="21"/>
                <w:szCs w:val="21"/>
                <w:highlight w:val="none"/>
                <w:lang w:val="en-US" w:eastAsia="zh-CN"/>
              </w:rPr>
              <w:t>响应</w:t>
            </w:r>
            <w:r>
              <w:rPr>
                <w:rFonts w:hint="eastAsia" w:ascii="宋体" w:hAnsi="宋体" w:eastAsia="宋体"/>
                <w:color w:val="auto"/>
                <w:sz w:val="21"/>
                <w:szCs w:val="21"/>
                <w:highlight w:val="none"/>
              </w:rPr>
              <w:t>文件格式</w:t>
            </w:r>
            <w:r>
              <w:rPr>
                <w:rFonts w:hint="eastAsia" w:ascii="宋体" w:hAnsi="宋体" w:eastAsia="宋体"/>
                <w:color w:val="auto"/>
                <w:sz w:val="21"/>
                <w:szCs w:val="21"/>
                <w:highlight w:val="none"/>
                <w:lang w:eastAsia="zh-CN"/>
              </w:rPr>
              <w:t>。</w:t>
            </w:r>
          </w:p>
        </w:tc>
      </w:tr>
      <w:tr w14:paraId="2146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95" w:type="dxa"/>
            <w:vAlign w:val="center"/>
          </w:tcPr>
          <w:p w14:paraId="4898B86A">
            <w:pPr>
              <w:adjustRightInd w:val="0"/>
              <w:snapToGrid w:val="0"/>
              <w:spacing w:line="240" w:lineRule="auto"/>
              <w:ind w:right="-10" w:rightChars="0"/>
              <w:jc w:val="center"/>
              <w:rPr>
                <w:rFonts w:hint="default" w:cs="Times New Roman"/>
                <w:color w:val="auto"/>
                <w:kern w:val="2"/>
                <w:sz w:val="21"/>
                <w:szCs w:val="21"/>
                <w:highlight w:val="none"/>
                <w:lang w:val="en-US"/>
              </w:rPr>
            </w:pPr>
            <w:r>
              <w:rPr>
                <w:rFonts w:hint="eastAsia" w:cs="Times New Roman" w:asciiTheme="minorEastAsia" w:hAnsiTheme="minorEastAsia" w:eastAsiaTheme="minorEastAsia"/>
                <w:color w:val="auto"/>
                <w:kern w:val="2"/>
                <w:sz w:val="21"/>
                <w:szCs w:val="21"/>
                <w:highlight w:val="none"/>
                <w:lang w:val="en-US" w:eastAsia="zh-CN"/>
              </w:rPr>
              <w:t>8</w:t>
            </w:r>
          </w:p>
        </w:tc>
        <w:tc>
          <w:tcPr>
            <w:tcW w:w="1541" w:type="dxa"/>
            <w:vAlign w:val="center"/>
          </w:tcPr>
          <w:p w14:paraId="6BFA2A4F">
            <w:pPr>
              <w:adjustRightInd w:val="0"/>
              <w:snapToGrid w:val="0"/>
              <w:spacing w:line="240" w:lineRule="auto"/>
              <w:ind w:right="-10" w:rightChars="0"/>
              <w:jc w:val="center"/>
              <w:rPr>
                <w:rFonts w:ascii="Calibri" w:hAnsi="Calibri" w:cs="Times New Roman"/>
                <w:color w:val="auto"/>
                <w:kern w:val="2"/>
                <w:sz w:val="21"/>
                <w:szCs w:val="21"/>
                <w:highlight w:val="none"/>
              </w:rPr>
            </w:pPr>
            <w:r>
              <w:rPr>
                <w:rFonts w:hint="eastAsia" w:ascii="Calibri" w:hAnsi="Calibri" w:cs="Times New Roman"/>
                <w:color w:val="auto"/>
                <w:kern w:val="2"/>
                <w:sz w:val="21"/>
                <w:szCs w:val="21"/>
                <w:highlight w:val="none"/>
                <w:lang w:val="en-US" w:eastAsia="zh-CN"/>
              </w:rPr>
              <w:t>其他</w:t>
            </w:r>
          </w:p>
        </w:tc>
        <w:tc>
          <w:tcPr>
            <w:tcW w:w="4717" w:type="dxa"/>
            <w:vAlign w:val="center"/>
          </w:tcPr>
          <w:p w14:paraId="65829D95">
            <w:pPr>
              <w:adjustRightInd w:val="0"/>
              <w:snapToGrid w:val="0"/>
              <w:spacing w:line="240" w:lineRule="auto"/>
              <w:ind w:right="-10" w:rightChars="0"/>
              <w:jc w:val="left"/>
              <w:rPr>
                <w:rFonts w:ascii="Calibri" w:hAnsi="Calibri" w:cs="Times New Roman"/>
                <w:color w:val="auto"/>
                <w:kern w:val="2"/>
                <w:sz w:val="21"/>
                <w:szCs w:val="21"/>
                <w:highlight w:val="none"/>
              </w:rPr>
            </w:pPr>
            <w:r>
              <w:rPr>
                <w:rFonts w:hint="eastAsia" w:asciiTheme="minorEastAsia" w:hAnsiTheme="minorEastAsia" w:eastAsiaTheme="minorEastAsia"/>
                <w:color w:val="auto"/>
                <w:sz w:val="21"/>
                <w:szCs w:val="21"/>
                <w:highlight w:val="none"/>
              </w:rPr>
              <w:t>符合</w:t>
            </w:r>
            <w:r>
              <w:rPr>
                <w:rFonts w:hint="eastAsia" w:cs="Times New Roman"/>
                <w:color w:val="auto"/>
                <w:kern w:val="2"/>
                <w:sz w:val="21"/>
                <w:szCs w:val="21"/>
                <w:highlight w:val="none"/>
                <w:lang w:val="en-US" w:eastAsia="zh-CN"/>
              </w:rPr>
              <w:t>磋商</w:t>
            </w:r>
            <w:r>
              <w:rPr>
                <w:rFonts w:hint="eastAsia"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lang w:val="en-US" w:eastAsia="zh-CN"/>
              </w:rPr>
              <w:t>要求</w:t>
            </w:r>
          </w:p>
        </w:tc>
        <w:tc>
          <w:tcPr>
            <w:tcW w:w="1863" w:type="dxa"/>
            <w:vAlign w:val="center"/>
          </w:tcPr>
          <w:p w14:paraId="405764B8">
            <w:pPr>
              <w:adjustRightInd w:val="0"/>
              <w:snapToGrid w:val="0"/>
              <w:spacing w:line="240" w:lineRule="auto"/>
              <w:ind w:right="-10" w:rightChars="0"/>
              <w:jc w:val="left"/>
              <w:rPr>
                <w:rFonts w:hint="eastAsia" w:asciiTheme="majorEastAsia" w:hAnsiTheme="majorEastAsia" w:eastAsiaTheme="majorEastAsia"/>
                <w:color w:val="auto"/>
                <w:sz w:val="21"/>
                <w:szCs w:val="21"/>
                <w:highlight w:val="none"/>
              </w:rPr>
            </w:pPr>
          </w:p>
        </w:tc>
      </w:tr>
      <w:tr w14:paraId="153C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16" w:type="dxa"/>
            <w:gridSpan w:val="4"/>
            <w:tcBorders>
              <w:bottom w:val="single" w:color="auto" w:sz="4" w:space="0"/>
            </w:tcBorders>
            <w:vAlign w:val="center"/>
          </w:tcPr>
          <w:p w14:paraId="4AB8A84C">
            <w:pPr>
              <w:adjustRightInd w:val="0"/>
              <w:snapToGrid w:val="0"/>
              <w:spacing w:line="240" w:lineRule="auto"/>
              <w:ind w:right="-10"/>
              <w:jc w:val="left"/>
              <w:rPr>
                <w:rFonts w:hint="eastAsia" w:ascii="Calibri" w:hAnsi="Calibri" w:cs="Times New Roman"/>
                <w:color w:val="auto"/>
                <w:kern w:val="2"/>
                <w:sz w:val="21"/>
                <w:szCs w:val="21"/>
                <w:highlight w:val="none"/>
              </w:rPr>
            </w:pPr>
            <w:r>
              <w:rPr>
                <w:rFonts w:hint="eastAsia" w:ascii="Calibri" w:hAnsi="Calibri" w:cs="Times New Roman"/>
                <w:color w:val="auto"/>
                <w:kern w:val="2"/>
                <w:sz w:val="21"/>
                <w:szCs w:val="21"/>
                <w:highlight w:val="none"/>
              </w:rPr>
              <w:t>评审指标通过标准：供应商必须通过上述全部指标。</w:t>
            </w:r>
          </w:p>
        </w:tc>
      </w:tr>
    </w:tbl>
    <w:p w14:paraId="295766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5AA3F207">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2.2综合评分</w:t>
      </w:r>
    </w:p>
    <w:p w14:paraId="1AD6C5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49B2F1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80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20</w:t>
      </w:r>
      <w:r>
        <w:rPr>
          <w:rFonts w:asciiTheme="minorEastAsia" w:hAnsiTheme="minorEastAsia" w:eastAsiaTheme="minorEastAsia"/>
          <w:color w:val="auto"/>
          <w:sz w:val="24"/>
          <w:highlight w:val="none"/>
        </w:rPr>
        <w:t>%。具体评分细则如下：</w:t>
      </w:r>
    </w:p>
    <w:tbl>
      <w:tblPr>
        <w:tblStyle w:val="55"/>
        <w:tblW w:w="10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8019"/>
        <w:gridCol w:w="968"/>
      </w:tblGrid>
      <w:tr w14:paraId="1C6E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34" w:type="dxa"/>
            <w:tcBorders>
              <w:top w:val="single" w:color="auto" w:sz="4" w:space="0"/>
              <w:left w:val="single" w:color="auto" w:sz="4" w:space="0"/>
              <w:bottom w:val="single" w:color="auto" w:sz="4" w:space="0"/>
              <w:right w:val="single" w:color="auto" w:sz="4" w:space="0"/>
            </w:tcBorders>
            <w:vAlign w:val="center"/>
          </w:tcPr>
          <w:p w14:paraId="4DACCEA6">
            <w:pPr>
              <w:spacing w:line="240" w:lineRule="auto"/>
              <w:jc w:val="center"/>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评分内容</w:t>
            </w:r>
          </w:p>
        </w:tc>
        <w:tc>
          <w:tcPr>
            <w:tcW w:w="8019" w:type="dxa"/>
            <w:tcBorders>
              <w:top w:val="single" w:color="auto" w:sz="4" w:space="0"/>
              <w:left w:val="single" w:color="auto" w:sz="4" w:space="0"/>
              <w:bottom w:val="single" w:color="auto" w:sz="4" w:space="0"/>
              <w:right w:val="single" w:color="auto" w:sz="4" w:space="0"/>
            </w:tcBorders>
            <w:vAlign w:val="center"/>
          </w:tcPr>
          <w:p w14:paraId="490D77EE">
            <w:pPr>
              <w:spacing w:line="240" w:lineRule="auto"/>
              <w:jc w:val="center"/>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评分标准</w:t>
            </w:r>
          </w:p>
        </w:tc>
        <w:tc>
          <w:tcPr>
            <w:tcW w:w="968" w:type="dxa"/>
            <w:tcBorders>
              <w:top w:val="single" w:color="auto" w:sz="4" w:space="0"/>
              <w:left w:val="single" w:color="auto" w:sz="4" w:space="0"/>
              <w:bottom w:val="single" w:color="auto" w:sz="4" w:space="0"/>
              <w:right w:val="single" w:color="auto" w:sz="4" w:space="0"/>
            </w:tcBorders>
            <w:vAlign w:val="center"/>
          </w:tcPr>
          <w:p w14:paraId="789B4F02">
            <w:pPr>
              <w:spacing w:line="240" w:lineRule="auto"/>
              <w:jc w:val="center"/>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分值</w:t>
            </w:r>
          </w:p>
        </w:tc>
      </w:tr>
      <w:tr w14:paraId="36E9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op w:val="single" w:color="auto" w:sz="4" w:space="0"/>
              <w:left w:val="single" w:color="auto" w:sz="4" w:space="0"/>
              <w:bottom w:val="single" w:color="auto" w:sz="4" w:space="0"/>
              <w:right w:val="single" w:color="auto" w:sz="4" w:space="0"/>
            </w:tcBorders>
            <w:vAlign w:val="center"/>
          </w:tcPr>
          <w:p w14:paraId="2D99526F">
            <w:pPr>
              <w:spacing w:line="240" w:lineRule="auto"/>
              <w:jc w:val="center"/>
              <w:rPr>
                <w:rFonts w:asciiTheme="minorEastAsia" w:hAnsiTheme="minorEastAsia" w:eastAsiaTheme="minorEastAsia"/>
                <w:bCs/>
                <w:color w:val="auto"/>
                <w:sz w:val="24"/>
                <w:szCs w:val="24"/>
                <w:highlight w:val="none"/>
              </w:rPr>
            </w:pPr>
            <w:r>
              <w:rPr>
                <w:rFonts w:ascii="Times New Roman" w:hAnsi="Times New Roman"/>
                <w:b/>
                <w:color w:val="auto"/>
                <w:kern w:val="0"/>
                <w:sz w:val="24"/>
                <w:szCs w:val="24"/>
                <w:highlight w:val="none"/>
              </w:rPr>
              <w:t>供应商业绩</w:t>
            </w:r>
          </w:p>
        </w:tc>
        <w:tc>
          <w:tcPr>
            <w:tcW w:w="8019" w:type="dxa"/>
            <w:tcBorders>
              <w:top w:val="single" w:color="auto" w:sz="4" w:space="0"/>
              <w:left w:val="single" w:color="auto" w:sz="4" w:space="0"/>
              <w:bottom w:val="single" w:color="auto" w:sz="4" w:space="0"/>
              <w:right w:val="single" w:color="auto" w:sz="4" w:space="0"/>
            </w:tcBorders>
            <w:vAlign w:val="center"/>
          </w:tcPr>
          <w:p w14:paraId="608B437B">
            <w:pPr>
              <w:adjustRightInd w:val="0"/>
              <w:snapToGrid w:val="0"/>
              <w:spacing w:line="240" w:lineRule="auto"/>
              <w:rPr>
                <w:rFonts w:hint="eastAsia" w:ascii="宋体" w:hAnsi="宋体" w:cs="宋体"/>
                <w:bCs w:val="0"/>
                <w:color w:val="auto"/>
                <w:kern w:val="0"/>
                <w:sz w:val="24"/>
                <w:szCs w:val="24"/>
                <w:highlight w:val="none"/>
              </w:rPr>
            </w:pPr>
            <w:r>
              <w:rPr>
                <w:rFonts w:hint="eastAsia" w:ascii="Times New Roman" w:hAnsi="Times New Roman"/>
                <w:bCs/>
                <w:color w:val="auto"/>
                <w:sz w:val="24"/>
                <w:szCs w:val="24"/>
                <w:highlight w:val="none"/>
              </w:rPr>
              <w:t>自20</w:t>
            </w:r>
            <w:r>
              <w:rPr>
                <w:rFonts w:hint="eastAsia" w:ascii="Times New Roman" w:hAnsi="Times New Roman"/>
                <w:bCs/>
                <w:color w:val="auto"/>
                <w:sz w:val="24"/>
                <w:szCs w:val="24"/>
                <w:highlight w:val="none"/>
                <w:lang w:val="en-US" w:eastAsia="zh-CN"/>
              </w:rPr>
              <w:t>23</w:t>
            </w:r>
            <w:r>
              <w:rPr>
                <w:rFonts w:hint="eastAsia" w:ascii="Times New Roman" w:hAnsi="Times New Roman"/>
                <w:bCs/>
                <w:color w:val="auto"/>
                <w:sz w:val="24"/>
                <w:szCs w:val="24"/>
                <w:highlight w:val="none"/>
              </w:rPr>
              <w:t>年1月</w:t>
            </w:r>
            <w:r>
              <w:rPr>
                <w:rFonts w:hint="eastAsia" w:ascii="Times New Roman" w:hAnsi="Times New Roman"/>
                <w:bCs/>
                <w:color w:val="auto"/>
                <w:sz w:val="24"/>
                <w:szCs w:val="24"/>
                <w:highlight w:val="none"/>
                <w:lang w:val="en-US" w:eastAsia="zh-CN"/>
              </w:rPr>
              <w:t>1</w:t>
            </w:r>
            <w:r>
              <w:rPr>
                <w:rFonts w:hint="eastAsia" w:ascii="Times New Roman" w:hAnsi="Times New Roman"/>
                <w:bCs/>
                <w:color w:val="auto"/>
                <w:sz w:val="24"/>
                <w:szCs w:val="24"/>
                <w:highlight w:val="none"/>
              </w:rPr>
              <w:t>日以来，</w:t>
            </w:r>
            <w:r>
              <w:rPr>
                <w:rFonts w:hint="eastAsia" w:ascii="Times New Roman" w:hAnsi="Times New Roman"/>
                <w:bCs/>
                <w:color w:val="auto"/>
                <w:sz w:val="24"/>
                <w:szCs w:val="24"/>
                <w:highlight w:val="none"/>
                <w:lang w:eastAsia="zh-CN"/>
              </w:rPr>
              <w:t>供应商</w:t>
            </w:r>
            <w:r>
              <w:rPr>
                <w:rFonts w:hint="eastAsia" w:ascii="Times New Roman" w:hAnsi="Times New Roman"/>
                <w:bCs/>
                <w:color w:val="auto"/>
                <w:sz w:val="24"/>
                <w:szCs w:val="24"/>
                <w:highlight w:val="none"/>
              </w:rPr>
              <w:t>每提供一</w:t>
            </w:r>
            <w:r>
              <w:rPr>
                <w:rFonts w:hint="eastAsia" w:ascii="Times New Roman" w:hAnsi="Times New Roman" w:eastAsia="宋体"/>
                <w:bCs/>
                <w:color w:val="auto"/>
                <w:sz w:val="24"/>
                <w:szCs w:val="24"/>
                <w:highlight w:val="none"/>
              </w:rPr>
              <w:t>个</w:t>
            </w:r>
            <w:r>
              <w:rPr>
                <w:rFonts w:hint="default" w:ascii="Times New Roman" w:hAnsi="Times New Roman" w:cs="Times New Roman"/>
                <w:color w:val="auto"/>
                <w:sz w:val="24"/>
                <w:szCs w:val="24"/>
                <w:highlight w:val="none"/>
              </w:rPr>
              <w:t>水利或水运工程自动化</w:t>
            </w:r>
            <w:r>
              <w:rPr>
                <w:rFonts w:hint="eastAsia" w:ascii="Times New Roman" w:hAnsi="Times New Roman"/>
                <w:bCs/>
                <w:color w:val="auto"/>
                <w:sz w:val="24"/>
                <w:szCs w:val="24"/>
                <w:highlight w:val="none"/>
                <w:lang w:val="en-US" w:eastAsia="zh-CN"/>
              </w:rPr>
              <w:t>项目</w:t>
            </w:r>
            <w:r>
              <w:rPr>
                <w:rFonts w:hint="eastAsia" w:ascii="Times New Roman" w:hAnsi="Times New Roman"/>
                <w:bCs/>
                <w:color w:val="auto"/>
                <w:sz w:val="24"/>
                <w:szCs w:val="24"/>
                <w:highlight w:val="none"/>
              </w:rPr>
              <w:t>业绩的得</w:t>
            </w:r>
            <w:r>
              <w:rPr>
                <w:rFonts w:hint="eastAsia" w:ascii="Times New Roman" w:hAnsi="Times New Roman"/>
                <w:bCs/>
                <w:color w:val="auto"/>
                <w:sz w:val="24"/>
                <w:szCs w:val="24"/>
                <w:highlight w:val="none"/>
                <w:lang w:val="en-US" w:eastAsia="zh-CN"/>
              </w:rPr>
              <w:t>5</w:t>
            </w:r>
            <w:r>
              <w:rPr>
                <w:rFonts w:hint="eastAsia" w:ascii="Times New Roman" w:hAnsi="Times New Roman"/>
                <w:bCs/>
                <w:color w:val="auto"/>
                <w:sz w:val="24"/>
                <w:szCs w:val="24"/>
                <w:highlight w:val="none"/>
              </w:rPr>
              <w:t>分，满分</w:t>
            </w:r>
            <w:r>
              <w:rPr>
                <w:rFonts w:hint="eastAsia" w:ascii="Times New Roman" w:hAnsi="Times New Roman"/>
                <w:bCs/>
                <w:color w:val="auto"/>
                <w:sz w:val="24"/>
                <w:szCs w:val="24"/>
                <w:highlight w:val="none"/>
                <w:lang w:val="en-US" w:eastAsia="zh-CN"/>
              </w:rPr>
              <w:t>15</w:t>
            </w:r>
            <w:r>
              <w:rPr>
                <w:rFonts w:hint="eastAsia" w:ascii="Times New Roman" w:hAnsi="Times New Roman"/>
                <w:bCs/>
                <w:color w:val="auto"/>
                <w:sz w:val="24"/>
                <w:szCs w:val="24"/>
                <w:highlight w:val="none"/>
              </w:rPr>
              <w:t>分；</w:t>
            </w:r>
          </w:p>
          <w:p w14:paraId="7CF2449D">
            <w:pPr>
              <w:spacing w:line="240" w:lineRule="auto"/>
              <w:jc w:val="left"/>
              <w:rPr>
                <w:rFonts w:asciiTheme="minorEastAsia" w:hAnsiTheme="minorEastAsia" w:eastAsiaTheme="minorEastAsia"/>
                <w:bCs/>
                <w:color w:val="auto"/>
                <w:sz w:val="24"/>
                <w:szCs w:val="24"/>
                <w:highlight w:val="none"/>
              </w:rPr>
            </w:pPr>
            <w:r>
              <w:rPr>
                <w:rStyle w:val="272"/>
                <w:rFonts w:hint="eastAsia" w:ascii="Times New Roman" w:hAnsi="Times New Roman"/>
                <w:b/>
                <w:bCs/>
                <w:color w:val="auto"/>
                <w:sz w:val="24"/>
                <w:szCs w:val="24"/>
                <w:highlight w:val="none"/>
                <w:lang w:val="en-US" w:eastAsia="zh-CN"/>
              </w:rPr>
              <w:t>注：</w:t>
            </w:r>
            <w:r>
              <w:rPr>
                <w:rStyle w:val="272"/>
                <w:rFonts w:hint="eastAsia" w:ascii="Times New Roman" w:hAnsi="Times New Roman"/>
                <w:b/>
                <w:bCs/>
                <w:color w:val="000000" w:themeColor="text1"/>
                <w:sz w:val="24"/>
                <w:szCs w:val="24"/>
                <w14:textFill>
                  <w14:solidFill>
                    <w14:schemeClr w14:val="tx1"/>
                  </w14:solidFill>
                </w14:textFill>
              </w:rPr>
              <w:t>响</w:t>
            </w:r>
            <w:r>
              <w:rPr>
                <w:rStyle w:val="272"/>
                <w:rFonts w:hint="eastAsia" w:ascii="Times New Roman" w:hAnsi="Times New Roman" w:cs="Times New Roman"/>
                <w:b/>
                <w:bCs/>
                <w:color w:val="000000" w:themeColor="text1"/>
                <w:sz w:val="24"/>
                <w:szCs w:val="24"/>
                <w14:textFill>
                  <w14:solidFill>
                    <w14:schemeClr w14:val="tx1"/>
                  </w14:solidFill>
                </w14:textFill>
              </w:rPr>
              <w:t>应文件中须同时提供①合同；②合同工程完工验收鉴定书（或合同工程验收鉴定书或竣工验收鉴定书或竣工验收报告）</w:t>
            </w:r>
            <w:r>
              <w:rPr>
                <w:rStyle w:val="272"/>
                <w:rFonts w:ascii="Times New Roman" w:hAnsi="Times New Roman" w:cs="Times New Roman"/>
                <w:b/>
                <w:bCs/>
                <w:color w:val="000000" w:themeColor="text1"/>
                <w:sz w:val="24"/>
                <w:szCs w:val="24"/>
                <w14:textFill>
                  <w14:solidFill>
                    <w14:schemeClr w14:val="tx1"/>
                  </w14:solidFill>
                </w14:textFill>
              </w:rPr>
              <w:t>扫描件</w:t>
            </w:r>
            <w:r>
              <w:rPr>
                <w:rStyle w:val="272"/>
                <w:rFonts w:hint="eastAsia" w:ascii="Times New Roman" w:hAnsi="Times New Roman" w:cs="Times New Roman"/>
                <w:b/>
                <w:bCs/>
                <w:color w:val="000000" w:themeColor="text1"/>
                <w:sz w:val="24"/>
                <w:szCs w:val="24"/>
                <w14:textFill>
                  <w14:solidFill>
                    <w14:schemeClr w14:val="tx1"/>
                  </w14:solidFill>
                </w14:textFill>
              </w:rPr>
              <w:t>。如上述材料不能体现业绩时间、项目内容等关键评审因素的，可补充提供合同甲方或行政主管部门出具的证明文件。</w:t>
            </w:r>
          </w:p>
        </w:tc>
        <w:tc>
          <w:tcPr>
            <w:tcW w:w="968" w:type="dxa"/>
            <w:tcBorders>
              <w:top w:val="single" w:color="auto" w:sz="4" w:space="0"/>
              <w:left w:val="single" w:color="auto" w:sz="4" w:space="0"/>
              <w:bottom w:val="single" w:color="auto" w:sz="4" w:space="0"/>
              <w:right w:val="single" w:color="auto" w:sz="4" w:space="0"/>
            </w:tcBorders>
            <w:vAlign w:val="center"/>
          </w:tcPr>
          <w:p w14:paraId="2DAC9489">
            <w:pPr>
              <w:spacing w:line="240" w:lineRule="auto"/>
              <w:jc w:val="center"/>
              <w:rPr>
                <w:rFonts w:hint="default" w:asciiTheme="minorEastAsia" w:hAnsiTheme="minorEastAsia" w:eastAsiaTheme="minorEastAsia"/>
                <w:b/>
                <w:bCs/>
                <w:color w:val="auto"/>
                <w:sz w:val="24"/>
                <w:szCs w:val="24"/>
                <w:highlight w:val="none"/>
                <w:lang w:val="en-US" w:eastAsia="zh-CN"/>
              </w:rPr>
            </w:pPr>
            <w:r>
              <w:rPr>
                <w:rFonts w:hint="eastAsia" w:asciiTheme="minorEastAsia" w:hAnsiTheme="minorEastAsia" w:eastAsiaTheme="minorEastAsia"/>
                <w:b/>
                <w:bCs/>
                <w:color w:val="auto"/>
                <w:sz w:val="24"/>
                <w:szCs w:val="24"/>
                <w:highlight w:val="none"/>
                <w:lang w:val="en-US" w:eastAsia="zh-CN"/>
              </w:rPr>
              <w:t>15分</w:t>
            </w:r>
          </w:p>
        </w:tc>
      </w:tr>
      <w:tr w14:paraId="5595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op w:val="single" w:color="auto" w:sz="4" w:space="0"/>
              <w:left w:val="single" w:color="auto" w:sz="4" w:space="0"/>
              <w:bottom w:val="single" w:color="auto" w:sz="4" w:space="0"/>
              <w:right w:val="single" w:color="auto" w:sz="4" w:space="0"/>
            </w:tcBorders>
            <w:vAlign w:val="center"/>
          </w:tcPr>
          <w:p w14:paraId="711CC0AC">
            <w:pPr>
              <w:spacing w:line="240" w:lineRule="auto"/>
              <w:jc w:val="center"/>
              <w:rPr>
                <w:rFonts w:hint="eastAsia" w:ascii="Times New Roman" w:hAnsi="Times New Roman"/>
                <w:b/>
                <w:bCs/>
                <w:color w:val="auto"/>
                <w:kern w:val="0"/>
                <w:sz w:val="24"/>
                <w:szCs w:val="24"/>
                <w:highlight w:val="none"/>
                <w:lang w:val="en-US" w:eastAsia="zh-CN"/>
              </w:rPr>
            </w:pPr>
            <w:r>
              <w:rPr>
                <w:rStyle w:val="272"/>
                <w:rFonts w:hint="eastAsia" w:ascii="Times New Roman" w:hAnsi="Times New Roman" w:cs="Times New Roman"/>
                <w:b/>
                <w:bCs/>
                <w:color w:val="auto"/>
                <w:sz w:val="24"/>
                <w:szCs w:val="24"/>
                <w:highlight w:val="none"/>
                <w:lang w:eastAsia="zh-CN"/>
              </w:rPr>
              <w:t>项目经理</w:t>
            </w:r>
            <w:r>
              <w:rPr>
                <w:rStyle w:val="272"/>
                <w:rFonts w:hint="eastAsia" w:ascii="Times New Roman" w:hAnsi="Times New Roman" w:eastAsia="宋体" w:cs="Times New Roman"/>
                <w:b/>
                <w:bCs/>
                <w:color w:val="auto"/>
                <w:sz w:val="24"/>
                <w:szCs w:val="24"/>
                <w:highlight w:val="none"/>
                <w:lang w:val="en-US" w:eastAsia="zh-CN"/>
              </w:rPr>
              <w:t>业绩</w:t>
            </w:r>
          </w:p>
        </w:tc>
        <w:tc>
          <w:tcPr>
            <w:tcW w:w="8019" w:type="dxa"/>
            <w:tcBorders>
              <w:top w:val="single" w:color="auto" w:sz="4" w:space="0"/>
              <w:left w:val="single" w:color="auto" w:sz="4" w:space="0"/>
              <w:bottom w:val="single" w:color="auto" w:sz="4" w:space="0"/>
              <w:right w:val="single" w:color="auto" w:sz="4" w:space="0"/>
            </w:tcBorders>
            <w:vAlign w:val="center"/>
          </w:tcPr>
          <w:p w14:paraId="3B47625A">
            <w:pPr>
              <w:widowControl/>
              <w:adjustRightInd w:val="0"/>
              <w:snapToGrid w:val="0"/>
              <w:spacing w:line="240" w:lineRule="auto"/>
              <w:rPr>
                <w:rStyle w:val="272"/>
                <w:rFonts w:hint="eastAsia" w:ascii="Times New Roman" w:hAnsi="Times New Roman"/>
                <w:color w:val="auto"/>
                <w:sz w:val="24"/>
                <w:szCs w:val="24"/>
                <w:highlight w:val="none"/>
                <w:lang w:eastAsia="zh-CN"/>
              </w:rPr>
            </w:pPr>
            <w:r>
              <w:rPr>
                <w:rStyle w:val="272"/>
                <w:rFonts w:hint="eastAsia" w:ascii="Times New Roman" w:hAnsi="Times New Roman"/>
                <w:color w:val="auto"/>
                <w:sz w:val="24"/>
                <w:szCs w:val="24"/>
                <w:highlight w:val="none"/>
                <w:lang w:val="en-US" w:eastAsia="zh-CN"/>
              </w:rPr>
              <w:t>拟派</w:t>
            </w:r>
            <w:r>
              <w:rPr>
                <w:rStyle w:val="272"/>
                <w:rFonts w:hint="eastAsia" w:ascii="Times New Roman" w:hAnsi="Times New Roman"/>
                <w:color w:val="auto"/>
                <w:sz w:val="24"/>
                <w:szCs w:val="24"/>
                <w:highlight w:val="none"/>
                <w:lang w:eastAsia="zh-CN"/>
              </w:rPr>
              <w:t>项目经理</w:t>
            </w:r>
            <w:r>
              <w:rPr>
                <w:rStyle w:val="272"/>
                <w:rFonts w:hint="eastAsia" w:ascii="Times New Roman" w:hAnsi="Times New Roman"/>
                <w:color w:val="auto"/>
                <w:sz w:val="24"/>
                <w:szCs w:val="24"/>
                <w:highlight w:val="none"/>
                <w:lang w:val="en-US" w:eastAsia="zh-CN"/>
              </w:rPr>
              <w:t>每</w:t>
            </w:r>
            <w:r>
              <w:rPr>
                <w:rStyle w:val="272"/>
                <w:rFonts w:ascii="Times New Roman" w:hAnsi="Times New Roman"/>
                <w:color w:val="auto"/>
                <w:sz w:val="24"/>
                <w:szCs w:val="24"/>
                <w:highlight w:val="none"/>
              </w:rPr>
              <w:t>具有</w:t>
            </w:r>
            <w:r>
              <w:rPr>
                <w:rStyle w:val="272"/>
                <w:rFonts w:hint="eastAsia" w:ascii="Times New Roman" w:hAnsi="Times New Roman"/>
                <w:color w:val="auto"/>
                <w:sz w:val="24"/>
                <w:szCs w:val="24"/>
                <w:highlight w:val="none"/>
                <w:lang w:val="en-US" w:eastAsia="zh-CN"/>
              </w:rPr>
              <w:t>一个</w:t>
            </w:r>
            <w:r>
              <w:rPr>
                <w:rFonts w:hint="default" w:ascii="Times New Roman" w:hAnsi="Times New Roman" w:cs="Times New Roman"/>
                <w:color w:val="auto"/>
                <w:sz w:val="24"/>
                <w:szCs w:val="24"/>
                <w:highlight w:val="none"/>
              </w:rPr>
              <w:t>水利或水运工程自动化</w:t>
            </w:r>
            <w:r>
              <w:rPr>
                <w:rFonts w:hint="eastAsia" w:ascii="Times New Roman" w:hAnsi="Times New Roman" w:cs="Times New Roman"/>
                <w:color w:val="auto"/>
                <w:spacing w:val="-1"/>
                <w:sz w:val="24"/>
                <w:szCs w:val="24"/>
                <w:highlight w:val="none"/>
                <w:lang w:val="en-US" w:eastAsia="zh-CN"/>
              </w:rPr>
              <w:t>项目</w:t>
            </w:r>
            <w:r>
              <w:rPr>
                <w:rStyle w:val="272"/>
                <w:rFonts w:hint="eastAsia" w:ascii="Times New Roman" w:hAnsi="Times New Roman"/>
                <w:color w:val="auto"/>
                <w:sz w:val="24"/>
                <w:szCs w:val="24"/>
                <w:highlight w:val="none"/>
                <w:lang w:eastAsia="zh-CN"/>
              </w:rPr>
              <w:t>经理</w:t>
            </w:r>
            <w:r>
              <w:rPr>
                <w:rFonts w:hint="eastAsia" w:ascii="Times New Roman" w:hAnsi="Times New Roman" w:cs="Times New Roman"/>
                <w:color w:val="auto"/>
                <w:spacing w:val="-1"/>
                <w:sz w:val="24"/>
                <w:szCs w:val="24"/>
                <w:highlight w:val="none"/>
                <w:lang w:val="en-US" w:eastAsia="zh-CN"/>
              </w:rPr>
              <w:t>（或技术负责人）</w:t>
            </w:r>
            <w:r>
              <w:rPr>
                <w:rStyle w:val="272"/>
                <w:rFonts w:hint="eastAsia" w:ascii="Times New Roman" w:hAnsi="Times New Roman"/>
                <w:color w:val="auto"/>
                <w:sz w:val="24"/>
                <w:szCs w:val="24"/>
                <w:highlight w:val="none"/>
              </w:rPr>
              <w:t>业绩</w:t>
            </w:r>
            <w:r>
              <w:rPr>
                <w:rStyle w:val="272"/>
                <w:rFonts w:hint="eastAsia" w:ascii="Times New Roman" w:hAnsi="Times New Roman"/>
                <w:color w:val="auto"/>
                <w:sz w:val="24"/>
                <w:szCs w:val="24"/>
                <w:highlight w:val="none"/>
                <w:lang w:val="en-US" w:eastAsia="zh-CN"/>
              </w:rPr>
              <w:t>得5</w:t>
            </w:r>
            <w:r>
              <w:rPr>
                <w:rStyle w:val="272"/>
                <w:rFonts w:ascii="Times New Roman" w:hAnsi="Times New Roman"/>
                <w:color w:val="auto"/>
                <w:sz w:val="24"/>
                <w:szCs w:val="24"/>
                <w:highlight w:val="none"/>
              </w:rPr>
              <w:t>分，最多得</w:t>
            </w:r>
            <w:r>
              <w:rPr>
                <w:rStyle w:val="272"/>
                <w:rFonts w:hint="eastAsia" w:ascii="Times New Roman" w:hAnsi="Times New Roman"/>
                <w:color w:val="auto"/>
                <w:sz w:val="24"/>
                <w:szCs w:val="24"/>
                <w:highlight w:val="none"/>
                <w:lang w:val="en-US" w:eastAsia="zh-CN"/>
              </w:rPr>
              <w:t>10</w:t>
            </w:r>
            <w:r>
              <w:rPr>
                <w:rStyle w:val="272"/>
                <w:rFonts w:ascii="Times New Roman" w:hAnsi="Times New Roman"/>
                <w:color w:val="auto"/>
                <w:sz w:val="24"/>
                <w:szCs w:val="24"/>
                <w:highlight w:val="none"/>
              </w:rPr>
              <w:t>分</w:t>
            </w:r>
            <w:r>
              <w:rPr>
                <w:rStyle w:val="272"/>
                <w:rFonts w:hint="eastAsia" w:ascii="Times New Roman" w:hAnsi="Times New Roman"/>
                <w:color w:val="auto"/>
                <w:sz w:val="24"/>
                <w:szCs w:val="24"/>
                <w:highlight w:val="none"/>
                <w:lang w:eastAsia="zh-CN"/>
              </w:rPr>
              <w:t>。</w:t>
            </w:r>
          </w:p>
          <w:p w14:paraId="55D528A6">
            <w:pPr>
              <w:spacing w:line="240" w:lineRule="auto"/>
              <w:jc w:val="left"/>
              <w:rPr>
                <w:rFonts w:asciiTheme="minorEastAsia" w:hAnsiTheme="minorEastAsia" w:eastAsiaTheme="minorEastAsia"/>
                <w:color w:val="auto"/>
                <w:sz w:val="24"/>
                <w:szCs w:val="24"/>
                <w:highlight w:val="none"/>
              </w:rPr>
            </w:pPr>
            <w:r>
              <w:rPr>
                <w:rStyle w:val="272"/>
                <w:rFonts w:hint="eastAsia" w:ascii="Times New Roman" w:hAnsi="Times New Roman"/>
                <w:b/>
                <w:bCs/>
                <w:color w:val="000000" w:themeColor="text1"/>
                <w:sz w:val="24"/>
                <w:szCs w:val="24"/>
                <w14:textFill>
                  <w14:solidFill>
                    <w14:schemeClr w14:val="tx1"/>
                  </w14:solidFill>
                </w14:textFill>
              </w:rPr>
              <w:t>注：响应文件中须同时提供①合同；②合同工程完工验收鉴定书（或合同工程验收鉴定书或竣工验收鉴定书或竣工验收报告）</w:t>
            </w:r>
            <w:r>
              <w:rPr>
                <w:rStyle w:val="272"/>
                <w:rFonts w:ascii="Times New Roman" w:hAnsi="Times New Roman" w:cs="Times New Roman"/>
                <w:b/>
                <w:bCs/>
                <w:color w:val="000000" w:themeColor="text1"/>
                <w:sz w:val="24"/>
                <w:szCs w:val="24"/>
                <w14:textFill>
                  <w14:solidFill>
                    <w14:schemeClr w14:val="tx1"/>
                  </w14:solidFill>
                </w14:textFill>
              </w:rPr>
              <w:t>扫描件</w:t>
            </w:r>
            <w:r>
              <w:rPr>
                <w:rStyle w:val="272"/>
                <w:rFonts w:hint="eastAsia" w:ascii="Times New Roman" w:hAnsi="Times New Roman"/>
                <w:b/>
                <w:bCs/>
                <w:color w:val="000000" w:themeColor="text1"/>
                <w:sz w:val="24"/>
                <w:szCs w:val="24"/>
                <w14:textFill>
                  <w14:solidFill>
                    <w14:schemeClr w14:val="tx1"/>
                  </w14:solidFill>
                </w14:textFill>
              </w:rPr>
              <w:t>。如上述材料不能体现项目内容、项目经理姓名等关键评审因素的，可补充提供合同甲方或行</w:t>
            </w:r>
            <w:r>
              <w:rPr>
                <w:rStyle w:val="272"/>
                <w:rFonts w:hint="eastAsia" w:ascii="Times New Roman" w:hAnsi="Times New Roman" w:cs="Times New Roman"/>
                <w:b/>
                <w:bCs/>
                <w:color w:val="000000" w:themeColor="text1"/>
                <w:sz w:val="24"/>
                <w:szCs w:val="24"/>
                <w14:textFill>
                  <w14:solidFill>
                    <w14:schemeClr w14:val="tx1"/>
                  </w14:solidFill>
                </w14:textFill>
              </w:rPr>
              <w:t>政主管部门出具的证明文件。③</w:t>
            </w:r>
            <w:r>
              <w:rPr>
                <w:rStyle w:val="272"/>
                <w:rFonts w:ascii="Times New Roman" w:hAnsi="Times New Roman" w:cs="Times New Roman"/>
                <w:b/>
                <w:bCs/>
                <w:color w:val="000000" w:themeColor="text1"/>
                <w:sz w:val="24"/>
                <w:szCs w:val="24"/>
                <w14:textFill>
                  <w14:solidFill>
                    <w14:schemeClr w14:val="tx1"/>
                  </w14:solidFill>
                </w14:textFill>
              </w:rPr>
              <w:t>对于个人业绩，</w:t>
            </w:r>
            <w:r>
              <w:rPr>
                <w:rStyle w:val="272"/>
                <w:rFonts w:hint="eastAsia" w:ascii="Times New Roman" w:hAnsi="Times New Roman" w:cs="Times New Roman"/>
                <w:b/>
                <w:bCs/>
                <w:color w:val="000000" w:themeColor="text1"/>
                <w:sz w:val="24"/>
                <w:szCs w:val="24"/>
                <w14:textFill>
                  <w14:solidFill>
                    <w14:schemeClr w14:val="tx1"/>
                  </w14:solidFill>
                </w14:textFill>
              </w:rPr>
              <w:t>在合同履行过程中项目经理、技术负责人发生变更的，响应文件中应附发包人同意变更的证明材料。</w:t>
            </w:r>
          </w:p>
        </w:tc>
        <w:tc>
          <w:tcPr>
            <w:tcW w:w="968" w:type="dxa"/>
            <w:tcBorders>
              <w:top w:val="single" w:color="auto" w:sz="4" w:space="0"/>
              <w:left w:val="single" w:color="auto" w:sz="4" w:space="0"/>
              <w:bottom w:val="single" w:color="auto" w:sz="4" w:space="0"/>
              <w:right w:val="single" w:color="auto" w:sz="4" w:space="0"/>
            </w:tcBorders>
            <w:vAlign w:val="center"/>
          </w:tcPr>
          <w:p w14:paraId="2F28BA72">
            <w:pPr>
              <w:spacing w:line="240" w:lineRule="auto"/>
              <w:jc w:val="center"/>
              <w:rPr>
                <w:rFonts w:hint="eastAsia" w:asciiTheme="minorEastAsia" w:hAnsiTheme="minorEastAsia" w:eastAsiaTheme="minorEastAsia"/>
                <w:b/>
                <w:bCs/>
                <w:color w:val="auto"/>
                <w:sz w:val="24"/>
                <w:szCs w:val="24"/>
                <w:highlight w:val="none"/>
                <w:lang w:val="en-US" w:eastAsia="zh-CN"/>
              </w:rPr>
            </w:pPr>
            <w:r>
              <w:rPr>
                <w:rFonts w:hint="eastAsia" w:asciiTheme="minorEastAsia" w:hAnsiTheme="minorEastAsia" w:eastAsiaTheme="minorEastAsia"/>
                <w:b w:val="0"/>
                <w:bCs w:val="0"/>
                <w:color w:val="auto"/>
                <w:sz w:val="24"/>
                <w:szCs w:val="24"/>
                <w:highlight w:val="none"/>
                <w:lang w:val="en-US" w:eastAsia="zh-CN"/>
              </w:rPr>
              <w:t>10分</w:t>
            </w:r>
          </w:p>
        </w:tc>
      </w:tr>
      <w:tr w14:paraId="068D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434" w:type="dxa"/>
            <w:tcBorders>
              <w:top w:val="single" w:color="auto" w:sz="4" w:space="0"/>
              <w:left w:val="single" w:color="auto" w:sz="4" w:space="0"/>
              <w:bottom w:val="single" w:color="auto" w:sz="4" w:space="0"/>
              <w:right w:val="single" w:color="auto" w:sz="4" w:space="0"/>
            </w:tcBorders>
            <w:vAlign w:val="center"/>
          </w:tcPr>
          <w:p w14:paraId="048EA3FC">
            <w:pPr>
              <w:spacing w:line="240" w:lineRule="auto"/>
              <w:jc w:val="center"/>
              <w:rPr>
                <w:rStyle w:val="272"/>
                <w:rFonts w:hint="eastAsia" w:ascii="Times New Roman" w:hAnsi="Times New Roman" w:cs="Times New Roman"/>
                <w:b/>
                <w:bCs/>
                <w:color w:val="auto"/>
                <w:sz w:val="24"/>
                <w:szCs w:val="24"/>
                <w:highlight w:val="none"/>
                <w:lang w:eastAsia="zh-CN"/>
              </w:rPr>
            </w:pPr>
            <w:r>
              <w:rPr>
                <w:rStyle w:val="272"/>
                <w:rFonts w:hint="eastAsia" w:ascii="Times New Roman" w:hAnsi="Times New Roman" w:cs="Times New Roman"/>
                <w:b/>
                <w:bCs/>
                <w:color w:val="auto"/>
                <w:sz w:val="24"/>
                <w:szCs w:val="24"/>
                <w:highlight w:val="none"/>
                <w:lang w:eastAsia="zh-CN"/>
              </w:rPr>
              <w:t>项目经理</w:t>
            </w:r>
            <w:r>
              <w:rPr>
                <w:rStyle w:val="272"/>
                <w:rFonts w:hint="eastAsia" w:ascii="Times New Roman" w:hAnsi="Times New Roman" w:cs="Times New Roman"/>
                <w:b/>
                <w:bCs/>
                <w:color w:val="auto"/>
                <w:sz w:val="24"/>
                <w:szCs w:val="24"/>
                <w:highlight w:val="none"/>
                <w:lang w:val="en-US" w:eastAsia="zh-CN"/>
              </w:rPr>
              <w:t>职称</w:t>
            </w:r>
          </w:p>
        </w:tc>
        <w:tc>
          <w:tcPr>
            <w:tcW w:w="8019" w:type="dxa"/>
            <w:tcBorders>
              <w:top w:val="single" w:color="auto" w:sz="4" w:space="0"/>
              <w:left w:val="single" w:color="auto" w:sz="4" w:space="0"/>
              <w:bottom w:val="single" w:color="auto" w:sz="4" w:space="0"/>
              <w:right w:val="single" w:color="auto" w:sz="4" w:space="0"/>
            </w:tcBorders>
            <w:vAlign w:val="center"/>
          </w:tcPr>
          <w:p w14:paraId="6C9AF30F">
            <w:pPr>
              <w:spacing w:line="240" w:lineRule="auto"/>
              <w:jc w:val="left"/>
              <w:rPr>
                <w:rFonts w:hint="eastAsia"/>
                <w:color w:val="auto"/>
                <w:sz w:val="24"/>
                <w:szCs w:val="24"/>
                <w:highlight w:val="none"/>
                <w:lang w:val="en-US" w:eastAsia="zh-CN"/>
              </w:rPr>
            </w:pPr>
            <w:r>
              <w:rPr>
                <w:rFonts w:hint="eastAsia"/>
                <w:color w:val="auto"/>
                <w:sz w:val="24"/>
                <w:szCs w:val="24"/>
                <w:highlight w:val="none"/>
                <w:lang w:val="en-US" w:eastAsia="zh-CN"/>
              </w:rPr>
              <w:t>拟派项目经理具有</w:t>
            </w:r>
            <w:bookmarkStart w:id="47" w:name="OLE_LINK2"/>
            <w:r>
              <w:rPr>
                <w:rFonts w:hint="eastAsia"/>
                <w:color w:val="auto"/>
                <w:sz w:val="24"/>
                <w:szCs w:val="24"/>
                <w:highlight w:val="none"/>
                <w:lang w:val="en-US" w:eastAsia="zh-CN"/>
              </w:rPr>
              <w:t>水利水电工程专业或机电工程专业或电子信息工程专业</w:t>
            </w:r>
            <w:bookmarkEnd w:id="47"/>
            <w:r>
              <w:rPr>
                <w:rFonts w:hint="eastAsia"/>
                <w:color w:val="auto"/>
                <w:sz w:val="24"/>
                <w:szCs w:val="24"/>
                <w:highlight w:val="none"/>
                <w:lang w:val="en-US" w:eastAsia="zh-CN"/>
              </w:rPr>
              <w:t>高级及以上技术职称证书的得3分，具有水利水电工程专业或机电工程专业或电子信息工程专业中级技术职称证书的得2分，最多得3分。</w:t>
            </w:r>
          </w:p>
          <w:p w14:paraId="169C66A9">
            <w:pPr>
              <w:pStyle w:val="14"/>
              <w:ind w:left="0" w:leftChars="0" w:firstLine="0" w:firstLineChars="0"/>
              <w:jc w:val="left"/>
              <w:rPr>
                <w:rFonts w:hint="eastAsia"/>
                <w:color w:val="auto"/>
                <w:sz w:val="24"/>
                <w:szCs w:val="24"/>
                <w:highlight w:val="none"/>
                <w:lang w:val="en-US" w:eastAsia="zh-CN"/>
              </w:rPr>
            </w:pPr>
            <w:r>
              <w:rPr>
                <w:rStyle w:val="272"/>
                <w:rFonts w:hint="eastAsia" w:ascii="Times New Roman"/>
                <w:b/>
                <w:bCs/>
                <w:color w:val="auto"/>
                <w:sz w:val="24"/>
                <w:szCs w:val="24"/>
                <w:highlight w:val="none"/>
                <w:lang w:val="en-US" w:eastAsia="zh-CN"/>
              </w:rPr>
              <w:t>注：响应文件中须提供项目经理职称证书扫描件。</w:t>
            </w:r>
          </w:p>
        </w:tc>
        <w:tc>
          <w:tcPr>
            <w:tcW w:w="968" w:type="dxa"/>
            <w:tcBorders>
              <w:top w:val="single" w:color="auto" w:sz="4" w:space="0"/>
              <w:left w:val="single" w:color="auto" w:sz="4" w:space="0"/>
              <w:bottom w:val="single" w:color="auto" w:sz="4" w:space="0"/>
              <w:right w:val="single" w:color="auto" w:sz="4" w:space="0"/>
            </w:tcBorders>
            <w:vAlign w:val="center"/>
          </w:tcPr>
          <w:p w14:paraId="2DB8E79A">
            <w:pPr>
              <w:spacing w:line="240" w:lineRule="auto"/>
              <w:jc w:val="center"/>
              <w:rPr>
                <w:rFonts w:hint="eastAsia" w:asciiTheme="minorEastAsia" w:hAnsiTheme="minorEastAsia" w:eastAsiaTheme="minorEastAsia"/>
                <w:b w:val="0"/>
                <w:bCs w:val="0"/>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3分</w:t>
            </w:r>
          </w:p>
        </w:tc>
      </w:tr>
      <w:tr w14:paraId="408C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434" w:type="dxa"/>
            <w:tcBorders>
              <w:left w:val="single" w:color="auto" w:sz="4" w:space="0"/>
              <w:right w:val="single" w:color="auto" w:sz="4" w:space="0"/>
            </w:tcBorders>
            <w:vAlign w:val="center"/>
          </w:tcPr>
          <w:p w14:paraId="0D0424A0">
            <w:pPr>
              <w:spacing w:line="240" w:lineRule="auto"/>
              <w:jc w:val="center"/>
              <w:rPr>
                <w:rFonts w:hint="default" w:eastAsia="宋体"/>
                <w:b/>
                <w:bCs/>
                <w:color w:val="auto"/>
                <w:sz w:val="24"/>
                <w:szCs w:val="24"/>
                <w:highlight w:val="none"/>
                <w:lang w:val="en-US" w:eastAsia="zh-CN"/>
              </w:rPr>
            </w:pPr>
            <w:r>
              <w:rPr>
                <w:rFonts w:hint="default" w:eastAsia="宋体"/>
                <w:b/>
                <w:bCs/>
                <w:color w:val="auto"/>
                <w:sz w:val="24"/>
                <w:szCs w:val="24"/>
                <w:highlight w:val="none"/>
                <w:lang w:val="en-US" w:eastAsia="zh-CN"/>
              </w:rPr>
              <w:t>供应商认证证书</w:t>
            </w:r>
          </w:p>
        </w:tc>
        <w:tc>
          <w:tcPr>
            <w:tcW w:w="8019" w:type="dxa"/>
            <w:tcBorders>
              <w:top w:val="single" w:color="auto" w:sz="4" w:space="0"/>
              <w:left w:val="single" w:color="auto" w:sz="4" w:space="0"/>
              <w:bottom w:val="single" w:color="auto" w:sz="4" w:space="0"/>
              <w:right w:val="single" w:color="auto" w:sz="4" w:space="0"/>
            </w:tcBorders>
            <w:vAlign w:val="center"/>
          </w:tcPr>
          <w:p w14:paraId="6894F42C">
            <w:pPr>
              <w:widowControl/>
              <w:adjustRightInd w:val="0"/>
              <w:snapToGrid w:val="0"/>
              <w:jc w:val="left"/>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供应商每具有1项以下证书的得</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分，最多得</w:t>
            </w:r>
            <w:r>
              <w:rPr>
                <w:rFonts w:hint="eastAsia" w:ascii="Times New Roman" w:hAnsi="Times New Roman" w:cs="Times New Roman"/>
                <w:bCs/>
                <w:color w:val="auto"/>
                <w:sz w:val="24"/>
                <w:szCs w:val="24"/>
                <w:highlight w:val="none"/>
                <w:lang w:val="en-US" w:eastAsia="zh-CN"/>
              </w:rPr>
              <w:t>3</w:t>
            </w:r>
            <w:r>
              <w:rPr>
                <w:rFonts w:hint="default" w:ascii="Times New Roman" w:hAnsi="Times New Roman" w:cs="Times New Roman"/>
                <w:bCs/>
                <w:color w:val="auto"/>
                <w:sz w:val="24"/>
                <w:szCs w:val="24"/>
                <w:highlight w:val="none"/>
              </w:rPr>
              <w:t>分：</w:t>
            </w:r>
          </w:p>
          <w:p w14:paraId="77688978">
            <w:pPr>
              <w:widowControl/>
              <w:adjustRightInd w:val="0"/>
              <w:snapToGrid w:val="0"/>
              <w:jc w:val="left"/>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（1）质量管理体系认证证书</w:t>
            </w:r>
          </w:p>
          <w:p w14:paraId="343DDB48">
            <w:pPr>
              <w:widowControl/>
              <w:adjustRightInd w:val="0"/>
              <w:snapToGrid w:val="0"/>
              <w:jc w:val="left"/>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（2）环境管理体系认证证书</w:t>
            </w:r>
          </w:p>
          <w:p w14:paraId="3C2A222E">
            <w:pPr>
              <w:widowControl/>
              <w:adjustRightInd w:val="0"/>
              <w:snapToGrid w:val="0"/>
              <w:jc w:val="left"/>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（3）职业健康安全管理体系认证证书</w:t>
            </w:r>
          </w:p>
          <w:p w14:paraId="49102123">
            <w:pPr>
              <w:spacing w:line="240" w:lineRule="auto"/>
              <w:rPr>
                <w:rFonts w:hint="default" w:ascii="Times New Roman" w:hAnsi="Times New Roman" w:eastAsia="宋体"/>
                <w:b w:val="0"/>
                <w:bCs/>
                <w:color w:val="auto"/>
                <w:sz w:val="24"/>
                <w:szCs w:val="24"/>
                <w:highlight w:val="none"/>
                <w:lang w:val="en-US" w:eastAsia="zh-CN"/>
              </w:rPr>
            </w:pPr>
            <w:r>
              <w:rPr>
                <w:rFonts w:hint="default" w:ascii="Times New Roman" w:hAnsi="Times New Roman" w:cs="Times New Roman"/>
                <w:bCs w:val="0"/>
                <w:color w:val="auto"/>
                <w:kern w:val="2"/>
                <w:sz w:val="24"/>
                <w:szCs w:val="24"/>
                <w:highlight w:val="none"/>
                <w:lang w:val="en-US" w:eastAsia="zh-CN"/>
              </w:rPr>
              <w:t>注：以上证书应为经中国国家认证认可监督管理委员会认可的认证机构颁发的认证证书，提供证书扫描件及全国认证认可信息公共服务平台网站证书查询截图，否则不得分。</w:t>
            </w:r>
          </w:p>
        </w:tc>
        <w:tc>
          <w:tcPr>
            <w:tcW w:w="968" w:type="dxa"/>
            <w:tcBorders>
              <w:left w:val="single" w:color="auto" w:sz="4" w:space="0"/>
              <w:right w:val="single" w:color="auto" w:sz="4" w:space="0"/>
            </w:tcBorders>
            <w:vAlign w:val="center"/>
          </w:tcPr>
          <w:p w14:paraId="4764EF9A">
            <w:pPr>
              <w:spacing w:line="240" w:lineRule="auto"/>
              <w:jc w:val="center"/>
              <w:rPr>
                <w:rStyle w:val="272"/>
                <w:rFonts w:hint="eastAsia" w:ascii="Times New Roman" w:hAnsi="Times New Roman"/>
                <w:b w:val="0"/>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3分</w:t>
            </w:r>
          </w:p>
        </w:tc>
      </w:tr>
      <w:tr w14:paraId="08AD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434" w:type="dxa"/>
            <w:tcBorders>
              <w:left w:val="single" w:color="auto" w:sz="4" w:space="0"/>
              <w:right w:val="single" w:color="auto" w:sz="4" w:space="0"/>
            </w:tcBorders>
            <w:vAlign w:val="center"/>
          </w:tcPr>
          <w:p w14:paraId="19B0CD17">
            <w:pPr>
              <w:spacing w:line="240" w:lineRule="auto"/>
              <w:jc w:val="center"/>
              <w:rPr>
                <w:rFonts w:hint="default" w:eastAsia="宋体"/>
                <w:b/>
                <w:bCs/>
                <w:color w:val="auto"/>
                <w:sz w:val="24"/>
                <w:szCs w:val="24"/>
                <w:highlight w:val="none"/>
                <w:lang w:val="en-US" w:eastAsia="zh-CN"/>
              </w:rPr>
            </w:pPr>
            <w:r>
              <w:rPr>
                <w:rFonts w:hint="default" w:eastAsia="宋体"/>
                <w:b/>
                <w:bCs/>
                <w:color w:val="auto"/>
                <w:sz w:val="24"/>
                <w:szCs w:val="24"/>
                <w:highlight w:val="none"/>
                <w:lang w:val="en-US" w:eastAsia="zh-CN"/>
              </w:rPr>
              <w:t>项目组成员</w:t>
            </w:r>
          </w:p>
        </w:tc>
        <w:tc>
          <w:tcPr>
            <w:tcW w:w="8019" w:type="dxa"/>
            <w:tcBorders>
              <w:top w:val="single" w:color="auto" w:sz="4" w:space="0"/>
              <w:left w:val="single" w:color="auto" w:sz="4" w:space="0"/>
              <w:bottom w:val="single" w:color="auto" w:sz="4" w:space="0"/>
              <w:right w:val="single" w:color="auto" w:sz="4" w:space="0"/>
            </w:tcBorders>
            <w:vAlign w:val="center"/>
          </w:tcPr>
          <w:p w14:paraId="02983365">
            <w:pPr>
              <w:jc w:val="left"/>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lang w:val="en-US" w:eastAsia="zh-CN"/>
              </w:rPr>
              <w:t>结合项目实际情况，考虑施工作业特定，保障施工作业安全，</w:t>
            </w:r>
            <w:r>
              <w:rPr>
                <w:rFonts w:hint="default" w:ascii="Times New Roman" w:hAnsi="Times New Roman" w:cs="Times New Roman"/>
                <w:color w:val="auto"/>
                <w:kern w:val="2"/>
                <w:sz w:val="24"/>
                <w:szCs w:val="24"/>
                <w:highlight w:val="none"/>
              </w:rPr>
              <w:t>根据供应商投入人员数量、专业、学历、职称结构</w:t>
            </w:r>
            <w:r>
              <w:rPr>
                <w:rFonts w:hint="default" w:ascii="Times New Roman" w:hAnsi="Times New Roman" w:cs="Times New Roman"/>
                <w:color w:val="auto"/>
                <w:kern w:val="2"/>
                <w:sz w:val="24"/>
                <w:szCs w:val="24"/>
                <w:highlight w:val="none"/>
                <w:lang w:val="en-US" w:eastAsia="zh-CN"/>
              </w:rPr>
              <w:t>等</w:t>
            </w:r>
            <w:r>
              <w:rPr>
                <w:rFonts w:hint="default" w:ascii="Times New Roman" w:hAnsi="Times New Roman" w:cs="Times New Roman"/>
                <w:color w:val="auto"/>
                <w:kern w:val="2"/>
                <w:sz w:val="24"/>
                <w:szCs w:val="24"/>
                <w:highlight w:val="none"/>
              </w:rPr>
              <w:t>进行综合评审：</w:t>
            </w:r>
          </w:p>
          <w:p w14:paraId="3435E9A1">
            <w:pPr>
              <w:jc w:val="left"/>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人员配备数量充足、专业齐全、完全满足项目</w:t>
            </w:r>
            <w:r>
              <w:rPr>
                <w:rFonts w:hint="default" w:ascii="Times New Roman" w:hAnsi="Times New Roman" w:cs="Times New Roman"/>
                <w:color w:val="auto"/>
                <w:kern w:val="2"/>
                <w:sz w:val="24"/>
                <w:szCs w:val="24"/>
                <w:highlight w:val="none"/>
                <w:lang w:val="en-US" w:eastAsia="zh-CN"/>
              </w:rPr>
              <w:t>采购</w:t>
            </w:r>
            <w:r>
              <w:rPr>
                <w:rFonts w:hint="default" w:ascii="Times New Roman" w:hAnsi="Times New Roman" w:cs="Times New Roman"/>
                <w:color w:val="auto"/>
                <w:kern w:val="2"/>
                <w:sz w:val="24"/>
                <w:szCs w:val="24"/>
                <w:highlight w:val="none"/>
              </w:rPr>
              <w:t>需求的得</w:t>
            </w:r>
            <w:r>
              <w:rPr>
                <w:rFonts w:hint="default" w:ascii="Times New Roman" w:hAnsi="Times New Roman" w:cs="Times New Roman"/>
                <w:color w:val="auto"/>
                <w:kern w:val="2"/>
                <w:sz w:val="24"/>
                <w:szCs w:val="24"/>
                <w:highlight w:val="none"/>
                <w:lang w:val="en-US" w:eastAsia="zh-CN"/>
              </w:rPr>
              <w:t>6</w:t>
            </w:r>
            <w:r>
              <w:rPr>
                <w:rFonts w:hint="default" w:ascii="Times New Roman" w:hAnsi="Times New Roman" w:cs="Times New Roman"/>
                <w:color w:val="auto"/>
                <w:kern w:val="2"/>
                <w:sz w:val="24"/>
                <w:szCs w:val="24"/>
                <w:highlight w:val="none"/>
              </w:rPr>
              <w:t>分，人员配备数量较充足、专业较齐全、满足项目</w:t>
            </w:r>
            <w:r>
              <w:rPr>
                <w:rFonts w:hint="default" w:ascii="Times New Roman" w:hAnsi="Times New Roman" w:cs="Times New Roman"/>
                <w:color w:val="auto"/>
                <w:kern w:val="2"/>
                <w:sz w:val="24"/>
                <w:szCs w:val="24"/>
                <w:highlight w:val="none"/>
                <w:lang w:val="en-US" w:eastAsia="zh-CN"/>
              </w:rPr>
              <w:t>采购</w:t>
            </w:r>
            <w:r>
              <w:rPr>
                <w:rFonts w:hint="default" w:ascii="Times New Roman" w:hAnsi="Times New Roman" w:cs="Times New Roman"/>
                <w:color w:val="auto"/>
                <w:kern w:val="2"/>
                <w:sz w:val="24"/>
                <w:szCs w:val="24"/>
                <w:highlight w:val="none"/>
              </w:rPr>
              <w:t>需求的得</w:t>
            </w:r>
            <w:r>
              <w:rPr>
                <w:rFonts w:hint="default" w:ascii="Times New Roman" w:hAnsi="Times New Roman" w:cs="Times New Roman"/>
                <w:color w:val="auto"/>
                <w:kern w:val="2"/>
                <w:sz w:val="24"/>
                <w:szCs w:val="24"/>
                <w:highlight w:val="none"/>
                <w:lang w:val="en-US" w:eastAsia="zh-CN"/>
              </w:rPr>
              <w:t>4</w:t>
            </w:r>
            <w:r>
              <w:rPr>
                <w:rFonts w:hint="default" w:ascii="Times New Roman" w:hAnsi="Times New Roman" w:cs="Times New Roman"/>
                <w:color w:val="auto"/>
                <w:kern w:val="2"/>
                <w:sz w:val="24"/>
                <w:szCs w:val="24"/>
                <w:highlight w:val="none"/>
              </w:rPr>
              <w:t>分，人员配备数量有待补充、专业搭配有待完善、基本满足项目</w:t>
            </w:r>
            <w:r>
              <w:rPr>
                <w:rFonts w:hint="default" w:ascii="Times New Roman" w:hAnsi="Times New Roman" w:cs="Times New Roman"/>
                <w:color w:val="auto"/>
                <w:kern w:val="2"/>
                <w:sz w:val="24"/>
                <w:szCs w:val="24"/>
                <w:highlight w:val="none"/>
                <w:lang w:val="en-US" w:eastAsia="zh-CN"/>
              </w:rPr>
              <w:t>采购</w:t>
            </w:r>
            <w:r>
              <w:rPr>
                <w:rFonts w:hint="default" w:ascii="Times New Roman" w:hAnsi="Times New Roman" w:cs="Times New Roman"/>
                <w:color w:val="auto"/>
                <w:kern w:val="2"/>
                <w:sz w:val="24"/>
                <w:szCs w:val="24"/>
                <w:highlight w:val="none"/>
              </w:rPr>
              <w:t>需求的得</w:t>
            </w:r>
            <w:r>
              <w:rPr>
                <w:rFonts w:hint="eastAsia" w:ascii="Times New Roman" w:hAnsi="Times New Roman" w:cs="Times New Roman"/>
                <w:color w:val="auto"/>
                <w:kern w:val="2"/>
                <w:sz w:val="24"/>
                <w:szCs w:val="24"/>
                <w:highlight w:val="none"/>
                <w:lang w:val="en-US" w:eastAsia="zh-CN"/>
              </w:rPr>
              <w:t>2</w:t>
            </w:r>
            <w:r>
              <w:rPr>
                <w:rFonts w:hint="default" w:ascii="Times New Roman" w:hAnsi="Times New Roman" w:cs="Times New Roman"/>
                <w:color w:val="auto"/>
                <w:kern w:val="2"/>
                <w:sz w:val="24"/>
                <w:szCs w:val="24"/>
                <w:highlight w:val="none"/>
              </w:rPr>
              <w:t>分，人员配备数量较少、专业配备单一的得</w:t>
            </w:r>
            <w:r>
              <w:rPr>
                <w:rFonts w:hint="default" w:ascii="Times New Roman" w:hAnsi="Times New Roman" w:cs="Times New Roman"/>
                <w:color w:val="auto"/>
                <w:kern w:val="2"/>
                <w:sz w:val="24"/>
                <w:szCs w:val="24"/>
                <w:highlight w:val="none"/>
                <w:lang w:val="en-US" w:eastAsia="zh-CN"/>
              </w:rPr>
              <w:t>1</w:t>
            </w:r>
            <w:r>
              <w:rPr>
                <w:rFonts w:hint="default" w:ascii="Times New Roman" w:hAnsi="Times New Roman" w:cs="Times New Roman"/>
                <w:color w:val="auto"/>
                <w:kern w:val="2"/>
                <w:sz w:val="24"/>
                <w:szCs w:val="24"/>
                <w:highlight w:val="none"/>
              </w:rPr>
              <w:t>分。</w:t>
            </w:r>
          </w:p>
          <w:p w14:paraId="65EF8378">
            <w:pPr>
              <w:spacing w:line="360" w:lineRule="auto"/>
              <w:rPr>
                <w:rFonts w:hint="default" w:ascii="Times New Roman" w:hAnsi="Times New Roman" w:cs="Times New Roman"/>
                <w:bCs w:val="0"/>
                <w:color w:val="FF0000"/>
                <w:kern w:val="2"/>
                <w:sz w:val="24"/>
                <w:szCs w:val="24"/>
                <w:highlight w:val="none"/>
                <w:lang w:val="en-US" w:eastAsia="zh-CN"/>
              </w:rPr>
            </w:pPr>
            <w:r>
              <w:rPr>
                <w:rFonts w:hint="default" w:ascii="Times New Roman" w:hAnsi="Times New Roman" w:cs="Times New Roman"/>
                <w:b/>
                <w:bCs/>
                <w:color w:val="auto"/>
                <w:sz w:val="24"/>
                <w:szCs w:val="24"/>
                <w:highlight w:val="none"/>
              </w:rPr>
              <w:t>注：</w:t>
            </w:r>
            <w:r>
              <w:rPr>
                <w:rFonts w:hint="eastAsia" w:ascii="Times New Roman" w:hAnsi="Times New Roman" w:cs="Times New Roman"/>
                <w:b/>
                <w:bCs/>
                <w:color w:val="auto"/>
                <w:sz w:val="24"/>
                <w:szCs w:val="24"/>
                <w:highlight w:val="none"/>
                <w:lang w:val="en-US" w:eastAsia="zh-CN"/>
              </w:rPr>
              <w:t>①</w:t>
            </w:r>
            <w:r>
              <w:rPr>
                <w:rFonts w:hint="default" w:ascii="Times New Roman" w:hAnsi="Times New Roman" w:cs="Times New Roman"/>
                <w:b/>
                <w:bCs/>
                <w:color w:val="auto"/>
                <w:sz w:val="24"/>
                <w:szCs w:val="24"/>
                <w:highlight w:val="none"/>
              </w:rPr>
              <w:t>响应文件中须提供学历证书、职称证书等扫描件，未提供不得分。</w:t>
            </w:r>
            <w:r>
              <w:rPr>
                <w:rFonts w:hint="eastAsia" w:ascii="Times New Roman" w:hAnsi="Times New Roman" w:cs="Times New Roman"/>
                <w:b/>
                <w:bCs/>
                <w:color w:val="auto"/>
                <w:sz w:val="24"/>
                <w:szCs w:val="24"/>
                <w:highlight w:val="none"/>
                <w:lang w:val="en-US" w:eastAsia="zh-CN"/>
              </w:rPr>
              <w:t>②响应文件中须提供</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供应商为</w:t>
            </w:r>
            <w:r>
              <w:rPr>
                <w:rFonts w:hint="eastAsia" w:cs="@仿宋_GB2312" w:asciiTheme="minorHAnsi" w:hAnsiTheme="minorHAnsi" w:eastAsiaTheme="minorEastAsia"/>
                <w:b/>
                <w:bCs/>
                <w:color w:val="000000" w:themeColor="text1"/>
                <w:kern w:val="2"/>
                <w:sz w:val="24"/>
                <w:szCs w:val="24"/>
                <w:lang w:val="en-US" w:eastAsia="zh-CN"/>
                <w14:textFill>
                  <w14:solidFill>
                    <w14:schemeClr w14:val="tx1"/>
                  </w14:solidFill>
                </w14:textFill>
              </w:rPr>
              <w:t>项目组</w:t>
            </w:r>
            <w:r>
              <w:rPr>
                <w:rFonts w:hint="default" w:eastAsia="宋体"/>
                <w:b/>
                <w:bCs/>
                <w:color w:val="auto"/>
                <w:sz w:val="24"/>
                <w:szCs w:val="24"/>
                <w:highlight w:val="none"/>
                <w:lang w:val="en-US" w:eastAsia="zh-CN"/>
              </w:rPr>
              <w:t>成员</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缴纳的2025年6月以来任意一个月的社保证明材料（至少包含养老保险）。</w:t>
            </w:r>
            <w:r>
              <w:rPr>
                <w:rFonts w:hint="eastAsia" w:cs="@仿宋_GB2312" w:asciiTheme="minorHAnsi" w:hAnsiTheme="minorHAnsi" w:eastAsiaTheme="minorEastAsia"/>
                <w:b/>
                <w:bCs/>
                <w:color w:val="000000" w:themeColor="text1"/>
                <w:kern w:val="2"/>
                <w:sz w:val="24"/>
                <w:szCs w:val="24"/>
                <w:lang w:val="en-US" w:eastAsia="zh-CN"/>
                <w14:textFill>
                  <w14:solidFill>
                    <w14:schemeClr w14:val="tx1"/>
                  </w14:solidFill>
                </w14:textFill>
              </w:rPr>
              <w:t>项目组人员</w:t>
            </w:r>
            <w:r>
              <w:rPr>
                <w:rFonts w:hint="eastAsia" w:cs="@仿宋_GB2312" w:asciiTheme="minorHAnsi" w:hAnsiTheme="minorHAnsi" w:eastAsiaTheme="minorEastAsia"/>
                <w:b/>
                <w:bCs/>
                <w:color w:val="000000" w:themeColor="text1"/>
                <w:kern w:val="2"/>
                <w:sz w:val="24"/>
                <w:szCs w:val="24"/>
                <w14:textFill>
                  <w14:solidFill>
                    <w14:schemeClr w14:val="tx1"/>
                  </w14:solidFill>
                </w14:textFill>
              </w:rPr>
              <w:t>的社会保险的缴纳单位应当是供应商或者供应商不具备独立法人资格的分支机构。</w:t>
            </w:r>
          </w:p>
        </w:tc>
        <w:tc>
          <w:tcPr>
            <w:tcW w:w="968" w:type="dxa"/>
            <w:tcBorders>
              <w:left w:val="single" w:color="auto" w:sz="4" w:space="0"/>
              <w:right w:val="single" w:color="auto" w:sz="4" w:space="0"/>
            </w:tcBorders>
            <w:vAlign w:val="center"/>
          </w:tcPr>
          <w:p w14:paraId="1C256CFB">
            <w:pPr>
              <w:spacing w:line="240" w:lineRule="auto"/>
              <w:jc w:val="center"/>
              <w:rPr>
                <w:rFonts w:hint="eastAsia" w:asciiTheme="minorEastAsia" w:hAnsiTheme="minorEastAsia" w:eastAsiaTheme="minorEastAsia"/>
                <w:b w:val="0"/>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6分</w:t>
            </w:r>
          </w:p>
          <w:p w14:paraId="0182B176">
            <w:pPr>
              <w:spacing w:line="240" w:lineRule="auto"/>
              <w:jc w:val="center"/>
              <w:rPr>
                <w:rFonts w:hint="default" w:asciiTheme="minorEastAsia" w:hAnsiTheme="minorEastAsia" w:eastAsiaTheme="minorEastAsia"/>
                <w:b w:val="0"/>
                <w:bCs/>
                <w:color w:val="FF0000"/>
                <w:sz w:val="24"/>
                <w:szCs w:val="24"/>
                <w:highlight w:val="none"/>
                <w:lang w:val="en-US" w:eastAsia="zh-CN"/>
              </w:rPr>
            </w:pPr>
          </w:p>
        </w:tc>
      </w:tr>
      <w:tr w14:paraId="331D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434" w:type="dxa"/>
            <w:tcBorders>
              <w:left w:val="single" w:color="auto" w:sz="4" w:space="0"/>
              <w:right w:val="single" w:color="auto" w:sz="4" w:space="0"/>
            </w:tcBorders>
            <w:vAlign w:val="center"/>
          </w:tcPr>
          <w:p w14:paraId="3BE38777">
            <w:pPr>
              <w:spacing w:line="240" w:lineRule="auto"/>
              <w:jc w:val="center"/>
              <w:rPr>
                <w:rFonts w:hint="default" w:eastAsia="宋体"/>
                <w:b/>
                <w:bCs/>
                <w:color w:val="auto"/>
                <w:sz w:val="24"/>
                <w:szCs w:val="24"/>
                <w:highlight w:val="none"/>
                <w:lang w:val="en-US" w:eastAsia="zh-CN"/>
              </w:rPr>
            </w:pPr>
            <w:r>
              <w:rPr>
                <w:rFonts w:hint="eastAsia"/>
                <w:b/>
                <w:bCs/>
                <w:color w:val="auto"/>
                <w:sz w:val="24"/>
                <w:szCs w:val="24"/>
                <w:highlight w:val="none"/>
                <w:lang w:val="en-US" w:eastAsia="zh-CN"/>
              </w:rPr>
              <w:t>自动化驻场保障</w:t>
            </w:r>
          </w:p>
        </w:tc>
        <w:tc>
          <w:tcPr>
            <w:tcW w:w="8019" w:type="dxa"/>
            <w:tcBorders>
              <w:top w:val="single" w:color="auto" w:sz="4" w:space="0"/>
              <w:left w:val="single" w:color="auto" w:sz="4" w:space="0"/>
              <w:bottom w:val="single" w:color="auto" w:sz="4" w:space="0"/>
              <w:right w:val="single" w:color="auto" w:sz="4" w:space="0"/>
            </w:tcBorders>
            <w:vAlign w:val="center"/>
          </w:tcPr>
          <w:p w14:paraId="05E2CEE0">
            <w:pPr>
              <w:spacing w:line="240" w:lineRule="auto"/>
              <w:jc w:val="left"/>
              <w:rPr>
                <w:rFonts w:hint="eastAsia"/>
                <w:color w:val="auto"/>
                <w:sz w:val="24"/>
                <w:szCs w:val="24"/>
                <w:highlight w:val="none"/>
                <w:lang w:val="en-US" w:eastAsia="zh-CN"/>
              </w:rPr>
            </w:pPr>
            <w:r>
              <w:rPr>
                <w:rFonts w:hint="eastAsia"/>
                <w:color w:val="auto"/>
                <w:sz w:val="24"/>
                <w:szCs w:val="24"/>
                <w:highlight w:val="none"/>
                <w:lang w:val="en-US" w:eastAsia="zh-CN"/>
              </w:rPr>
              <w:t>拟派</w:t>
            </w:r>
            <w:r>
              <w:rPr>
                <w:rFonts w:hint="eastAsia"/>
                <w:b/>
                <w:bCs/>
                <w:color w:val="auto"/>
                <w:sz w:val="24"/>
                <w:szCs w:val="24"/>
                <w:highlight w:val="none"/>
                <w:lang w:val="en-US" w:eastAsia="zh-CN"/>
              </w:rPr>
              <w:t>自动化驻场人员</w:t>
            </w:r>
            <w:r>
              <w:rPr>
                <w:rFonts w:hint="eastAsia"/>
                <w:color w:val="auto"/>
                <w:sz w:val="24"/>
                <w:szCs w:val="24"/>
                <w:highlight w:val="none"/>
                <w:lang w:val="en-US" w:eastAsia="zh-CN"/>
              </w:rPr>
              <w:t>具有水利水电工程专业或机电工程专业或电子信息工程专业中级及以上技术职称证书的得3分，具有水利水电工程专业或机电工程专业或电子信息工程专业初级技术职称证书的得1分，最多得3分。</w:t>
            </w:r>
          </w:p>
          <w:p w14:paraId="51B38E0D">
            <w:pPr>
              <w:spacing w:line="240" w:lineRule="auto"/>
              <w:rPr>
                <w:rFonts w:hint="default" w:ascii="Times New Roman" w:hAnsi="Times New Roman" w:eastAsia="宋体" w:cs="Times New Roman"/>
                <w:b/>
                <w:bCs/>
                <w:color w:val="auto"/>
                <w:sz w:val="24"/>
                <w:szCs w:val="24"/>
                <w:highlight w:val="none"/>
                <w:lang w:val="en-US" w:eastAsia="zh-CN"/>
              </w:rPr>
            </w:pPr>
            <w:r>
              <w:rPr>
                <w:rStyle w:val="272"/>
                <w:rFonts w:hint="eastAsia" w:ascii="Times New Roman"/>
                <w:b/>
                <w:bCs/>
                <w:color w:val="auto"/>
                <w:sz w:val="24"/>
                <w:szCs w:val="24"/>
                <w:highlight w:val="none"/>
                <w:lang w:val="en-US" w:eastAsia="zh-CN"/>
              </w:rPr>
              <w:t>注：①响应文件中须提供</w:t>
            </w:r>
            <w:r>
              <w:rPr>
                <w:rFonts w:hint="eastAsia"/>
                <w:b/>
                <w:bCs/>
                <w:color w:val="auto"/>
                <w:sz w:val="24"/>
                <w:szCs w:val="24"/>
                <w:highlight w:val="none"/>
                <w:lang w:val="en-US" w:eastAsia="zh-CN"/>
              </w:rPr>
              <w:t>驻场人员</w:t>
            </w:r>
            <w:r>
              <w:rPr>
                <w:rStyle w:val="272"/>
                <w:rFonts w:hint="eastAsia" w:ascii="Times New Roman"/>
                <w:b/>
                <w:bCs/>
                <w:color w:val="auto"/>
                <w:sz w:val="24"/>
                <w:szCs w:val="24"/>
                <w:highlight w:val="none"/>
                <w:lang w:val="en-US" w:eastAsia="zh-CN"/>
              </w:rPr>
              <w:t>职称证书扫描件。</w:t>
            </w:r>
            <w:r>
              <w:rPr>
                <w:rFonts w:hint="eastAsia" w:ascii="Times New Roman" w:hAnsi="Times New Roman" w:cs="Times New Roman"/>
                <w:b/>
                <w:bCs/>
                <w:color w:val="auto"/>
                <w:sz w:val="24"/>
                <w:szCs w:val="24"/>
                <w:highlight w:val="none"/>
                <w:lang w:val="en-US" w:eastAsia="zh-CN"/>
              </w:rPr>
              <w:t>②响应文件中须提供</w:t>
            </w:r>
            <w:r>
              <w:rPr>
                <w:rFonts w:hint="eastAsia" w:cs="@仿宋_GB2312" w:asciiTheme="minorHAnsi" w:hAnsiTheme="minorHAnsi" w:eastAsiaTheme="minorEastAsia"/>
                <w:b/>
                <w:bCs/>
                <w:color w:val="auto"/>
                <w:kern w:val="2"/>
                <w:sz w:val="24"/>
                <w:szCs w:val="24"/>
              </w:rPr>
              <w:t>供应商为</w:t>
            </w:r>
            <w:r>
              <w:rPr>
                <w:rFonts w:hint="eastAsia"/>
                <w:b/>
                <w:bCs/>
                <w:color w:val="auto"/>
                <w:sz w:val="24"/>
                <w:szCs w:val="24"/>
                <w:highlight w:val="none"/>
                <w:lang w:val="en-US" w:eastAsia="zh-CN"/>
              </w:rPr>
              <w:t>驻场人员</w:t>
            </w:r>
            <w:r>
              <w:rPr>
                <w:rFonts w:hint="eastAsia" w:cs="@仿宋_GB2312" w:asciiTheme="minorHAnsi" w:hAnsiTheme="minorHAnsi" w:eastAsiaTheme="minorEastAsia"/>
                <w:b/>
                <w:bCs/>
                <w:color w:val="auto"/>
                <w:kern w:val="2"/>
                <w:sz w:val="24"/>
                <w:szCs w:val="24"/>
              </w:rPr>
              <w:t>缴纳的2025年6月以来任意一个月的社保证明材料（至少包含养老保险）。</w:t>
            </w:r>
            <w:r>
              <w:rPr>
                <w:rFonts w:hint="eastAsia"/>
                <w:b/>
                <w:bCs/>
                <w:color w:val="auto"/>
                <w:sz w:val="24"/>
                <w:szCs w:val="24"/>
                <w:highlight w:val="none"/>
                <w:lang w:val="en-US" w:eastAsia="zh-CN"/>
              </w:rPr>
              <w:t>驻场人员</w:t>
            </w:r>
            <w:r>
              <w:rPr>
                <w:rFonts w:hint="eastAsia" w:cs="@仿宋_GB2312" w:asciiTheme="minorHAnsi" w:hAnsiTheme="minorHAnsi" w:eastAsiaTheme="minorEastAsia"/>
                <w:b/>
                <w:bCs/>
                <w:color w:val="auto"/>
                <w:kern w:val="2"/>
                <w:sz w:val="24"/>
                <w:szCs w:val="24"/>
              </w:rPr>
              <w:t>的社会保险的缴纳单位应当是供应商或者供应商不具备独立法人资格的分支机构。</w:t>
            </w:r>
          </w:p>
        </w:tc>
        <w:tc>
          <w:tcPr>
            <w:tcW w:w="968" w:type="dxa"/>
            <w:tcBorders>
              <w:left w:val="single" w:color="auto" w:sz="4" w:space="0"/>
              <w:right w:val="single" w:color="auto" w:sz="4" w:space="0"/>
            </w:tcBorders>
            <w:vAlign w:val="center"/>
          </w:tcPr>
          <w:p w14:paraId="3EA2DE1D">
            <w:pPr>
              <w:spacing w:line="240" w:lineRule="auto"/>
              <w:jc w:val="center"/>
              <w:rPr>
                <w:rFonts w:hint="eastAsia" w:asciiTheme="minorEastAsia" w:hAnsiTheme="minorEastAsia" w:eastAsiaTheme="minorEastAsia"/>
                <w:b w:val="0"/>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3分</w:t>
            </w:r>
          </w:p>
          <w:p w14:paraId="1A7D7BC4">
            <w:pPr>
              <w:spacing w:line="240" w:lineRule="auto"/>
              <w:jc w:val="center"/>
              <w:rPr>
                <w:rFonts w:hint="default" w:asciiTheme="minorEastAsia" w:hAnsiTheme="minorEastAsia" w:eastAsiaTheme="minorEastAsia"/>
                <w:b w:val="0"/>
                <w:bCs/>
                <w:color w:val="auto"/>
                <w:sz w:val="24"/>
                <w:szCs w:val="24"/>
                <w:highlight w:val="none"/>
                <w:lang w:val="en-US" w:eastAsia="zh-CN"/>
              </w:rPr>
            </w:pPr>
          </w:p>
        </w:tc>
      </w:tr>
      <w:tr w14:paraId="294A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right w:val="single" w:color="auto" w:sz="4" w:space="0"/>
            </w:tcBorders>
            <w:vAlign w:val="top"/>
          </w:tcPr>
          <w:p w14:paraId="406CDDD4">
            <w:pPr>
              <w:keepNext w:val="0"/>
              <w:keepLines w:val="0"/>
              <w:pageBreakBefore w:val="0"/>
              <w:widowControl/>
              <w:kinsoku w:val="0"/>
              <w:wordWrap/>
              <w:overflowPunct/>
              <w:topLinePunct w:val="0"/>
              <w:autoSpaceDE w:val="0"/>
              <w:autoSpaceDN w:val="0"/>
              <w:bidi w:val="0"/>
              <w:adjustRightInd w:val="0"/>
              <w:snapToGrid w:val="0"/>
              <w:spacing w:line="246" w:lineRule="auto"/>
              <w:ind w:firstLine="0" w:firstLineChars="0"/>
              <w:jc w:val="left"/>
              <w:textAlignment w:val="baseline"/>
              <w:rPr>
                <w:rFonts w:ascii="Arial" w:hAnsi="Arial" w:eastAsia="Arial" w:cs="Arial"/>
                <w:b w:val="0"/>
                <w:bCs w:val="0"/>
                <w:snapToGrid w:val="0"/>
                <w:color w:val="auto"/>
                <w:kern w:val="0"/>
                <w:sz w:val="24"/>
                <w:szCs w:val="24"/>
                <w:highlight w:val="none"/>
                <w:lang w:eastAsia="en-US"/>
              </w:rPr>
            </w:pPr>
          </w:p>
          <w:p w14:paraId="4D857131">
            <w:pPr>
              <w:keepNext w:val="0"/>
              <w:keepLines w:val="0"/>
              <w:pageBreakBefore w:val="0"/>
              <w:kinsoku w:val="0"/>
              <w:wordWrap/>
              <w:overflowPunct/>
              <w:topLinePunct w:val="0"/>
              <w:autoSpaceDE w:val="0"/>
              <w:autoSpaceDN w:val="0"/>
              <w:bidi w:val="0"/>
              <w:adjustRightInd w:val="0"/>
              <w:snapToGrid w:val="0"/>
              <w:spacing w:before="68" w:line="220" w:lineRule="auto"/>
              <w:ind w:firstLine="0" w:firstLineChars="0"/>
              <w:jc w:val="center"/>
              <w:textAlignment w:val="baseline"/>
              <w:rPr>
                <w:rStyle w:val="272"/>
                <w:rFonts w:hint="default" w:ascii="Times New Roman" w:hAnsi="Times New Roman" w:cs="Times New Roman"/>
                <w:b/>
                <w:bCs/>
                <w:color w:val="auto"/>
                <w:sz w:val="24"/>
                <w:szCs w:val="24"/>
                <w:highlight w:val="none"/>
                <w:lang w:val="en-US" w:eastAsia="zh-CN"/>
              </w:rPr>
            </w:pPr>
            <w:r>
              <w:rPr>
                <w:rFonts w:ascii="Times New Roman" w:hAnsi="Times New Roman"/>
                <w:b/>
                <w:bCs/>
                <w:color w:val="auto"/>
                <w:sz w:val="24"/>
                <w:szCs w:val="24"/>
                <w:highlight w:val="none"/>
                <w:lang w:val="zh-CN" w:bidi="ar"/>
              </w:rPr>
              <w:t>主要施工方案与技术措施：</w:t>
            </w:r>
          </w:p>
        </w:tc>
        <w:tc>
          <w:tcPr>
            <w:tcW w:w="8019" w:type="dxa"/>
            <w:tcBorders>
              <w:top w:val="single" w:color="auto" w:sz="4" w:space="0"/>
              <w:left w:val="single" w:color="auto" w:sz="4" w:space="0"/>
              <w:bottom w:val="single" w:color="auto" w:sz="4" w:space="0"/>
              <w:right w:val="single" w:color="auto" w:sz="4" w:space="0"/>
            </w:tcBorders>
            <w:vAlign w:val="center"/>
          </w:tcPr>
          <w:p w14:paraId="799FE075">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5</w:t>
            </w:r>
            <w:r>
              <w:rPr>
                <w:rFonts w:ascii="Times New Roman" w:hAnsi="Times New Roman"/>
                <w:color w:val="auto"/>
                <w:sz w:val="24"/>
                <w:szCs w:val="24"/>
                <w:highlight w:val="none"/>
                <w:lang w:val="zh-CN" w:bidi="ar"/>
              </w:rPr>
              <w:t>分；</w:t>
            </w:r>
          </w:p>
          <w:p w14:paraId="142D6B94">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5449E88C">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02D84EB8">
            <w:pPr>
              <w:topLinePunct/>
              <w:adjustRightInd w:val="0"/>
              <w:snapToGrid w:val="0"/>
              <w:spacing w:line="240" w:lineRule="auto"/>
              <w:rPr>
                <w:rFonts w:hint="eastAsia" w:ascii="Times New Roman" w:hAnsi="Times New Roman" w:eastAsia="宋体"/>
                <w:b/>
                <w:bCs/>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bottom w:val="single" w:color="auto" w:sz="4" w:space="0"/>
              <w:right w:val="single" w:color="auto" w:sz="4" w:space="0"/>
            </w:tcBorders>
            <w:vAlign w:val="center"/>
          </w:tcPr>
          <w:p w14:paraId="6067CCFB">
            <w:pPr>
              <w:spacing w:line="240" w:lineRule="auto"/>
              <w:jc w:val="center"/>
              <w:rPr>
                <w:rFonts w:hint="eastAsia" w:asciiTheme="minorEastAsia" w:hAnsiTheme="minorEastAsia" w:eastAsiaTheme="minorEastAsia"/>
                <w:b/>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5分</w:t>
            </w:r>
          </w:p>
        </w:tc>
      </w:tr>
      <w:tr w14:paraId="68F0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right w:val="single" w:color="auto" w:sz="4" w:space="0"/>
            </w:tcBorders>
            <w:vAlign w:val="center"/>
          </w:tcPr>
          <w:p w14:paraId="5148F9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272"/>
                <w:rFonts w:hint="default" w:ascii="Times New Roman" w:hAnsi="Times New Roman" w:cs="Times New Roman"/>
                <w:b/>
                <w:bCs/>
                <w:color w:val="auto"/>
                <w:sz w:val="24"/>
                <w:szCs w:val="24"/>
                <w:highlight w:val="none"/>
                <w:lang w:val="en-US" w:eastAsia="zh-CN"/>
              </w:rPr>
            </w:pPr>
            <w:r>
              <w:rPr>
                <w:rFonts w:hint="eastAsia"/>
                <w:b/>
                <w:bCs/>
                <w:color w:val="auto"/>
                <w:sz w:val="24"/>
                <w:szCs w:val="24"/>
                <w:highlight w:val="none"/>
                <w:lang w:val="en-US" w:eastAsia="zh-CN"/>
              </w:rPr>
              <w:t>水闸自动化系统调试方案</w:t>
            </w:r>
          </w:p>
        </w:tc>
        <w:tc>
          <w:tcPr>
            <w:tcW w:w="8019" w:type="dxa"/>
            <w:tcBorders>
              <w:top w:val="single" w:color="auto" w:sz="4" w:space="0"/>
              <w:left w:val="single" w:color="auto" w:sz="4" w:space="0"/>
              <w:bottom w:val="single" w:color="auto" w:sz="4" w:space="0"/>
              <w:right w:val="single" w:color="auto" w:sz="4" w:space="0"/>
            </w:tcBorders>
            <w:vAlign w:val="center"/>
          </w:tcPr>
          <w:p w14:paraId="1F6AFD9C">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5</w:t>
            </w:r>
            <w:r>
              <w:rPr>
                <w:rFonts w:ascii="Times New Roman" w:hAnsi="Times New Roman"/>
                <w:color w:val="auto"/>
                <w:sz w:val="24"/>
                <w:szCs w:val="24"/>
                <w:highlight w:val="none"/>
                <w:lang w:val="zh-CN" w:bidi="ar"/>
              </w:rPr>
              <w:t>分；</w:t>
            </w:r>
          </w:p>
          <w:p w14:paraId="285D2215">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1CD0FBD8">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0F61973B">
            <w:pPr>
              <w:topLinePunct/>
              <w:adjustRightInd w:val="0"/>
              <w:snapToGrid w:val="0"/>
              <w:spacing w:line="240" w:lineRule="auto"/>
              <w:rPr>
                <w:rFonts w:hint="eastAsia" w:ascii="Times New Roman" w:hAnsi="Times New Roman" w:eastAsia="宋体"/>
                <w:b/>
                <w:bCs/>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bottom w:val="single" w:color="auto" w:sz="4" w:space="0"/>
              <w:right w:val="single" w:color="auto" w:sz="4" w:space="0"/>
            </w:tcBorders>
            <w:vAlign w:val="center"/>
          </w:tcPr>
          <w:p w14:paraId="515B52A0">
            <w:pPr>
              <w:spacing w:line="240" w:lineRule="auto"/>
              <w:jc w:val="center"/>
              <w:rPr>
                <w:rFonts w:hint="eastAsia" w:asciiTheme="minorEastAsia" w:hAnsiTheme="minorEastAsia" w:eastAsiaTheme="minorEastAsia"/>
                <w:b w:val="0"/>
                <w:bCs w:val="0"/>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5分</w:t>
            </w:r>
          </w:p>
        </w:tc>
      </w:tr>
      <w:tr w14:paraId="7CB2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right w:val="single" w:color="auto" w:sz="4" w:space="0"/>
            </w:tcBorders>
            <w:vAlign w:val="center"/>
          </w:tcPr>
          <w:p w14:paraId="33C11D2D">
            <w:pPr>
              <w:keepNext w:val="0"/>
              <w:keepLines w:val="0"/>
              <w:pageBreakBefore w:val="0"/>
              <w:kinsoku w:val="0"/>
              <w:wordWrap/>
              <w:overflowPunct/>
              <w:topLinePunct w:val="0"/>
              <w:autoSpaceDE w:val="0"/>
              <w:autoSpaceDN w:val="0"/>
              <w:bidi w:val="0"/>
              <w:adjustRightInd w:val="0"/>
              <w:snapToGrid w:val="0"/>
              <w:spacing w:before="68" w:line="220" w:lineRule="auto"/>
              <w:ind w:firstLine="0" w:firstLineChars="0"/>
              <w:jc w:val="center"/>
              <w:textAlignment w:val="baseline"/>
              <w:rPr>
                <w:rStyle w:val="272"/>
                <w:rFonts w:hint="default" w:ascii="Times New Roman" w:hAnsi="Times New Roman" w:cs="Times New Roman"/>
                <w:b/>
                <w:bCs/>
                <w:color w:val="auto"/>
                <w:sz w:val="24"/>
                <w:szCs w:val="24"/>
                <w:highlight w:val="none"/>
                <w:lang w:val="en-US" w:eastAsia="zh-CN"/>
              </w:rPr>
            </w:pPr>
            <w:r>
              <w:rPr>
                <w:rFonts w:hint="eastAsia" w:ascii="宋体" w:hAnsi="宋体" w:eastAsia="宋体" w:cs="宋体"/>
                <w:b/>
                <w:bCs/>
                <w:snapToGrid w:val="0"/>
                <w:color w:val="auto"/>
                <w:spacing w:val="2"/>
                <w:kern w:val="0"/>
                <w:sz w:val="24"/>
                <w:szCs w:val="24"/>
                <w:highlight w:val="none"/>
                <w:lang w:val="en-US" w:eastAsia="zh-CN" w:bidi="ar-SA"/>
              </w:rPr>
              <w:t>安全施工的技术组织措施</w:t>
            </w:r>
          </w:p>
        </w:tc>
        <w:tc>
          <w:tcPr>
            <w:tcW w:w="8019" w:type="dxa"/>
            <w:tcBorders>
              <w:top w:val="single" w:color="auto" w:sz="4" w:space="0"/>
              <w:left w:val="single" w:color="auto" w:sz="4" w:space="0"/>
              <w:bottom w:val="single" w:color="auto" w:sz="4" w:space="0"/>
              <w:right w:val="single" w:color="auto" w:sz="4" w:space="0"/>
            </w:tcBorders>
            <w:vAlign w:val="center"/>
          </w:tcPr>
          <w:p w14:paraId="602B2C1B">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5</w:t>
            </w:r>
            <w:r>
              <w:rPr>
                <w:rFonts w:ascii="Times New Roman" w:hAnsi="Times New Roman"/>
                <w:color w:val="auto"/>
                <w:sz w:val="24"/>
                <w:szCs w:val="24"/>
                <w:highlight w:val="none"/>
                <w:lang w:val="zh-CN" w:bidi="ar"/>
              </w:rPr>
              <w:t>分；</w:t>
            </w:r>
          </w:p>
          <w:p w14:paraId="4417A6BD">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7DD2246C">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625C689A">
            <w:pPr>
              <w:topLinePunct/>
              <w:adjustRightInd w:val="0"/>
              <w:snapToGrid w:val="0"/>
              <w:spacing w:line="240" w:lineRule="auto"/>
              <w:rPr>
                <w:rFonts w:hint="eastAsia" w:ascii="Times New Roman" w:hAnsi="Times New Roman" w:eastAsia="宋体"/>
                <w:b/>
                <w:bCs/>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bottom w:val="single" w:color="auto" w:sz="4" w:space="0"/>
              <w:right w:val="single" w:color="auto" w:sz="4" w:space="0"/>
            </w:tcBorders>
            <w:vAlign w:val="center"/>
          </w:tcPr>
          <w:p w14:paraId="4F5831A6">
            <w:pPr>
              <w:spacing w:line="240" w:lineRule="auto"/>
              <w:jc w:val="center"/>
              <w:rPr>
                <w:rFonts w:hint="eastAsia" w:asciiTheme="minorEastAsia" w:hAnsiTheme="minorEastAsia" w:eastAsiaTheme="minorEastAsia"/>
                <w:b w:val="0"/>
                <w:bCs w:val="0"/>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5分</w:t>
            </w:r>
          </w:p>
        </w:tc>
      </w:tr>
      <w:tr w14:paraId="10B3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4" w:type="dxa"/>
            <w:tcBorders>
              <w:left w:val="single" w:color="auto" w:sz="4" w:space="0"/>
              <w:right w:val="single" w:color="auto" w:sz="4" w:space="0"/>
            </w:tcBorders>
            <w:vAlign w:val="top"/>
          </w:tcPr>
          <w:p w14:paraId="5A6B2D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Style w:val="272"/>
                <w:rFonts w:hint="default" w:ascii="Times New Roman" w:hAnsi="Times New Roman" w:cs="Times New Roman"/>
                <w:b/>
                <w:bCs/>
                <w:color w:val="auto"/>
                <w:sz w:val="24"/>
                <w:szCs w:val="24"/>
                <w:highlight w:val="none"/>
                <w:lang w:val="en-US" w:eastAsia="zh-CN"/>
              </w:rPr>
            </w:pPr>
            <w:r>
              <w:rPr>
                <w:rFonts w:hint="eastAsia" w:eastAsia="宋体" w:cs="Times New Roman"/>
                <w:b/>
                <w:bCs/>
                <w:color w:val="auto"/>
                <w:sz w:val="24"/>
                <w:szCs w:val="24"/>
                <w:highlight w:val="none"/>
                <w:lang w:val="en-US" w:eastAsia="en-US"/>
              </w:rPr>
              <w:t>工作进度计划及保证措施</w:t>
            </w:r>
          </w:p>
        </w:tc>
        <w:tc>
          <w:tcPr>
            <w:tcW w:w="8019" w:type="dxa"/>
            <w:tcBorders>
              <w:top w:val="single" w:color="auto" w:sz="4" w:space="0"/>
              <w:left w:val="single" w:color="auto" w:sz="4" w:space="0"/>
              <w:bottom w:val="single" w:color="auto" w:sz="4" w:space="0"/>
              <w:right w:val="single" w:color="auto" w:sz="4" w:space="0"/>
            </w:tcBorders>
            <w:vAlign w:val="center"/>
          </w:tcPr>
          <w:p w14:paraId="623BFACE">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5</w:t>
            </w:r>
            <w:r>
              <w:rPr>
                <w:rFonts w:ascii="Times New Roman" w:hAnsi="Times New Roman"/>
                <w:color w:val="auto"/>
                <w:sz w:val="24"/>
                <w:szCs w:val="24"/>
                <w:highlight w:val="none"/>
                <w:lang w:val="zh-CN" w:bidi="ar"/>
              </w:rPr>
              <w:t>分；</w:t>
            </w:r>
          </w:p>
          <w:p w14:paraId="478974CD">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159E866F">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206D54AA">
            <w:pPr>
              <w:topLinePunct/>
              <w:adjustRightInd w:val="0"/>
              <w:snapToGrid w:val="0"/>
              <w:spacing w:line="240" w:lineRule="auto"/>
              <w:rPr>
                <w:rFonts w:hint="default" w:ascii="Times New Roman" w:hAnsi="Times New Roman"/>
                <w:color w:val="auto"/>
                <w:sz w:val="24"/>
                <w:szCs w:val="24"/>
                <w:highlight w:val="none"/>
                <w:lang w:val="en-US"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right w:val="single" w:color="auto" w:sz="4" w:space="0"/>
            </w:tcBorders>
            <w:vAlign w:val="center"/>
          </w:tcPr>
          <w:p w14:paraId="0E478F89">
            <w:pPr>
              <w:spacing w:line="240" w:lineRule="auto"/>
              <w:jc w:val="center"/>
              <w:rPr>
                <w:rFonts w:hint="eastAsia" w:asciiTheme="minorEastAsia" w:hAnsiTheme="minorEastAsia" w:eastAsiaTheme="minorEastAsia"/>
                <w:b w:val="0"/>
                <w:bCs w:val="0"/>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5分</w:t>
            </w:r>
          </w:p>
        </w:tc>
      </w:tr>
      <w:tr w14:paraId="210D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bottom w:val="single" w:color="auto" w:sz="4" w:space="0"/>
              <w:right w:val="single" w:color="auto" w:sz="4" w:space="0"/>
            </w:tcBorders>
            <w:vAlign w:val="top"/>
          </w:tcPr>
          <w:p w14:paraId="795BF9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Style w:val="272"/>
                <w:rFonts w:hint="default" w:ascii="Times New Roman" w:hAnsi="Times New Roman" w:cs="Times New Roman"/>
                <w:b/>
                <w:bCs/>
                <w:color w:val="auto"/>
                <w:sz w:val="24"/>
                <w:szCs w:val="24"/>
                <w:highlight w:val="none"/>
                <w:lang w:val="en-US" w:eastAsia="zh-CN"/>
              </w:rPr>
            </w:pPr>
            <w:r>
              <w:rPr>
                <w:rFonts w:hint="eastAsia" w:eastAsia="宋体" w:cs="Times New Roman"/>
                <w:b/>
                <w:bCs/>
                <w:color w:val="auto"/>
                <w:sz w:val="24"/>
                <w:szCs w:val="24"/>
                <w:highlight w:val="none"/>
                <w:lang w:val="en-US" w:eastAsia="en-US"/>
              </w:rPr>
              <w:t>质量保证措施及控制体系</w:t>
            </w:r>
          </w:p>
        </w:tc>
        <w:tc>
          <w:tcPr>
            <w:tcW w:w="8019" w:type="dxa"/>
            <w:tcBorders>
              <w:top w:val="single" w:color="auto" w:sz="4" w:space="0"/>
              <w:left w:val="single" w:color="auto" w:sz="4" w:space="0"/>
              <w:bottom w:val="single" w:color="auto" w:sz="4" w:space="0"/>
              <w:right w:val="single" w:color="auto" w:sz="4" w:space="0"/>
            </w:tcBorders>
            <w:vAlign w:val="center"/>
          </w:tcPr>
          <w:p w14:paraId="10B76D94">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5</w:t>
            </w:r>
            <w:r>
              <w:rPr>
                <w:rFonts w:ascii="Times New Roman" w:hAnsi="Times New Roman"/>
                <w:color w:val="auto"/>
                <w:sz w:val="24"/>
                <w:szCs w:val="24"/>
                <w:highlight w:val="none"/>
                <w:lang w:val="zh-CN" w:bidi="ar"/>
              </w:rPr>
              <w:t>分；</w:t>
            </w:r>
          </w:p>
          <w:p w14:paraId="1D63AE44">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44AD6372">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4DCF310A">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bottom w:val="single" w:color="auto" w:sz="4" w:space="0"/>
              <w:right w:val="single" w:color="auto" w:sz="4" w:space="0"/>
            </w:tcBorders>
            <w:vAlign w:val="center"/>
          </w:tcPr>
          <w:p w14:paraId="3375FAC6">
            <w:pPr>
              <w:spacing w:line="240" w:lineRule="auto"/>
              <w:jc w:val="center"/>
              <w:rPr>
                <w:rFonts w:hint="eastAsia" w:asciiTheme="minorEastAsia" w:hAnsiTheme="minorEastAsia" w:eastAsiaTheme="minorEastAsia"/>
                <w:b/>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5分</w:t>
            </w:r>
          </w:p>
        </w:tc>
      </w:tr>
      <w:tr w14:paraId="7C29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bottom w:val="single" w:color="auto" w:sz="4" w:space="0"/>
              <w:right w:val="single" w:color="auto" w:sz="4" w:space="0"/>
            </w:tcBorders>
            <w:vAlign w:val="top"/>
          </w:tcPr>
          <w:p w14:paraId="304549CE">
            <w:pPr>
              <w:keepNext w:val="0"/>
              <w:keepLines w:val="0"/>
              <w:pageBreakBefore w:val="0"/>
              <w:kinsoku w:val="0"/>
              <w:wordWrap/>
              <w:overflowPunct/>
              <w:topLinePunct w:val="0"/>
              <w:autoSpaceDE w:val="0"/>
              <w:autoSpaceDN w:val="0"/>
              <w:bidi w:val="0"/>
              <w:adjustRightInd w:val="0"/>
              <w:snapToGrid w:val="0"/>
              <w:spacing w:before="299" w:line="220" w:lineRule="auto"/>
              <w:jc w:val="left"/>
              <w:textAlignment w:val="baseline"/>
              <w:rPr>
                <w:rStyle w:val="272"/>
                <w:rFonts w:hint="default" w:ascii="Times New Roman" w:hAnsi="Times New Roman" w:cs="Times New Roman"/>
                <w:b/>
                <w:bCs/>
                <w:color w:val="auto"/>
                <w:sz w:val="24"/>
                <w:szCs w:val="24"/>
                <w:highlight w:val="none"/>
                <w:lang w:val="en-US" w:eastAsia="zh-CN"/>
              </w:rPr>
            </w:pPr>
            <w:r>
              <w:rPr>
                <w:rFonts w:ascii="宋体" w:hAnsi="宋体" w:eastAsia="宋体" w:cs="宋体"/>
                <w:b/>
                <w:bCs/>
                <w:snapToGrid w:val="0"/>
                <w:color w:val="auto"/>
                <w:spacing w:val="-2"/>
                <w:kern w:val="0"/>
                <w:sz w:val="24"/>
                <w:szCs w:val="24"/>
                <w:highlight w:val="none"/>
                <w:lang w:val="en-US" w:eastAsia="en-US" w:bidi="ar-SA"/>
              </w:rPr>
              <w:t>运行维护方案</w:t>
            </w:r>
          </w:p>
        </w:tc>
        <w:tc>
          <w:tcPr>
            <w:tcW w:w="8019" w:type="dxa"/>
            <w:tcBorders>
              <w:top w:val="single" w:color="auto" w:sz="4" w:space="0"/>
              <w:left w:val="single" w:color="auto" w:sz="4" w:space="0"/>
              <w:bottom w:val="single" w:color="auto" w:sz="4" w:space="0"/>
              <w:right w:val="single" w:color="auto" w:sz="4" w:space="0"/>
            </w:tcBorders>
            <w:vAlign w:val="center"/>
          </w:tcPr>
          <w:p w14:paraId="27677245">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5</w:t>
            </w:r>
            <w:r>
              <w:rPr>
                <w:rFonts w:ascii="Times New Roman" w:hAnsi="Times New Roman"/>
                <w:color w:val="auto"/>
                <w:sz w:val="24"/>
                <w:szCs w:val="24"/>
                <w:highlight w:val="none"/>
                <w:lang w:val="zh-CN" w:bidi="ar"/>
              </w:rPr>
              <w:t>分；</w:t>
            </w:r>
          </w:p>
          <w:p w14:paraId="10E720B2">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6EAA3248">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529C8068">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bottom w:val="single" w:color="auto" w:sz="4" w:space="0"/>
              <w:right w:val="single" w:color="auto" w:sz="4" w:space="0"/>
            </w:tcBorders>
            <w:vAlign w:val="center"/>
          </w:tcPr>
          <w:p w14:paraId="4CDF7C8B">
            <w:pPr>
              <w:spacing w:line="240" w:lineRule="auto"/>
              <w:jc w:val="center"/>
              <w:rPr>
                <w:rFonts w:hint="eastAsia" w:asciiTheme="minorEastAsia" w:hAnsiTheme="minorEastAsia" w:eastAsiaTheme="minorEastAsia"/>
                <w:b w:val="0"/>
                <w:bCs w:val="0"/>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5分</w:t>
            </w:r>
          </w:p>
        </w:tc>
      </w:tr>
      <w:tr w14:paraId="5F48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bottom w:val="single" w:color="auto" w:sz="4" w:space="0"/>
              <w:right w:val="single" w:color="auto" w:sz="4" w:space="0"/>
            </w:tcBorders>
            <w:vAlign w:val="center"/>
          </w:tcPr>
          <w:p w14:paraId="35CFA9FE">
            <w:pPr>
              <w:spacing w:line="240" w:lineRule="auto"/>
              <w:jc w:val="center"/>
              <w:rPr>
                <w:rStyle w:val="272"/>
                <w:rFonts w:hint="default" w:ascii="Times New Roman" w:hAnsi="Times New Roman" w:cs="Times New Roman"/>
                <w:b/>
                <w:bCs/>
                <w:color w:val="auto"/>
                <w:sz w:val="24"/>
                <w:szCs w:val="24"/>
                <w:highlight w:val="none"/>
                <w:lang w:val="en-US" w:eastAsia="zh-CN"/>
              </w:rPr>
            </w:pPr>
            <w:r>
              <w:rPr>
                <w:rStyle w:val="272"/>
                <w:rFonts w:hint="eastAsia" w:ascii="Times New Roman" w:hAnsi="Times New Roman" w:cs="Times New Roman"/>
                <w:b/>
                <w:bCs/>
                <w:color w:val="auto"/>
                <w:sz w:val="24"/>
                <w:szCs w:val="24"/>
                <w:highlight w:val="none"/>
                <w:lang w:val="en-US" w:eastAsia="zh-CN"/>
              </w:rPr>
              <w:t>施工重点难点及合理化建议</w:t>
            </w:r>
          </w:p>
        </w:tc>
        <w:tc>
          <w:tcPr>
            <w:tcW w:w="8019" w:type="dxa"/>
            <w:tcBorders>
              <w:top w:val="single" w:color="auto" w:sz="4" w:space="0"/>
              <w:left w:val="single" w:color="auto" w:sz="4" w:space="0"/>
              <w:bottom w:val="single" w:color="auto" w:sz="4" w:space="0"/>
              <w:right w:val="single" w:color="auto" w:sz="4" w:space="0"/>
            </w:tcBorders>
            <w:vAlign w:val="center"/>
          </w:tcPr>
          <w:p w14:paraId="06E9E899">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5</w:t>
            </w:r>
            <w:r>
              <w:rPr>
                <w:rFonts w:ascii="Times New Roman" w:hAnsi="Times New Roman"/>
                <w:color w:val="auto"/>
                <w:sz w:val="24"/>
                <w:szCs w:val="24"/>
                <w:highlight w:val="none"/>
                <w:lang w:val="zh-CN" w:bidi="ar"/>
              </w:rPr>
              <w:t>分；</w:t>
            </w:r>
          </w:p>
          <w:p w14:paraId="6614E1B6">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17154FB5">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68D4FF64">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bottom w:val="single" w:color="auto" w:sz="4" w:space="0"/>
              <w:right w:val="single" w:color="auto" w:sz="4" w:space="0"/>
            </w:tcBorders>
            <w:vAlign w:val="center"/>
          </w:tcPr>
          <w:p w14:paraId="2B455180">
            <w:pPr>
              <w:spacing w:line="240" w:lineRule="auto"/>
              <w:jc w:val="center"/>
              <w:rPr>
                <w:rFonts w:hint="eastAsia" w:asciiTheme="minorEastAsia" w:hAnsiTheme="minorEastAsia" w:eastAsiaTheme="minorEastAsia"/>
                <w:b w:val="0"/>
                <w:bCs w:val="0"/>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5分</w:t>
            </w:r>
          </w:p>
        </w:tc>
      </w:tr>
      <w:tr w14:paraId="14E2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bottom w:val="single" w:color="auto" w:sz="4" w:space="0"/>
              <w:right w:val="single" w:color="auto" w:sz="4" w:space="0"/>
            </w:tcBorders>
            <w:shd w:val="clear" w:color="auto" w:fill="auto"/>
            <w:vAlign w:val="center"/>
          </w:tcPr>
          <w:p w14:paraId="330F08C1">
            <w:pPr>
              <w:spacing w:line="240" w:lineRule="auto"/>
              <w:jc w:val="center"/>
              <w:rPr>
                <w:rFonts w:hint="eastAsia" w:ascii="Times New Roman" w:hAnsi="Times New Roman" w:eastAsia="宋体" w:cs="Times New Roman"/>
                <w:b/>
                <w:bCs/>
                <w:color w:val="auto"/>
                <w:sz w:val="24"/>
                <w:szCs w:val="24"/>
                <w:highlight w:val="none"/>
                <w:lang w:val="en-US" w:eastAsia="zh-CN" w:bidi="ar-SA"/>
              </w:rPr>
            </w:pPr>
            <w:r>
              <w:rPr>
                <w:rStyle w:val="272"/>
                <w:rFonts w:hint="eastAsia" w:ascii="Times New Roman" w:hAnsi="Times New Roman" w:cs="Times New Roman"/>
                <w:b/>
                <w:bCs/>
                <w:color w:val="auto"/>
                <w:sz w:val="24"/>
                <w:szCs w:val="24"/>
                <w:highlight w:val="none"/>
                <w:lang w:val="en-US" w:eastAsia="zh-CN"/>
              </w:rPr>
              <w:t>应急工作方案</w:t>
            </w:r>
          </w:p>
        </w:tc>
        <w:tc>
          <w:tcPr>
            <w:tcW w:w="8019" w:type="dxa"/>
            <w:tcBorders>
              <w:top w:val="single" w:color="auto" w:sz="4" w:space="0"/>
              <w:left w:val="single" w:color="auto" w:sz="4" w:space="0"/>
              <w:bottom w:val="single" w:color="auto" w:sz="4" w:space="0"/>
              <w:right w:val="single" w:color="auto" w:sz="4" w:space="0"/>
            </w:tcBorders>
            <w:shd w:val="clear" w:color="auto" w:fill="auto"/>
            <w:vAlign w:val="center"/>
          </w:tcPr>
          <w:p w14:paraId="4D7E6755">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（1）</w:t>
            </w:r>
            <w:r>
              <w:rPr>
                <w:rFonts w:hint="eastAsia" w:ascii="Times New Roman" w:hAnsi="Times New Roman"/>
                <w:color w:val="auto"/>
                <w:sz w:val="24"/>
                <w:szCs w:val="24"/>
                <w:highlight w:val="none"/>
                <w:lang w:val="en-US" w:eastAsia="zh-CN" w:bidi="ar"/>
              </w:rPr>
              <w:t>理解准确</w:t>
            </w:r>
            <w:r>
              <w:rPr>
                <w:rFonts w:ascii="Times New Roman" w:hAnsi="Times New Roman"/>
                <w:color w:val="auto"/>
                <w:sz w:val="24"/>
                <w:szCs w:val="24"/>
                <w:highlight w:val="none"/>
                <w:lang w:val="zh-CN" w:bidi="ar"/>
              </w:rPr>
              <w:t>、要点突出、针对性强，内容完整详实，表述清晰，与本项目实际需求适应度高，利于项目实施的得</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分；</w:t>
            </w:r>
          </w:p>
          <w:p w14:paraId="2A8654FC">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（2）</w:t>
            </w:r>
            <w:r>
              <w:rPr>
                <w:rFonts w:hint="eastAsia" w:ascii="Times New Roman" w:hAnsi="Times New Roman"/>
                <w:color w:val="auto"/>
                <w:sz w:val="24"/>
                <w:szCs w:val="24"/>
                <w:highlight w:val="none"/>
                <w:lang w:val="en-US" w:eastAsia="zh-CN" w:bidi="ar"/>
              </w:rPr>
              <w:t>理解基本</w:t>
            </w:r>
            <w:r>
              <w:rPr>
                <w:rFonts w:ascii="Times New Roman" w:hAnsi="Times New Roman"/>
                <w:color w:val="auto"/>
                <w:sz w:val="24"/>
                <w:szCs w:val="24"/>
                <w:highlight w:val="none"/>
                <w:lang w:val="zh-CN" w:bidi="ar"/>
              </w:rPr>
              <w:t>全面，针对性强，内容完整详实，表述清晰，与本项目实际需求</w:t>
            </w:r>
            <w:r>
              <w:rPr>
                <w:rFonts w:hint="eastAsia" w:ascii="Times New Roman" w:hAnsi="Times New Roman"/>
                <w:color w:val="auto"/>
                <w:sz w:val="24"/>
                <w:szCs w:val="24"/>
                <w:highlight w:val="none"/>
                <w:lang w:val="en-US" w:eastAsia="zh-CN" w:bidi="ar"/>
              </w:rPr>
              <w:t>基本</w:t>
            </w:r>
            <w:r>
              <w:rPr>
                <w:rFonts w:hint="eastAsia" w:ascii="Times New Roman" w:hAnsi="Times New Roman"/>
                <w:color w:val="auto"/>
                <w:sz w:val="24"/>
                <w:szCs w:val="24"/>
                <w:highlight w:val="none"/>
                <w:lang w:bidi="ar"/>
              </w:rPr>
              <w:t>适应</w:t>
            </w:r>
            <w:r>
              <w:rPr>
                <w:rFonts w:hint="eastAsia" w:ascii="Times New Roman" w:hAnsi="Times New Roman"/>
                <w:color w:val="auto"/>
                <w:sz w:val="24"/>
                <w:szCs w:val="24"/>
                <w:highlight w:val="none"/>
                <w:lang w:val="zh-CN" w:bidi="ar"/>
              </w:rPr>
              <w:t>的</w:t>
            </w:r>
            <w:r>
              <w:rPr>
                <w:rFonts w:ascii="Times New Roman" w:hAnsi="Times New Roman"/>
                <w:color w:val="auto"/>
                <w:sz w:val="24"/>
                <w:szCs w:val="24"/>
                <w:highlight w:val="none"/>
                <w:lang w:val="zh-CN" w:bidi="ar"/>
              </w:rPr>
              <w:t>得</w:t>
            </w:r>
            <w:r>
              <w:rPr>
                <w:rFonts w:hint="eastAsia" w:ascii="Times New Roman" w:hAnsi="Times New Roman"/>
                <w:color w:val="auto"/>
                <w:sz w:val="24"/>
                <w:szCs w:val="24"/>
                <w:highlight w:val="none"/>
                <w:lang w:val="en-US" w:eastAsia="zh-CN" w:bidi="ar"/>
              </w:rPr>
              <w:t>2</w:t>
            </w:r>
            <w:r>
              <w:rPr>
                <w:rFonts w:ascii="Times New Roman" w:hAnsi="Times New Roman"/>
                <w:color w:val="auto"/>
                <w:sz w:val="24"/>
                <w:szCs w:val="24"/>
                <w:highlight w:val="none"/>
                <w:lang w:val="zh-CN" w:bidi="ar"/>
              </w:rPr>
              <w:t>分；</w:t>
            </w:r>
          </w:p>
          <w:p w14:paraId="3BE44338">
            <w:pPr>
              <w:topLinePunct/>
              <w:adjustRightInd w:val="0"/>
              <w:snapToGrid w:val="0"/>
              <w:spacing w:line="240" w:lineRule="auto"/>
              <w:rPr>
                <w:rFonts w:ascii="Times New Roman" w:hAnsi="Times New Roman"/>
                <w:color w:val="auto"/>
                <w:sz w:val="24"/>
                <w:szCs w:val="24"/>
                <w:highlight w:val="none"/>
                <w:lang w:val="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3</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val="en-US" w:eastAsia="zh-CN" w:bidi="ar"/>
              </w:rPr>
              <w:t>理解</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全面、要点</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突出、针对性</w:t>
            </w:r>
            <w:r>
              <w:rPr>
                <w:rFonts w:hint="eastAsia" w:ascii="Times New Roman" w:hAnsi="Times New Roman"/>
                <w:color w:val="auto"/>
                <w:sz w:val="24"/>
                <w:szCs w:val="24"/>
                <w:highlight w:val="none"/>
                <w:lang w:bidi="ar"/>
              </w:rPr>
              <w:t>不强</w:t>
            </w:r>
            <w:r>
              <w:rPr>
                <w:rFonts w:ascii="Times New Roman" w:hAnsi="Times New Roman"/>
                <w:color w:val="auto"/>
                <w:sz w:val="24"/>
                <w:szCs w:val="24"/>
                <w:highlight w:val="none"/>
                <w:lang w:val="zh-CN" w:bidi="ar"/>
              </w:rPr>
              <w:t>，内容</w:t>
            </w:r>
            <w:r>
              <w:rPr>
                <w:rFonts w:hint="eastAsia" w:ascii="Times New Roman" w:hAnsi="Times New Roman"/>
                <w:color w:val="auto"/>
                <w:sz w:val="24"/>
                <w:szCs w:val="24"/>
                <w:highlight w:val="none"/>
                <w:lang w:bidi="ar"/>
              </w:rPr>
              <w:t>不完整</w:t>
            </w:r>
            <w:r>
              <w:rPr>
                <w:rFonts w:ascii="Times New Roman" w:hAnsi="Times New Roman"/>
                <w:color w:val="auto"/>
                <w:sz w:val="24"/>
                <w:szCs w:val="24"/>
                <w:highlight w:val="none"/>
                <w:lang w:val="zh-CN" w:bidi="ar"/>
              </w:rPr>
              <w:t>，表述</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清晰，与本项目实际需求</w:t>
            </w:r>
            <w:r>
              <w:rPr>
                <w:rFonts w:hint="eastAsia" w:ascii="Times New Roman" w:hAnsi="Times New Roman"/>
                <w:color w:val="auto"/>
                <w:sz w:val="24"/>
                <w:szCs w:val="24"/>
                <w:highlight w:val="none"/>
                <w:lang w:bidi="ar"/>
              </w:rPr>
              <w:t>不适应</w:t>
            </w: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不</w:t>
            </w:r>
            <w:r>
              <w:rPr>
                <w:rFonts w:ascii="Times New Roman" w:hAnsi="Times New Roman"/>
                <w:color w:val="auto"/>
                <w:sz w:val="24"/>
                <w:szCs w:val="24"/>
                <w:highlight w:val="none"/>
                <w:lang w:val="zh-CN" w:bidi="ar"/>
              </w:rPr>
              <w:t>符合项目实施要求的得</w:t>
            </w:r>
            <w:r>
              <w:rPr>
                <w:rFonts w:hint="eastAsia" w:ascii="Times New Roman" w:hAnsi="Times New Roman"/>
                <w:color w:val="auto"/>
                <w:sz w:val="24"/>
                <w:szCs w:val="24"/>
                <w:highlight w:val="none"/>
                <w:lang w:val="en-US" w:eastAsia="zh-CN" w:bidi="ar"/>
              </w:rPr>
              <w:t>1</w:t>
            </w:r>
            <w:r>
              <w:rPr>
                <w:rFonts w:ascii="Times New Roman" w:hAnsi="Times New Roman"/>
                <w:color w:val="auto"/>
                <w:sz w:val="24"/>
                <w:szCs w:val="24"/>
                <w:highlight w:val="none"/>
                <w:lang w:val="zh-CN" w:bidi="ar"/>
              </w:rPr>
              <w:t>分；</w:t>
            </w:r>
          </w:p>
          <w:p w14:paraId="4288A595">
            <w:pPr>
              <w:topLinePunct/>
              <w:adjustRightInd w:val="0"/>
              <w:snapToGrid w:val="0"/>
              <w:spacing w:line="240" w:lineRule="auto"/>
              <w:rPr>
                <w:rFonts w:ascii="Times New Roman" w:hAnsi="Times New Roman" w:eastAsia="宋体" w:cstheme="minorBidi"/>
                <w:color w:val="auto"/>
                <w:sz w:val="24"/>
                <w:szCs w:val="24"/>
                <w:highlight w:val="none"/>
                <w:lang w:val="zh-CN" w:eastAsia="zh-CN" w:bidi="ar"/>
              </w:rPr>
            </w:pPr>
            <w:r>
              <w:rPr>
                <w:rFonts w:ascii="Times New Roman" w:hAnsi="Times New Roman"/>
                <w:color w:val="auto"/>
                <w:sz w:val="24"/>
                <w:szCs w:val="24"/>
                <w:highlight w:val="none"/>
                <w:lang w:val="zh-CN" w:bidi="ar"/>
              </w:rPr>
              <w:t>（</w:t>
            </w:r>
            <w:r>
              <w:rPr>
                <w:rFonts w:hint="eastAsia" w:ascii="Times New Roman" w:hAnsi="Times New Roman"/>
                <w:color w:val="auto"/>
                <w:sz w:val="24"/>
                <w:szCs w:val="24"/>
                <w:highlight w:val="none"/>
                <w:lang w:bidi="ar"/>
              </w:rPr>
              <w:t>4</w:t>
            </w:r>
            <w:r>
              <w:rPr>
                <w:rFonts w:ascii="Times New Roman" w:hAnsi="Times New Roman"/>
                <w:color w:val="auto"/>
                <w:sz w:val="24"/>
                <w:szCs w:val="24"/>
                <w:highlight w:val="none"/>
                <w:lang w:val="zh-CN" w:bidi="ar"/>
              </w:rPr>
              <w:t>）未提供的不得分。</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2814445E">
            <w:pPr>
              <w:spacing w:line="240" w:lineRule="auto"/>
              <w:jc w:val="center"/>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b w:val="0"/>
                <w:bCs/>
                <w:color w:val="auto"/>
                <w:sz w:val="24"/>
                <w:szCs w:val="24"/>
                <w:highlight w:val="none"/>
                <w:lang w:val="en-US" w:eastAsia="zh-CN"/>
              </w:rPr>
              <w:t>3分</w:t>
            </w:r>
          </w:p>
        </w:tc>
      </w:tr>
      <w:tr w14:paraId="1642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left w:val="single" w:color="auto" w:sz="4" w:space="0"/>
              <w:bottom w:val="single" w:color="auto" w:sz="4" w:space="0"/>
              <w:right w:val="single" w:color="auto" w:sz="4" w:space="0"/>
            </w:tcBorders>
            <w:vAlign w:val="center"/>
          </w:tcPr>
          <w:p w14:paraId="47B87B03">
            <w:pPr>
              <w:spacing w:line="240" w:lineRule="auto"/>
              <w:jc w:val="center"/>
              <w:rPr>
                <w:rStyle w:val="272"/>
                <w:rFonts w:hint="eastAsia" w:ascii="Times New Roman" w:hAnsi="Times New Roman" w:cs="Times New Roman"/>
                <w:b/>
                <w:bCs/>
                <w:color w:val="auto"/>
                <w:sz w:val="24"/>
                <w:szCs w:val="24"/>
                <w:highlight w:val="none"/>
                <w:lang w:val="en-US" w:eastAsia="zh-CN"/>
              </w:rPr>
            </w:pPr>
            <w:r>
              <w:rPr>
                <w:rStyle w:val="272"/>
                <w:rFonts w:hint="eastAsia" w:ascii="Times New Roman" w:hAnsi="Times New Roman" w:cs="Times New Roman"/>
                <w:b/>
                <w:bCs/>
                <w:color w:val="auto"/>
                <w:sz w:val="24"/>
                <w:szCs w:val="24"/>
                <w:highlight w:val="none"/>
                <w:lang w:val="en-US" w:eastAsia="zh-CN"/>
              </w:rPr>
              <w:t>设备质保</w:t>
            </w:r>
          </w:p>
        </w:tc>
        <w:tc>
          <w:tcPr>
            <w:tcW w:w="8019" w:type="dxa"/>
            <w:tcBorders>
              <w:top w:val="single" w:color="auto" w:sz="4" w:space="0"/>
              <w:left w:val="single" w:color="auto" w:sz="4" w:space="0"/>
              <w:bottom w:val="single" w:color="auto" w:sz="4" w:space="0"/>
              <w:right w:val="single" w:color="auto" w:sz="4" w:space="0"/>
            </w:tcBorders>
            <w:vAlign w:val="center"/>
          </w:tcPr>
          <w:p w14:paraId="7276F0E9">
            <w:pPr>
              <w:topLinePunct/>
              <w:adjustRightInd w:val="0"/>
              <w:snapToGrid w:val="0"/>
              <w:spacing w:line="240" w:lineRule="auto"/>
              <w:rPr>
                <w:rFonts w:hint="eastAsia" w:ascii="Times New Roman" w:hAnsi="Times New Roman"/>
                <w:color w:val="auto"/>
                <w:sz w:val="24"/>
                <w:szCs w:val="24"/>
                <w:highlight w:val="none"/>
                <w:lang w:val="en-US" w:eastAsia="zh-CN" w:bidi="ar"/>
              </w:rPr>
            </w:pPr>
            <w:r>
              <w:rPr>
                <w:rFonts w:hint="eastAsia" w:ascii="Times New Roman" w:hAnsi="Times New Roman"/>
                <w:color w:val="FF0000"/>
                <w:sz w:val="24"/>
                <w:szCs w:val="24"/>
                <w:highlight w:val="none"/>
                <w:lang w:val="en-US" w:eastAsia="zh-CN" w:bidi="ar"/>
              </w:rPr>
              <w:t>采购需求（技术参数）</w:t>
            </w:r>
            <w:r>
              <w:rPr>
                <w:rFonts w:hint="eastAsia" w:ascii="Times New Roman" w:hAnsi="Times New Roman"/>
                <w:color w:val="auto"/>
                <w:sz w:val="24"/>
                <w:szCs w:val="24"/>
                <w:highlight w:val="none"/>
                <w:lang w:val="en-US" w:eastAsia="zh-CN" w:bidi="ar"/>
              </w:rPr>
              <w:t>中要求提供质保的设备，在满足采购人质保一年的基础上，每多增加一年质保得1分，最多得2分。</w:t>
            </w:r>
          </w:p>
          <w:p w14:paraId="2BCC6F03">
            <w:pPr>
              <w:topLinePunct/>
              <w:adjustRightInd w:val="0"/>
              <w:snapToGrid w:val="0"/>
              <w:spacing w:line="240" w:lineRule="auto"/>
              <w:rPr>
                <w:rFonts w:hint="default"/>
                <w:color w:val="auto"/>
                <w:sz w:val="24"/>
                <w:szCs w:val="24"/>
                <w:highlight w:val="none"/>
                <w:lang w:val="en-US" w:eastAsia="zh-CN"/>
              </w:rPr>
            </w:pPr>
            <w:r>
              <w:rPr>
                <w:rFonts w:hint="eastAsia" w:ascii="Times New Roman" w:hAnsi="Times New Roman"/>
                <w:b/>
                <w:bCs/>
                <w:color w:val="FF0000"/>
                <w:sz w:val="24"/>
                <w:szCs w:val="24"/>
                <w:highlight w:val="none"/>
                <w:lang w:val="en-US" w:eastAsia="zh-CN" w:bidi="ar"/>
              </w:rPr>
              <w:t>注：供应商须在第六章磋商响应函中提供质保年限及相关承诺。评审小组根据供应商磋商响应函中承诺的质保年限进行打分。</w:t>
            </w:r>
          </w:p>
        </w:tc>
        <w:tc>
          <w:tcPr>
            <w:tcW w:w="968" w:type="dxa"/>
            <w:tcBorders>
              <w:top w:val="single" w:color="auto" w:sz="4" w:space="0"/>
              <w:left w:val="single" w:color="auto" w:sz="4" w:space="0"/>
              <w:bottom w:val="single" w:color="auto" w:sz="4" w:space="0"/>
              <w:right w:val="single" w:color="auto" w:sz="4" w:space="0"/>
            </w:tcBorders>
            <w:vAlign w:val="center"/>
          </w:tcPr>
          <w:p w14:paraId="1E809193">
            <w:pPr>
              <w:spacing w:line="240" w:lineRule="auto"/>
              <w:jc w:val="center"/>
              <w:rPr>
                <w:rFonts w:hint="eastAsia" w:asciiTheme="minorEastAsia" w:hAnsiTheme="minorEastAsia" w:eastAsiaTheme="minorEastAsia"/>
                <w:b w:val="0"/>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2分</w:t>
            </w:r>
          </w:p>
        </w:tc>
      </w:tr>
      <w:tr w14:paraId="746A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op w:val="single" w:color="auto" w:sz="4" w:space="0"/>
              <w:left w:val="single" w:color="auto" w:sz="4" w:space="0"/>
              <w:bottom w:val="single" w:color="auto" w:sz="4" w:space="0"/>
              <w:right w:val="single" w:color="auto" w:sz="4" w:space="0"/>
            </w:tcBorders>
            <w:vAlign w:val="center"/>
          </w:tcPr>
          <w:p w14:paraId="688BCAD1">
            <w:pPr>
              <w:spacing w:line="240" w:lineRule="auto"/>
              <w:jc w:val="both"/>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价格分（</w:t>
            </w:r>
            <w:r>
              <w:rPr>
                <w:rFonts w:hint="eastAsia" w:asciiTheme="minorEastAsia" w:hAnsiTheme="minorEastAsia" w:eastAsiaTheme="minorEastAsia"/>
                <w:b/>
                <w:bCs/>
                <w:color w:val="auto"/>
                <w:sz w:val="24"/>
                <w:szCs w:val="24"/>
                <w:highlight w:val="none"/>
                <w:u w:val="single"/>
                <w:lang w:val="en-US" w:eastAsia="zh-CN"/>
              </w:rPr>
              <w:t>20</w:t>
            </w:r>
            <w:r>
              <w:rPr>
                <w:rFonts w:hint="eastAsia" w:asciiTheme="minorEastAsia" w:hAnsiTheme="minorEastAsia" w:eastAsiaTheme="minorEastAsia"/>
                <w:b/>
                <w:bCs/>
                <w:color w:val="auto"/>
                <w:sz w:val="24"/>
                <w:szCs w:val="24"/>
                <w:highlight w:val="none"/>
              </w:rPr>
              <w:t>分）</w:t>
            </w:r>
          </w:p>
        </w:tc>
        <w:tc>
          <w:tcPr>
            <w:tcW w:w="8987" w:type="dxa"/>
            <w:gridSpan w:val="2"/>
            <w:tcBorders>
              <w:top w:val="single" w:color="auto" w:sz="4" w:space="0"/>
              <w:left w:val="single" w:color="auto" w:sz="4" w:space="0"/>
              <w:bottom w:val="single" w:color="auto" w:sz="4" w:space="0"/>
              <w:right w:val="single" w:color="auto" w:sz="4" w:space="0"/>
            </w:tcBorders>
            <w:vAlign w:val="center"/>
          </w:tcPr>
          <w:p w14:paraId="76647B30">
            <w:pPr>
              <w:spacing w:line="240" w:lineRule="auto"/>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b/>
                <w:bCs/>
                <w:color w:val="auto"/>
                <w:sz w:val="24"/>
                <w:szCs w:val="24"/>
                <w:highlight w:val="none"/>
                <w:u w:val="single"/>
                <w:lang w:val="en-US" w:eastAsia="zh-CN"/>
              </w:rPr>
              <w:t>20</w:t>
            </w:r>
            <w:r>
              <w:rPr>
                <w:rFonts w:hint="eastAsia" w:asciiTheme="minorEastAsia" w:hAnsiTheme="minorEastAsia" w:eastAsiaTheme="minorEastAsia"/>
                <w:b/>
                <w:bCs/>
                <w:color w:val="auto"/>
                <w:sz w:val="24"/>
                <w:szCs w:val="24"/>
                <w:highlight w:val="none"/>
              </w:rPr>
              <w:t>分。其他供应商的价格分统一按照下列公式计算：</w:t>
            </w:r>
          </w:p>
          <w:p w14:paraId="20E8BCA2">
            <w:pPr>
              <w:spacing w:line="240" w:lineRule="auto"/>
              <w:rPr>
                <w:rFonts w:hint="eastAsia" w:asciiTheme="minorEastAsia" w:hAnsiTheme="minorEastAsia" w:eastAsiaTheme="minorEastAsia"/>
                <w:b/>
                <w:bCs/>
                <w:color w:val="auto"/>
                <w:sz w:val="24"/>
                <w:szCs w:val="24"/>
                <w:highlight w:val="none"/>
                <w:lang w:eastAsia="zh-CN"/>
              </w:rPr>
            </w:pPr>
            <w:r>
              <w:rPr>
                <w:rFonts w:hint="eastAsia" w:asciiTheme="minorEastAsia" w:hAnsiTheme="minorEastAsia" w:eastAsiaTheme="minorEastAsia"/>
                <w:b/>
                <w:bCs/>
                <w:color w:val="auto"/>
                <w:sz w:val="24"/>
                <w:szCs w:val="24"/>
                <w:highlight w:val="none"/>
              </w:rPr>
              <w:t>磋商报价得分＝（磋商基准价/</w:t>
            </w:r>
            <w:r>
              <w:rPr>
                <w:rFonts w:hint="eastAsia"/>
                <w:b/>
                <w:bCs/>
                <w:color w:val="auto"/>
                <w:sz w:val="24"/>
                <w:szCs w:val="24"/>
                <w:highlight w:val="none"/>
              </w:rPr>
              <w:t>最后磋商</w:t>
            </w:r>
            <w:r>
              <w:rPr>
                <w:rFonts w:hint="eastAsia" w:asciiTheme="minorEastAsia" w:hAnsiTheme="minorEastAsia" w:eastAsiaTheme="minorEastAsia"/>
                <w:b/>
                <w:bCs/>
                <w:color w:val="auto"/>
                <w:sz w:val="24"/>
                <w:szCs w:val="24"/>
                <w:highlight w:val="none"/>
              </w:rPr>
              <w:t>报价）×</w:t>
            </w:r>
            <w:r>
              <w:rPr>
                <w:rFonts w:hint="eastAsia" w:asciiTheme="minorEastAsia" w:hAnsiTheme="minorEastAsia" w:eastAsiaTheme="minorEastAsia"/>
                <w:b/>
                <w:bCs/>
                <w:color w:val="auto"/>
                <w:sz w:val="24"/>
                <w:szCs w:val="24"/>
                <w:highlight w:val="none"/>
                <w:u w:val="single"/>
                <w:lang w:val="en-US" w:eastAsia="zh-CN"/>
              </w:rPr>
              <w:t>20</w:t>
            </w:r>
            <w:r>
              <w:rPr>
                <w:rFonts w:hint="eastAsia" w:asciiTheme="minorEastAsia" w:hAnsiTheme="minorEastAsia" w:eastAsiaTheme="minorEastAsia"/>
                <w:b/>
                <w:bCs/>
                <w:color w:val="auto"/>
                <w:sz w:val="24"/>
                <w:szCs w:val="24"/>
                <w:highlight w:val="none"/>
              </w:rPr>
              <w:t>％×100</w:t>
            </w:r>
            <w:r>
              <w:rPr>
                <w:rFonts w:hint="eastAsia" w:asciiTheme="minorEastAsia" w:hAnsiTheme="minorEastAsia" w:eastAsiaTheme="minorEastAsia"/>
                <w:b/>
                <w:bCs/>
                <w:color w:val="auto"/>
                <w:sz w:val="24"/>
                <w:szCs w:val="24"/>
                <w:highlight w:val="none"/>
              </w:rPr>
              <w:br w:type="textWrapping"/>
            </w:r>
            <w:r>
              <w:rPr>
                <w:rFonts w:hint="eastAsia" w:cs="宋体" w:asciiTheme="minorEastAsia" w:hAnsiTheme="minorEastAsia" w:eastAsiaTheme="minorEastAsia"/>
                <w:i/>
                <w:iCs/>
                <w:color w:val="auto"/>
                <w:sz w:val="24"/>
                <w:szCs w:val="24"/>
                <w:highlight w:val="none"/>
                <w:lang w:val="en-US" w:eastAsia="zh-CN"/>
              </w:rPr>
              <w:t>注：</w:t>
            </w:r>
            <w:r>
              <w:rPr>
                <w:rFonts w:hint="eastAsia" w:cs="宋体" w:asciiTheme="minorEastAsia" w:hAnsiTheme="minorEastAsia" w:eastAsiaTheme="minorEastAsia"/>
                <w:i/>
                <w:iCs/>
                <w:color w:val="auto"/>
                <w:sz w:val="24"/>
                <w:szCs w:val="24"/>
                <w:highlight w:val="none"/>
              </w:rPr>
              <w:t>计算结果保留至小数点后两位数，第三位四舍五入</w:t>
            </w:r>
            <w:r>
              <w:rPr>
                <w:rFonts w:hint="eastAsia" w:cs="宋体" w:asciiTheme="minorEastAsia" w:hAnsiTheme="minorEastAsia" w:eastAsiaTheme="minorEastAsia"/>
                <w:i/>
                <w:iCs/>
                <w:color w:val="auto"/>
                <w:sz w:val="24"/>
                <w:szCs w:val="24"/>
                <w:highlight w:val="none"/>
                <w:lang w:eastAsia="zh-CN"/>
              </w:rPr>
              <w:t>。</w:t>
            </w:r>
          </w:p>
        </w:tc>
      </w:tr>
    </w:tbl>
    <w:p w14:paraId="5F0492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040BBA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3BA7C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40D2C3A5">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4F35E41">
      <w:pPr>
        <w:spacing w:line="360" w:lineRule="auto"/>
        <w:jc w:val="center"/>
        <w:outlineLvl w:val="0"/>
        <w:rPr>
          <w:rFonts w:asciiTheme="minorEastAsia" w:hAnsiTheme="minorEastAsia" w:eastAsiaTheme="minorEastAsia"/>
          <w:b/>
          <w:color w:val="auto"/>
          <w:sz w:val="28"/>
          <w:highlight w:val="none"/>
        </w:rPr>
      </w:pPr>
      <w:bookmarkStart w:id="48"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8"/>
    </w:p>
    <w:p w14:paraId="3EED6520">
      <w:pPr>
        <w:keepNext/>
        <w:keepLines/>
        <w:snapToGrid w:val="0"/>
        <w:spacing w:before="312" w:beforeLines="100" w:after="312" w:afterLines="100" w:line="360" w:lineRule="auto"/>
        <w:jc w:val="center"/>
        <w:outlineLvl w:val="1"/>
        <w:rPr>
          <w:rFonts w:cs="宋体"/>
          <w:b/>
          <w:bCs/>
          <w:color w:val="auto"/>
          <w:sz w:val="24"/>
          <w:szCs w:val="24"/>
          <w:highlight w:val="none"/>
        </w:rPr>
      </w:pPr>
      <w:bookmarkStart w:id="49" w:name="_Toc130919120"/>
      <w:bookmarkStart w:id="50" w:name="_Toc28799376"/>
      <w:bookmarkStart w:id="51" w:name="_Toc9907"/>
      <w:r>
        <w:rPr>
          <w:rFonts w:hint="eastAsia" w:cs="宋体"/>
          <w:b/>
          <w:bCs/>
          <w:color w:val="auto"/>
          <w:sz w:val="24"/>
          <w:szCs w:val="24"/>
          <w:highlight w:val="none"/>
        </w:rPr>
        <w:t>第一节  合同协议书</w:t>
      </w:r>
      <w:bookmarkEnd w:id="49"/>
      <w:bookmarkEnd w:id="50"/>
      <w:bookmarkEnd w:id="51"/>
    </w:p>
    <w:p w14:paraId="5339FBD5">
      <w:pPr>
        <w:spacing w:line="360" w:lineRule="auto"/>
        <w:rPr>
          <w:rFonts w:cs="宋体"/>
          <w:b/>
          <w:bCs/>
          <w:color w:val="auto"/>
          <w:sz w:val="24"/>
          <w:szCs w:val="24"/>
          <w:highlight w:val="none"/>
          <w:u w:val="single"/>
        </w:rPr>
      </w:pPr>
      <w:r>
        <w:rPr>
          <w:rFonts w:hint="eastAsia" w:cs="宋体"/>
          <w:b/>
          <w:color w:val="auto"/>
          <w:sz w:val="24"/>
          <w:szCs w:val="24"/>
          <w:highlight w:val="none"/>
        </w:rPr>
        <w:t>发包人（全称）：</w:t>
      </w:r>
      <w:r>
        <w:rPr>
          <w:rFonts w:hint="eastAsia" w:ascii="宋体" w:hAnsi="宋体"/>
          <w:b/>
          <w:bCs/>
          <w:color w:val="auto"/>
          <w:sz w:val="24"/>
          <w:szCs w:val="24"/>
          <w:highlight w:val="none"/>
          <w:u w:val="single"/>
          <w:lang w:eastAsia="zh-CN"/>
        </w:rPr>
        <w:t>安徽省淮河河道管理局</w:t>
      </w:r>
      <w:r>
        <w:rPr>
          <w:rFonts w:hint="eastAsia" w:ascii="宋体" w:hAnsi="宋体"/>
          <w:b/>
          <w:bCs/>
          <w:color w:val="auto"/>
          <w:sz w:val="24"/>
          <w:szCs w:val="24"/>
          <w:highlight w:val="none"/>
          <w:u w:val="single"/>
        </w:rPr>
        <w:t xml:space="preserve"> </w:t>
      </w:r>
    </w:p>
    <w:p w14:paraId="4D7A4A5A">
      <w:pPr>
        <w:spacing w:line="360" w:lineRule="auto"/>
        <w:rPr>
          <w:rFonts w:hint="default" w:ascii="Times New Roman" w:hAnsi="Times New Roman" w:eastAsia="宋体" w:cs="Times New Roman"/>
          <w:b/>
          <w:color w:val="auto"/>
          <w:kern w:val="2"/>
          <w:sz w:val="24"/>
          <w:szCs w:val="24"/>
          <w:highlight w:val="none"/>
          <w:u w:val="single"/>
          <w:lang w:val="en-US" w:eastAsia="zh-CN"/>
        </w:rPr>
      </w:pPr>
      <w:r>
        <w:rPr>
          <w:rFonts w:hint="eastAsia" w:cs="宋体"/>
          <w:b/>
          <w:color w:val="auto"/>
          <w:sz w:val="24"/>
          <w:szCs w:val="24"/>
          <w:highlight w:val="none"/>
        </w:rPr>
        <w:t>承包人（全称）：</w:t>
      </w:r>
      <w:r>
        <w:rPr>
          <w:rFonts w:hint="eastAsia" w:cs="宋体"/>
          <w:b/>
          <w:color w:val="auto"/>
          <w:sz w:val="24"/>
          <w:szCs w:val="24"/>
          <w:highlight w:val="none"/>
          <w:u w:val="single"/>
        </w:rPr>
        <w:t></w:t>
      </w:r>
      <w:r>
        <w:rPr>
          <w:rFonts w:hint="eastAsia" w:cs="宋体"/>
          <w:b/>
          <w:color w:val="auto"/>
          <w:sz w:val="24"/>
          <w:szCs w:val="24"/>
          <w:highlight w:val="none"/>
          <w:u w:val="single"/>
          <w:lang w:val="en-US" w:eastAsia="zh-CN"/>
        </w:rPr>
        <w:t xml:space="preserve">           </w:t>
      </w:r>
    </w:p>
    <w:p w14:paraId="33010119">
      <w:pPr>
        <w:spacing w:line="360" w:lineRule="auto"/>
        <w:rPr>
          <w:rFonts w:cs="宋体"/>
          <w:color w:val="auto"/>
          <w:sz w:val="24"/>
          <w:szCs w:val="24"/>
          <w:highlight w:val="none"/>
        </w:rPr>
      </w:pPr>
      <w:r>
        <w:rPr>
          <w:rFonts w:hint="eastAsia" w:cs="宋体"/>
          <w:color w:val="auto"/>
          <w:sz w:val="24"/>
          <w:szCs w:val="24"/>
          <w:highlight w:val="none"/>
        </w:rPr>
        <w:t>根据《中华人民共和国民法典》《中华人民共和国建筑法》及有关法律规定，遵循平等、自愿、公平和诚实信用的原则，双方就</w:t>
      </w:r>
      <w:r>
        <w:rPr>
          <w:rFonts w:hint="eastAsia" w:cs="宋体"/>
          <w:b/>
          <w:color w:val="auto"/>
          <w:sz w:val="24"/>
          <w:szCs w:val="24"/>
          <w:highlight w:val="none"/>
          <w:u w:val="single"/>
        </w:rPr>
        <w:t></w:t>
      </w:r>
      <w:r>
        <w:rPr>
          <w:rFonts w:hint="eastAsia" w:cs="宋体"/>
          <w:b/>
          <w:color w:val="auto"/>
          <w:sz w:val="24"/>
          <w:szCs w:val="24"/>
          <w:highlight w:val="none"/>
          <w:u w:val="single"/>
          <w:lang w:val="en-US" w:eastAsia="zh-CN"/>
        </w:rPr>
        <w:t xml:space="preserve">           </w:t>
      </w:r>
      <w:r>
        <w:rPr>
          <w:rFonts w:hint="eastAsia" w:cs="宋体"/>
          <w:color w:val="auto"/>
          <w:sz w:val="24"/>
          <w:szCs w:val="24"/>
          <w:highlight w:val="none"/>
        </w:rPr>
        <w:t>工程施工及有关事项协商一致，共同达成如下协议：</w:t>
      </w:r>
    </w:p>
    <w:p w14:paraId="1050D33B">
      <w:pPr>
        <w:snapToGrid w:val="0"/>
        <w:spacing w:line="360" w:lineRule="auto"/>
        <w:ind w:firstLine="482" w:firstLineChars="200"/>
        <w:rPr>
          <w:rFonts w:cs="宋体"/>
          <w:color w:val="auto"/>
          <w:sz w:val="24"/>
          <w:szCs w:val="24"/>
          <w:highlight w:val="none"/>
        </w:rPr>
      </w:pPr>
      <w:r>
        <w:rPr>
          <w:rFonts w:hint="eastAsia" w:cs="宋体"/>
          <w:b/>
          <w:color w:val="auto"/>
          <w:sz w:val="24"/>
          <w:szCs w:val="24"/>
          <w:highlight w:val="none"/>
        </w:rPr>
        <w:t>一、工程概况</w:t>
      </w:r>
    </w:p>
    <w:p w14:paraId="7875F020">
      <w:pPr>
        <w:snapToGrid w:val="0"/>
        <w:spacing w:line="360" w:lineRule="auto"/>
        <w:ind w:firstLine="470" w:firstLineChars="196"/>
        <w:rPr>
          <w:rFonts w:hint="eastAsia" w:cs="宋体"/>
          <w:bCs/>
          <w:color w:val="auto"/>
          <w:sz w:val="24"/>
          <w:szCs w:val="24"/>
          <w:highlight w:val="none"/>
          <w:u w:val="none"/>
          <w:lang w:val="en-US" w:eastAsia="zh-CN"/>
        </w:rPr>
      </w:pPr>
      <w:r>
        <w:rPr>
          <w:rFonts w:hint="eastAsia" w:cs="宋体"/>
          <w:bCs/>
          <w:color w:val="auto"/>
          <w:sz w:val="24"/>
          <w:szCs w:val="24"/>
          <w:highlight w:val="none"/>
        </w:rPr>
        <w:t>1. 工程名称</w:t>
      </w:r>
      <w:r>
        <w:rPr>
          <w:rFonts w:hint="eastAsia" w:cs="宋体"/>
          <w:color w:val="auto"/>
          <w:sz w:val="24"/>
          <w:szCs w:val="24"/>
          <w:highlight w:val="none"/>
        </w:rPr>
        <w:t>：</w:t>
      </w:r>
      <w:r>
        <w:rPr>
          <w:rFonts w:hint="eastAsia" w:cs="宋体"/>
          <w:bCs/>
          <w:color w:val="auto"/>
          <w:sz w:val="24"/>
          <w:szCs w:val="24"/>
          <w:highlight w:val="none"/>
          <w:u w:val="single"/>
          <w:lang w:val="en-US" w:eastAsia="zh-CN"/>
        </w:rPr>
        <w:t>省淮河局、省临淮岗局水闸自动化运行维护等第1包</w:t>
      </w:r>
      <w:r>
        <w:rPr>
          <w:rFonts w:hint="eastAsia" w:cs="宋体"/>
          <w:bCs/>
          <w:color w:val="auto"/>
          <w:sz w:val="24"/>
          <w:szCs w:val="24"/>
          <w:highlight w:val="none"/>
          <w:u w:val="none"/>
          <w:lang w:val="en-US" w:eastAsia="zh-CN"/>
        </w:rPr>
        <w:t>。</w:t>
      </w:r>
    </w:p>
    <w:p w14:paraId="2D75F6DF">
      <w:pPr>
        <w:snapToGrid w:val="0"/>
        <w:spacing w:line="360" w:lineRule="auto"/>
        <w:ind w:firstLine="470" w:firstLineChars="196"/>
        <w:rPr>
          <w:rFonts w:cs="宋体"/>
          <w:bCs/>
          <w:color w:val="auto"/>
          <w:sz w:val="24"/>
          <w:szCs w:val="24"/>
          <w:highlight w:val="none"/>
        </w:rPr>
      </w:pPr>
      <w:r>
        <w:rPr>
          <w:rFonts w:hint="eastAsia" w:cs="宋体"/>
          <w:bCs/>
          <w:color w:val="auto"/>
          <w:sz w:val="24"/>
          <w:szCs w:val="24"/>
          <w:highlight w:val="none"/>
        </w:rPr>
        <w:t>2. 工程地点：</w:t>
      </w:r>
      <w:r>
        <w:rPr>
          <w:rFonts w:hint="eastAsia" w:cs="宋体"/>
          <w:bCs/>
          <w:color w:val="auto"/>
          <w:sz w:val="24"/>
          <w:szCs w:val="24"/>
          <w:highlight w:val="none"/>
          <w:u w:val="single"/>
          <w:lang w:val="en-US" w:eastAsia="zh-CN"/>
        </w:rPr>
        <w:t>采购人指定地点</w:t>
      </w:r>
      <w:r>
        <w:rPr>
          <w:rFonts w:hint="eastAsia" w:cs="宋体"/>
          <w:bCs/>
          <w:color w:val="auto"/>
          <w:sz w:val="24"/>
          <w:szCs w:val="24"/>
          <w:highlight w:val="none"/>
          <w:u w:val="single"/>
        </w:rPr>
        <w:t>。</w:t>
      </w:r>
    </w:p>
    <w:p w14:paraId="0EB779CF">
      <w:pPr>
        <w:snapToGrid w:val="0"/>
        <w:spacing w:line="360" w:lineRule="auto"/>
        <w:ind w:firstLine="470" w:firstLineChars="196"/>
        <w:rPr>
          <w:rFonts w:cs="宋体"/>
          <w:bCs/>
          <w:color w:val="auto"/>
          <w:sz w:val="24"/>
          <w:szCs w:val="24"/>
          <w:highlight w:val="none"/>
        </w:rPr>
      </w:pPr>
      <w:r>
        <w:rPr>
          <w:rFonts w:hint="eastAsia" w:cs="宋体"/>
          <w:bCs/>
          <w:color w:val="auto"/>
          <w:sz w:val="24"/>
          <w:szCs w:val="24"/>
          <w:highlight w:val="none"/>
        </w:rPr>
        <w:t>3. 工程立项批准文号：</w:t>
      </w:r>
      <w:r>
        <w:rPr>
          <w:rFonts w:hint="eastAsia" w:cs="宋体"/>
          <w:color w:val="auto"/>
          <w:sz w:val="24"/>
          <w:szCs w:val="24"/>
          <w:highlight w:val="none"/>
          <w:u w:val="single"/>
          <w:lang w:val="en-US" w:eastAsia="zh-CN"/>
        </w:rPr>
        <w:t>/</w:t>
      </w:r>
      <w:r>
        <w:rPr>
          <w:rFonts w:hint="eastAsia" w:cs="宋体"/>
          <w:bCs/>
          <w:color w:val="auto"/>
          <w:sz w:val="24"/>
          <w:szCs w:val="24"/>
          <w:highlight w:val="none"/>
        </w:rPr>
        <w:t>。</w:t>
      </w:r>
    </w:p>
    <w:p w14:paraId="0CC3F549">
      <w:pPr>
        <w:snapToGrid w:val="0"/>
        <w:spacing w:line="360" w:lineRule="auto"/>
        <w:ind w:firstLine="470" w:firstLineChars="196"/>
        <w:rPr>
          <w:rFonts w:cs="宋体"/>
          <w:bCs/>
          <w:color w:val="auto"/>
          <w:sz w:val="24"/>
          <w:szCs w:val="24"/>
          <w:highlight w:val="none"/>
        </w:rPr>
      </w:pPr>
      <w:r>
        <w:rPr>
          <w:rFonts w:hint="eastAsia" w:cs="宋体"/>
          <w:bCs/>
          <w:color w:val="auto"/>
          <w:sz w:val="24"/>
          <w:szCs w:val="24"/>
          <w:highlight w:val="none"/>
        </w:rPr>
        <w:t>4. 资金来源：</w:t>
      </w:r>
      <w:r>
        <w:rPr>
          <w:rFonts w:hint="eastAsia" w:cs="宋体"/>
          <w:bCs/>
          <w:color w:val="auto"/>
          <w:sz w:val="24"/>
          <w:szCs w:val="24"/>
          <w:highlight w:val="none"/>
          <w:u w:val="single"/>
          <w:lang w:val="en-US" w:eastAsia="zh-CN"/>
        </w:rPr>
        <w:t>财政资金</w:t>
      </w:r>
      <w:r>
        <w:rPr>
          <w:rFonts w:hint="eastAsia" w:cs="宋体"/>
          <w:bCs/>
          <w:color w:val="auto"/>
          <w:sz w:val="24"/>
          <w:szCs w:val="24"/>
          <w:highlight w:val="none"/>
        </w:rPr>
        <w:t>。</w:t>
      </w:r>
    </w:p>
    <w:p w14:paraId="40AC4BBB">
      <w:pPr>
        <w:snapToGrid w:val="0"/>
        <w:spacing w:line="360" w:lineRule="auto"/>
        <w:ind w:firstLine="470" w:firstLineChars="196"/>
        <w:rPr>
          <w:rFonts w:hint="eastAsia" w:cs="宋体"/>
          <w:bCs/>
          <w:color w:val="auto"/>
          <w:sz w:val="24"/>
          <w:szCs w:val="24"/>
          <w:highlight w:val="none"/>
          <w:u w:val="single"/>
          <w:lang w:eastAsia="zh-CN"/>
        </w:rPr>
      </w:pPr>
      <w:r>
        <w:rPr>
          <w:rFonts w:hint="eastAsia" w:cs="宋体"/>
          <w:bCs/>
          <w:color w:val="auto"/>
          <w:sz w:val="24"/>
          <w:szCs w:val="24"/>
          <w:highlight w:val="none"/>
        </w:rPr>
        <w:t>5. 工程内容：</w:t>
      </w:r>
      <w:r>
        <w:rPr>
          <w:rFonts w:hint="eastAsia" w:cs="宋体"/>
          <w:bCs/>
          <w:color w:val="auto"/>
          <w:sz w:val="24"/>
          <w:szCs w:val="24"/>
          <w:highlight w:val="none"/>
          <w:u w:val="single"/>
          <w:lang w:eastAsia="zh-CN"/>
        </w:rPr>
        <w:t>安徽省淮河河道管理局水闸自动化控制、视频监视、网络通讯等设施维修改造等内容。</w:t>
      </w:r>
    </w:p>
    <w:p w14:paraId="00B3E613">
      <w:pPr>
        <w:snapToGrid w:val="0"/>
        <w:spacing w:line="360" w:lineRule="auto"/>
        <w:ind w:firstLine="470" w:firstLineChars="196"/>
        <w:rPr>
          <w:rFonts w:cs="宋体"/>
          <w:bCs/>
          <w:color w:val="auto"/>
          <w:sz w:val="24"/>
          <w:szCs w:val="24"/>
          <w:highlight w:val="none"/>
        </w:rPr>
      </w:pPr>
      <w:r>
        <w:rPr>
          <w:rFonts w:hint="eastAsia" w:cs="宋体"/>
          <w:bCs/>
          <w:color w:val="auto"/>
          <w:sz w:val="24"/>
          <w:szCs w:val="24"/>
          <w:highlight w:val="none"/>
        </w:rPr>
        <w:t>6. 工程承包范围：</w:t>
      </w:r>
    </w:p>
    <w:p w14:paraId="4A836F1F">
      <w:pPr>
        <w:snapToGrid w:val="0"/>
        <w:spacing w:line="360" w:lineRule="auto"/>
        <w:ind w:firstLine="470" w:firstLineChars="196"/>
        <w:rPr>
          <w:rFonts w:hint="eastAsia" w:cs="宋体"/>
          <w:bCs/>
          <w:color w:val="auto"/>
          <w:sz w:val="24"/>
          <w:szCs w:val="24"/>
          <w:highlight w:val="none"/>
          <w:u w:val="single"/>
          <w:lang w:val="en-US" w:eastAsia="zh-CN"/>
        </w:rPr>
      </w:pPr>
      <w:r>
        <w:rPr>
          <w:rFonts w:hint="eastAsia" w:cs="宋体"/>
          <w:bCs/>
          <w:color w:val="auto"/>
          <w:sz w:val="24"/>
          <w:szCs w:val="24"/>
          <w:highlight w:val="none"/>
          <w:u w:val="single"/>
          <w:lang w:val="en-US" w:eastAsia="zh-CN"/>
        </w:rPr>
        <w:t>工程量清单范围内所有内容 。</w:t>
      </w:r>
    </w:p>
    <w:p w14:paraId="6A0E58B5">
      <w:pPr>
        <w:snapToGrid w:val="0"/>
        <w:spacing w:line="360" w:lineRule="auto"/>
        <w:ind w:firstLine="482" w:firstLineChars="200"/>
        <w:rPr>
          <w:rFonts w:cs="宋体"/>
          <w:b/>
          <w:color w:val="auto"/>
          <w:sz w:val="24"/>
          <w:szCs w:val="24"/>
          <w:highlight w:val="none"/>
        </w:rPr>
      </w:pPr>
      <w:bookmarkStart w:id="52" w:name="_Toc351203482"/>
      <w:r>
        <w:rPr>
          <w:rFonts w:hint="eastAsia" w:cs="宋体"/>
          <w:b/>
          <w:color w:val="auto"/>
          <w:sz w:val="24"/>
          <w:szCs w:val="24"/>
          <w:highlight w:val="none"/>
        </w:rPr>
        <w:t>二、合同工期</w:t>
      </w:r>
      <w:bookmarkEnd w:id="52"/>
    </w:p>
    <w:p w14:paraId="592D4172">
      <w:pPr>
        <w:snapToGrid w:val="0"/>
        <w:spacing w:line="360" w:lineRule="auto"/>
        <w:ind w:firstLine="470" w:firstLineChars="196"/>
        <w:rPr>
          <w:rFonts w:hint="eastAsia" w:ascii="宋体" w:hAnsi="宋体" w:eastAsia="宋体" w:cs="宋体"/>
          <w:bCs/>
          <w:color w:val="auto"/>
          <w:sz w:val="24"/>
          <w:szCs w:val="24"/>
          <w:highlight w:val="none"/>
          <w:u w:val="single"/>
          <w:lang w:val="en-US" w:eastAsia="zh-CN"/>
        </w:rPr>
      </w:pPr>
      <w:r>
        <w:rPr>
          <w:rFonts w:hint="eastAsia"/>
          <w:b w:val="0"/>
          <w:color w:val="auto"/>
          <w:sz w:val="24"/>
          <w:szCs w:val="24"/>
          <w:highlight w:val="none"/>
        </w:rPr>
        <w:t>工期：</w:t>
      </w:r>
      <w:r>
        <w:rPr>
          <w:rFonts w:hint="eastAsia" w:ascii="宋体" w:hAnsi="宋体" w:eastAsia="宋体" w:cs="宋体"/>
          <w:bCs/>
          <w:color w:val="auto"/>
          <w:sz w:val="24"/>
          <w:szCs w:val="24"/>
          <w:highlight w:val="none"/>
          <w:u w:val="single"/>
          <w:lang w:val="en-US" w:eastAsia="zh-CN"/>
        </w:rPr>
        <w:t>合同签订后</w:t>
      </w:r>
      <w:r>
        <w:rPr>
          <w:rFonts w:hint="eastAsia" w:cs="宋体"/>
          <w:bCs/>
          <w:color w:val="auto"/>
          <w:sz w:val="24"/>
          <w:szCs w:val="24"/>
          <w:highlight w:val="none"/>
          <w:u w:val="single"/>
          <w:lang w:val="en-US" w:eastAsia="zh-CN"/>
        </w:rPr>
        <w:t>合同签订之日起至2026年9月底</w:t>
      </w:r>
      <w:r>
        <w:rPr>
          <w:rFonts w:hint="eastAsia" w:ascii="宋体" w:hAnsi="宋体" w:eastAsia="宋体" w:cs="宋体"/>
          <w:bCs/>
          <w:color w:val="auto"/>
          <w:sz w:val="24"/>
          <w:szCs w:val="24"/>
          <w:highlight w:val="none"/>
          <w:u w:val="single"/>
          <w:lang w:val="en-US" w:eastAsia="zh-CN"/>
        </w:rPr>
        <w:t>内完成所有工作内容。</w:t>
      </w:r>
    </w:p>
    <w:p w14:paraId="48C862FA">
      <w:pPr>
        <w:snapToGrid w:val="0"/>
        <w:spacing w:line="360" w:lineRule="auto"/>
        <w:ind w:firstLine="459"/>
        <w:rPr>
          <w:rFonts w:hint="eastAsia" w:eastAsia="宋体" w:cs="宋体"/>
          <w:color w:val="auto"/>
          <w:sz w:val="24"/>
          <w:szCs w:val="24"/>
          <w:highlight w:val="none"/>
          <w:u w:val="single"/>
          <w:lang w:val="en-US" w:eastAsia="zh-CN"/>
        </w:rPr>
      </w:pPr>
      <w:r>
        <w:rPr>
          <w:b w:val="0"/>
          <w:color w:val="auto"/>
          <w:sz w:val="24"/>
          <w:szCs w:val="24"/>
          <w:highlight w:val="none"/>
        </w:rPr>
        <w:t>开工日期：</w:t>
      </w:r>
      <w:r>
        <w:rPr>
          <w:rFonts w:hint="eastAsia"/>
          <w:b w:val="0"/>
          <w:color w:val="auto"/>
          <w:sz w:val="24"/>
          <w:szCs w:val="24"/>
          <w:highlight w:val="none"/>
          <w:u w:val="single"/>
          <w:lang w:val="en-US" w:eastAsia="zh-CN"/>
        </w:rPr>
        <w:t xml:space="preserve">2026年    </w:t>
      </w:r>
      <w:r>
        <w:rPr>
          <w:b w:val="0"/>
          <w:color w:val="auto"/>
          <w:sz w:val="24"/>
          <w:szCs w:val="24"/>
          <w:highlight w:val="none"/>
        </w:rPr>
        <w:t>月</w:t>
      </w:r>
      <w:r>
        <w:rPr>
          <w:rFonts w:hint="eastAsia"/>
          <w:b w:val="0"/>
          <w:color w:val="auto"/>
          <w:sz w:val="24"/>
          <w:szCs w:val="24"/>
          <w:highlight w:val="none"/>
          <w:u w:val="single"/>
          <w:lang w:val="en-US" w:eastAsia="zh-CN"/>
        </w:rPr>
        <w:t xml:space="preserve">    </w:t>
      </w:r>
      <w:r>
        <w:rPr>
          <w:b w:val="0"/>
          <w:color w:val="auto"/>
          <w:sz w:val="24"/>
          <w:szCs w:val="24"/>
          <w:highlight w:val="none"/>
        </w:rPr>
        <w:t>日</w:t>
      </w:r>
      <w:r>
        <w:rPr>
          <w:rFonts w:hint="eastAsia"/>
          <w:b w:val="0"/>
          <w:color w:val="auto"/>
          <w:sz w:val="24"/>
          <w:szCs w:val="24"/>
          <w:highlight w:val="none"/>
        </w:rPr>
        <w:t>，具体开工时间以开工令为准</w:t>
      </w:r>
      <w:r>
        <w:rPr>
          <w:rFonts w:hint="eastAsia"/>
          <w:b w:val="0"/>
          <w:color w:val="auto"/>
          <w:sz w:val="24"/>
          <w:szCs w:val="24"/>
          <w:highlight w:val="none"/>
          <w:lang w:eastAsia="zh-CN"/>
        </w:rPr>
        <w:t>。</w:t>
      </w:r>
    </w:p>
    <w:p w14:paraId="6B048125">
      <w:pPr>
        <w:snapToGrid w:val="0"/>
        <w:spacing w:line="360" w:lineRule="auto"/>
        <w:ind w:firstLine="482" w:firstLineChars="200"/>
        <w:rPr>
          <w:rFonts w:cs="宋体"/>
          <w:b/>
          <w:color w:val="auto"/>
          <w:sz w:val="24"/>
          <w:szCs w:val="24"/>
          <w:highlight w:val="none"/>
        </w:rPr>
      </w:pPr>
      <w:bookmarkStart w:id="53" w:name="_Toc351203483"/>
      <w:r>
        <w:rPr>
          <w:rFonts w:hint="eastAsia" w:cs="宋体"/>
          <w:b/>
          <w:color w:val="auto"/>
          <w:sz w:val="24"/>
          <w:szCs w:val="24"/>
          <w:highlight w:val="none"/>
        </w:rPr>
        <w:t>三、质量标准</w:t>
      </w:r>
      <w:bookmarkEnd w:id="53"/>
    </w:p>
    <w:p w14:paraId="567811AA">
      <w:pPr>
        <w:snapToGrid w:val="0"/>
        <w:spacing w:line="360" w:lineRule="auto"/>
        <w:ind w:firstLine="459"/>
        <w:rPr>
          <w:rFonts w:cs="宋体"/>
          <w:color w:val="auto"/>
          <w:sz w:val="24"/>
          <w:szCs w:val="24"/>
          <w:highlight w:val="none"/>
        </w:rPr>
      </w:pPr>
      <w:r>
        <w:rPr>
          <w:rFonts w:hint="eastAsia" w:cs="宋体"/>
          <w:color w:val="auto"/>
          <w:sz w:val="24"/>
          <w:szCs w:val="24"/>
          <w:highlight w:val="none"/>
        </w:rPr>
        <w:t>工程质量合格，满足国家和行业规范标准。</w:t>
      </w:r>
    </w:p>
    <w:p w14:paraId="3E48E343">
      <w:pPr>
        <w:snapToGrid w:val="0"/>
        <w:spacing w:line="360" w:lineRule="auto"/>
        <w:ind w:firstLine="482" w:firstLineChars="200"/>
        <w:rPr>
          <w:rFonts w:cs="宋体"/>
          <w:b/>
          <w:color w:val="auto"/>
          <w:sz w:val="24"/>
          <w:szCs w:val="24"/>
          <w:highlight w:val="none"/>
        </w:rPr>
      </w:pPr>
      <w:bookmarkStart w:id="54" w:name="_Toc351203484"/>
      <w:r>
        <w:rPr>
          <w:rFonts w:hint="eastAsia" w:cs="宋体"/>
          <w:b/>
          <w:color w:val="auto"/>
          <w:sz w:val="24"/>
          <w:szCs w:val="24"/>
          <w:highlight w:val="none"/>
        </w:rPr>
        <w:t>四、签约合同价与合同价格形式</w:t>
      </w:r>
      <w:bookmarkEnd w:id="54"/>
    </w:p>
    <w:p w14:paraId="79206363">
      <w:pPr>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 签约合同价为：</w:t>
      </w:r>
    </w:p>
    <w:p w14:paraId="436D0E24">
      <w:pPr>
        <w:snapToGrid w:val="0"/>
        <w:spacing w:line="360" w:lineRule="auto"/>
        <w:ind w:firstLine="600" w:firstLineChars="250"/>
        <w:rPr>
          <w:rFonts w:cs="宋体"/>
          <w:color w:val="auto"/>
          <w:sz w:val="24"/>
          <w:szCs w:val="24"/>
          <w:highlight w:val="none"/>
        </w:rPr>
      </w:pPr>
      <w:r>
        <w:rPr>
          <w:rFonts w:hint="eastAsia" w:cs="宋体"/>
          <w:color w:val="auto"/>
          <w:sz w:val="24"/>
          <w:szCs w:val="24"/>
          <w:highlight w:val="none"/>
        </w:rPr>
        <w:t>人民币（大写）</w:t>
      </w:r>
      <w:r>
        <w:rPr>
          <w:rFonts w:hint="eastAsia" w:cs="宋体"/>
          <w:color w:val="auto"/>
          <w:sz w:val="24"/>
          <w:szCs w:val="24"/>
          <w:highlight w:val="none"/>
          <w:u w:val="single"/>
        </w:rPr>
        <w:t xml:space="preserve">                 （</w:t>
      </w:r>
      <w:r>
        <w:rPr>
          <w:rFonts w:hint="eastAsia" w:cs="宋体"/>
          <w:color w:val="auto"/>
          <w:sz w:val="24"/>
          <w:szCs w:val="24"/>
          <w:highlight w:val="none"/>
        </w:rPr>
        <w:t>¥</w:t>
      </w:r>
      <w:r>
        <w:rPr>
          <w:rFonts w:hint="eastAsia" w:cs="宋体"/>
          <w:color w:val="auto"/>
          <w:sz w:val="24"/>
          <w:szCs w:val="24"/>
          <w:highlight w:val="none"/>
          <w:u w:val="single"/>
        </w:rPr>
        <w:t xml:space="preserve">            </w:t>
      </w:r>
      <w:r>
        <w:rPr>
          <w:rFonts w:hint="eastAsia" w:cs="宋体"/>
          <w:color w:val="auto"/>
          <w:sz w:val="24"/>
          <w:szCs w:val="24"/>
          <w:highlight w:val="none"/>
        </w:rPr>
        <w:t>元）；</w:t>
      </w:r>
    </w:p>
    <w:p w14:paraId="0B756BCD">
      <w:pPr>
        <w:snapToGrid w:val="0"/>
        <w:spacing w:line="360" w:lineRule="auto"/>
        <w:ind w:firstLine="480" w:firstLineChars="200"/>
        <w:rPr>
          <w:rFonts w:hint="eastAsia" w:cs="宋体"/>
          <w:color w:val="auto"/>
          <w:sz w:val="24"/>
          <w:szCs w:val="24"/>
          <w:highlight w:val="none"/>
        </w:rPr>
      </w:pPr>
      <w:r>
        <w:rPr>
          <w:rFonts w:hint="eastAsia" w:cs="宋体"/>
          <w:color w:val="auto"/>
          <w:sz w:val="24"/>
          <w:szCs w:val="24"/>
          <w:highlight w:val="none"/>
        </w:rPr>
        <w:t>2. 合同价格形式：</w:t>
      </w:r>
      <w:r>
        <w:rPr>
          <w:rFonts w:hint="eastAsia" w:cs="宋体"/>
          <w:color w:val="auto"/>
          <w:sz w:val="24"/>
          <w:szCs w:val="24"/>
          <w:highlight w:val="none"/>
          <w:u w:val="single"/>
          <w:lang w:val="en-US" w:eastAsia="zh-CN"/>
        </w:rPr>
        <w:t xml:space="preserve"> （单价）合同 </w:t>
      </w:r>
      <w:r>
        <w:rPr>
          <w:rFonts w:hint="eastAsia" w:cs="宋体"/>
          <w:color w:val="auto"/>
          <w:sz w:val="24"/>
          <w:szCs w:val="24"/>
          <w:highlight w:val="none"/>
        </w:rPr>
        <w:t>。</w:t>
      </w:r>
    </w:p>
    <w:p w14:paraId="468B86FF">
      <w:pPr>
        <w:pStyle w:val="20"/>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3.付款方式</w:t>
      </w:r>
    </w:p>
    <w:p w14:paraId="0057E4E6">
      <w:pPr>
        <w:snapToGrid w:val="0"/>
        <w:spacing w:line="360" w:lineRule="auto"/>
        <w:ind w:firstLine="482" w:firstLineChars="200"/>
        <w:rPr>
          <w:rFonts w:cs="宋体"/>
          <w:b/>
          <w:color w:val="auto"/>
          <w:sz w:val="24"/>
          <w:szCs w:val="24"/>
          <w:highlight w:val="none"/>
        </w:rPr>
      </w:pPr>
      <w:bookmarkStart w:id="55" w:name="_Toc351203485"/>
      <w:r>
        <w:rPr>
          <w:rFonts w:hint="eastAsia" w:cs="宋体"/>
          <w:b/>
          <w:color w:val="auto"/>
          <w:sz w:val="24"/>
          <w:szCs w:val="24"/>
          <w:highlight w:val="none"/>
        </w:rPr>
        <w:t>五、</w:t>
      </w:r>
      <w:bookmarkEnd w:id="55"/>
      <w:r>
        <w:rPr>
          <w:rFonts w:hint="eastAsia" w:cs="宋体"/>
          <w:b/>
          <w:color w:val="auto"/>
          <w:sz w:val="24"/>
          <w:szCs w:val="24"/>
          <w:highlight w:val="none"/>
        </w:rPr>
        <w:t>项目经理</w:t>
      </w:r>
    </w:p>
    <w:p w14:paraId="0365E85C">
      <w:pPr>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承包人项目经理：</w:t>
      </w:r>
      <w:r>
        <w:rPr>
          <w:rFonts w:hint="eastAsia" w:cs="宋体"/>
          <w:color w:val="auto"/>
          <w:sz w:val="24"/>
          <w:szCs w:val="24"/>
          <w:highlight w:val="none"/>
          <w:u w:val="single"/>
        </w:rPr>
        <w:t>           </w:t>
      </w:r>
      <w:r>
        <w:rPr>
          <w:rFonts w:hint="eastAsia" w:cs="宋体"/>
          <w:color w:val="auto"/>
          <w:sz w:val="24"/>
          <w:szCs w:val="24"/>
          <w:highlight w:val="none"/>
        </w:rPr>
        <w:t>。</w:t>
      </w:r>
    </w:p>
    <w:p w14:paraId="196DE678">
      <w:pPr>
        <w:spacing w:line="360" w:lineRule="auto"/>
        <w:ind w:firstLine="482" w:firstLineChars="200"/>
        <w:rPr>
          <w:rFonts w:hint="default" w:ascii="Times New Roman" w:hAnsi="Times New Roman" w:eastAsia="宋体" w:cs="Times New Roman"/>
          <w:b/>
          <w:bCs/>
          <w:sz w:val="24"/>
          <w:szCs w:val="24"/>
          <w:lang w:val="en-US" w:eastAsia="zh-CN"/>
        </w:rPr>
      </w:pPr>
      <w:bookmarkStart w:id="56" w:name="_Toc351203486"/>
      <w:r>
        <w:rPr>
          <w:rFonts w:hint="eastAsia" w:ascii="Times New Roman" w:hAnsi="Times New Roman" w:eastAsia="宋体" w:cs="Times New Roman"/>
          <w:b/>
          <w:bCs/>
          <w:sz w:val="24"/>
          <w:szCs w:val="24"/>
          <w:lang w:val="en-US" w:eastAsia="zh-CN"/>
        </w:rPr>
        <w:t>六</w:t>
      </w:r>
      <w:r>
        <w:rPr>
          <w:rFonts w:hint="default" w:ascii="Times New Roman" w:hAnsi="Times New Roman" w:eastAsia="宋体" w:cs="Times New Roman"/>
          <w:b/>
          <w:bCs/>
          <w:sz w:val="24"/>
          <w:szCs w:val="24"/>
          <w:lang w:val="en-US" w:eastAsia="zh-CN"/>
        </w:rPr>
        <w:t>、</w:t>
      </w:r>
      <w:r>
        <w:rPr>
          <w:rFonts w:hint="eastAsia" w:ascii="Times New Roman" w:hAnsi="Times New Roman" w:eastAsia="宋体" w:cs="Times New Roman"/>
          <w:b/>
          <w:bCs/>
          <w:sz w:val="24"/>
          <w:szCs w:val="24"/>
          <w:lang w:val="en-US" w:eastAsia="zh-CN"/>
        </w:rPr>
        <w:t>缺陷责任期、质量保修期</w:t>
      </w:r>
    </w:p>
    <w:p w14:paraId="505C9E6A">
      <w:pPr>
        <w:spacing w:line="360" w:lineRule="auto"/>
        <w:ind w:firstLine="480" w:firstLineChars="200"/>
        <w:rPr>
          <w:rFonts w:hint="default"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rPr>
        <w:t>缺陷责任期自</w:t>
      </w:r>
      <w:r>
        <w:rPr>
          <w:rFonts w:hint="default" w:ascii="Times New Roman" w:hAnsi="Times New Roman" w:eastAsia="宋体" w:cs="Times New Roman"/>
          <w:b w:val="0"/>
          <w:bCs w:val="0"/>
          <w:color w:val="auto"/>
          <w:sz w:val="24"/>
          <w:szCs w:val="24"/>
          <w:lang w:val="en-US" w:eastAsia="zh-CN"/>
        </w:rPr>
        <w:t>完工验收</w:t>
      </w:r>
      <w:r>
        <w:rPr>
          <w:rFonts w:hint="default" w:ascii="Times New Roman" w:hAnsi="Times New Roman" w:eastAsia="宋体" w:cs="Times New Roman"/>
          <w:b w:val="0"/>
          <w:bCs w:val="0"/>
          <w:color w:val="auto"/>
          <w:sz w:val="24"/>
          <w:szCs w:val="24"/>
        </w:rPr>
        <w:t>日期起计</w:t>
      </w:r>
      <w:r>
        <w:rPr>
          <w:rFonts w:hint="eastAsia" w:ascii="Times New Roman" w:hAnsi="Times New Roman" w:eastAsia="宋体" w:cs="Times New Roman"/>
          <w:b/>
          <w:bCs/>
          <w:color w:val="auto"/>
          <w:sz w:val="24"/>
          <w:szCs w:val="24"/>
          <w:lang w:val="en-US" w:eastAsia="zh-CN"/>
        </w:rPr>
        <w:t xml:space="preserve">  年</w:t>
      </w:r>
      <w:r>
        <w:rPr>
          <w:rFonts w:hint="default" w:ascii="Times New Roman" w:hAnsi="Times New Roman" w:eastAsia="宋体" w:cs="Times New Roman"/>
          <w:b w:val="0"/>
          <w:bCs w:val="0"/>
          <w:color w:val="auto"/>
          <w:sz w:val="24"/>
          <w:szCs w:val="24"/>
        </w:rPr>
        <w:t>。</w:t>
      </w:r>
    </w:p>
    <w:p w14:paraId="65187A22">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质量</w:t>
      </w:r>
      <w:r>
        <w:rPr>
          <w:rFonts w:hint="default" w:ascii="Times New Roman" w:hAnsi="Times New Roman" w:eastAsia="宋体" w:cs="Times New Roman"/>
          <w:b w:val="0"/>
          <w:bCs w:val="0"/>
          <w:color w:val="auto"/>
          <w:sz w:val="24"/>
          <w:szCs w:val="24"/>
          <w:lang w:val="en-US" w:eastAsia="zh-CN"/>
        </w:rPr>
        <w:t>保修期</w:t>
      </w:r>
      <w:r>
        <w:rPr>
          <w:rFonts w:hint="default" w:ascii="Times New Roman" w:hAnsi="Times New Roman" w:eastAsia="宋体" w:cs="Times New Roman"/>
          <w:b w:val="0"/>
          <w:bCs w:val="0"/>
          <w:color w:val="auto"/>
          <w:sz w:val="24"/>
          <w:szCs w:val="24"/>
        </w:rPr>
        <w:t>自</w:t>
      </w:r>
      <w:r>
        <w:rPr>
          <w:rFonts w:hint="default" w:ascii="Times New Roman" w:hAnsi="Times New Roman" w:eastAsia="宋体" w:cs="Times New Roman"/>
          <w:b w:val="0"/>
          <w:bCs w:val="0"/>
          <w:color w:val="auto"/>
          <w:sz w:val="24"/>
          <w:szCs w:val="24"/>
          <w:lang w:val="en-US" w:eastAsia="zh-CN"/>
        </w:rPr>
        <w:t>完工验收</w:t>
      </w:r>
      <w:r>
        <w:rPr>
          <w:rFonts w:hint="default" w:ascii="Times New Roman" w:hAnsi="Times New Roman" w:eastAsia="宋体" w:cs="Times New Roman"/>
          <w:b w:val="0"/>
          <w:bCs w:val="0"/>
          <w:color w:val="auto"/>
          <w:sz w:val="24"/>
          <w:szCs w:val="24"/>
        </w:rPr>
        <w:t>日期起计</w:t>
      </w:r>
      <w:r>
        <w:rPr>
          <w:rFonts w:hint="eastAsia" w:ascii="Times New Roman" w:hAnsi="Times New Roman" w:eastAsia="宋体" w:cs="Times New Roman"/>
          <w:b/>
          <w:bCs/>
          <w:color w:val="auto"/>
          <w:sz w:val="24"/>
          <w:szCs w:val="24"/>
          <w:lang w:val="en-US" w:eastAsia="zh-CN"/>
        </w:rPr>
        <w:t xml:space="preserve">  年</w:t>
      </w:r>
      <w:r>
        <w:rPr>
          <w:rFonts w:hint="default" w:ascii="Times New Roman" w:hAnsi="Times New Roman" w:eastAsia="宋体" w:cs="Times New Roman"/>
          <w:b w:val="0"/>
          <w:bCs w:val="0"/>
          <w:color w:val="auto"/>
          <w:sz w:val="24"/>
          <w:szCs w:val="24"/>
          <w:lang w:val="en-US" w:eastAsia="zh-CN"/>
        </w:rPr>
        <w:t>。</w:t>
      </w:r>
    </w:p>
    <w:p w14:paraId="5E40FB71">
      <w:pPr>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七</w:t>
      </w:r>
      <w:r>
        <w:rPr>
          <w:rFonts w:hint="eastAsia" w:asciiTheme="minorEastAsia" w:hAnsiTheme="minorEastAsia" w:eastAsiaTheme="minorEastAsia" w:cstheme="minorEastAsia"/>
          <w:b/>
          <w:bCs/>
          <w:color w:val="auto"/>
          <w:sz w:val="24"/>
          <w:szCs w:val="24"/>
          <w:highlight w:val="none"/>
        </w:rPr>
        <w:t>、验收要求</w:t>
      </w:r>
    </w:p>
    <w:p w14:paraId="016B18B6">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满足国家现行的规范、标准、规定及委托人的技术要求。</w:t>
      </w:r>
    </w:p>
    <w:p w14:paraId="6C88568B">
      <w:pPr>
        <w:snapToGrid w:val="0"/>
        <w:spacing w:line="360" w:lineRule="auto"/>
        <w:ind w:firstLine="482" w:firstLineChars="200"/>
        <w:rPr>
          <w:rFonts w:cs="宋体"/>
          <w:b/>
          <w:color w:val="auto"/>
          <w:sz w:val="24"/>
          <w:szCs w:val="24"/>
          <w:highlight w:val="none"/>
        </w:rPr>
      </w:pPr>
      <w:r>
        <w:rPr>
          <w:rFonts w:hint="eastAsia" w:cs="宋体"/>
          <w:b/>
          <w:color w:val="auto"/>
          <w:sz w:val="24"/>
          <w:szCs w:val="24"/>
          <w:highlight w:val="none"/>
          <w:lang w:eastAsia="zh-CN"/>
        </w:rPr>
        <w:t>八</w:t>
      </w:r>
      <w:r>
        <w:rPr>
          <w:rFonts w:hint="eastAsia" w:cs="宋体"/>
          <w:b/>
          <w:color w:val="auto"/>
          <w:sz w:val="24"/>
          <w:szCs w:val="24"/>
          <w:highlight w:val="none"/>
        </w:rPr>
        <w:t>、合同文件构成</w:t>
      </w:r>
      <w:bookmarkEnd w:id="56"/>
    </w:p>
    <w:p w14:paraId="1F58201D">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本协议书与下列文件一起构成合同文件：</w:t>
      </w:r>
    </w:p>
    <w:p w14:paraId="739F6CE4">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（1）中标通知书；</w:t>
      </w:r>
    </w:p>
    <w:p w14:paraId="07B274E8">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（2）投标函及其附录（如果有）； </w:t>
      </w:r>
    </w:p>
    <w:p w14:paraId="7756260B">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（3）专用合同条款及其附件；</w:t>
      </w:r>
    </w:p>
    <w:p w14:paraId="2DB06F87">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（4）通用合同条款；</w:t>
      </w:r>
    </w:p>
    <w:p w14:paraId="3C2067C6">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（5）技术标准和要求；</w:t>
      </w:r>
    </w:p>
    <w:p w14:paraId="7DE20249">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（6）图纸（如果有）；</w:t>
      </w:r>
    </w:p>
    <w:p w14:paraId="49C40382">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（7）已标价工程量清单或预算书；</w:t>
      </w:r>
    </w:p>
    <w:p w14:paraId="1E59C0E5">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（8）其他合同文件。</w:t>
      </w:r>
    </w:p>
    <w:p w14:paraId="1494EC5B">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在合同订立及履行过程中形成的与合同有关的文件均构成合同文件组成部分。</w:t>
      </w:r>
    </w:p>
    <w:p w14:paraId="082A0738">
      <w:pPr>
        <w:autoSpaceDE w:val="0"/>
        <w:autoSpaceDN w:val="0"/>
        <w:adjustRightInd w:val="0"/>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7703BADF">
      <w:pPr>
        <w:snapToGrid w:val="0"/>
        <w:spacing w:line="360" w:lineRule="auto"/>
        <w:ind w:firstLine="482" w:firstLineChars="200"/>
        <w:rPr>
          <w:rFonts w:cs="宋体"/>
          <w:b/>
          <w:color w:val="auto"/>
          <w:sz w:val="24"/>
          <w:szCs w:val="24"/>
          <w:highlight w:val="none"/>
        </w:rPr>
      </w:pPr>
      <w:bookmarkStart w:id="57" w:name="_Toc351203487"/>
      <w:r>
        <w:rPr>
          <w:rFonts w:hint="eastAsia" w:cs="宋体"/>
          <w:b/>
          <w:color w:val="auto"/>
          <w:sz w:val="24"/>
          <w:szCs w:val="24"/>
          <w:highlight w:val="none"/>
          <w:lang w:eastAsia="zh-CN"/>
        </w:rPr>
        <w:t>九</w:t>
      </w:r>
      <w:r>
        <w:rPr>
          <w:rFonts w:hint="eastAsia" w:cs="宋体"/>
          <w:b/>
          <w:color w:val="auto"/>
          <w:sz w:val="24"/>
          <w:szCs w:val="24"/>
          <w:highlight w:val="none"/>
        </w:rPr>
        <w:t>、承诺</w:t>
      </w:r>
      <w:bookmarkEnd w:id="57"/>
    </w:p>
    <w:p w14:paraId="3928C987">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1. 发包人承诺按照法律规定履行项目审批手续、筹集工程建设资金并按照合同约定的期限和方式支付合同价款。</w:t>
      </w:r>
    </w:p>
    <w:p w14:paraId="2444E6A0">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2. 承包人承诺按照法律规定及合同约定组织完成工程施工，确保工程质量和安全，不进行转包及违法分包，并在缺陷责任期及保修期内承担相应的工程维修责任。</w:t>
      </w:r>
    </w:p>
    <w:p w14:paraId="4A4AB87F">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3. 发包人和承包人通过招投标形式签订合同的，双方理解并承诺不再就同一工程另行签订与合同实质性内容相背离的协议。</w:t>
      </w:r>
    </w:p>
    <w:p w14:paraId="3A33FECB">
      <w:pPr>
        <w:snapToGrid w:val="0"/>
        <w:spacing w:line="360" w:lineRule="auto"/>
        <w:ind w:firstLine="482" w:firstLineChars="200"/>
        <w:rPr>
          <w:rFonts w:cs="宋体"/>
          <w:b/>
          <w:color w:val="auto"/>
          <w:sz w:val="24"/>
          <w:szCs w:val="24"/>
          <w:highlight w:val="none"/>
        </w:rPr>
      </w:pPr>
      <w:bookmarkStart w:id="58" w:name="_Toc351203488"/>
      <w:r>
        <w:rPr>
          <w:rFonts w:hint="eastAsia" w:cs="宋体"/>
          <w:b/>
          <w:color w:val="auto"/>
          <w:sz w:val="24"/>
          <w:szCs w:val="24"/>
          <w:highlight w:val="none"/>
          <w:lang w:eastAsia="zh-CN"/>
        </w:rPr>
        <w:t>十</w:t>
      </w:r>
      <w:r>
        <w:rPr>
          <w:rFonts w:hint="eastAsia" w:cs="宋体"/>
          <w:b/>
          <w:color w:val="auto"/>
          <w:sz w:val="24"/>
          <w:szCs w:val="24"/>
          <w:highlight w:val="none"/>
        </w:rPr>
        <w:t>、词语含义</w:t>
      </w:r>
      <w:bookmarkEnd w:id="58"/>
    </w:p>
    <w:p w14:paraId="4E45E9D8">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本协议书中词语含义与第二部分通用合同条款中赋予的含义相同。</w:t>
      </w:r>
    </w:p>
    <w:p w14:paraId="327D3EF3">
      <w:pPr>
        <w:snapToGrid w:val="0"/>
        <w:spacing w:line="360" w:lineRule="auto"/>
        <w:ind w:firstLine="482" w:firstLineChars="200"/>
        <w:rPr>
          <w:rFonts w:cs="宋体"/>
          <w:b/>
          <w:color w:val="auto"/>
          <w:sz w:val="24"/>
          <w:szCs w:val="24"/>
          <w:highlight w:val="none"/>
        </w:rPr>
      </w:pPr>
      <w:bookmarkStart w:id="59" w:name="_Toc351203489"/>
      <w:r>
        <w:rPr>
          <w:rFonts w:hint="eastAsia" w:cs="宋体"/>
          <w:b/>
          <w:color w:val="auto"/>
          <w:sz w:val="24"/>
          <w:szCs w:val="24"/>
          <w:highlight w:val="none"/>
          <w:lang w:eastAsia="zh-CN"/>
        </w:rPr>
        <w:t>十一</w:t>
      </w:r>
      <w:r>
        <w:rPr>
          <w:rFonts w:hint="eastAsia" w:cs="宋体"/>
          <w:b/>
          <w:color w:val="auto"/>
          <w:sz w:val="24"/>
          <w:szCs w:val="24"/>
          <w:highlight w:val="none"/>
        </w:rPr>
        <w:t>、签订时间</w:t>
      </w:r>
      <w:bookmarkEnd w:id="59"/>
    </w:p>
    <w:p w14:paraId="575699AE">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本合同于</w:t>
      </w:r>
      <w:r>
        <w:rPr>
          <w:rFonts w:hint="eastAsia" w:cs="宋体"/>
          <w:bCs/>
          <w:color w:val="auto"/>
          <w:sz w:val="24"/>
          <w:szCs w:val="24"/>
          <w:highlight w:val="none"/>
          <w:u w:val="single"/>
        </w:rPr>
        <w:t xml:space="preserve"> </w:t>
      </w:r>
      <w:r>
        <w:rPr>
          <w:rFonts w:hint="eastAsia" w:cs="宋体"/>
          <w:bCs/>
          <w:color w:val="auto"/>
          <w:sz w:val="24"/>
          <w:szCs w:val="24"/>
          <w:highlight w:val="none"/>
          <w:u w:val="single"/>
          <w:lang w:val="en-US" w:eastAsia="zh-CN"/>
        </w:rPr>
        <w:t>2026</w:t>
      </w:r>
      <w:r>
        <w:rPr>
          <w:rFonts w:hint="eastAsia" w:cs="宋体"/>
          <w:bCs/>
          <w:color w:val="auto"/>
          <w:sz w:val="24"/>
          <w:szCs w:val="24"/>
          <w:highlight w:val="none"/>
          <w:u w:val="single"/>
        </w:rPr>
        <w:t xml:space="preserve"> </w:t>
      </w:r>
      <w:r>
        <w:rPr>
          <w:rFonts w:hint="eastAsia" w:cs="宋体"/>
          <w:bCs/>
          <w:color w:val="auto"/>
          <w:sz w:val="24"/>
          <w:szCs w:val="24"/>
          <w:highlight w:val="none"/>
        </w:rPr>
        <w:t>年</w:t>
      </w:r>
      <w:r>
        <w:rPr>
          <w:rFonts w:hint="eastAsia" w:cs="宋体"/>
          <w:bCs/>
          <w:color w:val="auto"/>
          <w:sz w:val="24"/>
          <w:szCs w:val="24"/>
          <w:highlight w:val="none"/>
          <w:u w:val="single"/>
        </w:rPr>
        <w:t xml:space="preserve">    </w:t>
      </w:r>
      <w:r>
        <w:rPr>
          <w:rFonts w:hint="eastAsia" w:cs="宋体"/>
          <w:bCs/>
          <w:color w:val="auto"/>
          <w:sz w:val="24"/>
          <w:szCs w:val="24"/>
          <w:highlight w:val="none"/>
        </w:rPr>
        <w:t>月</w:t>
      </w:r>
      <w:r>
        <w:rPr>
          <w:rFonts w:hint="eastAsia" w:cs="宋体"/>
          <w:bCs/>
          <w:color w:val="auto"/>
          <w:sz w:val="24"/>
          <w:szCs w:val="24"/>
          <w:highlight w:val="none"/>
          <w:u w:val="single"/>
        </w:rPr>
        <w:t xml:space="preserve">    </w:t>
      </w:r>
      <w:r>
        <w:rPr>
          <w:rFonts w:hint="eastAsia" w:cs="宋体"/>
          <w:bCs/>
          <w:color w:val="auto"/>
          <w:sz w:val="24"/>
          <w:szCs w:val="24"/>
          <w:highlight w:val="none"/>
        </w:rPr>
        <w:t>日签订。</w:t>
      </w:r>
    </w:p>
    <w:p w14:paraId="52781D57">
      <w:pPr>
        <w:snapToGrid w:val="0"/>
        <w:spacing w:line="360" w:lineRule="auto"/>
        <w:ind w:firstLine="482" w:firstLineChars="200"/>
        <w:rPr>
          <w:rFonts w:cs="宋体"/>
          <w:b/>
          <w:color w:val="auto"/>
          <w:sz w:val="24"/>
          <w:szCs w:val="24"/>
          <w:highlight w:val="none"/>
        </w:rPr>
      </w:pPr>
      <w:bookmarkStart w:id="60" w:name="_Toc351203490"/>
      <w:r>
        <w:rPr>
          <w:rFonts w:hint="eastAsia" w:cs="宋体"/>
          <w:b/>
          <w:color w:val="auto"/>
          <w:sz w:val="24"/>
          <w:szCs w:val="24"/>
          <w:highlight w:val="none"/>
        </w:rPr>
        <w:t>十</w:t>
      </w:r>
      <w:r>
        <w:rPr>
          <w:rFonts w:hint="eastAsia" w:cs="宋体"/>
          <w:b/>
          <w:color w:val="auto"/>
          <w:sz w:val="24"/>
          <w:szCs w:val="24"/>
          <w:highlight w:val="none"/>
          <w:lang w:eastAsia="zh-CN"/>
        </w:rPr>
        <w:t>二</w:t>
      </w:r>
      <w:r>
        <w:rPr>
          <w:rFonts w:hint="eastAsia" w:cs="宋体"/>
          <w:b/>
          <w:color w:val="auto"/>
          <w:sz w:val="24"/>
          <w:szCs w:val="24"/>
          <w:highlight w:val="none"/>
        </w:rPr>
        <w:t>、签订地点</w:t>
      </w:r>
      <w:bookmarkEnd w:id="60"/>
    </w:p>
    <w:p w14:paraId="2B84978A">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本合同在</w:t>
      </w:r>
      <w:r>
        <w:rPr>
          <w:rFonts w:hint="eastAsia" w:cs="宋体"/>
          <w:bCs/>
          <w:color w:val="auto"/>
          <w:sz w:val="24"/>
          <w:szCs w:val="24"/>
          <w:highlight w:val="none"/>
          <w:u w:val="single"/>
        </w:rPr>
        <w:t xml:space="preserve"> </w:t>
      </w:r>
      <w:r>
        <w:rPr>
          <w:rFonts w:hint="eastAsia" w:cs="宋体"/>
          <w:bCs/>
          <w:color w:val="auto"/>
          <w:sz w:val="24"/>
          <w:szCs w:val="24"/>
          <w:highlight w:val="none"/>
          <w:u w:val="single"/>
          <w:lang w:val="en-US" w:eastAsia="zh-CN"/>
        </w:rPr>
        <w:t xml:space="preserve">采购人指定地点 </w:t>
      </w:r>
      <w:r>
        <w:rPr>
          <w:rFonts w:hint="eastAsia" w:cs="宋体"/>
          <w:bCs/>
          <w:color w:val="auto"/>
          <w:sz w:val="24"/>
          <w:szCs w:val="24"/>
          <w:highlight w:val="none"/>
        </w:rPr>
        <w:t>签订。</w:t>
      </w:r>
    </w:p>
    <w:p w14:paraId="3F9B595C">
      <w:pPr>
        <w:snapToGrid w:val="0"/>
        <w:spacing w:line="360" w:lineRule="auto"/>
        <w:ind w:firstLine="482" w:firstLineChars="200"/>
        <w:rPr>
          <w:rFonts w:cs="宋体"/>
          <w:b/>
          <w:color w:val="auto"/>
          <w:sz w:val="24"/>
          <w:szCs w:val="24"/>
          <w:highlight w:val="none"/>
        </w:rPr>
      </w:pPr>
      <w:bookmarkStart w:id="61" w:name="_Toc351203491"/>
      <w:r>
        <w:rPr>
          <w:rFonts w:hint="eastAsia" w:cs="宋体"/>
          <w:b/>
          <w:color w:val="auto"/>
          <w:sz w:val="24"/>
          <w:szCs w:val="24"/>
          <w:highlight w:val="none"/>
        </w:rPr>
        <w:t>十</w:t>
      </w:r>
      <w:r>
        <w:rPr>
          <w:rFonts w:hint="eastAsia" w:cs="宋体"/>
          <w:b/>
          <w:color w:val="auto"/>
          <w:sz w:val="24"/>
          <w:szCs w:val="24"/>
          <w:highlight w:val="none"/>
          <w:lang w:eastAsia="zh-CN"/>
        </w:rPr>
        <w:t>三</w:t>
      </w:r>
      <w:r>
        <w:rPr>
          <w:rFonts w:hint="eastAsia" w:cs="宋体"/>
          <w:b/>
          <w:color w:val="auto"/>
          <w:sz w:val="24"/>
          <w:szCs w:val="24"/>
          <w:highlight w:val="none"/>
        </w:rPr>
        <w:t>、补充协议</w:t>
      </w:r>
      <w:bookmarkEnd w:id="61"/>
    </w:p>
    <w:p w14:paraId="3EC34979">
      <w:pPr>
        <w:snapToGrid w:val="0"/>
        <w:spacing w:line="360" w:lineRule="auto"/>
        <w:ind w:firstLine="480" w:firstLineChars="200"/>
        <w:rPr>
          <w:rFonts w:cs="宋体"/>
          <w:b/>
          <w:bCs/>
          <w:color w:val="auto"/>
          <w:sz w:val="24"/>
          <w:szCs w:val="24"/>
          <w:highlight w:val="none"/>
        </w:rPr>
      </w:pPr>
      <w:r>
        <w:rPr>
          <w:rFonts w:hint="eastAsia" w:cs="宋体"/>
          <w:bCs/>
          <w:color w:val="auto"/>
          <w:sz w:val="24"/>
          <w:szCs w:val="24"/>
          <w:highlight w:val="none"/>
        </w:rPr>
        <w:t>合同未尽事宜，合同当事人另行签订补充协议，补充协议是合同的组成部分。</w:t>
      </w:r>
    </w:p>
    <w:p w14:paraId="52E27528">
      <w:pPr>
        <w:snapToGrid w:val="0"/>
        <w:spacing w:line="360" w:lineRule="auto"/>
        <w:ind w:firstLine="482" w:firstLineChars="200"/>
        <w:rPr>
          <w:rFonts w:cs="宋体"/>
          <w:b/>
          <w:color w:val="auto"/>
          <w:sz w:val="24"/>
          <w:szCs w:val="24"/>
          <w:highlight w:val="none"/>
        </w:rPr>
      </w:pPr>
      <w:bookmarkStart w:id="62" w:name="_Toc351203492"/>
      <w:r>
        <w:rPr>
          <w:rFonts w:hint="eastAsia" w:cs="宋体"/>
          <w:b/>
          <w:color w:val="auto"/>
          <w:sz w:val="24"/>
          <w:szCs w:val="24"/>
          <w:highlight w:val="none"/>
        </w:rPr>
        <w:t>十</w:t>
      </w:r>
      <w:r>
        <w:rPr>
          <w:rFonts w:hint="eastAsia" w:cs="宋体"/>
          <w:b/>
          <w:color w:val="auto"/>
          <w:sz w:val="24"/>
          <w:szCs w:val="24"/>
          <w:highlight w:val="none"/>
          <w:lang w:eastAsia="zh-CN"/>
        </w:rPr>
        <w:t>四</w:t>
      </w:r>
      <w:r>
        <w:rPr>
          <w:rFonts w:hint="eastAsia" w:cs="宋体"/>
          <w:b/>
          <w:color w:val="auto"/>
          <w:sz w:val="24"/>
          <w:szCs w:val="24"/>
          <w:highlight w:val="none"/>
        </w:rPr>
        <w:t>、合同生效</w:t>
      </w:r>
      <w:bookmarkEnd w:id="62"/>
    </w:p>
    <w:p w14:paraId="00BC6283">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本合同自</w:t>
      </w:r>
      <w:r>
        <w:rPr>
          <w:rFonts w:hint="eastAsia" w:cs="宋体"/>
          <w:bCs/>
          <w:color w:val="auto"/>
          <w:sz w:val="24"/>
          <w:szCs w:val="24"/>
          <w:highlight w:val="none"/>
          <w:u w:val="single"/>
        </w:rPr>
        <w:t xml:space="preserve">                                   </w:t>
      </w:r>
      <w:r>
        <w:rPr>
          <w:rFonts w:hint="eastAsia" w:cs="宋体"/>
          <w:bCs/>
          <w:color w:val="auto"/>
          <w:sz w:val="24"/>
          <w:szCs w:val="24"/>
          <w:highlight w:val="none"/>
        </w:rPr>
        <w:t>生效。</w:t>
      </w:r>
    </w:p>
    <w:p w14:paraId="2862A29E">
      <w:pPr>
        <w:snapToGrid w:val="0"/>
        <w:spacing w:line="360" w:lineRule="auto"/>
        <w:ind w:firstLine="482" w:firstLineChars="200"/>
        <w:rPr>
          <w:rFonts w:cs="宋体"/>
          <w:b/>
          <w:color w:val="auto"/>
          <w:sz w:val="24"/>
          <w:szCs w:val="24"/>
          <w:highlight w:val="none"/>
        </w:rPr>
      </w:pPr>
      <w:bookmarkStart w:id="63" w:name="_Toc351203493"/>
      <w:r>
        <w:rPr>
          <w:rFonts w:hint="eastAsia" w:cs="宋体"/>
          <w:b/>
          <w:color w:val="auto"/>
          <w:sz w:val="24"/>
          <w:szCs w:val="24"/>
          <w:highlight w:val="none"/>
        </w:rPr>
        <w:t>十</w:t>
      </w:r>
      <w:r>
        <w:rPr>
          <w:rFonts w:hint="eastAsia" w:cs="宋体"/>
          <w:b/>
          <w:color w:val="auto"/>
          <w:sz w:val="24"/>
          <w:szCs w:val="24"/>
          <w:highlight w:val="none"/>
          <w:lang w:eastAsia="zh-CN"/>
        </w:rPr>
        <w:t>五</w:t>
      </w:r>
      <w:r>
        <w:rPr>
          <w:rFonts w:hint="eastAsia" w:cs="宋体"/>
          <w:b/>
          <w:color w:val="auto"/>
          <w:sz w:val="24"/>
          <w:szCs w:val="24"/>
          <w:highlight w:val="none"/>
        </w:rPr>
        <w:t>、合同份数</w:t>
      </w:r>
      <w:bookmarkEnd w:id="63"/>
    </w:p>
    <w:p w14:paraId="019325A3">
      <w:pPr>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本合同一式</w:t>
      </w:r>
      <w:r>
        <w:rPr>
          <w:rFonts w:hint="eastAsia" w:cs="宋体"/>
          <w:bCs/>
          <w:color w:val="auto"/>
          <w:sz w:val="24"/>
          <w:szCs w:val="24"/>
          <w:highlight w:val="none"/>
          <w:lang w:val="en-US" w:eastAsia="zh-CN"/>
        </w:rPr>
        <w:t xml:space="preserve"> </w:t>
      </w:r>
      <w:r>
        <w:rPr>
          <w:rFonts w:hint="eastAsia" w:cs="宋体"/>
          <w:bCs/>
          <w:color w:val="auto"/>
          <w:sz w:val="24"/>
          <w:szCs w:val="24"/>
          <w:highlight w:val="none"/>
          <w:u w:val="single"/>
          <w:lang w:val="en-US" w:eastAsia="zh-CN"/>
        </w:rPr>
        <w:t xml:space="preserve">肆 </w:t>
      </w:r>
      <w:r>
        <w:rPr>
          <w:rFonts w:hint="eastAsia" w:cs="宋体"/>
          <w:bCs/>
          <w:color w:val="auto"/>
          <w:sz w:val="24"/>
          <w:szCs w:val="24"/>
          <w:highlight w:val="none"/>
        </w:rPr>
        <w:t>份，均具有同等法律效力，发包人执</w:t>
      </w:r>
      <w:r>
        <w:rPr>
          <w:rFonts w:hint="eastAsia" w:cs="宋体"/>
          <w:bCs/>
          <w:color w:val="auto"/>
          <w:sz w:val="24"/>
          <w:szCs w:val="24"/>
          <w:highlight w:val="none"/>
          <w:lang w:val="en-US" w:eastAsia="zh-CN"/>
        </w:rPr>
        <w:t xml:space="preserve"> </w:t>
      </w:r>
      <w:r>
        <w:rPr>
          <w:rFonts w:hint="eastAsia" w:cs="宋体"/>
          <w:bCs/>
          <w:color w:val="auto"/>
          <w:sz w:val="24"/>
          <w:szCs w:val="24"/>
          <w:highlight w:val="none"/>
          <w:u w:val="single"/>
          <w:lang w:val="en-US" w:eastAsia="zh-CN"/>
        </w:rPr>
        <w:t xml:space="preserve">贰 </w:t>
      </w:r>
      <w:r>
        <w:rPr>
          <w:rFonts w:hint="eastAsia" w:cs="宋体"/>
          <w:bCs/>
          <w:color w:val="auto"/>
          <w:sz w:val="24"/>
          <w:szCs w:val="24"/>
          <w:highlight w:val="none"/>
        </w:rPr>
        <w:t>份，承包人执</w:t>
      </w:r>
      <w:r>
        <w:rPr>
          <w:rFonts w:hint="eastAsia" w:cs="宋体"/>
          <w:bCs/>
          <w:color w:val="auto"/>
          <w:sz w:val="24"/>
          <w:szCs w:val="24"/>
          <w:highlight w:val="none"/>
          <w:lang w:val="en-US" w:eastAsia="zh-CN"/>
        </w:rPr>
        <w:t xml:space="preserve"> </w:t>
      </w:r>
      <w:r>
        <w:rPr>
          <w:rFonts w:hint="eastAsia" w:cs="宋体"/>
          <w:bCs/>
          <w:color w:val="auto"/>
          <w:sz w:val="24"/>
          <w:szCs w:val="24"/>
          <w:highlight w:val="none"/>
          <w:u w:val="single"/>
          <w:lang w:val="en-US" w:eastAsia="zh-CN"/>
        </w:rPr>
        <w:t xml:space="preserve">叁 </w:t>
      </w:r>
      <w:r>
        <w:rPr>
          <w:rFonts w:hint="eastAsia" w:cs="宋体"/>
          <w:bCs/>
          <w:color w:val="auto"/>
          <w:sz w:val="24"/>
          <w:szCs w:val="24"/>
          <w:highlight w:val="none"/>
        </w:rPr>
        <w:t>份。</w:t>
      </w:r>
    </w:p>
    <w:p w14:paraId="26F67E0B">
      <w:pPr>
        <w:snapToGrid w:val="0"/>
        <w:spacing w:line="360" w:lineRule="auto"/>
        <w:rPr>
          <w:rFonts w:cs="宋体"/>
          <w:bCs/>
          <w:color w:val="auto"/>
          <w:sz w:val="24"/>
          <w:szCs w:val="24"/>
          <w:highlight w:val="none"/>
        </w:rPr>
      </w:pPr>
    </w:p>
    <w:p w14:paraId="7EC5C481">
      <w:pPr>
        <w:snapToGrid w:val="0"/>
        <w:spacing w:line="360" w:lineRule="auto"/>
        <w:rPr>
          <w:rFonts w:cs="宋体"/>
          <w:color w:val="auto"/>
          <w:sz w:val="24"/>
          <w:szCs w:val="24"/>
          <w:highlight w:val="none"/>
        </w:rPr>
      </w:pPr>
      <w:r>
        <w:rPr>
          <w:rFonts w:hint="eastAsia" w:cs="宋体"/>
          <w:color w:val="auto"/>
          <w:sz w:val="24"/>
          <w:szCs w:val="24"/>
          <w:highlight w:val="none"/>
        </w:rPr>
        <w:t>发包人：</w:t>
      </w:r>
      <w:r>
        <w:rPr>
          <w:rFonts w:hint="eastAsia" w:cs="宋体"/>
          <w:color w:val="auto"/>
          <w:sz w:val="24"/>
          <w:szCs w:val="24"/>
          <w:highlight w:val="none"/>
          <w:u w:val="single"/>
        </w:rPr>
        <w:t>      （</w:t>
      </w:r>
      <w:r>
        <w:rPr>
          <w:rFonts w:hint="eastAsia" w:cs="宋体"/>
          <w:color w:val="auto"/>
          <w:sz w:val="24"/>
          <w:szCs w:val="24"/>
          <w:highlight w:val="none"/>
        </w:rPr>
        <w:t>公章）                 承包人：</w:t>
      </w:r>
      <w:r>
        <w:rPr>
          <w:rFonts w:hint="eastAsia" w:cs="宋体"/>
          <w:color w:val="auto"/>
          <w:sz w:val="24"/>
          <w:szCs w:val="24"/>
          <w:highlight w:val="none"/>
          <w:u w:val="single"/>
        </w:rPr>
        <w:t>        （</w:t>
      </w:r>
      <w:r>
        <w:rPr>
          <w:rFonts w:hint="eastAsia" w:cs="宋体"/>
          <w:color w:val="auto"/>
          <w:sz w:val="24"/>
          <w:szCs w:val="24"/>
          <w:highlight w:val="none"/>
        </w:rPr>
        <w:t>公章）</w:t>
      </w:r>
    </w:p>
    <w:p w14:paraId="7996A2C2">
      <w:pPr>
        <w:snapToGrid w:val="0"/>
        <w:spacing w:line="360" w:lineRule="auto"/>
        <w:rPr>
          <w:rFonts w:cs="宋体"/>
          <w:color w:val="auto"/>
          <w:sz w:val="24"/>
          <w:szCs w:val="24"/>
          <w:highlight w:val="none"/>
        </w:rPr>
      </w:pPr>
      <w:r>
        <w:rPr>
          <w:rFonts w:hint="eastAsia" w:cs="宋体"/>
          <w:color w:val="auto"/>
          <w:sz w:val="24"/>
          <w:szCs w:val="24"/>
          <w:highlight w:val="none"/>
        </w:rPr>
        <w:t>法定代表人或其委托代理人：                 法定代表人或其委托代理人：</w:t>
      </w:r>
    </w:p>
    <w:p w14:paraId="4F20C616">
      <w:pPr>
        <w:snapToGrid w:val="0"/>
        <w:spacing w:line="360" w:lineRule="auto"/>
        <w:rPr>
          <w:rFonts w:cs="宋体"/>
          <w:color w:val="auto"/>
          <w:sz w:val="24"/>
          <w:szCs w:val="24"/>
          <w:highlight w:val="none"/>
        </w:rPr>
      </w:pPr>
      <w:r>
        <w:rPr>
          <w:rFonts w:hint="eastAsia" w:cs="宋体"/>
          <w:color w:val="auto"/>
          <w:sz w:val="24"/>
          <w:szCs w:val="24"/>
          <w:highlight w:val="none"/>
        </w:rPr>
        <w:t>（签字）</w:t>
      </w:r>
      <w:r>
        <w:rPr>
          <w:rFonts w:hint="eastAsia" w:cs="宋体"/>
          <w:color w:val="auto"/>
          <w:sz w:val="24"/>
          <w:szCs w:val="24"/>
          <w:highlight w:val="none"/>
          <w:u w:val="single"/>
        </w:rPr>
        <w:t xml:space="preserve">                    </w:t>
      </w:r>
      <w:r>
        <w:rPr>
          <w:rFonts w:hint="eastAsia" w:cs="宋体"/>
          <w:color w:val="auto"/>
          <w:sz w:val="24"/>
          <w:szCs w:val="24"/>
          <w:highlight w:val="none"/>
        </w:rPr>
        <w:t xml:space="preserve">              （签字）</w:t>
      </w:r>
      <w:r>
        <w:rPr>
          <w:rFonts w:hint="eastAsia" w:cs="宋体"/>
          <w:color w:val="auto"/>
          <w:sz w:val="24"/>
          <w:szCs w:val="24"/>
          <w:highlight w:val="none"/>
          <w:u w:val="single"/>
        </w:rPr>
        <w:t xml:space="preserve">                   </w:t>
      </w:r>
    </w:p>
    <w:p w14:paraId="71828A04">
      <w:pPr>
        <w:tabs>
          <w:tab w:val="left" w:pos="4410"/>
        </w:tabs>
        <w:snapToGrid w:val="0"/>
        <w:spacing w:line="360" w:lineRule="auto"/>
        <w:rPr>
          <w:rFonts w:cs="宋体"/>
          <w:color w:val="auto"/>
          <w:sz w:val="24"/>
          <w:szCs w:val="24"/>
          <w:highlight w:val="none"/>
        </w:rPr>
      </w:pPr>
      <w:r>
        <w:rPr>
          <w:rFonts w:hint="eastAsia" w:cs="宋体"/>
          <w:color w:val="auto"/>
          <w:sz w:val="24"/>
          <w:szCs w:val="24"/>
          <w:highlight w:val="none"/>
        </w:rPr>
        <w:t>组织机构代码：</w:t>
      </w:r>
      <w:r>
        <w:rPr>
          <w:rFonts w:hint="eastAsia" w:cs="宋体"/>
          <w:color w:val="auto"/>
          <w:sz w:val="24"/>
          <w:szCs w:val="24"/>
          <w:highlight w:val="none"/>
          <w:u w:val="single"/>
        </w:rPr>
        <w:t xml:space="preserve">       </w:t>
      </w:r>
      <w:r>
        <w:rPr>
          <w:rFonts w:hint="eastAsia" w:cs="宋体"/>
          <w:color w:val="auto"/>
          <w:sz w:val="24"/>
          <w:szCs w:val="24"/>
          <w:highlight w:val="none"/>
        </w:rPr>
        <w:t xml:space="preserve">                组织机构代码：</w:t>
      </w:r>
      <w:r>
        <w:rPr>
          <w:rFonts w:hint="eastAsia" w:cs="宋体"/>
          <w:color w:val="auto"/>
          <w:sz w:val="24"/>
          <w:szCs w:val="24"/>
          <w:highlight w:val="none"/>
          <w:u w:val="single"/>
        </w:rPr>
        <w:t xml:space="preserve">        </w:t>
      </w:r>
    </w:p>
    <w:p w14:paraId="2318323A">
      <w:pPr>
        <w:snapToGrid w:val="0"/>
        <w:spacing w:line="360" w:lineRule="auto"/>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    </w:t>
      </w:r>
      <w:r>
        <w:rPr>
          <w:rFonts w:hint="eastAsia" w:cs="宋体"/>
          <w:color w:val="auto"/>
          <w:sz w:val="24"/>
          <w:szCs w:val="24"/>
          <w:highlight w:val="none"/>
        </w:rPr>
        <w:t xml:space="preserve">                地  址：</w:t>
      </w:r>
      <w:r>
        <w:rPr>
          <w:rFonts w:hint="eastAsia" w:cs="宋体"/>
          <w:color w:val="auto"/>
          <w:sz w:val="24"/>
          <w:szCs w:val="24"/>
          <w:highlight w:val="none"/>
          <w:u w:val="single"/>
        </w:rPr>
        <w:t xml:space="preserve">     </w:t>
      </w:r>
    </w:p>
    <w:p w14:paraId="5E7760E2">
      <w:pPr>
        <w:snapToGrid w:val="0"/>
        <w:spacing w:line="360" w:lineRule="auto"/>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     </w:t>
      </w:r>
      <w:r>
        <w:rPr>
          <w:rFonts w:hint="eastAsia" w:cs="宋体"/>
          <w:color w:val="auto"/>
          <w:sz w:val="24"/>
          <w:szCs w:val="24"/>
          <w:highlight w:val="none"/>
        </w:rPr>
        <w:t xml:space="preserve">               邮政编码：</w:t>
      </w:r>
      <w:r>
        <w:rPr>
          <w:rFonts w:hint="eastAsia" w:cs="宋体"/>
          <w:color w:val="auto"/>
          <w:sz w:val="24"/>
          <w:szCs w:val="24"/>
          <w:highlight w:val="none"/>
          <w:u w:val="single"/>
        </w:rPr>
        <w:t xml:space="preserve"> </w:t>
      </w:r>
    </w:p>
    <w:p w14:paraId="268A561D">
      <w:pPr>
        <w:snapToGrid w:val="0"/>
        <w:spacing w:line="360" w:lineRule="auto"/>
        <w:rPr>
          <w:rFonts w:cs="宋体"/>
          <w:color w:val="auto"/>
          <w:sz w:val="24"/>
          <w:szCs w:val="24"/>
          <w:highlight w:val="none"/>
        </w:rPr>
      </w:pPr>
      <w:r>
        <w:rPr>
          <w:rFonts w:hint="eastAsia" w:cs="宋体"/>
          <w:color w:val="auto"/>
          <w:sz w:val="24"/>
          <w:szCs w:val="24"/>
          <w:highlight w:val="none"/>
        </w:rPr>
        <w:t>法定代表人：</w:t>
      </w:r>
      <w:r>
        <w:rPr>
          <w:rFonts w:hint="eastAsia" w:cs="宋体"/>
          <w:color w:val="auto"/>
          <w:sz w:val="24"/>
          <w:szCs w:val="24"/>
          <w:highlight w:val="none"/>
          <w:u w:val="single"/>
        </w:rPr>
        <w:t xml:space="preserve">           </w:t>
      </w:r>
      <w:r>
        <w:rPr>
          <w:rFonts w:hint="eastAsia" w:cs="宋体"/>
          <w:color w:val="auto"/>
          <w:sz w:val="24"/>
          <w:szCs w:val="24"/>
          <w:highlight w:val="none"/>
        </w:rPr>
        <w:t xml:space="preserve">                法定代表人：</w:t>
      </w:r>
      <w:r>
        <w:rPr>
          <w:rFonts w:hint="eastAsia" w:cs="宋体"/>
          <w:color w:val="auto"/>
          <w:sz w:val="24"/>
          <w:szCs w:val="24"/>
          <w:highlight w:val="none"/>
          <w:u w:val="single"/>
        </w:rPr>
        <w:t xml:space="preserve">          </w:t>
      </w:r>
    </w:p>
    <w:p w14:paraId="31302DFF">
      <w:pPr>
        <w:snapToGrid w:val="0"/>
        <w:spacing w:line="360" w:lineRule="auto"/>
        <w:rPr>
          <w:rFonts w:cs="宋体"/>
          <w:color w:val="auto"/>
          <w:sz w:val="24"/>
          <w:szCs w:val="24"/>
          <w:highlight w:val="none"/>
        </w:rPr>
      </w:pPr>
      <w:r>
        <w:rPr>
          <w:rFonts w:hint="eastAsia" w:cs="宋体"/>
          <w:color w:val="auto"/>
          <w:sz w:val="24"/>
          <w:szCs w:val="24"/>
          <w:highlight w:val="none"/>
        </w:rPr>
        <w:t>委托代理人：</w:t>
      </w:r>
      <w:r>
        <w:rPr>
          <w:rFonts w:hint="eastAsia" w:cs="宋体"/>
          <w:color w:val="auto"/>
          <w:sz w:val="24"/>
          <w:szCs w:val="24"/>
          <w:highlight w:val="none"/>
          <w:u w:val="single"/>
        </w:rPr>
        <w:t xml:space="preserve">           </w:t>
      </w:r>
      <w:r>
        <w:rPr>
          <w:rFonts w:hint="eastAsia" w:cs="宋体"/>
          <w:color w:val="auto"/>
          <w:sz w:val="24"/>
          <w:szCs w:val="24"/>
          <w:highlight w:val="none"/>
        </w:rPr>
        <w:t xml:space="preserve">                委托代理人：</w:t>
      </w:r>
      <w:r>
        <w:rPr>
          <w:rFonts w:hint="eastAsia" w:cs="宋体"/>
          <w:color w:val="auto"/>
          <w:sz w:val="24"/>
          <w:szCs w:val="24"/>
          <w:highlight w:val="none"/>
          <w:u w:val="single"/>
        </w:rPr>
        <w:t xml:space="preserve">          </w:t>
      </w:r>
    </w:p>
    <w:p w14:paraId="21E4518C">
      <w:pPr>
        <w:snapToGrid w:val="0"/>
        <w:spacing w:line="360" w:lineRule="auto"/>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r>
        <w:rPr>
          <w:rFonts w:hint="eastAsia" w:cs="宋体"/>
          <w:color w:val="auto"/>
          <w:sz w:val="24"/>
          <w:szCs w:val="24"/>
          <w:highlight w:val="none"/>
        </w:rPr>
        <w:t xml:space="preserve">                电  话：</w:t>
      </w:r>
      <w:r>
        <w:rPr>
          <w:rFonts w:hint="eastAsia" w:cs="宋体"/>
          <w:color w:val="auto"/>
          <w:sz w:val="24"/>
          <w:szCs w:val="24"/>
          <w:highlight w:val="none"/>
          <w:u w:val="single"/>
        </w:rPr>
        <w:t xml:space="preserve">  </w:t>
      </w:r>
    </w:p>
    <w:p w14:paraId="19BF5FE0">
      <w:pPr>
        <w:snapToGrid w:val="0"/>
        <w:spacing w:line="360" w:lineRule="auto"/>
        <w:rPr>
          <w:rFonts w:cs="宋体"/>
          <w:color w:val="auto"/>
          <w:sz w:val="24"/>
          <w:szCs w:val="24"/>
          <w:highlight w:val="none"/>
        </w:rPr>
      </w:pPr>
      <w:r>
        <w:rPr>
          <w:rFonts w:hint="eastAsia" w:cs="宋体"/>
          <w:color w:val="auto"/>
          <w:sz w:val="24"/>
          <w:szCs w:val="24"/>
          <w:highlight w:val="none"/>
        </w:rPr>
        <w:t>传  真：</w:t>
      </w:r>
      <w:r>
        <w:rPr>
          <w:rFonts w:hint="eastAsia" w:cs="宋体"/>
          <w:color w:val="auto"/>
          <w:sz w:val="24"/>
          <w:szCs w:val="24"/>
          <w:highlight w:val="none"/>
          <w:u w:val="single"/>
        </w:rPr>
        <w:t xml:space="preserve">   </w:t>
      </w:r>
      <w:r>
        <w:rPr>
          <w:rFonts w:hint="eastAsia" w:cs="宋体"/>
          <w:color w:val="auto"/>
          <w:sz w:val="24"/>
          <w:szCs w:val="24"/>
          <w:highlight w:val="none"/>
        </w:rPr>
        <w:t xml:space="preserve">                传  真：</w:t>
      </w:r>
      <w:r>
        <w:rPr>
          <w:rFonts w:hint="eastAsia" w:cs="宋体"/>
          <w:color w:val="auto"/>
          <w:sz w:val="24"/>
          <w:szCs w:val="24"/>
          <w:highlight w:val="none"/>
          <w:u w:val="single"/>
        </w:rPr>
        <w:t>  </w:t>
      </w:r>
    </w:p>
    <w:p w14:paraId="5DADF15A">
      <w:pPr>
        <w:snapToGrid w:val="0"/>
        <w:spacing w:line="360" w:lineRule="auto"/>
        <w:rPr>
          <w:rFonts w:cs="宋体"/>
          <w:color w:val="auto"/>
          <w:sz w:val="24"/>
          <w:szCs w:val="24"/>
          <w:highlight w:val="none"/>
        </w:rPr>
      </w:pPr>
      <w:r>
        <w:rPr>
          <w:rFonts w:hint="eastAsia" w:cs="宋体"/>
          <w:color w:val="auto"/>
          <w:sz w:val="24"/>
          <w:szCs w:val="24"/>
          <w:highlight w:val="none"/>
        </w:rPr>
        <w:t>电子信箱：</w:t>
      </w:r>
      <w:r>
        <w:rPr>
          <w:rFonts w:hint="eastAsia" w:cs="宋体"/>
          <w:color w:val="auto"/>
          <w:sz w:val="24"/>
          <w:szCs w:val="24"/>
          <w:highlight w:val="none"/>
          <w:u w:val="single"/>
        </w:rPr>
        <w:t xml:space="preserve">                 </w:t>
      </w:r>
      <w:r>
        <w:rPr>
          <w:rFonts w:hint="eastAsia" w:cs="宋体"/>
          <w:color w:val="auto"/>
          <w:sz w:val="24"/>
          <w:szCs w:val="24"/>
          <w:highlight w:val="none"/>
        </w:rPr>
        <w:t xml:space="preserve">                电子信箱：</w:t>
      </w:r>
      <w:r>
        <w:rPr>
          <w:rFonts w:hint="eastAsia" w:cs="宋体"/>
          <w:color w:val="auto"/>
          <w:sz w:val="24"/>
          <w:szCs w:val="24"/>
          <w:highlight w:val="none"/>
          <w:u w:val="single"/>
        </w:rPr>
        <w:t></w:t>
      </w:r>
    </w:p>
    <w:p w14:paraId="394753CD">
      <w:pPr>
        <w:snapToGrid w:val="0"/>
        <w:spacing w:line="360" w:lineRule="auto"/>
        <w:rPr>
          <w:rFonts w:cs="宋体"/>
          <w:color w:val="auto"/>
          <w:sz w:val="24"/>
          <w:szCs w:val="24"/>
          <w:highlight w:val="none"/>
        </w:rPr>
      </w:pPr>
      <w:r>
        <w:rPr>
          <w:rFonts w:hint="eastAsia" w:cs="宋体"/>
          <w:color w:val="auto"/>
          <w:sz w:val="24"/>
          <w:szCs w:val="24"/>
          <w:highlight w:val="none"/>
        </w:rPr>
        <w:t>开户银行：</w:t>
      </w:r>
      <w:r>
        <w:rPr>
          <w:rFonts w:hint="eastAsia" w:cs="宋体"/>
          <w:color w:val="auto"/>
          <w:sz w:val="24"/>
          <w:szCs w:val="24"/>
          <w:highlight w:val="none"/>
          <w:u w:val="single"/>
        </w:rPr>
        <w:t xml:space="preserve">   </w:t>
      </w:r>
      <w:r>
        <w:rPr>
          <w:rFonts w:hint="eastAsia" w:cs="宋体"/>
          <w:color w:val="auto"/>
          <w:sz w:val="24"/>
          <w:szCs w:val="24"/>
          <w:highlight w:val="none"/>
        </w:rPr>
        <w:t xml:space="preserve">                开户银行：</w:t>
      </w:r>
      <w:r>
        <w:rPr>
          <w:rFonts w:hint="eastAsia" w:cs="宋体"/>
          <w:color w:val="auto"/>
          <w:sz w:val="24"/>
          <w:szCs w:val="24"/>
          <w:highlight w:val="none"/>
          <w:u w:val="single"/>
        </w:rPr>
        <w:t></w:t>
      </w:r>
    </w:p>
    <w:p w14:paraId="435EBC99">
      <w:pPr>
        <w:snapToGrid w:val="0"/>
        <w:spacing w:line="360" w:lineRule="auto"/>
        <w:rPr>
          <w:rFonts w:cs="宋体"/>
          <w:color w:val="auto"/>
          <w:sz w:val="24"/>
          <w:szCs w:val="24"/>
          <w:highlight w:val="none"/>
        </w:rPr>
      </w:pPr>
      <w:r>
        <w:rPr>
          <w:rFonts w:hint="eastAsia" w:cs="宋体"/>
          <w:color w:val="auto"/>
          <w:sz w:val="24"/>
          <w:szCs w:val="24"/>
          <w:highlight w:val="none"/>
        </w:rPr>
        <w:t>账  号：</w:t>
      </w:r>
      <w:r>
        <w:rPr>
          <w:rFonts w:hint="eastAsia" w:cs="宋体"/>
          <w:color w:val="auto"/>
          <w:sz w:val="24"/>
          <w:szCs w:val="24"/>
          <w:highlight w:val="none"/>
          <w:u w:val="single"/>
        </w:rPr>
        <w:t xml:space="preserve">       </w:t>
      </w:r>
      <w:r>
        <w:rPr>
          <w:rFonts w:hint="eastAsia" w:cs="宋体"/>
          <w:color w:val="auto"/>
          <w:sz w:val="24"/>
          <w:szCs w:val="24"/>
          <w:highlight w:val="none"/>
        </w:rPr>
        <w:t xml:space="preserve">                账  号：</w:t>
      </w:r>
      <w:r>
        <w:rPr>
          <w:rFonts w:hint="eastAsia" w:cs="宋体"/>
          <w:color w:val="auto"/>
          <w:sz w:val="24"/>
          <w:szCs w:val="24"/>
          <w:highlight w:val="none"/>
          <w:u w:val="single"/>
        </w:rPr>
        <w:t xml:space="preserve">   </w:t>
      </w:r>
    </w:p>
    <w:p w14:paraId="71BD45F5">
      <w:pPr>
        <w:keepNext/>
        <w:keepLines/>
        <w:snapToGrid w:val="0"/>
        <w:spacing w:before="312" w:beforeLines="100" w:after="312" w:afterLines="100" w:line="360" w:lineRule="auto"/>
        <w:jc w:val="center"/>
        <w:outlineLvl w:val="1"/>
        <w:rPr>
          <w:rFonts w:cs="宋体"/>
          <w:bCs/>
          <w:color w:val="auto"/>
          <w:sz w:val="24"/>
          <w:szCs w:val="24"/>
          <w:highlight w:val="none"/>
        </w:rPr>
      </w:pPr>
      <w:r>
        <w:rPr>
          <w:rFonts w:hint="eastAsia" w:cs="宋体"/>
          <w:b/>
          <w:bCs/>
          <w:color w:val="auto"/>
          <w:sz w:val="24"/>
          <w:szCs w:val="24"/>
          <w:highlight w:val="none"/>
        </w:rPr>
        <w:br w:type="page"/>
      </w:r>
      <w:bookmarkStart w:id="64" w:name="_Toc30550"/>
      <w:bookmarkStart w:id="65" w:name="_Toc130919121"/>
      <w:bookmarkStart w:id="66" w:name="_Toc28799377"/>
      <w:r>
        <w:rPr>
          <w:rFonts w:hint="eastAsia" w:ascii="等线" w:hAnsi="等线" w:eastAsia="等线" w:cs="@仿宋_GB2312"/>
          <w:b/>
          <w:color w:val="auto"/>
          <w:kern w:val="2"/>
          <w:sz w:val="24"/>
          <w:szCs w:val="24"/>
          <w:highlight w:val="none"/>
        </w:rPr>
        <w:t>第二节  通用合同条款</w:t>
      </w:r>
      <w:bookmarkEnd w:id="64"/>
      <w:bookmarkEnd w:id="65"/>
      <w:bookmarkEnd w:id="66"/>
    </w:p>
    <w:p w14:paraId="42467876">
      <w:pPr>
        <w:spacing w:line="360" w:lineRule="auto"/>
        <w:ind w:firstLine="480" w:firstLineChars="200"/>
        <w:rPr>
          <w:rFonts w:cs="Times New Roman"/>
          <w:snapToGrid w:val="0"/>
          <w:color w:val="auto"/>
          <w:sz w:val="24"/>
          <w:szCs w:val="24"/>
          <w:highlight w:val="none"/>
        </w:rPr>
      </w:pPr>
      <w:r>
        <w:rPr>
          <w:rFonts w:hint="eastAsia" w:cs="Times New Roman"/>
          <w:snapToGrid w:val="0"/>
          <w:color w:val="auto"/>
          <w:sz w:val="24"/>
          <w:szCs w:val="24"/>
          <w:highlight w:val="none"/>
        </w:rPr>
        <w:t>采用《建设工程施工合同（示范文本）》（GF-2017-0201）中通用合同条款。上述资料由承包人自行准备。</w:t>
      </w:r>
    </w:p>
    <w:p w14:paraId="469D9649">
      <w:pPr>
        <w:keepNext/>
        <w:keepLines/>
        <w:snapToGrid w:val="0"/>
        <w:spacing w:before="312" w:beforeLines="100" w:after="312" w:afterLines="100" w:line="360" w:lineRule="auto"/>
        <w:jc w:val="center"/>
        <w:outlineLvl w:val="1"/>
        <w:rPr>
          <w:rFonts w:cs="宋体"/>
          <w:bCs/>
          <w:color w:val="auto"/>
          <w:sz w:val="24"/>
          <w:szCs w:val="24"/>
          <w:highlight w:val="none"/>
        </w:rPr>
      </w:pPr>
      <w:r>
        <w:rPr>
          <w:rFonts w:hint="eastAsia" w:cs="宋体"/>
          <w:b/>
          <w:bCs/>
          <w:color w:val="auto"/>
          <w:sz w:val="24"/>
          <w:szCs w:val="24"/>
          <w:highlight w:val="none"/>
        </w:rPr>
        <w:br w:type="page"/>
      </w:r>
      <w:bookmarkStart w:id="67" w:name="_Toc31931"/>
      <w:bookmarkStart w:id="68" w:name="_Toc28799378"/>
      <w:bookmarkStart w:id="69" w:name="_Toc130919122"/>
      <w:r>
        <w:rPr>
          <w:rFonts w:hint="eastAsia" w:ascii="等线" w:hAnsi="等线" w:eastAsia="等线" w:cs="@仿宋_GB2312"/>
          <w:b/>
          <w:color w:val="auto"/>
          <w:kern w:val="2"/>
          <w:sz w:val="24"/>
          <w:szCs w:val="24"/>
          <w:highlight w:val="none"/>
        </w:rPr>
        <w:t>第三节  专用合同条款</w:t>
      </w:r>
      <w:bookmarkEnd w:id="67"/>
      <w:bookmarkEnd w:id="68"/>
      <w:bookmarkEnd w:id="69"/>
    </w:p>
    <w:p w14:paraId="76FD2929">
      <w:pPr>
        <w:snapToGrid w:val="0"/>
        <w:spacing w:before="312" w:beforeLines="100" w:after="312" w:afterLines="100" w:line="360" w:lineRule="auto"/>
        <w:jc w:val="center"/>
        <w:outlineLvl w:val="2"/>
        <w:rPr>
          <w:rFonts w:cs="宋体"/>
          <w:color w:val="auto"/>
          <w:sz w:val="24"/>
          <w:szCs w:val="24"/>
          <w:highlight w:val="none"/>
        </w:rPr>
      </w:pPr>
      <w:bookmarkStart w:id="70" w:name="_Toc351203633"/>
      <w:r>
        <w:rPr>
          <w:rFonts w:hint="eastAsia" w:cs="宋体"/>
          <w:color w:val="auto"/>
          <w:sz w:val="24"/>
          <w:szCs w:val="24"/>
          <w:highlight w:val="none"/>
        </w:rPr>
        <w:t>专用合同条款数据表</w:t>
      </w:r>
    </w:p>
    <w:p w14:paraId="552A1396">
      <w:pPr>
        <w:pStyle w:val="21"/>
        <w:snapToGrid w:val="0"/>
        <w:spacing w:line="360" w:lineRule="auto"/>
        <w:ind w:left="400" w:firstLine="480"/>
        <w:rPr>
          <w:rFonts w:ascii="宋体" w:hAnsi="宋体" w:cs="宋体"/>
          <w:color w:val="auto"/>
          <w:sz w:val="24"/>
          <w:szCs w:val="24"/>
          <w:highlight w:val="none"/>
        </w:rPr>
      </w:pPr>
      <w:r>
        <w:rPr>
          <w:rFonts w:hint="eastAsia" w:ascii="宋体" w:hAnsi="宋体" w:cs="宋体"/>
          <w:color w:val="auto"/>
          <w:sz w:val="24"/>
          <w:szCs w:val="24"/>
          <w:highlight w:val="none"/>
        </w:rPr>
        <w:t>说明：本数据表是项目专用合同条款中适用于本招标项目的信息和数据的归纳与提示，是项目专用合同条款的组成部分。</w:t>
      </w:r>
    </w:p>
    <w:tbl>
      <w:tblPr>
        <w:tblStyle w:val="55"/>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2A2A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29" w:type="dxa"/>
            <w:vAlign w:val="center"/>
          </w:tcPr>
          <w:p w14:paraId="453C8631">
            <w:pPr>
              <w:snapToGrid w:val="0"/>
              <w:spacing w:before="100" w:beforeAutospacing="1" w:line="360" w:lineRule="auto"/>
              <w:ind w:left="-100" w:leftChars="-50" w:right="-100" w:rightChars="-50"/>
              <w:jc w:val="center"/>
              <w:rPr>
                <w:rFonts w:cs="宋体"/>
                <w:b/>
                <w:color w:val="auto"/>
                <w:sz w:val="24"/>
                <w:szCs w:val="24"/>
                <w:highlight w:val="none"/>
              </w:rPr>
            </w:pPr>
            <w:r>
              <w:rPr>
                <w:rFonts w:hint="eastAsia" w:cs="宋体"/>
                <w:b/>
                <w:color w:val="auto"/>
                <w:sz w:val="24"/>
                <w:szCs w:val="24"/>
                <w:highlight w:val="none"/>
              </w:rPr>
              <w:t>序号</w:t>
            </w:r>
          </w:p>
        </w:tc>
        <w:tc>
          <w:tcPr>
            <w:tcW w:w="1111" w:type="dxa"/>
            <w:vAlign w:val="center"/>
          </w:tcPr>
          <w:p w14:paraId="10BED132">
            <w:pPr>
              <w:snapToGrid w:val="0"/>
              <w:spacing w:line="360" w:lineRule="auto"/>
              <w:ind w:left="-100" w:leftChars="-50" w:right="-100" w:rightChars="-50"/>
              <w:jc w:val="center"/>
              <w:rPr>
                <w:rFonts w:cs="宋体"/>
                <w:b/>
                <w:color w:val="auto"/>
                <w:sz w:val="24"/>
                <w:szCs w:val="24"/>
                <w:highlight w:val="none"/>
              </w:rPr>
            </w:pPr>
            <w:r>
              <w:rPr>
                <w:rFonts w:hint="eastAsia" w:cs="宋体"/>
                <w:b/>
                <w:color w:val="auto"/>
                <w:sz w:val="24"/>
                <w:szCs w:val="24"/>
                <w:highlight w:val="none"/>
              </w:rPr>
              <w:t>条目号</w:t>
            </w:r>
          </w:p>
        </w:tc>
        <w:tc>
          <w:tcPr>
            <w:tcW w:w="7304" w:type="dxa"/>
            <w:vAlign w:val="center"/>
          </w:tcPr>
          <w:p w14:paraId="55FAA5EF">
            <w:pPr>
              <w:snapToGrid w:val="0"/>
              <w:spacing w:line="360" w:lineRule="auto"/>
              <w:jc w:val="center"/>
              <w:rPr>
                <w:rFonts w:cs="宋体"/>
                <w:b/>
                <w:color w:val="auto"/>
                <w:sz w:val="24"/>
                <w:szCs w:val="24"/>
                <w:highlight w:val="none"/>
              </w:rPr>
            </w:pPr>
            <w:r>
              <w:rPr>
                <w:rFonts w:hint="eastAsia" w:cs="宋体"/>
                <w:b/>
                <w:color w:val="auto"/>
                <w:sz w:val="24"/>
                <w:szCs w:val="24"/>
                <w:highlight w:val="none"/>
              </w:rPr>
              <w:t>信息或数据</w:t>
            </w:r>
          </w:p>
        </w:tc>
      </w:tr>
      <w:tr w14:paraId="4A48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6FF45977">
            <w:pPr>
              <w:numPr>
                <w:ilvl w:val="0"/>
                <w:numId w:val="5"/>
              </w:numPr>
              <w:snapToGrid w:val="0"/>
              <w:spacing w:line="360" w:lineRule="auto"/>
              <w:jc w:val="center"/>
              <w:rPr>
                <w:rFonts w:cs="宋体"/>
                <w:b w:val="0"/>
                <w:bCs/>
                <w:strike w:val="0"/>
                <w:dstrike w:val="0"/>
                <w:color w:val="auto"/>
                <w:kern w:val="2"/>
                <w:sz w:val="24"/>
                <w:szCs w:val="24"/>
                <w:highlight w:val="none"/>
              </w:rPr>
            </w:pPr>
          </w:p>
        </w:tc>
        <w:tc>
          <w:tcPr>
            <w:tcW w:w="1111" w:type="dxa"/>
            <w:vAlign w:val="center"/>
          </w:tcPr>
          <w:p w14:paraId="09DE1045">
            <w:pPr>
              <w:snapToGrid w:val="0"/>
              <w:spacing w:line="360" w:lineRule="auto"/>
              <w:jc w:val="center"/>
              <w:rPr>
                <w:rFonts w:cs="宋体"/>
                <w:b w:val="0"/>
                <w:bCs/>
                <w:strike w:val="0"/>
                <w:dstrike w:val="0"/>
                <w:color w:val="auto"/>
                <w:sz w:val="24"/>
                <w:szCs w:val="24"/>
                <w:highlight w:val="none"/>
              </w:rPr>
            </w:pPr>
            <w:r>
              <w:rPr>
                <w:rFonts w:hint="eastAsia" w:cs="宋体"/>
                <w:b w:val="0"/>
                <w:bCs/>
                <w:strike w:val="0"/>
                <w:dstrike w:val="0"/>
                <w:color w:val="auto"/>
                <w:sz w:val="24"/>
                <w:szCs w:val="24"/>
                <w:highlight w:val="none"/>
              </w:rPr>
              <w:t>2.5</w:t>
            </w:r>
          </w:p>
        </w:tc>
        <w:tc>
          <w:tcPr>
            <w:tcW w:w="7304" w:type="dxa"/>
            <w:vAlign w:val="center"/>
          </w:tcPr>
          <w:p w14:paraId="373B0AAF">
            <w:pPr>
              <w:snapToGrid w:val="0"/>
              <w:spacing w:line="360" w:lineRule="auto"/>
              <w:rPr>
                <w:rFonts w:hint="eastAsia" w:cs="宋体"/>
                <w:b w:val="0"/>
                <w:bCs/>
                <w:strike w:val="0"/>
                <w:dstrike w:val="0"/>
                <w:color w:val="auto"/>
                <w:sz w:val="24"/>
                <w:szCs w:val="24"/>
                <w:highlight w:val="none"/>
                <w:u w:val="single"/>
                <w:lang w:val="en-US" w:eastAsia="zh-CN"/>
              </w:rPr>
            </w:pPr>
            <w:r>
              <w:rPr>
                <w:rFonts w:hint="eastAsia" w:cs="宋体"/>
                <w:b w:val="0"/>
                <w:bCs/>
                <w:strike w:val="0"/>
                <w:dstrike w:val="0"/>
                <w:color w:val="auto"/>
                <w:sz w:val="24"/>
                <w:szCs w:val="24"/>
                <w:highlight w:val="none"/>
              </w:rPr>
              <w:t>发包人提供资金来源证明的期限要求：</w:t>
            </w:r>
            <w:r>
              <w:rPr>
                <w:rFonts w:hint="eastAsia" w:cs="宋体"/>
                <w:b w:val="0"/>
                <w:bCs/>
                <w:strike w:val="0"/>
                <w:dstrike w:val="0"/>
                <w:color w:val="auto"/>
                <w:sz w:val="24"/>
                <w:szCs w:val="24"/>
                <w:highlight w:val="none"/>
                <w:u w:val="single"/>
                <w:lang w:val="en-US" w:eastAsia="zh-CN"/>
              </w:rPr>
              <w:t>/</w:t>
            </w:r>
          </w:p>
          <w:p w14:paraId="1B541DE4">
            <w:pPr>
              <w:snapToGrid w:val="0"/>
              <w:spacing w:line="360" w:lineRule="auto"/>
              <w:rPr>
                <w:rFonts w:hint="default" w:eastAsia="宋体" w:cs="宋体"/>
                <w:b w:val="0"/>
                <w:bCs/>
                <w:strike w:val="0"/>
                <w:dstrike w:val="0"/>
                <w:color w:val="auto"/>
                <w:sz w:val="24"/>
                <w:szCs w:val="24"/>
                <w:highlight w:val="none"/>
                <w:u w:val="single"/>
                <w:lang w:val="en-US" w:eastAsia="zh-CN"/>
              </w:rPr>
            </w:pPr>
            <w:r>
              <w:rPr>
                <w:rFonts w:hint="eastAsia" w:cs="宋体"/>
                <w:b w:val="0"/>
                <w:bCs/>
                <w:strike w:val="0"/>
                <w:dstrike w:val="0"/>
                <w:color w:val="auto"/>
                <w:sz w:val="24"/>
                <w:szCs w:val="24"/>
                <w:highlight w:val="none"/>
              </w:rPr>
              <w:t>发包人是否提供支付担保：</w:t>
            </w:r>
            <w:r>
              <w:rPr>
                <w:rFonts w:hint="eastAsia" w:cs="宋体"/>
                <w:b w:val="0"/>
                <w:bCs/>
                <w:strike w:val="0"/>
                <w:dstrike w:val="0"/>
                <w:color w:val="auto"/>
                <w:sz w:val="24"/>
                <w:szCs w:val="24"/>
                <w:highlight w:val="none"/>
                <w:u w:val="single"/>
                <w:lang w:val="en-US" w:eastAsia="zh-CN"/>
              </w:rPr>
              <w:t>/</w:t>
            </w:r>
          </w:p>
          <w:p w14:paraId="3E2C5089">
            <w:pPr>
              <w:snapToGrid w:val="0"/>
              <w:spacing w:line="360" w:lineRule="auto"/>
              <w:rPr>
                <w:rFonts w:hint="eastAsia" w:eastAsia="宋体" w:cs="宋体"/>
                <w:b w:val="0"/>
                <w:bCs/>
                <w:strike w:val="0"/>
                <w:dstrike w:val="0"/>
                <w:color w:val="auto"/>
                <w:sz w:val="24"/>
                <w:szCs w:val="24"/>
                <w:highlight w:val="none"/>
                <w:u w:val="single"/>
                <w:lang w:eastAsia="zh-CN"/>
              </w:rPr>
            </w:pPr>
            <w:r>
              <w:rPr>
                <w:rFonts w:hint="eastAsia" w:cs="宋体"/>
                <w:b w:val="0"/>
                <w:bCs/>
                <w:strike w:val="0"/>
                <w:dstrike w:val="0"/>
                <w:color w:val="auto"/>
                <w:sz w:val="24"/>
                <w:szCs w:val="24"/>
                <w:highlight w:val="none"/>
              </w:rPr>
              <w:t>发包人提供支付担保的形式：</w:t>
            </w:r>
            <w:r>
              <w:rPr>
                <w:rFonts w:hint="eastAsia" w:cs="宋体"/>
                <w:b w:val="0"/>
                <w:bCs/>
                <w:strike w:val="0"/>
                <w:dstrike w:val="0"/>
                <w:color w:val="auto"/>
                <w:sz w:val="24"/>
                <w:szCs w:val="24"/>
                <w:highlight w:val="none"/>
                <w:u w:val="single"/>
                <w:lang w:val="en-US" w:eastAsia="zh-CN"/>
              </w:rPr>
              <w:t>/</w:t>
            </w:r>
          </w:p>
        </w:tc>
      </w:tr>
      <w:tr w14:paraId="2BD0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54E91231">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3A22D9F1">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3.2.1</w:t>
            </w:r>
          </w:p>
        </w:tc>
        <w:tc>
          <w:tcPr>
            <w:tcW w:w="7304" w:type="dxa"/>
            <w:vAlign w:val="center"/>
          </w:tcPr>
          <w:p w14:paraId="3C9A5E43">
            <w:pPr>
              <w:snapToGrid w:val="0"/>
              <w:spacing w:line="360" w:lineRule="auto"/>
              <w:rPr>
                <w:rFonts w:cs="宋体"/>
                <w:bCs/>
                <w:color w:val="auto"/>
                <w:sz w:val="24"/>
                <w:szCs w:val="24"/>
                <w:highlight w:val="none"/>
              </w:rPr>
            </w:pPr>
            <w:r>
              <w:rPr>
                <w:rFonts w:hint="eastAsia" w:cs="宋体"/>
                <w:bCs/>
                <w:color w:val="auto"/>
                <w:sz w:val="24"/>
                <w:szCs w:val="24"/>
                <w:highlight w:val="none"/>
              </w:rPr>
              <w:t>项目经理</w:t>
            </w:r>
          </w:p>
          <w:p w14:paraId="753B6E8F">
            <w:pPr>
              <w:snapToGrid w:val="0"/>
              <w:spacing w:line="360" w:lineRule="auto"/>
              <w:rPr>
                <w:rFonts w:cs="宋体"/>
                <w:bCs/>
                <w:color w:val="auto"/>
                <w:sz w:val="24"/>
                <w:szCs w:val="24"/>
                <w:highlight w:val="none"/>
              </w:rPr>
            </w:pPr>
            <w:r>
              <w:rPr>
                <w:rFonts w:hint="eastAsia" w:cs="宋体"/>
                <w:bCs/>
                <w:color w:val="auto"/>
                <w:sz w:val="24"/>
                <w:szCs w:val="24"/>
                <w:highlight w:val="none"/>
              </w:rPr>
              <w:t>姓    名：</w:t>
            </w:r>
            <w:r>
              <w:rPr>
                <w:rFonts w:hint="eastAsia" w:cs="宋体"/>
                <w:bCs/>
                <w:color w:val="auto"/>
                <w:sz w:val="24"/>
                <w:szCs w:val="24"/>
                <w:highlight w:val="none"/>
                <w:u w:val="single"/>
              </w:rPr>
              <w:t xml:space="preserve">          </w:t>
            </w:r>
          </w:p>
          <w:p w14:paraId="58F4276E">
            <w:pPr>
              <w:snapToGrid w:val="0"/>
              <w:spacing w:line="360" w:lineRule="auto"/>
              <w:rPr>
                <w:rFonts w:cs="宋体"/>
                <w:bCs/>
                <w:color w:val="auto"/>
                <w:sz w:val="24"/>
                <w:szCs w:val="24"/>
                <w:highlight w:val="none"/>
              </w:rPr>
            </w:pPr>
            <w:r>
              <w:rPr>
                <w:rFonts w:hint="eastAsia" w:cs="宋体"/>
                <w:bCs/>
                <w:color w:val="auto"/>
                <w:sz w:val="24"/>
                <w:szCs w:val="24"/>
                <w:highlight w:val="none"/>
              </w:rPr>
              <w:t>身份证号：</w:t>
            </w:r>
            <w:r>
              <w:rPr>
                <w:rFonts w:hint="eastAsia" w:cs="宋体"/>
                <w:bCs/>
                <w:color w:val="auto"/>
                <w:sz w:val="24"/>
                <w:szCs w:val="24"/>
                <w:highlight w:val="none"/>
                <w:u w:val="single"/>
              </w:rPr>
              <w:t xml:space="preserve">          </w:t>
            </w:r>
          </w:p>
          <w:p w14:paraId="7F591684">
            <w:pPr>
              <w:snapToGrid w:val="0"/>
              <w:spacing w:line="360" w:lineRule="auto"/>
              <w:rPr>
                <w:rFonts w:cs="宋体"/>
                <w:bCs/>
                <w:color w:val="auto"/>
                <w:sz w:val="24"/>
                <w:szCs w:val="24"/>
                <w:highlight w:val="none"/>
              </w:rPr>
            </w:pPr>
            <w:r>
              <w:rPr>
                <w:rFonts w:hint="eastAsia" w:cs="宋体"/>
                <w:bCs/>
                <w:color w:val="auto"/>
                <w:sz w:val="24"/>
                <w:szCs w:val="24"/>
                <w:highlight w:val="none"/>
              </w:rPr>
              <w:t>建造师执业资格等级：</w:t>
            </w:r>
            <w:r>
              <w:rPr>
                <w:rFonts w:hint="eastAsia" w:cs="宋体"/>
                <w:bCs/>
                <w:color w:val="auto"/>
                <w:sz w:val="24"/>
                <w:szCs w:val="24"/>
                <w:highlight w:val="none"/>
                <w:u w:val="single"/>
              </w:rPr>
              <w:t xml:space="preserve">          </w:t>
            </w:r>
          </w:p>
          <w:p w14:paraId="49DC7053">
            <w:pPr>
              <w:snapToGrid w:val="0"/>
              <w:spacing w:line="360" w:lineRule="auto"/>
              <w:rPr>
                <w:rFonts w:cs="宋体"/>
                <w:bCs/>
                <w:color w:val="auto"/>
                <w:sz w:val="24"/>
                <w:szCs w:val="24"/>
                <w:highlight w:val="none"/>
              </w:rPr>
            </w:pPr>
            <w:r>
              <w:rPr>
                <w:rFonts w:hint="eastAsia" w:cs="宋体"/>
                <w:bCs/>
                <w:color w:val="auto"/>
                <w:sz w:val="24"/>
                <w:szCs w:val="24"/>
                <w:highlight w:val="none"/>
              </w:rPr>
              <w:t>建造师注册证书号：</w:t>
            </w:r>
            <w:r>
              <w:rPr>
                <w:rFonts w:hint="eastAsia" w:cs="宋体"/>
                <w:bCs/>
                <w:color w:val="auto"/>
                <w:sz w:val="24"/>
                <w:szCs w:val="24"/>
                <w:highlight w:val="none"/>
                <w:u w:val="single"/>
              </w:rPr>
              <w:t xml:space="preserve">            </w:t>
            </w:r>
          </w:p>
          <w:p w14:paraId="32778F3C">
            <w:pPr>
              <w:snapToGrid w:val="0"/>
              <w:spacing w:line="360" w:lineRule="auto"/>
              <w:rPr>
                <w:rFonts w:hint="eastAsia" w:eastAsia="宋体" w:cs="宋体"/>
                <w:bCs/>
                <w:strike w:val="0"/>
                <w:dstrike w:val="0"/>
                <w:color w:val="auto"/>
                <w:sz w:val="24"/>
                <w:szCs w:val="24"/>
                <w:highlight w:val="none"/>
                <w:u w:val="single"/>
                <w:lang w:eastAsia="zh-CN"/>
              </w:rPr>
            </w:pPr>
            <w:r>
              <w:rPr>
                <w:rFonts w:hint="eastAsia" w:cs="宋体"/>
                <w:bCs/>
                <w:strike w:val="0"/>
                <w:dstrike w:val="0"/>
                <w:color w:val="auto"/>
                <w:sz w:val="24"/>
                <w:szCs w:val="24"/>
                <w:highlight w:val="none"/>
              </w:rPr>
              <w:t>承包人对项目经理的授权范围如下：</w:t>
            </w:r>
            <w:r>
              <w:rPr>
                <w:rFonts w:hint="eastAsia" w:cs="宋体"/>
                <w:bCs/>
                <w:strike w:val="0"/>
                <w:dstrike w:val="0"/>
                <w:color w:val="auto"/>
                <w:sz w:val="24"/>
                <w:szCs w:val="24"/>
                <w:highlight w:val="none"/>
                <w:u w:val="single"/>
                <w:lang w:val="en-US" w:eastAsia="zh-CN"/>
              </w:rPr>
              <w:t>/</w:t>
            </w:r>
          </w:p>
          <w:p w14:paraId="73849148">
            <w:pPr>
              <w:snapToGrid w:val="0"/>
              <w:spacing w:line="360" w:lineRule="auto"/>
              <w:rPr>
                <w:rFonts w:cs="宋体"/>
                <w:bCs/>
                <w:color w:val="auto"/>
                <w:kern w:val="2"/>
                <w:sz w:val="24"/>
                <w:szCs w:val="24"/>
                <w:highlight w:val="none"/>
              </w:rPr>
            </w:pPr>
            <w:r>
              <w:rPr>
                <w:rFonts w:hint="eastAsia" w:cs="宋体"/>
                <w:bCs/>
                <w:color w:val="auto"/>
                <w:sz w:val="24"/>
                <w:szCs w:val="24"/>
                <w:highlight w:val="none"/>
              </w:rPr>
              <w:t>承包人项目经理每月在施工现场的时间：驻场时间每月不少于</w:t>
            </w:r>
            <w:r>
              <w:rPr>
                <w:rFonts w:hint="eastAsia" w:cs="宋体"/>
                <w:bCs/>
                <w:color w:val="auto"/>
                <w:sz w:val="24"/>
                <w:szCs w:val="24"/>
                <w:highlight w:val="none"/>
                <w:u w:val="single"/>
                <w:lang w:val="en-US" w:eastAsia="zh-CN"/>
              </w:rPr>
              <w:t>22</w:t>
            </w:r>
            <w:r>
              <w:rPr>
                <w:rFonts w:hint="eastAsia" w:cs="宋体"/>
                <w:bCs/>
                <w:color w:val="auto"/>
                <w:sz w:val="24"/>
                <w:szCs w:val="24"/>
                <w:highlight w:val="none"/>
              </w:rPr>
              <w:t>天，每天在岗工作时间不得少于</w:t>
            </w:r>
            <w:r>
              <w:rPr>
                <w:rFonts w:hint="eastAsia" w:cs="宋体"/>
                <w:bCs/>
                <w:color w:val="auto"/>
                <w:sz w:val="24"/>
                <w:szCs w:val="24"/>
                <w:highlight w:val="none"/>
                <w:u w:val="single"/>
                <w:lang w:val="en-US" w:eastAsia="zh-CN"/>
              </w:rPr>
              <w:t>8</w:t>
            </w:r>
            <w:r>
              <w:rPr>
                <w:rFonts w:hint="eastAsia" w:cs="宋体"/>
                <w:bCs/>
                <w:color w:val="auto"/>
                <w:sz w:val="24"/>
                <w:szCs w:val="24"/>
                <w:highlight w:val="none"/>
              </w:rPr>
              <w:t>小时。</w:t>
            </w:r>
          </w:p>
        </w:tc>
      </w:tr>
      <w:tr w14:paraId="0E4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2BDFD1A7">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6062C956">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3.7</w:t>
            </w:r>
          </w:p>
        </w:tc>
        <w:tc>
          <w:tcPr>
            <w:tcW w:w="7304" w:type="dxa"/>
            <w:vAlign w:val="center"/>
          </w:tcPr>
          <w:p w14:paraId="269AD0A6">
            <w:pPr>
              <w:spacing w:line="360" w:lineRule="auto"/>
              <w:rPr>
                <w:bCs/>
                <w:color w:val="auto"/>
                <w:sz w:val="24"/>
                <w:szCs w:val="24"/>
                <w:highlight w:val="none"/>
              </w:rPr>
            </w:pPr>
            <w:r>
              <w:rPr>
                <w:rFonts w:hint="eastAsia"/>
                <w:bCs/>
                <w:color w:val="auto"/>
                <w:sz w:val="24"/>
                <w:szCs w:val="24"/>
                <w:highlight w:val="none"/>
              </w:rPr>
              <w:t>（1）金额：合同价的</w:t>
            </w:r>
            <w:r>
              <w:rPr>
                <w:rFonts w:hint="eastAsia"/>
                <w:bCs/>
                <w:color w:val="auto"/>
                <w:sz w:val="24"/>
                <w:szCs w:val="24"/>
                <w:highlight w:val="none"/>
                <w:u w:val="single"/>
                <w:lang w:val="en-US" w:eastAsia="zh-CN"/>
              </w:rPr>
              <w:t>2.5%</w:t>
            </w:r>
          </w:p>
          <w:p w14:paraId="1E21D96C">
            <w:pPr>
              <w:spacing w:line="360" w:lineRule="auto"/>
              <w:rPr>
                <w:bCs/>
                <w:color w:val="auto"/>
                <w:sz w:val="24"/>
                <w:szCs w:val="24"/>
                <w:highlight w:val="none"/>
              </w:rPr>
            </w:pPr>
            <w:r>
              <w:rPr>
                <w:rFonts w:hint="eastAsia"/>
                <w:bCs/>
                <w:color w:val="auto"/>
                <w:sz w:val="24"/>
                <w:szCs w:val="24"/>
                <w:highlight w:val="none"/>
              </w:rPr>
              <w:t>（2）支付方式：</w:t>
            </w:r>
          </w:p>
          <w:p w14:paraId="484403CA">
            <w:pPr>
              <w:spacing w:line="360" w:lineRule="auto"/>
              <w:rPr>
                <w:bCs/>
                <w:color w:val="auto"/>
                <w:sz w:val="24"/>
                <w:szCs w:val="24"/>
                <w:highlight w:val="none"/>
              </w:rPr>
            </w:pPr>
            <w:r>
              <w:rPr>
                <w:rFonts w:hint="eastAsia"/>
                <w:bCs/>
                <w:color w:val="auto"/>
                <w:sz w:val="24"/>
                <w:szCs w:val="24"/>
                <w:highlight w:val="none"/>
              </w:rPr>
              <w:sym w:font="Wingdings" w:char="00FE"/>
            </w:r>
            <w:r>
              <w:rPr>
                <w:bCs/>
                <w:color w:val="auto"/>
                <w:sz w:val="24"/>
                <w:szCs w:val="24"/>
                <w:highlight w:val="none"/>
              </w:rPr>
              <w:t>转账/电汇</w:t>
            </w:r>
            <w:r>
              <w:rPr>
                <w:rFonts w:hint="eastAsia"/>
                <w:bCs/>
                <w:color w:val="auto"/>
                <w:sz w:val="24"/>
                <w:szCs w:val="24"/>
                <w:highlight w:val="none"/>
              </w:rPr>
              <w:t xml:space="preserve"> </w:t>
            </w:r>
            <w:r>
              <w:rPr>
                <w:rFonts w:hint="eastAsia"/>
                <w:bCs/>
                <w:color w:val="auto"/>
                <w:sz w:val="24"/>
                <w:szCs w:val="24"/>
                <w:highlight w:val="none"/>
              </w:rPr>
              <w:sym w:font="Wingdings" w:char="00FE"/>
            </w:r>
            <w:r>
              <w:rPr>
                <w:bCs/>
                <w:color w:val="auto"/>
                <w:sz w:val="24"/>
                <w:szCs w:val="24"/>
                <w:highlight w:val="none"/>
              </w:rPr>
              <w:t xml:space="preserve">支票 </w:t>
            </w:r>
            <w:r>
              <w:rPr>
                <w:rFonts w:hint="eastAsia"/>
                <w:bCs/>
                <w:color w:val="auto"/>
                <w:sz w:val="24"/>
                <w:szCs w:val="24"/>
                <w:highlight w:val="none"/>
              </w:rPr>
              <w:sym w:font="Wingdings" w:char="00FE"/>
            </w:r>
            <w:r>
              <w:rPr>
                <w:bCs/>
                <w:color w:val="auto"/>
                <w:sz w:val="24"/>
                <w:szCs w:val="24"/>
                <w:highlight w:val="none"/>
              </w:rPr>
              <w:t>汇票</w:t>
            </w:r>
            <w:r>
              <w:rPr>
                <w:rFonts w:hint="eastAsia"/>
                <w:bCs/>
                <w:color w:val="auto"/>
                <w:sz w:val="24"/>
                <w:szCs w:val="24"/>
                <w:highlight w:val="none"/>
              </w:rPr>
              <w:t xml:space="preserve"> </w:t>
            </w:r>
            <w:r>
              <w:rPr>
                <w:rFonts w:hint="eastAsia"/>
                <w:bCs/>
                <w:color w:val="auto"/>
                <w:sz w:val="24"/>
                <w:szCs w:val="24"/>
                <w:highlight w:val="none"/>
              </w:rPr>
              <w:sym w:font="Wingdings" w:char="00FE"/>
            </w:r>
            <w:r>
              <w:rPr>
                <w:rFonts w:hint="eastAsia"/>
                <w:bCs/>
                <w:color w:val="auto"/>
                <w:sz w:val="24"/>
                <w:szCs w:val="24"/>
                <w:highlight w:val="none"/>
              </w:rPr>
              <w:t xml:space="preserve">本票 </w:t>
            </w:r>
            <w:r>
              <w:rPr>
                <w:rFonts w:hint="eastAsia"/>
                <w:bCs/>
                <w:color w:val="auto"/>
                <w:sz w:val="24"/>
                <w:szCs w:val="24"/>
                <w:highlight w:val="none"/>
              </w:rPr>
              <w:sym w:font="Wingdings" w:char="00FE"/>
            </w:r>
            <w:r>
              <w:rPr>
                <w:bCs/>
                <w:color w:val="auto"/>
                <w:sz w:val="24"/>
                <w:szCs w:val="24"/>
                <w:highlight w:val="none"/>
              </w:rPr>
              <w:t>保</w:t>
            </w:r>
            <w:r>
              <w:rPr>
                <w:rFonts w:hint="eastAsia"/>
                <w:bCs/>
                <w:color w:val="auto"/>
                <w:sz w:val="24"/>
                <w:szCs w:val="24"/>
                <w:highlight w:val="none"/>
              </w:rPr>
              <w:t xml:space="preserve">险 </w:t>
            </w:r>
            <w:r>
              <w:rPr>
                <w:rFonts w:hint="eastAsia"/>
                <w:bCs/>
                <w:color w:val="auto"/>
                <w:sz w:val="24"/>
                <w:szCs w:val="24"/>
                <w:highlight w:val="none"/>
              </w:rPr>
              <w:sym w:font="Wingdings" w:char="00FE"/>
            </w:r>
            <w:r>
              <w:rPr>
                <w:rFonts w:hint="eastAsia"/>
                <w:bCs/>
                <w:color w:val="auto"/>
                <w:sz w:val="24"/>
                <w:szCs w:val="24"/>
                <w:highlight w:val="none"/>
              </w:rPr>
              <w:t>保</w:t>
            </w:r>
            <w:r>
              <w:rPr>
                <w:bCs/>
                <w:color w:val="auto"/>
                <w:sz w:val="24"/>
                <w:szCs w:val="24"/>
                <w:highlight w:val="none"/>
              </w:rPr>
              <w:t>函</w:t>
            </w:r>
          </w:p>
          <w:p w14:paraId="43076D47">
            <w:pPr>
              <w:spacing w:line="360" w:lineRule="auto"/>
              <w:rPr>
                <w:rFonts w:hint="default" w:ascii="宋体" w:hAnsi="宋体" w:eastAsia="宋体"/>
                <w:bCs/>
                <w:color w:val="auto"/>
                <w:kern w:val="0"/>
                <w:sz w:val="24"/>
                <w:szCs w:val="24"/>
                <w:highlight w:val="none"/>
                <w:lang w:val="en-US" w:eastAsia="zh-CN"/>
              </w:rPr>
            </w:pPr>
            <w:r>
              <w:rPr>
                <w:rFonts w:hint="eastAsia" w:ascii="宋体" w:hAnsi="宋体" w:eastAsia="宋体"/>
                <w:bCs/>
                <w:color w:val="auto"/>
                <w:kern w:val="0"/>
                <w:sz w:val="24"/>
                <w:szCs w:val="24"/>
                <w:highlight w:val="none"/>
              </w:rPr>
              <w:t>（3）收取单位：</w:t>
            </w:r>
            <w:r>
              <w:rPr>
                <w:rFonts w:hint="eastAsia" w:ascii="宋体" w:hAnsi="宋体" w:eastAsia="宋体"/>
                <w:b/>
                <w:color w:val="auto"/>
                <w:kern w:val="0"/>
                <w:sz w:val="24"/>
                <w:szCs w:val="24"/>
                <w:highlight w:val="none"/>
                <w:u w:val="single"/>
                <w:lang w:val="en-US" w:eastAsia="zh-CN"/>
              </w:rPr>
              <w:t>安徽省淮河河道管理局</w:t>
            </w:r>
          </w:p>
          <w:p w14:paraId="50213DB2">
            <w:pPr>
              <w:spacing w:line="360" w:lineRule="auto"/>
              <w:rPr>
                <w:rFonts w:ascii="宋体" w:hAnsi="宋体" w:eastAsia="宋体"/>
                <w:bCs/>
                <w:color w:val="auto"/>
                <w:kern w:val="0"/>
                <w:sz w:val="24"/>
                <w:szCs w:val="24"/>
                <w:highlight w:val="none"/>
              </w:rPr>
            </w:pPr>
            <w:r>
              <w:rPr>
                <w:rFonts w:hint="eastAsia" w:ascii="宋体" w:hAnsi="宋体" w:eastAsia="宋体"/>
                <w:bCs/>
                <w:color w:val="auto"/>
                <w:kern w:val="0"/>
                <w:sz w:val="24"/>
                <w:szCs w:val="24"/>
                <w:highlight w:val="none"/>
              </w:rPr>
              <w:t>（4）收取账号：</w:t>
            </w:r>
            <w:r>
              <w:rPr>
                <w:rFonts w:hint="eastAsia" w:ascii="宋体" w:hAnsi="宋体" w:eastAsia="宋体"/>
                <w:bCs/>
                <w:color w:val="auto"/>
                <w:kern w:val="0"/>
                <w:sz w:val="24"/>
                <w:szCs w:val="24"/>
                <w:highlight w:val="none"/>
                <w:u w:val="single"/>
              </w:rPr>
              <w:t>成交后提供</w:t>
            </w:r>
          </w:p>
          <w:p w14:paraId="7F3E002C">
            <w:pPr>
              <w:spacing w:line="360" w:lineRule="auto"/>
              <w:rPr>
                <w:rFonts w:hint="eastAsia" w:ascii="Times New Roman" w:hAnsi="Times New Roman" w:eastAsia="宋体" w:cs="Times New Roman"/>
                <w:color w:val="auto"/>
                <w:sz w:val="24"/>
                <w:szCs w:val="24"/>
                <w:highlight w:val="none"/>
                <w:u w:val="single"/>
                <w:lang w:eastAsia="zh-CN"/>
              </w:rPr>
            </w:pPr>
            <w:r>
              <w:rPr>
                <w:rFonts w:hint="eastAsia" w:ascii="宋体" w:hAnsi="宋体" w:eastAsia="宋体"/>
                <w:bCs/>
                <w:color w:val="auto"/>
                <w:kern w:val="0"/>
                <w:sz w:val="24"/>
                <w:szCs w:val="24"/>
                <w:highlight w:val="none"/>
              </w:rPr>
              <w:t>（5）</w:t>
            </w:r>
            <w:r>
              <w:rPr>
                <w:rFonts w:hint="eastAsia" w:ascii="宋体" w:hAnsi="宋体" w:eastAsia="宋体"/>
                <w:color w:val="auto"/>
                <w:sz w:val="24"/>
                <w:szCs w:val="24"/>
                <w:highlight w:val="none"/>
              </w:rPr>
              <w:t>退还时间：</w:t>
            </w:r>
            <w:r>
              <w:rPr>
                <w:rFonts w:hint="eastAsia" w:ascii="Times New Roman" w:hAnsi="Times New Roman" w:cs="Times New Roman"/>
                <w:color w:val="auto"/>
                <w:sz w:val="24"/>
                <w:szCs w:val="24"/>
                <w:highlight w:val="none"/>
                <w:u w:val="single"/>
                <w:lang w:eastAsia="zh-CN"/>
              </w:rPr>
              <w:t>履约保证金在合同生效之日起至项目验收合格前一直有效，验收</w:t>
            </w:r>
            <w:r>
              <w:rPr>
                <w:rFonts w:hint="eastAsia" w:ascii="Times New Roman" w:hAnsi="Times New Roman" w:cs="Times New Roman"/>
                <w:color w:val="auto"/>
                <w:sz w:val="24"/>
                <w:szCs w:val="24"/>
                <w:highlight w:val="none"/>
                <w:u w:val="single"/>
                <w:lang w:val="en-US" w:eastAsia="zh-CN"/>
              </w:rPr>
              <w:t>合格</w:t>
            </w:r>
            <w:r>
              <w:rPr>
                <w:rFonts w:hint="eastAsia" w:ascii="Times New Roman" w:hAnsi="Times New Roman" w:cs="Times New Roman"/>
                <w:color w:val="auto"/>
                <w:sz w:val="24"/>
                <w:szCs w:val="24"/>
                <w:highlight w:val="none"/>
                <w:u w:val="single"/>
                <w:lang w:eastAsia="zh-CN"/>
              </w:rPr>
              <w:t>后经乙方申请，甲方确认后按规定及时将履约保证金款项退还给乙方或者解除履约担保。</w:t>
            </w:r>
          </w:p>
          <w:p w14:paraId="37125AE7">
            <w:pPr>
              <w:spacing w:line="360" w:lineRule="auto"/>
              <w:rPr>
                <w:rFonts w:ascii="宋体" w:hAnsi="宋体" w:eastAsia="宋体"/>
                <w:color w:val="auto"/>
                <w:sz w:val="24"/>
                <w:szCs w:val="24"/>
                <w:highlight w:val="none"/>
              </w:rPr>
            </w:pPr>
            <w:r>
              <w:rPr>
                <w:rFonts w:hint="eastAsia" w:ascii="宋体" w:hAnsi="宋体" w:eastAsia="宋体" w:cs="宋体"/>
                <w:b/>
                <w:color w:val="auto"/>
                <w:sz w:val="24"/>
                <w:szCs w:val="24"/>
                <w:highlight w:val="none"/>
              </w:rPr>
              <w:t>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不履行合同，履约保证金不予退还；如果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未能按合同约定全面履行义务，</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有权从履约保证金中取得补偿或赔偿，同时不影响</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要求</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承担合同约定的超过履约保证金的违约责任的权利。</w:t>
            </w:r>
          </w:p>
          <w:p w14:paraId="2348F0C4">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1CDD494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7FC54230">
            <w:pPr>
              <w:snapToGrid w:val="0"/>
              <w:spacing w:line="360" w:lineRule="auto"/>
              <w:rPr>
                <w:rFonts w:cs="宋体"/>
                <w:bCs/>
                <w:color w:val="auto"/>
                <w:kern w:val="2"/>
                <w:sz w:val="24"/>
                <w:szCs w:val="24"/>
                <w:highlight w:val="none"/>
              </w:rPr>
            </w:pPr>
            <w:r>
              <w:rPr>
                <w:rFonts w:hint="eastAsia" w:ascii="宋体" w:hAnsi="宋体" w:eastAsia="宋体"/>
                <w:bCs w:val="0"/>
                <w:color w:val="auto"/>
                <w:sz w:val="24"/>
                <w:szCs w:val="24"/>
                <w:highlight w:val="none"/>
              </w:rPr>
              <w:t>（2）以担保函、保证保险形式缴纳履约保证金的，受益人和收取单位须为</w:t>
            </w:r>
            <w:r>
              <w:rPr>
                <w:rFonts w:hint="eastAsia"/>
                <w:bCs w:val="0"/>
                <w:color w:val="auto"/>
                <w:sz w:val="24"/>
                <w:szCs w:val="24"/>
                <w:highlight w:val="none"/>
                <w:lang w:eastAsia="zh-CN"/>
              </w:rPr>
              <w:t>甲方</w:t>
            </w:r>
            <w:r>
              <w:rPr>
                <w:rFonts w:hint="eastAsia" w:ascii="宋体" w:hAnsi="宋体" w:eastAsia="宋体"/>
                <w:bCs w:val="0"/>
                <w:color w:val="auto"/>
                <w:sz w:val="24"/>
                <w:szCs w:val="24"/>
                <w:highlight w:val="none"/>
              </w:rPr>
              <w:t>。</w:t>
            </w:r>
          </w:p>
        </w:tc>
      </w:tr>
      <w:tr w14:paraId="109F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69086A0F">
            <w:pPr>
              <w:numPr>
                <w:ilvl w:val="0"/>
                <w:numId w:val="5"/>
              </w:numPr>
              <w:snapToGrid w:val="0"/>
              <w:spacing w:line="360" w:lineRule="auto"/>
              <w:jc w:val="center"/>
              <w:rPr>
                <w:rFonts w:cs="宋体"/>
                <w:bCs/>
                <w:strike w:val="0"/>
                <w:dstrike w:val="0"/>
                <w:color w:val="auto"/>
                <w:sz w:val="24"/>
                <w:szCs w:val="24"/>
                <w:highlight w:val="none"/>
              </w:rPr>
            </w:pPr>
          </w:p>
        </w:tc>
        <w:tc>
          <w:tcPr>
            <w:tcW w:w="1111" w:type="dxa"/>
            <w:vAlign w:val="center"/>
          </w:tcPr>
          <w:p w14:paraId="35C5A262">
            <w:pPr>
              <w:snapToGrid w:val="0"/>
              <w:spacing w:line="360" w:lineRule="auto"/>
              <w:jc w:val="center"/>
              <w:rPr>
                <w:rFonts w:cs="宋体"/>
                <w:bCs/>
                <w:strike w:val="0"/>
                <w:dstrike w:val="0"/>
                <w:color w:val="auto"/>
                <w:sz w:val="24"/>
                <w:szCs w:val="24"/>
                <w:highlight w:val="none"/>
              </w:rPr>
            </w:pPr>
            <w:r>
              <w:rPr>
                <w:rFonts w:hint="eastAsia" w:cs="宋体"/>
                <w:bCs/>
                <w:strike w:val="0"/>
                <w:dstrike w:val="0"/>
                <w:color w:val="auto"/>
                <w:sz w:val="24"/>
                <w:szCs w:val="24"/>
                <w:highlight w:val="none"/>
              </w:rPr>
              <w:t>5.1.1</w:t>
            </w:r>
          </w:p>
        </w:tc>
        <w:tc>
          <w:tcPr>
            <w:tcW w:w="7304" w:type="dxa"/>
            <w:vAlign w:val="center"/>
          </w:tcPr>
          <w:p w14:paraId="71AFDD43">
            <w:pPr>
              <w:snapToGrid w:val="0"/>
              <w:spacing w:line="360" w:lineRule="auto"/>
              <w:rPr>
                <w:rFonts w:cs="宋体"/>
                <w:bCs/>
                <w:strike w:val="0"/>
                <w:dstrike w:val="0"/>
                <w:color w:val="auto"/>
                <w:sz w:val="24"/>
                <w:szCs w:val="24"/>
                <w:highlight w:val="none"/>
              </w:rPr>
            </w:pPr>
            <w:r>
              <w:rPr>
                <w:rFonts w:hint="eastAsia" w:cs="宋体"/>
                <w:bCs/>
                <w:strike w:val="0"/>
                <w:dstrike w:val="0"/>
                <w:color w:val="auto"/>
                <w:sz w:val="24"/>
                <w:szCs w:val="24"/>
                <w:highlight w:val="none"/>
              </w:rPr>
              <w:t>5.1.1 特殊质量标准和要求：</w:t>
            </w:r>
            <w:r>
              <w:rPr>
                <w:rFonts w:hint="eastAsia" w:cs="宋体"/>
                <w:bCs/>
                <w:strike w:val="0"/>
                <w:dstrike w:val="0"/>
                <w:color w:val="auto"/>
                <w:sz w:val="24"/>
                <w:szCs w:val="24"/>
                <w:highlight w:val="none"/>
                <w:u w:val="single"/>
                <w:lang w:val="en-US" w:eastAsia="zh-CN"/>
              </w:rPr>
              <w:t>/</w:t>
            </w:r>
            <w:r>
              <w:rPr>
                <w:rFonts w:hint="eastAsia" w:cs="宋体"/>
                <w:bCs/>
                <w:strike w:val="0"/>
                <w:dstrike w:val="0"/>
                <w:color w:val="auto"/>
                <w:sz w:val="24"/>
                <w:szCs w:val="24"/>
                <w:highlight w:val="none"/>
              </w:rPr>
              <w:t>。</w:t>
            </w:r>
          </w:p>
          <w:p w14:paraId="0777231B">
            <w:pPr>
              <w:snapToGrid w:val="0"/>
              <w:spacing w:line="360" w:lineRule="auto"/>
              <w:rPr>
                <w:rFonts w:cs="宋体"/>
                <w:bCs/>
                <w:strike w:val="0"/>
                <w:dstrike w:val="0"/>
                <w:color w:val="auto"/>
                <w:sz w:val="24"/>
                <w:szCs w:val="24"/>
                <w:highlight w:val="none"/>
              </w:rPr>
            </w:pPr>
            <w:r>
              <w:rPr>
                <w:rFonts w:hint="eastAsia" w:cs="宋体"/>
                <w:bCs/>
                <w:strike w:val="0"/>
                <w:dstrike w:val="0"/>
                <w:color w:val="auto"/>
                <w:sz w:val="24"/>
                <w:szCs w:val="24"/>
                <w:highlight w:val="none"/>
              </w:rPr>
              <w:t>关于工程奖项的约定：</w:t>
            </w:r>
            <w:r>
              <w:rPr>
                <w:rFonts w:hint="eastAsia" w:cs="宋体"/>
                <w:bCs/>
                <w:strike w:val="0"/>
                <w:dstrike w:val="0"/>
                <w:color w:val="auto"/>
                <w:sz w:val="24"/>
                <w:szCs w:val="24"/>
                <w:highlight w:val="none"/>
                <w:u w:val="single"/>
                <w:lang w:val="en-US" w:eastAsia="zh-CN"/>
              </w:rPr>
              <w:t>/</w:t>
            </w:r>
            <w:r>
              <w:rPr>
                <w:rFonts w:hint="eastAsia" w:cs="宋体"/>
                <w:bCs/>
                <w:strike w:val="0"/>
                <w:dstrike w:val="0"/>
                <w:color w:val="auto"/>
                <w:sz w:val="24"/>
                <w:szCs w:val="24"/>
                <w:highlight w:val="none"/>
              </w:rPr>
              <w:t>。</w:t>
            </w:r>
          </w:p>
          <w:p w14:paraId="1CA8ADA0">
            <w:pPr>
              <w:snapToGrid w:val="0"/>
              <w:spacing w:line="360" w:lineRule="auto"/>
              <w:rPr>
                <w:rFonts w:cs="宋体"/>
                <w:bCs/>
                <w:strike w:val="0"/>
                <w:dstrike w:val="0"/>
                <w:color w:val="auto"/>
                <w:sz w:val="24"/>
                <w:szCs w:val="24"/>
                <w:highlight w:val="none"/>
              </w:rPr>
            </w:pPr>
            <w:r>
              <w:rPr>
                <w:rFonts w:hint="eastAsia" w:cs="宋体"/>
                <w:bCs/>
                <w:strike w:val="0"/>
                <w:dstrike w:val="0"/>
                <w:color w:val="auto"/>
                <w:sz w:val="24"/>
                <w:szCs w:val="24"/>
                <w:highlight w:val="none"/>
              </w:rPr>
              <w:t>关于建造要求：</w:t>
            </w:r>
          </w:p>
          <w:p w14:paraId="25807B80">
            <w:pPr>
              <w:snapToGrid w:val="0"/>
              <w:spacing w:line="360" w:lineRule="auto"/>
              <w:rPr>
                <w:rFonts w:cs="宋体"/>
                <w:bCs/>
                <w:strike w:val="0"/>
                <w:dstrike w:val="0"/>
                <w:color w:val="auto"/>
                <w:sz w:val="24"/>
                <w:szCs w:val="24"/>
                <w:highlight w:val="none"/>
              </w:rPr>
            </w:pPr>
            <w:r>
              <w:rPr>
                <w:rFonts w:hint="eastAsia" w:cs="宋体"/>
                <w:bCs/>
                <w:strike w:val="0"/>
                <w:dstrike w:val="0"/>
                <w:color w:val="auto"/>
                <w:sz w:val="24"/>
                <w:szCs w:val="24"/>
                <w:highlight w:val="none"/>
              </w:rPr>
              <w:t>（1）绿色建筑等级要求：</w:t>
            </w:r>
            <w:r>
              <w:rPr>
                <w:rFonts w:hint="eastAsia" w:cs="宋体"/>
                <w:bCs/>
                <w:strike w:val="0"/>
                <w:dstrike w:val="0"/>
                <w:color w:val="auto"/>
                <w:sz w:val="24"/>
                <w:szCs w:val="24"/>
                <w:highlight w:val="none"/>
                <w:u w:val="single"/>
                <w:lang w:val="en-US" w:eastAsia="zh-CN"/>
              </w:rPr>
              <w:t>/</w:t>
            </w:r>
            <w:r>
              <w:rPr>
                <w:rFonts w:hint="eastAsia" w:cs="宋体"/>
                <w:bCs/>
                <w:strike w:val="0"/>
                <w:dstrike w:val="0"/>
                <w:color w:val="auto"/>
                <w:sz w:val="24"/>
                <w:szCs w:val="24"/>
                <w:highlight w:val="none"/>
              </w:rPr>
              <w:t>；</w:t>
            </w:r>
          </w:p>
          <w:p w14:paraId="1FA6192A">
            <w:pPr>
              <w:snapToGrid w:val="0"/>
              <w:spacing w:line="360" w:lineRule="auto"/>
              <w:rPr>
                <w:rFonts w:cs="宋体"/>
                <w:bCs/>
                <w:strike w:val="0"/>
                <w:dstrike w:val="0"/>
                <w:color w:val="auto"/>
                <w:sz w:val="24"/>
                <w:szCs w:val="24"/>
                <w:highlight w:val="none"/>
              </w:rPr>
            </w:pPr>
            <w:r>
              <w:rPr>
                <w:rFonts w:hint="eastAsia" w:cs="宋体"/>
                <w:bCs/>
                <w:strike w:val="0"/>
                <w:dstrike w:val="0"/>
                <w:color w:val="auto"/>
                <w:sz w:val="24"/>
                <w:szCs w:val="24"/>
                <w:highlight w:val="none"/>
              </w:rPr>
              <w:t>（2）智慧工地管理要求：</w:t>
            </w:r>
            <w:r>
              <w:rPr>
                <w:rFonts w:hint="eastAsia" w:cs="宋体"/>
                <w:bCs/>
                <w:strike w:val="0"/>
                <w:dstrike w:val="0"/>
                <w:color w:val="auto"/>
                <w:sz w:val="24"/>
                <w:szCs w:val="24"/>
                <w:highlight w:val="none"/>
                <w:u w:val="single"/>
                <w:lang w:val="en-US" w:eastAsia="zh-CN"/>
              </w:rPr>
              <w:t>/</w:t>
            </w:r>
            <w:r>
              <w:rPr>
                <w:rFonts w:hint="eastAsia" w:cs="宋体"/>
                <w:bCs/>
                <w:strike w:val="0"/>
                <w:dstrike w:val="0"/>
                <w:color w:val="auto"/>
                <w:sz w:val="24"/>
                <w:szCs w:val="24"/>
                <w:highlight w:val="none"/>
              </w:rPr>
              <w:t>；</w:t>
            </w:r>
          </w:p>
          <w:p w14:paraId="470CE07D">
            <w:pPr>
              <w:snapToGrid w:val="0"/>
              <w:spacing w:line="360" w:lineRule="auto"/>
              <w:rPr>
                <w:rFonts w:cs="宋体"/>
                <w:bCs/>
                <w:strike w:val="0"/>
                <w:dstrike w:val="0"/>
                <w:color w:val="auto"/>
                <w:sz w:val="24"/>
                <w:szCs w:val="24"/>
                <w:highlight w:val="none"/>
              </w:rPr>
            </w:pPr>
            <w:r>
              <w:rPr>
                <w:rFonts w:hint="eastAsia" w:cs="宋体"/>
                <w:bCs/>
                <w:strike w:val="0"/>
                <w:dstrike w:val="0"/>
                <w:color w:val="auto"/>
                <w:sz w:val="24"/>
                <w:szCs w:val="24"/>
                <w:highlight w:val="none"/>
              </w:rPr>
              <w:t>（3）建筑垃圾减量化目标：</w:t>
            </w:r>
            <w:r>
              <w:rPr>
                <w:rFonts w:hint="eastAsia" w:cs="宋体"/>
                <w:bCs/>
                <w:strike w:val="0"/>
                <w:dstrike w:val="0"/>
                <w:color w:val="auto"/>
                <w:sz w:val="24"/>
                <w:szCs w:val="24"/>
                <w:highlight w:val="none"/>
                <w:u w:val="single"/>
              </w:rPr>
              <w:t>/</w:t>
            </w:r>
            <w:r>
              <w:rPr>
                <w:rFonts w:hint="eastAsia" w:cs="宋体"/>
                <w:bCs/>
                <w:strike w:val="0"/>
                <w:dstrike w:val="0"/>
                <w:color w:val="auto"/>
                <w:sz w:val="24"/>
                <w:szCs w:val="24"/>
                <w:highlight w:val="none"/>
              </w:rPr>
              <w:t>；</w:t>
            </w:r>
          </w:p>
          <w:p w14:paraId="4911515A">
            <w:pPr>
              <w:snapToGrid w:val="0"/>
              <w:spacing w:line="360" w:lineRule="auto"/>
              <w:rPr>
                <w:rFonts w:cs="宋体"/>
                <w:bCs/>
                <w:strike w:val="0"/>
                <w:dstrike w:val="0"/>
                <w:color w:val="auto"/>
                <w:sz w:val="24"/>
                <w:szCs w:val="24"/>
                <w:highlight w:val="none"/>
              </w:rPr>
            </w:pPr>
            <w:r>
              <w:rPr>
                <w:rFonts w:hint="eastAsia" w:cs="宋体"/>
                <w:bCs/>
                <w:strike w:val="0"/>
                <w:dstrike w:val="0"/>
                <w:color w:val="auto"/>
                <w:sz w:val="24"/>
                <w:szCs w:val="24"/>
                <w:highlight w:val="none"/>
              </w:rPr>
              <w:t>（4）装配式建筑装配率要求：</w:t>
            </w:r>
            <w:r>
              <w:rPr>
                <w:rFonts w:hint="eastAsia" w:cs="宋体"/>
                <w:bCs/>
                <w:strike w:val="0"/>
                <w:dstrike w:val="0"/>
                <w:color w:val="auto"/>
                <w:sz w:val="24"/>
                <w:szCs w:val="24"/>
                <w:highlight w:val="none"/>
                <w:u w:val="single"/>
                <w:lang w:val="en-US" w:eastAsia="zh-CN"/>
              </w:rPr>
              <w:t xml:space="preserve"> </w:t>
            </w:r>
            <w:r>
              <w:rPr>
                <w:rFonts w:hint="eastAsia" w:cs="宋体"/>
                <w:bCs/>
                <w:strike w:val="0"/>
                <w:dstrike w:val="0"/>
                <w:color w:val="auto"/>
                <w:sz w:val="24"/>
                <w:szCs w:val="24"/>
                <w:highlight w:val="none"/>
                <w:u w:val="single"/>
              </w:rPr>
              <w:t xml:space="preserve">/ </w:t>
            </w:r>
            <w:r>
              <w:rPr>
                <w:rFonts w:hint="eastAsia" w:cs="宋体"/>
                <w:bCs/>
                <w:strike w:val="0"/>
                <w:dstrike w:val="0"/>
                <w:color w:val="auto"/>
                <w:sz w:val="24"/>
                <w:szCs w:val="24"/>
                <w:highlight w:val="none"/>
              </w:rPr>
              <w:t>；</w:t>
            </w:r>
          </w:p>
        </w:tc>
      </w:tr>
      <w:tr w14:paraId="249F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49357D8F">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1DAFF2E1">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7.5.2</w:t>
            </w:r>
          </w:p>
        </w:tc>
        <w:tc>
          <w:tcPr>
            <w:tcW w:w="7304" w:type="dxa"/>
            <w:tcBorders>
              <w:bottom w:val="single" w:color="auto" w:sz="4" w:space="0"/>
            </w:tcBorders>
            <w:vAlign w:val="center"/>
          </w:tcPr>
          <w:p w14:paraId="79799AC7">
            <w:pPr>
              <w:snapToGrid w:val="0"/>
              <w:spacing w:line="360" w:lineRule="auto"/>
              <w:rPr>
                <w:rFonts w:cs="宋体"/>
                <w:bCs/>
                <w:color w:val="000000" w:themeColor="text1"/>
                <w:kern w:val="2"/>
                <w:sz w:val="21"/>
                <w:szCs w:val="21"/>
                <w14:textFill>
                  <w14:solidFill>
                    <w14:schemeClr w14:val="tx1"/>
                  </w14:solidFill>
                </w14:textFill>
              </w:rPr>
            </w:pPr>
            <w:r>
              <w:rPr>
                <w:rFonts w:hint="eastAsia" w:cs="宋体"/>
                <w:bCs/>
                <w:color w:val="auto"/>
                <w:kern w:val="2"/>
                <w:sz w:val="24"/>
                <w:szCs w:val="24"/>
                <w:highlight w:val="none"/>
                <w:u w:val="none"/>
              </w:rPr>
              <w:t xml:space="preserve"> </w:t>
            </w:r>
            <w:r>
              <w:rPr>
                <w:rFonts w:hint="eastAsia" w:cs="宋体"/>
                <w:bCs/>
                <w:color w:val="000000" w:themeColor="text1"/>
                <w:kern w:val="2"/>
                <w:sz w:val="21"/>
                <w:szCs w:val="21"/>
                <w14:textFill>
                  <w14:solidFill>
                    <w14:schemeClr w14:val="tx1"/>
                  </w14:solidFill>
                </w14:textFill>
              </w:rPr>
              <w:t>因承包人原因造成工期延误，逾期完工违约金的计算方法为：</w:t>
            </w:r>
          </w:p>
          <w:p w14:paraId="12B814D1">
            <w:pPr>
              <w:snapToGrid w:val="0"/>
              <w:spacing w:line="360" w:lineRule="auto"/>
              <w:rPr>
                <w:rFonts w:cs="宋体"/>
                <w:b/>
                <w:color w:val="000000" w:themeColor="text1"/>
                <w:kern w:val="2"/>
                <w:sz w:val="21"/>
                <w:szCs w:val="21"/>
                <w:u w:val="single"/>
                <w14:textFill>
                  <w14:solidFill>
                    <w14:schemeClr w14:val="tx1"/>
                  </w14:solidFill>
                </w14:textFill>
              </w:rPr>
            </w:pPr>
            <w:r>
              <w:rPr>
                <w:rFonts w:hint="eastAsia" w:cs="宋体"/>
                <w:b/>
                <w:color w:val="000000" w:themeColor="text1"/>
                <w:kern w:val="2"/>
                <w:sz w:val="21"/>
                <w:szCs w:val="21"/>
                <w:u w:val="single"/>
                <w14:textFill>
                  <w14:solidFill>
                    <w14:schemeClr w14:val="tx1"/>
                  </w14:solidFill>
                </w14:textFill>
              </w:rPr>
              <w:t>（1）除不可抗力外，如果承包人没有按照本合同约定的期限、地点和方式履行，那么发包人可要求承包人支付违约金，违约金按每延期一天按总合同价款的千分之一向发包人支付。</w:t>
            </w:r>
          </w:p>
          <w:p w14:paraId="1F48F787">
            <w:pPr>
              <w:snapToGrid w:val="0"/>
              <w:spacing w:line="360" w:lineRule="auto"/>
              <w:rPr>
                <w:rFonts w:cs="宋体"/>
                <w:b/>
                <w:color w:val="000000" w:themeColor="text1"/>
                <w:kern w:val="2"/>
                <w:sz w:val="21"/>
                <w:szCs w:val="21"/>
                <w:u w:val="single"/>
                <w14:textFill>
                  <w14:solidFill>
                    <w14:schemeClr w14:val="tx1"/>
                  </w14:solidFill>
                </w14:textFill>
              </w:rPr>
            </w:pPr>
            <w:r>
              <w:rPr>
                <w:rFonts w:hint="eastAsia" w:cs="宋体"/>
                <w:b/>
                <w:color w:val="000000" w:themeColor="text1"/>
                <w:kern w:val="2"/>
                <w:sz w:val="21"/>
                <w:szCs w:val="21"/>
                <w:u w:val="single"/>
                <w14:textFill>
                  <w14:solidFill>
                    <w14:schemeClr w14:val="tx1"/>
                  </w14:solidFill>
                </w14:textFill>
              </w:rPr>
              <w:t>（2）因乙方原因造成工程质量不合格的，乙方应无条件修复达到合同约定的质量标准；无法维修的，双方协商处理。发生该条违约时，甲方有权停止支付所有工程款项，不退还履约担保。</w:t>
            </w:r>
          </w:p>
          <w:p w14:paraId="5283AB47">
            <w:pPr>
              <w:snapToGrid w:val="0"/>
              <w:spacing w:line="360" w:lineRule="auto"/>
              <w:rPr>
                <w:rFonts w:cs="宋体"/>
                <w:bCs/>
                <w:color w:val="auto"/>
                <w:kern w:val="2"/>
                <w:sz w:val="24"/>
                <w:szCs w:val="24"/>
                <w:highlight w:val="none"/>
              </w:rPr>
            </w:pPr>
            <w:r>
              <w:rPr>
                <w:rFonts w:hint="eastAsia" w:cs="宋体"/>
                <w:bCs/>
                <w:color w:val="000000" w:themeColor="text1"/>
                <w:kern w:val="2"/>
                <w:sz w:val="21"/>
                <w:szCs w:val="21"/>
                <w14:textFill>
                  <w14:solidFill>
                    <w14:schemeClr w14:val="tx1"/>
                  </w14:solidFill>
                </w14:textFill>
              </w:rPr>
              <w:t>因承包人原因造成工期延误，逾期完工违约金的上限：</w:t>
            </w:r>
            <w:r>
              <w:rPr>
                <w:rFonts w:hint="eastAsia" w:cs="宋体"/>
                <w:bCs/>
                <w:color w:val="000000" w:themeColor="text1"/>
                <w:kern w:val="2"/>
                <w:sz w:val="21"/>
                <w:szCs w:val="21"/>
                <w:u w:val="single"/>
                <w14:textFill>
                  <w14:solidFill>
                    <w14:schemeClr w14:val="tx1"/>
                  </w14:solidFill>
                </w14:textFill>
              </w:rPr>
              <w:t>合同价款的10%</w:t>
            </w:r>
            <w:r>
              <w:rPr>
                <w:rFonts w:hint="eastAsia" w:cs="宋体"/>
                <w:bCs/>
                <w:color w:val="000000" w:themeColor="text1"/>
                <w:kern w:val="2"/>
                <w:sz w:val="21"/>
                <w:szCs w:val="21"/>
                <w14:textFill>
                  <w14:solidFill>
                    <w14:schemeClr w14:val="tx1"/>
                  </w14:solidFill>
                </w14:textFill>
              </w:rPr>
              <w:t>。</w:t>
            </w:r>
          </w:p>
        </w:tc>
      </w:tr>
      <w:tr w14:paraId="07CF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1C1C264D">
            <w:pPr>
              <w:numPr>
                <w:ilvl w:val="0"/>
                <w:numId w:val="5"/>
              </w:numPr>
              <w:snapToGrid w:val="0"/>
              <w:spacing w:line="360" w:lineRule="auto"/>
              <w:jc w:val="center"/>
              <w:rPr>
                <w:rFonts w:cs="宋体"/>
                <w:bCs/>
                <w:strike w:val="0"/>
                <w:dstrike w:val="0"/>
                <w:color w:val="auto"/>
                <w:kern w:val="2"/>
                <w:sz w:val="24"/>
                <w:szCs w:val="24"/>
                <w:highlight w:val="none"/>
              </w:rPr>
            </w:pPr>
          </w:p>
        </w:tc>
        <w:tc>
          <w:tcPr>
            <w:tcW w:w="1111" w:type="dxa"/>
            <w:vAlign w:val="center"/>
          </w:tcPr>
          <w:p w14:paraId="1A6CB12B">
            <w:pPr>
              <w:snapToGrid w:val="0"/>
              <w:spacing w:line="360" w:lineRule="auto"/>
              <w:jc w:val="center"/>
              <w:rPr>
                <w:rFonts w:cs="宋体"/>
                <w:bCs/>
                <w:strike w:val="0"/>
                <w:dstrike w:val="0"/>
                <w:color w:val="auto"/>
                <w:kern w:val="2"/>
                <w:sz w:val="24"/>
                <w:szCs w:val="24"/>
                <w:highlight w:val="none"/>
              </w:rPr>
            </w:pPr>
            <w:r>
              <w:rPr>
                <w:rFonts w:hint="eastAsia" w:cs="宋体"/>
                <w:bCs/>
                <w:strike w:val="0"/>
                <w:dstrike w:val="0"/>
                <w:color w:val="auto"/>
                <w:sz w:val="24"/>
                <w:szCs w:val="24"/>
                <w:highlight w:val="none"/>
              </w:rPr>
              <w:t>7.9.2</w:t>
            </w:r>
          </w:p>
        </w:tc>
        <w:tc>
          <w:tcPr>
            <w:tcW w:w="7304" w:type="dxa"/>
            <w:tcBorders>
              <w:bottom w:val="single" w:color="auto" w:sz="4" w:space="0"/>
            </w:tcBorders>
            <w:vAlign w:val="center"/>
          </w:tcPr>
          <w:p w14:paraId="6616141F">
            <w:pPr>
              <w:snapToGrid w:val="0"/>
              <w:spacing w:line="360" w:lineRule="auto"/>
              <w:rPr>
                <w:rFonts w:cs="宋体"/>
                <w:bCs/>
                <w:strike w:val="0"/>
                <w:dstrike w:val="0"/>
                <w:color w:val="auto"/>
                <w:kern w:val="2"/>
                <w:sz w:val="24"/>
                <w:szCs w:val="24"/>
                <w:highlight w:val="none"/>
              </w:rPr>
            </w:pPr>
            <w:r>
              <w:rPr>
                <w:rFonts w:hint="eastAsia" w:cs="宋体"/>
                <w:strike w:val="0"/>
                <w:dstrike w:val="0"/>
                <w:color w:val="auto"/>
                <w:sz w:val="24"/>
                <w:szCs w:val="24"/>
                <w:highlight w:val="none"/>
              </w:rPr>
              <w:t>提前竣工的奖励：</w:t>
            </w:r>
            <w:r>
              <w:rPr>
                <w:rFonts w:hint="eastAsia" w:cs="宋体"/>
                <w:strike w:val="0"/>
                <w:dstrike w:val="0"/>
                <w:color w:val="auto"/>
                <w:sz w:val="24"/>
                <w:szCs w:val="24"/>
                <w:highlight w:val="none"/>
                <w:u w:val="single"/>
              </w:rPr>
              <w:t xml:space="preserve"> </w:t>
            </w:r>
            <w:r>
              <w:rPr>
                <w:rFonts w:hint="eastAsia" w:cs="宋体"/>
                <w:bCs/>
                <w:strike w:val="0"/>
                <w:dstrike w:val="0"/>
                <w:color w:val="auto"/>
                <w:sz w:val="24"/>
                <w:szCs w:val="24"/>
                <w:highlight w:val="none"/>
                <w:u w:val="single"/>
              </w:rPr>
              <w:t>/</w:t>
            </w:r>
            <w:r>
              <w:rPr>
                <w:rFonts w:hint="eastAsia" w:cs="宋体"/>
                <w:strike w:val="0"/>
                <w:dstrike w:val="0"/>
                <w:color w:val="auto"/>
                <w:sz w:val="24"/>
                <w:szCs w:val="24"/>
                <w:highlight w:val="none"/>
                <w:u w:val="single"/>
              </w:rPr>
              <w:t xml:space="preserve">  </w:t>
            </w:r>
            <w:r>
              <w:rPr>
                <w:rFonts w:hint="eastAsia" w:cs="宋体"/>
                <w:strike w:val="0"/>
                <w:dstrike w:val="0"/>
                <w:color w:val="auto"/>
                <w:sz w:val="24"/>
                <w:szCs w:val="24"/>
                <w:highlight w:val="none"/>
              </w:rPr>
              <w:t>。</w:t>
            </w:r>
          </w:p>
        </w:tc>
      </w:tr>
      <w:tr w14:paraId="5EE4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648A437A">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3BB8E8B5">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11.1</w:t>
            </w:r>
          </w:p>
        </w:tc>
        <w:tc>
          <w:tcPr>
            <w:tcW w:w="7304" w:type="dxa"/>
            <w:tcBorders>
              <w:bottom w:val="single" w:color="auto" w:sz="4" w:space="0"/>
            </w:tcBorders>
            <w:vAlign w:val="center"/>
          </w:tcPr>
          <w:p w14:paraId="753A66FA">
            <w:pPr>
              <w:pStyle w:val="33"/>
              <w:tabs>
                <w:tab w:val="clear" w:pos="4153"/>
                <w:tab w:val="clear" w:pos="8306"/>
              </w:tabs>
              <w:spacing w:line="360" w:lineRule="auto"/>
              <w:rPr>
                <w:rFonts w:cs="宋体"/>
                <w:bCs/>
                <w:color w:val="auto"/>
                <w:kern w:val="2"/>
                <w:sz w:val="24"/>
                <w:szCs w:val="24"/>
                <w:highlight w:val="none"/>
              </w:rPr>
            </w:pPr>
            <w:r>
              <w:rPr>
                <w:rFonts w:hint="eastAsia" w:cs="宋体"/>
                <w:bCs/>
                <w:color w:val="auto"/>
                <w:kern w:val="2"/>
                <w:sz w:val="24"/>
                <w:szCs w:val="24"/>
                <w:highlight w:val="none"/>
              </w:rPr>
              <w:t>市场价格波动是否调整合同价格的约定：</w:t>
            </w:r>
            <w:r>
              <w:rPr>
                <w:rFonts w:hint="eastAsia" w:cs="宋体"/>
                <w:bCs/>
                <w:color w:val="auto"/>
                <w:kern w:val="2"/>
                <w:sz w:val="24"/>
                <w:szCs w:val="24"/>
                <w:highlight w:val="none"/>
                <w:u w:val="single"/>
              </w:rPr>
              <w:t xml:space="preserve"> </w:t>
            </w:r>
            <w:r>
              <w:rPr>
                <w:rFonts w:hint="eastAsia" w:cs="宋体"/>
                <w:bCs/>
                <w:color w:val="auto"/>
                <w:sz w:val="24"/>
                <w:szCs w:val="24"/>
                <w:highlight w:val="none"/>
                <w:u w:val="single"/>
                <w:lang w:val="en-US" w:eastAsia="zh-CN"/>
              </w:rPr>
              <w:t>不调整</w:t>
            </w:r>
            <w:r>
              <w:rPr>
                <w:rFonts w:hint="eastAsia" w:cs="宋体"/>
                <w:bCs/>
                <w:color w:val="auto"/>
                <w:kern w:val="2"/>
                <w:sz w:val="24"/>
                <w:szCs w:val="24"/>
                <w:highlight w:val="none"/>
                <w:u w:val="single"/>
              </w:rPr>
              <w:t xml:space="preserve"> </w:t>
            </w:r>
            <w:r>
              <w:rPr>
                <w:rFonts w:hint="eastAsia" w:cs="宋体"/>
                <w:bCs/>
                <w:color w:val="auto"/>
                <w:kern w:val="2"/>
                <w:sz w:val="24"/>
                <w:szCs w:val="24"/>
                <w:highlight w:val="none"/>
              </w:rPr>
              <w:t>。</w:t>
            </w:r>
          </w:p>
        </w:tc>
      </w:tr>
      <w:tr w14:paraId="36B7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4B597B2C">
            <w:pPr>
              <w:numPr>
                <w:ilvl w:val="0"/>
                <w:numId w:val="5"/>
              </w:numPr>
              <w:snapToGrid w:val="0"/>
              <w:spacing w:line="360" w:lineRule="auto"/>
              <w:jc w:val="center"/>
              <w:rPr>
                <w:rFonts w:cs="宋体"/>
                <w:bCs/>
                <w:color w:val="auto"/>
                <w:sz w:val="24"/>
                <w:szCs w:val="24"/>
                <w:highlight w:val="none"/>
              </w:rPr>
            </w:pPr>
          </w:p>
        </w:tc>
        <w:tc>
          <w:tcPr>
            <w:tcW w:w="1111" w:type="dxa"/>
            <w:vAlign w:val="center"/>
          </w:tcPr>
          <w:p w14:paraId="229440EF">
            <w:pPr>
              <w:snapToGrid w:val="0"/>
              <w:spacing w:line="360" w:lineRule="auto"/>
              <w:jc w:val="center"/>
              <w:rPr>
                <w:rFonts w:cs="宋体"/>
                <w:bCs/>
                <w:color w:val="auto"/>
                <w:sz w:val="24"/>
                <w:szCs w:val="24"/>
                <w:highlight w:val="none"/>
              </w:rPr>
            </w:pPr>
            <w:r>
              <w:rPr>
                <w:rFonts w:hint="eastAsia" w:cs="宋体"/>
                <w:bCs/>
                <w:color w:val="auto"/>
                <w:sz w:val="24"/>
                <w:szCs w:val="24"/>
                <w:highlight w:val="none"/>
              </w:rPr>
              <w:t>12.1</w:t>
            </w:r>
          </w:p>
        </w:tc>
        <w:tc>
          <w:tcPr>
            <w:tcW w:w="7304" w:type="dxa"/>
            <w:tcBorders>
              <w:bottom w:val="single" w:color="auto" w:sz="4" w:space="0"/>
            </w:tcBorders>
            <w:vAlign w:val="center"/>
          </w:tcPr>
          <w:p w14:paraId="7CD646EF">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合同价格形式</w:t>
            </w:r>
          </w:p>
          <w:p w14:paraId="142077EC">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(1)单价合同。</w:t>
            </w:r>
          </w:p>
          <w:p w14:paraId="611EB022">
            <w:pPr>
              <w:pStyle w:val="33"/>
              <w:tabs>
                <w:tab w:val="clear" w:pos="4153"/>
                <w:tab w:val="clear" w:pos="8306"/>
              </w:tabs>
              <w:spacing w:line="360" w:lineRule="auto"/>
              <w:rPr>
                <w:rFonts w:hint="eastAsia" w:cs="宋体"/>
                <w:bCs/>
                <w:color w:val="auto"/>
                <w:sz w:val="24"/>
                <w:szCs w:val="24"/>
                <w:highlight w:val="none"/>
              </w:rPr>
            </w:pPr>
            <w:r>
              <w:rPr>
                <w:rFonts w:hint="eastAsia" w:cs="宋体"/>
                <w:bCs/>
                <w:color w:val="auto"/>
                <w:sz w:val="24"/>
                <w:szCs w:val="24"/>
                <w:highlight w:val="none"/>
              </w:rPr>
              <w:t>综合单价包含的风险范围：</w:t>
            </w:r>
            <w:r>
              <w:rPr>
                <w:rFonts w:hint="eastAsia" w:cs="宋体"/>
                <w:bCs/>
                <w:color w:val="auto"/>
                <w:sz w:val="24"/>
                <w:szCs w:val="24"/>
                <w:highlight w:val="none"/>
                <w:u w:val="single"/>
              </w:rPr>
              <w:t xml:space="preserve">材料价格、人工成本上涨，异常天气导致的工期延误 </w:t>
            </w:r>
            <w:r>
              <w:rPr>
                <w:rFonts w:hint="eastAsia" w:cs="宋体"/>
                <w:bCs/>
                <w:color w:val="auto"/>
                <w:sz w:val="24"/>
                <w:szCs w:val="24"/>
                <w:highlight w:val="none"/>
              </w:rPr>
              <w:t>。</w:t>
            </w:r>
          </w:p>
          <w:p w14:paraId="76E60632">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风险费用的计算方法：</w:t>
            </w:r>
            <w:r>
              <w:rPr>
                <w:rFonts w:hint="eastAsia" w:cs="宋体"/>
                <w:bCs/>
                <w:color w:val="auto"/>
                <w:sz w:val="24"/>
                <w:szCs w:val="24"/>
                <w:highlight w:val="none"/>
                <w:u w:val="single"/>
              </w:rPr>
              <w:t xml:space="preserve">              /                    </w:t>
            </w:r>
            <w:r>
              <w:rPr>
                <w:rFonts w:hint="eastAsia" w:cs="宋体"/>
                <w:bCs/>
                <w:color w:val="auto"/>
                <w:sz w:val="24"/>
                <w:szCs w:val="24"/>
                <w:highlight w:val="none"/>
              </w:rPr>
              <w:t>。</w:t>
            </w:r>
          </w:p>
          <w:p w14:paraId="35570B12">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风险范围以外合同价格的调整方法：</w:t>
            </w:r>
            <w:r>
              <w:rPr>
                <w:rFonts w:hint="eastAsia" w:cs="宋体"/>
                <w:bCs/>
                <w:color w:val="auto"/>
                <w:sz w:val="24"/>
                <w:szCs w:val="24"/>
                <w:highlight w:val="none"/>
                <w:u w:val="single"/>
              </w:rPr>
              <w:t xml:space="preserve">  </w:t>
            </w:r>
            <w:r>
              <w:rPr>
                <w:rFonts w:hint="eastAsia" w:cs="宋体"/>
                <w:bCs/>
                <w:color w:val="auto"/>
                <w:sz w:val="24"/>
                <w:szCs w:val="24"/>
                <w:highlight w:val="none"/>
                <w:u w:val="single"/>
                <w:lang w:val="en-US" w:eastAsia="zh-CN"/>
              </w:rPr>
              <w:t>不调整</w:t>
            </w:r>
            <w:r>
              <w:rPr>
                <w:rFonts w:hint="eastAsia" w:cs="宋体"/>
                <w:bCs/>
                <w:color w:val="auto"/>
                <w:kern w:val="2"/>
                <w:sz w:val="24"/>
                <w:szCs w:val="24"/>
                <w:highlight w:val="none"/>
                <w:u w:val="single"/>
              </w:rPr>
              <w:t xml:space="preserve"> </w:t>
            </w:r>
            <w:r>
              <w:rPr>
                <w:rFonts w:hint="eastAsia" w:cs="宋体"/>
                <w:bCs/>
                <w:color w:val="auto"/>
                <w:sz w:val="24"/>
                <w:szCs w:val="24"/>
                <w:highlight w:val="none"/>
                <w:u w:val="single"/>
              </w:rPr>
              <w:t xml:space="preserve"> </w:t>
            </w:r>
            <w:r>
              <w:rPr>
                <w:rFonts w:hint="eastAsia" w:cs="宋体"/>
                <w:bCs/>
                <w:color w:val="auto"/>
                <w:sz w:val="24"/>
                <w:szCs w:val="24"/>
                <w:highlight w:val="none"/>
              </w:rPr>
              <w:t>。</w:t>
            </w:r>
          </w:p>
          <w:p w14:paraId="765B4E4D">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(2)总价合同。</w:t>
            </w:r>
          </w:p>
          <w:p w14:paraId="7E2E58E0">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总价包含的风险范围：</w:t>
            </w:r>
            <w:r>
              <w:rPr>
                <w:rFonts w:hint="eastAsia" w:cs="宋体"/>
                <w:bCs/>
                <w:color w:val="auto"/>
                <w:sz w:val="24"/>
                <w:szCs w:val="24"/>
                <w:highlight w:val="none"/>
                <w:u w:val="single"/>
              </w:rPr>
              <w:t xml:space="preserve">              /                        </w:t>
            </w:r>
          </w:p>
          <w:p w14:paraId="29FDC8F0">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风险费用的计算方法：</w:t>
            </w:r>
            <w:r>
              <w:rPr>
                <w:rFonts w:hint="eastAsia" w:cs="宋体"/>
                <w:bCs/>
                <w:color w:val="auto"/>
                <w:sz w:val="24"/>
                <w:szCs w:val="24"/>
                <w:highlight w:val="none"/>
                <w:u w:val="single"/>
              </w:rPr>
              <w:t xml:space="preserve">             /          </w:t>
            </w:r>
            <w:r>
              <w:rPr>
                <w:rFonts w:hint="eastAsia" w:cs="宋体"/>
                <w:bCs/>
                <w:color w:val="auto"/>
                <w:sz w:val="24"/>
                <w:szCs w:val="24"/>
                <w:highlight w:val="none"/>
              </w:rPr>
              <w:t>。</w:t>
            </w:r>
          </w:p>
          <w:p w14:paraId="3C6EC77B">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风险范围以外合同价格的调整方法：</w:t>
            </w:r>
            <w:r>
              <w:rPr>
                <w:rFonts w:hint="eastAsia" w:cs="宋体"/>
                <w:bCs/>
                <w:color w:val="auto"/>
                <w:sz w:val="24"/>
                <w:szCs w:val="24"/>
                <w:highlight w:val="none"/>
                <w:u w:val="single"/>
              </w:rPr>
              <w:t xml:space="preserve"> </w:t>
            </w:r>
            <w:r>
              <w:rPr>
                <w:rFonts w:hint="eastAsia" w:cs="宋体"/>
                <w:bCs/>
                <w:color w:val="auto"/>
                <w:sz w:val="24"/>
                <w:szCs w:val="24"/>
                <w:highlight w:val="none"/>
                <w:u w:val="single"/>
                <w:lang w:val="en-US" w:eastAsia="zh-CN"/>
              </w:rPr>
              <w:t xml:space="preserve">  </w:t>
            </w:r>
            <w:r>
              <w:rPr>
                <w:rFonts w:hint="eastAsia" w:cs="宋体"/>
                <w:bCs/>
                <w:color w:val="auto"/>
                <w:sz w:val="24"/>
                <w:szCs w:val="24"/>
                <w:highlight w:val="none"/>
                <w:u w:val="single"/>
              </w:rPr>
              <w:t xml:space="preserve">  /        </w:t>
            </w:r>
            <w:r>
              <w:rPr>
                <w:rFonts w:hint="eastAsia" w:cs="宋体"/>
                <w:bCs/>
                <w:color w:val="auto"/>
                <w:sz w:val="24"/>
                <w:szCs w:val="24"/>
                <w:highlight w:val="none"/>
              </w:rPr>
              <w:t>。</w:t>
            </w:r>
          </w:p>
          <w:p w14:paraId="71CEC7AE">
            <w:pPr>
              <w:pStyle w:val="33"/>
              <w:tabs>
                <w:tab w:val="clear" w:pos="4153"/>
                <w:tab w:val="clear" w:pos="8306"/>
              </w:tabs>
              <w:spacing w:line="360" w:lineRule="auto"/>
              <w:rPr>
                <w:rFonts w:cs="宋体"/>
                <w:bCs/>
                <w:color w:val="auto"/>
                <w:sz w:val="24"/>
                <w:szCs w:val="24"/>
                <w:highlight w:val="none"/>
              </w:rPr>
            </w:pPr>
            <w:r>
              <w:rPr>
                <w:rFonts w:hint="eastAsia" w:cs="宋体"/>
                <w:bCs/>
                <w:color w:val="auto"/>
                <w:sz w:val="24"/>
                <w:szCs w:val="24"/>
                <w:highlight w:val="none"/>
              </w:rPr>
              <w:t>（3）其他价格方式：</w:t>
            </w:r>
            <w:r>
              <w:rPr>
                <w:rFonts w:hint="eastAsia" w:cs="宋体"/>
                <w:bCs/>
                <w:color w:val="auto"/>
                <w:sz w:val="24"/>
                <w:szCs w:val="24"/>
                <w:highlight w:val="none"/>
                <w:u w:val="single"/>
              </w:rPr>
              <w:t xml:space="preserve">    </w:t>
            </w:r>
            <w:r>
              <w:rPr>
                <w:rFonts w:hint="eastAsia" w:cs="宋体"/>
                <w:bCs/>
                <w:color w:val="auto"/>
                <w:sz w:val="24"/>
                <w:szCs w:val="24"/>
                <w:highlight w:val="none"/>
                <w:u w:val="single"/>
                <w:lang w:val="en-US" w:eastAsia="zh-CN"/>
              </w:rPr>
              <w:t>/</w:t>
            </w:r>
            <w:r>
              <w:rPr>
                <w:rFonts w:hint="eastAsia" w:cs="宋体"/>
                <w:bCs/>
                <w:color w:val="auto"/>
                <w:sz w:val="24"/>
                <w:szCs w:val="24"/>
                <w:highlight w:val="none"/>
                <w:u w:val="single"/>
              </w:rPr>
              <w:t xml:space="preserve">  </w:t>
            </w:r>
            <w:r>
              <w:rPr>
                <w:rFonts w:hint="eastAsia" w:cs="宋体"/>
                <w:bCs/>
                <w:color w:val="auto"/>
                <w:sz w:val="24"/>
                <w:szCs w:val="24"/>
                <w:highlight w:val="none"/>
              </w:rPr>
              <w:t>。</w:t>
            </w:r>
          </w:p>
        </w:tc>
      </w:tr>
      <w:tr w14:paraId="053D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3CA5E2FA">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6E633C32">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 xml:space="preserve">12.2.1 </w:t>
            </w:r>
          </w:p>
        </w:tc>
        <w:tc>
          <w:tcPr>
            <w:tcW w:w="7304" w:type="dxa"/>
            <w:tcBorders>
              <w:bottom w:val="single" w:color="auto" w:sz="4" w:space="0"/>
            </w:tcBorders>
            <w:vAlign w:val="center"/>
          </w:tcPr>
          <w:p w14:paraId="16B9D553">
            <w:pPr>
              <w:adjustRightInd w:val="0"/>
              <w:snapToGrid w:val="0"/>
              <w:spacing w:line="360" w:lineRule="auto"/>
              <w:rPr>
                <w:rFonts w:cs="宋体"/>
                <w:bCs/>
                <w:color w:val="auto"/>
                <w:sz w:val="24"/>
                <w:szCs w:val="24"/>
                <w:highlight w:val="none"/>
              </w:rPr>
            </w:pPr>
            <w:r>
              <w:rPr>
                <w:rFonts w:hint="eastAsia" w:cs="宋体"/>
                <w:bCs/>
                <w:color w:val="auto"/>
                <w:sz w:val="24"/>
                <w:szCs w:val="24"/>
                <w:highlight w:val="none"/>
              </w:rPr>
              <w:t>预付款的支付</w:t>
            </w:r>
          </w:p>
          <w:p w14:paraId="2B9052B8">
            <w:pPr>
              <w:adjustRightInd w:val="0"/>
              <w:snapToGrid w:val="0"/>
              <w:spacing w:line="360" w:lineRule="auto"/>
              <w:rPr>
                <w:rFonts w:hint="default" w:cs="宋体"/>
                <w:bCs/>
                <w:color w:val="auto"/>
                <w:sz w:val="24"/>
                <w:szCs w:val="24"/>
                <w:highlight w:val="none"/>
                <w:u w:val="single"/>
                <w:lang w:val="en-US" w:eastAsia="zh-CN"/>
              </w:rPr>
            </w:pPr>
            <w:r>
              <w:rPr>
                <w:rFonts w:hint="eastAsia" w:cs="宋体"/>
                <w:bCs/>
                <w:color w:val="auto"/>
                <w:sz w:val="24"/>
                <w:szCs w:val="24"/>
                <w:highlight w:val="none"/>
              </w:rPr>
              <w:t>预付款支付比例或金额：</w:t>
            </w:r>
            <w:r>
              <w:rPr>
                <w:rFonts w:hint="eastAsia" w:cs="宋体"/>
                <w:bCs/>
                <w:color w:val="auto"/>
                <w:sz w:val="24"/>
                <w:szCs w:val="24"/>
                <w:highlight w:val="none"/>
                <w:u w:val="single"/>
              </w:rPr>
              <w:t>签约合同价的</w:t>
            </w:r>
            <w:r>
              <w:rPr>
                <w:rFonts w:hint="eastAsia" w:cs="宋体"/>
                <w:bCs/>
                <w:color w:val="auto"/>
                <w:sz w:val="24"/>
                <w:szCs w:val="24"/>
                <w:highlight w:val="none"/>
                <w:u w:val="single"/>
                <w:lang w:val="en-US" w:eastAsia="zh-CN"/>
              </w:rPr>
              <w:t>60</w:t>
            </w:r>
            <w:r>
              <w:rPr>
                <w:rFonts w:hint="eastAsia" w:cs="宋体"/>
                <w:bCs/>
                <w:color w:val="auto"/>
                <w:sz w:val="24"/>
                <w:szCs w:val="24"/>
                <w:highlight w:val="none"/>
                <w:u w:val="single"/>
              </w:rPr>
              <w:t>%</w:t>
            </w:r>
          </w:p>
          <w:p w14:paraId="0DE9F6F1">
            <w:pPr>
              <w:adjustRightInd w:val="0"/>
              <w:snapToGrid w:val="0"/>
              <w:spacing w:line="360" w:lineRule="auto"/>
              <w:rPr>
                <w:rFonts w:hint="eastAsia" w:ascii="宋体" w:hAnsi="宋体" w:eastAsia="宋体" w:cs="宋体"/>
                <w:bCs/>
                <w:color w:val="auto"/>
                <w:sz w:val="24"/>
                <w:szCs w:val="24"/>
                <w:highlight w:val="none"/>
                <w:u w:val="single"/>
                <w:lang w:val="en-US" w:eastAsia="zh-CN"/>
              </w:rPr>
            </w:pPr>
            <w:r>
              <w:rPr>
                <w:rFonts w:hint="eastAsia" w:cs="宋体"/>
                <w:bCs/>
                <w:color w:val="auto"/>
                <w:sz w:val="24"/>
                <w:szCs w:val="24"/>
                <w:highlight w:val="none"/>
              </w:rPr>
              <w:t>预付款支付期限：</w:t>
            </w:r>
            <w:r>
              <w:rPr>
                <w:rFonts w:hint="eastAsia" w:ascii="宋体" w:hAnsi="宋体" w:eastAsia="宋体" w:cs="宋体"/>
                <w:bCs/>
                <w:color w:val="auto"/>
                <w:sz w:val="24"/>
                <w:szCs w:val="24"/>
                <w:highlight w:val="none"/>
                <w:u w:val="single"/>
                <w:lang w:val="en-US" w:eastAsia="zh-CN"/>
              </w:rPr>
              <w:t>担保措施生效以及</w:t>
            </w:r>
            <w:r>
              <w:rPr>
                <w:rFonts w:hint="eastAsia" w:ascii="宋体" w:hAnsi="宋体" w:eastAsia="宋体" w:cs="宋体"/>
                <w:bCs/>
                <w:color w:val="auto"/>
                <w:sz w:val="24"/>
                <w:szCs w:val="24"/>
                <w:highlight w:val="none"/>
                <w:u w:val="single"/>
              </w:rPr>
              <w:t>具备施工条件的前提下，</w:t>
            </w:r>
            <w:r>
              <w:rPr>
                <w:rFonts w:hint="eastAsia" w:ascii="宋体" w:hAnsi="宋体" w:eastAsia="宋体" w:cs="宋体"/>
                <w:bCs/>
                <w:color w:val="auto"/>
                <w:sz w:val="24"/>
                <w:szCs w:val="24"/>
                <w:highlight w:val="none"/>
                <w:u w:val="single"/>
                <w:lang w:val="en-US" w:eastAsia="zh-CN"/>
              </w:rPr>
              <w:t>经</w:t>
            </w:r>
            <w:r>
              <w:rPr>
                <w:rFonts w:hint="eastAsia" w:cs="宋体"/>
                <w:bCs/>
                <w:color w:val="auto"/>
                <w:sz w:val="24"/>
                <w:szCs w:val="24"/>
                <w:highlight w:val="none"/>
                <w:u w:val="single"/>
                <w:lang w:val="en-US" w:eastAsia="zh-CN"/>
              </w:rPr>
              <w:t>乙方</w:t>
            </w:r>
            <w:r>
              <w:rPr>
                <w:rFonts w:hint="eastAsia" w:ascii="宋体" w:hAnsi="宋体" w:eastAsia="宋体" w:cs="宋体"/>
                <w:bCs/>
                <w:color w:val="auto"/>
                <w:sz w:val="24"/>
                <w:szCs w:val="24"/>
                <w:highlight w:val="none"/>
                <w:u w:val="single"/>
                <w:lang w:val="en-US" w:eastAsia="zh-CN"/>
              </w:rPr>
              <w:t>申请，合同甲方审核确认后按规定及时</w:t>
            </w:r>
            <w:r>
              <w:rPr>
                <w:rFonts w:hint="eastAsia" w:ascii="宋体" w:hAnsi="宋体" w:eastAsia="宋体" w:cs="宋体"/>
                <w:bCs/>
                <w:color w:val="auto"/>
                <w:sz w:val="24"/>
                <w:szCs w:val="24"/>
                <w:highlight w:val="none"/>
                <w:u w:val="single"/>
              </w:rPr>
              <w:t>支付预付价款。</w:t>
            </w:r>
          </w:p>
          <w:p w14:paraId="1CC76678">
            <w:pPr>
              <w:adjustRightInd w:val="0"/>
              <w:snapToGrid w:val="0"/>
              <w:spacing w:line="360" w:lineRule="auto"/>
              <w:rPr>
                <w:rFonts w:hint="default" w:eastAsia="宋体" w:cs="宋体"/>
                <w:bCs/>
                <w:color w:val="auto"/>
                <w:sz w:val="24"/>
                <w:szCs w:val="24"/>
                <w:highlight w:val="none"/>
                <w:lang w:val="en-US" w:eastAsia="zh-CN"/>
              </w:rPr>
            </w:pPr>
            <w:r>
              <w:rPr>
                <w:rFonts w:hint="eastAsia" w:cs="宋体"/>
                <w:bCs/>
                <w:color w:val="auto"/>
                <w:sz w:val="24"/>
                <w:szCs w:val="24"/>
                <w:highlight w:val="none"/>
              </w:rPr>
              <w:t>预付款扣回的方式：</w:t>
            </w:r>
            <w:r>
              <w:rPr>
                <w:rFonts w:hint="eastAsia" w:cs="宋体"/>
                <w:bCs/>
                <w:color w:val="auto"/>
                <w:sz w:val="24"/>
                <w:szCs w:val="24"/>
                <w:highlight w:val="none"/>
                <w:u w:val="single"/>
              </w:rPr>
              <w:t xml:space="preserve"> </w:t>
            </w:r>
            <w:r>
              <w:rPr>
                <w:rFonts w:hint="eastAsia" w:cs="宋体"/>
                <w:bCs/>
                <w:color w:val="auto"/>
                <w:sz w:val="24"/>
                <w:szCs w:val="24"/>
                <w:highlight w:val="none"/>
                <w:u w:val="single"/>
                <w:lang w:val="en-US" w:eastAsia="zh-CN"/>
              </w:rPr>
              <w:t>见付款方式。</w:t>
            </w:r>
          </w:p>
          <w:p w14:paraId="34490F33">
            <w:pPr>
              <w:adjustRightInd w:val="0"/>
              <w:snapToGrid w:val="0"/>
              <w:spacing w:line="360" w:lineRule="auto"/>
              <w:rPr>
                <w:rFonts w:hint="default" w:eastAsia="宋体" w:cs="宋体"/>
                <w:bCs/>
                <w:color w:val="auto"/>
                <w:kern w:val="2"/>
                <w:sz w:val="24"/>
                <w:szCs w:val="24"/>
                <w:highlight w:val="none"/>
                <w:lang w:val="en-US" w:eastAsia="zh-CN"/>
              </w:rPr>
            </w:pPr>
            <w:r>
              <w:rPr>
                <w:rFonts w:hint="eastAsia" w:ascii="宋体" w:hAnsi="宋体" w:eastAsia="宋体" w:cs="宋体"/>
                <w:b/>
                <w:bCs w:val="0"/>
                <w:color w:val="auto"/>
                <w:sz w:val="24"/>
                <w:szCs w:val="24"/>
                <w:highlight w:val="none"/>
                <w:u w:val="single"/>
              </w:rPr>
              <w:t>注：在签订合同时，</w:t>
            </w:r>
            <w:r>
              <w:rPr>
                <w:rFonts w:hint="eastAsia" w:cs="宋体"/>
                <w:b/>
                <w:bCs w:val="0"/>
                <w:color w:val="auto"/>
                <w:sz w:val="24"/>
                <w:szCs w:val="24"/>
                <w:highlight w:val="none"/>
                <w:u w:val="single"/>
                <w:lang w:val="en-US" w:eastAsia="zh-CN"/>
              </w:rPr>
              <w:t>乙方</w:t>
            </w:r>
            <w:r>
              <w:rPr>
                <w:rFonts w:hint="eastAsia" w:ascii="宋体" w:hAnsi="宋体" w:eastAsia="宋体" w:cs="宋体"/>
                <w:b/>
                <w:bCs w:val="0"/>
                <w:color w:val="auto"/>
                <w:sz w:val="24"/>
                <w:szCs w:val="24"/>
                <w:highlight w:val="none"/>
                <w:u w:val="single"/>
              </w:rPr>
              <w:t>书面明确表示无需预付款，即</w:t>
            </w:r>
            <w:r>
              <w:rPr>
                <w:rFonts w:hint="eastAsia" w:cs="宋体"/>
                <w:b/>
                <w:bCs w:val="0"/>
                <w:color w:val="auto"/>
                <w:sz w:val="24"/>
                <w:szCs w:val="24"/>
                <w:highlight w:val="none"/>
                <w:u w:val="single"/>
                <w:lang w:val="en-US" w:eastAsia="zh-CN"/>
              </w:rPr>
              <w:t>乙方</w:t>
            </w:r>
            <w:r>
              <w:rPr>
                <w:rFonts w:hint="eastAsia" w:ascii="宋体" w:hAnsi="宋体" w:eastAsia="宋体" w:cs="宋体"/>
                <w:b/>
                <w:bCs w:val="0"/>
                <w:color w:val="auto"/>
                <w:sz w:val="24"/>
                <w:szCs w:val="24"/>
                <w:highlight w:val="none"/>
                <w:u w:val="single"/>
              </w:rPr>
              <w:t>无需提供预付款担保，按皖财购〔2022〕556号规定，合同甲方可不再支付预付款</w:t>
            </w:r>
            <w:r>
              <w:rPr>
                <w:rFonts w:hint="eastAsia" w:ascii="宋体" w:hAnsi="宋体" w:eastAsia="宋体" w:cs="宋体"/>
                <w:b/>
                <w:bCs w:val="0"/>
                <w:color w:val="auto"/>
                <w:sz w:val="24"/>
                <w:szCs w:val="24"/>
                <w:highlight w:val="none"/>
                <w:u w:val="single"/>
                <w:lang w:eastAsia="zh-CN"/>
              </w:rPr>
              <w:t>。</w:t>
            </w:r>
          </w:p>
        </w:tc>
      </w:tr>
      <w:tr w14:paraId="7F96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629" w:type="dxa"/>
            <w:vAlign w:val="center"/>
          </w:tcPr>
          <w:p w14:paraId="476C41C3">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67DE763D">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12.2.2</w:t>
            </w:r>
          </w:p>
        </w:tc>
        <w:tc>
          <w:tcPr>
            <w:tcW w:w="7304" w:type="dxa"/>
            <w:tcBorders>
              <w:bottom w:val="single" w:color="auto" w:sz="4" w:space="0"/>
            </w:tcBorders>
            <w:vAlign w:val="center"/>
          </w:tcPr>
          <w:p w14:paraId="75093710">
            <w:pPr>
              <w:adjustRightInd w:val="0"/>
              <w:snapToGrid w:val="0"/>
              <w:spacing w:line="360" w:lineRule="auto"/>
              <w:rPr>
                <w:b/>
                <w:bCs/>
                <w:color w:val="auto"/>
                <w:sz w:val="24"/>
                <w:szCs w:val="24"/>
                <w:highlight w:val="none"/>
              </w:rPr>
            </w:pPr>
            <w:r>
              <w:rPr>
                <w:rFonts w:hint="eastAsia"/>
                <w:b/>
                <w:bCs/>
                <w:color w:val="auto"/>
                <w:sz w:val="24"/>
                <w:szCs w:val="24"/>
                <w:highlight w:val="none"/>
              </w:rPr>
              <w:t>预付款担保</w:t>
            </w:r>
          </w:p>
          <w:p w14:paraId="42450CA7">
            <w:pPr>
              <w:adjustRightInd w:val="0"/>
              <w:snapToGrid w:val="0"/>
              <w:spacing w:line="360" w:lineRule="auto"/>
              <w:rPr>
                <w:rFonts w:hint="default"/>
                <w:color w:val="auto"/>
                <w:sz w:val="24"/>
                <w:szCs w:val="24"/>
                <w:highlight w:val="none"/>
                <w:u w:val="single"/>
                <w:lang w:val="en-US" w:eastAsia="zh-CN"/>
              </w:rPr>
            </w:pPr>
            <w:r>
              <w:rPr>
                <w:rFonts w:hint="eastAsia"/>
                <w:color w:val="auto"/>
                <w:sz w:val="24"/>
                <w:szCs w:val="24"/>
                <w:highlight w:val="none"/>
                <w:lang w:eastAsia="zh-CN"/>
              </w:rPr>
              <w:t>乙方</w:t>
            </w:r>
            <w:r>
              <w:rPr>
                <w:rFonts w:hint="eastAsia"/>
                <w:color w:val="auto"/>
                <w:sz w:val="24"/>
                <w:szCs w:val="24"/>
                <w:highlight w:val="none"/>
              </w:rPr>
              <w:t>提交预付款担保的期限：</w:t>
            </w:r>
            <w:r>
              <w:rPr>
                <w:rFonts w:hint="eastAsia" w:cs="宋体"/>
                <w:bCs/>
                <w:color w:val="auto"/>
                <w:sz w:val="24"/>
                <w:szCs w:val="24"/>
                <w:highlight w:val="none"/>
                <w:u w:val="single"/>
              </w:rPr>
              <w:t>支付预付款前</w:t>
            </w:r>
            <w:r>
              <w:rPr>
                <w:rFonts w:hint="eastAsia" w:cs="宋体"/>
                <w:bCs/>
                <w:color w:val="auto"/>
                <w:sz w:val="24"/>
                <w:szCs w:val="24"/>
                <w:highlight w:val="none"/>
                <w:u w:val="single"/>
                <w:lang w:val="en-US" w:eastAsia="zh-CN"/>
              </w:rPr>
              <w:t>由乙方</w:t>
            </w:r>
            <w:r>
              <w:rPr>
                <w:rFonts w:hint="eastAsia" w:cs="宋体"/>
                <w:bCs/>
                <w:color w:val="auto"/>
                <w:sz w:val="24"/>
                <w:szCs w:val="24"/>
                <w:highlight w:val="none"/>
                <w:u w:val="single"/>
              </w:rPr>
              <w:t>提供给</w:t>
            </w:r>
            <w:r>
              <w:rPr>
                <w:rFonts w:hint="eastAsia" w:cs="宋体"/>
                <w:bCs/>
                <w:color w:val="auto"/>
                <w:sz w:val="24"/>
                <w:szCs w:val="24"/>
                <w:highlight w:val="none"/>
                <w:u w:val="single"/>
                <w:lang w:val="en-US" w:eastAsia="zh-CN"/>
              </w:rPr>
              <w:t>合同</w:t>
            </w:r>
            <w:r>
              <w:rPr>
                <w:rFonts w:hint="eastAsia" w:cs="宋体"/>
                <w:bCs/>
                <w:color w:val="auto"/>
                <w:sz w:val="24"/>
                <w:szCs w:val="24"/>
                <w:highlight w:val="none"/>
                <w:u w:val="single"/>
                <w:lang w:eastAsia="zh-CN"/>
              </w:rPr>
              <w:t>甲方</w:t>
            </w:r>
            <w:r>
              <w:rPr>
                <w:rFonts w:hint="eastAsia" w:cs="宋体"/>
                <w:bCs/>
                <w:color w:val="auto"/>
                <w:sz w:val="24"/>
                <w:szCs w:val="24"/>
                <w:highlight w:val="none"/>
                <w:u w:val="single"/>
              </w:rPr>
              <w:t>，担保期限至预付款全部扣回</w:t>
            </w:r>
            <w:r>
              <w:rPr>
                <w:rFonts w:hint="eastAsia" w:cs="宋体"/>
                <w:bCs/>
                <w:color w:val="auto"/>
                <w:sz w:val="24"/>
                <w:szCs w:val="24"/>
                <w:highlight w:val="none"/>
              </w:rPr>
              <w:t>。</w:t>
            </w:r>
          </w:p>
          <w:p w14:paraId="59F0D67C">
            <w:pPr>
              <w:adjustRightInd w:val="0"/>
              <w:snapToGrid w:val="0"/>
              <w:spacing w:line="360" w:lineRule="auto"/>
              <w:rPr>
                <w:rFonts w:hint="eastAsia"/>
                <w:color w:val="auto"/>
                <w:sz w:val="24"/>
                <w:szCs w:val="24"/>
                <w:highlight w:val="none"/>
                <w:u w:val="single"/>
                <w:lang w:eastAsia="zh-CN"/>
              </w:rPr>
            </w:pPr>
            <w:r>
              <w:rPr>
                <w:rFonts w:hint="eastAsia"/>
                <w:color w:val="auto"/>
                <w:sz w:val="24"/>
                <w:szCs w:val="24"/>
                <w:highlight w:val="none"/>
              </w:rPr>
              <w:t>预付款担保的形式为：</w:t>
            </w:r>
            <w:r>
              <w:rPr>
                <w:rFonts w:hint="eastAsia"/>
                <w:color w:val="auto"/>
                <w:sz w:val="24"/>
                <w:szCs w:val="24"/>
                <w:highlight w:val="none"/>
                <w:u w:val="single"/>
              </w:rPr>
              <w:t>合同签订后</w:t>
            </w:r>
            <w:r>
              <w:rPr>
                <w:rFonts w:hint="eastAsia"/>
                <w:color w:val="auto"/>
                <w:sz w:val="24"/>
                <w:szCs w:val="24"/>
                <w:highlight w:val="none"/>
                <w:u w:val="single"/>
                <w:lang w:eastAsia="zh-CN"/>
              </w:rPr>
              <w:t>乙方</w:t>
            </w:r>
            <w:r>
              <w:rPr>
                <w:rFonts w:hint="eastAsia"/>
                <w:color w:val="auto"/>
                <w:sz w:val="24"/>
                <w:szCs w:val="24"/>
                <w:highlight w:val="none"/>
                <w:u w:val="single"/>
              </w:rPr>
              <w:t>须向</w:t>
            </w:r>
            <w:r>
              <w:rPr>
                <w:rFonts w:hint="eastAsia"/>
                <w:color w:val="auto"/>
                <w:sz w:val="24"/>
                <w:szCs w:val="24"/>
                <w:highlight w:val="none"/>
                <w:u w:val="single"/>
                <w:lang w:val="en-US" w:eastAsia="zh-CN"/>
              </w:rPr>
              <w:t>甲方</w:t>
            </w:r>
            <w:r>
              <w:rPr>
                <w:rFonts w:hint="eastAsia"/>
                <w:color w:val="auto"/>
                <w:sz w:val="24"/>
                <w:szCs w:val="24"/>
                <w:highlight w:val="none"/>
                <w:u w:val="single"/>
              </w:rPr>
              <w:t>提交银行、保险公司、担保公司等金融机构出具的金额为合同总价</w:t>
            </w:r>
            <w:r>
              <w:rPr>
                <w:rFonts w:hint="eastAsia"/>
                <w:color w:val="auto"/>
                <w:sz w:val="24"/>
                <w:szCs w:val="24"/>
                <w:highlight w:val="none"/>
                <w:u w:val="single"/>
                <w:lang w:val="en-US" w:eastAsia="zh-CN"/>
              </w:rPr>
              <w:t>60</w:t>
            </w:r>
            <w:r>
              <w:rPr>
                <w:rFonts w:hint="eastAsia"/>
                <w:color w:val="auto"/>
                <w:sz w:val="24"/>
                <w:szCs w:val="24"/>
                <w:highlight w:val="none"/>
                <w:u w:val="single"/>
              </w:rPr>
              <w:t>%的预付款保函作为担保</w:t>
            </w:r>
            <w:r>
              <w:rPr>
                <w:rFonts w:hint="eastAsia"/>
                <w:color w:val="auto"/>
                <w:sz w:val="24"/>
                <w:szCs w:val="24"/>
                <w:highlight w:val="none"/>
                <w:u w:val="single"/>
                <w:lang w:eastAsia="zh-CN"/>
              </w:rPr>
              <w:t>。</w:t>
            </w:r>
          </w:p>
          <w:p w14:paraId="6474FDE8">
            <w:pPr>
              <w:adjustRightInd w:val="0"/>
              <w:snapToGrid w:val="0"/>
              <w:spacing w:line="360" w:lineRule="auto"/>
              <w:rPr>
                <w:rFonts w:hint="eastAsia"/>
                <w:color w:val="auto"/>
                <w:sz w:val="24"/>
                <w:szCs w:val="24"/>
                <w:highlight w:val="none"/>
                <w:lang w:val="en-US" w:eastAsia="zh-CN"/>
              </w:rPr>
            </w:pPr>
            <w:r>
              <w:rPr>
                <w:rFonts w:hint="eastAsia"/>
                <w:b/>
                <w:bCs/>
                <w:color w:val="auto"/>
                <w:sz w:val="24"/>
                <w:szCs w:val="24"/>
                <w:highlight w:val="none"/>
              </w:rPr>
              <w:t>备注：①预付款支付前，</w:t>
            </w:r>
            <w:r>
              <w:rPr>
                <w:rFonts w:hint="eastAsia"/>
                <w:b/>
                <w:bCs/>
                <w:color w:val="auto"/>
                <w:sz w:val="24"/>
                <w:szCs w:val="24"/>
                <w:highlight w:val="none"/>
                <w:lang w:val="en-US" w:eastAsia="zh-CN"/>
              </w:rPr>
              <w:t>乙方</w:t>
            </w:r>
            <w:r>
              <w:rPr>
                <w:rFonts w:hint="eastAsia"/>
                <w:b/>
                <w:bCs/>
                <w:color w:val="auto"/>
                <w:sz w:val="24"/>
                <w:szCs w:val="24"/>
                <w:highlight w:val="none"/>
              </w:rPr>
              <w:t>须提交银行、保险公司、担保公司等金融机构出具的预付款保函（见索即付保函）；②在签订合同时，</w:t>
            </w:r>
            <w:r>
              <w:rPr>
                <w:rFonts w:hint="eastAsia"/>
                <w:b/>
                <w:bCs/>
                <w:color w:val="auto"/>
                <w:sz w:val="24"/>
                <w:szCs w:val="24"/>
                <w:highlight w:val="none"/>
                <w:lang w:val="en-US" w:eastAsia="zh-CN"/>
              </w:rPr>
              <w:t>乙方</w:t>
            </w:r>
            <w:r>
              <w:rPr>
                <w:rFonts w:hint="eastAsia"/>
                <w:b/>
                <w:bCs/>
                <w:color w:val="auto"/>
                <w:sz w:val="24"/>
                <w:szCs w:val="24"/>
                <w:highlight w:val="none"/>
              </w:rPr>
              <w:t>书面明确表示无需预付款，即</w:t>
            </w:r>
            <w:r>
              <w:rPr>
                <w:rFonts w:hint="eastAsia"/>
                <w:b/>
                <w:bCs/>
                <w:color w:val="auto"/>
                <w:sz w:val="24"/>
                <w:szCs w:val="24"/>
                <w:highlight w:val="none"/>
                <w:lang w:val="en-US" w:eastAsia="zh-CN"/>
              </w:rPr>
              <w:t>乙方</w:t>
            </w:r>
            <w:r>
              <w:rPr>
                <w:rFonts w:hint="eastAsia"/>
                <w:b/>
                <w:bCs/>
                <w:color w:val="auto"/>
                <w:sz w:val="24"/>
                <w:szCs w:val="24"/>
                <w:highlight w:val="none"/>
              </w:rPr>
              <w:t>无需提供预付款担保，按皖财购〔2022〕556号规定，</w:t>
            </w:r>
            <w:r>
              <w:rPr>
                <w:rFonts w:hint="eastAsia"/>
                <w:b/>
                <w:bCs/>
                <w:color w:val="auto"/>
                <w:sz w:val="24"/>
                <w:szCs w:val="24"/>
                <w:highlight w:val="none"/>
                <w:lang w:val="en-US" w:eastAsia="zh-CN"/>
              </w:rPr>
              <w:t>甲方</w:t>
            </w:r>
            <w:r>
              <w:rPr>
                <w:rFonts w:hint="eastAsia"/>
                <w:b/>
                <w:bCs/>
                <w:color w:val="auto"/>
                <w:sz w:val="24"/>
                <w:szCs w:val="24"/>
                <w:highlight w:val="none"/>
              </w:rPr>
              <w:t>可不再支付预付款；</w:t>
            </w:r>
          </w:p>
        </w:tc>
      </w:tr>
      <w:tr w14:paraId="39F6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9" w:type="dxa"/>
            <w:vAlign w:val="center"/>
          </w:tcPr>
          <w:p w14:paraId="5B3D0B37">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368EAE08">
            <w:pPr>
              <w:snapToGrid w:val="0"/>
              <w:spacing w:line="360" w:lineRule="auto"/>
              <w:jc w:val="center"/>
              <w:rPr>
                <w:rFonts w:cs="宋体"/>
                <w:bCs/>
                <w:color w:val="auto"/>
                <w:sz w:val="24"/>
                <w:szCs w:val="24"/>
                <w:highlight w:val="none"/>
              </w:rPr>
            </w:pPr>
            <w:r>
              <w:rPr>
                <w:rFonts w:hint="eastAsia" w:cs="宋体"/>
                <w:bCs/>
                <w:color w:val="auto"/>
                <w:sz w:val="24"/>
                <w:szCs w:val="24"/>
                <w:highlight w:val="none"/>
              </w:rPr>
              <w:t>12.4.1</w:t>
            </w:r>
          </w:p>
        </w:tc>
        <w:tc>
          <w:tcPr>
            <w:tcW w:w="7304" w:type="dxa"/>
            <w:tcBorders>
              <w:bottom w:val="single" w:color="auto" w:sz="4" w:space="0"/>
            </w:tcBorders>
            <w:vAlign w:val="center"/>
          </w:tcPr>
          <w:p w14:paraId="7600DBD9">
            <w:pPr>
              <w:snapToGrid w:val="0"/>
              <w:spacing w:line="360" w:lineRule="auto"/>
              <w:jc w:val="left"/>
              <w:rPr>
                <w:rFonts w:hint="eastAsia" w:cs="宋体"/>
                <w:b/>
                <w:bCs w:val="0"/>
                <w:color w:val="auto"/>
                <w:sz w:val="24"/>
                <w:szCs w:val="24"/>
                <w:highlight w:val="none"/>
                <w:u w:val="none"/>
                <w:lang w:val="en-US" w:eastAsia="zh-CN"/>
              </w:rPr>
            </w:pPr>
            <w:r>
              <w:rPr>
                <w:rFonts w:hint="eastAsia" w:cs="宋体"/>
                <w:b/>
                <w:bCs w:val="0"/>
                <w:color w:val="auto"/>
                <w:sz w:val="24"/>
                <w:szCs w:val="24"/>
                <w:highlight w:val="none"/>
                <w:u w:val="none"/>
                <w:lang w:val="en-US" w:eastAsia="zh-CN"/>
              </w:rPr>
              <w:t>付款方式：</w:t>
            </w:r>
          </w:p>
          <w:p w14:paraId="5E5B1D00">
            <w:pPr>
              <w:snapToGrid w:val="0"/>
              <w:spacing w:line="360" w:lineRule="auto"/>
              <w:jc w:val="left"/>
              <w:rPr>
                <w:rFonts w:hint="eastAsia"/>
                <w:color w:val="auto"/>
                <w:sz w:val="24"/>
                <w:szCs w:val="24"/>
                <w:highlight w:val="none"/>
                <w:u w:val="none"/>
              </w:rPr>
            </w:pPr>
            <w:r>
              <w:rPr>
                <w:rFonts w:hint="eastAsia" w:cs="宋体"/>
                <w:b w:val="0"/>
                <w:bCs/>
                <w:color w:val="auto"/>
                <w:sz w:val="24"/>
                <w:szCs w:val="24"/>
                <w:highlight w:val="none"/>
                <w:u w:val="none"/>
                <w:lang w:val="en-US" w:eastAsia="zh-CN"/>
              </w:rPr>
              <w:t>①</w:t>
            </w:r>
            <w:r>
              <w:rPr>
                <w:rFonts w:hint="eastAsia" w:ascii="宋体" w:hAnsi="宋体" w:eastAsia="宋体" w:cs="宋体"/>
                <w:b w:val="0"/>
                <w:bCs/>
                <w:color w:val="auto"/>
                <w:sz w:val="24"/>
                <w:szCs w:val="24"/>
                <w:highlight w:val="none"/>
                <w:u w:val="none"/>
              </w:rPr>
              <w:t>合同签订后，经</w:t>
            </w:r>
            <w:r>
              <w:rPr>
                <w:rFonts w:hint="eastAsia" w:cs="宋体"/>
                <w:b w:val="0"/>
                <w:bCs/>
                <w:color w:val="auto"/>
                <w:sz w:val="24"/>
                <w:szCs w:val="24"/>
                <w:highlight w:val="none"/>
                <w:u w:val="none"/>
                <w:lang w:eastAsia="zh-CN"/>
              </w:rPr>
              <w:t>乙方</w:t>
            </w:r>
            <w:r>
              <w:rPr>
                <w:rFonts w:hint="eastAsia" w:ascii="宋体" w:hAnsi="宋体" w:eastAsia="宋体" w:cs="宋体"/>
                <w:b w:val="0"/>
                <w:bCs/>
                <w:color w:val="auto"/>
                <w:sz w:val="24"/>
                <w:szCs w:val="24"/>
                <w:highlight w:val="none"/>
                <w:u w:val="none"/>
              </w:rPr>
              <w:t>申请</w:t>
            </w:r>
            <w:r>
              <w:rPr>
                <w:rFonts w:hint="eastAsia" w:ascii="宋体" w:hAnsi="宋体" w:eastAsia="宋体" w:cs="宋体"/>
                <w:b w:val="0"/>
                <w:bCs/>
                <w:color w:val="auto"/>
                <w:sz w:val="24"/>
                <w:szCs w:val="24"/>
                <w:highlight w:val="none"/>
                <w:u w:val="none"/>
                <w:lang w:eastAsia="zh-CN"/>
              </w:rPr>
              <w:t>，</w:t>
            </w:r>
            <w:r>
              <w:rPr>
                <w:rFonts w:hint="eastAsia" w:ascii="宋体" w:hAnsi="宋体" w:eastAsia="宋体" w:cs="宋体"/>
                <w:b w:val="0"/>
                <w:bCs/>
                <w:color w:val="auto"/>
                <w:sz w:val="24"/>
                <w:szCs w:val="24"/>
                <w:highlight w:val="none"/>
                <w:u w:val="none"/>
                <w:lang w:val="en-US" w:eastAsia="zh-CN"/>
              </w:rPr>
              <w:t>合同甲方审核确认后</w:t>
            </w:r>
            <w:r>
              <w:rPr>
                <w:rFonts w:hint="eastAsia" w:ascii="宋体" w:hAnsi="宋体" w:eastAsia="宋体" w:cs="宋体"/>
                <w:b w:val="0"/>
                <w:bCs/>
                <w:color w:val="auto"/>
                <w:sz w:val="24"/>
                <w:szCs w:val="24"/>
                <w:highlight w:val="none"/>
                <w:u w:val="none"/>
              </w:rPr>
              <w:t>支付</w:t>
            </w:r>
            <w:r>
              <w:rPr>
                <w:rFonts w:hint="eastAsia" w:cs="宋体"/>
                <w:b w:val="0"/>
                <w:bCs/>
                <w:color w:val="auto"/>
                <w:sz w:val="24"/>
                <w:szCs w:val="24"/>
                <w:highlight w:val="none"/>
                <w:u w:val="none"/>
                <w:lang w:val="en-US" w:eastAsia="zh-CN"/>
              </w:rPr>
              <w:t>乙方</w:t>
            </w:r>
            <w:r>
              <w:rPr>
                <w:rFonts w:hint="eastAsia" w:ascii="宋体" w:hAnsi="宋体" w:eastAsia="宋体" w:cs="宋体"/>
                <w:b w:val="0"/>
                <w:bCs/>
                <w:color w:val="auto"/>
                <w:sz w:val="24"/>
                <w:szCs w:val="24"/>
                <w:highlight w:val="none"/>
                <w:u w:val="none"/>
              </w:rPr>
              <w:t>签约合同价的</w:t>
            </w:r>
            <w:r>
              <w:rPr>
                <w:rFonts w:hint="eastAsia" w:ascii="宋体" w:hAnsi="宋体" w:eastAsia="宋体" w:cs="宋体"/>
                <w:b w:val="0"/>
                <w:bCs/>
                <w:color w:val="auto"/>
                <w:sz w:val="24"/>
                <w:szCs w:val="24"/>
                <w:highlight w:val="none"/>
                <w:u w:val="none"/>
                <w:lang w:val="en-US" w:eastAsia="zh-CN"/>
              </w:rPr>
              <w:t>6</w:t>
            </w:r>
            <w:r>
              <w:rPr>
                <w:rFonts w:hint="eastAsia" w:ascii="宋体" w:hAnsi="宋体" w:eastAsia="宋体" w:cs="宋体"/>
                <w:b w:val="0"/>
                <w:bCs/>
                <w:color w:val="auto"/>
                <w:sz w:val="24"/>
                <w:szCs w:val="24"/>
                <w:highlight w:val="none"/>
                <w:u w:val="none"/>
              </w:rPr>
              <w:t>0%</w:t>
            </w:r>
            <w:r>
              <w:rPr>
                <w:rFonts w:hint="eastAsia" w:cs="宋体"/>
                <w:b w:val="0"/>
                <w:bCs/>
                <w:color w:val="auto"/>
                <w:sz w:val="24"/>
                <w:szCs w:val="24"/>
                <w:highlight w:val="none"/>
                <w:u w:val="none"/>
                <w:lang w:val="en-US" w:eastAsia="zh-CN"/>
              </w:rPr>
              <w:t>作为预付款</w:t>
            </w:r>
            <w:r>
              <w:rPr>
                <w:rFonts w:hint="eastAsia" w:ascii="宋体" w:hAnsi="宋体" w:eastAsia="宋体" w:cs="宋体"/>
                <w:b w:val="0"/>
                <w:bCs/>
                <w:color w:val="auto"/>
                <w:sz w:val="24"/>
                <w:szCs w:val="24"/>
                <w:highlight w:val="none"/>
                <w:u w:val="none"/>
              </w:rPr>
              <w:t>（</w:t>
            </w:r>
            <w:r>
              <w:rPr>
                <w:rFonts w:hint="eastAsia" w:cs="宋体"/>
                <w:b w:val="0"/>
                <w:bCs/>
                <w:color w:val="auto"/>
                <w:sz w:val="24"/>
                <w:szCs w:val="24"/>
                <w:highlight w:val="none"/>
                <w:u w:val="none"/>
                <w:lang w:val="en-US" w:eastAsia="zh-CN"/>
              </w:rPr>
              <w:t>乙方</w:t>
            </w:r>
            <w:r>
              <w:rPr>
                <w:rFonts w:hint="eastAsia" w:ascii="宋体" w:hAnsi="宋体" w:eastAsia="宋体" w:cs="宋体"/>
                <w:b w:val="0"/>
                <w:bCs/>
                <w:color w:val="auto"/>
                <w:sz w:val="24"/>
                <w:szCs w:val="24"/>
                <w:highlight w:val="none"/>
                <w:u w:val="none"/>
              </w:rPr>
              <w:t>须提交等额预付款担保）</w:t>
            </w:r>
            <w:r>
              <w:rPr>
                <w:rFonts w:hint="eastAsia" w:cs="宋体"/>
                <w:b w:val="0"/>
                <w:bCs/>
                <w:color w:val="auto"/>
                <w:sz w:val="24"/>
                <w:szCs w:val="24"/>
                <w:highlight w:val="none"/>
                <w:u w:val="none"/>
                <w:lang w:eastAsia="zh-CN"/>
              </w:rPr>
              <w:t>。</w:t>
            </w:r>
            <w:r>
              <w:rPr>
                <w:rFonts w:hint="eastAsia" w:cs="宋体"/>
                <w:b w:val="0"/>
                <w:bCs/>
                <w:color w:val="auto"/>
                <w:sz w:val="24"/>
                <w:szCs w:val="24"/>
                <w:highlight w:val="none"/>
                <w:u w:val="none"/>
                <w:lang w:val="en-US" w:eastAsia="zh-CN"/>
              </w:rPr>
              <w:t>合同价款</w:t>
            </w:r>
            <w:r>
              <w:rPr>
                <w:rFonts w:hint="eastAsia" w:ascii="宋体" w:hAnsi="宋体" w:eastAsia="宋体" w:cs="宋体"/>
                <w:b w:val="0"/>
                <w:bCs/>
                <w:color w:val="auto"/>
                <w:sz w:val="24"/>
                <w:szCs w:val="24"/>
                <w:highlight w:val="none"/>
                <w:u w:val="none"/>
              </w:rPr>
              <w:t>按工程进度支付，完工验收并经结算审核后支付至结算价款的100%，并扣回所有预付款。</w:t>
            </w:r>
          </w:p>
          <w:p w14:paraId="25A086B5">
            <w:pPr>
              <w:adjustRightInd w:val="0"/>
              <w:snapToGrid w:val="0"/>
              <w:spacing w:line="360" w:lineRule="auto"/>
              <w:rPr>
                <w:rFonts w:hint="default" w:eastAsia="宋体" w:cs="宋体"/>
                <w:bCs/>
                <w:color w:val="auto"/>
                <w:sz w:val="24"/>
                <w:szCs w:val="24"/>
                <w:highlight w:val="none"/>
                <w:lang w:val="en-US" w:eastAsia="zh-CN"/>
              </w:rPr>
            </w:pPr>
            <w:r>
              <w:rPr>
                <w:rFonts w:hint="eastAsia" w:cs="宋体"/>
                <w:b w:val="0"/>
                <w:bCs/>
                <w:color w:val="auto"/>
                <w:sz w:val="24"/>
                <w:szCs w:val="24"/>
                <w:highlight w:val="none"/>
                <w:u w:val="none"/>
                <w:lang w:val="en-US" w:eastAsia="zh-CN"/>
              </w:rPr>
              <w:t>②</w:t>
            </w:r>
            <w:r>
              <w:rPr>
                <w:rFonts w:hint="eastAsia" w:ascii="宋体" w:hAnsi="宋体" w:eastAsia="宋体" w:cs="宋体"/>
                <w:b w:val="0"/>
                <w:bCs/>
                <w:color w:val="auto"/>
                <w:sz w:val="24"/>
                <w:szCs w:val="24"/>
                <w:highlight w:val="none"/>
                <w:u w:val="none"/>
              </w:rPr>
              <w:t>在签订合同时，</w:t>
            </w:r>
            <w:r>
              <w:rPr>
                <w:rFonts w:hint="eastAsia" w:cs="宋体"/>
                <w:b w:val="0"/>
                <w:bCs/>
                <w:color w:val="auto"/>
                <w:sz w:val="24"/>
                <w:szCs w:val="24"/>
                <w:highlight w:val="none"/>
                <w:u w:val="none"/>
                <w:lang w:val="en-US" w:eastAsia="zh-CN"/>
              </w:rPr>
              <w:t>乙方</w:t>
            </w:r>
            <w:r>
              <w:rPr>
                <w:rFonts w:hint="eastAsia" w:ascii="宋体" w:hAnsi="宋体" w:eastAsia="宋体" w:cs="宋体"/>
                <w:b w:val="0"/>
                <w:bCs/>
                <w:color w:val="auto"/>
                <w:sz w:val="24"/>
                <w:szCs w:val="24"/>
                <w:highlight w:val="none"/>
                <w:u w:val="none"/>
              </w:rPr>
              <w:t>书面明确表示无需预付款，即</w:t>
            </w:r>
            <w:r>
              <w:rPr>
                <w:rFonts w:hint="eastAsia" w:cs="宋体"/>
                <w:b w:val="0"/>
                <w:bCs/>
                <w:color w:val="auto"/>
                <w:sz w:val="24"/>
                <w:szCs w:val="24"/>
                <w:highlight w:val="none"/>
                <w:u w:val="none"/>
                <w:lang w:val="en-US" w:eastAsia="zh-CN"/>
              </w:rPr>
              <w:t>乙方</w:t>
            </w:r>
            <w:r>
              <w:rPr>
                <w:rFonts w:hint="eastAsia" w:ascii="宋体" w:hAnsi="宋体" w:eastAsia="宋体" w:cs="宋体"/>
                <w:b w:val="0"/>
                <w:bCs/>
                <w:color w:val="auto"/>
                <w:sz w:val="24"/>
                <w:szCs w:val="24"/>
                <w:highlight w:val="none"/>
                <w:u w:val="none"/>
              </w:rPr>
              <w:t>无需提供预付款担保，按皖财购〔2022〕556号规定，合同甲方可不再支付预付款</w:t>
            </w:r>
            <w:r>
              <w:rPr>
                <w:rFonts w:hint="eastAsia" w:ascii="宋体" w:hAnsi="宋体" w:eastAsia="宋体" w:cs="宋体"/>
                <w:b w:val="0"/>
                <w:bCs/>
                <w:color w:val="auto"/>
                <w:sz w:val="24"/>
                <w:szCs w:val="24"/>
                <w:highlight w:val="none"/>
                <w:u w:val="none"/>
                <w:lang w:eastAsia="zh-CN"/>
              </w:rPr>
              <w:t>。</w:t>
            </w:r>
            <w:r>
              <w:rPr>
                <w:rFonts w:hint="eastAsia" w:cs="宋体"/>
                <w:b w:val="0"/>
                <w:bCs/>
                <w:color w:val="auto"/>
                <w:sz w:val="24"/>
                <w:szCs w:val="24"/>
                <w:highlight w:val="none"/>
                <w:u w:val="none"/>
                <w:lang w:val="en-US" w:eastAsia="zh-CN"/>
              </w:rPr>
              <w:t>合同价款</w:t>
            </w:r>
            <w:r>
              <w:rPr>
                <w:rFonts w:hint="eastAsia" w:ascii="宋体" w:hAnsi="宋体" w:eastAsia="宋体" w:cs="宋体"/>
                <w:b w:val="0"/>
                <w:bCs/>
                <w:color w:val="auto"/>
                <w:sz w:val="24"/>
                <w:szCs w:val="24"/>
                <w:highlight w:val="none"/>
                <w:u w:val="none"/>
              </w:rPr>
              <w:t>按工程进度支付，完工验收并经结算审核后支付至结算价款的100%。</w:t>
            </w:r>
          </w:p>
        </w:tc>
      </w:tr>
      <w:tr w14:paraId="74CF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5BEEE42C">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339C798D">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15.2.1</w:t>
            </w:r>
          </w:p>
        </w:tc>
        <w:tc>
          <w:tcPr>
            <w:tcW w:w="7304" w:type="dxa"/>
            <w:vAlign w:val="center"/>
          </w:tcPr>
          <w:p w14:paraId="6E1ADFF0">
            <w:pPr>
              <w:snapToGrid w:val="0"/>
              <w:spacing w:line="360" w:lineRule="auto"/>
              <w:rPr>
                <w:rFonts w:cs="宋体"/>
                <w:bCs/>
                <w:color w:val="auto"/>
                <w:kern w:val="2"/>
                <w:sz w:val="24"/>
                <w:szCs w:val="24"/>
                <w:highlight w:val="none"/>
              </w:rPr>
            </w:pPr>
            <w:r>
              <w:rPr>
                <w:rFonts w:hint="eastAsia" w:cs="宋体"/>
                <w:color w:val="auto"/>
                <w:sz w:val="24"/>
                <w:szCs w:val="24"/>
                <w:highlight w:val="none"/>
              </w:rPr>
              <w:t>缺陷责任期的具体期限：</w:t>
            </w:r>
            <w:r>
              <w:rPr>
                <w:rFonts w:hint="eastAsia" w:cs="宋体"/>
                <w:color w:val="auto"/>
                <w:sz w:val="24"/>
                <w:szCs w:val="24"/>
                <w:highlight w:val="none"/>
                <w:u w:val="single"/>
              </w:rPr>
              <w:t>工程通过合同工程</w:t>
            </w:r>
            <w:r>
              <w:rPr>
                <w:rFonts w:hint="eastAsia" w:cs="宋体"/>
                <w:color w:val="auto"/>
                <w:sz w:val="24"/>
                <w:szCs w:val="24"/>
                <w:highlight w:val="none"/>
                <w:u w:val="single"/>
                <w:lang w:val="en-US" w:eastAsia="zh-CN"/>
              </w:rPr>
              <w:t>完工</w:t>
            </w:r>
            <w:r>
              <w:rPr>
                <w:rFonts w:hint="eastAsia" w:cs="宋体"/>
                <w:color w:val="auto"/>
                <w:sz w:val="24"/>
                <w:szCs w:val="24"/>
                <w:highlight w:val="none"/>
                <w:u w:val="single"/>
              </w:rPr>
              <w:t>验收后</w:t>
            </w:r>
            <w:r>
              <w:rPr>
                <w:rFonts w:hint="eastAsia" w:cs="宋体"/>
                <w:color w:val="auto"/>
                <w:sz w:val="24"/>
                <w:szCs w:val="24"/>
                <w:highlight w:val="none"/>
                <w:u w:val="single"/>
                <w:lang w:val="en-US" w:eastAsia="zh-CN"/>
              </w:rPr>
              <w:t>1</w:t>
            </w:r>
            <w:r>
              <w:rPr>
                <w:rFonts w:hint="eastAsia" w:cs="宋体"/>
                <w:color w:val="auto"/>
                <w:sz w:val="24"/>
                <w:szCs w:val="24"/>
                <w:highlight w:val="none"/>
                <w:u w:val="single"/>
              </w:rPr>
              <w:t xml:space="preserve">年  </w:t>
            </w:r>
            <w:r>
              <w:rPr>
                <w:rFonts w:hint="eastAsia" w:cs="宋体"/>
                <w:color w:val="auto"/>
                <w:sz w:val="24"/>
                <w:szCs w:val="24"/>
                <w:highlight w:val="none"/>
              </w:rPr>
              <w:t>。</w:t>
            </w:r>
          </w:p>
        </w:tc>
      </w:tr>
      <w:tr w14:paraId="704E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vAlign w:val="center"/>
          </w:tcPr>
          <w:p w14:paraId="5E1669EA">
            <w:pPr>
              <w:numPr>
                <w:ilvl w:val="0"/>
                <w:numId w:val="5"/>
              </w:numPr>
              <w:snapToGrid w:val="0"/>
              <w:spacing w:line="360" w:lineRule="auto"/>
              <w:jc w:val="center"/>
              <w:rPr>
                <w:rFonts w:cs="宋体"/>
                <w:bCs/>
                <w:color w:val="auto"/>
                <w:kern w:val="2"/>
                <w:sz w:val="24"/>
                <w:szCs w:val="24"/>
                <w:highlight w:val="none"/>
              </w:rPr>
            </w:pPr>
          </w:p>
        </w:tc>
        <w:tc>
          <w:tcPr>
            <w:tcW w:w="1111" w:type="dxa"/>
            <w:vAlign w:val="center"/>
          </w:tcPr>
          <w:p w14:paraId="2333755D">
            <w:pPr>
              <w:snapToGrid w:val="0"/>
              <w:spacing w:line="360" w:lineRule="auto"/>
              <w:jc w:val="center"/>
              <w:rPr>
                <w:rFonts w:cs="宋体"/>
                <w:bCs/>
                <w:color w:val="auto"/>
                <w:kern w:val="2"/>
                <w:sz w:val="24"/>
                <w:szCs w:val="24"/>
                <w:highlight w:val="none"/>
              </w:rPr>
            </w:pPr>
            <w:r>
              <w:rPr>
                <w:rFonts w:hint="eastAsia" w:cs="宋体"/>
                <w:bCs/>
                <w:color w:val="auto"/>
                <w:sz w:val="24"/>
                <w:szCs w:val="24"/>
                <w:highlight w:val="none"/>
              </w:rPr>
              <w:t>15.3.1</w:t>
            </w:r>
          </w:p>
        </w:tc>
        <w:tc>
          <w:tcPr>
            <w:tcW w:w="7304" w:type="dxa"/>
            <w:vAlign w:val="center"/>
          </w:tcPr>
          <w:p w14:paraId="2547851C">
            <w:pPr>
              <w:snapToGrid w:val="0"/>
              <w:spacing w:line="360" w:lineRule="auto"/>
              <w:jc w:val="left"/>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质量保证金金额为结算审核价款的3%，缴纳方式可采用以下任意一种方式：</w:t>
            </w:r>
          </w:p>
          <w:p w14:paraId="55F79DB5">
            <w:pPr>
              <w:snapToGrid w:val="0"/>
              <w:spacing w:line="360" w:lineRule="auto"/>
              <w:jc w:val="left"/>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（1）由银行业金融机构、工程担保公司、保险机构出具银行保函、工程质量保险等担保方式；</w:t>
            </w:r>
          </w:p>
          <w:p w14:paraId="43B06F01">
            <w:pPr>
              <w:snapToGrid w:val="0"/>
              <w:spacing w:line="360" w:lineRule="auto"/>
              <w:jc w:val="left"/>
              <w:rPr>
                <w:rFonts w:hint="eastAsia" w:ascii="宋体" w:hAnsi="宋体" w:eastAsia="宋体" w:cs="宋体"/>
                <w:b w:val="0"/>
                <w:bCs/>
                <w:color w:val="auto"/>
                <w:sz w:val="24"/>
                <w:szCs w:val="24"/>
                <w:highlight w:val="none"/>
                <w:u w:val="none"/>
                <w:lang w:eastAsia="zh-CN"/>
              </w:rPr>
            </w:pPr>
            <w:r>
              <w:rPr>
                <w:rFonts w:hint="eastAsia" w:ascii="宋体" w:hAnsi="宋体" w:eastAsia="宋体" w:cs="宋体"/>
                <w:b w:val="0"/>
                <w:bCs/>
                <w:color w:val="auto"/>
                <w:sz w:val="24"/>
                <w:szCs w:val="24"/>
                <w:highlight w:val="none"/>
                <w:u w:val="none"/>
                <w:lang w:val="en-US" w:eastAsia="zh-CN"/>
              </w:rPr>
              <w:t>（2</w:t>
            </w:r>
            <w:r>
              <w:rPr>
                <w:rFonts w:hint="eastAsia" w:ascii="宋体" w:hAnsi="宋体" w:eastAsia="宋体" w:cs="宋体"/>
                <w:b w:val="0"/>
                <w:bCs/>
                <w:color w:val="auto"/>
                <w:sz w:val="24"/>
                <w:szCs w:val="24"/>
                <w:highlight w:val="none"/>
                <w:u w:val="none"/>
              </w:rPr>
              <w:t>）转账的方式缴纳</w:t>
            </w:r>
            <w:r>
              <w:rPr>
                <w:rFonts w:hint="eastAsia" w:cs="宋体"/>
                <w:b w:val="0"/>
                <w:bCs/>
                <w:color w:val="auto"/>
                <w:sz w:val="24"/>
                <w:szCs w:val="24"/>
                <w:highlight w:val="none"/>
                <w:u w:val="none"/>
                <w:lang w:eastAsia="zh-CN"/>
              </w:rPr>
              <w:t>；</w:t>
            </w:r>
          </w:p>
          <w:p w14:paraId="154A359A">
            <w:pPr>
              <w:adjustRightInd w:val="0"/>
              <w:snapToGrid w:val="0"/>
              <w:spacing w:line="360" w:lineRule="auto"/>
              <w:rPr>
                <w:rFonts w:hint="eastAsia" w:cs="宋体"/>
                <w:strike/>
                <w:dstrike w:val="0"/>
                <w:color w:val="auto"/>
                <w:sz w:val="24"/>
                <w:szCs w:val="24"/>
                <w:highlight w:val="none"/>
              </w:rPr>
            </w:pPr>
            <w:r>
              <w:rPr>
                <w:rFonts w:hint="eastAsia" w:ascii="宋体" w:hAnsi="宋体" w:eastAsia="宋体" w:cs="宋体"/>
                <w:b w:val="0"/>
                <w:bCs/>
                <w:color w:val="auto"/>
                <w:sz w:val="24"/>
                <w:szCs w:val="24"/>
                <w:highlight w:val="none"/>
                <w:u w:val="none"/>
                <w:lang w:val="en-US" w:eastAsia="zh-CN"/>
              </w:rPr>
              <w:t>（3）在工程项目完工前，乙方按甲方要求提供履约保证金的，可在工程进入缺陷责任期时按照多退少补原则转为质量保证金。</w:t>
            </w:r>
          </w:p>
          <w:p w14:paraId="04B266C5">
            <w:pPr>
              <w:adjustRightInd w:val="0"/>
              <w:snapToGrid w:val="0"/>
              <w:spacing w:line="360" w:lineRule="auto"/>
              <w:rPr>
                <w:rFonts w:hint="eastAsia" w:cs="宋体"/>
                <w:b/>
                <w:bCs/>
                <w:color w:val="auto"/>
                <w:sz w:val="24"/>
                <w:szCs w:val="24"/>
                <w:highlight w:val="none"/>
              </w:rPr>
            </w:pPr>
            <w:r>
              <w:rPr>
                <w:rFonts w:hint="eastAsia" w:cs="宋体"/>
                <w:b/>
                <w:bCs/>
                <w:color w:val="auto"/>
                <w:sz w:val="24"/>
                <w:szCs w:val="24"/>
                <w:highlight w:val="none"/>
              </w:rPr>
              <w:t>注：（1）缺陷责任期内，承包人认真履行合同约定的责任，到期后，承包人向发包人申请返还质量保证金。发包人在接到承包人返还保证金申请后，应于14天内会同承包人按照合同约定的内容进行核实。如无异议，发包人应当按照约定将保证金无息返还给承包人。</w:t>
            </w:r>
          </w:p>
          <w:p w14:paraId="451DE61C">
            <w:pPr>
              <w:adjustRightInd w:val="0"/>
              <w:snapToGrid w:val="0"/>
              <w:spacing w:line="360" w:lineRule="auto"/>
              <w:rPr>
                <w:rFonts w:hint="eastAsia" w:eastAsia="宋体" w:cs="宋体"/>
                <w:bCs w:val="0"/>
                <w:color w:val="auto"/>
                <w:kern w:val="2"/>
                <w:sz w:val="24"/>
                <w:szCs w:val="24"/>
                <w:highlight w:val="none"/>
                <w:lang w:eastAsia="zh-CN"/>
              </w:rPr>
            </w:pPr>
            <w:r>
              <w:rPr>
                <w:rFonts w:hint="eastAsia" w:cs="宋体"/>
                <w:color w:val="auto"/>
                <w:sz w:val="24"/>
                <w:szCs w:val="24"/>
                <w:highlight w:val="none"/>
              </w:rPr>
              <w:t>（2）采用银行保函形式，须由国有或国有控股的银行出具的见索即付无条件保函</w:t>
            </w:r>
            <w:r>
              <w:rPr>
                <w:rFonts w:hint="eastAsia" w:cs="宋体"/>
                <w:color w:val="auto"/>
                <w:sz w:val="24"/>
                <w:szCs w:val="24"/>
                <w:highlight w:val="none"/>
                <w:lang w:eastAsia="zh-CN"/>
              </w:rPr>
              <w:t>；采用担保机构出具的保函（担保机构担保），应为依法取得融资担保业务经营许可证的融资担保机构出具的无条件保函。</w:t>
            </w:r>
          </w:p>
        </w:tc>
      </w:tr>
    </w:tbl>
    <w:p w14:paraId="73246F43">
      <w:pPr>
        <w:snapToGrid w:val="0"/>
        <w:spacing w:before="312" w:beforeLines="100" w:after="312" w:afterLines="100" w:line="360" w:lineRule="auto"/>
        <w:outlineLvl w:val="2"/>
        <w:rPr>
          <w:rFonts w:cs="宋体"/>
          <w:color w:val="auto"/>
          <w:sz w:val="24"/>
          <w:szCs w:val="24"/>
          <w:highlight w:val="none"/>
        </w:rPr>
      </w:pPr>
      <w:r>
        <w:rPr>
          <w:rFonts w:hint="eastAsia" w:cs="宋体"/>
          <w:color w:val="auto"/>
          <w:sz w:val="24"/>
          <w:szCs w:val="24"/>
          <w:highlight w:val="none"/>
        </w:rPr>
        <w:br w:type="page"/>
      </w:r>
      <w:bookmarkEnd w:id="70"/>
      <w:r>
        <w:rPr>
          <w:rFonts w:hint="eastAsia" w:cs="宋体"/>
          <w:color w:val="auto"/>
          <w:sz w:val="24"/>
          <w:szCs w:val="24"/>
          <w:highlight w:val="none"/>
        </w:rPr>
        <w:t>1</w:t>
      </w:r>
      <w:bookmarkStart w:id="71" w:name="_Toc296944495"/>
      <w:bookmarkStart w:id="72" w:name="_Toc296347155"/>
      <w:bookmarkStart w:id="73" w:name="_Toc297120456"/>
      <w:bookmarkStart w:id="74" w:name="_Toc292559361"/>
      <w:bookmarkStart w:id="75" w:name="_Toc297048342"/>
      <w:bookmarkStart w:id="76" w:name="_Toc292559866"/>
      <w:bookmarkStart w:id="77" w:name="_Toc296890984"/>
      <w:bookmarkStart w:id="78" w:name="_Toc296503156"/>
      <w:bookmarkStart w:id="79" w:name="_Toc296346657"/>
      <w:bookmarkStart w:id="80" w:name="_Toc296891196"/>
      <w:r>
        <w:rPr>
          <w:rFonts w:hint="eastAsia" w:cs="宋体"/>
          <w:color w:val="auto"/>
          <w:sz w:val="24"/>
          <w:szCs w:val="24"/>
          <w:highlight w:val="none"/>
        </w:rPr>
        <w:t>. 一般约定</w:t>
      </w:r>
    </w:p>
    <w:bookmarkEnd w:id="71"/>
    <w:bookmarkEnd w:id="72"/>
    <w:bookmarkEnd w:id="73"/>
    <w:bookmarkEnd w:id="74"/>
    <w:bookmarkEnd w:id="75"/>
    <w:bookmarkEnd w:id="76"/>
    <w:bookmarkEnd w:id="77"/>
    <w:bookmarkEnd w:id="78"/>
    <w:bookmarkEnd w:id="79"/>
    <w:bookmarkEnd w:id="80"/>
    <w:p w14:paraId="2DD2A435">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1.1 词语定义与解释</w:t>
      </w:r>
    </w:p>
    <w:p w14:paraId="5CFC970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1.1.1 合同</w:t>
      </w:r>
    </w:p>
    <w:p w14:paraId="6BFE45B6">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1.1.1.10 其他合同文件包括：</w:t>
      </w:r>
      <w:r>
        <w:rPr>
          <w:rFonts w:hint="eastAsia" w:cs="宋体"/>
          <w:color w:val="auto"/>
          <w:sz w:val="24"/>
          <w:szCs w:val="24"/>
          <w:highlight w:val="none"/>
          <w:u w:val="single"/>
        </w:rPr>
        <w:t xml:space="preserve">                 </w:t>
      </w:r>
    </w:p>
    <w:p w14:paraId="45CA0C9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1.1.2 合同当事人及其他相关方</w:t>
      </w:r>
    </w:p>
    <w:p w14:paraId="4BB4CD1D">
      <w:pPr>
        <w:adjustRightInd w:val="0"/>
        <w:snapToGrid w:val="0"/>
        <w:spacing w:line="360" w:lineRule="auto"/>
        <w:ind w:firstLine="480" w:firstLineChars="200"/>
        <w:rPr>
          <w:rFonts w:hint="eastAsia" w:eastAsia="宋体" w:cs="宋体"/>
          <w:color w:val="auto"/>
          <w:sz w:val="24"/>
          <w:szCs w:val="24"/>
          <w:highlight w:val="none"/>
          <w:lang w:eastAsia="zh-CN"/>
        </w:rPr>
      </w:pPr>
      <w:r>
        <w:rPr>
          <w:rFonts w:hint="eastAsia" w:cs="宋体"/>
          <w:color w:val="auto"/>
          <w:sz w:val="24"/>
          <w:szCs w:val="24"/>
          <w:highlight w:val="none"/>
        </w:rPr>
        <w:t>1.1.2.4 监理人：</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无</w:t>
      </w:r>
      <w:r>
        <w:rPr>
          <w:rFonts w:hint="eastAsia" w:cs="宋体"/>
          <w:color w:val="auto"/>
          <w:sz w:val="24"/>
          <w:szCs w:val="24"/>
          <w:highlight w:val="none"/>
          <w:u w:val="single"/>
        </w:rPr>
        <w:t xml:space="preserve"> </w:t>
      </w:r>
    </w:p>
    <w:p w14:paraId="459E5E6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1.1.2.5 设计人：</w:t>
      </w:r>
    </w:p>
    <w:p w14:paraId="5F4D17B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名    称：</w:t>
      </w:r>
      <w:r>
        <w:rPr>
          <w:rFonts w:hint="eastAsia" w:cs="宋体"/>
          <w:color w:val="auto"/>
          <w:sz w:val="24"/>
          <w:szCs w:val="24"/>
          <w:highlight w:val="none"/>
          <w:u w:val="single"/>
        </w:rPr>
        <w:t xml:space="preserve">                 </w:t>
      </w:r>
      <w:r>
        <w:rPr>
          <w:rFonts w:hint="eastAsia" w:cs="宋体"/>
          <w:color w:val="auto"/>
          <w:sz w:val="24"/>
          <w:szCs w:val="24"/>
          <w:highlight w:val="none"/>
        </w:rPr>
        <w:t>；</w:t>
      </w:r>
    </w:p>
    <w:p w14:paraId="2727818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资质类别和等级：</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A95944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联系电话：</w:t>
      </w:r>
      <w:r>
        <w:rPr>
          <w:rFonts w:hint="eastAsia" w:cs="宋体"/>
          <w:color w:val="auto"/>
          <w:sz w:val="24"/>
          <w:szCs w:val="24"/>
          <w:highlight w:val="none"/>
          <w:u w:val="single"/>
        </w:rPr>
        <w:t xml:space="preserve">                 </w:t>
      </w:r>
      <w:r>
        <w:rPr>
          <w:rFonts w:hint="eastAsia" w:cs="宋体"/>
          <w:color w:val="auto"/>
          <w:sz w:val="24"/>
          <w:szCs w:val="24"/>
          <w:highlight w:val="none"/>
        </w:rPr>
        <w:t>；</w:t>
      </w:r>
    </w:p>
    <w:p w14:paraId="1371759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电子信箱：</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455225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通信地址：</w:t>
      </w:r>
      <w:r>
        <w:rPr>
          <w:rFonts w:hint="eastAsia" w:cs="宋体"/>
          <w:color w:val="auto"/>
          <w:sz w:val="24"/>
          <w:szCs w:val="24"/>
          <w:highlight w:val="none"/>
          <w:u w:val="single"/>
        </w:rPr>
        <w:t xml:space="preserve">                 </w:t>
      </w:r>
      <w:r>
        <w:rPr>
          <w:rFonts w:hint="eastAsia" w:cs="宋体"/>
          <w:color w:val="auto"/>
          <w:sz w:val="24"/>
          <w:szCs w:val="24"/>
          <w:highlight w:val="none"/>
        </w:rPr>
        <w:t>。</w:t>
      </w:r>
    </w:p>
    <w:p w14:paraId="30BDBC7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1.1.3 工程和设备</w:t>
      </w:r>
    </w:p>
    <w:p w14:paraId="6197021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1.1.3.7 作为施工现场组成部分的其他场所包括：</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w:t>
      </w:r>
      <w:r>
        <w:rPr>
          <w:rFonts w:hint="eastAsia" w:cs="宋体"/>
          <w:color w:val="auto"/>
          <w:sz w:val="24"/>
          <w:szCs w:val="24"/>
          <w:highlight w:val="none"/>
        </w:rPr>
        <w:t>。</w:t>
      </w:r>
    </w:p>
    <w:p w14:paraId="25F95BA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1.1.3.9 永久占地包括：</w:t>
      </w:r>
      <w:r>
        <w:rPr>
          <w:rFonts w:hint="eastAsia" w:cs="宋体"/>
          <w:color w:val="auto"/>
          <w:sz w:val="24"/>
          <w:szCs w:val="24"/>
          <w:highlight w:val="none"/>
          <w:u w:val="single"/>
        </w:rPr>
        <w:t xml:space="preserve"> </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为建设本合同工程永久征用的场地</w:t>
      </w:r>
      <w:r>
        <w:rPr>
          <w:rFonts w:hint="eastAsia" w:cs="宋体"/>
          <w:color w:val="auto"/>
          <w:sz w:val="24"/>
          <w:szCs w:val="24"/>
          <w:highlight w:val="none"/>
        </w:rPr>
        <w:t>。</w:t>
      </w:r>
    </w:p>
    <w:p w14:paraId="7D45F990">
      <w:pPr>
        <w:adjustRightInd w:val="0"/>
        <w:snapToGrid w:val="0"/>
        <w:spacing w:line="360" w:lineRule="auto"/>
        <w:ind w:firstLine="480" w:firstLineChars="200"/>
        <w:rPr>
          <w:rFonts w:hint="eastAsia" w:cs="宋体"/>
          <w:color w:val="auto"/>
          <w:sz w:val="24"/>
          <w:szCs w:val="24"/>
          <w:highlight w:val="none"/>
          <w:u w:val="single"/>
        </w:rPr>
      </w:pPr>
      <w:r>
        <w:rPr>
          <w:rFonts w:hint="eastAsia" w:cs="宋体"/>
          <w:color w:val="auto"/>
          <w:sz w:val="24"/>
          <w:szCs w:val="24"/>
          <w:highlight w:val="none"/>
        </w:rPr>
        <w:t>1.1.3.10 临时占地包括：</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为建设本合同工程临时征用，</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在完工后须按合同要求退还的场地；工程施工用地（含地面附着物）由</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负责与工程所在地的乡镇协调解决；</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负责办理永久占地和招标图示的临时用地范围内的征地搬迁工作，向</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 xml:space="preserve"> 提供永久用地和招标图示的临时用地，</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应无条件接受现场条件。永久占地由</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承担，临时用地</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负责协调，费用由</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承担。</w:t>
      </w:r>
    </w:p>
    <w:p w14:paraId="47A47C69">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1.3 法律 </w:t>
      </w:r>
    </w:p>
    <w:p w14:paraId="106E77E8">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适用于合同的其他规范性文件：</w:t>
      </w:r>
      <w:r>
        <w:rPr>
          <w:rFonts w:hint="eastAsia" w:cs="宋体"/>
          <w:color w:val="auto"/>
          <w:sz w:val="24"/>
          <w:szCs w:val="24"/>
          <w:highlight w:val="none"/>
          <w:u w:val="single"/>
        </w:rPr>
        <w:t>《中华人民共和国民法典》《中华人民共和国建筑法》、《中华人民共和国政府采购法》、《建设工程质量管理条例》、《建设工程安全生产管理条例》等国家及工程所在地现行有效的法律法规和规章</w:t>
      </w:r>
      <w:r>
        <w:rPr>
          <w:rFonts w:hint="eastAsia" w:cs="宋体"/>
          <w:color w:val="auto"/>
          <w:sz w:val="24"/>
          <w:szCs w:val="24"/>
          <w:highlight w:val="none"/>
        </w:rPr>
        <w:t>。</w:t>
      </w:r>
    </w:p>
    <w:p w14:paraId="7793DAC3">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1.4 标准和规范</w:t>
      </w:r>
    </w:p>
    <w:p w14:paraId="0FC3CC8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1.4.1 适用于工程的标准规范包括：</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3B13D107">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 xml:space="preserve">1.4.2 </w:t>
      </w:r>
      <w:r>
        <w:rPr>
          <w:rFonts w:hint="eastAsia" w:cs="宋体"/>
          <w:color w:val="auto"/>
          <w:sz w:val="24"/>
          <w:szCs w:val="24"/>
          <w:highlight w:val="none"/>
          <w:lang w:eastAsia="zh-CN"/>
        </w:rPr>
        <w:t>甲方</w:t>
      </w:r>
      <w:r>
        <w:rPr>
          <w:rFonts w:hint="eastAsia" w:cs="宋体"/>
          <w:color w:val="auto"/>
          <w:sz w:val="24"/>
          <w:szCs w:val="24"/>
          <w:highlight w:val="none"/>
        </w:rPr>
        <w:t>提供国外标准、规范的名称：</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829EF2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提供国外标准、规范的份数：</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3ADEFF9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提供国外标准、规范的时间：</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904E02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1.4.3 </w:t>
      </w:r>
      <w:r>
        <w:rPr>
          <w:rFonts w:hint="eastAsia" w:cs="宋体"/>
          <w:color w:val="auto"/>
          <w:sz w:val="24"/>
          <w:szCs w:val="24"/>
          <w:highlight w:val="none"/>
          <w:lang w:eastAsia="zh-CN"/>
        </w:rPr>
        <w:t>甲方</w:t>
      </w:r>
      <w:r>
        <w:rPr>
          <w:rFonts w:hint="eastAsia" w:cs="宋体"/>
          <w:color w:val="auto"/>
          <w:sz w:val="24"/>
          <w:szCs w:val="24"/>
          <w:highlight w:val="none"/>
        </w:rPr>
        <w:t>对工程的技术标准和功能要求的特殊要求：</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B0C8727">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1.5 合同文件的优先顺序</w:t>
      </w:r>
    </w:p>
    <w:p w14:paraId="78FABF51">
      <w:pPr>
        <w:adjustRightInd w:val="0"/>
        <w:snapToGrid w:val="0"/>
        <w:spacing w:line="360" w:lineRule="auto"/>
        <w:ind w:firstLine="480" w:firstLineChars="200"/>
        <w:rPr>
          <w:rFonts w:cs="宋体"/>
          <w:b/>
          <w:color w:val="auto"/>
          <w:sz w:val="24"/>
          <w:szCs w:val="24"/>
          <w:highlight w:val="none"/>
          <w:u w:val="single"/>
        </w:rPr>
      </w:pPr>
      <w:r>
        <w:rPr>
          <w:rFonts w:hint="eastAsia" w:cs="宋体"/>
          <w:color w:val="auto"/>
          <w:sz w:val="24"/>
          <w:szCs w:val="24"/>
          <w:highlight w:val="none"/>
        </w:rPr>
        <w:t>合同文件组成及优先顺序为：</w:t>
      </w:r>
      <w:r>
        <w:rPr>
          <w:rFonts w:hint="eastAsia" w:cs="宋体"/>
          <w:color w:val="auto"/>
          <w:sz w:val="24"/>
          <w:szCs w:val="24"/>
          <w:highlight w:val="none"/>
          <w:u w:val="single"/>
        </w:rPr>
        <w:t xml:space="preserve"> 执行通用条款   </w:t>
      </w:r>
    </w:p>
    <w:p w14:paraId="72E214D3">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1.6 图纸和</w:t>
      </w:r>
      <w:r>
        <w:rPr>
          <w:rFonts w:hint="eastAsia" w:cs="宋体"/>
          <w:bCs/>
          <w:color w:val="auto"/>
          <w:sz w:val="24"/>
          <w:szCs w:val="24"/>
          <w:highlight w:val="none"/>
          <w:lang w:eastAsia="zh-CN"/>
        </w:rPr>
        <w:t>乙方</w:t>
      </w:r>
      <w:r>
        <w:rPr>
          <w:rFonts w:hint="eastAsia" w:cs="宋体"/>
          <w:bCs/>
          <w:color w:val="auto"/>
          <w:sz w:val="24"/>
          <w:szCs w:val="24"/>
          <w:highlight w:val="none"/>
        </w:rPr>
        <w:t>文件</w:t>
      </w:r>
      <w:r>
        <w:rPr>
          <w:rFonts w:hint="eastAsia" w:cs="宋体"/>
          <w:bCs/>
          <w:color w:val="auto"/>
          <w:sz w:val="24"/>
          <w:szCs w:val="24"/>
          <w:highlight w:val="none"/>
        </w:rPr>
        <w:tab/>
      </w:r>
    </w:p>
    <w:p w14:paraId="09028AB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1.6.1 图纸的提供和交底</w:t>
      </w:r>
    </w:p>
    <w:p w14:paraId="33C07B2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向</w:t>
      </w:r>
      <w:r>
        <w:rPr>
          <w:rFonts w:hint="eastAsia" w:cs="宋体"/>
          <w:color w:val="auto"/>
          <w:sz w:val="24"/>
          <w:szCs w:val="24"/>
          <w:highlight w:val="none"/>
          <w:lang w:eastAsia="zh-CN"/>
        </w:rPr>
        <w:t>乙方</w:t>
      </w:r>
      <w:r>
        <w:rPr>
          <w:rFonts w:hint="eastAsia" w:cs="宋体"/>
          <w:color w:val="auto"/>
          <w:sz w:val="24"/>
          <w:szCs w:val="24"/>
          <w:highlight w:val="none"/>
        </w:rPr>
        <w:t>提供图纸的期限：</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2977596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向</w:t>
      </w:r>
      <w:r>
        <w:rPr>
          <w:rFonts w:hint="eastAsia" w:cs="宋体"/>
          <w:color w:val="auto"/>
          <w:sz w:val="24"/>
          <w:szCs w:val="24"/>
          <w:highlight w:val="none"/>
          <w:lang w:eastAsia="zh-CN"/>
        </w:rPr>
        <w:t>乙方</w:t>
      </w:r>
      <w:r>
        <w:rPr>
          <w:rFonts w:hint="eastAsia" w:cs="宋体"/>
          <w:color w:val="auto"/>
          <w:sz w:val="24"/>
          <w:szCs w:val="24"/>
          <w:highlight w:val="none"/>
        </w:rPr>
        <w:t>提供图纸的数量：</w:t>
      </w:r>
      <w:r>
        <w:rPr>
          <w:rFonts w:hint="eastAsia" w:cs="宋体"/>
          <w:color w:val="auto"/>
          <w:sz w:val="24"/>
          <w:szCs w:val="24"/>
          <w:highlight w:val="none"/>
          <w:u w:val="single"/>
        </w:rPr>
        <w:t>提供</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套（含</w:t>
      </w:r>
      <w:r>
        <w:rPr>
          <w:rFonts w:hint="eastAsia" w:cs="宋体"/>
          <w:color w:val="auto"/>
          <w:sz w:val="24"/>
          <w:szCs w:val="24"/>
          <w:highlight w:val="none"/>
          <w:u w:val="single"/>
          <w:lang w:eastAsia="zh-CN"/>
        </w:rPr>
        <w:t>完工</w:t>
      </w:r>
      <w:r>
        <w:rPr>
          <w:rFonts w:hint="eastAsia" w:cs="宋体"/>
          <w:color w:val="auto"/>
          <w:sz w:val="24"/>
          <w:szCs w:val="24"/>
          <w:highlight w:val="none"/>
          <w:u w:val="single"/>
        </w:rPr>
        <w:t>图</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套），不足的由</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自行复制，费用自理；</w:t>
      </w:r>
    </w:p>
    <w:p w14:paraId="5460240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向</w:t>
      </w:r>
      <w:r>
        <w:rPr>
          <w:rFonts w:hint="eastAsia" w:cs="宋体"/>
          <w:color w:val="auto"/>
          <w:sz w:val="24"/>
          <w:szCs w:val="24"/>
          <w:highlight w:val="none"/>
          <w:lang w:eastAsia="zh-CN"/>
        </w:rPr>
        <w:t>乙方</w:t>
      </w:r>
      <w:r>
        <w:rPr>
          <w:rFonts w:hint="eastAsia" w:cs="宋体"/>
          <w:color w:val="auto"/>
          <w:sz w:val="24"/>
          <w:szCs w:val="24"/>
          <w:highlight w:val="none"/>
        </w:rPr>
        <w:t>提供图纸的内容：</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153340F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1.6.4 </w:t>
      </w:r>
      <w:r>
        <w:rPr>
          <w:rFonts w:hint="eastAsia" w:cs="宋体"/>
          <w:color w:val="auto"/>
          <w:sz w:val="24"/>
          <w:szCs w:val="24"/>
          <w:highlight w:val="none"/>
          <w:lang w:eastAsia="zh-CN"/>
        </w:rPr>
        <w:t>乙方</w:t>
      </w:r>
      <w:r>
        <w:rPr>
          <w:rFonts w:hint="eastAsia" w:cs="宋体"/>
          <w:color w:val="auto"/>
          <w:sz w:val="24"/>
          <w:szCs w:val="24"/>
          <w:highlight w:val="none"/>
        </w:rPr>
        <w:t>文件</w:t>
      </w:r>
    </w:p>
    <w:p w14:paraId="0068511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需要由</w:t>
      </w:r>
      <w:r>
        <w:rPr>
          <w:rFonts w:hint="eastAsia" w:cs="宋体"/>
          <w:color w:val="auto"/>
          <w:sz w:val="24"/>
          <w:szCs w:val="24"/>
          <w:highlight w:val="none"/>
          <w:lang w:eastAsia="zh-CN"/>
        </w:rPr>
        <w:t>乙方</w:t>
      </w:r>
      <w:r>
        <w:rPr>
          <w:rFonts w:hint="eastAsia" w:cs="宋体"/>
          <w:color w:val="auto"/>
          <w:sz w:val="24"/>
          <w:szCs w:val="24"/>
          <w:highlight w:val="none"/>
        </w:rPr>
        <w:t>提供的文件，包括：</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599DA3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提供的文件的期限为：</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86F1F1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提供的文件的数量为：</w:t>
      </w:r>
      <w:r>
        <w:rPr>
          <w:rFonts w:hint="eastAsia" w:cs="宋体"/>
          <w:color w:val="auto"/>
          <w:sz w:val="24"/>
          <w:szCs w:val="24"/>
          <w:highlight w:val="none"/>
          <w:u w:val="single"/>
        </w:rPr>
        <w:t xml:space="preserve">          </w:t>
      </w:r>
      <w:r>
        <w:rPr>
          <w:rFonts w:hint="eastAsia" w:cs="宋体"/>
          <w:color w:val="auto"/>
          <w:sz w:val="24"/>
          <w:szCs w:val="24"/>
          <w:highlight w:val="none"/>
        </w:rPr>
        <w:t>；</w:t>
      </w:r>
    </w:p>
    <w:p w14:paraId="2E22E4C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提供的文件的形式为：</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F6F61F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审批</w:t>
      </w:r>
      <w:r>
        <w:rPr>
          <w:rFonts w:hint="eastAsia" w:cs="宋体"/>
          <w:color w:val="auto"/>
          <w:sz w:val="24"/>
          <w:szCs w:val="24"/>
          <w:highlight w:val="none"/>
          <w:lang w:eastAsia="zh-CN"/>
        </w:rPr>
        <w:t>乙方</w:t>
      </w:r>
      <w:r>
        <w:rPr>
          <w:rFonts w:hint="eastAsia" w:cs="宋体"/>
          <w:color w:val="auto"/>
          <w:sz w:val="24"/>
          <w:szCs w:val="24"/>
          <w:highlight w:val="none"/>
        </w:rPr>
        <w:t>文件的期限：</w:t>
      </w:r>
      <w:r>
        <w:rPr>
          <w:rFonts w:hint="eastAsia" w:cs="宋体"/>
          <w:color w:val="auto"/>
          <w:sz w:val="24"/>
          <w:szCs w:val="24"/>
          <w:highlight w:val="none"/>
          <w:u w:val="single"/>
        </w:rPr>
        <w:t xml:space="preserve">          </w:t>
      </w:r>
      <w:r>
        <w:rPr>
          <w:rFonts w:hint="eastAsia" w:cs="宋体"/>
          <w:color w:val="auto"/>
          <w:sz w:val="24"/>
          <w:szCs w:val="24"/>
          <w:highlight w:val="none"/>
        </w:rPr>
        <w:t>。</w:t>
      </w:r>
    </w:p>
    <w:p w14:paraId="2EE394A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1.6.5 图纸和</w:t>
      </w:r>
      <w:r>
        <w:rPr>
          <w:rFonts w:hint="eastAsia" w:cs="宋体"/>
          <w:color w:val="auto"/>
          <w:sz w:val="24"/>
          <w:szCs w:val="24"/>
          <w:highlight w:val="none"/>
          <w:lang w:eastAsia="zh-CN"/>
        </w:rPr>
        <w:t>乙方</w:t>
      </w:r>
      <w:r>
        <w:rPr>
          <w:rFonts w:hint="eastAsia" w:cs="宋体"/>
          <w:color w:val="auto"/>
          <w:sz w:val="24"/>
          <w:szCs w:val="24"/>
          <w:highlight w:val="none"/>
        </w:rPr>
        <w:t>文件的保管</w:t>
      </w:r>
    </w:p>
    <w:p w14:paraId="23C5EF5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关于图纸和</w:t>
      </w:r>
      <w:r>
        <w:rPr>
          <w:rFonts w:hint="eastAsia" w:cs="宋体"/>
          <w:color w:val="auto"/>
          <w:sz w:val="24"/>
          <w:szCs w:val="24"/>
          <w:highlight w:val="none"/>
          <w:lang w:eastAsia="zh-CN"/>
        </w:rPr>
        <w:t>乙方</w:t>
      </w:r>
      <w:r>
        <w:rPr>
          <w:rFonts w:hint="eastAsia" w:cs="宋体"/>
          <w:color w:val="auto"/>
          <w:sz w:val="24"/>
          <w:szCs w:val="24"/>
          <w:highlight w:val="none"/>
        </w:rPr>
        <w:t>文件保管的约定：</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4F0156AE">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1.7 联络</w:t>
      </w:r>
    </w:p>
    <w:p w14:paraId="292D0B5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1.7.1 </w:t>
      </w:r>
      <w:r>
        <w:rPr>
          <w:rFonts w:hint="eastAsia" w:cs="宋体"/>
          <w:color w:val="auto"/>
          <w:sz w:val="24"/>
          <w:szCs w:val="24"/>
          <w:highlight w:val="none"/>
          <w:lang w:eastAsia="zh-CN"/>
        </w:rPr>
        <w:t>甲方</w:t>
      </w:r>
      <w:r>
        <w:rPr>
          <w:rFonts w:hint="eastAsia" w:cs="宋体"/>
          <w:color w:val="auto"/>
          <w:sz w:val="24"/>
          <w:szCs w:val="24"/>
          <w:highlight w:val="none"/>
        </w:rPr>
        <w:t>和</w:t>
      </w:r>
      <w:r>
        <w:rPr>
          <w:rFonts w:hint="eastAsia" w:cs="宋体"/>
          <w:color w:val="auto"/>
          <w:sz w:val="24"/>
          <w:szCs w:val="24"/>
          <w:highlight w:val="none"/>
          <w:lang w:eastAsia="zh-CN"/>
        </w:rPr>
        <w:t>乙方</w:t>
      </w:r>
      <w:r>
        <w:rPr>
          <w:rFonts w:hint="eastAsia" w:cs="宋体"/>
          <w:color w:val="auto"/>
          <w:sz w:val="24"/>
          <w:szCs w:val="24"/>
          <w:highlight w:val="none"/>
        </w:rPr>
        <w:t>应当在</w:t>
      </w:r>
      <w:r>
        <w:rPr>
          <w:rFonts w:hint="eastAsia" w:cs="宋体"/>
          <w:color w:val="auto"/>
          <w:sz w:val="24"/>
          <w:szCs w:val="24"/>
          <w:highlight w:val="none"/>
          <w:u w:val="single"/>
        </w:rPr>
        <w:t>7</w:t>
      </w:r>
      <w:r>
        <w:rPr>
          <w:rFonts w:hint="eastAsia" w:cs="宋体"/>
          <w:color w:val="auto"/>
          <w:sz w:val="24"/>
          <w:szCs w:val="24"/>
          <w:highlight w:val="none"/>
        </w:rPr>
        <w:t>天内将与合同有关的通知、批准、证明、证书、指示、指令、要求、请求、同意、意见、确定和决定等书面函件送达对方当事人。</w:t>
      </w:r>
    </w:p>
    <w:p w14:paraId="3F1E207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1.7.2 </w:t>
      </w:r>
      <w:r>
        <w:rPr>
          <w:rFonts w:hint="eastAsia" w:cs="宋体"/>
          <w:color w:val="auto"/>
          <w:sz w:val="24"/>
          <w:szCs w:val="24"/>
          <w:highlight w:val="none"/>
          <w:lang w:eastAsia="zh-CN"/>
        </w:rPr>
        <w:t>甲方</w:t>
      </w:r>
      <w:r>
        <w:rPr>
          <w:rFonts w:hint="eastAsia" w:cs="宋体"/>
          <w:color w:val="auto"/>
          <w:sz w:val="24"/>
          <w:szCs w:val="24"/>
          <w:highlight w:val="none"/>
        </w:rPr>
        <w:t>接收文件的地点：</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37538E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指定的接收人为：</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EECDAB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接收文件的地点：</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571326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指定的接收人为：</w:t>
      </w:r>
      <w:r>
        <w:rPr>
          <w:rFonts w:hint="eastAsia" w:cs="宋体"/>
          <w:color w:val="auto"/>
          <w:sz w:val="24"/>
          <w:szCs w:val="24"/>
          <w:highlight w:val="none"/>
          <w:u w:val="single"/>
        </w:rPr>
        <w:t xml:space="preserve">          </w:t>
      </w:r>
      <w:r>
        <w:rPr>
          <w:rFonts w:hint="eastAsia" w:cs="宋体"/>
          <w:color w:val="auto"/>
          <w:sz w:val="24"/>
          <w:szCs w:val="24"/>
          <w:highlight w:val="none"/>
        </w:rPr>
        <w:t>。</w:t>
      </w:r>
    </w:p>
    <w:p w14:paraId="161211A4">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1.10 交通运输</w:t>
      </w:r>
    </w:p>
    <w:p w14:paraId="560CB80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w:t>
      </w:r>
      <w:bookmarkStart w:id="81" w:name="_Toc318581155"/>
      <w:bookmarkStart w:id="82" w:name="_Toc300934943"/>
      <w:bookmarkStart w:id="83" w:name="_Toc303539100"/>
      <w:bookmarkStart w:id="84" w:name="_Toc304295521"/>
      <w:bookmarkStart w:id="85" w:name="_Toc312677986"/>
      <w:r>
        <w:rPr>
          <w:rFonts w:hint="eastAsia" w:cs="宋体"/>
          <w:color w:val="auto"/>
          <w:sz w:val="24"/>
          <w:szCs w:val="24"/>
          <w:highlight w:val="none"/>
        </w:rPr>
        <w:t>.10.1 出入现场的权利</w:t>
      </w:r>
    </w:p>
    <w:p w14:paraId="2D0EEB2D">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关于出入现场的权利的约定：</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bookmarkEnd w:id="81"/>
    <w:bookmarkEnd w:id="82"/>
    <w:bookmarkEnd w:id="83"/>
    <w:bookmarkEnd w:id="84"/>
    <w:bookmarkEnd w:id="85"/>
    <w:p w14:paraId="13ED4F8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w:t>
      </w:r>
      <w:bookmarkStart w:id="86" w:name="_Toc303539101"/>
      <w:bookmarkStart w:id="87" w:name="_Toc304295522"/>
      <w:bookmarkStart w:id="88" w:name="_Toc300934944"/>
      <w:bookmarkStart w:id="89" w:name="_Toc318581156"/>
      <w:bookmarkStart w:id="90" w:name="_Toc312677987"/>
      <w:r>
        <w:rPr>
          <w:rFonts w:hint="eastAsia" w:cs="宋体"/>
          <w:color w:val="auto"/>
          <w:sz w:val="24"/>
          <w:szCs w:val="24"/>
          <w:highlight w:val="none"/>
        </w:rPr>
        <w:t>.10.3 场内交通</w:t>
      </w:r>
    </w:p>
    <w:p w14:paraId="45E9FCEF">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关于场外交通和场内交通的边界的约定：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0BC30AAF">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cs="宋体"/>
          <w:color w:val="auto"/>
          <w:sz w:val="24"/>
          <w:szCs w:val="24"/>
          <w:highlight w:val="none"/>
        </w:rPr>
        <w:t>关于</w:t>
      </w:r>
      <w:r>
        <w:rPr>
          <w:rFonts w:hint="eastAsia" w:cs="宋体"/>
          <w:color w:val="auto"/>
          <w:sz w:val="24"/>
          <w:szCs w:val="24"/>
          <w:highlight w:val="none"/>
          <w:lang w:eastAsia="zh-CN"/>
        </w:rPr>
        <w:t>甲方</w:t>
      </w:r>
      <w:r>
        <w:rPr>
          <w:rFonts w:hint="eastAsia" w:cs="宋体"/>
          <w:color w:val="auto"/>
          <w:sz w:val="24"/>
          <w:szCs w:val="24"/>
          <w:highlight w:val="none"/>
        </w:rPr>
        <w:t>向</w:t>
      </w:r>
      <w:r>
        <w:rPr>
          <w:rFonts w:hint="eastAsia" w:cs="宋体"/>
          <w:color w:val="auto"/>
          <w:sz w:val="24"/>
          <w:szCs w:val="24"/>
          <w:highlight w:val="none"/>
          <w:lang w:eastAsia="zh-CN"/>
        </w:rPr>
        <w:t>乙方</w:t>
      </w:r>
      <w:r>
        <w:rPr>
          <w:rFonts w:hint="eastAsia" w:cs="宋体"/>
          <w:color w:val="auto"/>
          <w:sz w:val="24"/>
          <w:szCs w:val="24"/>
          <w:highlight w:val="none"/>
        </w:rPr>
        <w:t>免费提供满足工程施工需要的场内道路和交通设施的约定：</w:t>
      </w:r>
      <w:r>
        <w:rPr>
          <w:rFonts w:hint="eastAsia" w:ascii="宋体" w:hAnsi="宋体" w:eastAsia="宋体" w:cs="宋体"/>
          <w:color w:val="auto"/>
          <w:sz w:val="24"/>
          <w:szCs w:val="24"/>
          <w:highlight w:val="none"/>
          <w:u w:val="single"/>
        </w:rPr>
        <w:t>执行通</w:t>
      </w:r>
    </w:p>
    <w:p w14:paraId="277E247A">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用条款。</w:t>
      </w:r>
      <w:bookmarkEnd w:id="86"/>
      <w:bookmarkEnd w:id="87"/>
      <w:bookmarkEnd w:id="88"/>
      <w:bookmarkEnd w:id="89"/>
      <w:bookmarkEnd w:id="90"/>
      <w:bookmarkStart w:id="91" w:name="_Toc318581157"/>
    </w:p>
    <w:p w14:paraId="5512C11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1.10.4 超大件和超重件的运输</w:t>
      </w:r>
    </w:p>
    <w:p w14:paraId="2247220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运输超大件或超重件所需的道路和桥梁临时加固改造费用和其他有关费用由</w:t>
      </w:r>
      <w:r>
        <w:rPr>
          <w:rFonts w:hint="eastAsia" w:cs="宋体"/>
          <w:color w:val="auto"/>
          <w:sz w:val="24"/>
          <w:szCs w:val="24"/>
          <w:highlight w:val="none"/>
          <w:u w:val="single"/>
        </w:rPr>
        <w:t xml:space="preserve"> 执行通用条款 </w:t>
      </w:r>
      <w:r>
        <w:rPr>
          <w:rFonts w:hint="eastAsia" w:cs="宋体"/>
          <w:color w:val="auto"/>
          <w:sz w:val="24"/>
          <w:szCs w:val="24"/>
          <w:highlight w:val="none"/>
        </w:rPr>
        <w:t>承担。</w:t>
      </w:r>
    </w:p>
    <w:bookmarkEnd w:id="91"/>
    <w:p w14:paraId="1A74E6AC">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1.11 知识产权</w:t>
      </w:r>
    </w:p>
    <w:p w14:paraId="7CED4F7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1.11.1 关于</w:t>
      </w:r>
      <w:r>
        <w:rPr>
          <w:rFonts w:hint="eastAsia" w:cs="宋体"/>
          <w:color w:val="auto"/>
          <w:sz w:val="24"/>
          <w:szCs w:val="24"/>
          <w:highlight w:val="none"/>
          <w:lang w:eastAsia="zh-CN"/>
        </w:rPr>
        <w:t>甲方</w:t>
      </w:r>
      <w:r>
        <w:rPr>
          <w:rFonts w:hint="eastAsia" w:cs="宋体"/>
          <w:color w:val="auto"/>
          <w:sz w:val="24"/>
          <w:szCs w:val="24"/>
          <w:highlight w:val="none"/>
        </w:rPr>
        <w:t>提供给</w:t>
      </w:r>
      <w:r>
        <w:rPr>
          <w:rFonts w:hint="eastAsia" w:cs="宋体"/>
          <w:color w:val="auto"/>
          <w:sz w:val="24"/>
          <w:szCs w:val="24"/>
          <w:highlight w:val="none"/>
          <w:lang w:eastAsia="zh-CN"/>
        </w:rPr>
        <w:t>乙方</w:t>
      </w:r>
      <w:r>
        <w:rPr>
          <w:rFonts w:hint="eastAsia" w:cs="宋体"/>
          <w:color w:val="auto"/>
          <w:sz w:val="24"/>
          <w:szCs w:val="24"/>
          <w:highlight w:val="none"/>
        </w:rPr>
        <w:t>的图纸、</w:t>
      </w:r>
      <w:r>
        <w:rPr>
          <w:rFonts w:hint="eastAsia" w:cs="宋体"/>
          <w:color w:val="auto"/>
          <w:sz w:val="24"/>
          <w:szCs w:val="24"/>
          <w:highlight w:val="none"/>
          <w:lang w:eastAsia="zh-CN"/>
        </w:rPr>
        <w:t>甲方</w:t>
      </w:r>
      <w:r>
        <w:rPr>
          <w:rFonts w:hint="eastAsia" w:cs="宋体"/>
          <w:color w:val="auto"/>
          <w:sz w:val="24"/>
          <w:szCs w:val="24"/>
          <w:highlight w:val="none"/>
        </w:rPr>
        <w:t>为实施工程自行编制或委托编制的技术规范以及反映</w:t>
      </w:r>
      <w:r>
        <w:rPr>
          <w:rFonts w:hint="eastAsia" w:cs="宋体"/>
          <w:color w:val="auto"/>
          <w:sz w:val="24"/>
          <w:szCs w:val="24"/>
          <w:highlight w:val="none"/>
          <w:lang w:eastAsia="zh-CN"/>
        </w:rPr>
        <w:t>甲方</w:t>
      </w:r>
      <w:r>
        <w:rPr>
          <w:rFonts w:hint="eastAsia" w:cs="宋体"/>
          <w:color w:val="auto"/>
          <w:sz w:val="24"/>
          <w:szCs w:val="24"/>
          <w:highlight w:val="none"/>
        </w:rPr>
        <w:t>关于合同要求或其他类似性质的文件的著作权的归属：</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63DAE83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w:t>
      </w:r>
      <w:r>
        <w:rPr>
          <w:rFonts w:hint="eastAsia" w:cs="宋体"/>
          <w:color w:val="auto"/>
          <w:sz w:val="24"/>
          <w:szCs w:val="24"/>
          <w:highlight w:val="none"/>
          <w:lang w:eastAsia="zh-CN"/>
        </w:rPr>
        <w:t>甲方</w:t>
      </w:r>
      <w:r>
        <w:rPr>
          <w:rFonts w:hint="eastAsia" w:cs="宋体"/>
          <w:color w:val="auto"/>
          <w:sz w:val="24"/>
          <w:szCs w:val="24"/>
          <w:highlight w:val="none"/>
        </w:rPr>
        <w:t>提供的上述文件的使用限制的要求：</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74D0138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1.11.2 关于</w:t>
      </w:r>
      <w:r>
        <w:rPr>
          <w:rFonts w:hint="eastAsia" w:cs="宋体"/>
          <w:color w:val="auto"/>
          <w:sz w:val="24"/>
          <w:szCs w:val="24"/>
          <w:highlight w:val="none"/>
          <w:lang w:eastAsia="zh-CN"/>
        </w:rPr>
        <w:t>乙方</w:t>
      </w:r>
      <w:r>
        <w:rPr>
          <w:rFonts w:hint="eastAsia" w:cs="宋体"/>
          <w:color w:val="auto"/>
          <w:sz w:val="24"/>
          <w:szCs w:val="24"/>
          <w:highlight w:val="none"/>
        </w:rPr>
        <w:t>为实施工程所编制文件的著作权的归属：</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659B784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w:t>
      </w:r>
      <w:r>
        <w:rPr>
          <w:rFonts w:hint="eastAsia" w:cs="宋体"/>
          <w:color w:val="auto"/>
          <w:sz w:val="24"/>
          <w:szCs w:val="24"/>
          <w:highlight w:val="none"/>
          <w:lang w:eastAsia="zh-CN"/>
        </w:rPr>
        <w:t>乙方</w:t>
      </w:r>
      <w:r>
        <w:rPr>
          <w:rFonts w:hint="eastAsia" w:cs="宋体"/>
          <w:color w:val="auto"/>
          <w:sz w:val="24"/>
          <w:szCs w:val="24"/>
          <w:highlight w:val="none"/>
        </w:rPr>
        <w:t>提供的上述文件的使用限制的要求：</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534EF68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1.11.4 </w:t>
      </w:r>
      <w:r>
        <w:rPr>
          <w:rFonts w:hint="eastAsia" w:cs="宋体"/>
          <w:color w:val="auto"/>
          <w:sz w:val="24"/>
          <w:szCs w:val="24"/>
          <w:highlight w:val="none"/>
          <w:lang w:eastAsia="zh-CN"/>
        </w:rPr>
        <w:t>乙方</w:t>
      </w:r>
      <w:r>
        <w:rPr>
          <w:rFonts w:hint="eastAsia" w:cs="宋体"/>
          <w:color w:val="auto"/>
          <w:sz w:val="24"/>
          <w:szCs w:val="24"/>
          <w:highlight w:val="none"/>
        </w:rPr>
        <w:t>在施工过程中所采用的专利、专有技术、技术秘密的使用费的承担方式：</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73048B08">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1.13 工程量清单错误的修正</w:t>
      </w:r>
    </w:p>
    <w:p w14:paraId="5567F0D7">
      <w:pPr>
        <w:adjustRightInd w:val="0"/>
        <w:snapToGrid w:val="0"/>
        <w:spacing w:line="360" w:lineRule="auto"/>
        <w:ind w:firstLine="480" w:firstLineChars="200"/>
        <w:rPr>
          <w:rFonts w:cs="宋体"/>
          <w:b/>
          <w:bCs/>
          <w:i/>
          <w:iCs/>
          <w:color w:val="auto"/>
          <w:kern w:val="2"/>
          <w:sz w:val="24"/>
          <w:szCs w:val="24"/>
          <w:highlight w:val="none"/>
        </w:rPr>
      </w:pPr>
      <w:r>
        <w:rPr>
          <w:rFonts w:hint="eastAsia" w:cs="宋体"/>
          <w:color w:val="auto"/>
          <w:sz w:val="24"/>
          <w:szCs w:val="24"/>
          <w:highlight w:val="none"/>
        </w:rPr>
        <w:t>出现工程量清单错误时，是否调整合同价格：</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不调整</w:t>
      </w:r>
      <w:r>
        <w:rPr>
          <w:rFonts w:hint="eastAsia" w:cs="宋体"/>
          <w:color w:val="auto"/>
          <w:sz w:val="24"/>
          <w:szCs w:val="24"/>
          <w:highlight w:val="none"/>
          <w:u w:val="single"/>
        </w:rPr>
        <w:t xml:space="preserve">  </w:t>
      </w:r>
      <w:r>
        <w:rPr>
          <w:rFonts w:hint="eastAsia" w:cs="宋体"/>
          <w:b/>
          <w:bCs/>
          <w:i/>
          <w:iCs/>
          <w:color w:val="auto"/>
          <w:kern w:val="2"/>
          <w:sz w:val="24"/>
          <w:szCs w:val="24"/>
          <w:highlight w:val="none"/>
        </w:rPr>
        <w:t xml:space="preserve">  （备注：与合同补充条款相对应）。</w:t>
      </w:r>
    </w:p>
    <w:p w14:paraId="516B7382">
      <w:pPr>
        <w:adjustRightInd w:val="0"/>
        <w:snapToGrid w:val="0"/>
        <w:spacing w:line="360" w:lineRule="auto"/>
        <w:ind w:firstLine="480" w:firstLineChars="200"/>
        <w:rPr>
          <w:rFonts w:cs="宋体"/>
          <w:b/>
          <w:bCs/>
          <w:i/>
          <w:iCs/>
          <w:color w:val="auto"/>
          <w:kern w:val="2"/>
          <w:sz w:val="24"/>
          <w:szCs w:val="24"/>
          <w:highlight w:val="none"/>
          <w:shd w:val="clear" w:color="FFFFFF" w:fill="D9D9D9"/>
        </w:rPr>
      </w:pPr>
      <w:r>
        <w:rPr>
          <w:rFonts w:hint="eastAsia" w:cs="宋体"/>
          <w:color w:val="auto"/>
          <w:sz w:val="24"/>
          <w:szCs w:val="24"/>
          <w:highlight w:val="none"/>
        </w:rPr>
        <w:t>允许调整合同价格的工程量偏差范围：</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b/>
          <w:bCs/>
          <w:i/>
          <w:iCs/>
          <w:color w:val="auto"/>
          <w:kern w:val="2"/>
          <w:sz w:val="24"/>
          <w:szCs w:val="24"/>
          <w:highlight w:val="none"/>
        </w:rPr>
        <w:t xml:space="preserve">  （备注：与合同补充条款相对应）。</w:t>
      </w:r>
    </w:p>
    <w:p w14:paraId="35E37801">
      <w:pPr>
        <w:snapToGrid w:val="0"/>
        <w:spacing w:before="312" w:beforeLines="100" w:after="312" w:afterLines="100" w:line="360" w:lineRule="auto"/>
        <w:outlineLvl w:val="2"/>
        <w:rPr>
          <w:rFonts w:hint="eastAsia" w:eastAsia="宋体" w:cs="宋体"/>
          <w:color w:val="auto"/>
          <w:sz w:val="24"/>
          <w:szCs w:val="24"/>
          <w:highlight w:val="none"/>
          <w:lang w:eastAsia="zh-CN"/>
        </w:rPr>
      </w:pPr>
      <w:bookmarkStart w:id="92" w:name="_Toc351203634"/>
      <w:r>
        <w:rPr>
          <w:rFonts w:hint="eastAsia" w:cs="宋体"/>
          <w:color w:val="auto"/>
          <w:sz w:val="24"/>
          <w:szCs w:val="24"/>
          <w:highlight w:val="none"/>
        </w:rPr>
        <w:t>2</w:t>
      </w:r>
      <w:bookmarkStart w:id="93" w:name="_Toc297048343"/>
      <w:bookmarkStart w:id="94" w:name="_Toc297120457"/>
      <w:bookmarkStart w:id="95" w:name="_Toc292559362"/>
      <w:bookmarkStart w:id="96" w:name="_Toc296347156"/>
      <w:bookmarkStart w:id="97" w:name="_Toc296890985"/>
      <w:bookmarkStart w:id="98" w:name="_Toc296944496"/>
      <w:bookmarkStart w:id="99" w:name="_Toc296891197"/>
      <w:bookmarkStart w:id="100" w:name="_Toc296346658"/>
      <w:bookmarkStart w:id="101" w:name="_Toc292559867"/>
      <w:bookmarkStart w:id="102" w:name="_Toc296503157"/>
      <w:r>
        <w:rPr>
          <w:rFonts w:hint="eastAsia" w:cs="宋体"/>
          <w:color w:val="auto"/>
          <w:sz w:val="24"/>
          <w:szCs w:val="24"/>
          <w:highlight w:val="none"/>
        </w:rPr>
        <w:t xml:space="preserve">. </w:t>
      </w:r>
      <w:bookmarkEnd w:id="92"/>
      <w:r>
        <w:rPr>
          <w:rFonts w:hint="eastAsia" w:cs="宋体"/>
          <w:color w:val="auto"/>
          <w:sz w:val="24"/>
          <w:szCs w:val="24"/>
          <w:highlight w:val="none"/>
          <w:lang w:eastAsia="zh-CN"/>
        </w:rPr>
        <w:t>甲方</w:t>
      </w:r>
    </w:p>
    <w:bookmarkEnd w:id="93"/>
    <w:bookmarkEnd w:id="94"/>
    <w:bookmarkEnd w:id="95"/>
    <w:bookmarkEnd w:id="96"/>
    <w:bookmarkEnd w:id="97"/>
    <w:bookmarkEnd w:id="98"/>
    <w:bookmarkEnd w:id="99"/>
    <w:bookmarkEnd w:id="100"/>
    <w:bookmarkEnd w:id="101"/>
    <w:bookmarkEnd w:id="102"/>
    <w:p w14:paraId="30D63AB1">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2.2 </w:t>
      </w:r>
      <w:r>
        <w:rPr>
          <w:rFonts w:hint="eastAsia" w:cs="宋体"/>
          <w:bCs/>
          <w:color w:val="auto"/>
          <w:sz w:val="24"/>
          <w:szCs w:val="24"/>
          <w:highlight w:val="none"/>
          <w:lang w:eastAsia="zh-CN"/>
        </w:rPr>
        <w:t>甲方</w:t>
      </w:r>
      <w:r>
        <w:rPr>
          <w:rFonts w:hint="eastAsia" w:cs="宋体"/>
          <w:bCs/>
          <w:color w:val="auto"/>
          <w:sz w:val="24"/>
          <w:szCs w:val="24"/>
          <w:highlight w:val="none"/>
        </w:rPr>
        <w:t>代表</w:t>
      </w:r>
    </w:p>
    <w:p w14:paraId="7D23534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代表：</w:t>
      </w:r>
    </w:p>
    <w:p w14:paraId="7B86DF8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姓    名：</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4A352C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身份证号：</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7BAB18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职    务：</w:t>
      </w:r>
      <w:r>
        <w:rPr>
          <w:rFonts w:hint="eastAsia" w:cs="宋体"/>
          <w:color w:val="auto"/>
          <w:sz w:val="24"/>
          <w:szCs w:val="24"/>
          <w:highlight w:val="none"/>
          <w:u w:val="single"/>
        </w:rPr>
        <w:t xml:space="preserve">                          </w:t>
      </w:r>
      <w:r>
        <w:rPr>
          <w:rFonts w:hint="eastAsia" w:cs="宋体"/>
          <w:color w:val="auto"/>
          <w:sz w:val="24"/>
          <w:szCs w:val="24"/>
          <w:highlight w:val="none"/>
        </w:rPr>
        <w:t>；</w:t>
      </w:r>
    </w:p>
    <w:p w14:paraId="1E7717B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联系电话：</w:t>
      </w:r>
      <w:r>
        <w:rPr>
          <w:rFonts w:hint="eastAsia" w:cs="宋体"/>
          <w:color w:val="auto"/>
          <w:sz w:val="24"/>
          <w:szCs w:val="24"/>
          <w:highlight w:val="none"/>
          <w:u w:val="single"/>
        </w:rPr>
        <w:t xml:space="preserve">                          </w:t>
      </w:r>
      <w:r>
        <w:rPr>
          <w:rFonts w:hint="eastAsia" w:cs="宋体"/>
          <w:color w:val="auto"/>
          <w:sz w:val="24"/>
          <w:szCs w:val="24"/>
          <w:highlight w:val="none"/>
        </w:rPr>
        <w:t>；</w:t>
      </w:r>
    </w:p>
    <w:p w14:paraId="2D45C3B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电子信箱：</w:t>
      </w:r>
      <w:r>
        <w:rPr>
          <w:rFonts w:hint="eastAsia" w:cs="宋体"/>
          <w:color w:val="auto"/>
          <w:sz w:val="24"/>
          <w:szCs w:val="24"/>
          <w:highlight w:val="none"/>
          <w:u w:val="single"/>
        </w:rPr>
        <w:t xml:space="preserve">                          </w:t>
      </w:r>
      <w:r>
        <w:rPr>
          <w:rFonts w:hint="eastAsia" w:cs="宋体"/>
          <w:color w:val="auto"/>
          <w:sz w:val="24"/>
          <w:szCs w:val="24"/>
          <w:highlight w:val="none"/>
        </w:rPr>
        <w:t>；</w:t>
      </w:r>
    </w:p>
    <w:p w14:paraId="03AC37D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通信地址：</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AD90E63">
      <w:pPr>
        <w:adjustRightInd w:val="0"/>
        <w:snapToGrid w:val="0"/>
        <w:spacing w:line="360" w:lineRule="auto"/>
        <w:ind w:firstLine="480" w:firstLineChars="200"/>
        <w:rPr>
          <w:rFonts w:cs="宋体"/>
          <w:b/>
          <w:strike/>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对</w:t>
      </w:r>
      <w:r>
        <w:rPr>
          <w:rFonts w:hint="eastAsia" w:cs="宋体"/>
          <w:color w:val="auto"/>
          <w:sz w:val="24"/>
          <w:szCs w:val="24"/>
          <w:highlight w:val="none"/>
          <w:lang w:eastAsia="zh-CN"/>
        </w:rPr>
        <w:t>甲方</w:t>
      </w:r>
      <w:r>
        <w:rPr>
          <w:rFonts w:hint="eastAsia" w:cs="宋体"/>
          <w:color w:val="auto"/>
          <w:sz w:val="24"/>
          <w:szCs w:val="24"/>
          <w:highlight w:val="none"/>
        </w:rPr>
        <w:t>代表的授权范围如下：</w:t>
      </w:r>
      <w:r>
        <w:rPr>
          <w:rFonts w:hint="eastAsia" w:cs="宋体"/>
          <w:color w:val="auto"/>
          <w:sz w:val="24"/>
          <w:szCs w:val="24"/>
          <w:highlight w:val="none"/>
          <w:u w:val="single"/>
        </w:rPr>
        <w:t xml:space="preserve">                          </w:t>
      </w:r>
      <w:r>
        <w:rPr>
          <w:rFonts w:hint="eastAsia" w:cs="宋体"/>
          <w:color w:val="auto"/>
          <w:sz w:val="24"/>
          <w:szCs w:val="24"/>
          <w:highlight w:val="none"/>
        </w:rPr>
        <w:t>。</w:t>
      </w:r>
    </w:p>
    <w:p w14:paraId="0BE368C7">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2.4 施工现场、施工条件和基础资料的提供</w:t>
      </w:r>
    </w:p>
    <w:p w14:paraId="4A7730C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2.4.1 提供施工现场</w:t>
      </w:r>
    </w:p>
    <w:p w14:paraId="5EB410D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w:t>
      </w:r>
      <w:r>
        <w:rPr>
          <w:rFonts w:hint="eastAsia" w:cs="宋体"/>
          <w:color w:val="auto"/>
          <w:sz w:val="24"/>
          <w:szCs w:val="24"/>
          <w:highlight w:val="none"/>
          <w:lang w:eastAsia="zh-CN"/>
        </w:rPr>
        <w:t>甲方</w:t>
      </w:r>
      <w:r>
        <w:rPr>
          <w:rFonts w:hint="eastAsia" w:cs="宋体"/>
          <w:color w:val="auto"/>
          <w:sz w:val="24"/>
          <w:szCs w:val="24"/>
          <w:highlight w:val="none"/>
        </w:rPr>
        <w:t>移交施工现场的期限要求：</w:t>
      </w:r>
      <w:r>
        <w:rPr>
          <w:rFonts w:hint="eastAsia" w:cs="宋体"/>
          <w:color w:val="auto"/>
          <w:sz w:val="24"/>
          <w:szCs w:val="24"/>
          <w:highlight w:val="none"/>
          <w:u w:val="single"/>
        </w:rPr>
        <w:t xml:space="preserve"> 开工日期 7 天前 </w:t>
      </w:r>
      <w:r>
        <w:rPr>
          <w:rFonts w:hint="eastAsia" w:cs="宋体"/>
          <w:color w:val="auto"/>
          <w:sz w:val="24"/>
          <w:szCs w:val="24"/>
          <w:highlight w:val="none"/>
        </w:rPr>
        <w:t>。</w:t>
      </w:r>
    </w:p>
    <w:p w14:paraId="2F8C370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2.4.2 提供施工条件</w:t>
      </w:r>
    </w:p>
    <w:p w14:paraId="5B105957">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w:t>
      </w:r>
      <w:r>
        <w:rPr>
          <w:rFonts w:hint="eastAsia" w:cs="宋体"/>
          <w:color w:val="auto"/>
          <w:sz w:val="24"/>
          <w:szCs w:val="24"/>
          <w:highlight w:val="none"/>
          <w:lang w:eastAsia="zh-CN"/>
        </w:rPr>
        <w:t>甲方</w:t>
      </w:r>
      <w:r>
        <w:rPr>
          <w:rFonts w:hint="eastAsia" w:cs="宋体"/>
          <w:color w:val="auto"/>
          <w:sz w:val="24"/>
          <w:szCs w:val="24"/>
          <w:highlight w:val="none"/>
        </w:rPr>
        <w:t>应负责提供施工所需要的条件，包括：</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2D2B3965">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2.5 资金来源证明及支付担保</w:t>
      </w:r>
    </w:p>
    <w:p w14:paraId="2EC26AB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提供资金来源证明的期限要求：</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00BE3BC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是否提供支付担保：</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173C8DE6">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提供支付担保的形式：</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700E4278">
      <w:pPr>
        <w:snapToGrid w:val="0"/>
        <w:spacing w:before="312" w:beforeLines="100" w:after="312" w:afterLines="100" w:line="360" w:lineRule="auto"/>
        <w:outlineLvl w:val="2"/>
        <w:rPr>
          <w:rFonts w:hint="eastAsia" w:eastAsia="宋体" w:cs="宋体"/>
          <w:color w:val="auto"/>
          <w:sz w:val="24"/>
          <w:szCs w:val="24"/>
          <w:highlight w:val="none"/>
          <w:lang w:eastAsia="zh-CN"/>
        </w:rPr>
      </w:pPr>
      <w:bookmarkStart w:id="103" w:name="_Toc351203635"/>
      <w:r>
        <w:rPr>
          <w:rFonts w:hint="eastAsia" w:cs="宋体"/>
          <w:color w:val="auto"/>
          <w:sz w:val="24"/>
          <w:szCs w:val="24"/>
          <w:highlight w:val="none"/>
        </w:rPr>
        <w:t>3</w:t>
      </w:r>
      <w:bookmarkStart w:id="104" w:name="_Toc296891198"/>
      <w:bookmarkStart w:id="105" w:name="_Toc296503158"/>
      <w:bookmarkStart w:id="106" w:name="_Toc292559363"/>
      <w:bookmarkStart w:id="107" w:name="_Toc296347157"/>
      <w:bookmarkStart w:id="108" w:name="_Toc292559868"/>
      <w:bookmarkStart w:id="109" w:name="_Toc296346659"/>
      <w:bookmarkStart w:id="110" w:name="_Toc296944497"/>
      <w:bookmarkStart w:id="111" w:name="_Toc296890986"/>
      <w:bookmarkStart w:id="112" w:name="_Toc297120458"/>
      <w:bookmarkStart w:id="113" w:name="_Toc297048344"/>
      <w:r>
        <w:rPr>
          <w:rFonts w:hint="eastAsia" w:cs="宋体"/>
          <w:color w:val="auto"/>
          <w:sz w:val="24"/>
          <w:szCs w:val="24"/>
          <w:highlight w:val="none"/>
        </w:rPr>
        <w:t xml:space="preserve">. </w:t>
      </w:r>
      <w:bookmarkEnd w:id="103"/>
      <w:r>
        <w:rPr>
          <w:rFonts w:hint="eastAsia" w:cs="宋体"/>
          <w:color w:val="auto"/>
          <w:sz w:val="24"/>
          <w:szCs w:val="24"/>
          <w:highlight w:val="none"/>
          <w:lang w:eastAsia="zh-CN"/>
        </w:rPr>
        <w:t>乙方</w:t>
      </w:r>
    </w:p>
    <w:bookmarkEnd w:id="104"/>
    <w:bookmarkEnd w:id="105"/>
    <w:bookmarkEnd w:id="106"/>
    <w:bookmarkEnd w:id="107"/>
    <w:bookmarkEnd w:id="108"/>
    <w:bookmarkEnd w:id="109"/>
    <w:bookmarkEnd w:id="110"/>
    <w:bookmarkEnd w:id="111"/>
    <w:bookmarkEnd w:id="112"/>
    <w:bookmarkEnd w:id="113"/>
    <w:p w14:paraId="35502123">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3.1 </w:t>
      </w:r>
      <w:r>
        <w:rPr>
          <w:rFonts w:hint="eastAsia" w:cs="宋体"/>
          <w:bCs/>
          <w:color w:val="auto"/>
          <w:sz w:val="24"/>
          <w:szCs w:val="24"/>
          <w:highlight w:val="none"/>
          <w:lang w:eastAsia="zh-CN"/>
        </w:rPr>
        <w:t>乙方</w:t>
      </w:r>
      <w:r>
        <w:rPr>
          <w:rFonts w:hint="eastAsia" w:cs="宋体"/>
          <w:bCs/>
          <w:color w:val="auto"/>
          <w:sz w:val="24"/>
          <w:szCs w:val="24"/>
          <w:highlight w:val="none"/>
        </w:rPr>
        <w:t>的一般义务</w:t>
      </w:r>
    </w:p>
    <w:p w14:paraId="2FD437A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（9）</w:t>
      </w:r>
      <w:r>
        <w:rPr>
          <w:rFonts w:hint="eastAsia" w:cs="宋体"/>
          <w:color w:val="auto"/>
          <w:sz w:val="24"/>
          <w:szCs w:val="24"/>
          <w:highlight w:val="none"/>
          <w:lang w:eastAsia="zh-CN"/>
        </w:rPr>
        <w:t>乙方</w:t>
      </w:r>
      <w:r>
        <w:rPr>
          <w:rFonts w:hint="eastAsia" w:cs="宋体"/>
          <w:color w:val="auto"/>
          <w:sz w:val="24"/>
          <w:szCs w:val="24"/>
          <w:highlight w:val="none"/>
        </w:rPr>
        <w:t>提交的</w:t>
      </w:r>
      <w:r>
        <w:rPr>
          <w:rFonts w:hint="eastAsia" w:cs="宋体"/>
          <w:color w:val="auto"/>
          <w:sz w:val="24"/>
          <w:szCs w:val="24"/>
          <w:highlight w:val="none"/>
          <w:lang w:eastAsia="zh-CN"/>
        </w:rPr>
        <w:t>完工</w:t>
      </w:r>
      <w:r>
        <w:rPr>
          <w:rFonts w:hint="eastAsia" w:cs="宋体"/>
          <w:color w:val="auto"/>
          <w:sz w:val="24"/>
          <w:szCs w:val="24"/>
          <w:highlight w:val="none"/>
        </w:rPr>
        <w:t>资料的内容：</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提供全套</w:t>
      </w:r>
      <w:r>
        <w:rPr>
          <w:rFonts w:hint="eastAsia" w:cs="宋体"/>
          <w:color w:val="auto"/>
          <w:sz w:val="24"/>
          <w:szCs w:val="24"/>
          <w:highlight w:val="none"/>
          <w:u w:val="single"/>
          <w:lang w:eastAsia="zh-CN"/>
        </w:rPr>
        <w:t>完工</w:t>
      </w:r>
      <w:r>
        <w:rPr>
          <w:rFonts w:hint="eastAsia" w:cs="宋体"/>
          <w:color w:val="auto"/>
          <w:sz w:val="24"/>
          <w:szCs w:val="24"/>
          <w:highlight w:val="none"/>
          <w:u w:val="single"/>
        </w:rPr>
        <w:t>图，所有</w:t>
      </w:r>
      <w:r>
        <w:rPr>
          <w:rFonts w:hint="eastAsia" w:cs="宋体"/>
          <w:color w:val="auto"/>
          <w:sz w:val="24"/>
          <w:szCs w:val="24"/>
          <w:highlight w:val="none"/>
          <w:u w:val="single"/>
          <w:lang w:eastAsia="zh-CN"/>
        </w:rPr>
        <w:t>完工</w:t>
      </w:r>
      <w:r>
        <w:rPr>
          <w:rFonts w:hint="eastAsia" w:cs="宋体"/>
          <w:color w:val="auto"/>
          <w:sz w:val="24"/>
          <w:szCs w:val="24"/>
          <w:highlight w:val="none"/>
          <w:u w:val="single"/>
        </w:rPr>
        <w:t>图应为新图纸</w:t>
      </w:r>
      <w:r>
        <w:rPr>
          <w:rFonts w:hint="eastAsia" w:cs="宋体"/>
          <w:color w:val="auto"/>
          <w:sz w:val="24"/>
          <w:szCs w:val="24"/>
          <w:highlight w:val="none"/>
        </w:rPr>
        <w:t>。</w:t>
      </w:r>
    </w:p>
    <w:p w14:paraId="21095C2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需要提交的</w:t>
      </w:r>
      <w:r>
        <w:rPr>
          <w:rFonts w:hint="eastAsia" w:cs="宋体"/>
          <w:color w:val="auto"/>
          <w:sz w:val="24"/>
          <w:szCs w:val="24"/>
          <w:highlight w:val="none"/>
          <w:lang w:eastAsia="zh-CN"/>
        </w:rPr>
        <w:t>完工</w:t>
      </w:r>
      <w:r>
        <w:rPr>
          <w:rFonts w:hint="eastAsia" w:cs="宋体"/>
          <w:color w:val="auto"/>
          <w:sz w:val="24"/>
          <w:szCs w:val="24"/>
          <w:highlight w:val="none"/>
        </w:rPr>
        <w:t>资料套数：</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BC318D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提交的</w:t>
      </w:r>
      <w:r>
        <w:rPr>
          <w:rFonts w:hint="eastAsia" w:cs="宋体"/>
          <w:color w:val="auto"/>
          <w:sz w:val="24"/>
          <w:szCs w:val="24"/>
          <w:highlight w:val="none"/>
          <w:lang w:eastAsia="zh-CN"/>
        </w:rPr>
        <w:t>完工</w:t>
      </w:r>
      <w:r>
        <w:rPr>
          <w:rFonts w:hint="eastAsia" w:cs="宋体"/>
          <w:color w:val="auto"/>
          <w:sz w:val="24"/>
          <w:szCs w:val="24"/>
          <w:highlight w:val="none"/>
        </w:rPr>
        <w:t>资料的费用承担：</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承担</w:t>
      </w:r>
      <w:r>
        <w:rPr>
          <w:rFonts w:hint="eastAsia" w:cs="宋体"/>
          <w:color w:val="auto"/>
          <w:sz w:val="24"/>
          <w:szCs w:val="24"/>
          <w:highlight w:val="none"/>
        </w:rPr>
        <w:t>。</w:t>
      </w:r>
    </w:p>
    <w:p w14:paraId="6DE8E68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提交的</w:t>
      </w:r>
      <w:r>
        <w:rPr>
          <w:rFonts w:hint="eastAsia" w:cs="宋体"/>
          <w:color w:val="auto"/>
          <w:sz w:val="24"/>
          <w:szCs w:val="24"/>
          <w:highlight w:val="none"/>
          <w:lang w:eastAsia="zh-CN"/>
        </w:rPr>
        <w:t>完工</w:t>
      </w:r>
      <w:r>
        <w:rPr>
          <w:rFonts w:hint="eastAsia" w:cs="宋体"/>
          <w:color w:val="auto"/>
          <w:sz w:val="24"/>
          <w:szCs w:val="24"/>
          <w:highlight w:val="none"/>
        </w:rPr>
        <w:t>资料移交时间：</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9D94029">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提交的</w:t>
      </w:r>
      <w:r>
        <w:rPr>
          <w:rFonts w:hint="eastAsia" w:cs="宋体"/>
          <w:color w:val="auto"/>
          <w:sz w:val="24"/>
          <w:szCs w:val="24"/>
          <w:highlight w:val="none"/>
          <w:lang w:eastAsia="zh-CN"/>
        </w:rPr>
        <w:t>完工</w:t>
      </w:r>
      <w:r>
        <w:rPr>
          <w:rFonts w:hint="eastAsia" w:cs="宋体"/>
          <w:color w:val="auto"/>
          <w:sz w:val="24"/>
          <w:szCs w:val="24"/>
          <w:highlight w:val="none"/>
        </w:rPr>
        <w:t>资料形式要求：</w:t>
      </w:r>
      <w:r>
        <w:rPr>
          <w:rFonts w:hint="eastAsia" w:cs="宋体"/>
          <w:color w:val="auto"/>
          <w:sz w:val="24"/>
          <w:szCs w:val="24"/>
          <w:highlight w:val="none"/>
          <w:u w:val="single"/>
        </w:rPr>
        <w:t xml:space="preserve">        </w:t>
      </w:r>
      <w:r>
        <w:rPr>
          <w:rFonts w:hint="eastAsia" w:cs="宋体"/>
          <w:color w:val="auto"/>
          <w:sz w:val="24"/>
          <w:szCs w:val="24"/>
          <w:highlight w:val="none"/>
        </w:rPr>
        <w:t>。</w:t>
      </w:r>
    </w:p>
    <w:p w14:paraId="053238D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（10）</w:t>
      </w:r>
      <w:r>
        <w:rPr>
          <w:rFonts w:hint="eastAsia" w:cs="宋体"/>
          <w:color w:val="auto"/>
          <w:sz w:val="24"/>
          <w:szCs w:val="24"/>
          <w:highlight w:val="none"/>
          <w:lang w:eastAsia="zh-CN"/>
        </w:rPr>
        <w:t>乙方</w:t>
      </w:r>
      <w:r>
        <w:rPr>
          <w:rFonts w:hint="eastAsia" w:cs="宋体"/>
          <w:color w:val="auto"/>
          <w:sz w:val="24"/>
          <w:szCs w:val="24"/>
          <w:highlight w:val="none"/>
        </w:rPr>
        <w:t>应履行的其他义务：</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DAD9ADA">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3.2 项目经理</w:t>
      </w:r>
    </w:p>
    <w:p w14:paraId="265BE51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3.2.1 项目经理：</w:t>
      </w:r>
    </w:p>
    <w:p w14:paraId="5AA479B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姓    名：</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61F4D1C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身份证号：</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1F3FE14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建造师执业资格等级：</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10CC567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建造师注册证书号：</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083B7A4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建造师执业印章号：</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5EE30C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安全生产考核合格证书号：</w:t>
      </w:r>
      <w:r>
        <w:rPr>
          <w:rFonts w:hint="eastAsia" w:cs="宋体"/>
          <w:color w:val="auto"/>
          <w:sz w:val="24"/>
          <w:szCs w:val="24"/>
          <w:highlight w:val="none"/>
          <w:u w:val="single"/>
        </w:rPr>
        <w:t xml:space="preserve">                          </w:t>
      </w:r>
      <w:r>
        <w:rPr>
          <w:rFonts w:hint="eastAsia" w:cs="宋体"/>
          <w:color w:val="auto"/>
          <w:sz w:val="24"/>
          <w:szCs w:val="24"/>
          <w:highlight w:val="none"/>
        </w:rPr>
        <w:t>；</w:t>
      </w:r>
    </w:p>
    <w:p w14:paraId="179A9A2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联系电话：</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B4F948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电子信箱：</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7CBC9D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通信地址：</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793C1C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对项目经理的授权范围如下：</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494AA359">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关于项目经理每月在施工现场的时间要求：</w:t>
      </w:r>
      <w:r>
        <w:rPr>
          <w:rFonts w:hint="eastAsia" w:cs="宋体"/>
          <w:color w:val="auto"/>
          <w:sz w:val="24"/>
          <w:szCs w:val="24"/>
          <w:highlight w:val="none"/>
          <w:u w:val="single"/>
        </w:rPr>
        <w:t>见《专用合同条款数据表》。</w:t>
      </w:r>
    </w:p>
    <w:p w14:paraId="1984E11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未提交劳动合同，以及没有为项目经理缴纳社会保险证明的违约责任：</w:t>
      </w:r>
      <w:r>
        <w:rPr>
          <w:rFonts w:hint="eastAsia" w:cs="宋体"/>
          <w:color w:val="auto"/>
          <w:sz w:val="24"/>
          <w:szCs w:val="24"/>
          <w:highlight w:val="none"/>
          <w:u w:val="single"/>
        </w:rPr>
        <w:t xml:space="preserve"> </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 xml:space="preserve">应依照有关法律以及人力资源和社会保障部门、建筑行政主管部门的相关规定，为其履行合同所雇佣的全部人员投保工伤保险，缴纳工伤保险费，并要求其分包人也投保此项保险 </w:t>
      </w:r>
      <w:r>
        <w:rPr>
          <w:rFonts w:hint="eastAsia" w:cs="宋体"/>
          <w:color w:val="auto"/>
          <w:sz w:val="24"/>
          <w:szCs w:val="24"/>
          <w:highlight w:val="none"/>
        </w:rPr>
        <w:t>。</w:t>
      </w:r>
    </w:p>
    <w:p w14:paraId="639FFB3F">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项目经理未经批准，擅自离开施工现场的违约责任：</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未能按照承诺到岗尽职的，</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将视情况严重程度对其作出相应处理，给予警告并发出整改通知。如仍未及时整改，</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有权责令其停工整改直至解除合同。</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还将停止支付工程款项，扣留任何未付的工程进度款项补偿</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的有关损失或工期延误的损失，并就此向</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索赔。</w:t>
      </w:r>
    </w:p>
    <w:p w14:paraId="403D0F1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3.2.3 </w:t>
      </w:r>
      <w:r>
        <w:rPr>
          <w:rFonts w:hint="eastAsia" w:cs="宋体"/>
          <w:color w:val="auto"/>
          <w:sz w:val="24"/>
          <w:szCs w:val="24"/>
          <w:highlight w:val="none"/>
          <w:lang w:eastAsia="zh-CN"/>
        </w:rPr>
        <w:t>乙方</w:t>
      </w:r>
      <w:r>
        <w:rPr>
          <w:rFonts w:hint="eastAsia" w:cs="宋体"/>
          <w:color w:val="auto"/>
          <w:sz w:val="24"/>
          <w:szCs w:val="24"/>
          <w:highlight w:val="none"/>
        </w:rPr>
        <w:t>擅自更换项目经理的违约责任：</w:t>
      </w:r>
    </w:p>
    <w:p w14:paraId="5F4EB8C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u w:val="single"/>
          <w:lang w:eastAsia="zh-CN"/>
        </w:rPr>
        <w:t>乙方</w:t>
      </w:r>
      <w:r>
        <w:rPr>
          <w:rFonts w:hint="eastAsia" w:cs="宋体"/>
          <w:color w:val="auto"/>
          <w:sz w:val="24"/>
          <w:szCs w:val="24"/>
          <w:highlight w:val="none"/>
          <w:u w:val="single"/>
        </w:rPr>
        <w:t>不得擅自更换投标时所报项目经理，否则</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有权解除合同，由此造成的损失由</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自行承担，</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还应赔偿由此造成</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的全部损失。确需更换的须在签订合同后，报经</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同意后按相关规定办理，更换后的人员不得低于</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投标时所报人员资质和技术水平。</w:t>
      </w:r>
    </w:p>
    <w:p w14:paraId="77C65BD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3.2.4 </w:t>
      </w:r>
      <w:r>
        <w:rPr>
          <w:rFonts w:hint="eastAsia" w:cs="宋体"/>
          <w:color w:val="auto"/>
          <w:sz w:val="24"/>
          <w:szCs w:val="24"/>
          <w:highlight w:val="none"/>
          <w:lang w:eastAsia="zh-CN"/>
        </w:rPr>
        <w:t>乙方</w:t>
      </w:r>
      <w:r>
        <w:rPr>
          <w:rFonts w:hint="eastAsia" w:cs="宋体"/>
          <w:color w:val="auto"/>
          <w:sz w:val="24"/>
          <w:szCs w:val="24"/>
          <w:highlight w:val="none"/>
        </w:rPr>
        <w:t>无正当理由拒绝更换项目经理的违约责任：</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要求撤换不能胜任本职工作、行为不端或玩忽职守的</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项目经理和其他人员的，应通知</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应于收到</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的书面通知之日起 7 天内将不少于两位继任者及其资质和业绩情况提供给</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，供</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选择。</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选择的新项目经理或其他人员应于 7 天内进驻工程现场；否则，每迟延一天，</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有权自</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应得的工程款中扣除违约金人民币合同总价的万分之五</w:t>
      </w:r>
      <w:r>
        <w:rPr>
          <w:rFonts w:hint="eastAsia" w:cs="宋体"/>
          <w:color w:val="auto"/>
          <w:sz w:val="24"/>
          <w:szCs w:val="24"/>
          <w:highlight w:val="none"/>
        </w:rPr>
        <w:t>。</w:t>
      </w:r>
    </w:p>
    <w:p w14:paraId="4339B92C">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3.3 </w:t>
      </w:r>
      <w:r>
        <w:rPr>
          <w:rFonts w:hint="eastAsia" w:cs="宋体"/>
          <w:bCs/>
          <w:color w:val="auto"/>
          <w:sz w:val="24"/>
          <w:szCs w:val="24"/>
          <w:highlight w:val="none"/>
          <w:lang w:eastAsia="zh-CN"/>
        </w:rPr>
        <w:t>乙方</w:t>
      </w:r>
      <w:r>
        <w:rPr>
          <w:rFonts w:hint="eastAsia" w:cs="宋体"/>
          <w:bCs/>
          <w:color w:val="auto"/>
          <w:sz w:val="24"/>
          <w:szCs w:val="24"/>
          <w:highlight w:val="none"/>
        </w:rPr>
        <w:t>人员</w:t>
      </w:r>
    </w:p>
    <w:p w14:paraId="57268FE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3.3.1 </w:t>
      </w:r>
      <w:r>
        <w:rPr>
          <w:rFonts w:hint="eastAsia" w:cs="宋体"/>
          <w:color w:val="auto"/>
          <w:sz w:val="24"/>
          <w:szCs w:val="24"/>
          <w:highlight w:val="none"/>
          <w:lang w:eastAsia="zh-CN"/>
        </w:rPr>
        <w:t>乙方</w:t>
      </w:r>
      <w:r>
        <w:rPr>
          <w:rFonts w:hint="eastAsia" w:cs="宋体"/>
          <w:color w:val="auto"/>
          <w:sz w:val="24"/>
          <w:szCs w:val="24"/>
          <w:highlight w:val="none"/>
        </w:rPr>
        <w:t>提交项目管理机构及施工现场管理人员安排报告的期限：</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4736A83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3.3.3 </w:t>
      </w:r>
      <w:r>
        <w:rPr>
          <w:rFonts w:hint="eastAsia" w:cs="宋体"/>
          <w:color w:val="auto"/>
          <w:sz w:val="24"/>
          <w:szCs w:val="24"/>
          <w:highlight w:val="none"/>
          <w:lang w:eastAsia="zh-CN"/>
        </w:rPr>
        <w:t>乙方</w:t>
      </w:r>
      <w:r>
        <w:rPr>
          <w:rFonts w:hint="eastAsia" w:cs="宋体"/>
          <w:color w:val="auto"/>
          <w:sz w:val="24"/>
          <w:szCs w:val="24"/>
          <w:highlight w:val="none"/>
        </w:rPr>
        <w:t>无正当理由拒绝撤换主要施工管理人员的违约责任：</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要求撤换不能胜任本职工作、行为不端或玩忽职守的</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主要施工管理人员的，应书面通知</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应于收到</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的书面通知之日起 7 天内将不少于两位继任者及其资质和业绩情况提供给</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，供</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选择。</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选择的新人员应于 7 天内进驻工程现场；否则，每迟延一天，</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有权自</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应得的工程款中扣除违约金人民币合同总价的万分之一</w:t>
      </w:r>
      <w:r>
        <w:rPr>
          <w:rFonts w:hint="eastAsia" w:cs="宋体"/>
          <w:color w:val="auto"/>
          <w:sz w:val="24"/>
          <w:szCs w:val="24"/>
          <w:highlight w:val="none"/>
        </w:rPr>
        <w:t>。</w:t>
      </w:r>
    </w:p>
    <w:p w14:paraId="60CABCB7">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 xml:space="preserve">3.3.4 </w:t>
      </w:r>
      <w:r>
        <w:rPr>
          <w:rFonts w:hint="eastAsia" w:cs="宋体"/>
          <w:color w:val="auto"/>
          <w:sz w:val="24"/>
          <w:szCs w:val="24"/>
          <w:highlight w:val="none"/>
          <w:lang w:eastAsia="zh-CN"/>
        </w:rPr>
        <w:t>乙方</w:t>
      </w:r>
      <w:r>
        <w:rPr>
          <w:rFonts w:hint="eastAsia" w:cs="宋体"/>
          <w:color w:val="auto"/>
          <w:sz w:val="24"/>
          <w:szCs w:val="24"/>
          <w:highlight w:val="none"/>
        </w:rPr>
        <w:t>主要施工管理人员离开施工现场的批准要求：</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6637B329">
      <w:pPr>
        <w:adjustRightInd w:val="0"/>
        <w:snapToGrid w:val="0"/>
        <w:spacing w:line="360" w:lineRule="auto"/>
        <w:ind w:firstLine="484" w:firstLineChars="202"/>
        <w:rPr>
          <w:rFonts w:cs="宋体"/>
          <w:color w:val="auto"/>
          <w:sz w:val="24"/>
          <w:szCs w:val="24"/>
          <w:highlight w:val="none"/>
        </w:rPr>
      </w:pPr>
      <w:r>
        <w:rPr>
          <w:rFonts w:hint="eastAsia" w:cs="宋体"/>
          <w:color w:val="auto"/>
          <w:sz w:val="24"/>
          <w:szCs w:val="24"/>
          <w:highlight w:val="none"/>
        </w:rPr>
        <w:t xml:space="preserve">3.3.5 </w:t>
      </w:r>
      <w:r>
        <w:rPr>
          <w:rFonts w:hint="eastAsia" w:cs="宋体"/>
          <w:color w:val="auto"/>
          <w:sz w:val="24"/>
          <w:szCs w:val="24"/>
          <w:highlight w:val="none"/>
          <w:lang w:eastAsia="zh-CN"/>
        </w:rPr>
        <w:t>乙方</w:t>
      </w:r>
      <w:r>
        <w:rPr>
          <w:rFonts w:hint="eastAsia" w:cs="宋体"/>
          <w:color w:val="auto"/>
          <w:sz w:val="24"/>
          <w:szCs w:val="24"/>
          <w:highlight w:val="none"/>
        </w:rPr>
        <w:t>擅自更换主要施工管理人员的违约责任：</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不得擅自更换主要管理人员，否则</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有权解除合同，由此造成的损失由</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自行承担，</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还应赔偿由此造成</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的全部损失。确需更换的须在签订合同后，报经</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同意后按相关规定办理，更换后的人员不得低于</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投标时所报人员资质和技术水平。</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如认为有必要，可要求对上述人员中的部分人员作出更好的调整。</w:t>
      </w:r>
    </w:p>
    <w:p w14:paraId="3C22B7D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主要施工管理人员擅自离开施工现场的违约责任：</w:t>
      </w:r>
      <w:r>
        <w:rPr>
          <w:rFonts w:hint="eastAsia" w:cs="宋体"/>
          <w:color w:val="auto"/>
          <w:sz w:val="24"/>
          <w:szCs w:val="24"/>
          <w:highlight w:val="none"/>
          <w:u w:val="single"/>
        </w:rPr>
        <w:t>未征得</w:t>
      </w:r>
      <w:r>
        <w:rPr>
          <w:rFonts w:hint="eastAsia" w:cs="宋体"/>
          <w:color w:val="auto"/>
          <w:sz w:val="24"/>
          <w:szCs w:val="24"/>
          <w:highlight w:val="none"/>
          <w:u w:val="single"/>
          <w:lang w:val="en-US" w:eastAsia="zh-CN"/>
        </w:rPr>
        <w:t>发包方</w:t>
      </w:r>
      <w:r>
        <w:rPr>
          <w:rFonts w:hint="eastAsia" w:cs="宋体"/>
          <w:color w:val="auto"/>
          <w:sz w:val="24"/>
          <w:szCs w:val="24"/>
          <w:highlight w:val="none"/>
          <w:u w:val="single"/>
        </w:rPr>
        <w:t>书面同意擅自离开施工现场，</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有权自</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应获得的工程款中扣除违约金，违约金标准为每次人民币</w:t>
      </w:r>
      <w:r>
        <w:rPr>
          <w:rFonts w:hint="eastAsia" w:cs="宋体"/>
          <w:color w:val="auto"/>
          <w:sz w:val="24"/>
          <w:szCs w:val="24"/>
          <w:highlight w:val="none"/>
          <w:u w:val="single"/>
          <w:lang w:eastAsia="zh-CN"/>
        </w:rPr>
        <w:t>伍</w:t>
      </w:r>
      <w:r>
        <w:rPr>
          <w:rFonts w:hint="eastAsia" w:cs="宋体"/>
          <w:color w:val="auto"/>
          <w:sz w:val="24"/>
          <w:szCs w:val="24"/>
          <w:highlight w:val="none"/>
          <w:u w:val="single"/>
        </w:rPr>
        <w:t>千元</w:t>
      </w:r>
      <w:r>
        <w:rPr>
          <w:rFonts w:hint="eastAsia" w:cs="宋体"/>
          <w:color w:val="auto"/>
          <w:sz w:val="24"/>
          <w:szCs w:val="24"/>
          <w:highlight w:val="none"/>
        </w:rPr>
        <w:t>。</w:t>
      </w:r>
    </w:p>
    <w:p w14:paraId="335136A4">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3</w:t>
      </w:r>
      <w:bookmarkStart w:id="114" w:name="_Toc296890987"/>
      <w:bookmarkStart w:id="115" w:name="_Toc297123492"/>
      <w:bookmarkStart w:id="116" w:name="_Toc300934945"/>
      <w:bookmarkStart w:id="117" w:name="_Toc304295523"/>
      <w:bookmarkStart w:id="118" w:name="_Toc312677988"/>
      <w:bookmarkStart w:id="119" w:name="_Toc296346660"/>
      <w:bookmarkStart w:id="120" w:name="_Toc296347158"/>
      <w:bookmarkStart w:id="121" w:name="_Toc292559869"/>
      <w:bookmarkStart w:id="122" w:name="_Toc296891199"/>
      <w:bookmarkStart w:id="123" w:name="_Toc296503159"/>
      <w:bookmarkStart w:id="124" w:name="_Toc297048345"/>
      <w:bookmarkStart w:id="125" w:name="_Toc297216151"/>
      <w:bookmarkStart w:id="126" w:name="_Toc296944498"/>
      <w:bookmarkStart w:id="127" w:name="_Toc292559364"/>
      <w:bookmarkStart w:id="128" w:name="_Toc297120459"/>
      <w:bookmarkStart w:id="129" w:name="_Toc303539102"/>
      <w:r>
        <w:rPr>
          <w:rFonts w:hint="eastAsia" w:cs="宋体"/>
          <w:bCs/>
          <w:color w:val="auto"/>
          <w:sz w:val="24"/>
          <w:szCs w:val="24"/>
          <w:highlight w:val="none"/>
        </w:rPr>
        <w:t>.5 分包</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14:paraId="6CD0107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3</w:t>
      </w:r>
      <w:bookmarkStart w:id="130" w:name="_Toc292559870"/>
      <w:bookmarkStart w:id="131" w:name="_Toc296890988"/>
      <w:bookmarkStart w:id="132" w:name="_Toc296891200"/>
      <w:bookmarkStart w:id="133" w:name="_Toc296944499"/>
      <w:bookmarkStart w:id="134" w:name="_Toc296503160"/>
      <w:bookmarkStart w:id="135" w:name="_Toc300934946"/>
      <w:bookmarkStart w:id="136" w:name="_Toc296347159"/>
      <w:bookmarkStart w:id="137" w:name="_Toc304295524"/>
      <w:bookmarkStart w:id="138" w:name="_Toc297048346"/>
      <w:bookmarkStart w:id="139" w:name="_Toc297216152"/>
      <w:bookmarkStart w:id="140" w:name="_Toc303539103"/>
      <w:bookmarkStart w:id="141" w:name="_Toc297120460"/>
      <w:bookmarkStart w:id="142" w:name="_Toc292559365"/>
      <w:bookmarkStart w:id="143" w:name="_Toc296346661"/>
      <w:bookmarkStart w:id="144" w:name="_Toc297123493"/>
      <w:bookmarkStart w:id="145" w:name="_Toc312677989"/>
      <w:bookmarkStart w:id="146" w:name="_Toc318581158"/>
      <w:r>
        <w:rPr>
          <w:rFonts w:hint="eastAsia" w:cs="宋体"/>
          <w:color w:val="auto"/>
          <w:sz w:val="24"/>
          <w:szCs w:val="24"/>
          <w:highlight w:val="none"/>
        </w:rPr>
        <w:t>.5.1 分包的一般约定</w:t>
      </w:r>
    </w:p>
    <w:p w14:paraId="77C3DF1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禁止分包的工程包括：</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02B071A6">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主体结构、关键性工作的范围：</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Start w:id="147" w:name="_Toc304295525"/>
      <w:bookmarkStart w:id="148" w:name="_Toc297120461"/>
      <w:bookmarkStart w:id="149" w:name="_Toc303539104"/>
      <w:bookmarkStart w:id="150" w:name="_Toc296891201"/>
      <w:bookmarkStart w:id="151" w:name="_Toc296503161"/>
      <w:bookmarkStart w:id="152" w:name="_Toc296347160"/>
      <w:bookmarkStart w:id="153" w:name="_Toc296346662"/>
      <w:bookmarkStart w:id="154" w:name="_Toc297123494"/>
      <w:bookmarkStart w:id="155" w:name="_Toc297048347"/>
      <w:bookmarkStart w:id="156" w:name="_Toc300934947"/>
      <w:bookmarkStart w:id="157" w:name="_Toc296890989"/>
      <w:bookmarkStart w:id="158" w:name="_Toc297216153"/>
      <w:bookmarkStart w:id="159" w:name="_Toc296944500"/>
      <w:r>
        <w:rPr>
          <w:rFonts w:hint="eastAsia" w:cs="宋体"/>
          <w:color w:val="auto"/>
          <w:sz w:val="24"/>
          <w:szCs w:val="24"/>
          <w:highlight w:val="none"/>
          <w:u w:val="single"/>
        </w:rPr>
        <w:t xml:space="preserve">执行通用条款 </w:t>
      </w:r>
      <w:r>
        <w:rPr>
          <w:rFonts w:hint="eastAsia" w:cs="宋体"/>
          <w:color w:val="auto"/>
          <w:sz w:val="24"/>
          <w:szCs w:val="24"/>
          <w:highlight w:val="none"/>
        </w:rPr>
        <w:t>。</w:t>
      </w:r>
    </w:p>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14:paraId="4BBE007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3</w:t>
      </w:r>
      <w:bookmarkStart w:id="160" w:name="_Toc312677990"/>
      <w:bookmarkStart w:id="161" w:name="_Toc318581159"/>
      <w:r>
        <w:rPr>
          <w:rFonts w:hint="eastAsia" w:cs="宋体"/>
          <w:color w:val="auto"/>
          <w:sz w:val="24"/>
          <w:szCs w:val="24"/>
          <w:highlight w:val="none"/>
        </w:rPr>
        <w:t>.5.2 分包的确定</w:t>
      </w:r>
    </w:p>
    <w:p w14:paraId="6B5BE603">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允许分包的专业工程包括：</w:t>
      </w:r>
      <w:r>
        <w:rPr>
          <w:rFonts w:hint="eastAsia" w:cs="宋体"/>
          <w:color w:val="auto"/>
          <w:sz w:val="24"/>
          <w:szCs w:val="24"/>
          <w:highlight w:val="none"/>
          <w:u w:val="single"/>
        </w:rPr>
        <w:t xml:space="preserve"> / </w:t>
      </w:r>
      <w:r>
        <w:rPr>
          <w:rFonts w:hint="eastAsia" w:cs="宋体"/>
          <w:color w:val="auto"/>
          <w:sz w:val="24"/>
          <w:szCs w:val="24"/>
          <w:highlight w:val="none"/>
        </w:rPr>
        <w:t>。</w:t>
      </w:r>
    </w:p>
    <w:p w14:paraId="7817ADA6">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其他关于分包的约定：</w:t>
      </w:r>
      <w:r>
        <w:rPr>
          <w:rFonts w:hint="eastAsia" w:cs="宋体"/>
          <w:color w:val="auto"/>
          <w:sz w:val="24"/>
          <w:szCs w:val="24"/>
          <w:highlight w:val="none"/>
          <w:u w:val="single"/>
        </w:rPr>
        <w:t xml:space="preserve"> / </w:t>
      </w:r>
      <w:r>
        <w:rPr>
          <w:rFonts w:hint="eastAsia" w:cs="宋体"/>
          <w:color w:val="auto"/>
          <w:sz w:val="24"/>
          <w:szCs w:val="24"/>
          <w:highlight w:val="none"/>
        </w:rPr>
        <w:t>。</w:t>
      </w:r>
    </w:p>
    <w:p w14:paraId="708D04E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3.5.4 分包合同价款</w:t>
      </w:r>
    </w:p>
    <w:p w14:paraId="2021766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关于分包合同价款支付的约定：</w:t>
      </w:r>
      <w:r>
        <w:rPr>
          <w:rFonts w:hint="eastAsia" w:cs="宋体"/>
          <w:color w:val="auto"/>
          <w:sz w:val="24"/>
          <w:szCs w:val="24"/>
          <w:highlight w:val="none"/>
          <w:u w:val="single"/>
        </w:rPr>
        <w:t xml:space="preserve">          </w:t>
      </w:r>
      <w:r>
        <w:rPr>
          <w:rFonts w:hint="eastAsia" w:cs="宋体"/>
          <w:color w:val="auto"/>
          <w:sz w:val="24"/>
          <w:szCs w:val="24"/>
          <w:highlight w:val="none"/>
        </w:rPr>
        <w:t>。</w:t>
      </w:r>
    </w:p>
    <w:bookmarkEnd w:id="160"/>
    <w:bookmarkEnd w:id="161"/>
    <w:p w14:paraId="53BAEFB7">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3.6 工程照管与成品、半成品保护</w:t>
      </w:r>
    </w:p>
    <w:p w14:paraId="2EBFEB18">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乙方</w:t>
      </w:r>
      <w:r>
        <w:rPr>
          <w:rFonts w:hint="eastAsia" w:cs="宋体"/>
          <w:color w:val="auto"/>
          <w:sz w:val="24"/>
          <w:szCs w:val="24"/>
          <w:highlight w:val="none"/>
        </w:rPr>
        <w:t>负责照管工程及工程相关的材料、工程设备的起始时间：</w:t>
      </w:r>
      <w:r>
        <w:rPr>
          <w:rFonts w:hint="eastAsia" w:cs="宋体"/>
          <w:color w:val="auto"/>
          <w:sz w:val="24"/>
          <w:szCs w:val="24"/>
          <w:highlight w:val="none"/>
          <w:u w:val="single"/>
        </w:rPr>
        <w:t>自</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向</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移交施工现场之日起，</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应负责照管工程及工程相关的材料、工程设备，直到颁发工程接收证书之日止。</w:t>
      </w:r>
    </w:p>
    <w:p w14:paraId="7057DCC3">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3.7 履约保证金</w:t>
      </w:r>
    </w:p>
    <w:p w14:paraId="277EA88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是否提供履约保证金：</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716CB974">
      <w:pPr>
        <w:adjustRightInd w:val="0"/>
        <w:snapToGrid w:val="0"/>
        <w:spacing w:line="360" w:lineRule="auto"/>
        <w:ind w:left="-70" w:leftChars="-35" w:firstLine="568" w:firstLineChars="237"/>
        <w:rPr>
          <w:rFonts w:cs="宋体"/>
          <w:b/>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提供履约保证金的形式：</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1239E68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履约保证金的金额：</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35C1B53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履约保证金提交期限的要求：</w:t>
      </w:r>
      <w:r>
        <w:rPr>
          <w:rFonts w:hint="eastAsia" w:cs="宋体"/>
          <w:color w:val="auto"/>
          <w:sz w:val="24"/>
          <w:szCs w:val="24"/>
          <w:highlight w:val="none"/>
          <w:u w:val="single"/>
        </w:rPr>
        <w:t>见《专用合同条款数据表》。</w:t>
      </w:r>
    </w:p>
    <w:p w14:paraId="1EF74788">
      <w:pPr>
        <w:adjustRightInd w:val="0"/>
        <w:snapToGrid w:val="0"/>
        <w:spacing w:line="360" w:lineRule="auto"/>
        <w:ind w:firstLine="480" w:firstLineChars="200"/>
        <w:rPr>
          <w:rFonts w:cs="宋体"/>
          <w:strike/>
          <w:color w:val="auto"/>
          <w:sz w:val="24"/>
          <w:szCs w:val="24"/>
          <w:highlight w:val="none"/>
        </w:rPr>
      </w:pPr>
      <w:r>
        <w:rPr>
          <w:rFonts w:hint="eastAsia" w:cs="宋体"/>
          <w:bCs/>
          <w:snapToGrid w:val="0"/>
          <w:color w:val="auto"/>
          <w:sz w:val="24"/>
          <w:szCs w:val="24"/>
          <w:highlight w:val="none"/>
        </w:rPr>
        <w:t>履约保证金退还时限：</w:t>
      </w:r>
      <w:r>
        <w:rPr>
          <w:rFonts w:hint="eastAsia" w:cs="宋体"/>
          <w:color w:val="auto"/>
          <w:sz w:val="24"/>
          <w:szCs w:val="24"/>
          <w:highlight w:val="none"/>
          <w:u w:val="single"/>
        </w:rPr>
        <w:t>见《专用合同条款数据表》。</w:t>
      </w:r>
    </w:p>
    <w:p w14:paraId="3993BA0F">
      <w:pPr>
        <w:snapToGrid w:val="0"/>
        <w:spacing w:before="312" w:beforeLines="100" w:after="312" w:afterLines="100" w:line="360" w:lineRule="auto"/>
        <w:outlineLvl w:val="2"/>
        <w:rPr>
          <w:rFonts w:hint="default" w:cs="宋体"/>
          <w:color w:val="auto"/>
          <w:sz w:val="24"/>
          <w:szCs w:val="24"/>
          <w:highlight w:val="none"/>
          <w:lang w:val="en-US" w:eastAsia="zh-CN"/>
        </w:rPr>
      </w:pPr>
      <w:bookmarkStart w:id="162" w:name="_Toc351203636"/>
      <w:r>
        <w:rPr>
          <w:rFonts w:hint="eastAsia" w:cs="宋体"/>
          <w:color w:val="auto"/>
          <w:sz w:val="24"/>
          <w:szCs w:val="24"/>
          <w:highlight w:val="none"/>
        </w:rPr>
        <w:t>4</w:t>
      </w:r>
      <w:bookmarkStart w:id="163" w:name="_Toc296891202"/>
      <w:bookmarkStart w:id="164" w:name="_Toc296503162"/>
      <w:bookmarkStart w:id="165" w:name="_Toc296347161"/>
      <w:bookmarkStart w:id="166" w:name="_Toc292559366"/>
      <w:bookmarkStart w:id="167" w:name="_Toc267251413"/>
      <w:bookmarkStart w:id="168" w:name="_Toc297120462"/>
      <w:bookmarkStart w:id="169" w:name="_Toc296346663"/>
      <w:bookmarkStart w:id="170" w:name="_Toc292559871"/>
      <w:bookmarkStart w:id="171" w:name="_Toc296944501"/>
      <w:bookmarkStart w:id="172" w:name="_Toc297048348"/>
      <w:bookmarkStart w:id="173" w:name="_Toc296890990"/>
      <w:r>
        <w:rPr>
          <w:rFonts w:hint="eastAsia" w:cs="宋体"/>
          <w:color w:val="auto"/>
          <w:sz w:val="24"/>
          <w:szCs w:val="24"/>
          <w:highlight w:val="none"/>
        </w:rPr>
        <w:t>. 监</w:t>
      </w:r>
      <w:bookmarkEnd w:id="163"/>
      <w:bookmarkEnd w:id="164"/>
      <w:bookmarkEnd w:id="165"/>
      <w:bookmarkEnd w:id="166"/>
      <w:bookmarkEnd w:id="167"/>
      <w:bookmarkEnd w:id="168"/>
      <w:bookmarkEnd w:id="169"/>
      <w:bookmarkEnd w:id="170"/>
      <w:bookmarkEnd w:id="171"/>
      <w:bookmarkEnd w:id="172"/>
      <w:bookmarkEnd w:id="173"/>
      <w:r>
        <w:rPr>
          <w:rFonts w:hint="eastAsia" w:cs="宋体"/>
          <w:color w:val="auto"/>
          <w:sz w:val="24"/>
          <w:szCs w:val="24"/>
          <w:highlight w:val="none"/>
        </w:rPr>
        <w:t>理人</w:t>
      </w:r>
      <w:bookmarkEnd w:id="162"/>
      <w:r>
        <w:rPr>
          <w:rFonts w:hint="eastAsia" w:cs="宋体"/>
          <w:color w:val="auto"/>
          <w:sz w:val="24"/>
          <w:szCs w:val="24"/>
          <w:highlight w:val="none"/>
          <w:lang w:eastAsia="zh-CN"/>
        </w:rPr>
        <w:t>：</w:t>
      </w:r>
      <w:r>
        <w:rPr>
          <w:rFonts w:hint="eastAsia" w:cs="宋体"/>
          <w:color w:val="auto"/>
          <w:sz w:val="24"/>
          <w:szCs w:val="24"/>
          <w:highlight w:val="none"/>
          <w:lang w:val="en-US" w:eastAsia="zh-CN"/>
        </w:rPr>
        <w:t>（如有）</w:t>
      </w:r>
    </w:p>
    <w:p w14:paraId="0B495F1B">
      <w:pPr>
        <w:snapToGrid w:val="0"/>
        <w:spacing w:before="312" w:beforeLines="100" w:after="312" w:afterLines="100" w:line="360" w:lineRule="auto"/>
        <w:outlineLvl w:val="2"/>
        <w:rPr>
          <w:rFonts w:cs="宋体"/>
          <w:color w:val="auto"/>
          <w:sz w:val="24"/>
          <w:szCs w:val="24"/>
          <w:highlight w:val="none"/>
        </w:rPr>
      </w:pPr>
      <w:bookmarkStart w:id="174" w:name="_Toc267251418"/>
      <w:bookmarkStart w:id="175" w:name="_Toc351203637"/>
      <w:r>
        <w:rPr>
          <w:rFonts w:hint="eastAsia" w:cs="宋体"/>
          <w:color w:val="auto"/>
          <w:sz w:val="24"/>
          <w:szCs w:val="24"/>
          <w:highlight w:val="none"/>
        </w:rPr>
        <w:t>5</w:t>
      </w:r>
      <w:bookmarkEnd w:id="174"/>
      <w:bookmarkStart w:id="176" w:name="_Toc296944502"/>
      <w:bookmarkStart w:id="177" w:name="_Toc297120463"/>
      <w:bookmarkStart w:id="178" w:name="_Toc296890991"/>
      <w:bookmarkStart w:id="179" w:name="_Toc296503163"/>
      <w:bookmarkStart w:id="180" w:name="_Toc296891203"/>
      <w:bookmarkStart w:id="181" w:name="_Toc292559367"/>
      <w:bookmarkStart w:id="182" w:name="_Toc296347162"/>
      <w:bookmarkStart w:id="183" w:name="_Toc292559872"/>
      <w:bookmarkStart w:id="184" w:name="_Toc297048349"/>
      <w:bookmarkStart w:id="185" w:name="_Toc296346664"/>
      <w:r>
        <w:rPr>
          <w:rFonts w:hint="eastAsia" w:cs="宋体"/>
          <w:color w:val="auto"/>
          <w:sz w:val="24"/>
          <w:szCs w:val="24"/>
          <w:highlight w:val="none"/>
        </w:rPr>
        <w:t>. 工程质量</w:t>
      </w:r>
      <w:bookmarkEnd w:id="175"/>
    </w:p>
    <w:p w14:paraId="6E14B01E">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5.1 质量要求</w:t>
      </w:r>
    </w:p>
    <w:p w14:paraId="0BBDCD82">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5</w:t>
      </w:r>
      <w:bookmarkStart w:id="186" w:name="_Toc303539106"/>
      <w:bookmarkStart w:id="187" w:name="_Toc318581164"/>
      <w:bookmarkStart w:id="188" w:name="_Toc304295527"/>
      <w:bookmarkStart w:id="189" w:name="_Toc300934949"/>
      <w:bookmarkStart w:id="190" w:name="_Toc297216155"/>
      <w:bookmarkStart w:id="191" w:name="_Toc297123496"/>
      <w:bookmarkStart w:id="192" w:name="_Toc312677997"/>
      <w:r>
        <w:rPr>
          <w:rFonts w:hint="eastAsia" w:cs="宋体"/>
          <w:color w:val="auto"/>
          <w:sz w:val="24"/>
          <w:szCs w:val="24"/>
          <w:highlight w:val="none"/>
        </w:rPr>
        <w:t>.1.1 特殊质量标准和要求：</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60E4D67B">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关于工程奖项的约定：</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445C1B77">
      <w:pPr>
        <w:snapToGrid w:val="0"/>
        <w:spacing w:line="360" w:lineRule="auto"/>
        <w:ind w:firstLine="480" w:firstLineChars="200"/>
        <w:jc w:val="left"/>
        <w:rPr>
          <w:rFonts w:cs="宋体"/>
          <w:color w:val="auto"/>
          <w:sz w:val="24"/>
          <w:szCs w:val="24"/>
          <w:highlight w:val="none"/>
        </w:rPr>
      </w:pPr>
      <w:bookmarkStart w:id="193" w:name="_Toc351203638"/>
      <w:r>
        <w:rPr>
          <w:rFonts w:hint="eastAsia" w:cs="宋体"/>
          <w:color w:val="auto"/>
          <w:sz w:val="24"/>
          <w:szCs w:val="24"/>
          <w:highlight w:val="none"/>
        </w:rPr>
        <w:t>关于建造要求：</w:t>
      </w:r>
    </w:p>
    <w:p w14:paraId="57FC7AAF">
      <w:pPr>
        <w:pStyle w:val="14"/>
        <w:snapToGrid w:val="0"/>
        <w:spacing w:line="360" w:lineRule="auto"/>
        <w:ind w:firstLine="480"/>
        <w:rPr>
          <w:rFonts w:hAnsi="宋体" w:cs="宋体"/>
          <w:color w:val="auto"/>
          <w:sz w:val="24"/>
          <w:szCs w:val="24"/>
          <w:highlight w:val="none"/>
        </w:rPr>
      </w:pPr>
      <w:r>
        <w:rPr>
          <w:rFonts w:hint="eastAsia" w:hAnsi="宋体" w:cs="宋体"/>
          <w:color w:val="auto"/>
          <w:sz w:val="24"/>
          <w:szCs w:val="24"/>
          <w:highlight w:val="none"/>
        </w:rPr>
        <w:t>（1）绿色建筑等级要求：</w:t>
      </w:r>
      <w:r>
        <w:rPr>
          <w:rFonts w:hint="eastAsia" w:hAnsi="宋体" w:cs="宋体"/>
          <w:color w:val="auto"/>
          <w:sz w:val="24"/>
          <w:szCs w:val="24"/>
          <w:highlight w:val="none"/>
          <w:u w:val="single"/>
        </w:rPr>
        <w:t>见《专用合同条款数据表》</w:t>
      </w:r>
      <w:r>
        <w:rPr>
          <w:rFonts w:hint="eastAsia" w:hAnsi="宋体" w:cs="宋体"/>
          <w:color w:val="auto"/>
          <w:sz w:val="24"/>
          <w:szCs w:val="24"/>
          <w:highlight w:val="none"/>
        </w:rPr>
        <w:t>；</w:t>
      </w:r>
    </w:p>
    <w:p w14:paraId="27562A27">
      <w:pPr>
        <w:pStyle w:val="14"/>
        <w:snapToGrid w:val="0"/>
        <w:spacing w:line="360" w:lineRule="auto"/>
        <w:ind w:firstLine="480"/>
        <w:rPr>
          <w:rFonts w:hAnsi="宋体" w:cs="宋体"/>
          <w:color w:val="auto"/>
          <w:sz w:val="24"/>
          <w:szCs w:val="24"/>
          <w:highlight w:val="none"/>
        </w:rPr>
      </w:pPr>
      <w:r>
        <w:rPr>
          <w:rFonts w:hint="eastAsia" w:hAnsi="宋体" w:cs="宋体"/>
          <w:color w:val="auto"/>
          <w:sz w:val="24"/>
          <w:szCs w:val="24"/>
          <w:highlight w:val="none"/>
        </w:rPr>
        <w:t>（2）智慧工地管理要求：</w:t>
      </w:r>
      <w:r>
        <w:rPr>
          <w:rFonts w:hint="eastAsia" w:hAnsi="宋体" w:cs="宋体"/>
          <w:color w:val="auto"/>
          <w:sz w:val="24"/>
          <w:szCs w:val="24"/>
          <w:highlight w:val="none"/>
          <w:u w:val="single"/>
        </w:rPr>
        <w:t>见《专用合同条款数据表》</w:t>
      </w:r>
      <w:r>
        <w:rPr>
          <w:rFonts w:hint="eastAsia" w:hAnsi="宋体" w:cs="宋体"/>
          <w:color w:val="auto"/>
          <w:sz w:val="24"/>
          <w:szCs w:val="24"/>
          <w:highlight w:val="none"/>
        </w:rPr>
        <w:t>；</w:t>
      </w:r>
    </w:p>
    <w:p w14:paraId="1E8E9E40">
      <w:pPr>
        <w:pStyle w:val="14"/>
        <w:snapToGrid w:val="0"/>
        <w:spacing w:line="360" w:lineRule="auto"/>
        <w:ind w:firstLine="480"/>
        <w:rPr>
          <w:rFonts w:hAnsi="宋体" w:cs="宋体"/>
          <w:color w:val="auto"/>
          <w:sz w:val="24"/>
          <w:szCs w:val="24"/>
          <w:highlight w:val="none"/>
        </w:rPr>
      </w:pPr>
      <w:r>
        <w:rPr>
          <w:rFonts w:hint="eastAsia" w:hAnsi="宋体" w:cs="宋体"/>
          <w:color w:val="auto"/>
          <w:sz w:val="24"/>
          <w:szCs w:val="24"/>
          <w:highlight w:val="none"/>
        </w:rPr>
        <w:t>（3）建筑垃圾减量化目标：</w:t>
      </w:r>
      <w:r>
        <w:rPr>
          <w:rFonts w:hint="eastAsia" w:hAnsi="宋体" w:cs="宋体"/>
          <w:color w:val="auto"/>
          <w:sz w:val="24"/>
          <w:szCs w:val="24"/>
          <w:highlight w:val="none"/>
          <w:u w:val="single"/>
        </w:rPr>
        <w:t>见《专用合同条款数据表》</w:t>
      </w:r>
      <w:r>
        <w:rPr>
          <w:rFonts w:hint="eastAsia" w:hAnsi="宋体" w:cs="宋体"/>
          <w:color w:val="auto"/>
          <w:sz w:val="24"/>
          <w:szCs w:val="24"/>
          <w:highlight w:val="none"/>
        </w:rPr>
        <w:t>；</w:t>
      </w:r>
    </w:p>
    <w:p w14:paraId="7BDF151A">
      <w:pPr>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（4）装配式建筑装配率要求：</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0983A4EB">
      <w:pPr>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（5）</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28F706CA">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5.3 隐蔽工程检查</w:t>
      </w:r>
    </w:p>
    <w:p w14:paraId="49C4B88E">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 xml:space="preserve">5.3.2 </w:t>
      </w:r>
      <w:r>
        <w:rPr>
          <w:rFonts w:hint="eastAsia" w:cs="宋体"/>
          <w:color w:val="auto"/>
          <w:sz w:val="24"/>
          <w:szCs w:val="24"/>
          <w:highlight w:val="none"/>
          <w:lang w:eastAsia="zh-CN"/>
        </w:rPr>
        <w:t>乙方</w:t>
      </w:r>
      <w:r>
        <w:rPr>
          <w:rFonts w:hint="eastAsia" w:cs="宋体"/>
          <w:color w:val="auto"/>
          <w:sz w:val="24"/>
          <w:szCs w:val="24"/>
          <w:highlight w:val="none"/>
        </w:rPr>
        <w:t>提前通知隐蔽工程检查的期限的约定：</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74BEB8A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关于延期最长不得超过：</w:t>
      </w:r>
      <w:r>
        <w:rPr>
          <w:rFonts w:hint="eastAsia" w:cs="宋体"/>
          <w:color w:val="auto"/>
          <w:sz w:val="24"/>
          <w:szCs w:val="24"/>
          <w:highlight w:val="none"/>
          <w:u w:val="single"/>
        </w:rPr>
        <w:t xml:space="preserve"> 执行通用条款 </w:t>
      </w:r>
      <w:r>
        <w:rPr>
          <w:rFonts w:hint="eastAsia" w:cs="宋体"/>
          <w:color w:val="auto"/>
          <w:sz w:val="24"/>
          <w:szCs w:val="24"/>
          <w:highlight w:val="none"/>
        </w:rPr>
        <w:t>小时。</w:t>
      </w:r>
    </w:p>
    <w:p w14:paraId="4EB24550">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5</w:t>
      </w:r>
      <w:bookmarkStart w:id="194" w:name="_Toc337558762"/>
      <w:r>
        <w:rPr>
          <w:rFonts w:hint="eastAsia" w:cs="宋体"/>
          <w:bCs/>
          <w:color w:val="auto"/>
          <w:sz w:val="24"/>
          <w:szCs w:val="24"/>
          <w:highlight w:val="none"/>
        </w:rPr>
        <w:t>.4 不合格工程的处理</w:t>
      </w:r>
    </w:p>
    <w:bookmarkEnd w:id="194"/>
    <w:p w14:paraId="4C52B2DB">
      <w:pPr>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本款补充5.4.3项：</w:t>
      </w:r>
    </w:p>
    <w:p w14:paraId="19A44D3D">
      <w:pPr>
        <w:snapToGrid w:val="0"/>
        <w:spacing w:line="360" w:lineRule="auto"/>
        <w:ind w:firstLine="480" w:firstLineChars="200"/>
        <w:jc w:val="left"/>
        <w:rPr>
          <w:rFonts w:cs="宋体"/>
          <w:strike w:val="0"/>
          <w:dstrike w:val="0"/>
          <w:color w:val="auto"/>
          <w:sz w:val="24"/>
          <w:szCs w:val="24"/>
          <w:highlight w:val="none"/>
        </w:rPr>
      </w:pPr>
      <w:r>
        <w:rPr>
          <w:rFonts w:hint="eastAsia" w:cs="宋体"/>
          <w:color w:val="auto"/>
          <w:sz w:val="24"/>
          <w:szCs w:val="24"/>
          <w:highlight w:val="none"/>
        </w:rPr>
        <w:t xml:space="preserve">5.4.3 </w:t>
      </w:r>
      <w:r>
        <w:rPr>
          <w:rFonts w:hint="eastAsia" w:cs="宋体"/>
          <w:strike w:val="0"/>
          <w:dstrike w:val="0"/>
          <w:color w:val="auto"/>
          <w:sz w:val="24"/>
          <w:szCs w:val="24"/>
          <w:highlight w:val="none"/>
          <w:lang w:eastAsia="zh-CN"/>
        </w:rPr>
        <w:t>乙方</w:t>
      </w:r>
      <w:r>
        <w:rPr>
          <w:rFonts w:hint="eastAsia" w:cs="宋体"/>
          <w:strike w:val="0"/>
          <w:dstrike w:val="0"/>
          <w:color w:val="auto"/>
          <w:sz w:val="24"/>
          <w:szCs w:val="24"/>
          <w:highlight w:val="none"/>
        </w:rPr>
        <w:t>在收到</w:t>
      </w:r>
      <w:r>
        <w:rPr>
          <w:rFonts w:hint="eastAsia" w:cs="宋体"/>
          <w:strike w:val="0"/>
          <w:dstrike w:val="0"/>
          <w:color w:val="auto"/>
          <w:sz w:val="24"/>
          <w:szCs w:val="24"/>
          <w:highlight w:val="none"/>
          <w:lang w:val="en-US" w:eastAsia="zh-CN"/>
        </w:rPr>
        <w:t>甲方</w:t>
      </w:r>
      <w:r>
        <w:rPr>
          <w:rFonts w:hint="eastAsia" w:cs="宋体"/>
          <w:strike w:val="0"/>
          <w:dstrike w:val="0"/>
          <w:color w:val="auto"/>
          <w:sz w:val="24"/>
          <w:szCs w:val="24"/>
          <w:highlight w:val="none"/>
        </w:rPr>
        <w:t>发出的</w:t>
      </w:r>
      <w:r>
        <w:rPr>
          <w:rFonts w:hint="eastAsia" w:cs="宋体"/>
          <w:strike w:val="0"/>
          <w:dstrike w:val="0"/>
          <w:color w:val="auto"/>
          <w:sz w:val="24"/>
          <w:szCs w:val="24"/>
          <w:highlight w:val="none"/>
          <w:lang w:val="en-US" w:eastAsia="zh-CN"/>
        </w:rPr>
        <w:t>整改通知后</w:t>
      </w:r>
      <w:r>
        <w:rPr>
          <w:rFonts w:hint="eastAsia" w:cs="宋体"/>
          <w:strike w:val="0"/>
          <w:dstrike w:val="0"/>
          <w:color w:val="auto"/>
          <w:sz w:val="24"/>
          <w:szCs w:val="24"/>
          <w:highlight w:val="none"/>
        </w:rPr>
        <w:t>，必须在</w:t>
      </w:r>
      <w:r>
        <w:rPr>
          <w:rFonts w:hint="eastAsia" w:cs="宋体"/>
          <w:strike w:val="0"/>
          <w:dstrike w:val="0"/>
          <w:color w:val="auto"/>
          <w:sz w:val="24"/>
          <w:szCs w:val="24"/>
          <w:highlight w:val="none"/>
          <w:lang w:val="en-US" w:eastAsia="zh-CN"/>
        </w:rPr>
        <w:t>甲方</w:t>
      </w:r>
      <w:r>
        <w:rPr>
          <w:rFonts w:hint="eastAsia" w:cs="宋体"/>
          <w:strike w:val="0"/>
          <w:dstrike w:val="0"/>
          <w:color w:val="auto"/>
          <w:sz w:val="24"/>
          <w:szCs w:val="24"/>
          <w:highlight w:val="none"/>
        </w:rPr>
        <w:t>规定时间内按要求完成整改，未能在限定时间内完成整改的，须承担相应违约责任。</w:t>
      </w:r>
    </w:p>
    <w:p w14:paraId="61113736">
      <w:pPr>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本条补充5.6款：</w:t>
      </w:r>
    </w:p>
    <w:p w14:paraId="75BE0BD8">
      <w:pPr>
        <w:keepNext/>
        <w:keepLines/>
        <w:snapToGrid w:val="0"/>
        <w:spacing w:before="120" w:after="120" w:line="360" w:lineRule="auto"/>
        <w:ind w:firstLine="480" w:firstLineChars="200"/>
        <w:outlineLvl w:val="3"/>
        <w:rPr>
          <w:rFonts w:cs="宋体"/>
          <w:bCs/>
          <w:color w:val="auto"/>
          <w:sz w:val="24"/>
          <w:szCs w:val="24"/>
          <w:highlight w:val="none"/>
        </w:rPr>
      </w:pPr>
      <w:bookmarkStart w:id="195" w:name="_Toc532377348"/>
      <w:r>
        <w:rPr>
          <w:rFonts w:hint="eastAsia" w:cs="宋体"/>
          <w:bCs/>
          <w:color w:val="auto"/>
          <w:sz w:val="24"/>
          <w:szCs w:val="24"/>
          <w:highlight w:val="none"/>
        </w:rPr>
        <w:t>5.6 质量事故的处理</w:t>
      </w:r>
      <w:bookmarkEnd w:id="195"/>
    </w:p>
    <w:p w14:paraId="7EAFD8C7">
      <w:pPr>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5.6.1 合同履行过程中，发生工程质量事故的调查处理按照国家现行规定处理。</w:t>
      </w:r>
    </w:p>
    <w:p w14:paraId="213C762C">
      <w:pPr>
        <w:snapToGrid w:val="0"/>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5.6.2 </w:t>
      </w:r>
      <w:r>
        <w:rPr>
          <w:rFonts w:hint="eastAsia" w:cs="宋体"/>
          <w:color w:val="auto"/>
          <w:sz w:val="24"/>
          <w:szCs w:val="24"/>
          <w:highlight w:val="none"/>
          <w:lang w:eastAsia="zh-CN"/>
        </w:rPr>
        <w:t>甲方</w:t>
      </w:r>
      <w:r>
        <w:rPr>
          <w:rFonts w:hint="eastAsia" w:cs="宋体"/>
          <w:color w:val="auto"/>
          <w:sz w:val="24"/>
          <w:szCs w:val="24"/>
          <w:highlight w:val="none"/>
        </w:rPr>
        <w:t>在对工程质量、安全和环境保护、水土保持等建设全过程管理中发现有技术、质量和其他问题的，可责令</w:t>
      </w:r>
      <w:r>
        <w:rPr>
          <w:rFonts w:hint="eastAsia" w:cs="宋体"/>
          <w:color w:val="auto"/>
          <w:sz w:val="24"/>
          <w:szCs w:val="24"/>
          <w:highlight w:val="none"/>
          <w:lang w:eastAsia="zh-CN"/>
        </w:rPr>
        <w:t>乙方</w:t>
      </w:r>
      <w:r>
        <w:rPr>
          <w:rFonts w:hint="eastAsia" w:cs="宋体"/>
          <w:color w:val="auto"/>
          <w:sz w:val="24"/>
          <w:szCs w:val="24"/>
          <w:highlight w:val="none"/>
        </w:rPr>
        <w:t>返工或整改；对存在的隐患，有权责令</w:t>
      </w:r>
      <w:r>
        <w:rPr>
          <w:rFonts w:hint="eastAsia" w:cs="宋体"/>
          <w:color w:val="auto"/>
          <w:sz w:val="24"/>
          <w:szCs w:val="24"/>
          <w:highlight w:val="none"/>
          <w:lang w:eastAsia="zh-CN"/>
        </w:rPr>
        <w:t>乙方</w:t>
      </w:r>
      <w:r>
        <w:rPr>
          <w:rFonts w:hint="eastAsia" w:cs="宋体"/>
          <w:color w:val="auto"/>
          <w:sz w:val="24"/>
          <w:szCs w:val="24"/>
          <w:highlight w:val="none"/>
        </w:rPr>
        <w:t>予以解决，</w:t>
      </w:r>
      <w:r>
        <w:rPr>
          <w:rFonts w:hint="eastAsia" w:cs="宋体"/>
          <w:color w:val="auto"/>
          <w:sz w:val="24"/>
          <w:szCs w:val="24"/>
          <w:highlight w:val="none"/>
          <w:lang w:eastAsia="zh-CN"/>
        </w:rPr>
        <w:t>乙方</w:t>
      </w:r>
      <w:r>
        <w:rPr>
          <w:rFonts w:hint="eastAsia" w:cs="宋体"/>
          <w:color w:val="auto"/>
          <w:sz w:val="24"/>
          <w:szCs w:val="24"/>
          <w:highlight w:val="none"/>
        </w:rPr>
        <w:t>按照合同中其他条款约定承担违约责任。</w:t>
      </w:r>
    </w:p>
    <w:p w14:paraId="6D36897A">
      <w:pPr>
        <w:snapToGrid w:val="0"/>
        <w:spacing w:before="312" w:beforeLines="100" w:after="312" w:afterLines="100" w:line="360" w:lineRule="auto"/>
        <w:outlineLvl w:val="2"/>
        <w:rPr>
          <w:rFonts w:cs="宋体"/>
          <w:color w:val="auto"/>
          <w:sz w:val="24"/>
          <w:szCs w:val="24"/>
          <w:highlight w:val="none"/>
        </w:rPr>
      </w:pPr>
      <w:r>
        <w:rPr>
          <w:rFonts w:hint="eastAsia" w:cs="宋体"/>
          <w:color w:val="auto"/>
          <w:sz w:val="24"/>
          <w:szCs w:val="24"/>
          <w:highlight w:val="none"/>
        </w:rPr>
        <w:t>6. 安全文明施工与环境保护</w:t>
      </w:r>
      <w:bookmarkEnd w:id="193"/>
    </w:p>
    <w:p w14:paraId="6D854685">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6.1 安全文明施工</w:t>
      </w:r>
    </w:p>
    <w:p w14:paraId="01D35DD8">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6.1.1 项目安全生产的达标目标及相应事项的约定：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3186E00E">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6.1.4 关于治安保卫的特别约定：</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04B06F4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关于编制施工场地治安管理计划的约定：</w:t>
      </w:r>
      <w:r>
        <w:rPr>
          <w:rFonts w:hint="eastAsia" w:cs="宋体"/>
          <w:color w:val="auto"/>
          <w:sz w:val="24"/>
          <w:szCs w:val="24"/>
          <w:highlight w:val="none"/>
          <w:u w:val="single"/>
        </w:rPr>
        <w:t xml:space="preserve"> 执行通用条款 </w:t>
      </w:r>
      <w:r>
        <w:rPr>
          <w:rFonts w:hint="eastAsia" w:cs="宋体"/>
          <w:color w:val="auto"/>
          <w:sz w:val="24"/>
          <w:szCs w:val="24"/>
          <w:highlight w:val="none"/>
        </w:rPr>
        <w:t>。</w:t>
      </w:r>
    </w:p>
    <w:p w14:paraId="1BE9ECB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6.1.5 文明施工</w:t>
      </w:r>
    </w:p>
    <w:p w14:paraId="6AF62448">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合同当事人对文明施工的要求：</w:t>
      </w:r>
      <w:r>
        <w:rPr>
          <w:rFonts w:hint="eastAsia" w:cs="宋体"/>
          <w:color w:val="auto"/>
          <w:sz w:val="24"/>
          <w:szCs w:val="24"/>
          <w:highlight w:val="none"/>
          <w:u w:val="single"/>
        </w:rPr>
        <w:t xml:space="preserve"> </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应按国家及地方有关规定制定的“文明工地标准”文明施工，并应在施工组织设计中提出施工全过程的文明施工措施计划。</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承担文明施工所需的一切费用，否则，</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有权对相关措施费不予支付，且</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 xml:space="preserve">不得提出任何异议 </w:t>
      </w:r>
      <w:r>
        <w:rPr>
          <w:rFonts w:hint="eastAsia" w:cs="宋体"/>
          <w:color w:val="auto"/>
          <w:sz w:val="24"/>
          <w:szCs w:val="24"/>
          <w:highlight w:val="none"/>
        </w:rPr>
        <w:t>。</w:t>
      </w:r>
    </w:p>
    <w:p w14:paraId="70D7B8D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6.1.6 关于安全文明施工费支付比例和支付期限的约定：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rPr>
        <w:t>。</w:t>
      </w:r>
    </w:p>
    <w:bookmarkEnd w:id="186"/>
    <w:bookmarkEnd w:id="187"/>
    <w:bookmarkEnd w:id="188"/>
    <w:bookmarkEnd w:id="189"/>
    <w:bookmarkEnd w:id="190"/>
    <w:bookmarkEnd w:id="191"/>
    <w:bookmarkEnd w:id="192"/>
    <w:p w14:paraId="5CFF6696">
      <w:pPr>
        <w:snapToGrid w:val="0"/>
        <w:spacing w:before="312" w:beforeLines="100" w:after="312" w:afterLines="100" w:line="360" w:lineRule="auto"/>
        <w:outlineLvl w:val="2"/>
        <w:rPr>
          <w:rFonts w:cs="宋体"/>
          <w:color w:val="auto"/>
          <w:sz w:val="24"/>
          <w:szCs w:val="24"/>
          <w:highlight w:val="none"/>
        </w:rPr>
      </w:pPr>
      <w:bookmarkStart w:id="196" w:name="_Toc351203639"/>
      <w:r>
        <w:rPr>
          <w:rFonts w:hint="eastAsia" w:cs="宋体"/>
          <w:color w:val="auto"/>
          <w:sz w:val="24"/>
          <w:szCs w:val="24"/>
          <w:highlight w:val="none"/>
        </w:rPr>
        <w:t>7. 工期和进度</w:t>
      </w:r>
      <w:bookmarkEnd w:id="196"/>
    </w:p>
    <w:p w14:paraId="3EC3F9FA">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7.1 施工组织设计</w:t>
      </w:r>
    </w:p>
    <w:p w14:paraId="2B4C3AC5">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7.1.1 合同当事人约定的施工组织设计应包括的其他内容：</w:t>
      </w:r>
      <w:r>
        <w:rPr>
          <w:rFonts w:hint="eastAsia" w:cs="宋体"/>
          <w:color w:val="auto"/>
          <w:sz w:val="24"/>
          <w:szCs w:val="24"/>
          <w:highlight w:val="none"/>
          <w:u w:val="single"/>
        </w:rPr>
        <w:t>总进度计划须含网络图、横道图。</w:t>
      </w:r>
    </w:p>
    <w:p w14:paraId="09EB88A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7.1.2 施工组织设计的提交和修改</w:t>
      </w:r>
    </w:p>
    <w:p w14:paraId="3057CBEC">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乙方</w:t>
      </w:r>
      <w:r>
        <w:rPr>
          <w:rFonts w:hint="eastAsia" w:cs="宋体"/>
          <w:color w:val="auto"/>
          <w:sz w:val="24"/>
          <w:szCs w:val="24"/>
          <w:highlight w:val="none"/>
        </w:rPr>
        <w:t>提交详细施工组织设计的期限的约定：</w:t>
      </w:r>
      <w:r>
        <w:rPr>
          <w:rFonts w:hint="eastAsia" w:cs="宋体"/>
          <w:color w:val="auto"/>
          <w:sz w:val="24"/>
          <w:szCs w:val="24"/>
          <w:highlight w:val="none"/>
          <w:u w:val="single"/>
        </w:rPr>
        <w:t xml:space="preserve"> 合同签订后 14 天内，但最迟不得晚于第7.3.2 项〔开工通知〕载明的开工日期前 7 天 </w:t>
      </w:r>
      <w:r>
        <w:rPr>
          <w:rFonts w:hint="eastAsia" w:cs="宋体"/>
          <w:color w:val="auto"/>
          <w:sz w:val="24"/>
          <w:szCs w:val="24"/>
          <w:highlight w:val="none"/>
        </w:rPr>
        <w:t>。</w:t>
      </w:r>
    </w:p>
    <w:p w14:paraId="008E3A19">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在收到详细的施工组织设计后确认或提出修改意见的期限：</w:t>
      </w:r>
      <w:r>
        <w:rPr>
          <w:rFonts w:hint="eastAsia" w:cs="宋体"/>
          <w:color w:val="auto"/>
          <w:sz w:val="24"/>
          <w:szCs w:val="24"/>
          <w:highlight w:val="none"/>
          <w:u w:val="single"/>
        </w:rPr>
        <w:t xml:space="preserve"> 收到施工组织设计后7天内 </w:t>
      </w:r>
      <w:r>
        <w:rPr>
          <w:rFonts w:hint="eastAsia" w:cs="宋体"/>
          <w:color w:val="auto"/>
          <w:sz w:val="24"/>
          <w:szCs w:val="24"/>
          <w:highlight w:val="none"/>
        </w:rPr>
        <w:t>。</w:t>
      </w:r>
    </w:p>
    <w:p w14:paraId="36584D7C">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7</w:t>
      </w:r>
      <w:bookmarkStart w:id="197" w:name="_Toc300934966"/>
      <w:bookmarkStart w:id="198" w:name="_Toc297123514"/>
      <w:bookmarkStart w:id="199" w:name="_Toc312677479"/>
      <w:bookmarkStart w:id="200" w:name="_Toc297216173"/>
      <w:bookmarkStart w:id="201" w:name="_Toc303539123"/>
      <w:bookmarkStart w:id="202" w:name="_Toc304295541"/>
      <w:bookmarkStart w:id="203" w:name="_Toc312678005"/>
      <w:r>
        <w:rPr>
          <w:rFonts w:hint="eastAsia" w:cs="宋体"/>
          <w:bCs/>
          <w:color w:val="auto"/>
          <w:sz w:val="24"/>
          <w:szCs w:val="24"/>
          <w:highlight w:val="none"/>
        </w:rPr>
        <w:t>.2 施工进度计划</w:t>
      </w:r>
    </w:p>
    <w:p w14:paraId="1F761DBD">
      <w:pPr>
        <w:adjustRightInd w:val="0"/>
        <w:snapToGrid w:val="0"/>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cs="宋体"/>
          <w:color w:val="auto"/>
          <w:sz w:val="24"/>
          <w:szCs w:val="24"/>
          <w:highlight w:val="none"/>
        </w:rPr>
        <w:t>7.2.2 施工进度计划的修订</w:t>
      </w:r>
    </w:p>
    <w:p w14:paraId="52861E03">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在收到修订的施工进度计划后确认或提出修改意见的期限：</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乙方</w:t>
      </w:r>
      <w:r>
        <w:rPr>
          <w:rFonts w:hint="eastAsia" w:ascii="宋体" w:hAnsi="宋体" w:eastAsia="宋体" w:cs="宋体"/>
          <w:color w:val="auto"/>
          <w:sz w:val="24"/>
          <w:szCs w:val="24"/>
          <w:highlight w:val="none"/>
          <w:u w:val="single"/>
          <w:lang w:val="en-US" w:eastAsia="zh-CN"/>
        </w:rPr>
        <w:t>应在 14 天内向</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提交修订合同进度计划的申请报告，并附有关措施和相关资料，报</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审批</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应在收到申请报告后的 14 天内批复。当</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认为需要修订合同进度计划时，</w:t>
      </w:r>
      <w:r>
        <w:rPr>
          <w:rFonts w:hint="eastAsia" w:cs="宋体"/>
          <w:color w:val="auto"/>
          <w:sz w:val="24"/>
          <w:szCs w:val="24"/>
          <w:highlight w:val="none"/>
          <w:u w:val="single"/>
          <w:lang w:val="en-US" w:eastAsia="zh-CN"/>
        </w:rPr>
        <w:t>乙方</w:t>
      </w:r>
      <w:r>
        <w:rPr>
          <w:rFonts w:hint="eastAsia" w:ascii="宋体" w:hAnsi="宋体" w:eastAsia="宋体" w:cs="宋体"/>
          <w:color w:val="auto"/>
          <w:sz w:val="24"/>
          <w:szCs w:val="24"/>
          <w:highlight w:val="none"/>
          <w:u w:val="single"/>
          <w:lang w:val="en-US" w:eastAsia="zh-CN"/>
        </w:rPr>
        <w:t>应按</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的指示，在 14 天内向</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提交修订的合同进度计划，并附调整计划的相关资料，提交</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审批。</w:t>
      </w:r>
      <w:r>
        <w:rPr>
          <w:rFonts w:hint="eastAsia" w:cs="宋体"/>
          <w:color w:val="auto"/>
          <w:sz w:val="24"/>
          <w:szCs w:val="24"/>
          <w:highlight w:val="none"/>
          <w:u w:val="single"/>
          <w:lang w:eastAsia="zh-CN"/>
        </w:rPr>
        <w:t>甲方</w:t>
      </w:r>
      <w:r>
        <w:rPr>
          <w:rFonts w:hint="eastAsia" w:ascii="宋体" w:hAnsi="宋体" w:eastAsia="宋体" w:cs="宋体"/>
          <w:color w:val="auto"/>
          <w:sz w:val="24"/>
          <w:szCs w:val="24"/>
          <w:highlight w:val="none"/>
          <w:u w:val="single"/>
          <w:lang w:val="en-US" w:eastAsia="zh-CN"/>
        </w:rPr>
        <w:t>应在收到进度计划后的 14 天内批复</w:t>
      </w:r>
      <w:r>
        <w:rPr>
          <w:rFonts w:hint="eastAsia" w:ascii="宋体" w:hAnsi="宋体" w:eastAsia="宋体" w:cs="宋体"/>
          <w:color w:val="auto"/>
          <w:sz w:val="24"/>
          <w:szCs w:val="24"/>
          <w:highlight w:val="none"/>
          <w:u w:val="single"/>
        </w:rPr>
        <w:t xml:space="preserve"> 。</w:t>
      </w:r>
    </w:p>
    <w:p w14:paraId="7D0C58B0">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7.3 开工</w:t>
      </w:r>
    </w:p>
    <w:p w14:paraId="45F48BD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7.3.1 开工准备</w:t>
      </w:r>
    </w:p>
    <w:p w14:paraId="3EFA82FD">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w:t>
      </w:r>
      <w:r>
        <w:rPr>
          <w:rFonts w:hint="eastAsia" w:cs="宋体"/>
          <w:color w:val="auto"/>
          <w:sz w:val="24"/>
          <w:szCs w:val="24"/>
          <w:highlight w:val="none"/>
          <w:lang w:eastAsia="zh-CN"/>
        </w:rPr>
        <w:t>乙方</w:t>
      </w:r>
      <w:r>
        <w:rPr>
          <w:rFonts w:hint="eastAsia" w:cs="宋体"/>
          <w:color w:val="auto"/>
          <w:sz w:val="24"/>
          <w:szCs w:val="24"/>
          <w:highlight w:val="none"/>
        </w:rPr>
        <w:t>提交工程开工报审表的期限：</w:t>
      </w:r>
      <w:r>
        <w:rPr>
          <w:rFonts w:hint="eastAsia" w:cs="宋体"/>
          <w:color w:val="auto"/>
          <w:sz w:val="24"/>
          <w:szCs w:val="24"/>
          <w:highlight w:val="none"/>
          <w:u w:val="single"/>
        </w:rPr>
        <w:t xml:space="preserve">  开工前 7 天内  </w:t>
      </w:r>
      <w:r>
        <w:rPr>
          <w:rFonts w:hint="eastAsia" w:cs="宋体"/>
          <w:color w:val="auto"/>
          <w:sz w:val="24"/>
          <w:szCs w:val="24"/>
          <w:highlight w:val="none"/>
        </w:rPr>
        <w:t>。</w:t>
      </w:r>
    </w:p>
    <w:p w14:paraId="491FF835">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w:t>
      </w:r>
      <w:r>
        <w:rPr>
          <w:rFonts w:hint="eastAsia" w:cs="宋体"/>
          <w:color w:val="auto"/>
          <w:sz w:val="24"/>
          <w:szCs w:val="24"/>
          <w:highlight w:val="none"/>
          <w:lang w:eastAsia="zh-CN"/>
        </w:rPr>
        <w:t>甲方</w:t>
      </w:r>
      <w:r>
        <w:rPr>
          <w:rFonts w:hint="eastAsia" w:cs="宋体"/>
          <w:color w:val="auto"/>
          <w:sz w:val="24"/>
          <w:szCs w:val="24"/>
          <w:highlight w:val="none"/>
        </w:rPr>
        <w:t>应完成的其他开工准备工作及期限：</w:t>
      </w:r>
      <w:r>
        <w:rPr>
          <w:rFonts w:hint="eastAsia" w:cs="宋体"/>
          <w:color w:val="auto"/>
          <w:sz w:val="24"/>
          <w:szCs w:val="24"/>
          <w:highlight w:val="none"/>
          <w:u w:val="single"/>
        </w:rPr>
        <w:t xml:space="preserve"> 开工前 7 天内 </w:t>
      </w:r>
      <w:r>
        <w:rPr>
          <w:rFonts w:hint="eastAsia" w:cs="宋体"/>
          <w:color w:val="auto"/>
          <w:sz w:val="24"/>
          <w:szCs w:val="24"/>
          <w:highlight w:val="none"/>
        </w:rPr>
        <w:t>。</w:t>
      </w:r>
    </w:p>
    <w:p w14:paraId="3AE7BDBD">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w:t>
      </w:r>
      <w:r>
        <w:rPr>
          <w:rFonts w:hint="eastAsia" w:cs="宋体"/>
          <w:color w:val="auto"/>
          <w:sz w:val="24"/>
          <w:szCs w:val="24"/>
          <w:highlight w:val="none"/>
          <w:lang w:eastAsia="zh-CN"/>
        </w:rPr>
        <w:t>乙方</w:t>
      </w:r>
      <w:r>
        <w:rPr>
          <w:rFonts w:hint="eastAsia" w:cs="宋体"/>
          <w:color w:val="auto"/>
          <w:sz w:val="24"/>
          <w:szCs w:val="24"/>
          <w:highlight w:val="none"/>
        </w:rPr>
        <w:t>应完成的其他开工准备工作及期限：</w:t>
      </w:r>
      <w:r>
        <w:rPr>
          <w:rFonts w:hint="eastAsia" w:cs="宋体"/>
          <w:color w:val="auto"/>
          <w:sz w:val="24"/>
          <w:szCs w:val="24"/>
          <w:highlight w:val="none"/>
          <w:u w:val="single"/>
        </w:rPr>
        <w:t xml:space="preserve"> 开工前 7 天内 </w:t>
      </w:r>
      <w:r>
        <w:rPr>
          <w:rFonts w:hint="eastAsia" w:cs="宋体"/>
          <w:color w:val="auto"/>
          <w:sz w:val="24"/>
          <w:szCs w:val="24"/>
          <w:highlight w:val="none"/>
        </w:rPr>
        <w:t>。</w:t>
      </w:r>
    </w:p>
    <w:bookmarkEnd w:id="197"/>
    <w:bookmarkEnd w:id="198"/>
    <w:bookmarkEnd w:id="199"/>
    <w:bookmarkEnd w:id="200"/>
    <w:bookmarkEnd w:id="201"/>
    <w:bookmarkEnd w:id="202"/>
    <w:bookmarkEnd w:id="203"/>
    <w:p w14:paraId="360E3C6A">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7.4 测量放线</w:t>
      </w:r>
    </w:p>
    <w:p w14:paraId="17D15362">
      <w:pPr>
        <w:adjustRightInd w:val="0"/>
        <w:snapToGrid w:val="0"/>
        <w:spacing w:line="360" w:lineRule="auto"/>
        <w:ind w:firstLine="480" w:firstLineChars="200"/>
        <w:rPr>
          <w:rFonts w:cs="宋体"/>
          <w:strike w:val="0"/>
          <w:dstrike w:val="0"/>
          <w:color w:val="auto"/>
          <w:sz w:val="24"/>
          <w:szCs w:val="24"/>
          <w:highlight w:val="none"/>
          <w:u w:val="single"/>
        </w:rPr>
      </w:pPr>
      <w:r>
        <w:rPr>
          <w:rFonts w:hint="eastAsia" w:cs="宋体"/>
          <w:strike w:val="0"/>
          <w:dstrike w:val="0"/>
          <w:color w:val="auto"/>
          <w:sz w:val="24"/>
          <w:szCs w:val="24"/>
          <w:highlight w:val="none"/>
        </w:rPr>
        <w:t xml:space="preserve">7.4.1 </w:t>
      </w:r>
      <w:r>
        <w:rPr>
          <w:rFonts w:hint="eastAsia" w:cs="宋体"/>
          <w:strike w:val="0"/>
          <w:dstrike w:val="0"/>
          <w:color w:val="auto"/>
          <w:sz w:val="24"/>
          <w:szCs w:val="24"/>
          <w:highlight w:val="none"/>
          <w:lang w:eastAsia="zh-CN"/>
        </w:rPr>
        <w:t>甲方</w:t>
      </w:r>
      <w:r>
        <w:rPr>
          <w:rFonts w:hint="eastAsia" w:cs="宋体"/>
          <w:strike w:val="0"/>
          <w:dstrike w:val="0"/>
          <w:color w:val="auto"/>
          <w:sz w:val="24"/>
          <w:szCs w:val="24"/>
          <w:highlight w:val="none"/>
        </w:rPr>
        <w:t>向</w:t>
      </w:r>
      <w:r>
        <w:rPr>
          <w:rFonts w:hint="eastAsia" w:cs="宋体"/>
          <w:strike w:val="0"/>
          <w:dstrike w:val="0"/>
          <w:color w:val="auto"/>
          <w:sz w:val="24"/>
          <w:szCs w:val="24"/>
          <w:highlight w:val="none"/>
          <w:lang w:eastAsia="zh-CN"/>
        </w:rPr>
        <w:t>乙方</w:t>
      </w:r>
      <w:r>
        <w:rPr>
          <w:rFonts w:hint="eastAsia" w:cs="宋体"/>
          <w:strike w:val="0"/>
          <w:dstrike w:val="0"/>
          <w:color w:val="auto"/>
          <w:sz w:val="24"/>
          <w:szCs w:val="24"/>
          <w:highlight w:val="none"/>
        </w:rPr>
        <w:t>提供测量基准点、基准线和水准点及其书面资料的期限：</w:t>
      </w:r>
      <w:r>
        <w:rPr>
          <w:rFonts w:hint="eastAsia" w:cs="宋体"/>
          <w:strike w:val="0"/>
          <w:dstrike w:val="0"/>
          <w:color w:val="auto"/>
          <w:sz w:val="24"/>
          <w:szCs w:val="24"/>
          <w:highlight w:val="none"/>
          <w:u w:val="single"/>
        </w:rPr>
        <w:t xml:space="preserve"> 开工前 7 天内 </w:t>
      </w:r>
      <w:r>
        <w:rPr>
          <w:rFonts w:hint="eastAsia" w:cs="宋体"/>
          <w:strike w:val="0"/>
          <w:dstrike w:val="0"/>
          <w:color w:val="auto"/>
          <w:sz w:val="24"/>
          <w:szCs w:val="24"/>
          <w:highlight w:val="none"/>
        </w:rPr>
        <w:t>。</w:t>
      </w:r>
    </w:p>
    <w:p w14:paraId="42142A9D">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7</w:t>
      </w:r>
      <w:bookmarkStart w:id="204" w:name="_Toc303539125"/>
      <w:bookmarkStart w:id="205" w:name="_Toc297216175"/>
      <w:bookmarkStart w:id="206" w:name="_Toc304295546"/>
      <w:bookmarkStart w:id="207" w:name="_Toc300934968"/>
      <w:bookmarkStart w:id="208" w:name="_Toc312678010"/>
      <w:bookmarkStart w:id="209" w:name="_Toc297123516"/>
      <w:bookmarkStart w:id="210" w:name="_Toc312677484"/>
      <w:r>
        <w:rPr>
          <w:rFonts w:hint="eastAsia" w:cs="宋体"/>
          <w:bCs/>
          <w:color w:val="auto"/>
          <w:sz w:val="24"/>
          <w:szCs w:val="24"/>
          <w:highlight w:val="none"/>
        </w:rPr>
        <w:t>.5 工期延误</w:t>
      </w:r>
    </w:p>
    <w:bookmarkEnd w:id="204"/>
    <w:bookmarkEnd w:id="205"/>
    <w:bookmarkEnd w:id="206"/>
    <w:bookmarkEnd w:id="207"/>
    <w:bookmarkEnd w:id="208"/>
    <w:bookmarkEnd w:id="209"/>
    <w:bookmarkEnd w:id="210"/>
    <w:p w14:paraId="59ADBDC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7.5.1 因</w:t>
      </w:r>
      <w:r>
        <w:rPr>
          <w:rFonts w:hint="eastAsia" w:cs="宋体"/>
          <w:color w:val="auto"/>
          <w:sz w:val="24"/>
          <w:szCs w:val="24"/>
          <w:highlight w:val="none"/>
          <w:lang w:eastAsia="zh-CN"/>
        </w:rPr>
        <w:t>甲方</w:t>
      </w:r>
      <w:r>
        <w:rPr>
          <w:rFonts w:hint="eastAsia" w:cs="宋体"/>
          <w:color w:val="auto"/>
          <w:sz w:val="24"/>
          <w:szCs w:val="24"/>
          <w:highlight w:val="none"/>
        </w:rPr>
        <w:t>原因导致工期延误</w:t>
      </w:r>
    </w:p>
    <w:p w14:paraId="32E6E76D">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（7）因</w:t>
      </w:r>
      <w:r>
        <w:rPr>
          <w:rFonts w:hint="eastAsia" w:cs="宋体"/>
          <w:color w:val="auto"/>
          <w:sz w:val="24"/>
          <w:szCs w:val="24"/>
          <w:highlight w:val="none"/>
          <w:lang w:eastAsia="zh-CN"/>
        </w:rPr>
        <w:t>甲方</w:t>
      </w:r>
      <w:r>
        <w:rPr>
          <w:rFonts w:hint="eastAsia" w:cs="宋体"/>
          <w:color w:val="auto"/>
          <w:sz w:val="24"/>
          <w:szCs w:val="24"/>
          <w:highlight w:val="none"/>
        </w:rPr>
        <w:t>原因导致工期延误的其他情形：</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471D32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7</w:t>
      </w:r>
      <w:bookmarkStart w:id="211" w:name="_Toc312677486"/>
      <w:bookmarkStart w:id="212" w:name="_Toc312678012"/>
      <w:bookmarkStart w:id="213" w:name="_Toc318581169"/>
      <w:bookmarkStart w:id="214" w:name="_Toc297123518"/>
      <w:bookmarkStart w:id="215" w:name="_Toc304295548"/>
      <w:bookmarkStart w:id="216" w:name="_Toc303539127"/>
      <w:bookmarkStart w:id="217" w:name="_Toc297216177"/>
      <w:bookmarkStart w:id="218" w:name="_Toc300934970"/>
      <w:r>
        <w:rPr>
          <w:rFonts w:hint="eastAsia" w:cs="宋体"/>
          <w:color w:val="auto"/>
          <w:sz w:val="24"/>
          <w:szCs w:val="24"/>
          <w:highlight w:val="none"/>
        </w:rPr>
        <w:t>.5.2 因</w:t>
      </w:r>
      <w:r>
        <w:rPr>
          <w:rFonts w:hint="eastAsia" w:cs="宋体"/>
          <w:color w:val="auto"/>
          <w:sz w:val="24"/>
          <w:szCs w:val="24"/>
          <w:highlight w:val="none"/>
          <w:lang w:eastAsia="zh-CN"/>
        </w:rPr>
        <w:t>乙方</w:t>
      </w:r>
      <w:r>
        <w:rPr>
          <w:rFonts w:hint="eastAsia" w:cs="宋体"/>
          <w:color w:val="auto"/>
          <w:sz w:val="24"/>
          <w:szCs w:val="24"/>
          <w:highlight w:val="none"/>
        </w:rPr>
        <w:t>原因导致工期延误</w:t>
      </w:r>
    </w:p>
    <w:bookmarkEnd w:id="211"/>
    <w:bookmarkEnd w:id="212"/>
    <w:bookmarkEnd w:id="213"/>
    <w:p w14:paraId="1A22EA2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因</w:t>
      </w:r>
      <w:bookmarkStart w:id="219" w:name="_Toc312677487"/>
      <w:bookmarkStart w:id="220" w:name="_Toc312678013"/>
      <w:bookmarkStart w:id="221" w:name="_Toc318581170"/>
      <w:r>
        <w:rPr>
          <w:rFonts w:hint="eastAsia" w:cs="宋体"/>
          <w:color w:val="auto"/>
          <w:sz w:val="24"/>
          <w:szCs w:val="24"/>
          <w:highlight w:val="none"/>
          <w:lang w:eastAsia="zh-CN"/>
        </w:rPr>
        <w:t>乙方</w:t>
      </w:r>
      <w:r>
        <w:rPr>
          <w:rFonts w:hint="eastAsia" w:cs="宋体"/>
          <w:color w:val="auto"/>
          <w:sz w:val="24"/>
          <w:szCs w:val="24"/>
          <w:highlight w:val="none"/>
        </w:rPr>
        <w:t>原因造成工期延误，逾期</w:t>
      </w:r>
      <w:r>
        <w:rPr>
          <w:rFonts w:hint="eastAsia" w:cs="宋体"/>
          <w:color w:val="auto"/>
          <w:sz w:val="24"/>
          <w:szCs w:val="24"/>
          <w:highlight w:val="none"/>
          <w:lang w:eastAsia="zh-CN"/>
        </w:rPr>
        <w:t>完工</w:t>
      </w:r>
      <w:r>
        <w:rPr>
          <w:rFonts w:hint="eastAsia" w:cs="宋体"/>
          <w:color w:val="auto"/>
          <w:sz w:val="24"/>
          <w:szCs w:val="24"/>
          <w:highlight w:val="none"/>
        </w:rPr>
        <w:t>违约金的计算方法为：</w:t>
      </w:r>
      <w:r>
        <w:rPr>
          <w:rFonts w:hint="eastAsia" w:cs="宋体"/>
          <w:color w:val="auto"/>
          <w:sz w:val="24"/>
          <w:szCs w:val="24"/>
          <w:highlight w:val="none"/>
          <w:u w:val="single"/>
        </w:rPr>
        <w:t>见《专用合同条款数据表》</w:t>
      </w:r>
      <w:r>
        <w:rPr>
          <w:rFonts w:hint="eastAsia" w:cs="宋体"/>
          <w:color w:val="auto"/>
          <w:sz w:val="24"/>
          <w:szCs w:val="24"/>
          <w:highlight w:val="none"/>
        </w:rPr>
        <w:t>。</w:t>
      </w:r>
      <w:bookmarkEnd w:id="214"/>
      <w:bookmarkEnd w:id="215"/>
      <w:bookmarkEnd w:id="216"/>
      <w:bookmarkEnd w:id="217"/>
      <w:bookmarkEnd w:id="218"/>
      <w:bookmarkEnd w:id="219"/>
      <w:bookmarkEnd w:id="220"/>
    </w:p>
    <w:bookmarkEnd w:id="221"/>
    <w:p w14:paraId="660B544E">
      <w:pPr>
        <w:adjustRightInd w:val="0"/>
        <w:snapToGrid w:val="0"/>
        <w:spacing w:line="360" w:lineRule="auto"/>
        <w:ind w:firstLine="480" w:firstLineChars="200"/>
        <w:rPr>
          <w:rFonts w:cs="宋体"/>
          <w:b/>
          <w:color w:val="auto"/>
          <w:sz w:val="24"/>
          <w:szCs w:val="24"/>
          <w:highlight w:val="none"/>
          <w:u w:val="single"/>
        </w:rPr>
      </w:pPr>
      <w:r>
        <w:rPr>
          <w:rFonts w:hint="eastAsia" w:cs="宋体"/>
          <w:color w:val="auto"/>
          <w:sz w:val="24"/>
          <w:szCs w:val="24"/>
          <w:highlight w:val="none"/>
        </w:rPr>
        <w:t>因</w:t>
      </w:r>
      <w:r>
        <w:rPr>
          <w:rFonts w:hint="eastAsia" w:cs="宋体"/>
          <w:color w:val="auto"/>
          <w:sz w:val="24"/>
          <w:szCs w:val="24"/>
          <w:highlight w:val="none"/>
          <w:lang w:eastAsia="zh-CN"/>
        </w:rPr>
        <w:t>乙方</w:t>
      </w:r>
      <w:r>
        <w:rPr>
          <w:rFonts w:hint="eastAsia" w:cs="宋体"/>
          <w:color w:val="auto"/>
          <w:sz w:val="24"/>
          <w:szCs w:val="24"/>
          <w:highlight w:val="none"/>
        </w:rPr>
        <w:t>原因造成工期延误，逾</w:t>
      </w:r>
      <w:bookmarkStart w:id="222" w:name="_Toc312678014"/>
      <w:bookmarkStart w:id="223" w:name="_Toc318581171"/>
      <w:r>
        <w:rPr>
          <w:rFonts w:hint="eastAsia" w:cs="宋体"/>
          <w:color w:val="auto"/>
          <w:sz w:val="24"/>
          <w:szCs w:val="24"/>
          <w:highlight w:val="none"/>
        </w:rPr>
        <w:t>期</w:t>
      </w:r>
      <w:r>
        <w:rPr>
          <w:rFonts w:hint="eastAsia" w:cs="宋体"/>
          <w:color w:val="auto"/>
          <w:sz w:val="24"/>
          <w:szCs w:val="24"/>
          <w:highlight w:val="none"/>
          <w:lang w:eastAsia="zh-CN"/>
        </w:rPr>
        <w:t>完工</w:t>
      </w:r>
      <w:r>
        <w:rPr>
          <w:rFonts w:hint="eastAsia" w:cs="宋体"/>
          <w:color w:val="auto"/>
          <w:sz w:val="24"/>
          <w:szCs w:val="24"/>
          <w:highlight w:val="none"/>
        </w:rPr>
        <w:t>违约金的上限：</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bookmarkEnd w:id="222"/>
    <w:bookmarkEnd w:id="223"/>
    <w:p w14:paraId="35B9DD94">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7</w:t>
      </w:r>
      <w:bookmarkStart w:id="224" w:name="_Toc303539128"/>
      <w:bookmarkStart w:id="225" w:name="_Toc300934971"/>
      <w:bookmarkStart w:id="226" w:name="_Toc304295549"/>
      <w:bookmarkStart w:id="227" w:name="_Toc312678015"/>
      <w:bookmarkStart w:id="228" w:name="_Toc297216178"/>
      <w:bookmarkStart w:id="229" w:name="_Toc297123519"/>
      <w:r>
        <w:rPr>
          <w:rFonts w:hint="eastAsia" w:cs="宋体"/>
          <w:bCs/>
          <w:color w:val="auto"/>
          <w:sz w:val="24"/>
          <w:szCs w:val="24"/>
          <w:highlight w:val="none"/>
        </w:rPr>
        <w:t>.6 不</w:t>
      </w:r>
      <w:bookmarkEnd w:id="224"/>
      <w:bookmarkEnd w:id="225"/>
      <w:bookmarkEnd w:id="226"/>
      <w:bookmarkEnd w:id="227"/>
      <w:bookmarkEnd w:id="228"/>
      <w:bookmarkEnd w:id="229"/>
      <w:r>
        <w:rPr>
          <w:rFonts w:hint="eastAsia" w:cs="宋体"/>
          <w:bCs/>
          <w:color w:val="auto"/>
          <w:sz w:val="24"/>
          <w:szCs w:val="24"/>
          <w:highlight w:val="none"/>
        </w:rPr>
        <w:t>利物质条件</w:t>
      </w:r>
    </w:p>
    <w:p w14:paraId="430EEFD8">
      <w:pPr>
        <w:adjustRightInd w:val="0"/>
        <w:snapToGrid w:val="0"/>
        <w:spacing w:line="360" w:lineRule="auto"/>
        <w:ind w:firstLine="480" w:firstLineChars="200"/>
        <w:rPr>
          <w:rFonts w:cs="宋体"/>
          <w:b/>
          <w:color w:val="auto"/>
          <w:sz w:val="24"/>
          <w:szCs w:val="24"/>
          <w:highlight w:val="none"/>
          <w:u w:val="single"/>
        </w:rPr>
      </w:pPr>
      <w:bookmarkStart w:id="230" w:name="_Toc297123520"/>
      <w:bookmarkStart w:id="231" w:name="_Toc300934972"/>
      <w:bookmarkStart w:id="232" w:name="_Toc297216179"/>
      <w:bookmarkStart w:id="233" w:name="_Toc312678016"/>
      <w:bookmarkStart w:id="234" w:name="_Toc303539129"/>
      <w:bookmarkStart w:id="235" w:name="_Toc304295550"/>
      <w:bookmarkStart w:id="236" w:name="_Toc318581172"/>
      <w:r>
        <w:rPr>
          <w:rFonts w:hint="eastAsia" w:cs="宋体"/>
          <w:color w:val="auto"/>
          <w:sz w:val="24"/>
          <w:szCs w:val="24"/>
          <w:highlight w:val="none"/>
        </w:rPr>
        <w:t>不利物质条件的其他情形和有关约定：</w:t>
      </w:r>
      <w:r>
        <w:rPr>
          <w:rFonts w:hint="eastAsia" w:ascii="Times New Roman" w:hAnsi="Times New Roman" w:cs="Times New Roman"/>
          <w:b/>
          <w:color w:val="auto"/>
          <w:kern w:val="2"/>
          <w:sz w:val="24"/>
          <w:szCs w:val="24"/>
          <w:highlight w:val="none"/>
          <w:u w:val="single"/>
        </w:rPr>
        <w:t>执行通用条款</w:t>
      </w:r>
      <w:r>
        <w:rPr>
          <w:rFonts w:hint="eastAsia" w:cs="宋体"/>
          <w:color w:val="auto"/>
          <w:sz w:val="24"/>
          <w:szCs w:val="24"/>
          <w:highlight w:val="none"/>
        </w:rPr>
        <w:t>。</w:t>
      </w:r>
    </w:p>
    <w:bookmarkEnd w:id="230"/>
    <w:bookmarkEnd w:id="231"/>
    <w:bookmarkEnd w:id="232"/>
    <w:bookmarkEnd w:id="233"/>
    <w:bookmarkEnd w:id="234"/>
    <w:bookmarkEnd w:id="235"/>
    <w:bookmarkEnd w:id="236"/>
    <w:p w14:paraId="5AF35F8A">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7</w:t>
      </w:r>
      <w:bookmarkStart w:id="237" w:name="_Toc303539130"/>
      <w:bookmarkStart w:id="238" w:name="_Toc300934973"/>
      <w:bookmarkStart w:id="239" w:name="_Toc312678017"/>
      <w:bookmarkStart w:id="240" w:name="_Toc297123521"/>
      <w:bookmarkStart w:id="241" w:name="_Toc304295551"/>
      <w:bookmarkStart w:id="242" w:name="_Toc297216180"/>
      <w:r>
        <w:rPr>
          <w:rFonts w:hint="eastAsia" w:cs="宋体"/>
          <w:bCs/>
          <w:color w:val="auto"/>
          <w:sz w:val="24"/>
          <w:szCs w:val="24"/>
          <w:highlight w:val="none"/>
        </w:rPr>
        <w:t>.7 异常恶劣的气候条件</w:t>
      </w:r>
    </w:p>
    <w:bookmarkEnd w:id="237"/>
    <w:bookmarkEnd w:id="238"/>
    <w:bookmarkEnd w:id="239"/>
    <w:bookmarkEnd w:id="240"/>
    <w:bookmarkEnd w:id="241"/>
    <w:bookmarkEnd w:id="242"/>
    <w:p w14:paraId="4668164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和</w:t>
      </w:r>
      <w:r>
        <w:rPr>
          <w:rFonts w:hint="eastAsia" w:cs="宋体"/>
          <w:color w:val="auto"/>
          <w:sz w:val="24"/>
          <w:szCs w:val="24"/>
          <w:highlight w:val="none"/>
          <w:lang w:eastAsia="zh-CN"/>
        </w:rPr>
        <w:t>乙方</w:t>
      </w:r>
      <w:r>
        <w:rPr>
          <w:rFonts w:hint="eastAsia" w:cs="宋体"/>
          <w:color w:val="auto"/>
          <w:sz w:val="24"/>
          <w:szCs w:val="24"/>
          <w:highlight w:val="none"/>
        </w:rPr>
        <w:t>同意以下情形视为异常恶劣的气候条件：</w:t>
      </w:r>
    </w:p>
    <w:p w14:paraId="0D13A5D6">
      <w:pPr>
        <w:numPr>
          <w:ilvl w:val="0"/>
          <w:numId w:val="6"/>
        </w:numPr>
        <w:adjustRightInd w:val="0"/>
        <w:snapToGrid w:val="0"/>
        <w:spacing w:line="360" w:lineRule="auto"/>
        <w:ind w:firstLine="480" w:firstLineChars="200"/>
        <w:rPr>
          <w:rFonts w:hint="eastAsia" w:cs="宋体"/>
          <w:color w:val="auto"/>
          <w:sz w:val="24"/>
          <w:szCs w:val="24"/>
          <w:highlight w:val="none"/>
          <w:u w:val="single"/>
        </w:rPr>
      </w:pPr>
      <w:r>
        <w:rPr>
          <w:rFonts w:hint="eastAsia" w:cs="宋体"/>
          <w:color w:val="auto"/>
          <w:sz w:val="24"/>
          <w:szCs w:val="24"/>
          <w:highlight w:val="none"/>
          <w:u w:val="single"/>
        </w:rPr>
        <w:t>日降雨量大于 100 ㎜的雨日超过 3 天； `</w:t>
      </w:r>
    </w:p>
    <w:p w14:paraId="2A8B05FC">
      <w:pPr>
        <w:numPr>
          <w:ilvl w:val="0"/>
          <w:numId w:val="6"/>
        </w:numPr>
        <w:adjustRightInd w:val="0"/>
        <w:snapToGrid w:val="0"/>
        <w:spacing w:line="360" w:lineRule="auto"/>
        <w:ind w:firstLine="480" w:firstLineChars="200"/>
        <w:rPr>
          <w:rFonts w:hint="eastAsia" w:cs="宋体"/>
          <w:color w:val="auto"/>
          <w:sz w:val="24"/>
          <w:szCs w:val="24"/>
          <w:highlight w:val="none"/>
          <w:u w:val="single"/>
        </w:rPr>
      </w:pPr>
      <w:r>
        <w:rPr>
          <w:rFonts w:hint="eastAsia" w:cs="宋体"/>
          <w:color w:val="auto"/>
          <w:sz w:val="24"/>
          <w:szCs w:val="24"/>
          <w:highlight w:val="none"/>
          <w:u w:val="single"/>
        </w:rPr>
        <w:t>风速大于 24.5 m/s 的 10 级以上台风灾害；</w:t>
      </w:r>
    </w:p>
    <w:p w14:paraId="761596A4">
      <w:pPr>
        <w:adjustRightInd w:val="0"/>
        <w:snapToGrid w:val="0"/>
        <w:spacing w:line="360" w:lineRule="auto"/>
        <w:ind w:firstLine="480" w:firstLineChars="200"/>
        <w:rPr>
          <w:rFonts w:hint="eastAsia" w:cs="宋体"/>
          <w:color w:val="auto"/>
          <w:sz w:val="24"/>
          <w:szCs w:val="24"/>
          <w:highlight w:val="none"/>
          <w:u w:val="single"/>
        </w:rPr>
      </w:pPr>
      <w:r>
        <w:rPr>
          <w:rFonts w:hint="eastAsia" w:cs="宋体"/>
          <w:color w:val="auto"/>
          <w:sz w:val="24"/>
          <w:szCs w:val="24"/>
          <w:highlight w:val="none"/>
          <w:u w:val="single"/>
        </w:rPr>
        <w:t>（3）日气温超过 40 ℃的高温大于 5 天；</w:t>
      </w:r>
    </w:p>
    <w:p w14:paraId="77AC96EB">
      <w:pPr>
        <w:adjustRightInd w:val="0"/>
        <w:snapToGrid w:val="0"/>
        <w:spacing w:line="360" w:lineRule="auto"/>
        <w:ind w:firstLine="480" w:firstLineChars="200"/>
        <w:rPr>
          <w:rFonts w:hint="eastAsia" w:cs="宋体"/>
          <w:color w:val="auto"/>
          <w:sz w:val="24"/>
          <w:szCs w:val="24"/>
          <w:highlight w:val="none"/>
          <w:u w:val="single"/>
        </w:rPr>
      </w:pPr>
      <w:r>
        <w:rPr>
          <w:rFonts w:hint="eastAsia" w:cs="宋体"/>
          <w:color w:val="auto"/>
          <w:sz w:val="24"/>
          <w:szCs w:val="24"/>
          <w:highlight w:val="none"/>
          <w:u w:val="single"/>
        </w:rPr>
        <w:t>（4）日气温低于 -20 ℃的严寒大于 3 天；</w:t>
      </w:r>
    </w:p>
    <w:p w14:paraId="7EE2A25C">
      <w:pPr>
        <w:adjustRightInd w:val="0"/>
        <w:snapToGrid w:val="0"/>
        <w:spacing w:line="360" w:lineRule="auto"/>
        <w:ind w:firstLine="480" w:firstLineChars="200"/>
        <w:rPr>
          <w:rFonts w:hint="eastAsia" w:cs="宋体"/>
          <w:color w:val="auto"/>
          <w:sz w:val="24"/>
          <w:szCs w:val="24"/>
          <w:highlight w:val="none"/>
          <w:u w:val="single"/>
        </w:rPr>
      </w:pPr>
      <w:r>
        <w:rPr>
          <w:rFonts w:hint="eastAsia" w:cs="宋体"/>
          <w:color w:val="auto"/>
          <w:sz w:val="24"/>
          <w:szCs w:val="24"/>
          <w:highlight w:val="none"/>
          <w:u w:val="single"/>
        </w:rPr>
        <w:t>（5）造成工程损坏的冰雹和大雪灾害： 日降雪量 20 ㎜及以上 ；</w:t>
      </w:r>
    </w:p>
    <w:p w14:paraId="7EA41632">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u w:val="single"/>
        </w:rPr>
        <w:t>（6）其它异常恶劣气候灾害。</w:t>
      </w:r>
    </w:p>
    <w:p w14:paraId="68EA9C88">
      <w:pPr>
        <w:keepNext/>
        <w:keepLines/>
        <w:snapToGrid w:val="0"/>
        <w:spacing w:before="120" w:after="120" w:line="360" w:lineRule="auto"/>
        <w:ind w:firstLine="480" w:firstLineChars="200"/>
        <w:outlineLvl w:val="3"/>
        <w:rPr>
          <w:rFonts w:hint="eastAsia" w:eastAsia="宋体" w:cs="宋体"/>
          <w:bCs/>
          <w:color w:val="auto"/>
          <w:sz w:val="24"/>
          <w:szCs w:val="24"/>
          <w:highlight w:val="none"/>
          <w:lang w:eastAsia="zh-CN"/>
        </w:rPr>
      </w:pPr>
      <w:r>
        <w:rPr>
          <w:rFonts w:hint="eastAsia" w:cs="宋体"/>
          <w:bCs/>
          <w:color w:val="auto"/>
          <w:sz w:val="24"/>
          <w:szCs w:val="24"/>
          <w:highlight w:val="none"/>
        </w:rPr>
        <w:t>7.9 提前</w:t>
      </w:r>
      <w:r>
        <w:rPr>
          <w:rFonts w:hint="eastAsia" w:cs="宋体"/>
          <w:bCs/>
          <w:color w:val="auto"/>
          <w:sz w:val="24"/>
          <w:szCs w:val="24"/>
          <w:highlight w:val="none"/>
          <w:lang w:eastAsia="zh-CN"/>
        </w:rPr>
        <w:t>完工</w:t>
      </w:r>
    </w:p>
    <w:p w14:paraId="68A0E6F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7.9.2 提前</w:t>
      </w:r>
      <w:r>
        <w:rPr>
          <w:rFonts w:hint="eastAsia" w:cs="宋体"/>
          <w:color w:val="auto"/>
          <w:sz w:val="24"/>
          <w:szCs w:val="24"/>
          <w:highlight w:val="none"/>
          <w:lang w:eastAsia="zh-CN"/>
        </w:rPr>
        <w:t>完工</w:t>
      </w:r>
      <w:r>
        <w:rPr>
          <w:rFonts w:hint="eastAsia" w:cs="宋体"/>
          <w:color w:val="auto"/>
          <w:sz w:val="24"/>
          <w:szCs w:val="24"/>
          <w:highlight w:val="none"/>
        </w:rPr>
        <w:t>的奖励：</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11FAC80F">
      <w:pPr>
        <w:snapToGrid w:val="0"/>
        <w:spacing w:before="312" w:beforeLines="100" w:after="312" w:afterLines="100" w:line="360" w:lineRule="auto"/>
        <w:outlineLvl w:val="2"/>
        <w:rPr>
          <w:rFonts w:cs="宋体"/>
          <w:color w:val="auto"/>
          <w:sz w:val="24"/>
          <w:szCs w:val="24"/>
          <w:highlight w:val="none"/>
        </w:rPr>
      </w:pPr>
      <w:bookmarkStart w:id="243" w:name="_Toc351203640"/>
      <w:r>
        <w:rPr>
          <w:rFonts w:hint="eastAsia" w:cs="宋体"/>
          <w:color w:val="auto"/>
          <w:sz w:val="24"/>
          <w:szCs w:val="24"/>
          <w:highlight w:val="none"/>
        </w:rPr>
        <w:t>8. 材料与设备</w:t>
      </w:r>
      <w:bookmarkEnd w:id="243"/>
    </w:p>
    <w:bookmarkEnd w:id="176"/>
    <w:bookmarkEnd w:id="177"/>
    <w:bookmarkEnd w:id="178"/>
    <w:bookmarkEnd w:id="179"/>
    <w:bookmarkEnd w:id="180"/>
    <w:bookmarkEnd w:id="181"/>
    <w:bookmarkEnd w:id="182"/>
    <w:bookmarkEnd w:id="183"/>
    <w:bookmarkEnd w:id="184"/>
    <w:bookmarkEnd w:id="185"/>
    <w:p w14:paraId="03212C2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8</w:t>
      </w:r>
      <w:bookmarkStart w:id="244" w:name="_Toc312677493"/>
      <w:bookmarkStart w:id="245" w:name="_Toc303539136"/>
      <w:bookmarkStart w:id="246" w:name="_Toc300934979"/>
      <w:bookmarkStart w:id="247" w:name="_Toc296503167"/>
      <w:bookmarkStart w:id="248" w:name="_Toc297216186"/>
      <w:bookmarkStart w:id="249" w:name="_Toc296891207"/>
      <w:bookmarkStart w:id="250" w:name="_Toc297048353"/>
      <w:bookmarkStart w:id="251" w:name="_Toc296346668"/>
      <w:bookmarkStart w:id="252" w:name="_Toc297120467"/>
      <w:bookmarkStart w:id="253" w:name="_Toc280868654"/>
      <w:bookmarkStart w:id="254" w:name="_Toc296944506"/>
      <w:bookmarkStart w:id="255" w:name="_Toc297123527"/>
      <w:bookmarkStart w:id="256" w:name="_Toc296347166"/>
      <w:bookmarkStart w:id="257" w:name="_Toc292559877"/>
      <w:bookmarkStart w:id="258" w:name="_Toc304295556"/>
      <w:bookmarkStart w:id="259" w:name="_Toc296890995"/>
      <w:bookmarkStart w:id="260" w:name="_Toc312678019"/>
      <w:bookmarkStart w:id="261" w:name="_Toc292559372"/>
      <w:bookmarkStart w:id="262" w:name="_Toc280868656"/>
      <w:bookmarkStart w:id="263" w:name="_Toc267251424"/>
      <w:bookmarkStart w:id="264" w:name="_Toc280868655"/>
      <w:r>
        <w:rPr>
          <w:rFonts w:hint="eastAsia" w:cs="宋体"/>
          <w:color w:val="auto"/>
          <w:sz w:val="24"/>
          <w:szCs w:val="24"/>
          <w:highlight w:val="none"/>
        </w:rPr>
        <w:t>.4 材料与工程设备的保管与使用</w:t>
      </w:r>
    </w:p>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14:paraId="3456819F">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8</w:t>
      </w:r>
      <w:bookmarkStart w:id="265" w:name="_Toc292559373"/>
      <w:bookmarkStart w:id="266" w:name="_Toc292559878"/>
      <w:bookmarkStart w:id="267" w:name="_Toc297123528"/>
      <w:bookmarkStart w:id="268" w:name="_Toc296346669"/>
      <w:bookmarkStart w:id="269" w:name="_Toc300934980"/>
      <w:bookmarkStart w:id="270" w:name="_Toc304295557"/>
      <w:bookmarkStart w:id="271" w:name="_Toc297120468"/>
      <w:bookmarkStart w:id="272" w:name="_Toc296890996"/>
      <w:bookmarkStart w:id="273" w:name="_Toc312678020"/>
      <w:bookmarkStart w:id="274" w:name="_Toc312677494"/>
      <w:bookmarkStart w:id="275" w:name="_Toc303539137"/>
      <w:bookmarkStart w:id="276" w:name="_Toc318581173"/>
      <w:bookmarkStart w:id="277" w:name="_Toc296891208"/>
      <w:bookmarkStart w:id="278" w:name="_Toc296347167"/>
      <w:bookmarkStart w:id="279" w:name="_Toc296503168"/>
      <w:bookmarkStart w:id="280" w:name="_Toc297216187"/>
      <w:bookmarkStart w:id="281" w:name="_Toc297048354"/>
      <w:bookmarkStart w:id="282" w:name="_Toc296944507"/>
      <w:r>
        <w:rPr>
          <w:rFonts w:hint="eastAsia" w:cs="宋体"/>
          <w:color w:val="auto"/>
          <w:sz w:val="24"/>
          <w:szCs w:val="24"/>
          <w:highlight w:val="none"/>
        </w:rPr>
        <w:t xml:space="preserve">.4.1 </w:t>
      </w:r>
      <w:r>
        <w:rPr>
          <w:rFonts w:hint="eastAsia" w:cs="宋体"/>
          <w:color w:val="auto"/>
          <w:sz w:val="24"/>
          <w:szCs w:val="24"/>
          <w:highlight w:val="none"/>
          <w:lang w:eastAsia="zh-CN"/>
        </w:rPr>
        <w:t>甲方</w:t>
      </w:r>
      <w:r>
        <w:rPr>
          <w:rFonts w:hint="eastAsia" w:cs="宋体"/>
          <w:color w:val="auto"/>
          <w:sz w:val="24"/>
          <w:szCs w:val="24"/>
          <w:highlight w:val="none"/>
        </w:rPr>
        <w:t>供应的材料设备的保管费用的承担：</w:t>
      </w:r>
      <w:r>
        <w:rPr>
          <w:rFonts w:hint="eastAsia" w:cs="宋体"/>
          <w:color w:val="auto"/>
          <w:sz w:val="24"/>
          <w:szCs w:val="24"/>
          <w:highlight w:val="none"/>
          <w:u w:val="single"/>
        </w:rPr>
        <w:t xml:space="preserve"> </w:t>
      </w:r>
      <w:r>
        <w:rPr>
          <w:rFonts w:hint="eastAsia" w:ascii="Times New Roman" w:hAnsi="Times New Roman" w:cs="Times New Roman"/>
          <w:b/>
          <w:color w:val="auto"/>
          <w:kern w:val="2"/>
          <w:sz w:val="24"/>
          <w:szCs w:val="24"/>
          <w:highlight w:val="none"/>
          <w:u w:val="single"/>
          <w:lang w:eastAsia="zh-CN"/>
        </w:rPr>
        <w:t>乙方</w:t>
      </w:r>
      <w:r>
        <w:rPr>
          <w:rFonts w:hint="eastAsia" w:ascii="Times New Roman" w:hAnsi="Times New Roman" w:cs="Times New Roman"/>
          <w:b/>
          <w:color w:val="auto"/>
          <w:kern w:val="2"/>
          <w:sz w:val="24"/>
          <w:szCs w:val="24"/>
          <w:highlight w:val="none"/>
          <w:u w:val="single"/>
        </w:rPr>
        <w:t>承担</w:t>
      </w:r>
      <w:r>
        <w:rPr>
          <w:rFonts w:hint="eastAsia" w:cs="宋体"/>
          <w:color w:val="auto"/>
          <w:sz w:val="24"/>
          <w:szCs w:val="24"/>
          <w:highlight w:val="none"/>
          <w:u w:val="single"/>
        </w:rPr>
        <w:t xml:space="preserve">  </w:t>
      </w:r>
      <w:r>
        <w:rPr>
          <w:rFonts w:hint="eastAsia" w:cs="宋体"/>
          <w:color w:val="auto"/>
          <w:sz w:val="24"/>
          <w:szCs w:val="24"/>
          <w:highlight w:val="none"/>
        </w:rPr>
        <w:t>。</w:t>
      </w:r>
      <w:bookmarkEnd w:id="265"/>
      <w:bookmarkEnd w:id="266"/>
    </w:p>
    <w:p w14:paraId="6C4B65DC">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8.6 样品</w:t>
      </w:r>
    </w:p>
    <w:p w14:paraId="0371D669">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8.6.1 样品的报送与封存</w:t>
      </w:r>
    </w:p>
    <w:p w14:paraId="42B3FEC4">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需要</w:t>
      </w:r>
      <w:r>
        <w:rPr>
          <w:rFonts w:hint="eastAsia" w:cs="宋体"/>
          <w:color w:val="auto"/>
          <w:sz w:val="24"/>
          <w:szCs w:val="24"/>
          <w:highlight w:val="none"/>
          <w:lang w:eastAsia="zh-CN"/>
        </w:rPr>
        <w:t>乙方</w:t>
      </w:r>
      <w:r>
        <w:rPr>
          <w:rFonts w:hint="eastAsia" w:cs="宋体"/>
          <w:color w:val="auto"/>
          <w:sz w:val="24"/>
          <w:szCs w:val="24"/>
          <w:highlight w:val="none"/>
        </w:rPr>
        <w:t>报送样品的材料或工程设备，样品的种类、名称、规格、数量要求：</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24C8FA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8.8 施工设备和临时设施</w:t>
      </w:r>
    </w:p>
    <w:p w14:paraId="4423B49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8.8.1 </w:t>
      </w:r>
      <w:r>
        <w:rPr>
          <w:rFonts w:hint="eastAsia" w:cs="宋体"/>
          <w:color w:val="auto"/>
          <w:sz w:val="24"/>
          <w:szCs w:val="24"/>
          <w:highlight w:val="none"/>
          <w:lang w:eastAsia="zh-CN"/>
        </w:rPr>
        <w:t>乙方</w:t>
      </w:r>
      <w:r>
        <w:rPr>
          <w:rFonts w:hint="eastAsia" w:cs="宋体"/>
          <w:color w:val="auto"/>
          <w:sz w:val="24"/>
          <w:szCs w:val="24"/>
          <w:highlight w:val="none"/>
        </w:rPr>
        <w:t>提供的施工设备和临时设施</w:t>
      </w:r>
    </w:p>
    <w:p w14:paraId="50BB4399">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关于修建临时设施费用承担的约定：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 xml:space="preserve">承担 </w:t>
      </w:r>
      <w:r>
        <w:rPr>
          <w:rFonts w:hint="eastAsia" w:cs="宋体"/>
          <w:color w:val="auto"/>
          <w:sz w:val="24"/>
          <w:szCs w:val="24"/>
          <w:highlight w:val="none"/>
        </w:rPr>
        <w:t>。</w:t>
      </w:r>
    </w:p>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14:paraId="38EFE49E">
      <w:pPr>
        <w:snapToGrid w:val="0"/>
        <w:spacing w:before="312" w:beforeLines="100" w:after="312" w:afterLines="100" w:line="360" w:lineRule="auto"/>
        <w:outlineLvl w:val="2"/>
        <w:rPr>
          <w:rFonts w:cs="宋体"/>
          <w:color w:val="auto"/>
          <w:sz w:val="24"/>
          <w:szCs w:val="24"/>
          <w:highlight w:val="none"/>
        </w:rPr>
      </w:pPr>
      <w:bookmarkStart w:id="283" w:name="_Toc351203641"/>
      <w:r>
        <w:rPr>
          <w:rFonts w:hint="eastAsia" w:cs="宋体"/>
          <w:color w:val="auto"/>
          <w:sz w:val="24"/>
          <w:szCs w:val="24"/>
          <w:highlight w:val="none"/>
        </w:rPr>
        <w:t>9</w:t>
      </w:r>
      <w:bookmarkEnd w:id="262"/>
      <w:bookmarkEnd w:id="263"/>
      <w:bookmarkEnd w:id="264"/>
      <w:bookmarkStart w:id="284" w:name="_Toc304295559"/>
      <w:bookmarkStart w:id="285" w:name="_Toc297123533"/>
      <w:bookmarkStart w:id="286" w:name="_Toc312678021"/>
      <w:bookmarkStart w:id="287" w:name="_Toc297216192"/>
      <w:bookmarkStart w:id="288" w:name="_Toc300934982"/>
      <w:bookmarkStart w:id="289" w:name="_Toc312677495"/>
      <w:bookmarkStart w:id="290" w:name="_Toc303539139"/>
      <w:bookmarkStart w:id="291" w:name="_Toc296346674"/>
      <w:bookmarkStart w:id="292" w:name="_Toc292559378"/>
      <w:bookmarkStart w:id="293" w:name="_Toc296891001"/>
      <w:bookmarkStart w:id="294" w:name="_Toc296891213"/>
      <w:bookmarkStart w:id="295" w:name="_Toc292559883"/>
      <w:bookmarkStart w:id="296" w:name="_Toc296347172"/>
      <w:bookmarkStart w:id="297" w:name="_Toc296944512"/>
      <w:bookmarkStart w:id="298" w:name="_Toc297120473"/>
      <w:bookmarkStart w:id="299" w:name="_Toc267251428"/>
      <w:bookmarkStart w:id="300" w:name="_Toc297048359"/>
      <w:bookmarkStart w:id="301" w:name="_Toc296503173"/>
      <w:bookmarkStart w:id="302" w:name="_Toc267251427"/>
      <w:r>
        <w:rPr>
          <w:rFonts w:hint="eastAsia" w:cs="宋体"/>
          <w:color w:val="auto"/>
          <w:sz w:val="24"/>
          <w:szCs w:val="24"/>
          <w:highlight w:val="none"/>
        </w:rPr>
        <w:t>. 试验与检验</w:t>
      </w:r>
      <w:bookmarkEnd w:id="283"/>
    </w:p>
    <w:bookmarkEnd w:id="284"/>
    <w:bookmarkEnd w:id="285"/>
    <w:bookmarkEnd w:id="286"/>
    <w:bookmarkEnd w:id="287"/>
    <w:bookmarkEnd w:id="288"/>
    <w:bookmarkEnd w:id="289"/>
    <w:bookmarkEnd w:id="290"/>
    <w:p w14:paraId="5506B794">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9</w:t>
      </w:r>
      <w:bookmarkStart w:id="303" w:name="_Toc297216193"/>
      <w:bookmarkStart w:id="304" w:name="_Toc300934983"/>
      <w:bookmarkStart w:id="305" w:name="_Toc312677496"/>
      <w:bookmarkStart w:id="306" w:name="_Toc297123534"/>
      <w:bookmarkStart w:id="307" w:name="_Toc303539140"/>
      <w:bookmarkStart w:id="308" w:name="_Toc304295560"/>
      <w:bookmarkStart w:id="309" w:name="_Toc312678022"/>
      <w:r>
        <w:rPr>
          <w:rFonts w:hint="eastAsia" w:cs="宋体"/>
          <w:bCs/>
          <w:color w:val="auto"/>
          <w:sz w:val="24"/>
          <w:szCs w:val="24"/>
          <w:highlight w:val="none"/>
        </w:rPr>
        <w:t>.1 试验设备与试验人员</w:t>
      </w:r>
    </w:p>
    <w:bookmarkEnd w:id="303"/>
    <w:bookmarkEnd w:id="304"/>
    <w:bookmarkEnd w:id="305"/>
    <w:bookmarkEnd w:id="306"/>
    <w:bookmarkEnd w:id="307"/>
    <w:bookmarkEnd w:id="308"/>
    <w:bookmarkEnd w:id="309"/>
    <w:p w14:paraId="2612F7F9">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9</w:t>
      </w:r>
      <w:bookmarkStart w:id="310" w:name="_Toc312677497"/>
      <w:bookmarkStart w:id="311" w:name="_Toc303539141"/>
      <w:bookmarkStart w:id="312" w:name="_Toc297123535"/>
      <w:bookmarkStart w:id="313" w:name="_Toc297216194"/>
      <w:bookmarkStart w:id="314" w:name="_Toc304295561"/>
      <w:bookmarkStart w:id="315" w:name="_Toc312678023"/>
      <w:bookmarkStart w:id="316" w:name="_Toc300934984"/>
      <w:bookmarkStart w:id="317" w:name="_Toc318581174"/>
      <w:r>
        <w:rPr>
          <w:rFonts w:hint="eastAsia" w:cs="宋体"/>
          <w:color w:val="auto"/>
          <w:sz w:val="24"/>
          <w:szCs w:val="24"/>
          <w:highlight w:val="none"/>
        </w:rPr>
        <w:t>.1.2 试验设备</w:t>
      </w:r>
    </w:p>
    <w:p w14:paraId="28AB0DED">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施工现场需要配置的试验场所</w:t>
      </w:r>
      <w:bookmarkEnd w:id="310"/>
      <w:bookmarkEnd w:id="311"/>
      <w:bookmarkEnd w:id="312"/>
      <w:bookmarkEnd w:id="313"/>
      <w:bookmarkEnd w:id="314"/>
      <w:bookmarkEnd w:id="315"/>
      <w:bookmarkEnd w:id="316"/>
      <w:bookmarkStart w:id="318" w:name="_Toc303539142"/>
      <w:bookmarkStart w:id="319" w:name="_Toc304295562"/>
      <w:bookmarkStart w:id="320" w:name="_Toc300934985"/>
      <w:bookmarkStart w:id="321" w:name="_Toc312678024"/>
      <w:bookmarkStart w:id="322" w:name="_Toc297216195"/>
      <w:bookmarkStart w:id="323" w:name="_Toc297123536"/>
      <w:bookmarkStart w:id="324" w:name="_Toc312677498"/>
      <w:r>
        <w:rPr>
          <w:rFonts w:hint="eastAsia" w:cs="宋体"/>
          <w:color w:val="auto"/>
          <w:sz w:val="24"/>
          <w:szCs w:val="24"/>
          <w:highlight w:val="none"/>
        </w:rPr>
        <w:t xml:space="preserve">：  </w:t>
      </w:r>
      <w:r>
        <w:rPr>
          <w:rFonts w:hint="eastAsia" w:cs="宋体"/>
          <w:color w:val="auto"/>
          <w:sz w:val="24"/>
          <w:szCs w:val="24"/>
          <w:highlight w:val="none"/>
          <w:u w:val="single"/>
        </w:rPr>
        <w:t xml:space="preserve">                                 </w:t>
      </w:r>
      <w:r>
        <w:rPr>
          <w:rFonts w:hint="eastAsia" w:cs="宋体"/>
          <w:color w:val="auto"/>
          <w:sz w:val="24"/>
          <w:szCs w:val="24"/>
          <w:highlight w:val="none"/>
        </w:rPr>
        <w:t>。</w:t>
      </w:r>
    </w:p>
    <w:p w14:paraId="09805FB7">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施工现场需要配备的试验设备：</w:t>
      </w:r>
      <w:r>
        <w:rPr>
          <w:rFonts w:hint="eastAsia" w:cs="宋体"/>
          <w:color w:val="auto"/>
          <w:sz w:val="24"/>
          <w:szCs w:val="24"/>
          <w:highlight w:val="none"/>
          <w:u w:val="single"/>
        </w:rPr>
        <w:t xml:space="preserve">                                   </w:t>
      </w:r>
      <w:r>
        <w:rPr>
          <w:rFonts w:hint="eastAsia" w:cs="宋体"/>
          <w:color w:val="auto"/>
          <w:sz w:val="24"/>
          <w:szCs w:val="24"/>
          <w:highlight w:val="none"/>
        </w:rPr>
        <w:t>。</w:t>
      </w:r>
    </w:p>
    <w:p w14:paraId="1C095413">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施工现场需要具备的其他试验条件：</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C565077">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9.4 现场工艺试验 </w:t>
      </w:r>
    </w:p>
    <w:p w14:paraId="2D92A201">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现场工艺试验的有关约定：</w:t>
      </w:r>
      <w:r>
        <w:rPr>
          <w:rFonts w:hint="eastAsia" w:cs="宋体"/>
          <w:color w:val="auto"/>
          <w:sz w:val="24"/>
          <w:szCs w:val="24"/>
          <w:highlight w:val="none"/>
          <w:u w:val="single"/>
        </w:rPr>
        <w:t xml:space="preserve">                                       </w:t>
      </w:r>
      <w:r>
        <w:rPr>
          <w:rFonts w:hint="eastAsia" w:cs="宋体"/>
          <w:color w:val="auto"/>
          <w:sz w:val="24"/>
          <w:szCs w:val="24"/>
          <w:highlight w:val="none"/>
        </w:rPr>
        <w:t>。</w:t>
      </w:r>
    </w:p>
    <w:bookmarkEnd w:id="317"/>
    <w:bookmarkEnd w:id="318"/>
    <w:bookmarkEnd w:id="319"/>
    <w:bookmarkEnd w:id="320"/>
    <w:bookmarkEnd w:id="321"/>
    <w:bookmarkEnd w:id="322"/>
    <w:bookmarkEnd w:id="323"/>
    <w:bookmarkEnd w:id="324"/>
    <w:p w14:paraId="4A174AA5">
      <w:pPr>
        <w:snapToGrid w:val="0"/>
        <w:spacing w:before="312" w:beforeLines="100" w:after="312" w:afterLines="100" w:line="360" w:lineRule="auto"/>
        <w:outlineLvl w:val="2"/>
        <w:rPr>
          <w:rFonts w:cs="宋体"/>
          <w:color w:val="auto"/>
          <w:sz w:val="24"/>
          <w:szCs w:val="24"/>
          <w:highlight w:val="none"/>
        </w:rPr>
      </w:pPr>
      <w:bookmarkStart w:id="325" w:name="_Toc351203642"/>
      <w:r>
        <w:rPr>
          <w:rFonts w:hint="eastAsia" w:cs="宋体"/>
          <w:color w:val="auto"/>
          <w:sz w:val="24"/>
          <w:szCs w:val="24"/>
          <w:highlight w:val="none"/>
        </w:rPr>
        <w:t>1</w:t>
      </w:r>
      <w:bookmarkEnd w:id="291"/>
      <w:bookmarkEnd w:id="292"/>
      <w:bookmarkEnd w:id="293"/>
      <w:bookmarkEnd w:id="294"/>
      <w:bookmarkEnd w:id="295"/>
      <w:bookmarkEnd w:id="296"/>
      <w:bookmarkEnd w:id="297"/>
      <w:bookmarkEnd w:id="298"/>
      <w:bookmarkEnd w:id="299"/>
      <w:bookmarkEnd w:id="300"/>
      <w:bookmarkEnd w:id="301"/>
      <w:bookmarkEnd w:id="302"/>
      <w:bookmarkStart w:id="326" w:name="_Toc292559903"/>
      <w:bookmarkStart w:id="327" w:name="_Toc296347192"/>
      <w:bookmarkStart w:id="328" w:name="_Toc296346694"/>
      <w:bookmarkStart w:id="329" w:name="_Toc304295566"/>
      <w:bookmarkStart w:id="330" w:name="_Toc297123540"/>
      <w:bookmarkStart w:id="331" w:name="_Toc296503193"/>
      <w:bookmarkStart w:id="332" w:name="_Toc303539146"/>
      <w:bookmarkStart w:id="333" w:name="_Toc296891233"/>
      <w:bookmarkStart w:id="334" w:name="_Toc297216199"/>
      <w:bookmarkStart w:id="335" w:name="_Toc297120493"/>
      <w:bookmarkStart w:id="336" w:name="_Toc292559398"/>
      <w:bookmarkStart w:id="337" w:name="_Toc296891021"/>
      <w:bookmarkStart w:id="338" w:name="_Toc297048379"/>
      <w:bookmarkStart w:id="339" w:name="_Toc300934989"/>
      <w:bookmarkStart w:id="340" w:name="_Toc296944532"/>
      <w:bookmarkStart w:id="341" w:name="_Toc312678025"/>
      <w:bookmarkStart w:id="342" w:name="_Toc312677499"/>
      <w:bookmarkStart w:id="343" w:name="_Toc267251439"/>
      <w:bookmarkStart w:id="344" w:name="_Toc267251433"/>
      <w:bookmarkStart w:id="345" w:name="_Toc267251437"/>
      <w:bookmarkStart w:id="346" w:name="_Toc267251440"/>
      <w:bookmarkStart w:id="347" w:name="_Toc267251435"/>
      <w:bookmarkStart w:id="348" w:name="_Toc267251441"/>
      <w:bookmarkStart w:id="349" w:name="_Toc267251442"/>
      <w:r>
        <w:rPr>
          <w:rFonts w:hint="eastAsia" w:cs="宋体"/>
          <w:color w:val="auto"/>
          <w:sz w:val="24"/>
          <w:szCs w:val="24"/>
          <w:highlight w:val="none"/>
        </w:rPr>
        <w:t>0. 变更</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bookmarkEnd w:id="341"/>
    <w:bookmarkEnd w:id="342"/>
    <w:p w14:paraId="2AB4A769">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w:t>
      </w:r>
      <w:bookmarkStart w:id="350" w:name="_Toc296346695"/>
      <w:bookmarkStart w:id="351" w:name="_Toc292559399"/>
      <w:bookmarkStart w:id="352" w:name="_Toc304295567"/>
      <w:bookmarkStart w:id="353" w:name="_Toc296347193"/>
      <w:bookmarkStart w:id="354" w:name="_Toc300934990"/>
      <w:bookmarkStart w:id="355" w:name="_Toc297120494"/>
      <w:bookmarkStart w:id="356" w:name="_Toc312678026"/>
      <w:bookmarkStart w:id="357" w:name="_Toc296503194"/>
      <w:bookmarkStart w:id="358" w:name="_Toc292559904"/>
      <w:bookmarkStart w:id="359" w:name="_Toc297216200"/>
      <w:bookmarkStart w:id="360" w:name="_Toc296891022"/>
      <w:bookmarkStart w:id="361" w:name="_Toc297048380"/>
      <w:bookmarkStart w:id="362" w:name="_Toc296891234"/>
      <w:bookmarkStart w:id="363" w:name="_Toc296944533"/>
      <w:bookmarkStart w:id="364" w:name="_Toc303539147"/>
      <w:bookmarkStart w:id="365" w:name="_Toc312677500"/>
      <w:bookmarkStart w:id="366" w:name="_Toc297123541"/>
      <w:r>
        <w:rPr>
          <w:rFonts w:hint="eastAsia" w:cs="宋体"/>
          <w:bCs/>
          <w:color w:val="auto"/>
          <w:sz w:val="24"/>
          <w:szCs w:val="24"/>
          <w:highlight w:val="none"/>
        </w:rPr>
        <w:t>0.1 变更的范围</w:t>
      </w:r>
    </w:p>
    <w:p w14:paraId="1382A4FA">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关于变更的范围的约定：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200F96E">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10.4 变更估价</w:t>
      </w:r>
    </w:p>
    <w:p w14:paraId="40E47DA9">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10.4.1 变更估价原则</w:t>
      </w:r>
    </w:p>
    <w:p w14:paraId="04BEF21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关于变更估价的约定：</w:t>
      </w:r>
    </w:p>
    <w:p w14:paraId="06C6E210">
      <w:pPr>
        <w:adjustRightInd w:val="0"/>
        <w:snapToGrid w:val="0"/>
        <w:spacing w:line="360" w:lineRule="auto"/>
        <w:ind w:firstLine="482" w:firstLineChars="200"/>
        <w:rPr>
          <w:rFonts w:cs="宋体"/>
          <w:b/>
          <w:color w:val="auto"/>
          <w:sz w:val="24"/>
          <w:szCs w:val="24"/>
          <w:highlight w:val="none"/>
        </w:rPr>
      </w:pPr>
      <w:r>
        <w:rPr>
          <w:rFonts w:hint="eastAsia" w:cs="宋体"/>
          <w:b/>
          <w:color w:val="auto"/>
          <w:sz w:val="24"/>
          <w:szCs w:val="24"/>
          <w:highlight w:val="none"/>
        </w:rPr>
        <w:t>10.4.1.1 因工程变更引起已标价工程量清单项目或其工程数量发生变化时，按下列规定调整：</w:t>
      </w:r>
    </w:p>
    <w:p w14:paraId="4E84CEB8">
      <w:pPr>
        <w:adjustRightInd w:val="0"/>
        <w:snapToGrid w:val="0"/>
        <w:spacing w:line="360" w:lineRule="auto"/>
        <w:ind w:firstLine="482" w:firstLineChars="200"/>
        <w:rPr>
          <w:rFonts w:hint="eastAsia" w:cs="宋体"/>
          <w:b/>
          <w:color w:val="auto"/>
          <w:sz w:val="24"/>
          <w:szCs w:val="24"/>
          <w:highlight w:val="none"/>
          <w:u w:val="single"/>
          <w:lang w:eastAsia="zh-CN"/>
        </w:rPr>
      </w:pPr>
      <w:r>
        <w:rPr>
          <w:rFonts w:hint="eastAsia" w:cs="宋体"/>
          <w:b/>
          <w:color w:val="auto"/>
          <w:sz w:val="24"/>
          <w:szCs w:val="24"/>
          <w:highlight w:val="none"/>
          <w:u w:val="single"/>
        </w:rPr>
        <w:t>（</w:t>
      </w:r>
      <w:r>
        <w:rPr>
          <w:rFonts w:hint="eastAsia" w:cs="宋体"/>
          <w:b/>
          <w:color w:val="auto"/>
          <w:sz w:val="24"/>
          <w:szCs w:val="24"/>
          <w:highlight w:val="none"/>
          <w:u w:val="single"/>
          <w:lang w:val="en-US" w:eastAsia="zh-CN"/>
        </w:rPr>
        <w:t>1</w:t>
      </w:r>
      <w:r>
        <w:rPr>
          <w:rFonts w:hint="eastAsia" w:cs="宋体"/>
          <w:b/>
          <w:color w:val="auto"/>
          <w:sz w:val="24"/>
          <w:szCs w:val="24"/>
          <w:highlight w:val="none"/>
          <w:u w:val="single"/>
        </w:rPr>
        <w:t>）已标价工程量清单中有适用于变更工程项目的，采用该项目的单价</w:t>
      </w:r>
      <w:r>
        <w:rPr>
          <w:rFonts w:hint="eastAsia" w:cs="宋体"/>
          <w:b/>
          <w:color w:val="auto"/>
          <w:sz w:val="24"/>
          <w:szCs w:val="24"/>
          <w:highlight w:val="none"/>
          <w:u w:val="single"/>
          <w:lang w:eastAsia="zh-CN"/>
        </w:rPr>
        <w:t>。</w:t>
      </w:r>
    </w:p>
    <w:p w14:paraId="33CA057E">
      <w:pPr>
        <w:adjustRightInd w:val="0"/>
        <w:snapToGrid w:val="0"/>
        <w:spacing w:line="360" w:lineRule="auto"/>
        <w:ind w:firstLine="482" w:firstLineChars="200"/>
        <w:rPr>
          <w:rFonts w:hint="eastAsia" w:cs="宋体"/>
          <w:b/>
          <w:color w:val="auto"/>
          <w:sz w:val="24"/>
          <w:szCs w:val="24"/>
          <w:highlight w:val="none"/>
          <w:u w:val="single"/>
        </w:rPr>
      </w:pPr>
      <w:r>
        <w:rPr>
          <w:rFonts w:hint="eastAsia" w:cs="宋体"/>
          <w:b/>
          <w:color w:val="auto"/>
          <w:sz w:val="24"/>
          <w:szCs w:val="24"/>
          <w:highlight w:val="none"/>
          <w:u w:val="single"/>
        </w:rPr>
        <w:t>（2）已标价工程量清单中没有适用但有类似于变更工程项目的，可在合理范围内参照类似项目的单价。</w:t>
      </w:r>
    </w:p>
    <w:p w14:paraId="6072701A">
      <w:pPr>
        <w:adjustRightInd w:val="0"/>
        <w:snapToGrid w:val="0"/>
        <w:spacing w:line="360" w:lineRule="auto"/>
        <w:ind w:firstLine="482" w:firstLineChars="200"/>
        <w:rPr>
          <w:rFonts w:cs="宋体"/>
          <w:b/>
          <w:color w:val="auto"/>
          <w:sz w:val="24"/>
          <w:szCs w:val="24"/>
          <w:highlight w:val="none"/>
          <w:u w:val="single"/>
        </w:rPr>
      </w:pPr>
      <w:r>
        <w:rPr>
          <w:rFonts w:hint="eastAsia" w:cs="宋体"/>
          <w:b/>
          <w:color w:val="auto"/>
          <w:sz w:val="24"/>
          <w:szCs w:val="24"/>
          <w:highlight w:val="none"/>
          <w:u w:val="single"/>
        </w:rPr>
        <w:t>（3）已标价工程量清单中没有适用也没有类似于变更工程项目的，由</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根据变更工程资料、招标时的计量规则和计价办法、当期的工程造价管理机构发布的信息价格和</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报价浮动率提出变更工程项目的单价，报</w:t>
      </w:r>
      <w:r>
        <w:rPr>
          <w:rFonts w:hint="eastAsia" w:cs="宋体"/>
          <w:b/>
          <w:color w:val="auto"/>
          <w:sz w:val="24"/>
          <w:szCs w:val="24"/>
          <w:highlight w:val="none"/>
          <w:u w:val="single"/>
          <w:lang w:eastAsia="zh-CN"/>
        </w:rPr>
        <w:t>甲方</w:t>
      </w:r>
      <w:r>
        <w:rPr>
          <w:rFonts w:hint="eastAsia" w:cs="宋体"/>
          <w:b/>
          <w:color w:val="auto"/>
          <w:sz w:val="24"/>
          <w:szCs w:val="24"/>
          <w:highlight w:val="none"/>
          <w:u w:val="single"/>
        </w:rPr>
        <w:t xml:space="preserve">确认后调整； </w:t>
      </w:r>
    </w:p>
    <w:p w14:paraId="0C21F998">
      <w:pPr>
        <w:adjustRightInd w:val="0"/>
        <w:snapToGrid w:val="0"/>
        <w:spacing w:line="360" w:lineRule="auto"/>
        <w:ind w:firstLine="482" w:firstLineChars="200"/>
        <w:rPr>
          <w:rFonts w:cs="宋体"/>
          <w:b/>
          <w:color w:val="auto"/>
          <w:sz w:val="24"/>
          <w:szCs w:val="24"/>
          <w:highlight w:val="none"/>
          <w:u w:val="single"/>
        </w:rPr>
      </w:pPr>
      <w:r>
        <w:rPr>
          <w:rFonts w:hint="eastAsia" w:cs="宋体"/>
          <w:b/>
          <w:color w:val="auto"/>
          <w:sz w:val="24"/>
          <w:szCs w:val="24"/>
          <w:highlight w:val="none"/>
          <w:u w:val="single"/>
        </w:rPr>
        <w:t>（4）已标价工程量清单中没有适用也没有类似于变更工程项目的，且工程造价管理机构发布的信息价缺价的，由</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根据变更工程资料、招标时的计量规则和计价办法和通过市场调查等取得有合法依据的市场价格和</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报价浮动率提出变更工程项目的单价，报</w:t>
      </w:r>
      <w:r>
        <w:rPr>
          <w:rFonts w:hint="eastAsia" w:cs="宋体"/>
          <w:b/>
          <w:color w:val="auto"/>
          <w:sz w:val="24"/>
          <w:szCs w:val="24"/>
          <w:highlight w:val="none"/>
          <w:u w:val="single"/>
          <w:lang w:eastAsia="zh-CN"/>
        </w:rPr>
        <w:t>甲方</w:t>
      </w:r>
      <w:r>
        <w:rPr>
          <w:rFonts w:hint="eastAsia" w:cs="宋体"/>
          <w:b/>
          <w:color w:val="auto"/>
          <w:sz w:val="24"/>
          <w:szCs w:val="24"/>
          <w:highlight w:val="none"/>
          <w:u w:val="single"/>
        </w:rPr>
        <w:t xml:space="preserve">确认后调整。 </w:t>
      </w:r>
    </w:p>
    <w:p w14:paraId="6840F83D">
      <w:pPr>
        <w:adjustRightInd w:val="0"/>
        <w:snapToGrid w:val="0"/>
        <w:spacing w:before="93" w:beforeLines="30" w:line="360" w:lineRule="auto"/>
        <w:ind w:firstLine="482" w:firstLineChars="200"/>
        <w:rPr>
          <w:rFonts w:cs="宋体"/>
          <w:b/>
          <w:color w:val="auto"/>
          <w:sz w:val="24"/>
          <w:szCs w:val="24"/>
          <w:highlight w:val="none"/>
        </w:rPr>
      </w:pPr>
      <w:r>
        <w:rPr>
          <w:rFonts w:hint="eastAsia" w:cs="宋体"/>
          <w:b/>
          <w:color w:val="auto"/>
          <w:sz w:val="24"/>
          <w:szCs w:val="24"/>
          <w:highlight w:val="none"/>
        </w:rPr>
        <w:t>10.4.1.2 工程变更引起施工方案改变并使措施项目发生变化时，</w:t>
      </w:r>
      <w:r>
        <w:rPr>
          <w:rFonts w:hint="eastAsia" w:cs="宋体"/>
          <w:b/>
          <w:color w:val="auto"/>
          <w:sz w:val="24"/>
          <w:szCs w:val="24"/>
          <w:highlight w:val="none"/>
          <w:lang w:eastAsia="zh-CN"/>
        </w:rPr>
        <w:t>乙方</w:t>
      </w:r>
      <w:r>
        <w:rPr>
          <w:rFonts w:hint="eastAsia" w:cs="宋体"/>
          <w:b/>
          <w:color w:val="auto"/>
          <w:sz w:val="24"/>
          <w:szCs w:val="24"/>
          <w:highlight w:val="none"/>
        </w:rPr>
        <w:t>提出调整措施项目费的，应事前将拟实施的方案提交</w:t>
      </w:r>
      <w:r>
        <w:rPr>
          <w:rFonts w:hint="eastAsia" w:cs="宋体"/>
          <w:b/>
          <w:color w:val="auto"/>
          <w:sz w:val="24"/>
          <w:szCs w:val="24"/>
          <w:highlight w:val="none"/>
          <w:lang w:eastAsia="zh-CN"/>
        </w:rPr>
        <w:t>甲方</w:t>
      </w:r>
      <w:r>
        <w:rPr>
          <w:rFonts w:hint="eastAsia" w:cs="宋体"/>
          <w:b/>
          <w:color w:val="auto"/>
          <w:sz w:val="24"/>
          <w:szCs w:val="24"/>
          <w:highlight w:val="none"/>
        </w:rPr>
        <w:t>确认，并应详细说明与原方案措施项目相比的变化情况。拟实施的方案经发承包双方确认后执行，并应按照下列规定调整措施项目费：</w:t>
      </w:r>
    </w:p>
    <w:p w14:paraId="0BC889BF">
      <w:pPr>
        <w:adjustRightInd w:val="0"/>
        <w:snapToGrid w:val="0"/>
        <w:spacing w:before="93" w:beforeLines="30" w:line="360" w:lineRule="auto"/>
        <w:ind w:firstLine="482" w:firstLineChars="200"/>
        <w:rPr>
          <w:rFonts w:cs="宋体"/>
          <w:b/>
          <w:color w:val="auto"/>
          <w:sz w:val="24"/>
          <w:szCs w:val="24"/>
          <w:highlight w:val="none"/>
          <w:u w:val="single"/>
        </w:rPr>
      </w:pPr>
      <w:r>
        <w:rPr>
          <w:rFonts w:hint="eastAsia" w:cs="宋体"/>
          <w:b/>
          <w:color w:val="auto"/>
          <w:sz w:val="24"/>
          <w:szCs w:val="24"/>
          <w:highlight w:val="none"/>
          <w:u w:val="single"/>
        </w:rPr>
        <w:t>（1）按照费率计算的措施费，应按照实际发生变化的措施项目依据原</w:t>
      </w:r>
      <w:r>
        <w:rPr>
          <w:rFonts w:hint="eastAsia" w:cs="宋体"/>
          <w:b/>
          <w:color w:val="auto"/>
          <w:sz w:val="24"/>
          <w:szCs w:val="24"/>
          <w:highlight w:val="none"/>
          <w:u w:val="single"/>
          <w:lang w:val="en-US" w:eastAsia="zh-CN"/>
        </w:rPr>
        <w:t>采购</w:t>
      </w:r>
      <w:r>
        <w:rPr>
          <w:rFonts w:hint="eastAsia" w:cs="宋体"/>
          <w:b/>
          <w:color w:val="auto"/>
          <w:sz w:val="24"/>
          <w:szCs w:val="24"/>
          <w:highlight w:val="none"/>
          <w:u w:val="single"/>
        </w:rPr>
        <w:t>文件规定的费率计算；</w:t>
      </w:r>
    </w:p>
    <w:p w14:paraId="08E22CBE">
      <w:pPr>
        <w:adjustRightInd w:val="0"/>
        <w:snapToGrid w:val="0"/>
        <w:spacing w:before="93" w:beforeLines="30" w:line="360" w:lineRule="auto"/>
        <w:ind w:firstLine="482" w:firstLineChars="200"/>
        <w:jc w:val="left"/>
        <w:rPr>
          <w:rFonts w:cs="宋体"/>
          <w:b/>
          <w:color w:val="auto"/>
          <w:sz w:val="24"/>
          <w:szCs w:val="24"/>
          <w:highlight w:val="none"/>
          <w:u w:val="single"/>
        </w:rPr>
      </w:pPr>
      <w:r>
        <w:rPr>
          <w:rFonts w:hint="eastAsia" w:cs="宋体"/>
          <w:b/>
          <w:color w:val="auto"/>
          <w:sz w:val="24"/>
          <w:szCs w:val="24"/>
          <w:highlight w:val="none"/>
          <w:u w:val="single"/>
        </w:rPr>
        <w:t>（2）按照单价计算的措施项目费，应按照实际发生变化的措施项目，按本合同专业条款第10.4.1.1目计算；</w:t>
      </w:r>
    </w:p>
    <w:p w14:paraId="4A669EEE">
      <w:pPr>
        <w:adjustRightInd w:val="0"/>
        <w:snapToGrid w:val="0"/>
        <w:spacing w:before="93" w:beforeLines="30" w:line="360" w:lineRule="auto"/>
        <w:ind w:firstLine="482" w:firstLineChars="200"/>
        <w:rPr>
          <w:rFonts w:cs="宋体"/>
          <w:b/>
          <w:color w:val="auto"/>
          <w:sz w:val="24"/>
          <w:szCs w:val="24"/>
          <w:highlight w:val="none"/>
          <w:u w:val="single"/>
        </w:rPr>
      </w:pPr>
      <w:r>
        <w:rPr>
          <w:rFonts w:hint="eastAsia" w:cs="宋体"/>
          <w:b/>
          <w:color w:val="auto"/>
          <w:sz w:val="24"/>
          <w:szCs w:val="24"/>
          <w:highlight w:val="none"/>
          <w:u w:val="single"/>
        </w:rPr>
        <w:t>（3）按总价（或系数）计算的措施项目费，应按照实际发生变化的措施项目和</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报价浮动率同比下浮标准，提出新的措施项目费，作为结算的依据；</w:t>
      </w:r>
    </w:p>
    <w:p w14:paraId="578C79D1">
      <w:pPr>
        <w:adjustRightInd w:val="0"/>
        <w:snapToGrid w:val="0"/>
        <w:spacing w:before="93" w:beforeLines="30" w:line="360" w:lineRule="auto"/>
        <w:ind w:firstLine="482" w:firstLineChars="200"/>
        <w:rPr>
          <w:rFonts w:cs="宋体"/>
          <w:b/>
          <w:strike/>
          <w:color w:val="auto"/>
          <w:sz w:val="24"/>
          <w:szCs w:val="24"/>
          <w:highlight w:val="none"/>
          <w:u w:val="single"/>
        </w:rPr>
      </w:pPr>
      <w:r>
        <w:rPr>
          <w:rFonts w:hint="eastAsia" w:cs="宋体"/>
          <w:b/>
          <w:color w:val="auto"/>
          <w:sz w:val="24"/>
          <w:szCs w:val="24"/>
          <w:highlight w:val="none"/>
          <w:u w:val="single"/>
        </w:rPr>
        <w:t>（4）如果</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未事前将拟实施的方案提交给</w:t>
      </w:r>
      <w:r>
        <w:rPr>
          <w:rFonts w:hint="eastAsia" w:cs="宋体"/>
          <w:b/>
          <w:color w:val="auto"/>
          <w:sz w:val="24"/>
          <w:szCs w:val="24"/>
          <w:highlight w:val="none"/>
          <w:u w:val="single"/>
          <w:lang w:eastAsia="zh-CN"/>
        </w:rPr>
        <w:t>甲方</w:t>
      </w:r>
      <w:r>
        <w:rPr>
          <w:rFonts w:hint="eastAsia" w:cs="宋体"/>
          <w:b/>
          <w:color w:val="auto"/>
          <w:sz w:val="24"/>
          <w:szCs w:val="24"/>
          <w:highlight w:val="none"/>
          <w:u w:val="single"/>
        </w:rPr>
        <w:t>确认，则应视为工程变更不引起措施项目费的调整或</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放弃调整措施项目费的权利。</w:t>
      </w:r>
    </w:p>
    <w:p w14:paraId="4579C2DE">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Start w:id="367" w:name="_Toc292559907"/>
      <w:bookmarkStart w:id="368" w:name="_Toc297048383"/>
      <w:bookmarkStart w:id="369" w:name="_Toc296346698"/>
      <w:bookmarkStart w:id="370" w:name="_Toc300934993"/>
      <w:bookmarkStart w:id="371" w:name="_Toc296503197"/>
      <w:bookmarkStart w:id="372" w:name="_Toc292559402"/>
      <w:bookmarkStart w:id="373" w:name="_Toc297123544"/>
      <w:bookmarkStart w:id="374" w:name="_Toc296944536"/>
      <w:bookmarkStart w:id="375" w:name="_Toc297216203"/>
      <w:bookmarkStart w:id="376" w:name="_Toc296891237"/>
      <w:bookmarkStart w:id="377" w:name="_Toc296891025"/>
      <w:bookmarkStart w:id="378" w:name="_Toc297120497"/>
      <w:bookmarkStart w:id="379" w:name="_Toc303539150"/>
      <w:bookmarkStart w:id="380" w:name="_Toc296347196"/>
      <w:bookmarkStart w:id="381" w:name="_Toc312677503"/>
      <w:bookmarkStart w:id="382" w:name="_Toc304295570"/>
      <w:bookmarkStart w:id="383" w:name="_Toc312678029"/>
      <w:r>
        <w:rPr>
          <w:rFonts w:hint="eastAsia" w:cs="宋体"/>
          <w:bCs/>
          <w:color w:val="auto"/>
          <w:sz w:val="24"/>
          <w:szCs w:val="24"/>
          <w:highlight w:val="none"/>
        </w:rPr>
        <w:t xml:space="preserve">0.5 </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Start w:id="384" w:name="_Toc296891243"/>
      <w:bookmarkStart w:id="385" w:name="_Toc297120503"/>
      <w:bookmarkStart w:id="386" w:name="_Toc296891031"/>
      <w:bookmarkStart w:id="387" w:name="_Toc296944542"/>
      <w:bookmarkStart w:id="388" w:name="_Toc297048389"/>
      <w:bookmarkStart w:id="389" w:name="_Toc303539151"/>
      <w:bookmarkStart w:id="390" w:name="_Toc296347202"/>
      <w:bookmarkStart w:id="391" w:name="_Toc297123545"/>
      <w:bookmarkStart w:id="392" w:name="_Toc296503203"/>
      <w:bookmarkStart w:id="393" w:name="_Toc296346704"/>
      <w:bookmarkStart w:id="394" w:name="_Toc297216204"/>
      <w:bookmarkStart w:id="395" w:name="_Toc300934994"/>
      <w:bookmarkStart w:id="396" w:name="_Toc292559408"/>
      <w:bookmarkStart w:id="397" w:name="_Toc292559913"/>
      <w:r>
        <w:rPr>
          <w:rFonts w:hint="eastAsia" w:cs="宋体"/>
          <w:bCs/>
          <w:color w:val="auto"/>
          <w:sz w:val="24"/>
          <w:szCs w:val="24"/>
          <w:highlight w:val="none"/>
          <w:lang w:eastAsia="zh-CN"/>
        </w:rPr>
        <w:t>乙方</w:t>
      </w:r>
      <w:r>
        <w:rPr>
          <w:rFonts w:hint="eastAsia" w:cs="宋体"/>
          <w:bCs/>
          <w:color w:val="auto"/>
          <w:sz w:val="24"/>
          <w:szCs w:val="24"/>
          <w:highlight w:val="none"/>
        </w:rPr>
        <w:t>的合理化建议</w:t>
      </w:r>
    </w:p>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14:paraId="3C13F0A6">
      <w:pPr>
        <w:adjustRightInd w:val="0"/>
        <w:snapToGrid w:val="0"/>
        <w:spacing w:line="360" w:lineRule="auto"/>
        <w:ind w:firstLine="480" w:firstLineChars="200"/>
        <w:rPr>
          <w:rFonts w:cs="宋体"/>
          <w:color w:val="auto"/>
          <w:sz w:val="24"/>
          <w:szCs w:val="24"/>
          <w:highlight w:val="none"/>
          <w:u w:val="single"/>
        </w:rPr>
      </w:pPr>
      <w:bookmarkStart w:id="398" w:name="_Toc304295571"/>
      <w:bookmarkStart w:id="399" w:name="_Toc296346705"/>
      <w:bookmarkStart w:id="400" w:name="_Toc296347203"/>
      <w:bookmarkStart w:id="401" w:name="_Toc300934995"/>
      <w:bookmarkStart w:id="402" w:name="_Toc296891244"/>
      <w:bookmarkStart w:id="403" w:name="_Toc296503204"/>
      <w:bookmarkStart w:id="404" w:name="_Toc312677504"/>
      <w:bookmarkStart w:id="405" w:name="_Toc292559409"/>
      <w:bookmarkStart w:id="406" w:name="_Toc297120504"/>
      <w:bookmarkStart w:id="407" w:name="_Toc296891032"/>
      <w:bookmarkStart w:id="408" w:name="_Toc292559914"/>
      <w:bookmarkStart w:id="409" w:name="_Toc297123546"/>
      <w:bookmarkStart w:id="410" w:name="_Toc318581175"/>
      <w:bookmarkStart w:id="411" w:name="_Toc312678030"/>
      <w:bookmarkStart w:id="412" w:name="_Toc297048390"/>
      <w:bookmarkStart w:id="413" w:name="_Toc303539152"/>
      <w:bookmarkStart w:id="414" w:name="_Toc296944543"/>
      <w:bookmarkStart w:id="415" w:name="_Toc297216205"/>
      <w:r>
        <w:rPr>
          <w:rFonts w:hint="eastAsia" w:cs="宋体"/>
          <w:color w:val="auto"/>
          <w:sz w:val="24"/>
          <w:szCs w:val="24"/>
          <w:highlight w:val="none"/>
          <w:lang w:eastAsia="zh-CN"/>
        </w:rPr>
        <w:t>乙方</w:t>
      </w:r>
      <w:r>
        <w:rPr>
          <w:rFonts w:hint="eastAsia" w:cs="宋体"/>
          <w:color w:val="auto"/>
          <w:sz w:val="24"/>
          <w:szCs w:val="24"/>
          <w:highlight w:val="none"/>
        </w:rPr>
        <w:t>提出的合理化建议降低了合同价格或者提高了工程经济效益的奖励的方法和金额为：</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14:paraId="64A57D19">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w:t>
      </w:r>
      <w:bookmarkStart w:id="416" w:name="_Toc312677507"/>
      <w:bookmarkStart w:id="417" w:name="_Toc296503199"/>
      <w:bookmarkStart w:id="418" w:name="_Toc304295574"/>
      <w:bookmarkStart w:id="419" w:name="_Toc292559404"/>
      <w:bookmarkStart w:id="420" w:name="_Toc297216207"/>
      <w:bookmarkStart w:id="421" w:name="_Toc312678033"/>
      <w:bookmarkStart w:id="422" w:name="_Toc297123548"/>
      <w:bookmarkStart w:id="423" w:name="_Toc297048385"/>
      <w:bookmarkStart w:id="424" w:name="_Toc297120499"/>
      <w:bookmarkStart w:id="425" w:name="_Toc300934997"/>
      <w:bookmarkStart w:id="426" w:name="_Toc296944538"/>
      <w:bookmarkStart w:id="427" w:name="_Toc292559909"/>
      <w:bookmarkStart w:id="428" w:name="_Toc303539154"/>
      <w:bookmarkStart w:id="429" w:name="_Toc296347198"/>
      <w:bookmarkStart w:id="430" w:name="_Toc296891027"/>
      <w:bookmarkStart w:id="431" w:name="_Toc296891239"/>
      <w:bookmarkStart w:id="432" w:name="_Toc296346700"/>
      <w:r>
        <w:rPr>
          <w:rFonts w:hint="eastAsia" w:cs="宋体"/>
          <w:bCs/>
          <w:color w:val="auto"/>
          <w:sz w:val="24"/>
          <w:szCs w:val="24"/>
          <w:highlight w:val="none"/>
        </w:rPr>
        <w:t>0.7 暂估价</w:t>
      </w:r>
    </w:p>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14:paraId="229E7CC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暂</w:t>
      </w:r>
      <w:bookmarkStart w:id="433" w:name="_Toc318581176"/>
      <w:bookmarkStart w:id="434" w:name="_Toc312678034"/>
      <w:bookmarkStart w:id="435" w:name="_Toc312677508"/>
      <w:r>
        <w:rPr>
          <w:rFonts w:hint="eastAsia" w:cs="宋体"/>
          <w:color w:val="auto"/>
          <w:sz w:val="24"/>
          <w:szCs w:val="24"/>
          <w:highlight w:val="none"/>
        </w:rPr>
        <w:t>估价材料和工程设备的明细见附件12：《暂估价一览表》。</w:t>
      </w:r>
    </w:p>
    <w:bookmarkEnd w:id="433"/>
    <w:bookmarkEnd w:id="434"/>
    <w:bookmarkEnd w:id="435"/>
    <w:p w14:paraId="0748376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w:t>
      </w:r>
      <w:bookmarkStart w:id="436" w:name="_Toc318581177"/>
      <w:bookmarkStart w:id="437" w:name="_Toc312678035"/>
      <w:bookmarkStart w:id="438" w:name="_Toc312677509"/>
      <w:r>
        <w:rPr>
          <w:rFonts w:hint="eastAsia" w:cs="宋体"/>
          <w:color w:val="auto"/>
          <w:sz w:val="24"/>
          <w:szCs w:val="24"/>
          <w:highlight w:val="none"/>
        </w:rPr>
        <w:t>0.7.1 依法必须招标的暂估价项目</w:t>
      </w:r>
    </w:p>
    <w:bookmarkEnd w:id="436"/>
    <w:bookmarkEnd w:id="437"/>
    <w:bookmarkEnd w:id="438"/>
    <w:p w14:paraId="58D5D8F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对于依法必须招标的暂估价项目的确认和批准采取第</w:t>
      </w:r>
      <w:r>
        <w:rPr>
          <w:rFonts w:hint="eastAsia" w:cs="宋体"/>
          <w:color w:val="auto"/>
          <w:sz w:val="24"/>
          <w:szCs w:val="24"/>
          <w:highlight w:val="none"/>
          <w:u w:val="single"/>
        </w:rPr>
        <w:t>2</w:t>
      </w:r>
      <w:r>
        <w:rPr>
          <w:rFonts w:hint="eastAsia" w:cs="宋体"/>
          <w:color w:val="auto"/>
          <w:sz w:val="24"/>
          <w:szCs w:val="24"/>
          <w:highlight w:val="none"/>
        </w:rPr>
        <w:t>种方式确定。</w:t>
      </w:r>
      <w:r>
        <w:rPr>
          <w:rFonts w:hint="eastAsia" w:cs="宋体"/>
          <w:b/>
          <w:color w:val="auto"/>
          <w:sz w:val="24"/>
          <w:szCs w:val="24"/>
          <w:highlight w:val="none"/>
          <w:u w:val="single"/>
        </w:rPr>
        <w:t>并应按相关规定进行二次</w:t>
      </w:r>
      <w:r>
        <w:rPr>
          <w:rFonts w:hint="eastAsia" w:cs="宋体"/>
          <w:b/>
          <w:color w:val="auto"/>
          <w:sz w:val="24"/>
          <w:szCs w:val="24"/>
          <w:highlight w:val="none"/>
          <w:u w:val="single"/>
          <w:lang w:val="en-US" w:eastAsia="zh-CN"/>
        </w:rPr>
        <w:t>采购</w:t>
      </w:r>
      <w:r>
        <w:rPr>
          <w:rFonts w:hint="eastAsia" w:cs="宋体"/>
          <w:color w:val="auto"/>
          <w:sz w:val="24"/>
          <w:szCs w:val="24"/>
          <w:highlight w:val="none"/>
        </w:rPr>
        <w:t>。</w:t>
      </w:r>
    </w:p>
    <w:p w14:paraId="332D29F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10.7.2 不属于依法必须招标的暂估价项目</w:t>
      </w:r>
    </w:p>
    <w:p w14:paraId="5152F3F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对于不属于依法必须招标的暂估价项目的确认和批准采取第</w:t>
      </w:r>
      <w:r>
        <w:rPr>
          <w:rFonts w:hint="eastAsia" w:cs="宋体"/>
          <w:color w:val="auto"/>
          <w:sz w:val="24"/>
          <w:szCs w:val="24"/>
          <w:highlight w:val="none"/>
          <w:u w:val="single"/>
        </w:rPr>
        <w:t>1</w:t>
      </w:r>
      <w:r>
        <w:rPr>
          <w:rFonts w:hint="eastAsia" w:cs="宋体"/>
          <w:color w:val="auto"/>
          <w:sz w:val="24"/>
          <w:szCs w:val="24"/>
          <w:highlight w:val="none"/>
        </w:rPr>
        <w:t>种方式确定。</w:t>
      </w:r>
    </w:p>
    <w:p w14:paraId="64DC14E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第3种方式：</w:t>
      </w:r>
      <w:r>
        <w:rPr>
          <w:rFonts w:hint="eastAsia" w:cs="宋体"/>
          <w:color w:val="auto"/>
          <w:sz w:val="24"/>
          <w:szCs w:val="24"/>
          <w:highlight w:val="none"/>
          <w:lang w:eastAsia="zh-CN"/>
        </w:rPr>
        <w:t>乙方</w:t>
      </w:r>
      <w:r>
        <w:rPr>
          <w:rFonts w:hint="eastAsia" w:cs="宋体"/>
          <w:color w:val="auto"/>
          <w:sz w:val="24"/>
          <w:szCs w:val="24"/>
          <w:highlight w:val="none"/>
        </w:rPr>
        <w:t>直接实施的暂估价项目</w:t>
      </w:r>
    </w:p>
    <w:p w14:paraId="0FC8EBA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直接实施的暂估价项目的约定：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乙方</w:t>
      </w:r>
      <w:r>
        <w:rPr>
          <w:rFonts w:hint="eastAsia" w:cs="宋体"/>
          <w:color w:val="auto"/>
          <w:sz w:val="24"/>
          <w:szCs w:val="24"/>
          <w:highlight w:val="none"/>
          <w:u w:val="single"/>
        </w:rPr>
        <w:t>将暂估项目进一步细化、完善，具体方案经</w:t>
      </w:r>
      <w:r>
        <w:rPr>
          <w:rFonts w:hint="eastAsia" w:cs="宋体"/>
          <w:color w:val="auto"/>
          <w:sz w:val="24"/>
          <w:szCs w:val="24"/>
          <w:highlight w:val="none"/>
          <w:u w:val="single"/>
          <w:lang w:val="en-US" w:eastAsia="zh-CN"/>
        </w:rPr>
        <w:t>甲方</w:t>
      </w:r>
      <w:r>
        <w:rPr>
          <w:rFonts w:hint="eastAsia" w:cs="宋体"/>
          <w:color w:val="auto"/>
          <w:sz w:val="24"/>
          <w:szCs w:val="24"/>
          <w:highlight w:val="none"/>
          <w:u w:val="single"/>
        </w:rPr>
        <w:t>认可后，根据实际采购或施工的费用、市场价格变化、实际完成的工程量进行调整</w:t>
      </w:r>
      <w:r>
        <w:rPr>
          <w:rFonts w:hint="eastAsia" w:cs="宋体"/>
          <w:color w:val="auto"/>
          <w:sz w:val="24"/>
          <w:szCs w:val="24"/>
          <w:highlight w:val="none"/>
          <w:u w:val="single"/>
          <w:lang w:eastAsia="zh-CN"/>
        </w:rPr>
        <w:t>，</w:t>
      </w:r>
      <w:r>
        <w:rPr>
          <w:rFonts w:hint="eastAsia" w:cs="宋体"/>
          <w:color w:val="auto"/>
          <w:sz w:val="24"/>
          <w:szCs w:val="24"/>
          <w:highlight w:val="none"/>
          <w:u w:val="single"/>
        </w:rPr>
        <w:t>按照相关定额进行组价，组价后按照中标优惠率下浮进行调整，按调整后的单价金额进行最终结算和支付。暂估</w:t>
      </w:r>
      <w:r>
        <w:rPr>
          <w:rFonts w:hint="eastAsia" w:cs="宋体"/>
          <w:color w:val="auto"/>
          <w:sz w:val="24"/>
          <w:szCs w:val="24"/>
          <w:highlight w:val="none"/>
          <w:u w:val="single"/>
          <w:lang w:val="en-US" w:eastAsia="zh-CN"/>
        </w:rPr>
        <w:t>价最终金额</w:t>
      </w:r>
      <w:r>
        <w:rPr>
          <w:rFonts w:hint="eastAsia" w:cs="宋体"/>
          <w:color w:val="auto"/>
          <w:sz w:val="24"/>
          <w:szCs w:val="24"/>
          <w:highlight w:val="none"/>
          <w:u w:val="single"/>
        </w:rPr>
        <w:t>以</w:t>
      </w:r>
      <w:r>
        <w:rPr>
          <w:rFonts w:hint="eastAsia" w:cs="宋体"/>
          <w:color w:val="auto"/>
          <w:sz w:val="24"/>
          <w:szCs w:val="24"/>
          <w:highlight w:val="none"/>
          <w:u w:val="single"/>
          <w:lang w:val="en-US" w:eastAsia="zh-CN"/>
        </w:rPr>
        <w:t>结算审定价格</w:t>
      </w:r>
      <w:r>
        <w:rPr>
          <w:rFonts w:hint="eastAsia" w:cs="宋体"/>
          <w:color w:val="auto"/>
          <w:sz w:val="24"/>
          <w:szCs w:val="24"/>
          <w:highlight w:val="none"/>
          <w:u w:val="single"/>
        </w:rPr>
        <w:t xml:space="preserve">为准。  </w:t>
      </w:r>
      <w:r>
        <w:rPr>
          <w:rFonts w:hint="eastAsia" w:cs="宋体"/>
          <w:color w:val="auto"/>
          <w:sz w:val="24"/>
          <w:szCs w:val="24"/>
          <w:highlight w:val="none"/>
        </w:rPr>
        <w:t>。</w:t>
      </w:r>
    </w:p>
    <w:p w14:paraId="3B6ED146">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10.8 暂列金额</w:t>
      </w:r>
    </w:p>
    <w:p w14:paraId="5F11091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合同当事人关于暂列金额使用的约定：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4E74E80">
      <w:pPr>
        <w:snapToGrid w:val="0"/>
        <w:spacing w:before="312" w:beforeLines="100" w:after="312" w:afterLines="100" w:line="360" w:lineRule="auto"/>
        <w:outlineLvl w:val="2"/>
        <w:rPr>
          <w:rFonts w:cs="宋体"/>
          <w:color w:val="auto"/>
          <w:sz w:val="24"/>
          <w:szCs w:val="24"/>
          <w:highlight w:val="none"/>
        </w:rPr>
      </w:pPr>
      <w:bookmarkStart w:id="439" w:name="_Toc351203643"/>
      <w:r>
        <w:rPr>
          <w:rFonts w:hint="eastAsia" w:cs="宋体"/>
          <w:color w:val="auto"/>
          <w:sz w:val="24"/>
          <w:szCs w:val="24"/>
          <w:highlight w:val="none"/>
        </w:rPr>
        <w:t>11. 价格调整</w:t>
      </w:r>
      <w:bookmarkEnd w:id="439"/>
    </w:p>
    <w:p w14:paraId="0C31FF91">
      <w:pPr>
        <w:keepNext/>
        <w:keepLines/>
        <w:snapToGrid w:val="0"/>
        <w:spacing w:before="120" w:after="120" w:line="360" w:lineRule="auto"/>
        <w:ind w:firstLine="480" w:firstLineChars="200"/>
        <w:outlineLvl w:val="3"/>
        <w:rPr>
          <w:rFonts w:cs="宋体"/>
          <w:bCs/>
          <w:color w:val="auto"/>
          <w:sz w:val="24"/>
          <w:szCs w:val="24"/>
          <w:highlight w:val="none"/>
        </w:rPr>
      </w:pPr>
      <w:bookmarkStart w:id="440" w:name="_Toc312678039"/>
      <w:bookmarkStart w:id="441" w:name="_Toc297048387"/>
      <w:bookmarkStart w:id="442" w:name="_Toc296891029"/>
      <w:bookmarkStart w:id="443" w:name="_Toc292559406"/>
      <w:bookmarkStart w:id="444" w:name="_Toc300935000"/>
      <w:bookmarkStart w:id="445" w:name="_Toc297123550"/>
      <w:bookmarkStart w:id="446" w:name="_Toc296347200"/>
      <w:bookmarkStart w:id="447" w:name="_Toc303539157"/>
      <w:bookmarkStart w:id="448" w:name="_Toc296944540"/>
      <w:bookmarkStart w:id="449" w:name="_Toc292559911"/>
      <w:bookmarkStart w:id="450" w:name="_Toc297120501"/>
      <w:bookmarkStart w:id="451" w:name="_Toc296346702"/>
      <w:bookmarkStart w:id="452" w:name="_Toc296891241"/>
      <w:bookmarkStart w:id="453" w:name="_Toc296503201"/>
      <w:bookmarkStart w:id="454" w:name="_Toc297216209"/>
      <w:bookmarkStart w:id="455" w:name="_Toc304295577"/>
      <w:r>
        <w:rPr>
          <w:rFonts w:hint="eastAsia" w:cs="宋体"/>
          <w:bCs/>
          <w:color w:val="auto"/>
          <w:sz w:val="24"/>
          <w:szCs w:val="24"/>
          <w:highlight w:val="none"/>
        </w:rPr>
        <w:t>11.1 市场价格波动引起的调整</w:t>
      </w:r>
    </w:p>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14:paraId="7E29044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市场价格波动是否调整合同价格的约定：</w:t>
      </w:r>
      <w:r>
        <w:rPr>
          <w:rFonts w:hint="eastAsia" w:cs="宋体"/>
          <w:color w:val="auto"/>
          <w:sz w:val="24"/>
          <w:szCs w:val="24"/>
          <w:highlight w:val="none"/>
          <w:u w:val="single"/>
          <w:lang w:val="en-US" w:eastAsia="zh-CN"/>
        </w:rPr>
        <w:t>不调整</w:t>
      </w:r>
      <w:r>
        <w:rPr>
          <w:rFonts w:hint="eastAsia" w:cs="宋体"/>
          <w:color w:val="auto"/>
          <w:sz w:val="24"/>
          <w:szCs w:val="24"/>
          <w:highlight w:val="none"/>
        </w:rPr>
        <w:t>。</w:t>
      </w:r>
    </w:p>
    <w:p w14:paraId="060C118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因市场价格波动调整合同价格，采用以下第</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种方式对合同价格进行调整：</w:t>
      </w:r>
    </w:p>
    <w:p w14:paraId="6FBD5F4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第1种方式：采用价格指数进行价格调整。</w:t>
      </w:r>
    </w:p>
    <w:p w14:paraId="18CF9C36">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关于各可调因子、定值和变值权重，以及基本价格指数及其来源的约定：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7BDD56D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第2种方式：采用造价信息进行价格调整。</w:t>
      </w:r>
    </w:p>
    <w:p w14:paraId="28DDAC1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（1）可调整价格的主要材料范围的约定：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797879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（2）主要材料价差调整周期的约定：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EB5079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（3）主要材料价差调整计算方法的约定：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633C84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（4）主要材料价差调整时间的约定：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7387D6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（2）关于基准价格的约定：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181A04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①</w:t>
      </w:r>
      <w:r>
        <w:rPr>
          <w:rFonts w:hint="eastAsia" w:cs="宋体"/>
          <w:color w:val="auto"/>
          <w:sz w:val="24"/>
          <w:szCs w:val="24"/>
          <w:highlight w:val="none"/>
          <w:lang w:eastAsia="zh-CN"/>
        </w:rPr>
        <w:t>乙方</w:t>
      </w:r>
      <w:r>
        <w:rPr>
          <w:rFonts w:hint="eastAsia" w:cs="宋体"/>
          <w:color w:val="auto"/>
          <w:sz w:val="24"/>
          <w:szCs w:val="24"/>
          <w:highlight w:val="none"/>
        </w:rPr>
        <w:t>在已标价工程量清单或预算书中载明的材料单价低于基准价格的：专用合同条款合同履行期间材料单价涨幅以基准价格为基础超过</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%时，或材料单价跌幅以已标价工程量清单或预算书中载明材料单价为基础超过</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%时，其超过部分据实调整。</w:t>
      </w:r>
    </w:p>
    <w:p w14:paraId="03EF5C9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②</w:t>
      </w:r>
      <w:r>
        <w:rPr>
          <w:rFonts w:hint="eastAsia" w:cs="宋体"/>
          <w:color w:val="auto"/>
          <w:sz w:val="24"/>
          <w:szCs w:val="24"/>
          <w:highlight w:val="none"/>
          <w:lang w:eastAsia="zh-CN"/>
        </w:rPr>
        <w:t>乙方</w:t>
      </w:r>
      <w:r>
        <w:rPr>
          <w:rFonts w:hint="eastAsia" w:cs="宋体"/>
          <w:color w:val="auto"/>
          <w:sz w:val="24"/>
          <w:szCs w:val="24"/>
          <w:highlight w:val="none"/>
        </w:rPr>
        <w:t>在已标价工程量清单或预算书中载明的材料单价高于基准价格的：专用合同条款合同履行期间材料单价跌幅以基准价格为基础超过</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%时，材料单价涨幅以已标价工程量清单或预算书中载明材料单价为基础超过</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%时，其超过部分据实调整。</w:t>
      </w:r>
    </w:p>
    <w:p w14:paraId="064C338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③</w:t>
      </w:r>
      <w:r>
        <w:rPr>
          <w:rFonts w:hint="eastAsia" w:cs="宋体"/>
          <w:color w:val="auto"/>
          <w:sz w:val="24"/>
          <w:szCs w:val="24"/>
          <w:highlight w:val="none"/>
          <w:lang w:eastAsia="zh-CN"/>
        </w:rPr>
        <w:t>乙方</w:t>
      </w:r>
      <w:r>
        <w:rPr>
          <w:rFonts w:hint="eastAsia" w:cs="宋体"/>
          <w:color w:val="auto"/>
          <w:sz w:val="24"/>
          <w:szCs w:val="24"/>
          <w:highlight w:val="none"/>
        </w:rPr>
        <w:t>在已标价工程量清单或预算书中载明的材料单价等于基准单价的：专用合同条款合同履行期间材料单价涨跌幅以基准单价为基础超过±</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%时，其超过部分据实调整。</w:t>
      </w:r>
    </w:p>
    <w:p w14:paraId="3B5B2DB7">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第3种方式：其他价格调整方式：</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bookmarkEnd w:id="343"/>
    <w:bookmarkEnd w:id="344"/>
    <w:bookmarkEnd w:id="345"/>
    <w:bookmarkEnd w:id="346"/>
    <w:bookmarkEnd w:id="347"/>
    <w:bookmarkEnd w:id="348"/>
    <w:p w14:paraId="3BF195BB">
      <w:pPr>
        <w:snapToGrid w:val="0"/>
        <w:spacing w:before="312" w:beforeLines="100" w:after="312" w:afterLines="100" w:line="360" w:lineRule="auto"/>
        <w:outlineLvl w:val="2"/>
        <w:rPr>
          <w:rFonts w:cs="宋体"/>
          <w:color w:val="auto"/>
          <w:sz w:val="24"/>
          <w:szCs w:val="24"/>
          <w:highlight w:val="none"/>
        </w:rPr>
      </w:pPr>
      <w:bookmarkStart w:id="456" w:name="_Toc296347204"/>
      <w:bookmarkStart w:id="457" w:name="_Toc296891245"/>
      <w:bookmarkStart w:id="458" w:name="_Toc296346706"/>
      <w:bookmarkStart w:id="459" w:name="_Toc296891033"/>
      <w:bookmarkStart w:id="460" w:name="_Toc292559915"/>
      <w:bookmarkStart w:id="461" w:name="_Toc296503205"/>
      <w:bookmarkStart w:id="462" w:name="_Toc297120505"/>
      <w:bookmarkStart w:id="463" w:name="_Toc292559410"/>
      <w:bookmarkStart w:id="464" w:name="_Toc296944544"/>
      <w:bookmarkStart w:id="465" w:name="_Toc297048391"/>
      <w:bookmarkStart w:id="466" w:name="_Toc351203644"/>
      <w:bookmarkStart w:id="467" w:name="_Toc312678040"/>
      <w:bookmarkStart w:id="468" w:name="_Toc300935002"/>
      <w:bookmarkStart w:id="469" w:name="_Toc297216211"/>
      <w:bookmarkStart w:id="470" w:name="_Toc304295579"/>
      <w:bookmarkStart w:id="471" w:name="_Toc297123552"/>
      <w:bookmarkStart w:id="472" w:name="_Toc303539159"/>
      <w:r>
        <w:rPr>
          <w:rFonts w:hint="eastAsia" w:cs="宋体"/>
          <w:color w:val="auto"/>
          <w:sz w:val="24"/>
          <w:szCs w:val="24"/>
          <w:highlight w:val="none"/>
        </w:rPr>
        <w:t xml:space="preserve">12. </w:t>
      </w:r>
      <w:bookmarkEnd w:id="456"/>
      <w:bookmarkEnd w:id="457"/>
      <w:bookmarkEnd w:id="458"/>
      <w:bookmarkEnd w:id="459"/>
      <w:bookmarkEnd w:id="460"/>
      <w:bookmarkEnd w:id="461"/>
      <w:bookmarkEnd w:id="462"/>
      <w:bookmarkEnd w:id="463"/>
      <w:bookmarkEnd w:id="464"/>
      <w:bookmarkEnd w:id="465"/>
      <w:r>
        <w:rPr>
          <w:rFonts w:hint="eastAsia" w:cs="宋体"/>
          <w:color w:val="auto"/>
          <w:sz w:val="24"/>
          <w:szCs w:val="24"/>
          <w:highlight w:val="none"/>
        </w:rPr>
        <w:t>合同价格、计量与支付</w:t>
      </w:r>
      <w:bookmarkEnd w:id="466"/>
    </w:p>
    <w:bookmarkEnd w:id="467"/>
    <w:bookmarkEnd w:id="468"/>
    <w:bookmarkEnd w:id="469"/>
    <w:bookmarkEnd w:id="470"/>
    <w:bookmarkEnd w:id="471"/>
    <w:bookmarkEnd w:id="472"/>
    <w:p w14:paraId="39140F97">
      <w:pPr>
        <w:keepNext/>
        <w:keepLines/>
        <w:snapToGrid w:val="0"/>
        <w:spacing w:before="120" w:after="120" w:line="360" w:lineRule="auto"/>
        <w:ind w:firstLine="480" w:firstLineChars="200"/>
        <w:outlineLvl w:val="3"/>
        <w:rPr>
          <w:rFonts w:cs="宋体"/>
          <w:bCs/>
          <w:color w:val="auto"/>
          <w:sz w:val="24"/>
          <w:szCs w:val="24"/>
          <w:highlight w:val="none"/>
        </w:rPr>
      </w:pPr>
      <w:bookmarkStart w:id="473" w:name="_Toc292559411"/>
      <w:bookmarkStart w:id="474" w:name="_Toc267251461"/>
      <w:bookmarkStart w:id="475" w:name="_Toc292559916"/>
      <w:bookmarkStart w:id="476" w:name="_Toc296346707"/>
      <w:bookmarkStart w:id="477" w:name="_Toc296347205"/>
      <w:bookmarkStart w:id="478" w:name="_Toc296503206"/>
      <w:bookmarkStart w:id="479" w:name="_Toc296891246"/>
      <w:bookmarkStart w:id="480" w:name="_Toc297048392"/>
      <w:bookmarkStart w:id="481" w:name="_Toc296944545"/>
      <w:bookmarkStart w:id="482" w:name="_Toc296891034"/>
      <w:bookmarkStart w:id="483" w:name="_Toc297120506"/>
      <w:bookmarkStart w:id="484" w:name="_Toc303539160"/>
      <w:bookmarkStart w:id="485" w:name="_Toc304295580"/>
      <w:bookmarkStart w:id="486" w:name="_Toc297216212"/>
      <w:bookmarkStart w:id="487" w:name="_Toc297123553"/>
      <w:bookmarkStart w:id="488" w:name="_Toc312678041"/>
      <w:bookmarkStart w:id="489" w:name="_Toc300935003"/>
      <w:r>
        <w:rPr>
          <w:rFonts w:hint="eastAsia" w:cs="宋体"/>
          <w:bCs/>
          <w:color w:val="auto"/>
          <w:sz w:val="24"/>
          <w:szCs w:val="24"/>
          <w:highlight w:val="none"/>
        </w:rPr>
        <w:t>12.1 合</w:t>
      </w:r>
      <w:bookmarkEnd w:id="473"/>
      <w:bookmarkEnd w:id="474"/>
      <w:bookmarkEnd w:id="475"/>
      <w:r>
        <w:rPr>
          <w:rFonts w:hint="eastAsia" w:cs="宋体"/>
          <w:bCs/>
          <w:color w:val="auto"/>
          <w:sz w:val="24"/>
          <w:szCs w:val="24"/>
          <w:highlight w:val="none"/>
        </w:rPr>
        <w:t>同价</w:t>
      </w:r>
      <w:bookmarkEnd w:id="476"/>
      <w:bookmarkEnd w:id="477"/>
      <w:bookmarkEnd w:id="478"/>
      <w:bookmarkEnd w:id="479"/>
      <w:bookmarkEnd w:id="480"/>
      <w:bookmarkEnd w:id="481"/>
      <w:bookmarkEnd w:id="482"/>
      <w:bookmarkEnd w:id="483"/>
      <w:r>
        <w:rPr>
          <w:rFonts w:hint="eastAsia" w:cs="宋体"/>
          <w:bCs/>
          <w:color w:val="auto"/>
          <w:sz w:val="24"/>
          <w:szCs w:val="24"/>
          <w:highlight w:val="none"/>
        </w:rPr>
        <w:t>格形式</w:t>
      </w:r>
    </w:p>
    <w:bookmarkEnd w:id="484"/>
    <w:bookmarkEnd w:id="485"/>
    <w:bookmarkEnd w:id="486"/>
    <w:bookmarkEnd w:id="487"/>
    <w:bookmarkEnd w:id="488"/>
    <w:bookmarkEnd w:id="489"/>
    <w:p w14:paraId="482506E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（1）单价合同。</w:t>
      </w:r>
    </w:p>
    <w:p w14:paraId="19D3673A">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综合单价包含的风险范围：</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31FA5EEC">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风险费用的计算方法：</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41935E3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风险范围以外合同价格的调整方法：</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5ABADC4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（2）总价合同。</w:t>
      </w:r>
    </w:p>
    <w:p w14:paraId="25913B31">
      <w:pPr>
        <w:adjustRightInd w:val="0"/>
        <w:snapToGrid w:val="0"/>
        <w:spacing w:line="360" w:lineRule="auto"/>
        <w:ind w:firstLine="480" w:firstLineChars="200"/>
        <w:rPr>
          <w:rFonts w:cs="宋体"/>
          <w:b/>
          <w:color w:val="auto"/>
          <w:sz w:val="24"/>
          <w:szCs w:val="24"/>
          <w:highlight w:val="none"/>
        </w:rPr>
      </w:pPr>
      <w:r>
        <w:rPr>
          <w:rFonts w:hint="eastAsia" w:cs="宋体"/>
          <w:color w:val="auto"/>
          <w:sz w:val="24"/>
          <w:szCs w:val="24"/>
          <w:highlight w:val="none"/>
        </w:rPr>
        <w:t>总价包含的风险范围：</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755C45F5">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风险费用的计算方法：</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6699F91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风险范围以外合同价格的调整方法：</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0C6624AA">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（3）其他价格方式：</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76867DF6">
      <w:pPr>
        <w:keepNext/>
        <w:keepLines/>
        <w:snapToGrid w:val="0"/>
        <w:spacing w:before="120" w:after="120" w:line="360" w:lineRule="auto"/>
        <w:ind w:firstLine="480" w:firstLineChars="200"/>
        <w:outlineLvl w:val="3"/>
        <w:rPr>
          <w:rFonts w:cs="宋体"/>
          <w:bCs/>
          <w:color w:val="auto"/>
          <w:sz w:val="24"/>
          <w:szCs w:val="24"/>
          <w:highlight w:val="none"/>
        </w:rPr>
      </w:pPr>
      <w:bookmarkStart w:id="490" w:name="_Toc297216213"/>
      <w:bookmarkStart w:id="491" w:name="_Toc300935004"/>
      <w:bookmarkStart w:id="492" w:name="_Toc297123554"/>
      <w:bookmarkStart w:id="493" w:name="_Toc303539161"/>
      <w:bookmarkStart w:id="494" w:name="_Toc312678042"/>
      <w:bookmarkStart w:id="495" w:name="_Toc304295581"/>
      <w:bookmarkStart w:id="496" w:name="_Toc296503207"/>
      <w:bookmarkStart w:id="497" w:name="_Toc292559412"/>
      <w:bookmarkStart w:id="498" w:name="_Toc296944546"/>
      <w:bookmarkStart w:id="499" w:name="_Toc297048393"/>
      <w:bookmarkStart w:id="500" w:name="_Toc292559917"/>
      <w:bookmarkStart w:id="501" w:name="_Toc296347206"/>
      <w:bookmarkStart w:id="502" w:name="_Toc297120507"/>
      <w:bookmarkStart w:id="503" w:name="_Toc296891247"/>
      <w:bookmarkStart w:id="504" w:name="_Toc296891035"/>
      <w:bookmarkStart w:id="505" w:name="_Toc296346708"/>
      <w:r>
        <w:rPr>
          <w:rFonts w:hint="eastAsia" w:cs="宋体"/>
          <w:bCs/>
          <w:color w:val="auto"/>
          <w:sz w:val="24"/>
          <w:szCs w:val="24"/>
          <w:highlight w:val="none"/>
        </w:rPr>
        <w:t>12.2 预付款</w:t>
      </w:r>
    </w:p>
    <w:bookmarkEnd w:id="490"/>
    <w:bookmarkEnd w:id="491"/>
    <w:bookmarkEnd w:id="492"/>
    <w:bookmarkEnd w:id="493"/>
    <w:bookmarkEnd w:id="494"/>
    <w:bookmarkEnd w:id="495"/>
    <w:p w14:paraId="36C3922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12.2.1 预付款的支付</w:t>
      </w:r>
    </w:p>
    <w:p w14:paraId="4315DD2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预付款支付比例或金额：</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6EF5BAF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预付款支付期限：</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23EE503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预付款扣回的方式：</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1F05555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12.2.2 预付款担保</w:t>
      </w:r>
    </w:p>
    <w:p w14:paraId="1F82301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提交预付款担保的期限：</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2B62412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预付款担保的形式为：</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bookmarkEnd w:id="496"/>
    <w:bookmarkEnd w:id="497"/>
    <w:bookmarkEnd w:id="498"/>
    <w:bookmarkEnd w:id="499"/>
    <w:bookmarkEnd w:id="500"/>
    <w:bookmarkEnd w:id="501"/>
    <w:bookmarkEnd w:id="502"/>
    <w:bookmarkEnd w:id="503"/>
    <w:bookmarkEnd w:id="504"/>
    <w:bookmarkEnd w:id="505"/>
    <w:p w14:paraId="66E07227">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12.3 计量</w:t>
      </w:r>
    </w:p>
    <w:p w14:paraId="1BE6215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12.3.1 计量原则</w:t>
      </w:r>
    </w:p>
    <w:p w14:paraId="2A566912">
      <w:pPr>
        <w:adjustRightInd w:val="0"/>
        <w:snapToGrid w:val="0"/>
        <w:spacing w:line="360" w:lineRule="auto"/>
        <w:ind w:firstLine="480" w:firstLineChars="200"/>
        <w:rPr>
          <w:rFonts w:cs="宋体"/>
          <w:b/>
          <w:color w:val="auto"/>
          <w:sz w:val="24"/>
          <w:szCs w:val="24"/>
          <w:highlight w:val="none"/>
        </w:rPr>
      </w:pPr>
      <w:r>
        <w:rPr>
          <w:rFonts w:hint="eastAsia" w:cs="宋体"/>
          <w:color w:val="auto"/>
          <w:sz w:val="24"/>
          <w:szCs w:val="24"/>
          <w:highlight w:val="none"/>
        </w:rPr>
        <w:t>工程量计算规则：</w:t>
      </w:r>
      <w:r>
        <w:rPr>
          <w:rFonts w:hint="eastAsia" w:cs="宋体"/>
          <w:color w:val="auto"/>
          <w:sz w:val="24"/>
          <w:szCs w:val="24"/>
          <w:highlight w:val="none"/>
          <w:u w:val="single"/>
        </w:rPr>
        <w:t>按招标工程量清单及最高投标限价所采用的工程量清单计价规范及配套文件等</w:t>
      </w:r>
      <w:r>
        <w:rPr>
          <w:rFonts w:hint="eastAsia" w:cs="宋体"/>
          <w:b/>
          <w:color w:val="auto"/>
          <w:sz w:val="24"/>
          <w:szCs w:val="24"/>
          <w:highlight w:val="none"/>
        </w:rPr>
        <w:t>。</w:t>
      </w:r>
    </w:p>
    <w:p w14:paraId="5E051D5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12.3.2 计量周期</w:t>
      </w:r>
    </w:p>
    <w:p w14:paraId="61CA430F">
      <w:pPr>
        <w:adjustRightInd w:val="0"/>
        <w:snapToGrid w:val="0"/>
        <w:spacing w:line="360" w:lineRule="auto"/>
        <w:ind w:firstLine="480" w:firstLineChars="200"/>
        <w:rPr>
          <w:rFonts w:cs="宋体"/>
          <w:b/>
          <w:color w:val="auto"/>
          <w:sz w:val="24"/>
          <w:szCs w:val="24"/>
          <w:highlight w:val="none"/>
        </w:rPr>
      </w:pPr>
      <w:r>
        <w:rPr>
          <w:rFonts w:hint="eastAsia" w:cs="宋体"/>
          <w:color w:val="auto"/>
          <w:sz w:val="24"/>
          <w:szCs w:val="24"/>
          <w:highlight w:val="none"/>
        </w:rPr>
        <w:t>关于计量周期的约定</w:t>
      </w:r>
      <w:r>
        <w:rPr>
          <w:rFonts w:hint="eastAsia" w:cs="宋体"/>
          <w:b/>
          <w:color w:val="auto"/>
          <w:sz w:val="24"/>
          <w:szCs w:val="24"/>
          <w:highlight w:val="none"/>
        </w:rPr>
        <w:t>：</w:t>
      </w:r>
      <w:r>
        <w:rPr>
          <w:rFonts w:hint="eastAsia" w:cs="宋体"/>
          <w:color w:val="auto"/>
          <w:sz w:val="24"/>
          <w:szCs w:val="24"/>
          <w:highlight w:val="none"/>
          <w:u w:val="single"/>
        </w:rPr>
        <w:t xml:space="preserve">      </w:t>
      </w:r>
      <w:r>
        <w:rPr>
          <w:rFonts w:hint="eastAsia" w:cs="宋体"/>
          <w:b/>
          <w:color w:val="auto"/>
          <w:sz w:val="24"/>
          <w:szCs w:val="24"/>
          <w:highlight w:val="none"/>
        </w:rPr>
        <w:t>。</w:t>
      </w:r>
    </w:p>
    <w:p w14:paraId="05C34AA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12.3.3 单价合同的计量</w:t>
      </w:r>
    </w:p>
    <w:p w14:paraId="4A7C678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关于单价合同计量的约定：</w:t>
      </w:r>
      <w:r>
        <w:rPr>
          <w:rFonts w:hint="eastAsia" w:cs="宋体"/>
          <w:color w:val="auto"/>
          <w:sz w:val="24"/>
          <w:szCs w:val="24"/>
          <w:highlight w:val="none"/>
          <w:u w:val="single"/>
        </w:rPr>
        <w:t xml:space="preserve">  /  </w:t>
      </w:r>
      <w:r>
        <w:rPr>
          <w:rFonts w:hint="eastAsia" w:cs="宋体"/>
          <w:color w:val="auto"/>
          <w:sz w:val="24"/>
          <w:szCs w:val="24"/>
          <w:highlight w:val="none"/>
        </w:rPr>
        <w:t>。</w:t>
      </w:r>
    </w:p>
    <w:p w14:paraId="032F8AB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12.3.4 总价合同的计量</w:t>
      </w:r>
    </w:p>
    <w:p w14:paraId="34CA036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关于总价合同计量的约定：</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F5308C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12.3.5 总价合同采用支付分解表计量支付的，是否适用第12.3.4项〔总价合同的计量〕约定进行计量：</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b/>
          <w:color w:val="auto"/>
          <w:sz w:val="24"/>
          <w:szCs w:val="24"/>
          <w:highlight w:val="none"/>
        </w:rPr>
        <w:t>。</w:t>
      </w:r>
    </w:p>
    <w:p w14:paraId="2D3A25B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12.3.6 其他价格形式合同的计量</w:t>
      </w:r>
    </w:p>
    <w:p w14:paraId="13FF9607">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其他价格形式的计量方式和程序：</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5AB93F8">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12.4 工程进度款支付</w:t>
      </w:r>
    </w:p>
    <w:p w14:paraId="7BCA62D2">
      <w:pPr>
        <w:adjustRightInd w:val="0"/>
        <w:snapToGrid w:val="0"/>
        <w:spacing w:line="360" w:lineRule="auto"/>
        <w:ind w:firstLine="480" w:firstLineChars="200"/>
        <w:rPr>
          <w:rFonts w:cs="宋体"/>
          <w:color w:val="auto"/>
          <w:sz w:val="24"/>
          <w:szCs w:val="24"/>
          <w:highlight w:val="none"/>
        </w:rPr>
      </w:pPr>
      <w:bookmarkStart w:id="506" w:name="_Toc292559416"/>
      <w:bookmarkStart w:id="507" w:name="_Toc297216215"/>
      <w:bookmarkStart w:id="508" w:name="_Toc300935006"/>
      <w:bookmarkStart w:id="509" w:name="_Toc296891039"/>
      <w:bookmarkStart w:id="510" w:name="_Toc296346712"/>
      <w:bookmarkStart w:id="511" w:name="_Toc296347210"/>
      <w:bookmarkStart w:id="512" w:name="_Toc297123556"/>
      <w:bookmarkStart w:id="513" w:name="_Toc292559921"/>
      <w:bookmarkStart w:id="514" w:name="_Toc296891251"/>
      <w:bookmarkStart w:id="515" w:name="_Toc296503211"/>
      <w:bookmarkStart w:id="516" w:name="_Toc297048397"/>
      <w:bookmarkStart w:id="517" w:name="_Toc297120511"/>
      <w:bookmarkStart w:id="518" w:name="_Toc296944550"/>
      <w:bookmarkStart w:id="519" w:name="_Toc303539163"/>
      <w:r>
        <w:rPr>
          <w:rFonts w:hint="eastAsia" w:cs="宋体"/>
          <w:color w:val="auto"/>
          <w:sz w:val="24"/>
          <w:szCs w:val="24"/>
          <w:highlight w:val="none"/>
        </w:rPr>
        <w:t>12.4.1 付款周期</w:t>
      </w:r>
    </w:p>
    <w:p w14:paraId="297F4CE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关于付款周期的约定：</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3B600A7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12.4.2 进度付款申请单的编制</w:t>
      </w:r>
    </w:p>
    <w:p w14:paraId="4801AEF6">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关于进度付款申请单编制的约定：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B81C09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Fonts w:hint="eastAsia" w:cs="宋体"/>
          <w:color w:val="auto"/>
          <w:sz w:val="24"/>
          <w:szCs w:val="24"/>
          <w:highlight w:val="none"/>
        </w:rPr>
        <w:t>2.4.3 进度付款申请单的提交</w:t>
      </w:r>
    </w:p>
    <w:p w14:paraId="656EB0E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（1）单价合同进度付款申请单提交的约定：</w:t>
      </w:r>
      <w:r>
        <w:rPr>
          <w:rFonts w:hint="eastAsia" w:cs="宋体"/>
          <w:color w:val="auto"/>
          <w:sz w:val="24"/>
          <w:szCs w:val="24"/>
          <w:highlight w:val="none"/>
          <w:u w:val="single"/>
        </w:rPr>
        <w:t xml:space="preserve">  /  </w:t>
      </w:r>
      <w:r>
        <w:rPr>
          <w:rFonts w:hint="eastAsia" w:cs="宋体"/>
          <w:color w:val="auto"/>
          <w:sz w:val="24"/>
          <w:szCs w:val="24"/>
          <w:highlight w:val="none"/>
        </w:rPr>
        <w:t>。</w:t>
      </w:r>
    </w:p>
    <w:p w14:paraId="31C6C6D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（2）总价合同进度付款申请单提交的约定：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390FCA0D">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（3）其他价格形式合同进度付款申请单提交的约定：</w:t>
      </w:r>
      <w:r>
        <w:rPr>
          <w:rFonts w:hint="eastAsia" w:cs="宋体"/>
          <w:color w:val="auto"/>
          <w:sz w:val="24"/>
          <w:szCs w:val="24"/>
          <w:highlight w:val="none"/>
          <w:u w:val="single"/>
        </w:rPr>
        <w:t xml:space="preserve">  /  </w:t>
      </w:r>
      <w:r>
        <w:rPr>
          <w:rFonts w:hint="eastAsia" w:cs="宋体"/>
          <w:color w:val="auto"/>
          <w:sz w:val="24"/>
          <w:szCs w:val="24"/>
          <w:highlight w:val="none"/>
        </w:rPr>
        <w:t>。</w:t>
      </w:r>
    </w:p>
    <w:p w14:paraId="3B9086A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12.4.4 进度款审核和支付</w:t>
      </w:r>
    </w:p>
    <w:p w14:paraId="2557EB5C">
      <w:pPr>
        <w:adjustRightInd w:val="0"/>
        <w:snapToGrid w:val="0"/>
        <w:spacing w:line="360" w:lineRule="auto"/>
        <w:ind w:firstLine="480" w:firstLineChars="200"/>
        <w:rPr>
          <w:rFonts w:cs="宋体"/>
          <w:b/>
          <w:color w:val="auto"/>
          <w:sz w:val="24"/>
          <w:szCs w:val="24"/>
          <w:highlight w:val="none"/>
          <w:u w:val="single"/>
        </w:rPr>
      </w:pPr>
      <w:r>
        <w:rPr>
          <w:rFonts w:hint="eastAsia" w:cs="宋体"/>
          <w:color w:val="auto"/>
          <w:sz w:val="24"/>
          <w:szCs w:val="24"/>
          <w:highlight w:val="none"/>
        </w:rPr>
        <w:t>（1）</w:t>
      </w:r>
      <w:r>
        <w:rPr>
          <w:rFonts w:hint="eastAsia" w:cs="宋体"/>
          <w:color w:val="auto"/>
          <w:sz w:val="24"/>
          <w:szCs w:val="24"/>
          <w:highlight w:val="none"/>
          <w:lang w:val="en-US" w:eastAsia="zh-CN"/>
        </w:rPr>
        <w:t>乙方</w:t>
      </w:r>
      <w:r>
        <w:rPr>
          <w:rFonts w:hint="eastAsia" w:cs="宋体"/>
          <w:color w:val="auto"/>
          <w:sz w:val="24"/>
          <w:szCs w:val="24"/>
          <w:highlight w:val="none"/>
        </w:rPr>
        <w:t>报送</w:t>
      </w:r>
      <w:r>
        <w:rPr>
          <w:rFonts w:hint="eastAsia" w:cs="宋体"/>
          <w:color w:val="auto"/>
          <w:sz w:val="24"/>
          <w:szCs w:val="24"/>
          <w:highlight w:val="none"/>
          <w:lang w:eastAsia="zh-CN"/>
        </w:rPr>
        <w:t>甲方</w:t>
      </w:r>
      <w:r>
        <w:rPr>
          <w:rFonts w:hint="eastAsia" w:cs="宋体"/>
          <w:color w:val="auto"/>
          <w:sz w:val="24"/>
          <w:szCs w:val="24"/>
          <w:highlight w:val="none"/>
        </w:rPr>
        <w:t>的期限：</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8C733B0">
      <w:pPr>
        <w:adjustRightInd w:val="0"/>
        <w:snapToGrid w:val="0"/>
        <w:spacing w:line="360" w:lineRule="auto"/>
        <w:ind w:firstLine="480" w:firstLineChars="200"/>
        <w:rPr>
          <w:rFonts w:cs="宋体"/>
          <w:b/>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完成审批并签发进度款支付证书的期限：</w:t>
      </w:r>
      <w:r>
        <w:rPr>
          <w:rFonts w:hint="eastAsia" w:cs="宋体"/>
          <w:color w:val="auto"/>
          <w:sz w:val="24"/>
          <w:szCs w:val="24"/>
          <w:highlight w:val="none"/>
          <w:u w:val="single"/>
          <w:lang w:val="en-US" w:eastAsia="zh-CN"/>
        </w:rPr>
        <w:t>/</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A874C3A">
      <w:pPr>
        <w:adjustRightInd w:val="0"/>
        <w:snapToGrid w:val="0"/>
        <w:spacing w:line="360" w:lineRule="auto"/>
        <w:ind w:firstLine="480" w:firstLineChars="200"/>
        <w:rPr>
          <w:rFonts w:cs="宋体"/>
          <w:b/>
          <w:color w:val="auto"/>
          <w:sz w:val="24"/>
          <w:szCs w:val="24"/>
          <w:highlight w:val="none"/>
        </w:rPr>
      </w:pPr>
      <w:r>
        <w:rPr>
          <w:rFonts w:hint="eastAsia" w:cs="宋体"/>
          <w:color w:val="auto"/>
          <w:sz w:val="24"/>
          <w:szCs w:val="24"/>
          <w:highlight w:val="none"/>
        </w:rPr>
        <w:t>（2）</w:t>
      </w:r>
      <w:r>
        <w:rPr>
          <w:rFonts w:hint="eastAsia" w:cs="宋体"/>
          <w:color w:val="auto"/>
          <w:sz w:val="24"/>
          <w:szCs w:val="24"/>
          <w:highlight w:val="none"/>
          <w:lang w:eastAsia="zh-CN"/>
        </w:rPr>
        <w:t>甲方</w:t>
      </w:r>
      <w:r>
        <w:rPr>
          <w:rFonts w:hint="eastAsia" w:cs="宋体"/>
          <w:color w:val="auto"/>
          <w:sz w:val="24"/>
          <w:szCs w:val="24"/>
          <w:highlight w:val="none"/>
        </w:rPr>
        <w:t>支付进度款的期限：</w:t>
      </w:r>
      <w:r>
        <w:rPr>
          <w:rFonts w:hint="eastAsia" w:cs="宋体"/>
          <w:color w:val="auto"/>
          <w:sz w:val="24"/>
          <w:szCs w:val="24"/>
          <w:highlight w:val="none"/>
          <w:u w:val="single"/>
          <w:lang w:val="en-US" w:eastAsia="zh-CN"/>
        </w:rPr>
        <w:t>/</w:t>
      </w:r>
      <w:r>
        <w:rPr>
          <w:rFonts w:hint="eastAsia" w:cs="宋体"/>
          <w:color w:val="auto"/>
          <w:sz w:val="24"/>
          <w:szCs w:val="24"/>
          <w:highlight w:val="none"/>
        </w:rPr>
        <w:t>。</w:t>
      </w:r>
    </w:p>
    <w:p w14:paraId="38A3EC6B">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逾期支付进度款的违约金的计算方式</w:t>
      </w:r>
      <w:r>
        <w:rPr>
          <w:rFonts w:hint="eastAsia" w:cs="宋体"/>
          <w:color w:val="auto"/>
          <w:sz w:val="24"/>
          <w:szCs w:val="24"/>
          <w:highlight w:val="none"/>
          <w:u w:val="single"/>
        </w:rPr>
        <w:t xml:space="preserve">    </w:t>
      </w:r>
      <w:r>
        <w:rPr>
          <w:rFonts w:hint="eastAsia" w:cs="宋体"/>
          <w:color w:val="auto"/>
          <w:sz w:val="24"/>
          <w:szCs w:val="24"/>
          <w:highlight w:val="none"/>
        </w:rPr>
        <w:t>。</w:t>
      </w:r>
    </w:p>
    <w:p w14:paraId="25B1EDB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12.4.6 支付分解表的编制</w:t>
      </w:r>
    </w:p>
    <w:p w14:paraId="5873A40F">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（2）总价合同支付分解表的编制与审批：</w:t>
      </w:r>
      <w:r>
        <w:rPr>
          <w:rFonts w:hint="eastAsia" w:cs="宋体"/>
          <w:color w:val="auto"/>
          <w:sz w:val="24"/>
          <w:szCs w:val="24"/>
          <w:highlight w:val="none"/>
          <w:u w:val="single"/>
        </w:rPr>
        <w:t xml:space="preserve">  /  </w:t>
      </w:r>
      <w:r>
        <w:rPr>
          <w:rFonts w:hint="eastAsia" w:cs="宋体"/>
          <w:color w:val="auto"/>
          <w:sz w:val="24"/>
          <w:szCs w:val="24"/>
          <w:highlight w:val="none"/>
        </w:rPr>
        <w:t>。</w:t>
      </w:r>
    </w:p>
    <w:p w14:paraId="74FFB86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（3）单价合同的总价项目支付分解表的编制与审批：</w:t>
      </w:r>
      <w:r>
        <w:rPr>
          <w:rFonts w:hint="eastAsia" w:cs="宋体"/>
          <w:color w:val="auto"/>
          <w:sz w:val="24"/>
          <w:szCs w:val="24"/>
          <w:highlight w:val="none"/>
          <w:u w:val="single"/>
        </w:rPr>
        <w:t xml:space="preserve">  /  </w:t>
      </w:r>
      <w:r>
        <w:rPr>
          <w:rFonts w:hint="eastAsia" w:cs="宋体"/>
          <w:color w:val="auto"/>
          <w:sz w:val="24"/>
          <w:szCs w:val="24"/>
          <w:highlight w:val="none"/>
        </w:rPr>
        <w:t>。</w:t>
      </w:r>
    </w:p>
    <w:p w14:paraId="43B98C56">
      <w:pPr>
        <w:adjustRightInd w:val="0"/>
        <w:snapToGrid w:val="0"/>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12.4.7 农民工工资管理</w:t>
      </w:r>
    </w:p>
    <w:p w14:paraId="5C32F11B">
      <w:pPr>
        <w:adjustRightInd w:val="0"/>
        <w:snapToGrid w:val="0"/>
        <w:spacing w:line="360" w:lineRule="auto"/>
        <w:ind w:firstLine="480" w:firstLineChars="200"/>
        <w:rPr>
          <w:rFonts w:cs="宋体"/>
          <w:bCs/>
          <w:color w:val="auto"/>
          <w:sz w:val="24"/>
          <w:szCs w:val="24"/>
          <w:highlight w:val="none"/>
        </w:rPr>
      </w:pPr>
      <w:r>
        <w:rPr>
          <w:rFonts w:hint="eastAsia" w:cs="宋体"/>
          <w:color w:val="auto"/>
          <w:sz w:val="24"/>
          <w:szCs w:val="24"/>
          <w:highlight w:val="none"/>
        </w:rPr>
        <w:t>（1）</w:t>
      </w:r>
      <w:r>
        <w:rPr>
          <w:rFonts w:hint="eastAsia" w:cs="宋体"/>
          <w:bCs/>
          <w:color w:val="auto"/>
          <w:sz w:val="24"/>
          <w:szCs w:val="24"/>
          <w:highlight w:val="none"/>
        </w:rPr>
        <w:t>本工程农民工工资实行专用账户管理，</w:t>
      </w:r>
      <w:r>
        <w:rPr>
          <w:rFonts w:hint="eastAsia" w:cs="宋体"/>
          <w:bCs/>
          <w:color w:val="auto"/>
          <w:sz w:val="24"/>
          <w:szCs w:val="24"/>
          <w:highlight w:val="none"/>
          <w:lang w:eastAsia="zh-CN"/>
        </w:rPr>
        <w:t>乙方</w:t>
      </w:r>
      <w:r>
        <w:rPr>
          <w:rFonts w:hint="eastAsia" w:cs="宋体"/>
          <w:bCs/>
          <w:color w:val="auto"/>
          <w:sz w:val="24"/>
          <w:szCs w:val="24"/>
          <w:highlight w:val="none"/>
        </w:rPr>
        <w:t>设立的专用账户开户行为</w:t>
      </w:r>
      <w:r>
        <w:rPr>
          <w:rFonts w:hint="eastAsia" w:cs="宋体"/>
          <w:bCs/>
          <w:color w:val="auto"/>
          <w:sz w:val="24"/>
          <w:szCs w:val="24"/>
          <w:highlight w:val="none"/>
          <w:u w:val="single"/>
        </w:rPr>
        <w:t xml:space="preserve">：        </w:t>
      </w:r>
      <w:r>
        <w:rPr>
          <w:rFonts w:hint="eastAsia" w:cs="宋体"/>
          <w:bCs/>
          <w:color w:val="auto"/>
          <w:sz w:val="24"/>
          <w:szCs w:val="24"/>
          <w:highlight w:val="none"/>
        </w:rPr>
        <w:t>，账号：</w:t>
      </w:r>
      <w:r>
        <w:rPr>
          <w:rFonts w:hint="eastAsia" w:cs="宋体"/>
          <w:bCs/>
          <w:color w:val="auto"/>
          <w:sz w:val="24"/>
          <w:szCs w:val="24"/>
          <w:highlight w:val="none"/>
          <w:u w:val="single"/>
        </w:rPr>
        <w:t xml:space="preserve">              </w:t>
      </w:r>
      <w:r>
        <w:rPr>
          <w:rFonts w:hint="eastAsia" w:cs="宋体"/>
          <w:bCs/>
          <w:color w:val="auto"/>
          <w:sz w:val="24"/>
          <w:szCs w:val="24"/>
          <w:highlight w:val="none"/>
        </w:rPr>
        <w:t>;</w:t>
      </w:r>
    </w:p>
    <w:p w14:paraId="738D711E">
      <w:pPr>
        <w:adjustRightInd w:val="0"/>
        <w:snapToGrid w:val="0"/>
        <w:spacing w:line="360" w:lineRule="auto"/>
        <w:ind w:firstLine="480" w:firstLineChars="200"/>
        <w:rPr>
          <w:rFonts w:cs="宋体"/>
          <w:bCs/>
          <w:color w:val="auto"/>
          <w:sz w:val="24"/>
          <w:szCs w:val="24"/>
          <w:highlight w:val="none"/>
        </w:rPr>
      </w:pPr>
      <w:r>
        <w:rPr>
          <w:rFonts w:hint="eastAsia" w:cs="宋体"/>
          <w:color w:val="auto"/>
          <w:sz w:val="24"/>
          <w:szCs w:val="24"/>
          <w:highlight w:val="none"/>
        </w:rPr>
        <w:t>（2）</w:t>
      </w:r>
      <w:r>
        <w:rPr>
          <w:rFonts w:hint="eastAsia" w:cs="宋体"/>
          <w:bCs/>
          <w:color w:val="auto"/>
          <w:sz w:val="24"/>
          <w:szCs w:val="24"/>
          <w:highlight w:val="none"/>
        </w:rPr>
        <w:t>本工程工资性工程款</w:t>
      </w:r>
      <w:r>
        <w:rPr>
          <w:rFonts w:hint="eastAsia" w:cs="宋体"/>
          <w:bCs/>
          <w:color w:val="auto"/>
          <w:sz w:val="24"/>
          <w:szCs w:val="24"/>
          <w:highlight w:val="none"/>
          <w:u w:val="single"/>
        </w:rPr>
        <w:t xml:space="preserve">         </w:t>
      </w:r>
      <w:r>
        <w:rPr>
          <w:rFonts w:hint="eastAsia" w:cs="宋体"/>
          <w:bCs/>
          <w:color w:val="auto"/>
          <w:sz w:val="24"/>
          <w:szCs w:val="24"/>
          <w:highlight w:val="none"/>
        </w:rPr>
        <w:t>元。</w:t>
      </w:r>
    </w:p>
    <w:p w14:paraId="169B216E">
      <w:pPr>
        <w:adjustRightInd w:val="0"/>
        <w:snapToGrid w:val="0"/>
        <w:spacing w:line="360" w:lineRule="auto"/>
        <w:ind w:firstLine="480" w:firstLineChars="200"/>
        <w:rPr>
          <w:rFonts w:cs="宋体"/>
          <w:bCs/>
          <w:color w:val="auto"/>
          <w:sz w:val="24"/>
          <w:szCs w:val="24"/>
          <w:highlight w:val="none"/>
        </w:rPr>
      </w:pPr>
      <w:r>
        <w:rPr>
          <w:rFonts w:hint="eastAsia" w:cs="宋体"/>
          <w:color w:val="auto"/>
          <w:sz w:val="24"/>
          <w:szCs w:val="24"/>
          <w:highlight w:val="none"/>
        </w:rPr>
        <w:t>（3）</w:t>
      </w:r>
      <w:r>
        <w:rPr>
          <w:rFonts w:hint="eastAsia" w:cs="宋体"/>
          <w:bCs/>
          <w:color w:val="auto"/>
          <w:sz w:val="24"/>
          <w:szCs w:val="24"/>
          <w:highlight w:val="none"/>
          <w:lang w:eastAsia="zh-CN"/>
        </w:rPr>
        <w:t>甲方</w:t>
      </w:r>
      <w:r>
        <w:rPr>
          <w:rFonts w:hint="eastAsia" w:cs="宋体"/>
          <w:bCs/>
          <w:color w:val="auto"/>
          <w:sz w:val="24"/>
          <w:szCs w:val="24"/>
          <w:highlight w:val="none"/>
        </w:rPr>
        <w:t>于每月25日前将工资性工程进度款转入农民工工资专用账户。</w:t>
      </w:r>
    </w:p>
    <w:p w14:paraId="2FBB9FB4">
      <w:pPr>
        <w:adjustRightInd w:val="0"/>
        <w:snapToGrid w:val="0"/>
        <w:spacing w:line="360" w:lineRule="auto"/>
        <w:ind w:firstLine="480" w:firstLineChars="200"/>
        <w:rPr>
          <w:rFonts w:cs="宋体"/>
          <w:bCs/>
          <w:color w:val="auto"/>
          <w:sz w:val="24"/>
          <w:szCs w:val="24"/>
          <w:highlight w:val="none"/>
        </w:rPr>
      </w:pPr>
      <w:r>
        <w:rPr>
          <w:rFonts w:hint="eastAsia" w:cs="宋体"/>
          <w:color w:val="auto"/>
          <w:sz w:val="24"/>
          <w:szCs w:val="24"/>
          <w:highlight w:val="none"/>
        </w:rPr>
        <w:t>（4）</w:t>
      </w:r>
      <w:r>
        <w:rPr>
          <w:rFonts w:hint="eastAsia" w:cs="宋体"/>
          <w:bCs/>
          <w:color w:val="auto"/>
          <w:sz w:val="24"/>
          <w:szCs w:val="24"/>
          <w:highlight w:val="none"/>
          <w:lang w:eastAsia="zh-CN"/>
        </w:rPr>
        <w:t>乙方</w:t>
      </w:r>
      <w:r>
        <w:rPr>
          <w:rFonts w:hint="eastAsia" w:cs="宋体"/>
          <w:bCs/>
          <w:color w:val="auto"/>
          <w:sz w:val="24"/>
          <w:szCs w:val="24"/>
          <w:highlight w:val="none"/>
        </w:rPr>
        <w:t>每月25日前上报本工程农民工工资清单，每月10日前委托开设农民工工资专用账户的银行支付农民工工资。</w:t>
      </w:r>
    </w:p>
    <w:p w14:paraId="12437AA6">
      <w:pPr>
        <w:adjustRightInd w:val="0"/>
        <w:snapToGrid w:val="0"/>
        <w:spacing w:line="360" w:lineRule="auto"/>
        <w:ind w:firstLine="480" w:firstLineChars="200"/>
        <w:rPr>
          <w:rFonts w:cs="宋体"/>
          <w:b/>
          <w:color w:val="auto"/>
          <w:sz w:val="24"/>
          <w:szCs w:val="24"/>
          <w:highlight w:val="none"/>
        </w:rPr>
      </w:pPr>
      <w:r>
        <w:rPr>
          <w:rFonts w:hint="eastAsia" w:cs="宋体"/>
          <w:color w:val="auto"/>
          <w:sz w:val="24"/>
          <w:szCs w:val="24"/>
          <w:highlight w:val="none"/>
        </w:rPr>
        <w:t>（5）</w:t>
      </w:r>
      <w:r>
        <w:rPr>
          <w:rFonts w:hint="eastAsia" w:cs="宋体"/>
          <w:bCs/>
          <w:color w:val="auto"/>
          <w:sz w:val="24"/>
          <w:szCs w:val="24"/>
          <w:highlight w:val="none"/>
        </w:rPr>
        <w:t>工程</w:t>
      </w:r>
      <w:r>
        <w:rPr>
          <w:rFonts w:hint="eastAsia" w:cs="宋体"/>
          <w:bCs/>
          <w:color w:val="auto"/>
          <w:sz w:val="24"/>
          <w:szCs w:val="24"/>
          <w:highlight w:val="none"/>
          <w:lang w:eastAsia="zh-CN"/>
        </w:rPr>
        <w:t>完工</w:t>
      </w:r>
      <w:r>
        <w:rPr>
          <w:rFonts w:hint="eastAsia" w:cs="宋体"/>
          <w:bCs/>
          <w:color w:val="auto"/>
          <w:sz w:val="24"/>
          <w:szCs w:val="24"/>
          <w:highlight w:val="none"/>
        </w:rPr>
        <w:t>后，经项目部农民工维权组确认无农民工工资拖欠后，发、承双方办理农民工工资专用账户撤销手续，农民工工资专用账户余额划至本合同约定的</w:t>
      </w:r>
      <w:r>
        <w:rPr>
          <w:rFonts w:hint="eastAsia" w:cs="宋体"/>
          <w:bCs/>
          <w:color w:val="auto"/>
          <w:sz w:val="24"/>
          <w:szCs w:val="24"/>
          <w:highlight w:val="none"/>
          <w:lang w:eastAsia="zh-CN"/>
        </w:rPr>
        <w:t>乙方</w:t>
      </w:r>
      <w:r>
        <w:rPr>
          <w:rFonts w:hint="eastAsia" w:cs="宋体"/>
          <w:bCs/>
          <w:color w:val="auto"/>
          <w:sz w:val="24"/>
          <w:szCs w:val="24"/>
          <w:highlight w:val="none"/>
        </w:rPr>
        <w:t>账户。</w:t>
      </w:r>
    </w:p>
    <w:bookmarkEnd w:id="349"/>
    <w:p w14:paraId="700A0173">
      <w:pPr>
        <w:snapToGrid w:val="0"/>
        <w:spacing w:before="312" w:beforeLines="100" w:after="312" w:afterLines="100" w:line="360" w:lineRule="auto"/>
        <w:outlineLvl w:val="2"/>
        <w:rPr>
          <w:rFonts w:cs="宋体"/>
          <w:color w:val="auto"/>
          <w:sz w:val="24"/>
          <w:szCs w:val="24"/>
          <w:highlight w:val="none"/>
        </w:rPr>
      </w:pPr>
      <w:bookmarkStart w:id="520" w:name="_Toc351203645"/>
      <w:bookmarkStart w:id="521" w:name="_Toc292559929"/>
      <w:bookmarkStart w:id="522" w:name="_Toc297216223"/>
      <w:bookmarkStart w:id="523" w:name="_Toc297123564"/>
      <w:bookmarkStart w:id="524" w:name="_Toc297120519"/>
      <w:bookmarkStart w:id="525" w:name="_Toc304295593"/>
      <w:bookmarkStart w:id="526" w:name="_Toc296944558"/>
      <w:bookmarkStart w:id="527" w:name="_Toc303539172"/>
      <w:bookmarkStart w:id="528" w:name="_Toc297048405"/>
      <w:bookmarkStart w:id="529" w:name="_Toc300935015"/>
      <w:bookmarkStart w:id="530" w:name="_Toc296891047"/>
      <w:bookmarkStart w:id="531" w:name="_Toc312678053"/>
      <w:bookmarkStart w:id="532" w:name="_Toc292559424"/>
      <w:bookmarkStart w:id="533" w:name="_Toc296891259"/>
      <w:bookmarkStart w:id="534" w:name="_Toc296347218"/>
      <w:bookmarkStart w:id="535" w:name="_Toc296503219"/>
      <w:bookmarkStart w:id="536" w:name="_Toc296346720"/>
      <w:r>
        <w:rPr>
          <w:rFonts w:hint="eastAsia" w:cs="宋体"/>
          <w:color w:val="auto"/>
          <w:sz w:val="24"/>
          <w:szCs w:val="24"/>
          <w:highlight w:val="none"/>
        </w:rPr>
        <w:t>13. 验收和工程试车</w:t>
      </w:r>
      <w:bookmarkEnd w:id="520"/>
    </w:p>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14:paraId="3C6CD10A">
      <w:pPr>
        <w:keepNext/>
        <w:keepLines/>
        <w:snapToGrid w:val="0"/>
        <w:spacing w:before="120" w:after="120" w:line="360" w:lineRule="auto"/>
        <w:jc w:val="left"/>
        <w:outlineLvl w:val="2"/>
        <w:rPr>
          <w:rFonts w:cs="宋体"/>
          <w:bCs/>
          <w:color w:val="auto"/>
          <w:sz w:val="24"/>
          <w:szCs w:val="24"/>
          <w:highlight w:val="none"/>
        </w:rPr>
      </w:pPr>
      <w:r>
        <w:rPr>
          <w:rFonts w:hint="eastAsia" w:cs="宋体"/>
          <w:bCs/>
          <w:color w:val="auto"/>
          <w:sz w:val="24"/>
          <w:szCs w:val="24"/>
          <w:highlight w:val="none"/>
        </w:rPr>
        <w:t>13.1 分部分项工程验收</w:t>
      </w:r>
    </w:p>
    <w:p w14:paraId="28A6BEE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13.1.2 </w:t>
      </w:r>
      <w:r>
        <w:rPr>
          <w:rFonts w:hint="eastAsia" w:cs="宋体"/>
          <w:color w:val="auto"/>
          <w:sz w:val="24"/>
          <w:szCs w:val="24"/>
          <w:highlight w:val="none"/>
          <w:lang w:val="en-US" w:eastAsia="zh-CN"/>
        </w:rPr>
        <w:t>甲方</w:t>
      </w:r>
      <w:r>
        <w:rPr>
          <w:rFonts w:hint="eastAsia" w:cs="宋体"/>
          <w:color w:val="auto"/>
          <w:sz w:val="24"/>
          <w:szCs w:val="24"/>
          <w:highlight w:val="none"/>
        </w:rPr>
        <w:t>不能按时进行验收时，应提前</w:t>
      </w:r>
      <w:r>
        <w:rPr>
          <w:rFonts w:hint="eastAsia" w:cs="宋体"/>
          <w:color w:val="auto"/>
          <w:sz w:val="24"/>
          <w:szCs w:val="24"/>
          <w:highlight w:val="none"/>
          <w:u w:val="single"/>
          <w:lang w:val="en-US" w:eastAsia="zh-CN"/>
        </w:rPr>
        <w:t xml:space="preserve">  </w:t>
      </w:r>
      <w:r>
        <w:rPr>
          <w:rFonts w:hint="eastAsia" w:cs="宋体"/>
          <w:color w:val="auto"/>
          <w:sz w:val="24"/>
          <w:szCs w:val="24"/>
          <w:highlight w:val="none"/>
        </w:rPr>
        <w:t>小时提交书面延期要求。</w:t>
      </w:r>
    </w:p>
    <w:p w14:paraId="7A93EFDE">
      <w:pPr>
        <w:adjustRightInd w:val="0"/>
        <w:snapToGrid w:val="0"/>
        <w:spacing w:line="360" w:lineRule="auto"/>
        <w:ind w:firstLine="480" w:firstLineChars="200"/>
        <w:rPr>
          <w:rFonts w:cs="宋体"/>
          <w:b/>
          <w:color w:val="auto"/>
          <w:sz w:val="24"/>
          <w:szCs w:val="24"/>
          <w:highlight w:val="none"/>
        </w:rPr>
      </w:pPr>
      <w:r>
        <w:rPr>
          <w:rFonts w:hint="eastAsia" w:cs="宋体"/>
          <w:color w:val="auto"/>
          <w:sz w:val="24"/>
          <w:szCs w:val="24"/>
          <w:highlight w:val="none"/>
        </w:rPr>
        <w:t>关于延期最长不得超过：</w:t>
      </w:r>
      <w:r>
        <w:rPr>
          <w:rFonts w:hint="eastAsia" w:cs="宋体"/>
          <w:color w:val="auto"/>
          <w:sz w:val="24"/>
          <w:szCs w:val="24"/>
          <w:highlight w:val="none"/>
          <w:u w:val="single"/>
          <w:lang w:val="en-US" w:eastAsia="zh-CN"/>
        </w:rPr>
        <w:t xml:space="preserve">  </w:t>
      </w:r>
      <w:r>
        <w:rPr>
          <w:rFonts w:hint="eastAsia" w:cs="宋体"/>
          <w:color w:val="auto"/>
          <w:sz w:val="24"/>
          <w:szCs w:val="24"/>
          <w:highlight w:val="none"/>
        </w:rPr>
        <w:t>小时。</w:t>
      </w:r>
    </w:p>
    <w:p w14:paraId="157C1E83">
      <w:pPr>
        <w:keepNext/>
        <w:keepLines/>
        <w:snapToGrid w:val="0"/>
        <w:spacing w:before="120" w:after="120" w:line="360" w:lineRule="auto"/>
        <w:ind w:firstLine="480" w:firstLineChars="200"/>
        <w:outlineLvl w:val="3"/>
        <w:rPr>
          <w:rFonts w:cs="宋体"/>
          <w:bCs/>
          <w:color w:val="auto"/>
          <w:sz w:val="24"/>
          <w:szCs w:val="24"/>
          <w:highlight w:val="none"/>
        </w:rPr>
      </w:pPr>
      <w:bookmarkStart w:id="537" w:name="_Toc296347222"/>
      <w:bookmarkStart w:id="538" w:name="_Toc297048409"/>
      <w:bookmarkStart w:id="539" w:name="_Toc292559933"/>
      <w:bookmarkStart w:id="540" w:name="_Toc297120523"/>
      <w:bookmarkStart w:id="541" w:name="_Toc303539173"/>
      <w:bookmarkStart w:id="542" w:name="_Toc296346724"/>
      <w:bookmarkStart w:id="543" w:name="_Toc297216224"/>
      <w:bookmarkStart w:id="544" w:name="_Toc296891051"/>
      <w:bookmarkStart w:id="545" w:name="_Toc292559428"/>
      <w:bookmarkStart w:id="546" w:name="_Toc304295596"/>
      <w:bookmarkStart w:id="547" w:name="_Toc296891263"/>
      <w:bookmarkStart w:id="548" w:name="_Toc300935016"/>
      <w:bookmarkStart w:id="549" w:name="_Toc296944562"/>
      <w:bookmarkStart w:id="550" w:name="_Toc297123565"/>
      <w:bookmarkStart w:id="551" w:name="_Toc312678056"/>
      <w:bookmarkStart w:id="552" w:name="_Toc296503223"/>
      <w:bookmarkStart w:id="553" w:name="_Toc267251475"/>
      <w:bookmarkStart w:id="554" w:name="_Toc267251476"/>
      <w:bookmarkStart w:id="555" w:name="_Toc267251473"/>
      <w:bookmarkStart w:id="556" w:name="_Toc267251471"/>
      <w:bookmarkStart w:id="557" w:name="_Toc267251472"/>
      <w:bookmarkStart w:id="558" w:name="_Toc267251474"/>
      <w:bookmarkStart w:id="559" w:name="_Toc267251470"/>
      <w:r>
        <w:rPr>
          <w:rFonts w:hint="eastAsia" w:cs="宋体"/>
          <w:bCs/>
          <w:color w:val="auto"/>
          <w:sz w:val="24"/>
          <w:szCs w:val="24"/>
          <w:highlight w:val="none"/>
        </w:rPr>
        <w:t xml:space="preserve">13.2 </w:t>
      </w:r>
      <w:r>
        <w:rPr>
          <w:rFonts w:hint="eastAsia" w:cs="宋体"/>
          <w:bCs/>
          <w:color w:val="auto"/>
          <w:sz w:val="24"/>
          <w:szCs w:val="24"/>
          <w:highlight w:val="none"/>
          <w:lang w:eastAsia="zh-CN"/>
        </w:rPr>
        <w:t>完工</w:t>
      </w:r>
      <w:r>
        <w:rPr>
          <w:rFonts w:hint="eastAsia" w:cs="宋体"/>
          <w:bCs/>
          <w:color w:val="auto"/>
          <w:sz w:val="24"/>
          <w:szCs w:val="24"/>
          <w:highlight w:val="none"/>
        </w:rPr>
        <w:t>验收</w:t>
      </w:r>
    </w:p>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4AA9FF5C">
      <w:pPr>
        <w:adjustRightInd w:val="0"/>
        <w:snapToGrid w:val="0"/>
        <w:spacing w:line="360" w:lineRule="auto"/>
        <w:ind w:firstLine="480" w:firstLineChars="200"/>
        <w:rPr>
          <w:rFonts w:cs="宋体"/>
          <w:color w:val="auto"/>
          <w:sz w:val="24"/>
          <w:szCs w:val="24"/>
          <w:highlight w:val="none"/>
        </w:rPr>
      </w:pPr>
      <w:bookmarkStart w:id="560" w:name="_Toc280868704"/>
      <w:bookmarkStart w:id="561" w:name="_Toc280868705"/>
      <w:bookmarkStart w:id="562" w:name="_Toc280868706"/>
      <w:bookmarkStart w:id="563" w:name="_Toc280868707"/>
      <w:bookmarkStart w:id="564" w:name="_Toc280868708"/>
      <w:bookmarkStart w:id="565" w:name="_Toc280868709"/>
      <w:r>
        <w:rPr>
          <w:rFonts w:hint="eastAsia" w:cs="宋体"/>
          <w:color w:val="auto"/>
          <w:sz w:val="24"/>
          <w:szCs w:val="24"/>
          <w:highlight w:val="none"/>
        </w:rPr>
        <w:t xml:space="preserve">13.2.2 </w:t>
      </w:r>
      <w:r>
        <w:rPr>
          <w:rFonts w:hint="eastAsia" w:cs="宋体"/>
          <w:color w:val="auto"/>
          <w:sz w:val="24"/>
          <w:szCs w:val="24"/>
          <w:highlight w:val="none"/>
          <w:lang w:eastAsia="zh-CN"/>
        </w:rPr>
        <w:t>完工</w:t>
      </w:r>
      <w:r>
        <w:rPr>
          <w:rFonts w:hint="eastAsia" w:cs="宋体"/>
          <w:color w:val="auto"/>
          <w:sz w:val="24"/>
          <w:szCs w:val="24"/>
          <w:highlight w:val="none"/>
        </w:rPr>
        <w:t>验收程序</w:t>
      </w:r>
    </w:p>
    <w:bookmarkEnd w:id="560"/>
    <w:p w14:paraId="1D128E1A">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w:t>
      </w:r>
      <w:r>
        <w:rPr>
          <w:rFonts w:hint="eastAsia" w:cs="宋体"/>
          <w:color w:val="auto"/>
          <w:sz w:val="24"/>
          <w:szCs w:val="24"/>
          <w:highlight w:val="none"/>
          <w:lang w:eastAsia="zh-CN"/>
        </w:rPr>
        <w:t>完工</w:t>
      </w:r>
      <w:r>
        <w:rPr>
          <w:rFonts w:hint="eastAsia" w:cs="宋体"/>
          <w:color w:val="auto"/>
          <w:sz w:val="24"/>
          <w:szCs w:val="24"/>
          <w:highlight w:val="none"/>
        </w:rPr>
        <w:t>验收程序的约定：</w:t>
      </w:r>
      <w:r>
        <w:rPr>
          <w:rFonts w:hint="eastAsia" w:cs="宋体"/>
          <w:color w:val="auto"/>
          <w:sz w:val="24"/>
          <w:szCs w:val="24"/>
          <w:highlight w:val="none"/>
          <w:u w:val="single"/>
        </w:rPr>
        <w:t>执行通用条款</w:t>
      </w:r>
      <w:r>
        <w:rPr>
          <w:rFonts w:hint="eastAsia" w:cs="宋体"/>
          <w:color w:val="auto"/>
          <w:sz w:val="24"/>
          <w:szCs w:val="24"/>
          <w:highlight w:val="none"/>
        </w:rPr>
        <w:t>。</w:t>
      </w:r>
    </w:p>
    <w:p w14:paraId="73C609BA">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不按照本项约定组织</w:t>
      </w:r>
      <w:r>
        <w:rPr>
          <w:rFonts w:hint="eastAsia" w:cs="宋体"/>
          <w:color w:val="auto"/>
          <w:sz w:val="24"/>
          <w:szCs w:val="24"/>
          <w:highlight w:val="none"/>
          <w:lang w:eastAsia="zh-CN"/>
        </w:rPr>
        <w:t>完工</w:t>
      </w:r>
      <w:r>
        <w:rPr>
          <w:rFonts w:hint="eastAsia" w:cs="宋体"/>
          <w:color w:val="auto"/>
          <w:sz w:val="24"/>
          <w:szCs w:val="24"/>
          <w:highlight w:val="none"/>
        </w:rPr>
        <w:t>验收、颁发工程接收证书的违约金的计算方法：</w:t>
      </w:r>
      <w:r>
        <w:rPr>
          <w:rFonts w:hint="eastAsia" w:cs="宋体"/>
          <w:color w:val="auto"/>
          <w:sz w:val="24"/>
          <w:szCs w:val="24"/>
          <w:highlight w:val="none"/>
          <w:u w:val="single"/>
        </w:rPr>
        <w:t>执行通用条款</w:t>
      </w:r>
      <w:r>
        <w:rPr>
          <w:rFonts w:hint="eastAsia" w:cs="宋体"/>
          <w:color w:val="auto"/>
          <w:sz w:val="24"/>
          <w:szCs w:val="24"/>
          <w:highlight w:val="none"/>
        </w:rPr>
        <w:t>。</w:t>
      </w:r>
    </w:p>
    <w:bookmarkEnd w:id="561"/>
    <w:p w14:paraId="06BB093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13.2.5 移交、接收全部与部分工程</w:t>
      </w:r>
    </w:p>
    <w:bookmarkEnd w:id="562"/>
    <w:p w14:paraId="2CA5390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向</w:t>
      </w:r>
      <w:r>
        <w:rPr>
          <w:rFonts w:hint="eastAsia" w:cs="宋体"/>
          <w:color w:val="auto"/>
          <w:sz w:val="24"/>
          <w:szCs w:val="24"/>
          <w:highlight w:val="none"/>
          <w:lang w:eastAsia="zh-CN"/>
        </w:rPr>
        <w:t>甲方</w:t>
      </w:r>
      <w:r>
        <w:rPr>
          <w:rFonts w:hint="eastAsia" w:cs="宋体"/>
          <w:color w:val="auto"/>
          <w:sz w:val="24"/>
          <w:szCs w:val="24"/>
          <w:highlight w:val="none"/>
        </w:rPr>
        <w:t>移交工程的期限：</w:t>
      </w:r>
      <w:r>
        <w:rPr>
          <w:rFonts w:hint="eastAsia" w:cs="宋体"/>
          <w:color w:val="auto"/>
          <w:sz w:val="24"/>
          <w:szCs w:val="24"/>
          <w:highlight w:val="none"/>
          <w:u w:val="single"/>
        </w:rPr>
        <w:t>颁发工程接收证书后7天内完成工程的移交</w:t>
      </w:r>
      <w:r>
        <w:rPr>
          <w:rFonts w:hint="eastAsia" w:cs="宋体"/>
          <w:color w:val="auto"/>
          <w:sz w:val="24"/>
          <w:szCs w:val="24"/>
          <w:highlight w:val="none"/>
        </w:rPr>
        <w:t>。</w:t>
      </w:r>
    </w:p>
    <w:p w14:paraId="66447293">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未按本合同约定接收全部或部分工程的，违约金的计算方法为：</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自应当接收工程之日起，承担工程照管、成品保护、保管等与工程有关的各项费用</w:t>
      </w:r>
      <w:r>
        <w:rPr>
          <w:rFonts w:hint="eastAsia" w:cs="宋体"/>
          <w:color w:val="auto"/>
          <w:sz w:val="24"/>
          <w:szCs w:val="24"/>
          <w:highlight w:val="none"/>
        </w:rPr>
        <w:t>。</w:t>
      </w:r>
    </w:p>
    <w:bookmarkEnd w:id="563"/>
    <w:p w14:paraId="760F4336">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乙方</w:t>
      </w:r>
      <w:r>
        <w:rPr>
          <w:rFonts w:hint="eastAsia" w:cs="宋体"/>
          <w:color w:val="auto"/>
          <w:sz w:val="24"/>
          <w:szCs w:val="24"/>
          <w:highlight w:val="none"/>
        </w:rPr>
        <w:t>未按时移交工程的，违约金的计算方法为：</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应承担工程照管、成品保护、保管等与工程有关的各项费用</w:t>
      </w:r>
      <w:r>
        <w:rPr>
          <w:rFonts w:hint="eastAsia" w:cs="宋体"/>
          <w:color w:val="auto"/>
          <w:sz w:val="24"/>
          <w:szCs w:val="24"/>
          <w:highlight w:val="none"/>
        </w:rPr>
        <w:t>。</w:t>
      </w:r>
    </w:p>
    <w:p w14:paraId="2D20AC2C">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13.3 工程试车</w:t>
      </w:r>
    </w:p>
    <w:bookmarkEnd w:id="564"/>
    <w:p w14:paraId="3608228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13.3.1 试车程序</w:t>
      </w:r>
    </w:p>
    <w:p w14:paraId="7D80BA4B">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工程试车内容：</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B3BDF4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（1）单机无负荷试车费用由</w:t>
      </w:r>
      <w:r>
        <w:rPr>
          <w:rFonts w:hint="eastAsia" w:cs="宋体"/>
          <w:color w:val="auto"/>
          <w:sz w:val="24"/>
          <w:szCs w:val="24"/>
          <w:highlight w:val="none"/>
          <w:u w:val="single"/>
        </w:rPr>
        <w:t>试车消耗的生产性原材料由</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承担；试车其他费用（包括试车所需水电油等费用）由</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在投标报价中综合考虑并</w:t>
      </w:r>
      <w:r>
        <w:rPr>
          <w:rFonts w:hint="eastAsia" w:cs="宋体"/>
          <w:color w:val="auto"/>
          <w:sz w:val="24"/>
          <w:szCs w:val="24"/>
          <w:highlight w:val="none"/>
        </w:rPr>
        <w:t>承担；</w:t>
      </w:r>
    </w:p>
    <w:p w14:paraId="4B96007B">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（2）无负荷联动试车费用由</w:t>
      </w:r>
      <w:r>
        <w:rPr>
          <w:rFonts w:hint="eastAsia" w:cs="宋体"/>
          <w:color w:val="auto"/>
          <w:sz w:val="24"/>
          <w:szCs w:val="24"/>
          <w:highlight w:val="none"/>
          <w:u w:val="single"/>
        </w:rPr>
        <w:t>试车消耗的生产性原材料由</w:t>
      </w:r>
      <w:r>
        <w:rPr>
          <w:rFonts w:hint="eastAsia" w:cs="宋体"/>
          <w:color w:val="auto"/>
          <w:sz w:val="24"/>
          <w:szCs w:val="24"/>
          <w:highlight w:val="none"/>
          <w:u w:val="single"/>
          <w:lang w:eastAsia="zh-CN"/>
        </w:rPr>
        <w:t>甲方</w:t>
      </w:r>
      <w:r>
        <w:rPr>
          <w:rFonts w:hint="eastAsia" w:cs="宋体"/>
          <w:color w:val="auto"/>
          <w:sz w:val="24"/>
          <w:szCs w:val="24"/>
          <w:highlight w:val="none"/>
          <w:u w:val="single"/>
        </w:rPr>
        <w:t>承担；试车其他费用（包括试车所需水电油等费用）由</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在投标报价中综合考虑并</w:t>
      </w:r>
      <w:r>
        <w:rPr>
          <w:rFonts w:hint="eastAsia" w:cs="宋体"/>
          <w:color w:val="auto"/>
          <w:sz w:val="24"/>
          <w:szCs w:val="24"/>
          <w:highlight w:val="none"/>
        </w:rPr>
        <w:t>承担。</w:t>
      </w:r>
    </w:p>
    <w:p w14:paraId="3FE6A97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13.3.3 投料试车</w:t>
      </w:r>
    </w:p>
    <w:p w14:paraId="4D94B100">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关于投料试车相关事项的约定：</w:t>
      </w:r>
      <w:r>
        <w:rPr>
          <w:rFonts w:hint="eastAsia" w:cs="宋体"/>
          <w:color w:val="auto"/>
          <w:sz w:val="24"/>
          <w:szCs w:val="24"/>
          <w:highlight w:val="none"/>
          <w:u w:val="single"/>
        </w:rPr>
        <w:t>执行通用条款</w:t>
      </w:r>
      <w:r>
        <w:rPr>
          <w:rFonts w:hint="eastAsia" w:cs="宋体"/>
          <w:color w:val="auto"/>
          <w:sz w:val="24"/>
          <w:szCs w:val="24"/>
          <w:highlight w:val="none"/>
        </w:rPr>
        <w:t>。</w:t>
      </w:r>
    </w:p>
    <w:p w14:paraId="52175940">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13.6 </w:t>
      </w:r>
      <w:r>
        <w:rPr>
          <w:rFonts w:hint="eastAsia" w:cs="宋体"/>
          <w:bCs/>
          <w:color w:val="auto"/>
          <w:sz w:val="24"/>
          <w:szCs w:val="24"/>
          <w:highlight w:val="none"/>
          <w:lang w:eastAsia="zh-CN"/>
        </w:rPr>
        <w:t>完工</w:t>
      </w:r>
      <w:r>
        <w:rPr>
          <w:rFonts w:hint="eastAsia" w:cs="宋体"/>
          <w:bCs/>
          <w:color w:val="auto"/>
          <w:sz w:val="24"/>
          <w:szCs w:val="24"/>
          <w:highlight w:val="none"/>
        </w:rPr>
        <w:t>退场</w:t>
      </w:r>
    </w:p>
    <w:p w14:paraId="3A3D580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13.6.1 </w:t>
      </w:r>
      <w:r>
        <w:rPr>
          <w:rFonts w:hint="eastAsia" w:cs="宋体"/>
          <w:color w:val="auto"/>
          <w:sz w:val="24"/>
          <w:szCs w:val="24"/>
          <w:highlight w:val="none"/>
          <w:lang w:eastAsia="zh-CN"/>
        </w:rPr>
        <w:t>完工</w:t>
      </w:r>
      <w:r>
        <w:rPr>
          <w:rFonts w:hint="eastAsia" w:cs="宋体"/>
          <w:color w:val="auto"/>
          <w:sz w:val="24"/>
          <w:szCs w:val="24"/>
          <w:highlight w:val="none"/>
        </w:rPr>
        <w:t>退场</w:t>
      </w:r>
    </w:p>
    <w:p w14:paraId="45F5CA8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完成</w:t>
      </w:r>
      <w:r>
        <w:rPr>
          <w:rFonts w:hint="eastAsia" w:cs="宋体"/>
          <w:color w:val="auto"/>
          <w:sz w:val="24"/>
          <w:szCs w:val="24"/>
          <w:highlight w:val="none"/>
          <w:lang w:eastAsia="zh-CN"/>
        </w:rPr>
        <w:t>完工</w:t>
      </w:r>
      <w:r>
        <w:rPr>
          <w:rFonts w:hint="eastAsia" w:cs="宋体"/>
          <w:color w:val="auto"/>
          <w:sz w:val="24"/>
          <w:szCs w:val="24"/>
          <w:highlight w:val="none"/>
        </w:rPr>
        <w:t>退场的期限：</w:t>
      </w:r>
      <w:r>
        <w:rPr>
          <w:rFonts w:hint="eastAsia" w:cs="宋体"/>
          <w:color w:val="auto"/>
          <w:sz w:val="24"/>
          <w:szCs w:val="24"/>
          <w:highlight w:val="none"/>
          <w:u w:val="single"/>
        </w:rPr>
        <w:t xml:space="preserve">                            </w:t>
      </w:r>
      <w:r>
        <w:rPr>
          <w:rFonts w:hint="eastAsia" w:cs="宋体"/>
          <w:color w:val="auto"/>
          <w:sz w:val="24"/>
          <w:szCs w:val="24"/>
          <w:highlight w:val="none"/>
        </w:rPr>
        <w:t>。</w:t>
      </w:r>
    </w:p>
    <w:p w14:paraId="229E1111">
      <w:pPr>
        <w:snapToGrid w:val="0"/>
        <w:spacing w:before="312" w:beforeLines="100" w:after="312" w:afterLines="100" w:line="360" w:lineRule="auto"/>
        <w:outlineLvl w:val="2"/>
        <w:rPr>
          <w:rFonts w:cs="宋体"/>
          <w:color w:val="auto"/>
          <w:sz w:val="24"/>
          <w:szCs w:val="24"/>
          <w:highlight w:val="none"/>
        </w:rPr>
      </w:pPr>
      <w:bookmarkStart w:id="566" w:name="_Toc351203646"/>
      <w:r>
        <w:rPr>
          <w:rFonts w:hint="eastAsia" w:cs="宋体"/>
          <w:color w:val="auto"/>
          <w:sz w:val="24"/>
          <w:szCs w:val="24"/>
          <w:highlight w:val="none"/>
        </w:rPr>
        <w:t xml:space="preserve">14. </w:t>
      </w:r>
      <w:r>
        <w:rPr>
          <w:rFonts w:hint="eastAsia" w:cs="宋体"/>
          <w:color w:val="auto"/>
          <w:sz w:val="24"/>
          <w:szCs w:val="24"/>
          <w:highlight w:val="none"/>
          <w:lang w:eastAsia="zh-CN"/>
        </w:rPr>
        <w:t>完工</w:t>
      </w:r>
      <w:r>
        <w:rPr>
          <w:rFonts w:hint="eastAsia" w:cs="宋体"/>
          <w:color w:val="auto"/>
          <w:sz w:val="24"/>
          <w:szCs w:val="24"/>
          <w:highlight w:val="none"/>
        </w:rPr>
        <w:t>结算</w:t>
      </w:r>
      <w:bookmarkEnd w:id="566"/>
    </w:p>
    <w:p w14:paraId="06E82581">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14.1 </w:t>
      </w:r>
      <w:r>
        <w:rPr>
          <w:rFonts w:hint="eastAsia" w:cs="宋体"/>
          <w:bCs/>
          <w:color w:val="auto"/>
          <w:sz w:val="24"/>
          <w:szCs w:val="24"/>
          <w:highlight w:val="none"/>
          <w:lang w:eastAsia="zh-CN"/>
        </w:rPr>
        <w:t>完工</w:t>
      </w:r>
      <w:r>
        <w:rPr>
          <w:rFonts w:hint="eastAsia" w:cs="宋体"/>
          <w:bCs/>
          <w:color w:val="auto"/>
          <w:sz w:val="24"/>
          <w:szCs w:val="24"/>
          <w:highlight w:val="none"/>
        </w:rPr>
        <w:t>结算申请</w:t>
      </w:r>
    </w:p>
    <w:p w14:paraId="7D7FA89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提交</w:t>
      </w:r>
      <w:r>
        <w:rPr>
          <w:rFonts w:hint="eastAsia" w:cs="宋体"/>
          <w:color w:val="auto"/>
          <w:sz w:val="24"/>
          <w:szCs w:val="24"/>
          <w:highlight w:val="none"/>
          <w:lang w:eastAsia="zh-CN"/>
        </w:rPr>
        <w:t>完工</w:t>
      </w:r>
      <w:r>
        <w:rPr>
          <w:rFonts w:hint="eastAsia" w:cs="宋体"/>
          <w:color w:val="auto"/>
          <w:sz w:val="24"/>
          <w:szCs w:val="24"/>
          <w:highlight w:val="none"/>
        </w:rPr>
        <w:t>结算申请单的期限：</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应在工程</w:t>
      </w:r>
      <w:r>
        <w:rPr>
          <w:rFonts w:hint="eastAsia" w:cs="宋体"/>
          <w:color w:val="auto"/>
          <w:sz w:val="24"/>
          <w:szCs w:val="24"/>
          <w:highlight w:val="none"/>
          <w:u w:val="single"/>
          <w:lang w:eastAsia="zh-CN"/>
        </w:rPr>
        <w:t>完工</w:t>
      </w:r>
      <w:r>
        <w:rPr>
          <w:rFonts w:hint="eastAsia" w:cs="宋体"/>
          <w:color w:val="auto"/>
          <w:sz w:val="24"/>
          <w:szCs w:val="24"/>
          <w:highlight w:val="none"/>
          <w:u w:val="single"/>
        </w:rPr>
        <w:t>验收合格后28天内</w:t>
      </w:r>
      <w:r>
        <w:rPr>
          <w:rFonts w:hint="eastAsia" w:cs="宋体"/>
          <w:color w:val="auto"/>
          <w:sz w:val="24"/>
          <w:szCs w:val="24"/>
          <w:highlight w:val="none"/>
        </w:rPr>
        <w:t>。</w:t>
      </w:r>
    </w:p>
    <w:p w14:paraId="76092AEB">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完工</w:t>
      </w:r>
      <w:r>
        <w:rPr>
          <w:rFonts w:hint="eastAsia" w:cs="宋体"/>
          <w:color w:val="auto"/>
          <w:sz w:val="24"/>
          <w:szCs w:val="24"/>
          <w:highlight w:val="none"/>
        </w:rPr>
        <w:t>结算申请单应包括的内容：</w:t>
      </w:r>
      <w:r>
        <w:rPr>
          <w:rFonts w:hint="eastAsia" w:cs="宋体"/>
          <w:color w:val="auto"/>
          <w:sz w:val="24"/>
          <w:szCs w:val="24"/>
          <w:highlight w:val="none"/>
          <w:u w:val="single"/>
        </w:rPr>
        <w:t>执行通用条款</w:t>
      </w:r>
      <w:r>
        <w:rPr>
          <w:rFonts w:hint="eastAsia" w:cs="宋体"/>
          <w:color w:val="auto"/>
          <w:sz w:val="24"/>
          <w:szCs w:val="24"/>
          <w:highlight w:val="none"/>
        </w:rPr>
        <w:t>。</w:t>
      </w:r>
    </w:p>
    <w:p w14:paraId="0B5247D5">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 xml:space="preserve">14.2 </w:t>
      </w:r>
      <w:r>
        <w:rPr>
          <w:rFonts w:hint="eastAsia" w:cs="宋体"/>
          <w:bCs/>
          <w:color w:val="auto"/>
          <w:sz w:val="24"/>
          <w:szCs w:val="24"/>
          <w:highlight w:val="none"/>
          <w:lang w:eastAsia="zh-CN"/>
        </w:rPr>
        <w:t>完工</w:t>
      </w:r>
      <w:r>
        <w:rPr>
          <w:rFonts w:hint="eastAsia" w:cs="宋体"/>
          <w:bCs/>
          <w:color w:val="auto"/>
          <w:sz w:val="24"/>
          <w:szCs w:val="24"/>
          <w:highlight w:val="none"/>
        </w:rPr>
        <w:t>结算审核</w:t>
      </w:r>
    </w:p>
    <w:p w14:paraId="418A5FC6">
      <w:pPr>
        <w:adjustRightInd w:val="0"/>
        <w:snapToGrid w:val="0"/>
        <w:spacing w:line="360" w:lineRule="auto"/>
        <w:ind w:firstLine="480" w:firstLineChars="200"/>
        <w:rPr>
          <w:rFonts w:hint="eastAsia" w:cs="宋体"/>
          <w:strike w:val="0"/>
          <w:dstrike w:val="0"/>
          <w:color w:val="auto"/>
          <w:sz w:val="24"/>
          <w:szCs w:val="24"/>
          <w:highlight w:val="none"/>
          <w:u w:val="single"/>
          <w:lang w:val="en-US" w:eastAsia="zh-CN"/>
        </w:rPr>
      </w:pPr>
      <w:r>
        <w:rPr>
          <w:rFonts w:hint="eastAsia" w:cs="宋体"/>
          <w:color w:val="auto"/>
          <w:sz w:val="24"/>
          <w:szCs w:val="24"/>
          <w:highlight w:val="none"/>
          <w:lang w:eastAsia="zh-CN"/>
        </w:rPr>
        <w:t>甲方</w:t>
      </w:r>
      <w:r>
        <w:rPr>
          <w:rFonts w:hint="eastAsia" w:cs="宋体"/>
          <w:color w:val="auto"/>
          <w:sz w:val="24"/>
          <w:szCs w:val="24"/>
          <w:highlight w:val="none"/>
        </w:rPr>
        <w:t>审批</w:t>
      </w:r>
      <w:r>
        <w:rPr>
          <w:rFonts w:hint="eastAsia" w:cs="宋体"/>
          <w:color w:val="auto"/>
          <w:sz w:val="24"/>
          <w:szCs w:val="24"/>
          <w:highlight w:val="none"/>
          <w:lang w:eastAsia="zh-CN"/>
        </w:rPr>
        <w:t>完工</w:t>
      </w:r>
      <w:r>
        <w:rPr>
          <w:rFonts w:hint="eastAsia" w:cs="宋体"/>
          <w:color w:val="auto"/>
          <w:sz w:val="24"/>
          <w:szCs w:val="24"/>
          <w:highlight w:val="none"/>
        </w:rPr>
        <w:t>付款申请单的期限：</w:t>
      </w:r>
      <w:r>
        <w:rPr>
          <w:rFonts w:hint="eastAsia" w:cs="宋体"/>
          <w:strike w:val="0"/>
          <w:dstrike w:val="0"/>
          <w:color w:val="auto"/>
          <w:sz w:val="24"/>
          <w:szCs w:val="24"/>
          <w:highlight w:val="none"/>
          <w:u w:val="single"/>
          <w:lang w:val="en-US" w:eastAsia="zh-CN"/>
        </w:rPr>
        <w:t>/</w:t>
      </w:r>
    </w:p>
    <w:p w14:paraId="563A872D">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完成</w:t>
      </w:r>
      <w:r>
        <w:rPr>
          <w:rFonts w:hint="eastAsia" w:cs="宋体"/>
          <w:color w:val="auto"/>
          <w:sz w:val="24"/>
          <w:szCs w:val="24"/>
          <w:highlight w:val="none"/>
          <w:lang w:eastAsia="zh-CN"/>
        </w:rPr>
        <w:t>完工</w:t>
      </w:r>
      <w:r>
        <w:rPr>
          <w:rFonts w:hint="eastAsia" w:cs="宋体"/>
          <w:color w:val="auto"/>
          <w:sz w:val="24"/>
          <w:szCs w:val="24"/>
          <w:highlight w:val="none"/>
        </w:rPr>
        <w:t>付款的期限：</w:t>
      </w:r>
      <w:r>
        <w:rPr>
          <w:rFonts w:hint="eastAsia" w:cs="宋体"/>
          <w:strike w:val="0"/>
          <w:dstrike w:val="0"/>
          <w:color w:val="auto"/>
          <w:sz w:val="24"/>
          <w:szCs w:val="24"/>
          <w:highlight w:val="none"/>
          <w:u w:val="single"/>
          <w:lang w:eastAsia="zh-CN"/>
        </w:rPr>
        <w:t>甲方</w:t>
      </w:r>
      <w:r>
        <w:rPr>
          <w:rFonts w:hint="eastAsia" w:cs="宋体"/>
          <w:strike w:val="0"/>
          <w:dstrike w:val="0"/>
          <w:color w:val="auto"/>
          <w:sz w:val="24"/>
          <w:szCs w:val="24"/>
          <w:highlight w:val="none"/>
          <w:u w:val="single"/>
        </w:rPr>
        <w:t>应在收到</w:t>
      </w:r>
      <w:r>
        <w:rPr>
          <w:rFonts w:hint="eastAsia" w:cs="宋体"/>
          <w:strike w:val="0"/>
          <w:dstrike w:val="0"/>
          <w:color w:val="auto"/>
          <w:sz w:val="24"/>
          <w:szCs w:val="24"/>
          <w:highlight w:val="none"/>
          <w:u w:val="single"/>
          <w:lang w:val="en-US" w:eastAsia="zh-CN"/>
        </w:rPr>
        <w:t>乙方</w:t>
      </w:r>
      <w:r>
        <w:rPr>
          <w:rFonts w:hint="eastAsia" w:cs="宋体"/>
          <w:strike w:val="0"/>
          <w:dstrike w:val="0"/>
          <w:color w:val="auto"/>
          <w:sz w:val="24"/>
          <w:szCs w:val="24"/>
          <w:highlight w:val="none"/>
          <w:u w:val="single"/>
        </w:rPr>
        <w:t>提交的经审核的</w:t>
      </w:r>
      <w:r>
        <w:rPr>
          <w:rFonts w:hint="eastAsia" w:cs="宋体"/>
          <w:strike w:val="0"/>
          <w:dstrike w:val="0"/>
          <w:color w:val="auto"/>
          <w:sz w:val="24"/>
          <w:szCs w:val="24"/>
          <w:highlight w:val="none"/>
          <w:u w:val="single"/>
          <w:lang w:eastAsia="zh-CN"/>
        </w:rPr>
        <w:t>完工</w:t>
      </w:r>
      <w:r>
        <w:rPr>
          <w:rFonts w:hint="eastAsia" w:cs="宋体"/>
          <w:strike w:val="0"/>
          <w:dstrike w:val="0"/>
          <w:color w:val="auto"/>
          <w:sz w:val="24"/>
          <w:szCs w:val="24"/>
          <w:highlight w:val="none"/>
          <w:u w:val="single"/>
        </w:rPr>
        <w:t>结算申请单后</w:t>
      </w:r>
      <w:r>
        <w:rPr>
          <w:rFonts w:hint="eastAsia" w:cs="宋体"/>
          <w:strike w:val="0"/>
          <w:dstrike w:val="0"/>
          <w:color w:val="auto"/>
          <w:sz w:val="24"/>
          <w:szCs w:val="24"/>
          <w:highlight w:val="none"/>
          <w:u w:val="single"/>
          <w:lang w:eastAsia="zh-CN"/>
        </w:rPr>
        <w:t>，</w:t>
      </w:r>
      <w:r>
        <w:rPr>
          <w:rFonts w:hint="eastAsia" w:cs="宋体"/>
          <w:strike w:val="0"/>
          <w:dstrike w:val="0"/>
          <w:color w:val="auto"/>
          <w:sz w:val="24"/>
          <w:szCs w:val="24"/>
          <w:highlight w:val="none"/>
          <w:u w:val="single"/>
          <w:lang w:val="en-US" w:eastAsia="zh-CN"/>
        </w:rPr>
        <w:t>按规定及时支付</w:t>
      </w:r>
      <w:r>
        <w:rPr>
          <w:rFonts w:hint="eastAsia" w:cs="宋体"/>
          <w:color w:val="auto"/>
          <w:sz w:val="24"/>
          <w:szCs w:val="24"/>
          <w:highlight w:val="none"/>
          <w:u w:val="single"/>
          <w:lang w:val="en-US" w:eastAsia="zh-CN"/>
        </w:rPr>
        <w:t>结算价款</w:t>
      </w:r>
      <w:r>
        <w:rPr>
          <w:rFonts w:hint="eastAsia" w:cs="宋体"/>
          <w:color w:val="auto"/>
          <w:sz w:val="24"/>
          <w:szCs w:val="24"/>
          <w:highlight w:val="none"/>
        </w:rPr>
        <w:t>。</w:t>
      </w:r>
    </w:p>
    <w:p w14:paraId="266D38A4">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关于</w:t>
      </w:r>
      <w:r>
        <w:rPr>
          <w:rFonts w:hint="eastAsia" w:cs="宋体"/>
          <w:color w:val="auto"/>
          <w:sz w:val="24"/>
          <w:szCs w:val="24"/>
          <w:highlight w:val="none"/>
          <w:lang w:eastAsia="zh-CN"/>
        </w:rPr>
        <w:t>完工</w:t>
      </w:r>
      <w:r>
        <w:rPr>
          <w:rFonts w:hint="eastAsia" w:cs="宋体"/>
          <w:color w:val="auto"/>
          <w:sz w:val="24"/>
          <w:szCs w:val="24"/>
          <w:highlight w:val="none"/>
        </w:rPr>
        <w:t>付款证书异议部分复核的方式和程序：</w:t>
      </w:r>
      <w:r>
        <w:rPr>
          <w:rFonts w:hint="eastAsia" w:cs="宋体"/>
          <w:color w:val="auto"/>
          <w:sz w:val="24"/>
          <w:szCs w:val="24"/>
          <w:highlight w:val="none"/>
          <w:u w:val="single"/>
        </w:rPr>
        <w:t>执行通用条款</w:t>
      </w:r>
      <w:r>
        <w:rPr>
          <w:rFonts w:hint="eastAsia" w:cs="宋体"/>
          <w:color w:val="auto"/>
          <w:sz w:val="24"/>
          <w:szCs w:val="24"/>
          <w:highlight w:val="none"/>
        </w:rPr>
        <w:t>。</w:t>
      </w:r>
    </w:p>
    <w:p w14:paraId="1D20A679">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14.4 最终结清</w:t>
      </w:r>
    </w:p>
    <w:p w14:paraId="09C5ADA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14.4.1 最终结清申请单</w:t>
      </w:r>
    </w:p>
    <w:p w14:paraId="3374945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提交最终结清申请单的份数：</w:t>
      </w:r>
      <w:r>
        <w:rPr>
          <w:rFonts w:hint="eastAsia" w:cs="宋体"/>
          <w:color w:val="auto"/>
          <w:sz w:val="24"/>
          <w:szCs w:val="24"/>
          <w:highlight w:val="none"/>
          <w:u w:val="single"/>
        </w:rPr>
        <w:t xml:space="preserve">                    </w:t>
      </w:r>
      <w:r>
        <w:rPr>
          <w:rFonts w:hint="eastAsia" w:cs="宋体"/>
          <w:color w:val="auto"/>
          <w:sz w:val="24"/>
          <w:szCs w:val="24"/>
          <w:highlight w:val="none"/>
        </w:rPr>
        <w:t>。</w:t>
      </w:r>
    </w:p>
    <w:p w14:paraId="18A6906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提交最终结算申请单的期限：</w:t>
      </w:r>
      <w:r>
        <w:rPr>
          <w:rFonts w:hint="eastAsia" w:cs="宋体"/>
          <w:color w:val="auto"/>
          <w:sz w:val="24"/>
          <w:szCs w:val="24"/>
          <w:highlight w:val="none"/>
          <w:u w:val="single"/>
        </w:rPr>
        <w:t>缺陷责任期终止证书颁发后7天内</w:t>
      </w:r>
      <w:r>
        <w:rPr>
          <w:rFonts w:hint="eastAsia" w:cs="宋体"/>
          <w:color w:val="auto"/>
          <w:sz w:val="24"/>
          <w:szCs w:val="24"/>
          <w:highlight w:val="none"/>
        </w:rPr>
        <w:t xml:space="preserve">。 </w:t>
      </w:r>
    </w:p>
    <w:p w14:paraId="6AE171B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14.4.2 最终结清证书和支付</w:t>
      </w:r>
    </w:p>
    <w:p w14:paraId="77671A0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w:t>
      </w:r>
      <w:r>
        <w:rPr>
          <w:rFonts w:hint="eastAsia" w:cs="宋体"/>
          <w:color w:val="auto"/>
          <w:sz w:val="24"/>
          <w:szCs w:val="24"/>
          <w:highlight w:val="none"/>
          <w:lang w:eastAsia="zh-CN"/>
        </w:rPr>
        <w:t>甲方</w:t>
      </w:r>
      <w:r>
        <w:rPr>
          <w:rFonts w:hint="eastAsia" w:cs="宋体"/>
          <w:color w:val="auto"/>
          <w:sz w:val="24"/>
          <w:szCs w:val="24"/>
          <w:highlight w:val="none"/>
        </w:rPr>
        <w:t>完成最终结清申请单的审批并颁发最终结清证书的期限：</w:t>
      </w:r>
      <w:r>
        <w:rPr>
          <w:rFonts w:hint="eastAsia" w:cs="宋体"/>
          <w:color w:val="auto"/>
          <w:sz w:val="24"/>
          <w:szCs w:val="24"/>
          <w:highlight w:val="none"/>
          <w:u w:val="single"/>
        </w:rPr>
        <w:t>收到</w:t>
      </w:r>
      <w:r>
        <w:rPr>
          <w:rFonts w:hint="eastAsia" w:cs="宋体"/>
          <w:color w:val="auto"/>
          <w:sz w:val="24"/>
          <w:szCs w:val="24"/>
          <w:highlight w:val="none"/>
          <w:u w:val="single"/>
          <w:lang w:eastAsia="zh-CN"/>
        </w:rPr>
        <w:t>乙方</w:t>
      </w:r>
      <w:r>
        <w:rPr>
          <w:rFonts w:hint="eastAsia" w:cs="宋体"/>
          <w:color w:val="auto"/>
          <w:sz w:val="24"/>
          <w:szCs w:val="24"/>
          <w:highlight w:val="none"/>
          <w:u w:val="single"/>
        </w:rPr>
        <w:t>提交的最终结清申请单后14天内</w:t>
      </w:r>
      <w:r>
        <w:rPr>
          <w:rFonts w:hint="eastAsia" w:cs="宋体"/>
          <w:color w:val="auto"/>
          <w:sz w:val="24"/>
          <w:szCs w:val="24"/>
          <w:highlight w:val="none"/>
        </w:rPr>
        <w:t>。</w:t>
      </w:r>
    </w:p>
    <w:p w14:paraId="6836575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w:t>
      </w:r>
      <w:r>
        <w:rPr>
          <w:rFonts w:hint="eastAsia" w:cs="宋体"/>
          <w:color w:val="auto"/>
          <w:sz w:val="24"/>
          <w:szCs w:val="24"/>
          <w:highlight w:val="none"/>
          <w:lang w:eastAsia="zh-CN"/>
        </w:rPr>
        <w:t>甲方</w:t>
      </w:r>
      <w:r>
        <w:rPr>
          <w:rFonts w:hint="eastAsia" w:cs="宋体"/>
          <w:color w:val="auto"/>
          <w:sz w:val="24"/>
          <w:szCs w:val="24"/>
          <w:highlight w:val="none"/>
        </w:rPr>
        <w:t>完成支付的期限：</w:t>
      </w:r>
      <w:r>
        <w:rPr>
          <w:rFonts w:hint="eastAsia" w:cs="宋体"/>
          <w:color w:val="auto"/>
          <w:sz w:val="24"/>
          <w:szCs w:val="24"/>
          <w:highlight w:val="none"/>
          <w:u w:val="single"/>
        </w:rPr>
        <w:t>颁发最终结清证书后7天内完成支付</w:t>
      </w:r>
      <w:r>
        <w:rPr>
          <w:rFonts w:hint="eastAsia" w:cs="宋体"/>
          <w:color w:val="auto"/>
          <w:sz w:val="24"/>
          <w:szCs w:val="24"/>
          <w:highlight w:val="none"/>
        </w:rPr>
        <w:t>。</w:t>
      </w:r>
    </w:p>
    <w:bookmarkEnd w:id="553"/>
    <w:bookmarkEnd w:id="554"/>
    <w:bookmarkEnd w:id="555"/>
    <w:bookmarkEnd w:id="556"/>
    <w:bookmarkEnd w:id="557"/>
    <w:bookmarkEnd w:id="558"/>
    <w:bookmarkEnd w:id="559"/>
    <w:bookmarkEnd w:id="565"/>
    <w:p w14:paraId="69C93E33">
      <w:pPr>
        <w:snapToGrid w:val="0"/>
        <w:spacing w:before="312" w:beforeLines="100" w:after="312" w:afterLines="100" w:line="360" w:lineRule="auto"/>
        <w:outlineLvl w:val="2"/>
        <w:rPr>
          <w:rFonts w:cs="宋体"/>
          <w:color w:val="auto"/>
          <w:sz w:val="24"/>
          <w:szCs w:val="24"/>
          <w:highlight w:val="none"/>
        </w:rPr>
      </w:pPr>
      <w:bookmarkStart w:id="567" w:name="_Toc351203647"/>
      <w:bookmarkStart w:id="568" w:name="_Toc267251483"/>
      <w:bookmarkStart w:id="569" w:name="_Toc267251482"/>
      <w:bookmarkStart w:id="570" w:name="_Toc267251484"/>
      <w:bookmarkStart w:id="571" w:name="_Toc267251485"/>
      <w:bookmarkStart w:id="572" w:name="_Toc267251490"/>
      <w:bookmarkStart w:id="573" w:name="_Toc267251486"/>
      <w:bookmarkStart w:id="574" w:name="_Toc267251489"/>
      <w:bookmarkStart w:id="575" w:name="_Toc267251488"/>
      <w:bookmarkStart w:id="576" w:name="_Toc267251492"/>
      <w:bookmarkStart w:id="577" w:name="_Toc267251498"/>
      <w:bookmarkStart w:id="578" w:name="_Toc267251503"/>
      <w:bookmarkStart w:id="579" w:name="_Toc267251497"/>
      <w:bookmarkStart w:id="580" w:name="_Toc267251493"/>
      <w:bookmarkStart w:id="581" w:name="_Toc267251501"/>
      <w:bookmarkStart w:id="582" w:name="_Toc267251496"/>
      <w:bookmarkStart w:id="583" w:name="_Toc267251494"/>
      <w:bookmarkStart w:id="584" w:name="_Toc267251495"/>
      <w:bookmarkStart w:id="585" w:name="_Toc267251502"/>
      <w:bookmarkStart w:id="586" w:name="_Toc267251499"/>
      <w:bookmarkStart w:id="587" w:name="_Toc267251491"/>
      <w:bookmarkStart w:id="588" w:name="_Toc267251504"/>
      <w:bookmarkStart w:id="589" w:name="_Toc267251506"/>
      <w:bookmarkStart w:id="590" w:name="_Toc267251507"/>
      <w:bookmarkStart w:id="591" w:name="_Toc267251508"/>
      <w:bookmarkStart w:id="592" w:name="_Toc267251514"/>
      <w:bookmarkStart w:id="593" w:name="_Toc267251510"/>
      <w:bookmarkStart w:id="594" w:name="_Toc267251509"/>
      <w:bookmarkStart w:id="595" w:name="_Toc267251513"/>
      <w:bookmarkStart w:id="596" w:name="_Toc267251511"/>
      <w:bookmarkStart w:id="597" w:name="_Toc267251515"/>
      <w:r>
        <w:rPr>
          <w:rFonts w:hint="eastAsia" w:cs="宋体"/>
          <w:color w:val="auto"/>
          <w:sz w:val="24"/>
          <w:szCs w:val="24"/>
          <w:highlight w:val="none"/>
        </w:rPr>
        <w:t>15. 缺陷责任期与保修</w:t>
      </w:r>
      <w:bookmarkEnd w:id="567"/>
    </w:p>
    <w:p w14:paraId="35934A36">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15.2 缺陷责任期</w:t>
      </w:r>
      <w:bookmarkEnd w:id="568"/>
    </w:p>
    <w:p w14:paraId="5E78C205">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缺陷责任期的具体期限：</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7E9B4875">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15.3 质量保证金</w:t>
      </w:r>
    </w:p>
    <w:p w14:paraId="26BD486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关于是否扣留质量保证金的约定：</w:t>
      </w:r>
      <w:r>
        <w:rPr>
          <w:rFonts w:hint="eastAsia" w:cs="宋体"/>
          <w:color w:val="auto"/>
          <w:sz w:val="24"/>
          <w:szCs w:val="24"/>
          <w:highlight w:val="none"/>
          <w:u w:val="single"/>
          <w:lang w:val="en-US" w:eastAsia="zh-CN"/>
        </w:rPr>
        <w:t>否</w:t>
      </w:r>
      <w:r>
        <w:rPr>
          <w:rFonts w:hint="eastAsia" w:cs="宋体"/>
          <w:color w:val="auto"/>
          <w:sz w:val="24"/>
          <w:szCs w:val="24"/>
          <w:highlight w:val="none"/>
          <w:u w:val="single"/>
        </w:rPr>
        <w:t xml:space="preserve"> </w:t>
      </w:r>
      <w:r>
        <w:rPr>
          <w:rFonts w:hint="eastAsia" w:cs="宋体"/>
          <w:color w:val="auto"/>
          <w:sz w:val="24"/>
          <w:szCs w:val="24"/>
          <w:highlight w:val="none"/>
        </w:rPr>
        <w:t>。在工程项目</w:t>
      </w:r>
      <w:r>
        <w:rPr>
          <w:rFonts w:hint="eastAsia" w:cs="宋体"/>
          <w:color w:val="auto"/>
          <w:sz w:val="24"/>
          <w:szCs w:val="24"/>
          <w:highlight w:val="none"/>
          <w:lang w:eastAsia="zh-CN"/>
        </w:rPr>
        <w:t>完工</w:t>
      </w:r>
      <w:r>
        <w:rPr>
          <w:rFonts w:hint="eastAsia" w:cs="宋体"/>
          <w:color w:val="auto"/>
          <w:sz w:val="24"/>
          <w:szCs w:val="24"/>
          <w:highlight w:val="none"/>
        </w:rPr>
        <w:t>前，</w:t>
      </w:r>
      <w:r>
        <w:rPr>
          <w:rFonts w:hint="eastAsia" w:cs="宋体"/>
          <w:color w:val="auto"/>
          <w:sz w:val="24"/>
          <w:szCs w:val="24"/>
          <w:highlight w:val="none"/>
          <w:lang w:eastAsia="zh-CN"/>
        </w:rPr>
        <w:t>乙方</w:t>
      </w:r>
      <w:r>
        <w:rPr>
          <w:rFonts w:hint="eastAsia" w:cs="宋体"/>
          <w:color w:val="auto"/>
          <w:sz w:val="24"/>
          <w:szCs w:val="24"/>
          <w:highlight w:val="none"/>
        </w:rPr>
        <w:t>按专用合同条款第3.7款提供履约保证金的，</w:t>
      </w:r>
      <w:r>
        <w:rPr>
          <w:rFonts w:hint="eastAsia" w:cs="宋体"/>
          <w:color w:val="auto"/>
          <w:sz w:val="24"/>
          <w:szCs w:val="24"/>
          <w:highlight w:val="none"/>
          <w:lang w:eastAsia="zh-CN"/>
        </w:rPr>
        <w:t>甲方</w:t>
      </w:r>
      <w:r>
        <w:rPr>
          <w:rFonts w:hint="eastAsia" w:cs="宋体"/>
          <w:color w:val="auto"/>
          <w:sz w:val="24"/>
          <w:szCs w:val="24"/>
          <w:highlight w:val="none"/>
        </w:rPr>
        <w:t>不得同时预留工程质量保证金。</w:t>
      </w:r>
    </w:p>
    <w:p w14:paraId="6E1DE64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15.3.1 </w:t>
      </w:r>
      <w:r>
        <w:rPr>
          <w:rFonts w:hint="eastAsia" w:cs="宋体"/>
          <w:color w:val="auto"/>
          <w:sz w:val="24"/>
          <w:szCs w:val="24"/>
          <w:highlight w:val="none"/>
          <w:lang w:eastAsia="zh-CN"/>
        </w:rPr>
        <w:t>乙方</w:t>
      </w:r>
      <w:r>
        <w:rPr>
          <w:rFonts w:hint="eastAsia" w:cs="宋体"/>
          <w:color w:val="auto"/>
          <w:sz w:val="24"/>
          <w:szCs w:val="24"/>
          <w:highlight w:val="none"/>
        </w:rPr>
        <w:t>提供质量保证金的方式</w:t>
      </w:r>
    </w:p>
    <w:p w14:paraId="6E55ED8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质量保证金可采用以下任意一种方式：</w:t>
      </w:r>
    </w:p>
    <w:p w14:paraId="1E3D41E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（1）由银行业金融机构、工程担保公司、保险机构出具银行保函、工程质量保险等担保方式，担保/保证金额为：</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171FC462">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2FAEE59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（3）其他方式：</w:t>
      </w:r>
      <w:r>
        <w:rPr>
          <w:rFonts w:hint="eastAsia" w:cs="宋体"/>
          <w:color w:val="auto"/>
          <w:sz w:val="24"/>
          <w:szCs w:val="24"/>
          <w:highlight w:val="none"/>
          <w:u w:val="single"/>
        </w:rPr>
        <w:t>见《专用合同条款数据表》</w:t>
      </w:r>
      <w:r>
        <w:rPr>
          <w:rFonts w:hint="eastAsia" w:cs="宋体"/>
          <w:color w:val="auto"/>
          <w:sz w:val="24"/>
          <w:szCs w:val="24"/>
          <w:highlight w:val="none"/>
        </w:rPr>
        <w:t>。</w:t>
      </w:r>
    </w:p>
    <w:p w14:paraId="76A556D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15.3.2 质量保证金的扣留 </w:t>
      </w:r>
    </w:p>
    <w:p w14:paraId="0943DF30">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质量保证金的扣留采取以下第</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3</w:t>
      </w:r>
      <w:r>
        <w:rPr>
          <w:rFonts w:hint="eastAsia" w:cs="宋体"/>
          <w:color w:val="auto"/>
          <w:sz w:val="24"/>
          <w:szCs w:val="24"/>
          <w:highlight w:val="none"/>
          <w:u w:val="single"/>
        </w:rPr>
        <w:t xml:space="preserve"> </w:t>
      </w:r>
      <w:r>
        <w:rPr>
          <w:rFonts w:hint="eastAsia" w:cs="宋体"/>
          <w:color w:val="auto"/>
          <w:sz w:val="24"/>
          <w:szCs w:val="24"/>
          <w:highlight w:val="none"/>
        </w:rPr>
        <w:t>种方式：</w:t>
      </w:r>
    </w:p>
    <w:p w14:paraId="7F54DDE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（1）在支付工程进度款时逐次扣留，在此情形下，质量保证金的计算基数不包括预付款的支付、扣回以及价格调整的金额；</w:t>
      </w:r>
    </w:p>
    <w:p w14:paraId="53E70BC3">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（2）工程</w:t>
      </w:r>
      <w:r>
        <w:rPr>
          <w:rFonts w:hint="eastAsia" w:cs="宋体"/>
          <w:color w:val="auto"/>
          <w:sz w:val="24"/>
          <w:szCs w:val="24"/>
          <w:highlight w:val="none"/>
          <w:lang w:eastAsia="zh-CN"/>
        </w:rPr>
        <w:t>完工</w:t>
      </w:r>
      <w:r>
        <w:rPr>
          <w:rFonts w:hint="eastAsia" w:cs="宋体"/>
          <w:color w:val="auto"/>
          <w:sz w:val="24"/>
          <w:szCs w:val="24"/>
          <w:highlight w:val="none"/>
        </w:rPr>
        <w:t>结算时一次性扣留质量保证金；</w:t>
      </w:r>
    </w:p>
    <w:p w14:paraId="32AD49A2">
      <w:pPr>
        <w:adjustRightInd w:val="0"/>
        <w:snapToGrid w:val="0"/>
        <w:spacing w:line="360" w:lineRule="auto"/>
        <w:ind w:firstLine="480" w:firstLineChars="200"/>
        <w:jc w:val="left"/>
        <w:rPr>
          <w:rFonts w:hint="eastAsia"/>
          <w:color w:val="auto"/>
          <w:sz w:val="24"/>
          <w:szCs w:val="24"/>
          <w:highlight w:val="none"/>
          <w:lang w:eastAsia="zh-CN"/>
        </w:rPr>
      </w:pPr>
      <w:r>
        <w:rPr>
          <w:rFonts w:hint="eastAsia" w:cs="宋体"/>
          <w:color w:val="auto"/>
          <w:sz w:val="24"/>
          <w:szCs w:val="24"/>
          <w:highlight w:val="none"/>
        </w:rPr>
        <w:t>（3）其他扣留方式：</w:t>
      </w:r>
    </w:p>
    <w:p w14:paraId="77BF198B">
      <w:pPr>
        <w:adjustRightInd w:val="0"/>
        <w:snapToGrid w:val="0"/>
        <w:spacing w:line="360" w:lineRule="auto"/>
        <w:ind w:firstLine="480" w:firstLineChars="200"/>
        <w:rPr>
          <w:rFonts w:hint="eastAsia" w:cs="宋体"/>
          <w:b w:val="0"/>
          <w:bCs w:val="0"/>
          <w:color w:val="auto"/>
          <w:sz w:val="24"/>
          <w:szCs w:val="24"/>
          <w:highlight w:val="none"/>
          <w:u w:val="none"/>
        </w:rPr>
      </w:pPr>
      <w:r>
        <w:rPr>
          <w:rFonts w:hint="eastAsia" w:cs="宋体"/>
          <w:color w:val="auto"/>
          <w:sz w:val="24"/>
          <w:szCs w:val="24"/>
          <w:highlight w:val="none"/>
        </w:rPr>
        <w:t>关于质量保证金的补充约定：</w:t>
      </w:r>
      <w:r>
        <w:rPr>
          <w:rFonts w:hint="eastAsia"/>
          <w:color w:val="auto"/>
          <w:sz w:val="24"/>
          <w:szCs w:val="24"/>
          <w:highlight w:val="none"/>
          <w:lang w:val="en-US" w:eastAsia="zh-CN"/>
        </w:rPr>
        <w:t>由银行业金融机构、工程担保公司、保险机构出具银行保函、工程质量保险等担保方式；</w:t>
      </w:r>
      <w:r>
        <w:rPr>
          <w:rFonts w:hint="eastAsia"/>
          <w:color w:val="auto"/>
          <w:sz w:val="24"/>
          <w:szCs w:val="24"/>
          <w:highlight w:val="none"/>
        </w:rPr>
        <w:t>转账的方式缴纳</w:t>
      </w:r>
      <w:r>
        <w:rPr>
          <w:rFonts w:hint="eastAsia"/>
          <w:color w:val="auto"/>
          <w:sz w:val="24"/>
          <w:szCs w:val="24"/>
          <w:highlight w:val="none"/>
          <w:lang w:eastAsia="zh-CN"/>
        </w:rPr>
        <w:t>；</w:t>
      </w:r>
      <w:r>
        <w:rPr>
          <w:rFonts w:hint="eastAsia" w:ascii="宋体" w:hAnsi="宋体" w:eastAsia="宋体" w:cs="宋体"/>
          <w:b w:val="0"/>
          <w:bCs w:val="0"/>
          <w:color w:val="auto"/>
          <w:sz w:val="24"/>
          <w:szCs w:val="24"/>
          <w:highlight w:val="none"/>
          <w:u w:val="none"/>
          <w:lang w:val="en-US" w:eastAsia="zh-CN"/>
        </w:rPr>
        <w:t>在工程项目完工前，乙方按甲方要求提供履约保证金的，可在工程进入缺陷责任期时按照多退少补原则转为质量保证金</w:t>
      </w:r>
      <w:r>
        <w:rPr>
          <w:rFonts w:hint="eastAsia" w:cs="宋体"/>
          <w:color w:val="auto"/>
          <w:sz w:val="24"/>
          <w:szCs w:val="24"/>
          <w:highlight w:val="none"/>
        </w:rPr>
        <w:t>。</w:t>
      </w:r>
    </w:p>
    <w:bookmarkEnd w:id="569"/>
    <w:bookmarkEnd w:id="570"/>
    <w:p w14:paraId="0DD979E9">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15.4 保修</w:t>
      </w:r>
    </w:p>
    <w:bookmarkEnd w:id="571"/>
    <w:p w14:paraId="07A1A528">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15.4.1 保修责任</w:t>
      </w:r>
    </w:p>
    <w:p w14:paraId="69CC1EF4">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工程保修期为：</w:t>
      </w:r>
      <w:r>
        <w:rPr>
          <w:rFonts w:hint="eastAsia" w:cs="宋体"/>
          <w:color w:val="auto"/>
          <w:sz w:val="24"/>
          <w:szCs w:val="24"/>
          <w:highlight w:val="none"/>
          <w:u w:val="single"/>
        </w:rPr>
        <w:t>执行《工程质量保修书》规定</w:t>
      </w:r>
      <w:r>
        <w:rPr>
          <w:rFonts w:hint="eastAsia" w:cs="宋体"/>
          <w:color w:val="auto"/>
          <w:sz w:val="24"/>
          <w:szCs w:val="24"/>
          <w:highlight w:val="none"/>
        </w:rPr>
        <w:t>。</w:t>
      </w:r>
    </w:p>
    <w:p w14:paraId="2BDEC1E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15.4.3 修复通知</w:t>
      </w:r>
    </w:p>
    <w:p w14:paraId="0A7E2FB9">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乙方</w:t>
      </w:r>
      <w:r>
        <w:rPr>
          <w:rFonts w:hint="eastAsia" w:cs="宋体"/>
          <w:color w:val="auto"/>
          <w:sz w:val="24"/>
          <w:szCs w:val="24"/>
          <w:highlight w:val="none"/>
        </w:rPr>
        <w:t>收到保修通知并到达工程现场的合理时间：</w:t>
      </w:r>
      <w:r>
        <w:rPr>
          <w:rFonts w:hint="eastAsia" w:cs="宋体"/>
          <w:color w:val="auto"/>
          <w:sz w:val="24"/>
          <w:szCs w:val="24"/>
          <w:highlight w:val="none"/>
          <w:u w:val="single"/>
        </w:rPr>
        <w:t xml:space="preserve">                 </w:t>
      </w:r>
      <w:r>
        <w:rPr>
          <w:rFonts w:hint="eastAsia" w:cs="宋体"/>
          <w:color w:val="auto"/>
          <w:sz w:val="24"/>
          <w:szCs w:val="24"/>
          <w:highlight w:val="none"/>
        </w:rPr>
        <w:t>。</w:t>
      </w:r>
    </w:p>
    <w:bookmarkEnd w:id="572"/>
    <w:bookmarkEnd w:id="573"/>
    <w:bookmarkEnd w:id="574"/>
    <w:bookmarkEnd w:id="575"/>
    <w:p w14:paraId="3CAB412E">
      <w:pPr>
        <w:snapToGrid w:val="0"/>
        <w:spacing w:before="312" w:beforeLines="100" w:after="312" w:afterLines="100" w:line="360" w:lineRule="auto"/>
        <w:outlineLvl w:val="2"/>
        <w:rPr>
          <w:rFonts w:cs="宋体"/>
          <w:color w:val="auto"/>
          <w:sz w:val="24"/>
          <w:szCs w:val="24"/>
          <w:highlight w:val="none"/>
        </w:rPr>
      </w:pPr>
      <w:bookmarkStart w:id="598" w:name="_Toc351203648"/>
      <w:bookmarkStart w:id="599" w:name="_Toc280868717"/>
      <w:bookmarkStart w:id="600" w:name="_Toc280868718"/>
      <w:r>
        <w:rPr>
          <w:rFonts w:hint="eastAsia" w:cs="宋体"/>
          <w:color w:val="auto"/>
          <w:sz w:val="24"/>
          <w:szCs w:val="24"/>
          <w:highlight w:val="none"/>
        </w:rPr>
        <w:t>16. 违约</w:t>
      </w:r>
      <w:bookmarkEnd w:id="598"/>
    </w:p>
    <w:p w14:paraId="07E2669D">
      <w:pPr>
        <w:keepNext/>
        <w:keepLines/>
        <w:snapToGrid w:val="0"/>
        <w:spacing w:before="120" w:after="120" w:line="360" w:lineRule="auto"/>
        <w:ind w:firstLine="480" w:firstLineChars="200"/>
        <w:outlineLvl w:val="3"/>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16.1 发包人违约</w:t>
      </w:r>
    </w:p>
    <w:p w14:paraId="409D6ACA">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16.1.1 发包人违约的情形</w:t>
      </w:r>
    </w:p>
    <w:p w14:paraId="366FE480">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发包人违约的其他情形：</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w:t>
      </w:r>
    </w:p>
    <w:p w14:paraId="3C8A3802">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16.1.2 发包人违约的责任</w:t>
      </w:r>
    </w:p>
    <w:p w14:paraId="43410D4E">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发包人违约责任的承担方式和计算方法：</w:t>
      </w:r>
    </w:p>
    <w:p w14:paraId="7D4D4822">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（1）因发包人原因未能在计划开工日期前7天内下达开工通知的违约责任：</w:t>
      </w:r>
      <w:r>
        <w:rPr>
          <w:rFonts w:hint="eastAsia" w:cs="宋体"/>
          <w:color w:val="000000" w:themeColor="text1"/>
          <w:sz w:val="24"/>
          <w:szCs w:val="24"/>
          <w:u w:val="single"/>
          <w14:textFill>
            <w14:solidFill>
              <w14:schemeClr w14:val="tx1"/>
            </w14:solidFill>
          </w14:textFill>
        </w:rPr>
        <w:t xml:space="preserve"> 发包人通知承包人推迟开工日期，完工工期相应顺延  </w:t>
      </w:r>
      <w:r>
        <w:rPr>
          <w:rFonts w:hint="eastAsia" w:cs="宋体"/>
          <w:color w:val="000000" w:themeColor="text1"/>
          <w:sz w:val="24"/>
          <w:szCs w:val="24"/>
          <w14:textFill>
            <w14:solidFill>
              <w14:schemeClr w14:val="tx1"/>
            </w14:solidFill>
          </w14:textFill>
        </w:rPr>
        <w:t>。</w:t>
      </w:r>
    </w:p>
    <w:p w14:paraId="05A6C646">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（2）因发包人原因未能按合同约定支付合同价款的违约责任：</w:t>
      </w:r>
      <w:r>
        <w:rPr>
          <w:rFonts w:hint="eastAsia" w:cs="宋体"/>
          <w:color w:val="000000" w:themeColor="text1"/>
          <w:sz w:val="24"/>
          <w:szCs w:val="24"/>
          <w:u w:val="single"/>
          <w14:textFill>
            <w14:solidFill>
              <w14:schemeClr w14:val="tx1"/>
            </w14:solidFill>
          </w14:textFill>
        </w:rPr>
        <w:t xml:space="preserve">  双方协商解决 </w:t>
      </w:r>
      <w:r>
        <w:rPr>
          <w:rFonts w:hint="eastAsia" w:cs="宋体"/>
          <w:color w:val="000000" w:themeColor="text1"/>
          <w:sz w:val="24"/>
          <w:szCs w:val="24"/>
          <w14:textFill>
            <w14:solidFill>
              <w14:schemeClr w14:val="tx1"/>
            </w14:solidFill>
          </w14:textFill>
        </w:rPr>
        <w:t>。</w:t>
      </w:r>
    </w:p>
    <w:p w14:paraId="38CDEBA0">
      <w:pPr>
        <w:adjustRightInd w:val="0"/>
        <w:snapToGrid w:val="0"/>
        <w:spacing w:line="360" w:lineRule="auto"/>
        <w:ind w:firstLine="480" w:firstLineChars="200"/>
        <w:rPr>
          <w:rFonts w:cs="宋体"/>
          <w:b/>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（3）发包人违反第10.1款〔变更的范围〕第（2）项约定，自行实施被取消的工作或转由他人实施的违约责任：</w:t>
      </w:r>
      <w:r>
        <w:rPr>
          <w:rFonts w:hint="eastAsia" w:cs="宋体"/>
          <w:b/>
          <w:bCs/>
          <w:color w:val="000000" w:themeColor="text1"/>
          <w:sz w:val="24"/>
          <w:szCs w:val="24"/>
          <w:u w:val="single"/>
          <w14:textFill>
            <w14:solidFill>
              <w14:schemeClr w14:val="tx1"/>
            </w14:solidFill>
          </w14:textFill>
        </w:rPr>
        <w:t xml:space="preserve"> / </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w:t>
      </w:r>
    </w:p>
    <w:p w14:paraId="5E2F20C6">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w:t>
      </w:r>
    </w:p>
    <w:p w14:paraId="0C938AB4">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（5）因发包人违反合同约定造成暂停施工的违约责任：</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w:t>
      </w:r>
    </w:p>
    <w:p w14:paraId="170AB1C5">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（6）发包人无正当理由没有在约定期限内发出复工指示，导致承包人无法复工的违约责任：</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w:t>
      </w:r>
    </w:p>
    <w:p w14:paraId="69A379DC">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（7）其他：</w:t>
      </w:r>
      <w:r>
        <w:rPr>
          <w:rFonts w:hint="eastAsia" w:cs="宋体"/>
          <w:color w:val="000000" w:themeColor="text1"/>
          <w:sz w:val="24"/>
          <w:szCs w:val="24"/>
          <w:u w:val="single"/>
          <w14:textFill>
            <w14:solidFill>
              <w14:schemeClr w14:val="tx1"/>
            </w14:solidFill>
          </w14:textFill>
        </w:rPr>
        <w:t xml:space="preserve">     /   </w:t>
      </w:r>
      <w:r>
        <w:rPr>
          <w:rFonts w:hint="eastAsia" w:cs="宋体"/>
          <w:color w:val="000000" w:themeColor="text1"/>
          <w:sz w:val="24"/>
          <w:szCs w:val="24"/>
          <w14:textFill>
            <w14:solidFill>
              <w14:schemeClr w14:val="tx1"/>
            </w14:solidFill>
          </w14:textFill>
        </w:rPr>
        <w:t>。</w:t>
      </w:r>
    </w:p>
    <w:p w14:paraId="00235D59">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16.1.3 因发包人违约解除合同</w:t>
      </w:r>
    </w:p>
    <w:p w14:paraId="0F0D4587">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承包人按16.1.1项〔发包人违约的情形〕约定暂停施工满</w:t>
      </w:r>
      <w:r>
        <w:rPr>
          <w:rFonts w:hint="eastAsia" w:cs="宋体"/>
          <w:color w:val="000000" w:themeColor="text1"/>
          <w:sz w:val="24"/>
          <w:szCs w:val="24"/>
          <w:u w:val="single"/>
          <w14:textFill>
            <w14:solidFill>
              <w14:schemeClr w14:val="tx1"/>
            </w14:solidFill>
          </w14:textFill>
        </w:rPr>
        <w:t>28</w:t>
      </w:r>
      <w:r>
        <w:rPr>
          <w:rFonts w:hint="eastAsia" w:cs="宋体"/>
          <w:color w:val="000000" w:themeColor="text1"/>
          <w:sz w:val="24"/>
          <w:szCs w:val="24"/>
          <w14:textFill>
            <w14:solidFill>
              <w14:schemeClr w14:val="tx1"/>
            </w14:solidFill>
          </w14:textFill>
        </w:rPr>
        <w:t>天后发包人仍不纠正其违约行为并致使合同目的不能实现的，承包人有权解除合同。</w:t>
      </w:r>
    </w:p>
    <w:p w14:paraId="01F2B2E0">
      <w:pPr>
        <w:keepNext/>
        <w:keepLines/>
        <w:snapToGrid w:val="0"/>
        <w:spacing w:before="120" w:after="120" w:line="360" w:lineRule="auto"/>
        <w:ind w:firstLine="480" w:firstLineChars="200"/>
        <w:outlineLvl w:val="3"/>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16.2 承包人违约</w:t>
      </w:r>
    </w:p>
    <w:p w14:paraId="08EFD713">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16.2.1 承包人违约的情形</w:t>
      </w:r>
    </w:p>
    <w:p w14:paraId="52B42F90">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承包人违约的其他情形：</w:t>
      </w:r>
      <w:r>
        <w:rPr>
          <w:rFonts w:hint="eastAsia" w:cs="宋体"/>
          <w:color w:val="000000" w:themeColor="text1"/>
          <w:sz w:val="24"/>
          <w:szCs w:val="24"/>
          <w:u w:val="single"/>
          <w14:textFill>
            <w14:solidFill>
              <w14:schemeClr w14:val="tx1"/>
            </w14:solidFill>
          </w14:textFill>
        </w:rPr>
        <w:t xml:space="preserve">   执行通用条款   </w:t>
      </w:r>
      <w:r>
        <w:rPr>
          <w:rFonts w:hint="eastAsia" w:cs="宋体"/>
          <w:color w:val="000000" w:themeColor="text1"/>
          <w:sz w:val="24"/>
          <w:szCs w:val="24"/>
          <w14:textFill>
            <w14:solidFill>
              <w14:schemeClr w14:val="tx1"/>
            </w14:solidFill>
          </w14:textFill>
        </w:rPr>
        <w:t>。</w:t>
      </w:r>
    </w:p>
    <w:p w14:paraId="684B55AB">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16.2.2 承包人违约的责任</w:t>
      </w:r>
    </w:p>
    <w:p w14:paraId="597F3050">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承包人违约责任的承担方式和计算方法：</w:t>
      </w:r>
      <w:r>
        <w:rPr>
          <w:rFonts w:hint="eastAsia" w:cs="宋体"/>
          <w:color w:val="000000" w:themeColor="text1"/>
          <w:sz w:val="24"/>
          <w:szCs w:val="24"/>
          <w:u w:val="single"/>
          <w14:textFill>
            <w14:solidFill>
              <w14:schemeClr w14:val="tx1"/>
            </w14:solidFill>
          </w14:textFill>
        </w:rPr>
        <w:t xml:space="preserve"> </w:t>
      </w:r>
    </w:p>
    <w:p w14:paraId="4099C17A">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（1）若工程质量达不到合格标准的，发包人将按签约合同总价的10%向承包人收取违约金；同时发包人有权解除合同，不再支付后续款项，就已付工程款向承包人要求返还；由此造成的损失均由承包人承担。</w:t>
      </w:r>
    </w:p>
    <w:p w14:paraId="58D59827">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2%/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528DE570">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（3）每延期完工（或完工）一天，承包人支付发包人签约合同价款的1%的违约金；工程因承包人原因延期 28 天以上的，每天按签约合同价款2%向发包人支付违约金；违约金最高限额为合同价款的10% 。</w:t>
      </w:r>
    </w:p>
    <w:p w14:paraId="50AD0EE6">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（4）本项目不得发生重大质量事故或者在一年内不得发生两次以上较大质量事故，否则发包人有权要求承包人支付叁拾万元/次的违约金。</w:t>
      </w:r>
    </w:p>
    <w:p w14:paraId="506748FC">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5）承包人未履行合同义务或未按合同约定履行义务的，承包人应立即纠正违约事项，赔偿因其违约给发包人造成的损失，支付违约金。除本合同已有约定外，承包人违约金按每发生一起违约事项人民币壹仟元的标准计算，违约状态持续时，以每日人民币壹仟元元计算，各项违约责任独立存在，违约金应予以累加。</w:t>
      </w:r>
    </w:p>
    <w:p w14:paraId="2EF0B324">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 xml:space="preserve">（6）合同当事人对工程质量有争议的，由发包人聘请的第三方检测机构进行检测评定，属于质量未达到本合同有关质量约定条款的，由承包人进行返工，并承担一切费用（含检测费用） </w:t>
      </w:r>
      <w:r>
        <w:rPr>
          <w:rFonts w:hint="eastAsia" w:cs="宋体"/>
          <w:color w:val="000000" w:themeColor="text1"/>
          <w:sz w:val="24"/>
          <w:szCs w:val="24"/>
          <w14:textFill>
            <w14:solidFill>
              <w14:schemeClr w14:val="tx1"/>
            </w14:solidFill>
          </w14:textFill>
        </w:rPr>
        <w:t>。</w:t>
      </w:r>
    </w:p>
    <w:p w14:paraId="4640D67A">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16.2.3 因承包人违约解除合同</w:t>
      </w:r>
    </w:p>
    <w:p w14:paraId="31FFA31D">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关于承包人违约解除合同的特别约定：</w:t>
      </w:r>
      <w:r>
        <w:rPr>
          <w:rFonts w:hint="eastAsia" w:cs="宋体"/>
          <w:color w:val="000000" w:themeColor="text1"/>
          <w:sz w:val="24"/>
          <w:szCs w:val="24"/>
          <w:u w:val="single"/>
          <w14:textFill>
            <w14:solidFill>
              <w14:schemeClr w14:val="tx1"/>
            </w14:solidFill>
          </w14:textFill>
        </w:rPr>
        <w:t xml:space="preserve"> （1）承包人将其承包的全部工程转包给他人或者肢解以后以分包的名义分别转包给他人。</w:t>
      </w:r>
    </w:p>
    <w:p w14:paraId="240C51A7">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（2）承包人未经发包人事先书面同意将部分工程分包他人。</w:t>
      </w:r>
    </w:p>
    <w:p w14:paraId="7584CDFB">
      <w:pPr>
        <w:adjustRightInd w:val="0"/>
        <w:snapToGrid w:val="0"/>
        <w:spacing w:line="360" w:lineRule="auto"/>
        <w:ind w:firstLine="480" w:firstLineChars="200"/>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u w:val="single"/>
          <w14:textFill>
            <w14:solidFill>
              <w14:schemeClr w14:val="tx1"/>
            </w14:solidFill>
          </w14:textFill>
        </w:rPr>
        <w:t xml:space="preserve">（3）工程质量达不到合格标准  </w:t>
      </w:r>
      <w:r>
        <w:rPr>
          <w:rFonts w:hint="eastAsia" w:cs="宋体"/>
          <w:color w:val="000000" w:themeColor="text1"/>
          <w:sz w:val="24"/>
          <w:szCs w:val="24"/>
          <w14:textFill>
            <w14:solidFill>
              <w14:schemeClr w14:val="tx1"/>
            </w14:solidFill>
          </w14:textFill>
        </w:rPr>
        <w:t>。</w:t>
      </w:r>
    </w:p>
    <w:p w14:paraId="30DB014D">
      <w:pPr>
        <w:adjustRightInd w:val="0"/>
        <w:snapToGrid w:val="0"/>
        <w:spacing w:line="360" w:lineRule="auto"/>
        <w:ind w:firstLine="480" w:firstLineChars="200"/>
        <w:rPr>
          <w:rFonts w:cs="宋体"/>
          <w:color w:val="auto"/>
          <w:sz w:val="24"/>
          <w:szCs w:val="24"/>
          <w:highlight w:val="none"/>
        </w:rPr>
      </w:pPr>
      <w:r>
        <w:rPr>
          <w:rFonts w:hint="eastAsia" w:cs="宋体"/>
          <w:color w:val="000000" w:themeColor="text1"/>
          <w:sz w:val="24"/>
          <w:szCs w:val="24"/>
          <w14:textFill>
            <w14:solidFill>
              <w14:schemeClr w14:val="tx1"/>
            </w14:solidFill>
          </w14:textFill>
        </w:rPr>
        <w:t>发包人继续使用承包人在施工现场的材料、设备、临时工程、承包人文件和由承包人或以其名义编制的其他文件的费用承担方式：</w:t>
      </w:r>
      <w:r>
        <w:rPr>
          <w:rFonts w:hint="eastAsia" w:cs="宋体"/>
          <w:color w:val="000000" w:themeColor="text1"/>
          <w:sz w:val="24"/>
          <w:szCs w:val="24"/>
          <w:u w:val="single"/>
          <w14:textFill>
            <w14:solidFill>
              <w14:schemeClr w14:val="tx1"/>
            </w14:solidFill>
          </w14:textFill>
        </w:rPr>
        <w:t xml:space="preserve">  由承包人承担 </w:t>
      </w:r>
      <w:r>
        <w:rPr>
          <w:rFonts w:hint="eastAsia" w:cs="宋体"/>
          <w:color w:val="000000" w:themeColor="text1"/>
          <w:sz w:val="24"/>
          <w:szCs w:val="24"/>
          <w14:textFill>
            <w14:solidFill>
              <w14:schemeClr w14:val="tx1"/>
            </w14:solidFill>
          </w14:textFill>
        </w:rPr>
        <w:t>。</w:t>
      </w:r>
    </w:p>
    <w:p w14:paraId="16489528">
      <w:pPr>
        <w:snapToGrid w:val="0"/>
        <w:spacing w:before="312" w:beforeLines="100" w:after="312" w:afterLines="100" w:line="360" w:lineRule="auto"/>
        <w:outlineLvl w:val="2"/>
        <w:rPr>
          <w:rFonts w:cs="宋体"/>
          <w:color w:val="auto"/>
          <w:sz w:val="24"/>
          <w:szCs w:val="24"/>
          <w:highlight w:val="none"/>
        </w:rPr>
      </w:pPr>
      <w:bookmarkStart w:id="601" w:name="_Toc351203649"/>
      <w:r>
        <w:rPr>
          <w:rFonts w:hint="eastAsia" w:cs="宋体"/>
          <w:color w:val="auto"/>
          <w:sz w:val="24"/>
          <w:szCs w:val="24"/>
          <w:highlight w:val="none"/>
        </w:rPr>
        <w:t>17. 不可抗力</w:t>
      </w:r>
      <w:bookmarkEnd w:id="601"/>
      <w:r>
        <w:rPr>
          <w:rFonts w:hint="eastAsia" w:cs="宋体"/>
          <w:color w:val="auto"/>
          <w:sz w:val="24"/>
          <w:szCs w:val="24"/>
          <w:highlight w:val="none"/>
        </w:rPr>
        <w:t xml:space="preserve"> </w:t>
      </w:r>
      <w:bookmarkEnd w:id="599"/>
    </w:p>
    <w:p w14:paraId="6641A294">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17.1 不可抗力的确认</w:t>
      </w:r>
    </w:p>
    <w:p w14:paraId="47B4DC93">
      <w:pPr>
        <w:adjustRightInd w:val="0"/>
        <w:snapToGrid w:val="0"/>
        <w:spacing w:line="360" w:lineRule="auto"/>
        <w:ind w:firstLine="480" w:firstLineChars="200"/>
        <w:rPr>
          <w:rFonts w:cs="宋体"/>
          <w:b/>
          <w:color w:val="auto"/>
          <w:sz w:val="24"/>
          <w:szCs w:val="24"/>
          <w:highlight w:val="none"/>
          <w:u w:val="single"/>
        </w:rPr>
      </w:pPr>
      <w:r>
        <w:rPr>
          <w:rFonts w:hint="eastAsia" w:cs="宋体"/>
          <w:color w:val="auto"/>
          <w:sz w:val="24"/>
          <w:szCs w:val="24"/>
          <w:highlight w:val="none"/>
        </w:rPr>
        <w:t>除通用合同条款约定的不可抗力事件之外，视为不可抗力的其他情形：</w:t>
      </w:r>
      <w:r>
        <w:rPr>
          <w:rFonts w:hint="eastAsia" w:cs="宋体"/>
          <w:color w:val="auto"/>
          <w:sz w:val="24"/>
          <w:szCs w:val="24"/>
          <w:highlight w:val="none"/>
          <w:u w:val="single"/>
        </w:rPr>
        <w:t>执行通用条款</w:t>
      </w:r>
      <w:r>
        <w:rPr>
          <w:rFonts w:hint="eastAsia" w:cs="宋体"/>
          <w:color w:val="auto"/>
          <w:sz w:val="24"/>
          <w:szCs w:val="24"/>
          <w:highlight w:val="none"/>
        </w:rPr>
        <w:t>。</w:t>
      </w:r>
    </w:p>
    <w:p w14:paraId="4C593D5A">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17.4 因不可抗力解除合同</w:t>
      </w:r>
    </w:p>
    <w:p w14:paraId="62C83D2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合同解除后，</w:t>
      </w:r>
      <w:r>
        <w:rPr>
          <w:rFonts w:hint="eastAsia" w:cs="宋体"/>
          <w:color w:val="auto"/>
          <w:sz w:val="24"/>
          <w:szCs w:val="24"/>
          <w:highlight w:val="none"/>
          <w:lang w:eastAsia="zh-CN"/>
        </w:rPr>
        <w:t>甲方</w:t>
      </w:r>
      <w:r>
        <w:rPr>
          <w:rFonts w:hint="eastAsia" w:cs="宋体"/>
          <w:color w:val="auto"/>
          <w:sz w:val="24"/>
          <w:szCs w:val="24"/>
          <w:highlight w:val="none"/>
        </w:rPr>
        <w:t>应在商定或确定</w:t>
      </w:r>
      <w:r>
        <w:rPr>
          <w:rFonts w:hint="eastAsia" w:cs="宋体"/>
          <w:color w:val="auto"/>
          <w:sz w:val="24"/>
          <w:szCs w:val="24"/>
          <w:highlight w:val="none"/>
          <w:lang w:eastAsia="zh-CN"/>
        </w:rPr>
        <w:t>甲方</w:t>
      </w:r>
      <w:r>
        <w:rPr>
          <w:rFonts w:hint="eastAsia" w:cs="宋体"/>
          <w:color w:val="auto"/>
          <w:sz w:val="24"/>
          <w:szCs w:val="24"/>
          <w:highlight w:val="none"/>
        </w:rPr>
        <w:t>应支付款项后</w:t>
      </w:r>
      <w:r>
        <w:rPr>
          <w:rFonts w:hint="eastAsia" w:cs="宋体"/>
          <w:color w:val="auto"/>
          <w:sz w:val="24"/>
          <w:szCs w:val="24"/>
          <w:highlight w:val="none"/>
          <w:u w:val="single"/>
        </w:rPr>
        <w:t>28</w:t>
      </w:r>
      <w:r>
        <w:rPr>
          <w:rFonts w:hint="eastAsia" w:cs="宋体"/>
          <w:color w:val="auto"/>
          <w:sz w:val="24"/>
          <w:szCs w:val="24"/>
          <w:highlight w:val="none"/>
        </w:rPr>
        <w:t>天内完成款项的支付。</w:t>
      </w:r>
    </w:p>
    <w:p w14:paraId="5A6E6CC5">
      <w:pPr>
        <w:snapToGrid w:val="0"/>
        <w:spacing w:before="312" w:beforeLines="100" w:after="312" w:afterLines="100" w:line="360" w:lineRule="auto"/>
        <w:outlineLvl w:val="2"/>
        <w:rPr>
          <w:rFonts w:cs="宋体"/>
          <w:color w:val="auto"/>
          <w:sz w:val="24"/>
          <w:szCs w:val="24"/>
          <w:highlight w:val="none"/>
        </w:rPr>
      </w:pPr>
      <w:bookmarkStart w:id="602" w:name="_Toc351203650"/>
      <w:r>
        <w:rPr>
          <w:rFonts w:hint="eastAsia" w:cs="宋体"/>
          <w:color w:val="auto"/>
          <w:sz w:val="24"/>
          <w:szCs w:val="24"/>
          <w:highlight w:val="none"/>
        </w:rPr>
        <w:t>18. 保险</w:t>
      </w:r>
      <w:bookmarkEnd w:id="602"/>
    </w:p>
    <w:bookmarkEnd w:id="600"/>
    <w:p w14:paraId="442043FA">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18.1 工程保险</w:t>
      </w:r>
    </w:p>
    <w:p w14:paraId="567F60E9">
      <w:pPr>
        <w:adjustRightInd w:val="0"/>
        <w:snapToGrid w:val="0"/>
        <w:spacing w:line="360" w:lineRule="auto"/>
        <w:ind w:firstLine="480" w:firstLineChars="200"/>
        <w:rPr>
          <w:rFonts w:cs="宋体"/>
          <w:b/>
          <w:color w:val="auto"/>
          <w:sz w:val="24"/>
          <w:szCs w:val="24"/>
          <w:highlight w:val="none"/>
        </w:rPr>
      </w:pPr>
      <w:r>
        <w:rPr>
          <w:rFonts w:hint="eastAsia" w:cs="宋体"/>
          <w:color w:val="auto"/>
          <w:sz w:val="24"/>
          <w:szCs w:val="24"/>
          <w:highlight w:val="none"/>
        </w:rPr>
        <w:t>关于工程保险的特别约定：</w:t>
      </w:r>
      <w:r>
        <w:rPr>
          <w:rFonts w:hint="eastAsia" w:cs="宋体"/>
          <w:b/>
          <w:color w:val="auto"/>
          <w:sz w:val="24"/>
          <w:szCs w:val="24"/>
          <w:highlight w:val="none"/>
          <w:u w:val="single"/>
        </w:rPr>
        <w:t xml:space="preserve">  </w:t>
      </w:r>
      <w:r>
        <w:rPr>
          <w:rFonts w:hint="eastAsia" w:cs="宋体"/>
          <w:b/>
          <w:color w:val="auto"/>
          <w:sz w:val="24"/>
          <w:szCs w:val="24"/>
          <w:highlight w:val="none"/>
          <w:u w:val="single"/>
          <w:lang w:eastAsia="zh-CN"/>
        </w:rPr>
        <w:t>乙方</w:t>
      </w:r>
      <w:r>
        <w:rPr>
          <w:rFonts w:hint="eastAsia" w:cs="宋体"/>
          <w:b/>
          <w:color w:val="auto"/>
          <w:sz w:val="24"/>
          <w:szCs w:val="24"/>
          <w:highlight w:val="none"/>
          <w:u w:val="single"/>
        </w:rPr>
        <w:t>应投保</w:t>
      </w:r>
      <w:r>
        <w:rPr>
          <w:rFonts w:hint="eastAsia" w:cs="宋体"/>
          <w:b/>
          <w:color w:val="auto"/>
          <w:sz w:val="24"/>
          <w:szCs w:val="24"/>
          <w:highlight w:val="none"/>
          <w:u w:val="single"/>
          <w:lang w:val="en-US" w:eastAsia="zh-CN"/>
        </w:rPr>
        <w:t>建筑</w:t>
      </w:r>
      <w:r>
        <w:rPr>
          <w:rFonts w:hint="eastAsia" w:cs="宋体"/>
          <w:b/>
          <w:color w:val="auto"/>
          <w:sz w:val="24"/>
          <w:szCs w:val="24"/>
          <w:highlight w:val="none"/>
          <w:u w:val="single"/>
        </w:rPr>
        <w:t xml:space="preserve">工程一切险或安装工程一切险  </w:t>
      </w:r>
      <w:r>
        <w:rPr>
          <w:rFonts w:hint="eastAsia" w:cs="宋体"/>
          <w:b/>
          <w:color w:val="auto"/>
          <w:sz w:val="24"/>
          <w:szCs w:val="24"/>
          <w:highlight w:val="none"/>
        </w:rPr>
        <w:t>。</w:t>
      </w:r>
    </w:p>
    <w:p w14:paraId="037068F0">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18.3 其他保险</w:t>
      </w:r>
    </w:p>
    <w:p w14:paraId="4CD1F430">
      <w:pPr>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cs="宋体"/>
          <w:color w:val="auto"/>
          <w:sz w:val="24"/>
          <w:szCs w:val="24"/>
          <w:highlight w:val="none"/>
        </w:rPr>
        <w:t>关于其他保险的约定：</w:t>
      </w:r>
      <w:r>
        <w:rPr>
          <w:rFonts w:hint="eastAsia" w:ascii="宋体" w:hAnsi="宋体" w:eastAsia="宋体" w:cs="宋体"/>
          <w:b/>
          <w:bCs/>
          <w:color w:val="auto"/>
          <w:sz w:val="24"/>
          <w:szCs w:val="24"/>
          <w:highlight w:val="none"/>
          <w:u w:val="single"/>
          <w:lang w:eastAsia="zh-CN"/>
        </w:rPr>
        <w:t>乙方</w:t>
      </w:r>
      <w:r>
        <w:rPr>
          <w:rFonts w:hint="eastAsia" w:ascii="宋体" w:hAnsi="宋体" w:eastAsia="宋体" w:cs="宋体"/>
          <w:b/>
          <w:bCs/>
          <w:color w:val="auto"/>
          <w:sz w:val="24"/>
          <w:szCs w:val="24"/>
          <w:highlight w:val="none"/>
          <w:u w:val="single"/>
        </w:rPr>
        <w:t>须为</w:t>
      </w:r>
      <w:r>
        <w:rPr>
          <w:rFonts w:hint="eastAsia" w:cs="宋体"/>
          <w:b/>
          <w:bCs/>
          <w:color w:val="auto"/>
          <w:sz w:val="24"/>
          <w:szCs w:val="24"/>
          <w:highlight w:val="none"/>
          <w:u w:val="single"/>
          <w:lang w:val="en-US" w:eastAsia="zh-CN"/>
        </w:rPr>
        <w:t>本项目</w:t>
      </w:r>
      <w:r>
        <w:rPr>
          <w:rFonts w:hint="eastAsia" w:cs="宋体"/>
          <w:b/>
          <w:bCs/>
          <w:color w:val="auto"/>
          <w:sz w:val="24"/>
          <w:szCs w:val="24"/>
          <w:highlight w:val="none"/>
          <w:u w:val="single"/>
        </w:rPr>
        <w:t>所有从业人员购买以下保险（二者任选其一）：雇主责任险或</w:t>
      </w:r>
      <w:r>
        <w:rPr>
          <w:rFonts w:hint="eastAsia" w:cs="宋体"/>
          <w:b/>
          <w:bCs/>
          <w:color w:val="auto"/>
          <w:sz w:val="24"/>
          <w:szCs w:val="24"/>
          <w:highlight w:val="none"/>
          <w:u w:val="single"/>
          <w:lang w:eastAsia="zh-CN"/>
        </w:rPr>
        <w:t>团体意外险</w:t>
      </w:r>
      <w:r>
        <w:rPr>
          <w:rFonts w:hint="eastAsia" w:cs="宋体"/>
          <w:b/>
          <w:bCs/>
          <w:color w:val="auto"/>
          <w:sz w:val="24"/>
          <w:szCs w:val="24"/>
          <w:highlight w:val="none"/>
          <w:u w:val="single"/>
        </w:rPr>
        <w:t>，其保险费已包含在签约合同价中。</w:t>
      </w:r>
    </w:p>
    <w:p w14:paraId="6D435F03">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lang w:eastAsia="zh-CN"/>
        </w:rPr>
        <w:t>乙方</w:t>
      </w:r>
      <w:r>
        <w:rPr>
          <w:rFonts w:hint="eastAsia" w:cs="宋体"/>
          <w:color w:val="auto"/>
          <w:sz w:val="24"/>
          <w:szCs w:val="24"/>
          <w:highlight w:val="none"/>
        </w:rPr>
        <w:t>是否应为其施工设备等办理财产保险：</w:t>
      </w:r>
      <w:r>
        <w:rPr>
          <w:rFonts w:hint="eastAsia" w:cs="宋体"/>
          <w:color w:val="auto"/>
          <w:sz w:val="24"/>
          <w:szCs w:val="24"/>
          <w:highlight w:val="none"/>
          <w:u w:val="single"/>
        </w:rPr>
        <w:t>执行通用条款</w:t>
      </w:r>
      <w:r>
        <w:rPr>
          <w:rFonts w:hint="eastAsia" w:cs="宋体"/>
          <w:color w:val="auto"/>
          <w:sz w:val="24"/>
          <w:szCs w:val="24"/>
          <w:highlight w:val="none"/>
        </w:rPr>
        <w:t>。</w:t>
      </w:r>
    </w:p>
    <w:p w14:paraId="79093580">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18.7 通知义务</w:t>
      </w:r>
    </w:p>
    <w:p w14:paraId="3426E846">
      <w:pPr>
        <w:adjustRightInd w:val="0"/>
        <w:snapToGrid w:val="0"/>
        <w:spacing w:line="360" w:lineRule="auto"/>
        <w:ind w:firstLine="480" w:firstLineChars="200"/>
        <w:rPr>
          <w:rFonts w:cs="宋体"/>
          <w:b/>
          <w:color w:val="auto"/>
          <w:sz w:val="24"/>
          <w:szCs w:val="24"/>
          <w:highlight w:val="none"/>
          <w:u w:val="single"/>
        </w:rPr>
      </w:pPr>
      <w:r>
        <w:rPr>
          <w:rFonts w:hint="eastAsia" w:cs="宋体"/>
          <w:color w:val="auto"/>
          <w:sz w:val="24"/>
          <w:szCs w:val="24"/>
          <w:highlight w:val="none"/>
        </w:rPr>
        <w:t>关于变更保险合同时的通知义务的约定：</w:t>
      </w:r>
      <w:r>
        <w:rPr>
          <w:rFonts w:hint="eastAsia" w:cs="宋体"/>
          <w:color w:val="auto"/>
          <w:sz w:val="24"/>
          <w:szCs w:val="24"/>
          <w:highlight w:val="none"/>
          <w:u w:val="single"/>
        </w:rPr>
        <w:t>执行通用条款</w:t>
      </w:r>
      <w:r>
        <w:rPr>
          <w:rFonts w:hint="eastAsia" w:cs="宋体"/>
          <w:color w:val="auto"/>
          <w:sz w:val="24"/>
          <w:szCs w:val="24"/>
          <w:highlight w:val="none"/>
        </w:rPr>
        <w:t>。</w:t>
      </w:r>
    </w:p>
    <w:bookmarkEnd w:id="576"/>
    <w:bookmarkEnd w:id="577"/>
    <w:bookmarkEnd w:id="578"/>
    <w:bookmarkEnd w:id="579"/>
    <w:bookmarkEnd w:id="580"/>
    <w:bookmarkEnd w:id="581"/>
    <w:bookmarkEnd w:id="582"/>
    <w:bookmarkEnd w:id="583"/>
    <w:bookmarkEnd w:id="584"/>
    <w:bookmarkEnd w:id="585"/>
    <w:bookmarkEnd w:id="586"/>
    <w:bookmarkEnd w:id="587"/>
    <w:p w14:paraId="73FF04D3">
      <w:pPr>
        <w:snapToGrid w:val="0"/>
        <w:spacing w:before="312" w:beforeLines="100" w:after="312" w:afterLines="100" w:line="360" w:lineRule="auto"/>
        <w:outlineLvl w:val="2"/>
        <w:rPr>
          <w:rFonts w:cs="宋体"/>
          <w:color w:val="auto"/>
          <w:sz w:val="24"/>
          <w:szCs w:val="24"/>
          <w:highlight w:val="none"/>
        </w:rPr>
      </w:pPr>
      <w:bookmarkStart w:id="603" w:name="_Toc351203651"/>
      <w:r>
        <w:rPr>
          <w:rFonts w:hint="eastAsia" w:cs="宋体"/>
          <w:color w:val="auto"/>
          <w:sz w:val="24"/>
          <w:szCs w:val="24"/>
          <w:highlight w:val="none"/>
        </w:rPr>
        <w:t>20. 争议解决</w:t>
      </w:r>
      <w:bookmarkEnd w:id="603"/>
    </w:p>
    <w:bookmarkEnd w:id="588"/>
    <w:bookmarkEnd w:id="589"/>
    <w:p w14:paraId="506A1971">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20.3 争</w:t>
      </w:r>
      <w:bookmarkEnd w:id="590"/>
      <w:r>
        <w:rPr>
          <w:rFonts w:hint="eastAsia" w:cs="宋体"/>
          <w:bCs/>
          <w:color w:val="auto"/>
          <w:sz w:val="24"/>
          <w:szCs w:val="24"/>
          <w:highlight w:val="none"/>
        </w:rPr>
        <w:t>议评审</w:t>
      </w:r>
    </w:p>
    <w:p w14:paraId="38A640D0">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合同当事人是否同意将工程争议提交争议评审小组决定：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84C14C4">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20.3.1 争议评审小组的确定</w:t>
      </w:r>
    </w:p>
    <w:p w14:paraId="157DB102">
      <w:pPr>
        <w:adjustRightInd w:val="0"/>
        <w:snapToGrid w:val="0"/>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争议评审小组成员的确定：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F04FBFF">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选定争议评审员的期限：</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FA8D317">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争议评审小组成员的报酬承担方式：</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AAD8A6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其他事项的约定：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86AFF2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20.3.2 争议评审小组的决定</w:t>
      </w:r>
    </w:p>
    <w:p w14:paraId="0E035461">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合同当事人关于本项的约定：</w:t>
      </w:r>
      <w:r>
        <w:rPr>
          <w:rFonts w:hint="eastAsia" w:cs="宋体"/>
          <w:color w:val="auto"/>
          <w:sz w:val="24"/>
          <w:szCs w:val="24"/>
          <w:highlight w:val="none"/>
          <w:u w:val="single"/>
        </w:rPr>
        <w:t xml:space="preserve">                           </w:t>
      </w:r>
      <w:r>
        <w:rPr>
          <w:rFonts w:hint="eastAsia" w:cs="宋体"/>
          <w:color w:val="auto"/>
          <w:sz w:val="24"/>
          <w:szCs w:val="24"/>
          <w:highlight w:val="none"/>
        </w:rPr>
        <w:t>。</w:t>
      </w:r>
    </w:p>
    <w:p w14:paraId="633D9007">
      <w:pPr>
        <w:keepNext/>
        <w:keepLines/>
        <w:snapToGrid w:val="0"/>
        <w:spacing w:before="120" w:after="120" w:line="360" w:lineRule="auto"/>
        <w:ind w:firstLine="480" w:firstLineChars="200"/>
        <w:outlineLvl w:val="3"/>
        <w:rPr>
          <w:rFonts w:cs="宋体"/>
          <w:bCs/>
          <w:color w:val="auto"/>
          <w:sz w:val="24"/>
          <w:szCs w:val="24"/>
          <w:highlight w:val="none"/>
        </w:rPr>
      </w:pPr>
      <w:r>
        <w:rPr>
          <w:rFonts w:hint="eastAsia" w:cs="宋体"/>
          <w:bCs/>
          <w:color w:val="auto"/>
          <w:sz w:val="24"/>
          <w:szCs w:val="24"/>
          <w:highlight w:val="none"/>
        </w:rPr>
        <w:t>20.4 仲裁或诉讼</w:t>
      </w:r>
      <w:bookmarkEnd w:id="591"/>
    </w:p>
    <w:bookmarkEnd w:id="592"/>
    <w:bookmarkEnd w:id="593"/>
    <w:bookmarkEnd w:id="594"/>
    <w:bookmarkEnd w:id="595"/>
    <w:bookmarkEnd w:id="596"/>
    <w:bookmarkEnd w:id="597"/>
    <w:p w14:paraId="45CAD326">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因合同及合同有关事项发生的争议，按下列</w:t>
      </w:r>
      <w:r>
        <w:rPr>
          <w:rFonts w:hint="eastAsia" w:cs="宋体"/>
          <w:b/>
          <w:bCs/>
          <w:color w:val="auto"/>
          <w:sz w:val="24"/>
          <w:szCs w:val="24"/>
          <w:highlight w:val="none"/>
        </w:rPr>
        <w:t>第</w:t>
      </w:r>
      <w:r>
        <w:rPr>
          <w:rFonts w:hint="eastAsia" w:cs="宋体"/>
          <w:b/>
          <w:bCs/>
          <w:color w:val="auto"/>
          <w:sz w:val="24"/>
          <w:szCs w:val="24"/>
          <w:highlight w:val="none"/>
          <w:u w:val="single"/>
        </w:rPr>
        <w:t xml:space="preserve"> 2 </w:t>
      </w:r>
      <w:r>
        <w:rPr>
          <w:rFonts w:hint="eastAsia" w:cs="宋体"/>
          <w:b/>
          <w:bCs/>
          <w:color w:val="auto"/>
          <w:sz w:val="24"/>
          <w:szCs w:val="24"/>
          <w:highlight w:val="none"/>
        </w:rPr>
        <w:t>种</w:t>
      </w:r>
      <w:r>
        <w:rPr>
          <w:rFonts w:hint="eastAsia" w:cs="宋体"/>
          <w:color w:val="auto"/>
          <w:sz w:val="24"/>
          <w:szCs w:val="24"/>
          <w:highlight w:val="none"/>
        </w:rPr>
        <w:t>方式解决：</w:t>
      </w:r>
    </w:p>
    <w:p w14:paraId="7C4609E5">
      <w:pPr>
        <w:numPr>
          <w:ilvl w:val="0"/>
          <w:numId w:val="7"/>
        </w:num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向</w:t>
      </w: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甲方</w:t>
      </w:r>
      <w:r>
        <w:rPr>
          <w:rFonts w:hint="eastAsia" w:cs="宋体"/>
          <w:color w:val="auto"/>
          <w:sz w:val="24"/>
          <w:szCs w:val="24"/>
          <w:highlight w:val="none"/>
          <w:u w:val="single"/>
        </w:rPr>
        <w:t xml:space="preserve">法人证书登记的住所地 </w:t>
      </w:r>
      <w:r>
        <w:rPr>
          <w:rFonts w:hint="eastAsia" w:cs="宋体"/>
          <w:color w:val="auto"/>
          <w:sz w:val="24"/>
          <w:szCs w:val="24"/>
          <w:highlight w:val="none"/>
        </w:rPr>
        <w:t>仲裁委员会申请仲裁；</w:t>
      </w:r>
    </w:p>
    <w:p w14:paraId="36CFC7AC">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（2）向</w:t>
      </w:r>
      <w:r>
        <w:rPr>
          <w:rFonts w:hint="eastAsia" w:cs="宋体"/>
          <w:color w:val="auto"/>
          <w:sz w:val="24"/>
          <w:szCs w:val="24"/>
          <w:highlight w:val="none"/>
          <w:u w:val="single"/>
          <w:lang w:val="en-US" w:eastAsia="zh-CN"/>
        </w:rPr>
        <w:t>甲方</w:t>
      </w:r>
      <w:r>
        <w:rPr>
          <w:rFonts w:hint="eastAsia" w:ascii="宋体" w:hAnsi="宋体" w:eastAsia="宋体" w:cs="宋体"/>
          <w:color w:val="auto"/>
          <w:sz w:val="24"/>
          <w:szCs w:val="24"/>
          <w:highlight w:val="none"/>
          <w:u w:val="single"/>
          <w:lang w:val="en-US" w:eastAsia="zh-CN"/>
        </w:rPr>
        <w:t>法人证书登记的住所地</w:t>
      </w:r>
      <w:r>
        <w:rPr>
          <w:rFonts w:hint="eastAsia" w:cs="宋体"/>
          <w:color w:val="auto"/>
          <w:sz w:val="24"/>
          <w:szCs w:val="24"/>
          <w:highlight w:val="none"/>
        </w:rPr>
        <w:t>人民法院起诉。</w:t>
      </w:r>
    </w:p>
    <w:p w14:paraId="2F0AA7E9">
      <w:pPr>
        <w:snapToGrid w:val="0"/>
        <w:spacing w:before="312" w:beforeLines="100" w:after="312" w:afterLines="100" w:line="360" w:lineRule="auto"/>
        <w:outlineLvl w:val="2"/>
        <w:rPr>
          <w:rFonts w:hint="eastAsia" w:cs="宋体"/>
          <w:color w:val="auto"/>
          <w:sz w:val="24"/>
          <w:szCs w:val="24"/>
          <w:highlight w:val="none"/>
        </w:rPr>
      </w:pPr>
      <w:r>
        <w:rPr>
          <w:rFonts w:hint="eastAsia" w:cs="宋体"/>
          <w:color w:val="auto"/>
          <w:sz w:val="24"/>
          <w:szCs w:val="24"/>
          <w:highlight w:val="none"/>
        </w:rPr>
        <w:t xml:space="preserve">21. 补充条款 </w:t>
      </w:r>
    </w:p>
    <w:p w14:paraId="4F926E75">
      <w:pPr>
        <w:pStyle w:val="20"/>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eastAsia="@微软简标宋"/>
          <w:color w:val="auto"/>
          <w:sz w:val="24"/>
          <w:szCs w:val="24"/>
          <w:highlight w:val="none"/>
          <w:lang w:val="en-US" w:eastAsia="zh-CN"/>
        </w:rPr>
      </w:pPr>
      <w:r>
        <w:rPr>
          <w:rFonts w:hint="eastAsia"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p>
    <w:p w14:paraId="5897048D">
      <w:pPr>
        <w:snapToGrid w:val="0"/>
        <w:spacing w:line="360" w:lineRule="auto"/>
        <w:rPr>
          <w:rFonts w:cs="宋体"/>
          <w:b/>
          <w:color w:val="auto"/>
          <w:sz w:val="24"/>
          <w:szCs w:val="24"/>
          <w:highlight w:val="none"/>
        </w:rPr>
      </w:pPr>
    </w:p>
    <w:p w14:paraId="5E9144DE">
      <w:pPr>
        <w:snapToGrid w:val="0"/>
        <w:spacing w:line="360" w:lineRule="auto"/>
        <w:rPr>
          <w:rFonts w:cs="宋体"/>
          <w:color w:val="auto"/>
          <w:sz w:val="24"/>
          <w:szCs w:val="24"/>
          <w:highlight w:val="none"/>
        </w:rPr>
      </w:pPr>
      <w:r>
        <w:rPr>
          <w:rFonts w:hint="eastAsia" w:cs="宋体"/>
          <w:color w:val="auto"/>
          <w:sz w:val="24"/>
          <w:szCs w:val="24"/>
          <w:highlight w:val="none"/>
          <w:lang w:eastAsia="zh-CN"/>
        </w:rPr>
        <w:t>甲方</w:t>
      </w:r>
      <w:r>
        <w:rPr>
          <w:rFonts w:hint="eastAsia" w:cs="宋体"/>
          <w:color w:val="auto"/>
          <w:sz w:val="24"/>
          <w:szCs w:val="24"/>
          <w:highlight w:val="none"/>
        </w:rPr>
        <w:t xml:space="preserve">：  （公章）                           </w:t>
      </w:r>
      <w:r>
        <w:rPr>
          <w:rFonts w:hint="eastAsia" w:cs="宋体"/>
          <w:color w:val="auto"/>
          <w:sz w:val="24"/>
          <w:szCs w:val="24"/>
          <w:highlight w:val="none"/>
          <w:lang w:eastAsia="zh-CN"/>
        </w:rPr>
        <w:t>乙方</w:t>
      </w:r>
      <w:r>
        <w:rPr>
          <w:rFonts w:hint="eastAsia" w:cs="宋体"/>
          <w:color w:val="auto"/>
          <w:sz w:val="24"/>
          <w:szCs w:val="24"/>
          <w:highlight w:val="none"/>
        </w:rPr>
        <w:t>：  （公章）</w:t>
      </w:r>
    </w:p>
    <w:p w14:paraId="5B670C14">
      <w:pPr>
        <w:snapToGrid w:val="0"/>
        <w:spacing w:line="360" w:lineRule="auto"/>
        <w:rPr>
          <w:rFonts w:cs="宋体"/>
          <w:color w:val="auto"/>
          <w:sz w:val="24"/>
          <w:szCs w:val="24"/>
          <w:highlight w:val="none"/>
        </w:rPr>
      </w:pPr>
      <w:r>
        <w:rPr>
          <w:rFonts w:hint="eastAsia" w:cs="宋体"/>
          <w:color w:val="auto"/>
          <w:sz w:val="24"/>
          <w:szCs w:val="24"/>
          <w:highlight w:val="none"/>
        </w:rPr>
        <w:t>法定代表人或其委托代理人：                 法定代表人或其委托代理人：</w:t>
      </w:r>
    </w:p>
    <w:p w14:paraId="55A8A85F">
      <w:pPr>
        <w:snapToGrid w:val="0"/>
        <w:spacing w:line="360" w:lineRule="auto"/>
        <w:rPr>
          <w:rFonts w:cs="宋体"/>
          <w:color w:val="auto"/>
          <w:sz w:val="24"/>
          <w:szCs w:val="24"/>
          <w:highlight w:val="none"/>
        </w:rPr>
      </w:pPr>
      <w:r>
        <w:rPr>
          <w:rFonts w:hint="eastAsia" w:cs="宋体"/>
          <w:color w:val="auto"/>
          <w:sz w:val="24"/>
          <w:szCs w:val="24"/>
          <w:highlight w:val="none"/>
        </w:rPr>
        <w:t>（签字）                                  （签字）</w:t>
      </w:r>
    </w:p>
    <w:p w14:paraId="33C4EF19">
      <w:pPr>
        <w:snapToGrid w:val="0"/>
        <w:spacing w:line="360" w:lineRule="auto"/>
        <w:rPr>
          <w:rFonts w:cs="宋体"/>
          <w:color w:val="auto"/>
          <w:sz w:val="24"/>
          <w:szCs w:val="24"/>
          <w:highlight w:val="none"/>
        </w:rPr>
      </w:pPr>
      <w:r>
        <w:rPr>
          <w:rFonts w:hint="eastAsia" w:cs="宋体"/>
          <w:color w:val="auto"/>
          <w:sz w:val="24"/>
          <w:szCs w:val="24"/>
          <w:highlight w:val="none"/>
        </w:rPr>
        <w:t>组织机构代码：</w:t>
      </w:r>
      <w:r>
        <w:rPr>
          <w:rFonts w:hint="eastAsia" w:cs="宋体"/>
          <w:color w:val="auto"/>
          <w:sz w:val="24"/>
          <w:szCs w:val="24"/>
          <w:highlight w:val="none"/>
          <w:u w:val="single"/>
        </w:rPr>
        <w:t xml:space="preserve">       </w:t>
      </w:r>
      <w:r>
        <w:rPr>
          <w:rFonts w:hint="eastAsia" w:cs="宋体"/>
          <w:color w:val="auto"/>
          <w:sz w:val="24"/>
          <w:szCs w:val="24"/>
          <w:highlight w:val="none"/>
        </w:rPr>
        <w:t xml:space="preserve">                组织机构代码：</w:t>
      </w:r>
      <w:r>
        <w:rPr>
          <w:rFonts w:hint="eastAsia" w:cs="宋体"/>
          <w:color w:val="auto"/>
          <w:sz w:val="24"/>
          <w:szCs w:val="24"/>
          <w:highlight w:val="none"/>
          <w:u w:val="single"/>
        </w:rPr>
        <w:t xml:space="preserve">          </w:t>
      </w:r>
      <w:r>
        <w:rPr>
          <w:rFonts w:hint="eastAsia" w:cs="宋体"/>
          <w:color w:val="auto"/>
          <w:sz w:val="24"/>
          <w:szCs w:val="24"/>
          <w:highlight w:val="none"/>
        </w:rPr>
        <w:t xml:space="preserve"> </w:t>
      </w:r>
    </w:p>
    <w:p w14:paraId="65A7BA77">
      <w:pPr>
        <w:snapToGrid w:val="0"/>
        <w:spacing w:line="360" w:lineRule="auto"/>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    </w:t>
      </w:r>
      <w:r>
        <w:rPr>
          <w:rFonts w:hint="eastAsia" w:cs="宋体"/>
          <w:color w:val="auto"/>
          <w:sz w:val="24"/>
          <w:szCs w:val="24"/>
          <w:highlight w:val="none"/>
        </w:rPr>
        <w:t xml:space="preserve">                地  址：</w:t>
      </w:r>
      <w:r>
        <w:rPr>
          <w:rFonts w:hint="eastAsia" w:cs="宋体"/>
          <w:color w:val="auto"/>
          <w:sz w:val="24"/>
          <w:szCs w:val="24"/>
          <w:highlight w:val="none"/>
          <w:u w:val="single"/>
        </w:rPr>
        <w:t xml:space="preserve">        </w:t>
      </w:r>
    </w:p>
    <w:p w14:paraId="20C7337A">
      <w:pPr>
        <w:snapToGrid w:val="0"/>
        <w:spacing w:line="360" w:lineRule="auto"/>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     </w:t>
      </w:r>
      <w:r>
        <w:rPr>
          <w:rFonts w:hint="eastAsia" w:cs="宋体"/>
          <w:color w:val="auto"/>
          <w:sz w:val="24"/>
          <w:szCs w:val="24"/>
          <w:highlight w:val="none"/>
        </w:rPr>
        <w:t xml:space="preserve">               邮政编码：</w:t>
      </w:r>
      <w:r>
        <w:rPr>
          <w:rFonts w:hint="eastAsia" w:cs="宋体"/>
          <w:color w:val="auto"/>
          <w:sz w:val="24"/>
          <w:szCs w:val="24"/>
          <w:highlight w:val="none"/>
          <w:u w:val="single"/>
        </w:rPr>
        <w:t xml:space="preserve">   </w:t>
      </w:r>
    </w:p>
    <w:p w14:paraId="0075F662">
      <w:pPr>
        <w:snapToGrid w:val="0"/>
        <w:spacing w:line="360" w:lineRule="auto"/>
        <w:rPr>
          <w:rFonts w:cs="宋体"/>
          <w:color w:val="auto"/>
          <w:sz w:val="24"/>
          <w:szCs w:val="24"/>
          <w:highlight w:val="none"/>
        </w:rPr>
      </w:pPr>
      <w:r>
        <w:rPr>
          <w:rFonts w:hint="eastAsia" w:cs="宋体"/>
          <w:color w:val="auto"/>
          <w:sz w:val="24"/>
          <w:szCs w:val="24"/>
          <w:highlight w:val="none"/>
        </w:rPr>
        <w:t>法定代表人：</w:t>
      </w:r>
      <w:r>
        <w:rPr>
          <w:rFonts w:hint="eastAsia" w:cs="宋体"/>
          <w:color w:val="auto"/>
          <w:sz w:val="24"/>
          <w:szCs w:val="24"/>
          <w:highlight w:val="none"/>
          <w:u w:val="single"/>
        </w:rPr>
        <w:t xml:space="preserve">           </w:t>
      </w:r>
      <w:r>
        <w:rPr>
          <w:rFonts w:hint="eastAsia" w:cs="宋体"/>
          <w:color w:val="auto"/>
          <w:sz w:val="24"/>
          <w:szCs w:val="24"/>
          <w:highlight w:val="none"/>
        </w:rPr>
        <w:t xml:space="preserve">                法定代表人：</w:t>
      </w:r>
      <w:r>
        <w:rPr>
          <w:rFonts w:hint="eastAsia" w:cs="宋体"/>
          <w:color w:val="auto"/>
          <w:sz w:val="24"/>
          <w:szCs w:val="24"/>
          <w:highlight w:val="none"/>
          <w:u w:val="single"/>
        </w:rPr>
        <w:t xml:space="preserve">             </w:t>
      </w:r>
    </w:p>
    <w:p w14:paraId="26CE7FFD">
      <w:pPr>
        <w:snapToGrid w:val="0"/>
        <w:spacing w:line="360" w:lineRule="auto"/>
        <w:rPr>
          <w:rFonts w:cs="宋体"/>
          <w:color w:val="auto"/>
          <w:sz w:val="24"/>
          <w:szCs w:val="24"/>
          <w:highlight w:val="none"/>
        </w:rPr>
      </w:pPr>
      <w:r>
        <w:rPr>
          <w:rFonts w:hint="eastAsia" w:cs="宋体"/>
          <w:color w:val="auto"/>
          <w:sz w:val="24"/>
          <w:szCs w:val="24"/>
          <w:highlight w:val="none"/>
        </w:rPr>
        <w:t>委托代理人：</w:t>
      </w:r>
      <w:r>
        <w:rPr>
          <w:rFonts w:hint="eastAsia" w:cs="宋体"/>
          <w:color w:val="auto"/>
          <w:sz w:val="24"/>
          <w:szCs w:val="24"/>
          <w:highlight w:val="none"/>
          <w:u w:val="single"/>
        </w:rPr>
        <w:t xml:space="preserve">           </w:t>
      </w:r>
      <w:r>
        <w:rPr>
          <w:rFonts w:hint="eastAsia" w:cs="宋体"/>
          <w:color w:val="auto"/>
          <w:sz w:val="24"/>
          <w:szCs w:val="24"/>
          <w:highlight w:val="none"/>
        </w:rPr>
        <w:t xml:space="preserve">                委托代理人：</w:t>
      </w:r>
      <w:r>
        <w:rPr>
          <w:rFonts w:hint="eastAsia" w:cs="宋体"/>
          <w:color w:val="auto"/>
          <w:sz w:val="24"/>
          <w:szCs w:val="24"/>
          <w:highlight w:val="none"/>
          <w:u w:val="single"/>
        </w:rPr>
        <w:t xml:space="preserve">             </w:t>
      </w:r>
    </w:p>
    <w:p w14:paraId="4C66B29F">
      <w:pPr>
        <w:snapToGrid w:val="0"/>
        <w:spacing w:line="360" w:lineRule="auto"/>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r>
        <w:rPr>
          <w:rFonts w:hint="eastAsia" w:cs="宋体"/>
          <w:color w:val="auto"/>
          <w:sz w:val="24"/>
          <w:szCs w:val="24"/>
          <w:highlight w:val="none"/>
        </w:rPr>
        <w:t xml:space="preserve">                电  话：</w:t>
      </w:r>
      <w:r>
        <w:rPr>
          <w:rFonts w:hint="eastAsia" w:cs="宋体"/>
          <w:color w:val="auto"/>
          <w:sz w:val="24"/>
          <w:szCs w:val="24"/>
          <w:highlight w:val="none"/>
          <w:u w:val="single"/>
        </w:rPr>
        <w:t xml:space="preserve">     </w:t>
      </w:r>
    </w:p>
    <w:p w14:paraId="37D5E045">
      <w:pPr>
        <w:snapToGrid w:val="0"/>
        <w:spacing w:line="360" w:lineRule="auto"/>
        <w:rPr>
          <w:rFonts w:cs="宋体"/>
          <w:color w:val="auto"/>
          <w:sz w:val="24"/>
          <w:szCs w:val="24"/>
          <w:highlight w:val="none"/>
        </w:rPr>
      </w:pPr>
      <w:r>
        <w:rPr>
          <w:rFonts w:hint="eastAsia" w:cs="宋体"/>
          <w:color w:val="auto"/>
          <w:sz w:val="24"/>
          <w:szCs w:val="24"/>
          <w:highlight w:val="none"/>
        </w:rPr>
        <w:t>传  真：</w:t>
      </w:r>
      <w:r>
        <w:rPr>
          <w:rFonts w:hint="eastAsia" w:cs="宋体"/>
          <w:color w:val="auto"/>
          <w:sz w:val="24"/>
          <w:szCs w:val="24"/>
          <w:highlight w:val="none"/>
          <w:u w:val="single"/>
        </w:rPr>
        <w:t xml:space="preserve">   </w:t>
      </w:r>
      <w:r>
        <w:rPr>
          <w:rFonts w:hint="eastAsia" w:cs="宋体"/>
          <w:color w:val="auto"/>
          <w:sz w:val="24"/>
          <w:szCs w:val="24"/>
          <w:highlight w:val="none"/>
        </w:rPr>
        <w:t xml:space="preserve">                传  真：</w:t>
      </w:r>
      <w:r>
        <w:rPr>
          <w:rFonts w:hint="eastAsia" w:cs="宋体"/>
          <w:color w:val="auto"/>
          <w:sz w:val="24"/>
          <w:szCs w:val="24"/>
          <w:highlight w:val="none"/>
          <w:u w:val="single"/>
        </w:rPr>
        <w:t xml:space="preserve">     </w:t>
      </w:r>
    </w:p>
    <w:p w14:paraId="19488E64">
      <w:pPr>
        <w:snapToGrid w:val="0"/>
        <w:spacing w:line="360" w:lineRule="auto"/>
        <w:rPr>
          <w:rFonts w:cs="宋体"/>
          <w:color w:val="auto"/>
          <w:sz w:val="24"/>
          <w:szCs w:val="24"/>
          <w:highlight w:val="none"/>
        </w:rPr>
      </w:pPr>
      <w:r>
        <w:rPr>
          <w:rFonts w:hint="eastAsia" w:cs="宋体"/>
          <w:color w:val="auto"/>
          <w:sz w:val="24"/>
          <w:szCs w:val="24"/>
          <w:highlight w:val="none"/>
        </w:rPr>
        <w:t>电子信箱：</w:t>
      </w:r>
      <w:r>
        <w:rPr>
          <w:rFonts w:hint="eastAsia" w:cs="宋体"/>
          <w:color w:val="auto"/>
          <w:sz w:val="24"/>
          <w:szCs w:val="24"/>
          <w:highlight w:val="none"/>
          <w:u w:val="single"/>
        </w:rPr>
        <w:t xml:space="preserve">                 </w:t>
      </w:r>
      <w:r>
        <w:rPr>
          <w:rFonts w:hint="eastAsia" w:cs="宋体"/>
          <w:color w:val="auto"/>
          <w:sz w:val="24"/>
          <w:szCs w:val="24"/>
          <w:highlight w:val="none"/>
        </w:rPr>
        <w:t xml:space="preserve">                电子信箱：</w:t>
      </w:r>
      <w:r>
        <w:rPr>
          <w:rFonts w:hint="eastAsia" w:cs="宋体"/>
          <w:color w:val="auto"/>
          <w:sz w:val="24"/>
          <w:szCs w:val="24"/>
          <w:highlight w:val="none"/>
          <w:u w:val="single"/>
        </w:rPr>
        <w:t xml:space="preserve">   </w:t>
      </w:r>
    </w:p>
    <w:p w14:paraId="0ACCA2C5">
      <w:pPr>
        <w:snapToGrid w:val="0"/>
        <w:spacing w:line="360" w:lineRule="auto"/>
        <w:rPr>
          <w:rFonts w:cs="宋体"/>
          <w:color w:val="auto"/>
          <w:sz w:val="24"/>
          <w:szCs w:val="24"/>
          <w:highlight w:val="none"/>
        </w:rPr>
      </w:pPr>
      <w:r>
        <w:rPr>
          <w:rFonts w:hint="eastAsia" w:cs="宋体"/>
          <w:color w:val="auto"/>
          <w:sz w:val="24"/>
          <w:szCs w:val="24"/>
          <w:highlight w:val="none"/>
        </w:rPr>
        <w:t>开户银行：</w:t>
      </w:r>
      <w:r>
        <w:rPr>
          <w:rFonts w:hint="eastAsia" w:cs="宋体"/>
          <w:color w:val="auto"/>
          <w:sz w:val="24"/>
          <w:szCs w:val="24"/>
          <w:highlight w:val="none"/>
          <w:u w:val="single"/>
        </w:rPr>
        <w:t xml:space="preserve">   </w:t>
      </w:r>
      <w:r>
        <w:rPr>
          <w:rFonts w:hint="eastAsia" w:cs="宋体"/>
          <w:color w:val="auto"/>
          <w:sz w:val="24"/>
          <w:szCs w:val="24"/>
          <w:highlight w:val="none"/>
        </w:rPr>
        <w:t xml:space="preserve">                开户银行：</w:t>
      </w:r>
      <w:r>
        <w:rPr>
          <w:rFonts w:hint="eastAsia" w:cs="宋体"/>
          <w:color w:val="auto"/>
          <w:sz w:val="24"/>
          <w:szCs w:val="24"/>
          <w:highlight w:val="none"/>
          <w:u w:val="single"/>
        </w:rPr>
        <w:t xml:space="preserve">   </w:t>
      </w:r>
    </w:p>
    <w:p w14:paraId="208CAF4A">
      <w:pPr>
        <w:snapToGrid w:val="0"/>
        <w:spacing w:line="360" w:lineRule="auto"/>
        <w:rPr>
          <w:rFonts w:cs="宋体"/>
          <w:color w:val="auto"/>
          <w:sz w:val="24"/>
          <w:szCs w:val="24"/>
          <w:highlight w:val="none"/>
        </w:rPr>
      </w:pPr>
      <w:r>
        <w:rPr>
          <w:rFonts w:hint="eastAsia" w:cs="宋体"/>
          <w:color w:val="auto"/>
          <w:sz w:val="24"/>
          <w:szCs w:val="24"/>
          <w:highlight w:val="none"/>
        </w:rPr>
        <w:t>账  号：</w:t>
      </w:r>
      <w:r>
        <w:rPr>
          <w:rFonts w:hint="eastAsia" w:cs="宋体"/>
          <w:color w:val="auto"/>
          <w:sz w:val="24"/>
          <w:szCs w:val="24"/>
          <w:highlight w:val="none"/>
          <w:u w:val="single"/>
        </w:rPr>
        <w:t xml:space="preserve">       </w:t>
      </w:r>
      <w:r>
        <w:rPr>
          <w:rFonts w:hint="eastAsia" w:cs="宋体"/>
          <w:color w:val="auto"/>
          <w:sz w:val="24"/>
          <w:szCs w:val="24"/>
          <w:highlight w:val="none"/>
        </w:rPr>
        <w:t xml:space="preserve">                账  号：</w:t>
      </w:r>
      <w:r>
        <w:rPr>
          <w:rFonts w:hint="eastAsia" w:cs="宋体"/>
          <w:color w:val="auto"/>
          <w:sz w:val="24"/>
          <w:szCs w:val="24"/>
          <w:highlight w:val="none"/>
          <w:u w:val="single"/>
        </w:rPr>
        <w:t xml:space="preserve">     </w:t>
      </w:r>
    </w:p>
    <w:p w14:paraId="3ADCCB34">
      <w:pPr>
        <w:spacing w:before="312" w:beforeLines="100" w:after="312" w:afterLines="100"/>
        <w:outlineLvl w:val="2"/>
        <w:rPr>
          <w:rFonts w:ascii="Times New Roman" w:eastAsia="黑体"/>
          <w:color w:val="auto"/>
          <w:sz w:val="24"/>
          <w:szCs w:val="24"/>
          <w:highlight w:val="none"/>
        </w:rPr>
      </w:pPr>
      <w:r>
        <w:rPr>
          <w:rFonts w:hint="eastAsia" w:cs="宋体"/>
          <w:bCs/>
          <w:color w:val="auto"/>
          <w:sz w:val="24"/>
          <w:szCs w:val="24"/>
          <w:highlight w:val="none"/>
        </w:rPr>
        <w:br w:type="page"/>
      </w:r>
      <w:bookmarkStart w:id="604" w:name="_Toc128950236"/>
      <w:r>
        <w:rPr>
          <w:rFonts w:hint="eastAsia" w:ascii="Times New Roman" w:eastAsia="黑体"/>
          <w:color w:val="auto"/>
          <w:sz w:val="24"/>
          <w:szCs w:val="24"/>
          <w:highlight w:val="none"/>
        </w:rPr>
        <w:t>附</w:t>
      </w:r>
      <w:bookmarkStart w:id="605" w:name="_Toc296503225"/>
      <w:bookmarkStart w:id="606" w:name="_Toc296944564"/>
      <w:bookmarkStart w:id="607" w:name="_Toc296891053"/>
      <w:bookmarkStart w:id="608" w:name="_Toc296891265"/>
      <w:bookmarkStart w:id="609" w:name="_Toc296347224"/>
      <w:bookmarkStart w:id="610" w:name="_Toc267261692"/>
      <w:bookmarkStart w:id="611" w:name="_Toc296346726"/>
      <w:r>
        <w:rPr>
          <w:rFonts w:hint="eastAsia" w:ascii="Times New Roman" w:eastAsia="黑体"/>
          <w:color w:val="auto"/>
          <w:sz w:val="24"/>
          <w:szCs w:val="24"/>
          <w:highlight w:val="none"/>
        </w:rPr>
        <w:t>件</w:t>
      </w:r>
      <w:r>
        <w:rPr>
          <w:rFonts w:hint="eastAsia" w:ascii="Times New Roman" w:eastAsia="黑体"/>
          <w:color w:val="auto"/>
          <w:sz w:val="24"/>
          <w:szCs w:val="24"/>
          <w:highlight w:val="none"/>
          <w:lang w:val="en-US" w:eastAsia="zh-CN"/>
        </w:rPr>
        <w:t>1</w:t>
      </w:r>
      <w:r>
        <w:rPr>
          <w:rFonts w:hint="eastAsia" w:ascii="Times New Roman" w:eastAsia="黑体"/>
          <w:color w:val="auto"/>
          <w:sz w:val="24"/>
          <w:szCs w:val="24"/>
          <w:highlight w:val="none"/>
        </w:rPr>
        <w:t>：</w:t>
      </w:r>
      <w:bookmarkEnd w:id="604"/>
      <w:bookmarkEnd w:id="605"/>
      <w:bookmarkEnd w:id="606"/>
      <w:bookmarkEnd w:id="607"/>
      <w:bookmarkEnd w:id="608"/>
      <w:bookmarkEnd w:id="609"/>
      <w:bookmarkEnd w:id="610"/>
      <w:bookmarkEnd w:id="611"/>
      <w:bookmarkStart w:id="612" w:name="_Toc128950238"/>
      <w:bookmarkStart w:id="613" w:name="_Toc128950243"/>
      <w:r>
        <w:rPr>
          <w:rFonts w:hint="eastAsia" w:ascii="Times New Roman" w:eastAsia="黑体"/>
          <w:color w:val="auto"/>
          <w:sz w:val="24"/>
          <w:szCs w:val="24"/>
          <w:highlight w:val="none"/>
        </w:rPr>
        <w:t>廉政协议</w:t>
      </w:r>
    </w:p>
    <w:p w14:paraId="41EEE9AC">
      <w:pPr>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廉政协议书</w:t>
      </w:r>
    </w:p>
    <w:p w14:paraId="39670002">
      <w:pPr>
        <w:widowControl/>
        <w:adjustRightInd w:val="0"/>
        <w:snapToGrid w:val="0"/>
        <w:spacing w:line="360" w:lineRule="auto"/>
        <w:ind w:firstLine="400" w:firstLineChars="200"/>
        <w:jc w:val="left"/>
        <w:rPr>
          <w:rFonts w:hint="default" w:ascii="Times New Roman" w:hAnsi="Times New Roman" w:cs="Times New Roman"/>
          <w:color w:val="auto"/>
          <w:kern w:val="0"/>
          <w:szCs w:val="21"/>
          <w:highlight w:val="none"/>
        </w:rPr>
      </w:pPr>
      <w:bookmarkStart w:id="614" w:name="OLE_LINK10"/>
      <w:bookmarkStart w:id="615" w:name="OLE_LINK11"/>
    </w:p>
    <w:bookmarkEnd w:id="614"/>
    <w:bookmarkEnd w:id="615"/>
    <w:p w14:paraId="7B88000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为促进双方诚信经营、廉洁从业，防范商业贿赂，保护国家、集体和当事人的合法权益，根据国家有关法律法规和安徽省廉政建设的规定，</w:t>
      </w:r>
      <w:r>
        <w:rPr>
          <w:rFonts w:hint="eastAsia" w:cs="宋体"/>
          <w:color w:val="auto"/>
          <w:sz w:val="24"/>
          <w:szCs w:val="24"/>
          <w:highlight w:val="none"/>
          <w:u w:val="single"/>
        </w:rPr>
        <w:t xml:space="preserve">     </w:t>
      </w:r>
      <w:r>
        <w:rPr>
          <w:rFonts w:hint="eastAsia" w:cs="宋体"/>
          <w:color w:val="auto"/>
          <w:sz w:val="24"/>
          <w:szCs w:val="24"/>
          <w:highlight w:val="none"/>
        </w:rPr>
        <w:t>（以下称甲方）与</w:t>
      </w:r>
      <w:r>
        <w:rPr>
          <w:rFonts w:hint="eastAsia" w:cs="宋体"/>
          <w:color w:val="auto"/>
          <w:sz w:val="24"/>
          <w:szCs w:val="24"/>
          <w:highlight w:val="none"/>
          <w:u w:val="single"/>
        </w:rPr>
        <w:t xml:space="preserve">             （</w:t>
      </w:r>
      <w:r>
        <w:rPr>
          <w:rFonts w:hint="eastAsia" w:cs="宋体"/>
          <w:color w:val="auto"/>
          <w:sz w:val="24"/>
          <w:szCs w:val="24"/>
          <w:highlight w:val="none"/>
        </w:rPr>
        <w:t>以下称乙方），特此订立本协议共同遵照执行。</w:t>
      </w:r>
    </w:p>
    <w:p w14:paraId="7049A4F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第一条 甲乙双方的权利和义务</w:t>
      </w:r>
    </w:p>
    <w:p w14:paraId="7E039963">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9D05F69">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（二）严格执行</w:t>
      </w:r>
      <w:r>
        <w:rPr>
          <w:rFonts w:hint="eastAsia" w:cs="宋体"/>
          <w:color w:val="auto"/>
          <w:sz w:val="24"/>
          <w:szCs w:val="24"/>
          <w:highlight w:val="none"/>
          <w:u w:val="single"/>
        </w:rPr>
        <w:t xml:space="preserve">                                </w:t>
      </w:r>
      <w:r>
        <w:rPr>
          <w:rFonts w:hint="eastAsia" w:cs="宋体"/>
          <w:color w:val="auto"/>
          <w:sz w:val="24"/>
          <w:szCs w:val="24"/>
          <w:highlight w:val="none"/>
        </w:rPr>
        <w:t>的合同要求，自觉履行合同约定的相关义务。</w:t>
      </w:r>
    </w:p>
    <w:p w14:paraId="225D8F93">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（三）在业务活动中坚持公开、公正、诚信、透明的原则，不得损害国家、集体利益。</w:t>
      </w:r>
    </w:p>
    <w:p w14:paraId="6EEFC60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（四）建立健全廉政制度，开展廉政教育，公布举报电话，监督并认真查处违法违纪行为。</w:t>
      </w:r>
    </w:p>
    <w:p w14:paraId="27BAEFD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（五）发现对方在业务活动中有违反廉政规定的行为，应及时提醒对方纠正。情节严重的，应向其上级有关部门举报、建议给予处理，并有权要求告知处理结果。</w:t>
      </w:r>
    </w:p>
    <w:p w14:paraId="1EB49C03">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第二条 甲方的义务</w:t>
      </w:r>
    </w:p>
    <w:p w14:paraId="52C021D2">
      <w:pPr>
        <w:widowControl/>
        <w:spacing w:line="360" w:lineRule="auto"/>
        <w:ind w:firstLine="600" w:firstLineChars="250"/>
        <w:jc w:val="left"/>
        <w:rPr>
          <w:rFonts w:cs="宋体"/>
          <w:color w:val="auto"/>
          <w:sz w:val="24"/>
          <w:szCs w:val="24"/>
          <w:highlight w:val="none"/>
        </w:rPr>
      </w:pPr>
      <w:r>
        <w:rPr>
          <w:rFonts w:hint="eastAsia" w:cs="宋体"/>
          <w:color w:val="auto"/>
          <w:sz w:val="24"/>
          <w:szCs w:val="24"/>
          <w:highlight w:val="none"/>
        </w:rPr>
        <w:t>（一）甲方及其工作人员不得索要或接受乙方的礼金、有价证券和贵重物品，不得在乙方报销任何应由甲方单位或个人支付的费用等。</w:t>
      </w:r>
    </w:p>
    <w:p w14:paraId="46A9202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43EA9406">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 甲方及其工作人员不得要求或者接受乙方为其住房装修、婚丧嫁娶活动、配偶子女工作安排以及出国出境、旅游等提供方便等。</w:t>
      </w:r>
    </w:p>
    <w:p w14:paraId="093F850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 甲方工作人员不得在乙方有股权关联的企业兼职，不得向乙方介绍家属或者亲友从事与甲方业务有关的经济活动。</w:t>
      </w:r>
    </w:p>
    <w:p w14:paraId="3E22ECB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（五）甲方工作人员不得以明显低于市场的价格向乙方购买房屋、汽车等物品；不得以明显高于市场的价格向乙方出售房屋、汽车等物品；不得以其他交易形式非法收受请托人财物。</w:t>
      </w:r>
    </w:p>
    <w:p w14:paraId="3F753C5C">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（六）甲方工作人员不得利用职务之便收受乙方以回扣、手续费、加班费、咨询费、劳务费、协调费、辛苦费等各种名义给予或赠送的钱物。</w:t>
      </w:r>
    </w:p>
    <w:p w14:paraId="6944091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（七）甲方工作人员不得接受乙方给予或赠送的干股或红利。</w:t>
      </w:r>
    </w:p>
    <w:p w14:paraId="4924AF1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（八）甲方任何人不得以个人的名义向乙方推荐设备、部件等供货商以及其他合作单位。</w:t>
      </w:r>
    </w:p>
    <w:p w14:paraId="365C0ED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第三条 乙方的义务</w:t>
      </w:r>
    </w:p>
    <w:p w14:paraId="0A5F36C1">
      <w:pPr>
        <w:widowControl/>
        <w:spacing w:line="360" w:lineRule="auto"/>
        <w:ind w:firstLine="600" w:firstLineChars="250"/>
        <w:jc w:val="left"/>
        <w:rPr>
          <w:rFonts w:cs="宋体"/>
          <w:color w:val="auto"/>
          <w:sz w:val="24"/>
          <w:szCs w:val="24"/>
          <w:highlight w:val="none"/>
        </w:rPr>
      </w:pPr>
      <w:r>
        <w:rPr>
          <w:rFonts w:hint="eastAsia" w:cs="宋体"/>
          <w:color w:val="auto"/>
          <w:sz w:val="24"/>
          <w:szCs w:val="24"/>
          <w:highlight w:val="none"/>
        </w:rPr>
        <w:t>（一）乙方不得以任何理由向甲方及其工作人员行贿或馈赠礼金、有价证券、贵重礼品。</w:t>
      </w:r>
    </w:p>
    <w:p w14:paraId="6040C53C">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（二）乙方不得以任何名义为甲方及其工作人员报销应由甲方单位或个人支付的任何费用。</w:t>
      </w:r>
    </w:p>
    <w:p w14:paraId="17554F2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（三）乙方不得以任何理由安排甲方工作人员参加可能影响相关业务公开、公正、公平性的宴请及娱乐活动。</w:t>
      </w:r>
    </w:p>
    <w:p w14:paraId="093CBA4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（四）乙方不得为甲方单位和个人购置或提供通讯工具和高档办公用品等物品，也不得为甲方提供与工作无关的房屋、汽车等。</w:t>
      </w:r>
    </w:p>
    <w:p w14:paraId="2B421AE3">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（五）乙方不得与甲方工作人员就合同中的质量、数量、价格、工程量、验收等条款进行私下商谈或者达成默契。</w:t>
      </w:r>
    </w:p>
    <w:p w14:paraId="709A6E5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（六）乙方不得以回扣、手续费、加班费、咨询费、劳务费、协调费、辛苦费等各种名义向甲方工作人员给予或赠送钱物。</w:t>
      </w:r>
    </w:p>
    <w:p w14:paraId="26CA11C9">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（七）乙方不得向甲方工作人员提供干股或红利。</w:t>
      </w:r>
    </w:p>
    <w:p w14:paraId="7B0AC39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第四条 违约责任</w:t>
      </w:r>
    </w:p>
    <w:p w14:paraId="7FE12546">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94EADD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（二）乙方及其工作人员违反本协议第一、三条规定。根据具体情节和造成的后果，甲方有权对乙方采取以下一种或多种处理办法：</w:t>
      </w:r>
    </w:p>
    <w:p w14:paraId="750BD0DC">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1. 全额收取乙方合同履约保证金不予退还； </w:t>
      </w:r>
    </w:p>
    <w:p w14:paraId="76910DC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2. 追究乙方其他违约责任；</w:t>
      </w:r>
    </w:p>
    <w:p w14:paraId="1D3D507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3. 终止或解除双方已签订的包括本合同在内的所有合同；</w:t>
      </w:r>
    </w:p>
    <w:p w14:paraId="2B320B13">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4. 乙方一定期限内（6个月至3年，具体由甲方根据情况而定）不得参与甲方作为发包人（业主）的工程项目投标。</w:t>
      </w:r>
    </w:p>
    <w:p w14:paraId="22DBDB4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甲方作出的处理意见，乙方应无条件接受并承担给甲方造成的损失，全额返还通过不正当手段从甲方获取的非法所得，并承担相应的法律责任。</w:t>
      </w:r>
    </w:p>
    <w:p w14:paraId="5F0783D6">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第五条 双方约定</w:t>
      </w:r>
    </w:p>
    <w:p w14:paraId="1D8AAA1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7D714D1B">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第六条  本协议有效期为甲乙双方签署之日起至合同终止。  </w:t>
      </w:r>
    </w:p>
    <w:p w14:paraId="682AE2A8">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第七条  本协议作为合同的附件，与本合同具有同等法律效力。</w:t>
      </w:r>
    </w:p>
    <w:p w14:paraId="7735756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 </w:t>
      </w:r>
    </w:p>
    <w:p w14:paraId="5D0B3058">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甲方（盖章）： </w:t>
      </w:r>
      <w:r>
        <w:rPr>
          <w:rFonts w:hint="eastAsia" w:cs="宋体"/>
          <w:color w:val="auto"/>
          <w:sz w:val="24"/>
          <w:szCs w:val="24"/>
          <w:highlight w:val="none"/>
          <w:u w:val="single"/>
        </w:rPr>
        <w:t xml:space="preserve">                  </w:t>
      </w:r>
      <w:r>
        <w:rPr>
          <w:rFonts w:hint="eastAsia" w:cs="宋体"/>
          <w:color w:val="auto"/>
          <w:sz w:val="24"/>
          <w:szCs w:val="24"/>
          <w:highlight w:val="none"/>
        </w:rPr>
        <w:t xml:space="preserve">     乙方（盖章）：</w:t>
      </w:r>
      <w:r>
        <w:rPr>
          <w:rFonts w:hint="eastAsia" w:cs="宋体"/>
          <w:color w:val="auto"/>
          <w:sz w:val="24"/>
          <w:szCs w:val="24"/>
          <w:highlight w:val="none"/>
          <w:u w:val="single"/>
        </w:rPr>
        <w:t xml:space="preserve">             </w:t>
      </w:r>
    </w:p>
    <w:p w14:paraId="55E4552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法定代表人或                          法定代表人或</w:t>
      </w:r>
    </w:p>
    <w:p w14:paraId="2593DEA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授权代表：</w:t>
      </w:r>
      <w:r>
        <w:rPr>
          <w:rFonts w:hint="eastAsia" w:cs="宋体"/>
          <w:color w:val="auto"/>
          <w:sz w:val="24"/>
          <w:szCs w:val="24"/>
          <w:highlight w:val="none"/>
          <w:u w:val="single"/>
        </w:rPr>
        <w:t xml:space="preserve">              </w:t>
      </w:r>
      <w:r>
        <w:rPr>
          <w:rFonts w:hint="eastAsia" w:cs="宋体"/>
          <w:color w:val="auto"/>
          <w:sz w:val="24"/>
          <w:szCs w:val="24"/>
          <w:highlight w:val="none"/>
        </w:rPr>
        <w:t>(</w:t>
      </w:r>
      <w:r>
        <w:rPr>
          <w:rFonts w:hint="eastAsia" w:cs="宋体"/>
          <w:color w:val="auto"/>
          <w:sz w:val="24"/>
          <w:szCs w:val="24"/>
          <w:highlight w:val="none"/>
          <w:lang w:val="en-US" w:eastAsia="zh-CN"/>
        </w:rPr>
        <w:t>签字</w:t>
      </w:r>
      <w:r>
        <w:rPr>
          <w:rFonts w:hint="eastAsia" w:cs="宋体"/>
          <w:color w:val="auto"/>
          <w:sz w:val="24"/>
          <w:szCs w:val="24"/>
          <w:highlight w:val="none"/>
        </w:rPr>
        <w:t>)         授权代表：</w:t>
      </w:r>
      <w:r>
        <w:rPr>
          <w:rFonts w:hint="eastAsia" w:cs="宋体"/>
          <w:color w:val="auto"/>
          <w:sz w:val="24"/>
          <w:szCs w:val="24"/>
          <w:highlight w:val="none"/>
          <w:u w:val="single"/>
        </w:rPr>
        <w:t xml:space="preserve">             </w:t>
      </w:r>
      <w:r>
        <w:rPr>
          <w:rFonts w:hint="eastAsia" w:cs="宋体"/>
          <w:color w:val="auto"/>
          <w:sz w:val="24"/>
          <w:szCs w:val="24"/>
          <w:highlight w:val="none"/>
        </w:rPr>
        <w:t>(</w:t>
      </w:r>
      <w:r>
        <w:rPr>
          <w:rFonts w:hint="eastAsia" w:cs="宋体"/>
          <w:color w:val="auto"/>
          <w:sz w:val="24"/>
          <w:szCs w:val="24"/>
          <w:highlight w:val="none"/>
          <w:lang w:val="en-US" w:eastAsia="zh-CN"/>
        </w:rPr>
        <w:t>签字</w:t>
      </w:r>
      <w:r>
        <w:rPr>
          <w:rFonts w:hint="eastAsia" w:cs="宋体"/>
          <w:color w:val="auto"/>
          <w:sz w:val="24"/>
          <w:szCs w:val="24"/>
          <w:highlight w:val="none"/>
        </w:rPr>
        <w:t>)</w:t>
      </w:r>
    </w:p>
    <w:p w14:paraId="29C14D1C">
      <w:pPr>
        <w:spacing w:before="312" w:beforeLines="100" w:after="312" w:afterLines="100"/>
        <w:outlineLvl w:val="9"/>
        <w:rPr>
          <w:rFonts w:hint="eastAsia" w:ascii="Times New Roman" w:eastAsia="黑体"/>
          <w:color w:val="auto"/>
          <w:sz w:val="24"/>
          <w:szCs w:val="24"/>
          <w:highlight w:val="none"/>
        </w:rPr>
      </w:pPr>
    </w:p>
    <w:p w14:paraId="29868CDD">
      <w:pPr>
        <w:rPr>
          <w:color w:val="auto"/>
          <w:highlight w:val="none"/>
        </w:rPr>
      </w:pPr>
    </w:p>
    <w:p w14:paraId="1864E390">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0EF4883C">
      <w:pPr>
        <w:spacing w:before="156" w:beforeLines="50" w:after="156" w:afterLines="50" w:line="360" w:lineRule="auto"/>
        <w:jc w:val="left"/>
        <w:outlineLvl w:val="2"/>
        <w:rPr>
          <w:rFonts w:hint="eastAsia" w:ascii="Times New Roman" w:eastAsia="黑体"/>
          <w:color w:val="auto"/>
          <w:sz w:val="24"/>
          <w:szCs w:val="24"/>
          <w:highlight w:val="none"/>
          <w:lang w:val="en-US" w:eastAsia="zh-CN"/>
        </w:rPr>
      </w:pPr>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2</w:t>
      </w:r>
      <w:r>
        <w:rPr>
          <w:rFonts w:hint="eastAsia" w:ascii="Times New Roman" w:eastAsia="黑体"/>
          <w:color w:val="auto"/>
          <w:sz w:val="24"/>
          <w:szCs w:val="24"/>
          <w:highlight w:val="none"/>
        </w:rPr>
        <w:t>：</w:t>
      </w:r>
      <w:r>
        <w:rPr>
          <w:rFonts w:hint="eastAsia" w:ascii="Times New Roman" w:eastAsia="黑体"/>
          <w:color w:val="auto"/>
          <w:sz w:val="24"/>
          <w:szCs w:val="24"/>
          <w:highlight w:val="none"/>
          <w:lang w:val="en-US" w:eastAsia="zh-CN"/>
        </w:rPr>
        <w:t>安全生产合同</w:t>
      </w:r>
      <w:bookmarkStart w:id="616" w:name="_Toc23792"/>
      <w:bookmarkStart w:id="617" w:name="_Toc11475"/>
      <w:bookmarkStart w:id="618" w:name="bookmark1864"/>
    </w:p>
    <w:p w14:paraId="7E397638">
      <w:pPr>
        <w:spacing w:before="156" w:beforeLines="50" w:after="156" w:afterLines="50" w:line="360" w:lineRule="auto"/>
        <w:jc w:val="center"/>
        <w:rPr>
          <w:rFonts w:cs="宋体"/>
          <w:b/>
          <w:color w:val="auto"/>
          <w:sz w:val="28"/>
          <w:szCs w:val="28"/>
          <w:highlight w:val="none"/>
        </w:rPr>
      </w:pPr>
      <w:r>
        <w:rPr>
          <w:rFonts w:hint="eastAsia" w:cs="宋体"/>
          <w:b/>
          <w:color w:val="auto"/>
          <w:sz w:val="28"/>
          <w:szCs w:val="28"/>
          <w:highlight w:val="none"/>
        </w:rPr>
        <w:t>安全生产合同</w:t>
      </w:r>
      <w:bookmarkEnd w:id="616"/>
      <w:bookmarkEnd w:id="617"/>
    </w:p>
    <w:p w14:paraId="6158B854">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（项目名称）合同的实施过程中创造安全、高效的施工环境，切实搞好本项目的安全管理工作，本项目</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名称，以下简称“</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”）与</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名称，以下简称“</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”）特此签订安全生产合同：</w:t>
      </w:r>
    </w:p>
    <w:bookmarkEnd w:id="618"/>
    <w:p w14:paraId="30DCE334">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bookmarkStart w:id="619" w:name="bookmark1868"/>
      <w:r>
        <w:rPr>
          <w:rFonts w:hint="eastAsia" w:asciiTheme="minorEastAsia" w:hAnsiTheme="minorEastAsia" w:eastAsiaTheme="minorEastAsia" w:cstheme="minorEastAsia"/>
          <w:bCs/>
          <w:color w:val="auto"/>
          <w:sz w:val="24"/>
          <w:szCs w:val="24"/>
          <w:highlight w:val="none"/>
          <w:lang w:eastAsia="zh-CN"/>
        </w:rPr>
        <w:t>一</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职责</w:t>
      </w:r>
    </w:p>
    <w:p w14:paraId="71326178">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bCs/>
          <w:color w:val="auto"/>
          <w:sz w:val="24"/>
          <w:szCs w:val="24"/>
          <w:highlight w:val="none"/>
          <w:lang w:eastAsia="zh-CN"/>
        </w:rPr>
        <w:t>甲方</w:t>
      </w:r>
      <w:r>
        <w:rPr>
          <w:rFonts w:hint="eastAsia" w:asciiTheme="minorEastAsia" w:hAnsiTheme="minorEastAsia" w:eastAsiaTheme="minorEastAsia" w:cstheme="minorEastAsia"/>
          <w:bCs/>
          <w:color w:val="auto"/>
          <w:sz w:val="24"/>
          <w:szCs w:val="24"/>
          <w:highlight w:val="none"/>
        </w:rPr>
        <w:t>依据《中华人民共和国安全生产法》等法律法规规定责任，全面履行自己应有的权利和义务。</w:t>
      </w:r>
    </w:p>
    <w:p w14:paraId="5B710E08">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w:t>
      </w:r>
      <w:r>
        <w:rPr>
          <w:rFonts w:hint="eastAsia" w:asciiTheme="minorEastAsia" w:hAnsiTheme="minorEastAsia" w:eastAsiaTheme="minorEastAsia" w:cstheme="minorEastAsia"/>
          <w:bCs/>
          <w:color w:val="auto"/>
          <w:sz w:val="24"/>
          <w:szCs w:val="24"/>
          <w:highlight w:val="none"/>
          <w:lang w:eastAsia="zh-CN"/>
        </w:rPr>
        <w:t>甲方</w:t>
      </w:r>
      <w:r>
        <w:rPr>
          <w:rFonts w:hint="eastAsia" w:asciiTheme="minorEastAsia" w:hAnsiTheme="minorEastAsia" w:eastAsiaTheme="minorEastAsia" w:cstheme="minorEastAsia"/>
          <w:bCs/>
          <w:color w:val="auto"/>
          <w:sz w:val="24"/>
          <w:szCs w:val="24"/>
          <w:highlight w:val="none"/>
        </w:rPr>
        <w:t>对</w:t>
      </w:r>
      <w:r>
        <w:rPr>
          <w:rFonts w:hint="eastAsia" w:asciiTheme="minorEastAsia" w:hAnsiTheme="minorEastAsia" w:eastAsiaTheme="minorEastAsia" w:cstheme="minorEastAsia"/>
          <w:bCs/>
          <w:color w:val="auto"/>
          <w:sz w:val="24"/>
          <w:szCs w:val="24"/>
          <w:highlight w:val="none"/>
          <w:lang w:eastAsia="zh-CN"/>
        </w:rPr>
        <w:t>乙方施工</w:t>
      </w:r>
      <w:r>
        <w:rPr>
          <w:rFonts w:hint="eastAsia" w:asciiTheme="minorEastAsia" w:hAnsiTheme="minorEastAsia" w:eastAsiaTheme="minorEastAsia" w:cstheme="minorEastAsia"/>
          <w:bCs/>
          <w:color w:val="auto"/>
          <w:sz w:val="24"/>
          <w:szCs w:val="24"/>
          <w:highlight w:val="none"/>
        </w:rPr>
        <w:t>安全具有监督、检查和指导的权利。</w:t>
      </w:r>
    </w:p>
    <w:bookmarkEnd w:id="619"/>
    <w:p w14:paraId="085C19EC">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w:t>
      </w:r>
      <w:bookmarkStart w:id="620" w:name="bookmark1869"/>
      <w:bookmarkEnd w:id="620"/>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职责</w:t>
      </w:r>
    </w:p>
    <w:p w14:paraId="31FFC560">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要严格执行国家已发布的有关法律法规和地方政府有关安全管理的规定，严格各项安全生产的规章制度和方案。</w:t>
      </w:r>
    </w:p>
    <w:p w14:paraId="0AD4C5F8">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b w:val="0"/>
          <w:bCs/>
          <w:color w:val="auto"/>
          <w:kern w:val="2"/>
          <w:sz w:val="24"/>
          <w:szCs w:val="24"/>
          <w:highlight w:val="none"/>
          <w:lang w:val="en-US" w:eastAsia="zh-CN" w:bidi="ar-SA"/>
        </w:rPr>
        <w:t>必须</w:t>
      </w:r>
      <w:r>
        <w:rPr>
          <w:rFonts w:hint="eastAsia" w:asciiTheme="minorEastAsia" w:hAnsiTheme="minorEastAsia" w:eastAsiaTheme="minorEastAsia" w:cstheme="minorEastAsia"/>
          <w:color w:val="auto"/>
          <w:sz w:val="24"/>
          <w:szCs w:val="24"/>
          <w:highlight w:val="none"/>
          <w:lang w:val="en-US" w:eastAsia="zh-CN"/>
        </w:rPr>
        <w:t>严格</w:t>
      </w:r>
      <w:r>
        <w:rPr>
          <w:rFonts w:hint="eastAsia" w:asciiTheme="minorEastAsia" w:hAnsiTheme="minorEastAsia" w:eastAsiaTheme="minorEastAsia" w:cstheme="minorEastAsia"/>
          <w:b w:val="0"/>
          <w:bCs w:val="0"/>
          <w:color w:val="auto"/>
          <w:sz w:val="24"/>
          <w:szCs w:val="24"/>
          <w:highlight w:val="none"/>
          <w:lang w:val="en-US" w:eastAsia="zh-CN"/>
        </w:rPr>
        <w:t>执行安全技术交底</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b w:val="0"/>
          <w:bCs/>
          <w:color w:val="auto"/>
          <w:kern w:val="2"/>
          <w:sz w:val="24"/>
          <w:szCs w:val="24"/>
          <w:highlight w:val="none"/>
          <w:lang w:val="en-US" w:eastAsia="zh-CN" w:bidi="ar-SA"/>
        </w:rPr>
        <w:t>明确各级人员的安全生产责任，</w:t>
      </w:r>
      <w:r>
        <w:rPr>
          <w:rFonts w:hint="eastAsia" w:asciiTheme="minorEastAsia" w:hAnsiTheme="minorEastAsia" w:eastAsiaTheme="minorEastAsia" w:cstheme="minorEastAsia"/>
          <w:color w:val="auto"/>
          <w:sz w:val="24"/>
          <w:szCs w:val="24"/>
          <w:highlight w:val="none"/>
        </w:rPr>
        <w:t>对所有参与现场</w:t>
      </w:r>
      <w:r>
        <w:rPr>
          <w:rFonts w:hint="eastAsia" w:asciiTheme="minorEastAsia" w:hAnsiTheme="minorEastAsia" w:eastAsiaTheme="minorEastAsia" w:cstheme="minorEastAsia"/>
          <w:color w:val="auto"/>
          <w:sz w:val="24"/>
          <w:szCs w:val="24"/>
          <w:highlight w:val="none"/>
          <w:lang w:val="en-US" w:eastAsia="zh-CN"/>
        </w:rPr>
        <w:t>作业</w:t>
      </w:r>
      <w:r>
        <w:rPr>
          <w:rFonts w:hint="eastAsia" w:asciiTheme="minorEastAsia" w:hAnsiTheme="minorEastAsia" w:eastAsiaTheme="minorEastAsia" w:cstheme="minorEastAsia"/>
          <w:color w:val="auto"/>
          <w:sz w:val="24"/>
          <w:szCs w:val="24"/>
          <w:highlight w:val="none"/>
        </w:rPr>
        <w:t>的人员进行安全教育，使其具备安全意识和应对突发情况的能力。临水临空等安全风险较大的作业应有现场安全监督人员现场监督，并通知管理单位技术人员到场。</w:t>
      </w:r>
    </w:p>
    <w:p w14:paraId="5423F8AA">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等特殊工种的人员，并将特种作业人员名单和特种作业证上报</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审查，无证人员禁止从事特种作业；施工现场如出现特种作业无证操作现象时，</w:t>
      </w:r>
      <w:r>
        <w:rPr>
          <w:rFonts w:hint="eastAsia" w:asciiTheme="minorEastAsia" w:hAnsiTheme="minorEastAsia" w:eastAsiaTheme="minorEastAsia" w:cstheme="minorEastAsia"/>
          <w:color w:val="auto"/>
          <w:sz w:val="24"/>
          <w:szCs w:val="24"/>
          <w:highlight w:val="none"/>
          <w:lang w:eastAsia="zh-CN"/>
        </w:rPr>
        <w:t>项目负责人</w:t>
      </w:r>
      <w:r>
        <w:rPr>
          <w:rFonts w:hint="eastAsia" w:asciiTheme="minorEastAsia" w:hAnsiTheme="minorEastAsia" w:eastAsiaTheme="minorEastAsia" w:cstheme="minorEastAsia"/>
          <w:color w:val="auto"/>
          <w:sz w:val="24"/>
          <w:szCs w:val="24"/>
          <w:highlight w:val="none"/>
        </w:rPr>
        <w:t>必须承担管理责任。</w:t>
      </w:r>
    </w:p>
    <w:p w14:paraId="446C8F93">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水上及临水作业，操作人员必须穿戴好救生衣，不得穿带钉易滑的硬底鞋，每次工作前对所用的救生衣进行检查确保其安全有效，禁止单人独自作业，室外作业时，当风力较大，影响作业安全时，立即停止作业，人员在船上走动或操作时，船只要固定牢靠，船上配备救生圈等救生器具。</w:t>
      </w:r>
    </w:p>
    <w:p w14:paraId="2CA36E0F">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乙方现场临时用电，严格执行国家相关标准规定。清洁电气设备时停电作业，电源箱或开关握柄挂“有人操作，严禁合闸”的警示牌，并设专人看管，现场临时架设的线路，严禁搭在钢筋、脚手架上，必须安设绝缘支承物。</w:t>
      </w:r>
    </w:p>
    <w:p w14:paraId="2C196316">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高空作业时，禁止穿硬底和带钉易滑的鞋，患有心脏病、高血压、精神病、癫痫病</w:t>
      </w:r>
      <w:r>
        <w:rPr>
          <w:rFonts w:hint="eastAsia" w:asciiTheme="minorEastAsia" w:hAnsiTheme="minorEastAsia" w:eastAsiaTheme="minorEastAsia" w:cstheme="minorEastAsia"/>
          <w:color w:val="auto"/>
          <w:sz w:val="24"/>
          <w:szCs w:val="24"/>
          <w:highlight w:val="none"/>
          <w:lang w:eastAsia="zh-CN"/>
        </w:rPr>
        <w:t>患者</w:t>
      </w:r>
      <w:r>
        <w:rPr>
          <w:rFonts w:hint="eastAsia" w:asciiTheme="minorEastAsia" w:hAnsiTheme="minorEastAsia" w:eastAsiaTheme="minorEastAsia" w:cstheme="minorEastAsia"/>
          <w:color w:val="auto"/>
          <w:sz w:val="24"/>
          <w:szCs w:val="24"/>
          <w:highlight w:val="none"/>
        </w:rPr>
        <w:t>禁止从事高空操作，高空作业操作人员要系安全带，并且安全带要固定牢靠。</w:t>
      </w:r>
    </w:p>
    <w:p w14:paraId="7FBD628F">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7.乙方开展施工过程中的交通运输时，须严格遵守交通法规，严禁无证驾驶、酒后驾驶和疲劳驾驶；运输机械需按划定运输路线行驶，货物与货车箱体牢固可靠绑定，严禁货车货混载或违规载人。</w:t>
      </w:r>
    </w:p>
    <w:p w14:paraId="197BD92C">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遇高温天气，应结合天气、</w:t>
      </w:r>
      <w:r>
        <w:rPr>
          <w:rFonts w:hint="eastAsia" w:asciiTheme="minorEastAsia" w:hAnsiTheme="minorEastAsia" w:eastAsiaTheme="minorEastAsia" w:cstheme="minorEastAsia"/>
          <w:color w:val="auto"/>
          <w:sz w:val="24"/>
          <w:szCs w:val="24"/>
          <w:highlight w:val="none"/>
          <w:lang w:val="en-US" w:eastAsia="zh-CN"/>
        </w:rPr>
        <w:t>施工</w:t>
      </w:r>
      <w:r>
        <w:rPr>
          <w:rFonts w:hint="eastAsia" w:asciiTheme="minorEastAsia" w:hAnsiTheme="minorEastAsia" w:eastAsiaTheme="minorEastAsia" w:cstheme="minorEastAsia"/>
          <w:color w:val="auto"/>
          <w:sz w:val="24"/>
          <w:szCs w:val="24"/>
          <w:highlight w:val="none"/>
        </w:rPr>
        <w:t>进度等实际情况，加强作业人员身心关怀，合理安排作业时间，及时安排休息避暑，并配备防暑降温等</w:t>
      </w:r>
      <w:r>
        <w:rPr>
          <w:rFonts w:hint="eastAsia" w:asciiTheme="minorEastAsia" w:hAnsiTheme="minorEastAsia" w:eastAsiaTheme="minorEastAsia" w:cstheme="minorEastAsia"/>
          <w:color w:val="auto"/>
          <w:sz w:val="24"/>
          <w:szCs w:val="24"/>
          <w:highlight w:val="none"/>
          <w:lang w:eastAsia="zh-CN"/>
        </w:rPr>
        <w:t>必需的</w:t>
      </w:r>
      <w:r>
        <w:rPr>
          <w:rFonts w:hint="eastAsia" w:asciiTheme="minorEastAsia" w:hAnsiTheme="minorEastAsia" w:eastAsiaTheme="minorEastAsia" w:cstheme="minorEastAsia"/>
          <w:color w:val="auto"/>
          <w:sz w:val="24"/>
          <w:szCs w:val="24"/>
          <w:highlight w:val="none"/>
        </w:rPr>
        <w:t>应急药品、物品，避免人员中暑、疲劳作业等情况。</w:t>
      </w:r>
    </w:p>
    <w:p w14:paraId="4C384C2A">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操作人员上岗，必须按规定穿戴防护用品。施工负责人和安全检查员应随时检查劳动防护用品的穿戴情况，不按规定穿戴防护用品的人员不得上岗。</w:t>
      </w:r>
    </w:p>
    <w:p w14:paraId="6F157BB0">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应根据工程特点，合理安排身体素质、技术水平高、安全责任心强的人员上岗，施工过程中职业健康、环境保护、劳动卫生、安全生产等有关工作，做到安全文明施工，坚决防范各类安全事故发生</w:t>
      </w:r>
      <w:r>
        <w:rPr>
          <w:rFonts w:hint="eastAsia" w:asciiTheme="minorEastAsia" w:hAnsiTheme="minorEastAsia" w:eastAsiaTheme="minorEastAsia" w:cstheme="minorEastAsia"/>
          <w:color w:val="auto"/>
          <w:sz w:val="24"/>
          <w:szCs w:val="24"/>
          <w:highlight w:val="none"/>
          <w:lang w:eastAsia="zh-CN"/>
        </w:rPr>
        <w:t>。</w:t>
      </w:r>
    </w:p>
    <w:p w14:paraId="1362D7DB">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11.</w:t>
      </w:r>
      <w:r>
        <w:rPr>
          <w:rFonts w:hint="eastAsia" w:asciiTheme="minorEastAsia" w:hAnsiTheme="minorEastAsia" w:eastAsiaTheme="minorEastAsia" w:cstheme="minorEastAsia"/>
          <w:color w:val="auto"/>
          <w:sz w:val="24"/>
          <w:szCs w:val="24"/>
          <w:highlight w:val="none"/>
          <w:lang w:eastAsia="zh-CN"/>
        </w:rPr>
        <w:t>安全生产费用专款专用、据实支付，由</w:t>
      </w:r>
      <w:r>
        <w:rPr>
          <w:rFonts w:hint="eastAsia" w:asciiTheme="minorEastAsia" w:hAnsiTheme="minorEastAsia" w:eastAsia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lang w:eastAsia="zh-CN"/>
        </w:rPr>
        <w:t>严格按照《企业安全生产费用提取和使用管理办法》规定的支出范围使用，</w:t>
      </w:r>
      <w:r>
        <w:rPr>
          <w:rFonts w:hint="eastAsia" w:asciiTheme="minorEastAsia" w:hAnsiTheme="minorEastAsia" w:eastAsia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lang w:eastAsia="zh-CN"/>
        </w:rPr>
        <w:t>在申请办理工程开工安全生产措施备案时，保证安全生产的措施方案应包含安全生产费用使用计划。</w:t>
      </w:r>
    </w:p>
    <w:p w14:paraId="137F118F">
      <w:pPr>
        <w:autoSpaceDE w:val="0"/>
        <w:autoSpaceDN w:val="0"/>
        <w:adjustRightInd w:val="0"/>
        <w:snapToGrid w:val="0"/>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12.</w:t>
      </w:r>
      <w:r>
        <w:rPr>
          <w:rFonts w:hint="eastAsia" w:asciiTheme="minorEastAsia" w:hAnsiTheme="minorEastAsia" w:eastAsiaTheme="minorEastAsia" w:cstheme="minorEastAsia"/>
          <w:b/>
          <w:bCs/>
          <w:color w:val="auto"/>
          <w:sz w:val="24"/>
          <w:szCs w:val="24"/>
          <w:highlight w:val="none"/>
          <w:lang w:eastAsia="zh-CN"/>
        </w:rPr>
        <w:t>乙方</w:t>
      </w:r>
      <w:r>
        <w:rPr>
          <w:rFonts w:hint="eastAsia" w:asciiTheme="minorEastAsia" w:hAnsiTheme="minorEastAsia" w:eastAsiaTheme="minorEastAsia" w:cstheme="minorEastAsia"/>
          <w:b/>
          <w:bCs/>
          <w:color w:val="auto"/>
          <w:sz w:val="24"/>
          <w:szCs w:val="24"/>
          <w:highlight w:val="none"/>
        </w:rPr>
        <w:t>不得违章指挥或强令作业人员冒险作业，也不能强迫作业人员超体能连续工作。作业过程中，应加强人员管理，确保人员工作安全，防范安全生产事故，</w:t>
      </w:r>
      <w:r>
        <w:rPr>
          <w:rFonts w:hint="eastAsia" w:asciiTheme="minorEastAsia" w:hAnsiTheme="minorEastAsia" w:eastAsiaTheme="minorEastAsia" w:cstheme="minorEastAsia"/>
          <w:b/>
          <w:bCs/>
          <w:color w:val="auto"/>
          <w:sz w:val="24"/>
          <w:szCs w:val="24"/>
          <w:highlight w:val="none"/>
          <w:lang w:val="en-US" w:eastAsia="zh-CN"/>
        </w:rPr>
        <w:t>乙方在履行本合同过程中发生的任何工伤或意外伤亡等，均由乙方负责处理并承担全部费用；若因此给甲方或第三方造成损失，由乙方予以全额赔偿。</w:t>
      </w:r>
    </w:p>
    <w:p w14:paraId="21CC0186">
      <w:pPr>
        <w:autoSpaceDE w:val="0"/>
        <w:autoSpaceDN w:val="0"/>
        <w:adjustRightInd w:val="0"/>
        <w:snapToGrid w:val="0"/>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13.项目实施前，本项目所有从业人员购买以下保险（二者任选其一）：</w:t>
      </w:r>
      <w:r>
        <w:rPr>
          <w:rFonts w:hint="eastAsia" w:cs="宋体"/>
          <w:b/>
          <w:bCs/>
          <w:color w:val="auto"/>
          <w:sz w:val="24"/>
          <w:szCs w:val="24"/>
          <w:highlight w:val="none"/>
          <w:u w:val="single"/>
        </w:rPr>
        <w:t>雇主责任险或</w:t>
      </w:r>
      <w:r>
        <w:rPr>
          <w:rFonts w:hint="eastAsia" w:cs="宋体"/>
          <w:b/>
          <w:bCs/>
          <w:color w:val="auto"/>
          <w:sz w:val="24"/>
          <w:szCs w:val="24"/>
          <w:highlight w:val="none"/>
          <w:u w:val="single"/>
          <w:lang w:eastAsia="zh-CN"/>
        </w:rPr>
        <w:t>团体意外险</w:t>
      </w:r>
      <w:r>
        <w:rPr>
          <w:rFonts w:hint="eastAsia" w:asciiTheme="minorEastAsia" w:hAnsiTheme="minorEastAsia" w:eastAsiaTheme="minorEastAsia" w:cstheme="minorEastAsia"/>
          <w:b/>
          <w:bCs/>
          <w:color w:val="auto"/>
          <w:sz w:val="24"/>
          <w:szCs w:val="24"/>
          <w:highlight w:val="none"/>
          <w:lang w:val="en-US" w:eastAsia="zh-CN"/>
        </w:rPr>
        <w:t>，其保险费已包含在签约合同价中。</w:t>
      </w:r>
    </w:p>
    <w:p w14:paraId="64A0B000">
      <w:pPr>
        <w:spacing w:line="360" w:lineRule="auto"/>
        <w:ind w:firstLine="482" w:firstLineChars="20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14.</w:t>
      </w:r>
      <w:r>
        <w:rPr>
          <w:rFonts w:hint="eastAsia" w:cs="宋体"/>
          <w:b/>
          <w:bCs/>
          <w:color w:val="auto"/>
          <w:sz w:val="24"/>
          <w:szCs w:val="24"/>
          <w:highlight w:val="none"/>
        </w:rPr>
        <w:t>乙方承诺，作业过程中如出现作业人员未有效佩戴现场安全防护</w:t>
      </w:r>
      <w:r>
        <w:rPr>
          <w:rFonts w:hint="eastAsia" w:cs="宋体"/>
          <w:b/>
          <w:bCs/>
          <w:color w:val="auto"/>
          <w:sz w:val="24"/>
          <w:szCs w:val="24"/>
          <w:highlight w:val="none"/>
          <w:lang w:eastAsia="zh-CN"/>
        </w:rPr>
        <w:t>必需的</w:t>
      </w:r>
      <w:r>
        <w:rPr>
          <w:rFonts w:hint="eastAsia" w:cs="宋体"/>
          <w:b/>
          <w:bCs/>
          <w:color w:val="auto"/>
          <w:sz w:val="24"/>
          <w:szCs w:val="24"/>
          <w:highlight w:val="none"/>
        </w:rPr>
        <w:t>安全帽、安全绳、救生衣以及其他</w:t>
      </w:r>
      <w:r>
        <w:rPr>
          <w:rFonts w:hint="eastAsia" w:cs="宋体"/>
          <w:b/>
          <w:bCs/>
          <w:color w:val="auto"/>
          <w:sz w:val="24"/>
          <w:szCs w:val="24"/>
          <w:highlight w:val="none"/>
          <w:lang w:eastAsia="zh-CN"/>
        </w:rPr>
        <w:t>必需的</w:t>
      </w:r>
      <w:r>
        <w:rPr>
          <w:rFonts w:hint="eastAsia" w:cs="宋体"/>
          <w:b/>
          <w:bCs/>
          <w:color w:val="auto"/>
          <w:sz w:val="24"/>
          <w:szCs w:val="24"/>
          <w:highlight w:val="none"/>
          <w:lang w:val="en-US" w:eastAsia="zh-CN"/>
        </w:rPr>
        <w:t>作业</w:t>
      </w:r>
      <w:r>
        <w:rPr>
          <w:rFonts w:hint="eastAsia" w:cs="宋体"/>
          <w:b/>
          <w:bCs/>
          <w:color w:val="auto"/>
          <w:sz w:val="24"/>
          <w:szCs w:val="24"/>
          <w:highlight w:val="none"/>
        </w:rPr>
        <w:t>防护等安全防护用品，发生不安全行为的，每出现一次，从完工结算价中自愿核减1000元，减完为止。</w:t>
      </w:r>
    </w:p>
    <w:p w14:paraId="40A79496">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本合同由双方法定代表人或其授权的代理人签署并加盖单位章后生效，全部工程</w:t>
      </w:r>
      <w:r>
        <w:rPr>
          <w:rFonts w:hint="eastAsia" w:asciiTheme="minorEastAsia" w:hAnsiTheme="minorEastAsia" w:eastAsiaTheme="minorEastAsia" w:cstheme="minorEastAsia"/>
          <w:color w:val="auto"/>
          <w:sz w:val="24"/>
          <w:szCs w:val="24"/>
          <w:highlight w:val="none"/>
          <w:lang w:eastAsia="zh-CN"/>
        </w:rPr>
        <w:t>完工</w:t>
      </w:r>
      <w:r>
        <w:rPr>
          <w:rFonts w:hint="eastAsia" w:asciiTheme="minorEastAsia" w:hAnsiTheme="minorEastAsia" w:eastAsiaTheme="minorEastAsia" w:cstheme="minorEastAsia"/>
          <w:color w:val="auto"/>
          <w:sz w:val="24"/>
          <w:szCs w:val="24"/>
          <w:highlight w:val="none"/>
        </w:rPr>
        <w:t>验收后失效。</w:t>
      </w:r>
    </w:p>
    <w:p w14:paraId="5C8291E9">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本合同正本—式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份，合同双方各执正本—份，副本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份，当正本与副本的内容不一致时，以正本为准。</w:t>
      </w:r>
    </w:p>
    <w:p w14:paraId="579E3A83">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（盖单位章）          </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（盖单位章）</w:t>
      </w:r>
    </w:p>
    <w:p w14:paraId="3E49B73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  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w:t>
      </w:r>
    </w:p>
    <w:p w14:paraId="6926EB5B">
      <w:pPr>
        <w:spacing w:line="360" w:lineRule="auto"/>
        <w:ind w:firstLine="840"/>
        <w:rPr>
          <w:color w:val="auto"/>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日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7585651E">
      <w:pPr>
        <w:spacing w:before="312" w:beforeLines="100" w:after="312" w:afterLines="100"/>
        <w:outlineLvl w:val="9"/>
        <w:rPr>
          <w:rFonts w:hint="default" w:ascii="Times New Roman" w:eastAsia="黑体"/>
          <w:color w:val="auto"/>
          <w:sz w:val="24"/>
          <w:szCs w:val="24"/>
          <w:highlight w:val="none"/>
          <w:lang w:val="en-US" w:eastAsia="zh-CN"/>
        </w:rPr>
      </w:pPr>
    </w:p>
    <w:p w14:paraId="7FBDF34B">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4EE97858">
      <w:pPr>
        <w:spacing w:before="312" w:beforeLines="100" w:after="312" w:afterLines="100"/>
        <w:outlineLvl w:val="2"/>
        <w:rPr>
          <w:rFonts w:hint="eastAsia" w:ascii="Times New Roman" w:hAnsi="宋体" w:eastAsia="黑体" w:cs="宋体"/>
          <w:color w:val="auto"/>
          <w:sz w:val="24"/>
          <w:szCs w:val="24"/>
          <w:highlight w:val="none"/>
          <w:lang w:val="en-US" w:eastAsia="zh-CN"/>
        </w:rPr>
      </w:pPr>
      <w:r>
        <w:rPr>
          <w:rFonts w:hint="eastAsia" w:ascii="Times New Roman" w:hAnsi="宋体" w:eastAsia="黑体" w:cs="宋体"/>
          <w:color w:val="auto"/>
          <w:sz w:val="24"/>
          <w:szCs w:val="24"/>
          <w:highlight w:val="none"/>
          <w:lang w:val="en-US" w:eastAsia="zh-CN"/>
        </w:rPr>
        <w:t>附</w:t>
      </w:r>
      <w:bookmarkStart w:id="621" w:name="_Toc296944565"/>
      <w:bookmarkStart w:id="622" w:name="_Toc267261693"/>
      <w:bookmarkStart w:id="623" w:name="_Toc296891266"/>
      <w:bookmarkStart w:id="624" w:name="_Toc296891054"/>
      <w:bookmarkStart w:id="625" w:name="_Toc296503226"/>
      <w:bookmarkStart w:id="626" w:name="_Toc296346727"/>
      <w:bookmarkStart w:id="627" w:name="_Toc296347225"/>
      <w:r>
        <w:rPr>
          <w:rFonts w:hint="eastAsia" w:ascii="Times New Roman" w:hAnsi="宋体" w:eastAsia="黑体" w:cs="宋体"/>
          <w:color w:val="auto"/>
          <w:sz w:val="24"/>
          <w:szCs w:val="24"/>
          <w:highlight w:val="none"/>
          <w:lang w:val="en-US" w:eastAsia="zh-CN"/>
        </w:rPr>
        <w:t>件3：</w:t>
      </w:r>
      <w:bookmarkEnd w:id="621"/>
      <w:bookmarkEnd w:id="622"/>
      <w:bookmarkEnd w:id="623"/>
      <w:bookmarkEnd w:id="624"/>
      <w:bookmarkEnd w:id="625"/>
      <w:bookmarkEnd w:id="626"/>
      <w:bookmarkEnd w:id="627"/>
      <w:r>
        <w:rPr>
          <w:rFonts w:hint="eastAsia" w:ascii="Times New Roman" w:hAnsi="宋体" w:eastAsia="黑体" w:cs="宋体"/>
          <w:color w:val="auto"/>
          <w:sz w:val="24"/>
          <w:szCs w:val="24"/>
          <w:highlight w:val="none"/>
          <w:lang w:val="en-US" w:eastAsia="zh-CN"/>
        </w:rPr>
        <w:t>工程质量保修书</w:t>
      </w:r>
      <w:bookmarkEnd w:id="612"/>
    </w:p>
    <w:p w14:paraId="70E1EE99">
      <w:pPr>
        <w:adjustRightInd w:val="0"/>
        <w:snapToGrid w:val="0"/>
        <w:spacing w:line="360" w:lineRule="auto"/>
        <w:jc w:val="center"/>
        <w:rPr>
          <w:rFonts w:cs="宋体"/>
          <w:color w:val="auto"/>
          <w:sz w:val="24"/>
          <w:szCs w:val="24"/>
          <w:highlight w:val="none"/>
        </w:rPr>
      </w:pPr>
      <w:r>
        <w:rPr>
          <w:rFonts w:hint="eastAsia" w:cs="宋体"/>
          <w:color w:val="auto"/>
          <w:sz w:val="24"/>
          <w:szCs w:val="24"/>
          <w:highlight w:val="none"/>
        </w:rPr>
        <w:t>工程质量保修书</w:t>
      </w:r>
    </w:p>
    <w:p w14:paraId="1179BBBD">
      <w:pPr>
        <w:adjustRightInd w:val="0"/>
        <w:snapToGrid w:val="0"/>
        <w:spacing w:line="360" w:lineRule="auto"/>
        <w:ind w:firstLine="480" w:firstLineChars="200"/>
        <w:rPr>
          <w:rFonts w:cs="宋体"/>
          <w:color w:val="auto"/>
          <w:position w:val="14"/>
          <w:sz w:val="24"/>
          <w:szCs w:val="24"/>
          <w:highlight w:val="none"/>
        </w:rPr>
      </w:pPr>
      <w:r>
        <w:rPr>
          <w:rFonts w:hint="eastAsia" w:cs="宋体"/>
          <w:bCs/>
          <w:color w:val="auto"/>
          <w:position w:val="14"/>
          <w:sz w:val="24"/>
          <w:szCs w:val="24"/>
          <w:highlight w:val="none"/>
          <w:lang w:eastAsia="zh-CN"/>
        </w:rPr>
        <w:t>甲方</w:t>
      </w:r>
      <w:r>
        <w:rPr>
          <w:rFonts w:hint="eastAsia" w:cs="宋体"/>
          <w:color w:val="auto"/>
          <w:position w:val="14"/>
          <w:sz w:val="24"/>
          <w:szCs w:val="24"/>
          <w:highlight w:val="none"/>
        </w:rPr>
        <w:t>：_______________________________</w:t>
      </w:r>
    </w:p>
    <w:p w14:paraId="1E5C8C41">
      <w:pPr>
        <w:widowControl/>
        <w:adjustRightInd w:val="0"/>
        <w:snapToGrid w:val="0"/>
        <w:spacing w:line="360" w:lineRule="auto"/>
        <w:ind w:firstLine="480" w:firstLineChars="200"/>
        <w:jc w:val="left"/>
        <w:rPr>
          <w:rFonts w:cs="宋体"/>
          <w:color w:val="auto"/>
          <w:position w:val="14"/>
          <w:sz w:val="24"/>
          <w:szCs w:val="24"/>
          <w:highlight w:val="none"/>
        </w:rPr>
      </w:pPr>
      <w:r>
        <w:rPr>
          <w:rFonts w:hint="eastAsia" w:cs="宋体"/>
          <w:bCs/>
          <w:color w:val="auto"/>
          <w:position w:val="14"/>
          <w:sz w:val="24"/>
          <w:szCs w:val="24"/>
          <w:highlight w:val="none"/>
          <w:lang w:eastAsia="zh-CN"/>
        </w:rPr>
        <w:t>乙方</w:t>
      </w:r>
      <w:r>
        <w:rPr>
          <w:rFonts w:hint="eastAsia" w:cs="宋体"/>
          <w:color w:val="auto"/>
          <w:position w:val="14"/>
          <w:sz w:val="24"/>
          <w:szCs w:val="24"/>
          <w:highlight w:val="none"/>
        </w:rPr>
        <w:t>：_______________________________</w:t>
      </w:r>
    </w:p>
    <w:p w14:paraId="1D3C472D">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根据《中华人民共和国建筑法》</w:t>
      </w:r>
      <w:r>
        <w:rPr>
          <w:rFonts w:hint="eastAsia" w:cs="宋体"/>
          <w:color w:val="auto"/>
          <w:position w:val="6"/>
          <w:sz w:val="24"/>
          <w:szCs w:val="24"/>
          <w:highlight w:val="none"/>
          <w:lang w:val="en-US" w:eastAsia="zh-CN"/>
        </w:rPr>
        <w:t>等</w:t>
      </w:r>
      <w:r>
        <w:rPr>
          <w:rFonts w:hint="eastAsia" w:cs="宋体"/>
          <w:color w:val="auto"/>
          <w:position w:val="6"/>
          <w:sz w:val="24"/>
          <w:szCs w:val="24"/>
          <w:highlight w:val="none"/>
        </w:rPr>
        <w:t>，经协商一致，对______________________工程签订工程质量保修书。</w:t>
      </w:r>
    </w:p>
    <w:p w14:paraId="385F9D45">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一、工程质量保修范围和内容</w:t>
      </w:r>
    </w:p>
    <w:p w14:paraId="34DA6C01">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按照有关法律、法规、规章的管理规定，双方约定由施工单位在质量保修期内，承担本工程的质量保修责任。</w:t>
      </w:r>
    </w:p>
    <w:p w14:paraId="7ECC0315">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质量保修范围和内容：______________________。</w:t>
      </w:r>
      <w:r>
        <w:rPr>
          <w:rFonts w:hint="eastAsia" w:cs="宋体"/>
          <w:bCs/>
          <w:color w:val="auto"/>
          <w:position w:val="6"/>
          <w:sz w:val="24"/>
          <w:szCs w:val="24"/>
          <w:highlight w:val="none"/>
        </w:rPr>
        <w:t>因不可抗力或使用不当造成的质量缺陷，不属保修范围。</w:t>
      </w:r>
    </w:p>
    <w:p w14:paraId="7F8885FD">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二、质量保修期</w:t>
      </w:r>
    </w:p>
    <w:p w14:paraId="49E6454E">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双方按照有关法律、法规、规章的管理规定，约定本工程的质量保修期如下：</w:t>
      </w:r>
    </w:p>
    <w:p w14:paraId="5FF11AAF">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1. 主体结构和基础工程，为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2C0D399A">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2. _____________工程，为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2191E2F6">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3. _____________工程，为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407F078C">
      <w:pPr>
        <w:adjustRightInd w:val="0"/>
        <w:snapToGrid w:val="0"/>
        <w:spacing w:line="360" w:lineRule="auto"/>
        <w:ind w:left="342" w:leftChars="171" w:firstLine="120" w:firstLineChars="50"/>
        <w:rPr>
          <w:rFonts w:cs="宋体"/>
          <w:color w:val="auto"/>
          <w:position w:val="6"/>
          <w:sz w:val="24"/>
          <w:szCs w:val="24"/>
          <w:highlight w:val="none"/>
        </w:rPr>
      </w:pPr>
      <w:r>
        <w:rPr>
          <w:rFonts w:hint="eastAsia" w:cs="宋体"/>
          <w:color w:val="auto"/>
          <w:position w:val="6"/>
          <w:sz w:val="24"/>
          <w:szCs w:val="24"/>
          <w:highlight w:val="none"/>
        </w:rPr>
        <w:t xml:space="preserve">4. _____________工程，为 </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4FB6B756">
      <w:pPr>
        <w:adjustRightInd w:val="0"/>
        <w:snapToGrid w:val="0"/>
        <w:spacing w:line="360" w:lineRule="auto"/>
        <w:ind w:left="342" w:leftChars="171" w:firstLine="120" w:firstLineChars="50"/>
        <w:rPr>
          <w:rFonts w:cs="宋体"/>
          <w:color w:val="auto"/>
          <w:position w:val="6"/>
          <w:sz w:val="24"/>
          <w:szCs w:val="24"/>
          <w:highlight w:val="none"/>
        </w:rPr>
      </w:pPr>
      <w:r>
        <w:rPr>
          <w:rFonts w:hint="eastAsia" w:cs="宋体"/>
          <w:color w:val="auto"/>
          <w:position w:val="6"/>
          <w:sz w:val="24"/>
          <w:szCs w:val="24"/>
          <w:highlight w:val="none"/>
        </w:rPr>
        <w:t>质量保修期自工程</w:t>
      </w:r>
      <w:r>
        <w:rPr>
          <w:rFonts w:hint="eastAsia" w:cs="宋体"/>
          <w:color w:val="auto"/>
          <w:position w:val="6"/>
          <w:sz w:val="24"/>
          <w:szCs w:val="24"/>
          <w:highlight w:val="none"/>
          <w:lang w:eastAsia="zh-CN"/>
        </w:rPr>
        <w:t>完工</w:t>
      </w:r>
      <w:r>
        <w:rPr>
          <w:rFonts w:hint="eastAsia" w:cs="宋体"/>
          <w:color w:val="auto"/>
          <w:position w:val="6"/>
          <w:sz w:val="24"/>
          <w:szCs w:val="24"/>
          <w:highlight w:val="none"/>
        </w:rPr>
        <w:t>验收合格之日起计算。</w:t>
      </w:r>
    </w:p>
    <w:p w14:paraId="79C0370F">
      <w:pPr>
        <w:adjustRightInd w:val="0"/>
        <w:snapToGrid w:val="0"/>
        <w:spacing w:line="360" w:lineRule="auto"/>
        <w:ind w:firstLine="482" w:firstLineChars="200"/>
        <w:rPr>
          <w:rFonts w:cs="宋体"/>
          <w:b/>
          <w:color w:val="auto"/>
          <w:sz w:val="24"/>
          <w:szCs w:val="24"/>
          <w:highlight w:val="none"/>
        </w:rPr>
      </w:pPr>
      <w:r>
        <w:rPr>
          <w:rFonts w:hint="eastAsia" w:cs="宋体"/>
          <w:b/>
          <w:color w:val="auto"/>
          <w:sz w:val="24"/>
          <w:szCs w:val="24"/>
          <w:highlight w:val="none"/>
        </w:rPr>
        <w:t>三、缺陷责任期</w:t>
      </w:r>
    </w:p>
    <w:p w14:paraId="025D4A3A">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工程缺陷责任期</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12个月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，缺</w:t>
      </w:r>
      <w:r>
        <w:rPr>
          <w:rFonts w:hint="eastAsia" w:cs="宋体"/>
          <w:color w:val="auto"/>
          <w:sz w:val="24"/>
          <w:szCs w:val="24"/>
          <w:highlight w:val="none"/>
        </w:rPr>
        <w:t>陷责任期自工程</w:t>
      </w:r>
      <w:r>
        <w:rPr>
          <w:rFonts w:hint="eastAsia" w:cs="宋体"/>
          <w:color w:val="auto"/>
          <w:sz w:val="24"/>
          <w:szCs w:val="24"/>
          <w:highlight w:val="none"/>
          <w:lang w:eastAsia="zh-CN"/>
        </w:rPr>
        <w:t>完工</w:t>
      </w:r>
      <w:r>
        <w:rPr>
          <w:rFonts w:hint="eastAsia" w:cs="宋体"/>
          <w:color w:val="auto"/>
          <w:sz w:val="24"/>
          <w:szCs w:val="24"/>
          <w:highlight w:val="none"/>
        </w:rPr>
        <w:t>验收合格之日起计算。单位工程先于全部工程进行验收，单位工程缺陷责任期自单位工程验收合格之日起算。</w:t>
      </w:r>
    </w:p>
    <w:p w14:paraId="5706CBBD">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缺陷责任期终止后，</w:t>
      </w:r>
      <w:r>
        <w:rPr>
          <w:rFonts w:hint="eastAsia" w:cs="宋体"/>
          <w:color w:val="auto"/>
          <w:sz w:val="24"/>
          <w:szCs w:val="24"/>
          <w:highlight w:val="none"/>
          <w:lang w:eastAsia="zh-CN"/>
        </w:rPr>
        <w:t>甲方</w:t>
      </w:r>
      <w:r>
        <w:rPr>
          <w:rFonts w:hint="eastAsia" w:cs="宋体"/>
          <w:color w:val="auto"/>
          <w:sz w:val="24"/>
          <w:szCs w:val="24"/>
          <w:highlight w:val="none"/>
        </w:rPr>
        <w:t>应退还剩余的质量保证金。</w:t>
      </w:r>
    </w:p>
    <w:p w14:paraId="50C5576A">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color w:val="auto"/>
          <w:sz w:val="24"/>
          <w:szCs w:val="24"/>
          <w:highlight w:val="none"/>
        </w:rPr>
        <w:t>四、质量保修责任</w:t>
      </w:r>
    </w:p>
    <w:p w14:paraId="497AA41B">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1. 属于保修范围、内容的项目，</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应当在接到保修通知之日起7天内派人保修。</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不在约定期限内派人保修的，</w:t>
      </w: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可以委托他人修理。</w:t>
      </w:r>
    </w:p>
    <w:p w14:paraId="4CAD3033">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2. 发生紧急抢修事故的，</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在接到事故通知后，应当立即到达事故现场抢修。</w:t>
      </w:r>
    </w:p>
    <w:p w14:paraId="3CD18769">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3. 对于涉及结构安全的质量问题，应当立即向当地建设行政主管部门报告，采取安全防范措施；由原设计单位或者具有相应资质等级的设计单位提出保修方案，</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实施保修。</w:t>
      </w:r>
    </w:p>
    <w:p w14:paraId="39640DBC">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4. 质量保修完成后，由</w:t>
      </w: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组织验收。</w:t>
      </w:r>
    </w:p>
    <w:p w14:paraId="56A777DE">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五、保修费用</w:t>
      </w:r>
    </w:p>
    <w:p w14:paraId="4D648FE8">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保修费用由造成质量缺陷的责任方承担。</w:t>
      </w:r>
    </w:p>
    <w:p w14:paraId="4AAA3003">
      <w:pPr>
        <w:widowControl/>
        <w:adjustRightInd w:val="0"/>
        <w:snapToGrid w:val="0"/>
        <w:spacing w:line="360" w:lineRule="auto"/>
        <w:ind w:firstLine="480" w:firstLineChars="200"/>
        <w:jc w:val="left"/>
        <w:rPr>
          <w:rFonts w:cs="宋体"/>
          <w:b/>
          <w:color w:val="auto"/>
          <w:sz w:val="24"/>
          <w:szCs w:val="24"/>
          <w:highlight w:val="none"/>
        </w:rPr>
      </w:pPr>
      <w:r>
        <w:rPr>
          <w:rFonts w:hint="eastAsia" w:cs="宋体"/>
          <w:bCs/>
          <w:color w:val="auto"/>
          <w:position w:val="6"/>
          <w:sz w:val="24"/>
          <w:szCs w:val="24"/>
          <w:highlight w:val="none"/>
        </w:rPr>
        <w:t>六、</w:t>
      </w:r>
      <w:r>
        <w:rPr>
          <w:rFonts w:hint="eastAsia" w:cs="宋体"/>
          <w:b/>
          <w:color w:val="auto"/>
          <w:sz w:val="24"/>
          <w:szCs w:val="24"/>
          <w:highlight w:val="none"/>
        </w:rPr>
        <w:t>双方约定的其他工程质量保修事项：</w:t>
      </w:r>
      <w:r>
        <w:rPr>
          <w:rFonts w:hint="eastAsia" w:cs="宋体"/>
          <w:b/>
          <w:color w:val="auto"/>
          <w:sz w:val="24"/>
          <w:szCs w:val="24"/>
          <w:highlight w:val="none"/>
          <w:u w:val="single"/>
        </w:rPr>
        <w:t xml:space="preserve">             </w:t>
      </w:r>
      <w:r>
        <w:rPr>
          <w:rFonts w:hint="eastAsia" w:cs="宋体"/>
          <w:b/>
          <w:color w:val="auto"/>
          <w:sz w:val="24"/>
          <w:szCs w:val="24"/>
          <w:highlight w:val="none"/>
        </w:rPr>
        <w:t>。</w:t>
      </w:r>
    </w:p>
    <w:p w14:paraId="13D1B9F0">
      <w:pPr>
        <w:widowControl/>
        <w:adjustRightInd w:val="0"/>
        <w:snapToGrid w:val="0"/>
        <w:spacing w:line="360" w:lineRule="auto"/>
        <w:ind w:firstLine="480" w:firstLineChars="200"/>
        <w:jc w:val="left"/>
        <w:rPr>
          <w:rFonts w:cs="宋体"/>
          <w:bCs/>
          <w:color w:val="auto"/>
          <w:sz w:val="24"/>
          <w:szCs w:val="24"/>
          <w:highlight w:val="none"/>
        </w:rPr>
      </w:pPr>
      <w:r>
        <w:rPr>
          <w:rFonts w:hint="eastAsia" w:cs="宋体"/>
          <w:bCs/>
          <w:color w:val="auto"/>
          <w:position w:val="6"/>
          <w:sz w:val="24"/>
          <w:szCs w:val="24"/>
          <w:highlight w:val="none"/>
        </w:rPr>
        <w:t>本工程质量保修书，由施工合同</w:t>
      </w:r>
      <w:r>
        <w:rPr>
          <w:rFonts w:hint="eastAsia" w:cs="宋体"/>
          <w:bCs/>
          <w:color w:val="auto"/>
          <w:position w:val="6"/>
          <w:sz w:val="24"/>
          <w:szCs w:val="24"/>
          <w:highlight w:val="none"/>
          <w:lang w:eastAsia="zh-CN"/>
        </w:rPr>
        <w:t>甲方</w:t>
      </w:r>
      <w:r>
        <w:rPr>
          <w:rFonts w:hint="eastAsia" w:cs="宋体"/>
          <w:bCs/>
          <w:color w:val="auto"/>
          <w:position w:val="6"/>
          <w:sz w:val="24"/>
          <w:szCs w:val="24"/>
          <w:highlight w:val="none"/>
        </w:rPr>
        <w:t>、</w:t>
      </w:r>
      <w:r>
        <w:rPr>
          <w:rFonts w:hint="eastAsia" w:cs="宋体"/>
          <w:bCs/>
          <w:color w:val="auto"/>
          <w:position w:val="6"/>
          <w:sz w:val="24"/>
          <w:szCs w:val="24"/>
          <w:highlight w:val="none"/>
          <w:lang w:eastAsia="zh-CN"/>
        </w:rPr>
        <w:t>乙方</w:t>
      </w:r>
      <w:r>
        <w:rPr>
          <w:rFonts w:hint="eastAsia" w:cs="宋体"/>
          <w:bCs/>
          <w:color w:val="auto"/>
          <w:position w:val="6"/>
          <w:sz w:val="24"/>
          <w:szCs w:val="24"/>
          <w:highlight w:val="none"/>
        </w:rPr>
        <w:t>双方在</w:t>
      </w:r>
      <w:r>
        <w:rPr>
          <w:rFonts w:hint="eastAsia" w:cs="宋体"/>
          <w:bCs/>
          <w:color w:val="auto"/>
          <w:position w:val="6"/>
          <w:sz w:val="24"/>
          <w:szCs w:val="24"/>
          <w:highlight w:val="none"/>
          <w:lang w:eastAsia="zh-CN"/>
        </w:rPr>
        <w:t>完工</w:t>
      </w:r>
      <w:r>
        <w:rPr>
          <w:rFonts w:hint="eastAsia" w:cs="宋体"/>
          <w:bCs/>
          <w:color w:val="auto"/>
          <w:position w:val="6"/>
          <w:sz w:val="24"/>
          <w:szCs w:val="24"/>
          <w:highlight w:val="none"/>
        </w:rPr>
        <w:t>验收前共同签署，作为施工合同附件，其有效期限至保修期满。</w:t>
      </w:r>
    </w:p>
    <w:p w14:paraId="16090D9E">
      <w:pPr>
        <w:adjustRightInd w:val="0"/>
        <w:snapToGrid w:val="0"/>
        <w:spacing w:line="360" w:lineRule="auto"/>
        <w:ind w:firstLine="420"/>
        <w:rPr>
          <w:rFonts w:cs="宋体"/>
          <w:color w:val="auto"/>
          <w:sz w:val="24"/>
          <w:szCs w:val="24"/>
          <w:highlight w:val="none"/>
        </w:rPr>
      </w:pPr>
    </w:p>
    <w:p w14:paraId="297B1B53">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（公章）：</w:t>
      </w:r>
      <w:r>
        <w:rPr>
          <w:rFonts w:hint="eastAsia" w:cs="宋体"/>
          <w:color w:val="auto"/>
          <w:sz w:val="24"/>
          <w:szCs w:val="24"/>
          <w:highlight w:val="none"/>
          <w:u w:val="single"/>
        </w:rPr>
        <w:t xml:space="preserve">        </w:t>
      </w:r>
      <w:r>
        <w:rPr>
          <w:rFonts w:hint="eastAsia" w:cs="宋体"/>
          <w:color w:val="auto"/>
          <w:sz w:val="24"/>
          <w:szCs w:val="24"/>
          <w:highlight w:val="none"/>
        </w:rPr>
        <w:t xml:space="preserve">           </w:t>
      </w:r>
      <w:r>
        <w:rPr>
          <w:rFonts w:hint="eastAsia" w:cs="宋体"/>
          <w:color w:val="auto"/>
          <w:sz w:val="24"/>
          <w:szCs w:val="24"/>
          <w:highlight w:val="none"/>
          <w:lang w:eastAsia="zh-CN"/>
        </w:rPr>
        <w:t>乙方</w:t>
      </w:r>
      <w:r>
        <w:rPr>
          <w:rFonts w:hint="eastAsia" w:cs="宋体"/>
          <w:color w:val="auto"/>
          <w:sz w:val="24"/>
          <w:szCs w:val="24"/>
          <w:highlight w:val="none"/>
        </w:rPr>
        <w:t>（公章）：</w:t>
      </w:r>
      <w:r>
        <w:rPr>
          <w:rFonts w:hint="eastAsia" w:cs="宋体"/>
          <w:color w:val="auto"/>
          <w:sz w:val="24"/>
          <w:szCs w:val="24"/>
          <w:highlight w:val="none"/>
          <w:u w:val="single"/>
        </w:rPr>
        <w:t xml:space="preserve">        </w:t>
      </w:r>
    </w:p>
    <w:p w14:paraId="0B1E9819">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地  址：</w:t>
      </w:r>
      <w:r>
        <w:rPr>
          <w:rFonts w:hint="eastAsia" w:cs="宋体"/>
          <w:color w:val="auto"/>
          <w:sz w:val="24"/>
          <w:szCs w:val="24"/>
          <w:highlight w:val="none"/>
          <w:u w:val="single"/>
        </w:rPr>
        <w:t xml:space="preserve">     </w:t>
      </w:r>
      <w:r>
        <w:rPr>
          <w:rFonts w:hint="eastAsia" w:cs="宋体"/>
          <w:color w:val="auto"/>
          <w:sz w:val="24"/>
          <w:szCs w:val="24"/>
          <w:highlight w:val="none"/>
        </w:rPr>
        <w:t xml:space="preserve">              地  址：</w:t>
      </w:r>
      <w:r>
        <w:rPr>
          <w:rFonts w:hint="eastAsia" w:cs="宋体"/>
          <w:color w:val="auto"/>
          <w:sz w:val="24"/>
          <w:szCs w:val="24"/>
          <w:highlight w:val="none"/>
          <w:u w:val="single"/>
        </w:rPr>
        <w:t xml:space="preserve">       </w:t>
      </w:r>
    </w:p>
    <w:p w14:paraId="6B73DE52">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法定代表人（签字）：</w:t>
      </w:r>
      <w:r>
        <w:rPr>
          <w:rFonts w:hint="eastAsia" w:cs="宋体"/>
          <w:color w:val="auto"/>
          <w:sz w:val="24"/>
          <w:szCs w:val="24"/>
          <w:highlight w:val="none"/>
          <w:u w:val="single"/>
        </w:rPr>
        <w:t xml:space="preserve">      </w:t>
      </w:r>
      <w:r>
        <w:rPr>
          <w:rFonts w:hint="eastAsia" w:cs="宋体"/>
          <w:color w:val="auto"/>
          <w:sz w:val="24"/>
          <w:szCs w:val="24"/>
          <w:highlight w:val="none"/>
        </w:rPr>
        <w:t xml:space="preserve">           法定代表人（签字）：</w:t>
      </w:r>
      <w:r>
        <w:rPr>
          <w:rFonts w:hint="eastAsia" w:cs="宋体"/>
          <w:color w:val="auto"/>
          <w:sz w:val="24"/>
          <w:szCs w:val="24"/>
          <w:highlight w:val="none"/>
          <w:u w:val="single"/>
        </w:rPr>
        <w:t xml:space="preserve">       </w:t>
      </w:r>
    </w:p>
    <w:p w14:paraId="7FAE484D">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委托代理人（签字）：</w:t>
      </w:r>
      <w:r>
        <w:rPr>
          <w:rFonts w:hint="eastAsia" w:cs="宋体"/>
          <w:color w:val="auto"/>
          <w:sz w:val="24"/>
          <w:szCs w:val="24"/>
          <w:highlight w:val="none"/>
          <w:u w:val="single"/>
        </w:rPr>
        <w:t xml:space="preserve">      </w:t>
      </w:r>
      <w:r>
        <w:rPr>
          <w:rFonts w:hint="eastAsia" w:cs="宋体"/>
          <w:color w:val="auto"/>
          <w:sz w:val="24"/>
          <w:szCs w:val="24"/>
          <w:highlight w:val="none"/>
        </w:rPr>
        <w:t xml:space="preserve">           委托代理人（签字）：</w:t>
      </w:r>
      <w:r>
        <w:rPr>
          <w:rFonts w:hint="eastAsia" w:cs="宋体"/>
          <w:color w:val="auto"/>
          <w:sz w:val="24"/>
          <w:szCs w:val="24"/>
          <w:highlight w:val="none"/>
          <w:u w:val="single"/>
        </w:rPr>
        <w:t xml:space="preserve">       </w:t>
      </w:r>
    </w:p>
    <w:p w14:paraId="4842D462">
      <w:pPr>
        <w:adjustRightInd w:val="0"/>
        <w:snapToGrid w:val="0"/>
        <w:spacing w:line="360" w:lineRule="auto"/>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r>
        <w:rPr>
          <w:rFonts w:hint="eastAsia" w:cs="宋体"/>
          <w:color w:val="auto"/>
          <w:sz w:val="24"/>
          <w:szCs w:val="24"/>
          <w:highlight w:val="none"/>
        </w:rPr>
        <w:t xml:space="preserve">              电  话：</w:t>
      </w:r>
      <w:r>
        <w:rPr>
          <w:rFonts w:hint="eastAsia" w:cs="宋体"/>
          <w:color w:val="auto"/>
          <w:sz w:val="24"/>
          <w:szCs w:val="24"/>
          <w:highlight w:val="none"/>
          <w:u w:val="single"/>
        </w:rPr>
        <w:t xml:space="preserve">     </w:t>
      </w:r>
    </w:p>
    <w:p w14:paraId="03B8539F">
      <w:pPr>
        <w:adjustRightInd w:val="0"/>
        <w:snapToGrid w:val="0"/>
        <w:spacing w:line="360" w:lineRule="auto"/>
        <w:rPr>
          <w:rFonts w:cs="宋体"/>
          <w:color w:val="auto"/>
          <w:sz w:val="24"/>
          <w:szCs w:val="24"/>
          <w:highlight w:val="none"/>
        </w:rPr>
      </w:pPr>
      <w:r>
        <w:rPr>
          <w:rFonts w:hint="eastAsia" w:cs="宋体"/>
          <w:color w:val="auto"/>
          <w:sz w:val="24"/>
          <w:szCs w:val="24"/>
          <w:highlight w:val="none"/>
        </w:rPr>
        <w:t>传  真：</w:t>
      </w:r>
      <w:r>
        <w:rPr>
          <w:rFonts w:hint="eastAsia" w:cs="宋体"/>
          <w:color w:val="auto"/>
          <w:sz w:val="24"/>
          <w:szCs w:val="24"/>
          <w:highlight w:val="none"/>
          <w:u w:val="single"/>
        </w:rPr>
        <w:t xml:space="preserve">   </w:t>
      </w:r>
      <w:r>
        <w:rPr>
          <w:rFonts w:hint="eastAsia" w:cs="宋体"/>
          <w:color w:val="auto"/>
          <w:sz w:val="24"/>
          <w:szCs w:val="24"/>
          <w:highlight w:val="none"/>
        </w:rPr>
        <w:t xml:space="preserve">              传  真：</w:t>
      </w:r>
      <w:r>
        <w:rPr>
          <w:rFonts w:hint="eastAsia" w:cs="宋体"/>
          <w:color w:val="auto"/>
          <w:sz w:val="24"/>
          <w:szCs w:val="24"/>
          <w:highlight w:val="none"/>
          <w:u w:val="single"/>
        </w:rPr>
        <w:t xml:space="preserve">     </w:t>
      </w:r>
    </w:p>
    <w:p w14:paraId="18CD5396">
      <w:pPr>
        <w:adjustRightInd w:val="0"/>
        <w:snapToGrid w:val="0"/>
        <w:spacing w:line="360" w:lineRule="auto"/>
        <w:rPr>
          <w:rFonts w:cs="宋体"/>
          <w:color w:val="auto"/>
          <w:sz w:val="24"/>
          <w:szCs w:val="24"/>
          <w:highlight w:val="none"/>
        </w:rPr>
      </w:pPr>
      <w:r>
        <w:rPr>
          <w:rFonts w:hint="eastAsia" w:cs="宋体"/>
          <w:color w:val="auto"/>
          <w:sz w:val="24"/>
          <w:szCs w:val="24"/>
          <w:highlight w:val="none"/>
        </w:rPr>
        <w:t>开户银行：</w:t>
      </w:r>
      <w:r>
        <w:rPr>
          <w:rFonts w:hint="eastAsia" w:cs="宋体"/>
          <w:color w:val="auto"/>
          <w:sz w:val="24"/>
          <w:szCs w:val="24"/>
          <w:highlight w:val="none"/>
          <w:u w:val="single"/>
        </w:rPr>
        <w:t xml:space="preserve">   </w:t>
      </w:r>
      <w:r>
        <w:rPr>
          <w:rFonts w:hint="eastAsia" w:cs="宋体"/>
          <w:color w:val="auto"/>
          <w:sz w:val="24"/>
          <w:szCs w:val="24"/>
          <w:highlight w:val="none"/>
        </w:rPr>
        <w:t xml:space="preserve">              开户银行：</w:t>
      </w:r>
      <w:r>
        <w:rPr>
          <w:rFonts w:hint="eastAsia" w:cs="宋体"/>
          <w:color w:val="auto"/>
          <w:sz w:val="24"/>
          <w:szCs w:val="24"/>
          <w:highlight w:val="none"/>
          <w:u w:val="single"/>
        </w:rPr>
        <w:t xml:space="preserve">   </w:t>
      </w:r>
    </w:p>
    <w:p w14:paraId="51942E60">
      <w:pPr>
        <w:adjustRightInd w:val="0"/>
        <w:snapToGrid w:val="0"/>
        <w:spacing w:line="360" w:lineRule="auto"/>
        <w:rPr>
          <w:rFonts w:cs="宋体"/>
          <w:color w:val="auto"/>
          <w:sz w:val="24"/>
          <w:szCs w:val="24"/>
          <w:highlight w:val="none"/>
        </w:rPr>
      </w:pPr>
      <w:r>
        <w:rPr>
          <w:rFonts w:hint="eastAsia" w:cs="宋体"/>
          <w:color w:val="auto"/>
          <w:sz w:val="24"/>
          <w:szCs w:val="24"/>
          <w:highlight w:val="none"/>
        </w:rPr>
        <w:t>账  号：</w:t>
      </w:r>
      <w:r>
        <w:rPr>
          <w:rFonts w:hint="eastAsia" w:cs="宋体"/>
          <w:color w:val="auto"/>
          <w:sz w:val="24"/>
          <w:szCs w:val="24"/>
          <w:highlight w:val="none"/>
          <w:u w:val="single"/>
        </w:rPr>
        <w:t xml:space="preserve">       </w:t>
      </w:r>
      <w:r>
        <w:rPr>
          <w:rFonts w:hint="eastAsia" w:cs="宋体"/>
          <w:color w:val="auto"/>
          <w:sz w:val="24"/>
          <w:szCs w:val="24"/>
          <w:highlight w:val="none"/>
        </w:rPr>
        <w:t xml:space="preserve">              账  号：</w:t>
      </w:r>
      <w:r>
        <w:rPr>
          <w:rFonts w:hint="eastAsia" w:cs="宋体"/>
          <w:color w:val="auto"/>
          <w:sz w:val="24"/>
          <w:szCs w:val="24"/>
          <w:highlight w:val="none"/>
          <w:u w:val="single"/>
        </w:rPr>
        <w:t xml:space="preserve">     </w:t>
      </w:r>
    </w:p>
    <w:p w14:paraId="61931CED">
      <w:pPr>
        <w:adjustRightInd w:val="0"/>
        <w:snapToGrid w:val="0"/>
        <w:spacing w:line="360" w:lineRule="auto"/>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    </w:t>
      </w:r>
      <w:r>
        <w:rPr>
          <w:rFonts w:hint="eastAsia" w:cs="宋体"/>
          <w:color w:val="auto"/>
          <w:sz w:val="24"/>
          <w:szCs w:val="24"/>
          <w:highlight w:val="none"/>
        </w:rPr>
        <w:t xml:space="preserve">              邮政编码：</w:t>
      </w:r>
      <w:r>
        <w:rPr>
          <w:rFonts w:hint="eastAsia" w:cs="宋体"/>
          <w:color w:val="auto"/>
          <w:sz w:val="24"/>
          <w:szCs w:val="24"/>
          <w:highlight w:val="none"/>
          <w:u w:val="single"/>
        </w:rPr>
        <w:t xml:space="preserve">   </w:t>
      </w:r>
    </w:p>
    <w:p w14:paraId="5A8FA3E7">
      <w:pPr>
        <w:spacing w:before="312" w:beforeLines="100" w:after="312" w:afterLines="100"/>
        <w:outlineLvl w:val="2"/>
        <w:rPr>
          <w:rFonts w:ascii="Times New Roman" w:eastAsia="黑体"/>
          <w:color w:val="auto"/>
          <w:sz w:val="24"/>
          <w:szCs w:val="24"/>
          <w:highlight w:val="none"/>
        </w:rPr>
      </w:pPr>
      <w:r>
        <w:rPr>
          <w:rFonts w:ascii="Times New Roman" w:eastAsia="黑体"/>
          <w:b/>
          <w:bCs/>
          <w:color w:val="auto"/>
          <w:sz w:val="24"/>
          <w:szCs w:val="24"/>
          <w:highlight w:val="none"/>
        </w:rPr>
        <w:br w:type="page"/>
      </w:r>
      <w:r>
        <w:rPr>
          <w:rFonts w:hint="eastAsia" w:ascii="Times New Roman" w:hAnsi="宋体" w:eastAsia="黑体" w:cs="宋体"/>
          <w:color w:val="auto"/>
          <w:sz w:val="24"/>
          <w:szCs w:val="24"/>
          <w:highlight w:val="none"/>
          <w:lang w:val="en-US" w:eastAsia="zh-CN" w:bidi="ar-SA"/>
        </w:rPr>
        <w:t>附</w:t>
      </w:r>
      <w:bookmarkStart w:id="628" w:name="_Toc296347230"/>
      <w:bookmarkStart w:id="629" w:name="_Toc296503231"/>
      <w:bookmarkStart w:id="630" w:name="_Toc296891059"/>
      <w:bookmarkStart w:id="631" w:name="_Toc296891271"/>
      <w:bookmarkStart w:id="632" w:name="_Toc296346732"/>
      <w:bookmarkStart w:id="633" w:name="_Toc296944570"/>
      <w:r>
        <w:rPr>
          <w:rFonts w:hint="eastAsia" w:ascii="Times New Roman" w:hAnsi="宋体" w:eastAsia="黑体" w:cs="宋体"/>
          <w:color w:val="auto"/>
          <w:sz w:val="24"/>
          <w:szCs w:val="24"/>
          <w:highlight w:val="none"/>
          <w:lang w:val="en-US" w:eastAsia="zh-CN" w:bidi="ar-SA"/>
        </w:rPr>
        <w:t>件4：</w:t>
      </w:r>
      <w:bookmarkEnd w:id="613"/>
      <w:bookmarkEnd w:id="628"/>
      <w:bookmarkEnd w:id="629"/>
      <w:bookmarkEnd w:id="630"/>
      <w:bookmarkEnd w:id="631"/>
      <w:bookmarkEnd w:id="632"/>
      <w:bookmarkEnd w:id="633"/>
      <w:r>
        <w:rPr>
          <w:rFonts w:hint="eastAsia" w:ascii="Times New Roman" w:eastAsia="黑体"/>
          <w:color w:val="auto"/>
          <w:sz w:val="24"/>
          <w:szCs w:val="24"/>
          <w:highlight w:val="none"/>
        </w:rPr>
        <w:t>项目经理质量终身责任制承诺</w:t>
      </w:r>
    </w:p>
    <w:p w14:paraId="279C353F">
      <w:pPr>
        <w:spacing w:before="156" w:beforeLines="50" w:after="156" w:afterLines="50" w:line="360" w:lineRule="auto"/>
        <w:jc w:val="center"/>
        <w:rPr>
          <w:rFonts w:cs="宋体"/>
          <w:b/>
          <w:color w:val="auto"/>
          <w:sz w:val="24"/>
          <w:szCs w:val="24"/>
          <w:highlight w:val="none"/>
        </w:rPr>
      </w:pPr>
      <w:bookmarkStart w:id="634" w:name="_Toc19417"/>
      <w:bookmarkStart w:id="635" w:name="_Toc128950250"/>
      <w:bookmarkStart w:id="636" w:name="_Toc14540"/>
      <w:r>
        <w:rPr>
          <w:rFonts w:hint="eastAsia" w:cs="宋体"/>
          <w:b/>
          <w:color w:val="auto"/>
          <w:sz w:val="24"/>
          <w:szCs w:val="24"/>
          <w:highlight w:val="none"/>
        </w:rPr>
        <w:t>项目经理质量终身责任制承诺</w:t>
      </w:r>
      <w:bookmarkEnd w:id="634"/>
      <w:bookmarkEnd w:id="635"/>
      <w:bookmarkEnd w:id="636"/>
    </w:p>
    <w:p w14:paraId="754C7630">
      <w:pPr>
        <w:spacing w:line="360" w:lineRule="auto"/>
        <w:rPr>
          <w:rFonts w:cs="宋体"/>
          <w:bCs/>
          <w:color w:val="auto"/>
          <w:sz w:val="24"/>
          <w:szCs w:val="24"/>
          <w:highlight w:val="none"/>
        </w:rPr>
      </w:pPr>
      <w:r>
        <w:rPr>
          <w:rFonts w:hint="eastAsia" w:cs="宋体"/>
          <w:bCs/>
          <w:color w:val="auto"/>
          <w:sz w:val="24"/>
          <w:szCs w:val="24"/>
          <w:highlight w:val="none"/>
        </w:rPr>
        <w:t>致：</w:t>
      </w:r>
      <w:r>
        <w:rPr>
          <w:rFonts w:hint="eastAsia" w:cs="宋体"/>
          <w:bCs/>
          <w:color w:val="auto"/>
          <w:sz w:val="24"/>
          <w:szCs w:val="24"/>
          <w:highlight w:val="none"/>
          <w:u w:val="single"/>
        </w:rPr>
        <w:t>（采购人）</w:t>
      </w:r>
    </w:p>
    <w:p w14:paraId="7FFA8F8E">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本人作为施工项目经理，承担相关质量终身责任，现郑重承诺如下：</w:t>
      </w:r>
    </w:p>
    <w:p w14:paraId="491B0BE4">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一、在取得施工许可证后进行施工。</w:t>
      </w:r>
    </w:p>
    <w:p w14:paraId="4E9D875F">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二、严格执行施工规范及标准。</w:t>
      </w:r>
    </w:p>
    <w:p w14:paraId="03065DAE">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三、严格按规定配备施工项目部关键岗位人员，并确保所有人员到岗履职。</w:t>
      </w:r>
    </w:p>
    <w:p w14:paraId="56046AD9">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四、严格按照经施工图审查机构审查合格的工程设计文件及合同约定的质量标准精心组织施工。</w:t>
      </w:r>
    </w:p>
    <w:p w14:paraId="3D3C9F3C">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五、施工中采用合格的建筑材料、建筑构配件和设备等，并严格按规定执行见证取样制度。</w:t>
      </w:r>
    </w:p>
    <w:p w14:paraId="2B9D9A44">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六、建立、健全质量检查、验收制度，严格工序管理，做好隐蔽工程质量的检查和记录。</w:t>
      </w:r>
    </w:p>
    <w:p w14:paraId="25DE7CC5">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七、对施工中出现的质量问题，及时进行整改。严格依法依规履行义务。</w:t>
      </w:r>
    </w:p>
    <w:p w14:paraId="434D85E2">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八、履行相关工程质量检查、验收及事故处理等职责。</w:t>
      </w:r>
    </w:p>
    <w:p w14:paraId="1F8F51D9">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九、履行其他法律法规规定的职责。</w:t>
      </w:r>
    </w:p>
    <w:p w14:paraId="176B372B">
      <w:pPr>
        <w:spacing w:line="360" w:lineRule="auto"/>
        <w:ind w:left="342" w:leftChars="171" w:firstLine="720" w:firstLineChars="300"/>
        <w:rPr>
          <w:rFonts w:cs="宋体"/>
          <w:bCs/>
          <w:color w:val="auto"/>
          <w:sz w:val="24"/>
          <w:szCs w:val="24"/>
          <w:highlight w:val="none"/>
        </w:rPr>
      </w:pPr>
    </w:p>
    <w:p w14:paraId="46CBA357">
      <w:pPr>
        <w:spacing w:line="360" w:lineRule="auto"/>
        <w:ind w:left="342" w:leftChars="171" w:firstLine="720" w:firstLineChars="300"/>
        <w:rPr>
          <w:rFonts w:cs="宋体"/>
          <w:bCs/>
          <w:color w:val="auto"/>
          <w:sz w:val="24"/>
          <w:szCs w:val="24"/>
          <w:highlight w:val="none"/>
        </w:rPr>
      </w:pPr>
    </w:p>
    <w:p w14:paraId="4B88BD3A">
      <w:pPr>
        <w:spacing w:line="360" w:lineRule="auto"/>
        <w:ind w:left="342" w:leftChars="171" w:firstLine="720" w:firstLineChars="300"/>
        <w:rPr>
          <w:rFonts w:cs="宋体"/>
          <w:bCs/>
          <w:color w:val="auto"/>
          <w:sz w:val="24"/>
          <w:szCs w:val="24"/>
          <w:highlight w:val="none"/>
        </w:rPr>
      </w:pPr>
      <w:r>
        <w:rPr>
          <w:rFonts w:hint="eastAsia" w:cs="宋体"/>
          <w:bCs/>
          <w:color w:val="auto"/>
          <w:sz w:val="24"/>
          <w:szCs w:val="24"/>
          <w:highlight w:val="none"/>
        </w:rPr>
        <w:t>项目经理：</w:t>
      </w:r>
      <w:r>
        <w:rPr>
          <w:rFonts w:hint="eastAsia" w:cs="宋体"/>
          <w:bCs/>
          <w:color w:val="auto"/>
          <w:sz w:val="24"/>
          <w:szCs w:val="24"/>
          <w:highlight w:val="none"/>
          <w:u w:val="single"/>
        </w:rPr>
        <w:t xml:space="preserve">                   </w:t>
      </w:r>
      <w:r>
        <w:rPr>
          <w:rFonts w:hint="eastAsia" w:cs="宋体"/>
          <w:bCs/>
          <w:color w:val="auto"/>
          <w:sz w:val="24"/>
          <w:szCs w:val="24"/>
          <w:highlight w:val="none"/>
        </w:rPr>
        <w:t>（签字）</w:t>
      </w:r>
    </w:p>
    <w:p w14:paraId="652D7391">
      <w:pPr>
        <w:spacing w:line="360" w:lineRule="auto"/>
        <w:ind w:left="342" w:leftChars="171" w:firstLine="720" w:firstLineChars="300"/>
        <w:rPr>
          <w:rFonts w:cs="宋体"/>
          <w:bCs/>
          <w:color w:val="auto"/>
          <w:sz w:val="24"/>
          <w:szCs w:val="24"/>
          <w:highlight w:val="none"/>
        </w:rPr>
      </w:pPr>
      <w:r>
        <w:rPr>
          <w:rFonts w:hint="eastAsia" w:cs="宋体"/>
          <w:bCs/>
          <w:color w:val="auto"/>
          <w:sz w:val="24"/>
          <w:szCs w:val="24"/>
          <w:highlight w:val="none"/>
        </w:rPr>
        <w:t>日期：_____年____月____日</w:t>
      </w:r>
    </w:p>
    <w:p w14:paraId="776FBC2D">
      <w:pPr>
        <w:pStyle w:val="20"/>
        <w:rPr>
          <w:rFonts w:ascii="宋体" w:hAnsi="宋体" w:eastAsia="宋体" w:cs="宋体"/>
          <w:bCs/>
          <w:color w:val="auto"/>
          <w:sz w:val="24"/>
          <w:szCs w:val="24"/>
          <w:highlight w:val="none"/>
        </w:rPr>
      </w:pPr>
    </w:p>
    <w:p w14:paraId="050307D0">
      <w:pPr>
        <w:pStyle w:val="284"/>
        <w:ind w:left="210" w:right="210" w:firstLine="210"/>
        <w:rPr>
          <w:rFonts w:hint="eastAsia" w:ascii="宋体" w:hAnsi="宋体" w:eastAsia="宋体" w:cs="宋体"/>
          <w:color w:val="auto"/>
          <w:sz w:val="24"/>
          <w:szCs w:val="24"/>
          <w:highlight w:val="none"/>
        </w:rPr>
        <w:sectPr>
          <w:footerReference r:id="rId4" w:type="default"/>
          <w:pgSz w:w="11906" w:h="16838"/>
          <w:pgMar w:top="1361" w:right="1361" w:bottom="1361" w:left="1361" w:header="851" w:footer="992" w:gutter="0"/>
          <w:pgNumType w:fmt="decimal" w:start="1"/>
          <w:cols w:space="720" w:num="1"/>
          <w:docGrid w:type="lines" w:linePitch="312" w:charSpace="0"/>
        </w:sectPr>
      </w:pPr>
    </w:p>
    <w:p w14:paraId="5955C57E">
      <w:pPr>
        <w:spacing w:before="312" w:beforeLines="100" w:after="312" w:afterLines="100"/>
        <w:outlineLvl w:val="2"/>
        <w:rPr>
          <w:rFonts w:hint="eastAsia" w:ascii="Times New Roman" w:hAnsi="宋体" w:eastAsia="黑体" w:cs="宋体"/>
          <w:color w:val="auto"/>
          <w:sz w:val="24"/>
          <w:szCs w:val="24"/>
          <w:highlight w:val="none"/>
        </w:rPr>
      </w:pPr>
      <w:bookmarkStart w:id="637" w:name="_Toc128950244"/>
      <w:r>
        <w:rPr>
          <w:rFonts w:hint="eastAsia" w:ascii="Times New Roman" w:eastAsia="黑体"/>
          <w:color w:val="auto"/>
          <w:sz w:val="24"/>
          <w:szCs w:val="24"/>
          <w:highlight w:val="none"/>
        </w:rPr>
        <w:t>附件</w:t>
      </w:r>
      <w:r>
        <w:rPr>
          <w:rFonts w:hint="eastAsia" w:ascii="Times New Roman" w:hAnsi="宋体" w:eastAsia="黑体" w:cs="宋体"/>
          <w:color w:val="auto"/>
          <w:sz w:val="24"/>
          <w:szCs w:val="24"/>
          <w:highlight w:val="none"/>
          <w:lang w:val="en-US" w:eastAsia="zh-CN"/>
        </w:rPr>
        <w:t>5</w:t>
      </w:r>
      <w:r>
        <w:rPr>
          <w:rFonts w:hint="eastAsia" w:ascii="Times New Roman" w:hAnsi="宋体" w:eastAsia="黑体" w:cs="宋体"/>
          <w:color w:val="auto"/>
          <w:sz w:val="24"/>
          <w:szCs w:val="24"/>
          <w:highlight w:val="none"/>
        </w:rPr>
        <w:t>：</w:t>
      </w:r>
      <w:r>
        <w:rPr>
          <w:rFonts w:hint="eastAsia" w:ascii="Times New Roman" w:hAnsi="宋体" w:eastAsia="黑体" w:cs="宋体"/>
          <w:color w:val="auto"/>
          <w:sz w:val="24"/>
          <w:szCs w:val="24"/>
          <w:highlight w:val="none"/>
          <w:lang w:eastAsia="zh-CN"/>
        </w:rPr>
        <w:t>乙方</w:t>
      </w:r>
      <w:r>
        <w:rPr>
          <w:rFonts w:hint="eastAsia" w:ascii="Times New Roman" w:hAnsi="宋体" w:eastAsia="黑体" w:cs="宋体"/>
          <w:color w:val="auto"/>
          <w:sz w:val="24"/>
          <w:szCs w:val="24"/>
          <w:highlight w:val="none"/>
        </w:rPr>
        <w:t>主要施工管理人员表</w:t>
      </w:r>
    </w:p>
    <w:p w14:paraId="63EE5285">
      <w:pPr>
        <w:spacing w:line="360" w:lineRule="auto"/>
        <w:jc w:val="center"/>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253A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6C036266">
            <w:pPr>
              <w:keepNext/>
              <w:spacing w:line="360" w:lineRule="auto"/>
              <w:jc w:val="center"/>
              <w:rPr>
                <w:rFonts w:cs="宋体"/>
                <w:color w:val="auto"/>
                <w:sz w:val="24"/>
                <w:szCs w:val="24"/>
                <w:highlight w:val="none"/>
              </w:rPr>
            </w:pPr>
            <w:r>
              <w:rPr>
                <w:rFonts w:hint="eastAsia" w:cs="宋体"/>
                <w:color w:val="auto"/>
                <w:sz w:val="24"/>
                <w:szCs w:val="24"/>
                <w:highlight w:val="none"/>
              </w:rPr>
              <w:t>名称</w:t>
            </w:r>
          </w:p>
        </w:tc>
        <w:tc>
          <w:tcPr>
            <w:tcW w:w="627" w:type="pct"/>
            <w:tcBorders>
              <w:top w:val="single" w:color="auto" w:sz="12" w:space="0"/>
              <w:bottom w:val="double" w:color="auto" w:sz="6" w:space="0"/>
            </w:tcBorders>
            <w:vAlign w:val="center"/>
          </w:tcPr>
          <w:p w14:paraId="5776A77D">
            <w:pPr>
              <w:keepNext/>
              <w:spacing w:line="360" w:lineRule="auto"/>
              <w:jc w:val="center"/>
              <w:rPr>
                <w:rFonts w:cs="宋体"/>
                <w:color w:val="auto"/>
                <w:sz w:val="24"/>
                <w:szCs w:val="24"/>
                <w:highlight w:val="none"/>
              </w:rPr>
            </w:pPr>
            <w:r>
              <w:rPr>
                <w:rFonts w:hint="eastAsia" w:cs="宋体"/>
                <w:color w:val="auto"/>
                <w:sz w:val="24"/>
                <w:szCs w:val="24"/>
                <w:highlight w:val="none"/>
              </w:rPr>
              <w:t>姓名</w:t>
            </w:r>
          </w:p>
        </w:tc>
        <w:tc>
          <w:tcPr>
            <w:tcW w:w="502" w:type="pct"/>
            <w:tcBorders>
              <w:top w:val="single" w:color="auto" w:sz="12" w:space="0"/>
              <w:bottom w:val="double" w:color="auto" w:sz="6" w:space="0"/>
            </w:tcBorders>
            <w:vAlign w:val="center"/>
          </w:tcPr>
          <w:p w14:paraId="039318AC">
            <w:pPr>
              <w:keepNext/>
              <w:spacing w:line="360" w:lineRule="auto"/>
              <w:jc w:val="center"/>
              <w:rPr>
                <w:rFonts w:cs="宋体"/>
                <w:color w:val="auto"/>
                <w:sz w:val="24"/>
                <w:szCs w:val="24"/>
                <w:highlight w:val="none"/>
              </w:rPr>
            </w:pPr>
            <w:r>
              <w:rPr>
                <w:rFonts w:hint="eastAsia" w:cs="宋体"/>
                <w:color w:val="auto"/>
                <w:sz w:val="24"/>
                <w:szCs w:val="24"/>
                <w:highlight w:val="none"/>
              </w:rPr>
              <w:t>职务</w:t>
            </w:r>
          </w:p>
        </w:tc>
        <w:tc>
          <w:tcPr>
            <w:tcW w:w="502" w:type="pct"/>
            <w:tcBorders>
              <w:top w:val="single" w:color="auto" w:sz="12" w:space="0"/>
              <w:bottom w:val="double" w:color="auto" w:sz="6" w:space="0"/>
            </w:tcBorders>
            <w:vAlign w:val="center"/>
          </w:tcPr>
          <w:p w14:paraId="3C870711">
            <w:pPr>
              <w:keepNext/>
              <w:spacing w:line="360" w:lineRule="auto"/>
              <w:jc w:val="center"/>
              <w:rPr>
                <w:rFonts w:cs="宋体"/>
                <w:color w:val="auto"/>
                <w:sz w:val="24"/>
                <w:szCs w:val="24"/>
                <w:highlight w:val="none"/>
              </w:rPr>
            </w:pPr>
            <w:r>
              <w:rPr>
                <w:rFonts w:hint="eastAsia" w:cs="宋体"/>
                <w:color w:val="auto"/>
                <w:sz w:val="24"/>
                <w:szCs w:val="24"/>
                <w:highlight w:val="none"/>
              </w:rPr>
              <w:t>职称</w:t>
            </w:r>
          </w:p>
        </w:tc>
        <w:tc>
          <w:tcPr>
            <w:tcW w:w="1281" w:type="pct"/>
            <w:tcBorders>
              <w:top w:val="single" w:color="auto" w:sz="12" w:space="0"/>
              <w:bottom w:val="double" w:color="auto" w:sz="6" w:space="0"/>
            </w:tcBorders>
            <w:vAlign w:val="center"/>
          </w:tcPr>
          <w:p w14:paraId="53B446BE">
            <w:pPr>
              <w:keepNext/>
              <w:spacing w:line="360" w:lineRule="auto"/>
              <w:jc w:val="center"/>
              <w:rPr>
                <w:rFonts w:cs="宋体"/>
                <w:color w:val="auto"/>
                <w:sz w:val="24"/>
                <w:szCs w:val="24"/>
                <w:highlight w:val="none"/>
              </w:rPr>
            </w:pPr>
            <w:r>
              <w:rPr>
                <w:rFonts w:hint="eastAsia" w:cs="宋体"/>
                <w:color w:val="auto"/>
                <w:sz w:val="24"/>
                <w:szCs w:val="24"/>
                <w:highlight w:val="none"/>
              </w:rPr>
              <w:t>主要资历、经验及承担过的项目</w:t>
            </w:r>
          </w:p>
        </w:tc>
        <w:tc>
          <w:tcPr>
            <w:tcW w:w="1151" w:type="pct"/>
            <w:tcBorders>
              <w:top w:val="single" w:color="auto" w:sz="12" w:space="0"/>
              <w:bottom w:val="double" w:color="auto" w:sz="6" w:space="0"/>
            </w:tcBorders>
            <w:vAlign w:val="center"/>
          </w:tcPr>
          <w:p w14:paraId="66CE38FD">
            <w:pPr>
              <w:keepNext/>
              <w:spacing w:line="360" w:lineRule="auto"/>
              <w:jc w:val="center"/>
              <w:rPr>
                <w:rFonts w:cs="宋体"/>
                <w:color w:val="auto"/>
                <w:sz w:val="24"/>
                <w:szCs w:val="24"/>
                <w:highlight w:val="none"/>
              </w:rPr>
            </w:pPr>
            <w:r>
              <w:rPr>
                <w:rFonts w:hint="eastAsia" w:cs="宋体"/>
                <w:color w:val="auto"/>
                <w:sz w:val="24"/>
                <w:szCs w:val="24"/>
                <w:highlight w:val="none"/>
              </w:rPr>
              <w:t>身份证号码</w:t>
            </w:r>
          </w:p>
        </w:tc>
      </w:tr>
      <w:tr w14:paraId="1B97F4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0D99E71F">
            <w:pPr>
              <w:keepNext/>
              <w:spacing w:line="360" w:lineRule="auto"/>
              <w:jc w:val="center"/>
              <w:rPr>
                <w:rFonts w:cs="宋体"/>
                <w:color w:val="auto"/>
                <w:sz w:val="24"/>
                <w:szCs w:val="24"/>
                <w:highlight w:val="none"/>
              </w:rPr>
            </w:pPr>
            <w:r>
              <w:rPr>
                <w:rFonts w:hint="eastAsia" w:cs="宋体"/>
                <w:color w:val="auto"/>
                <w:sz w:val="24"/>
                <w:szCs w:val="24"/>
                <w:highlight w:val="none"/>
              </w:rPr>
              <w:t>一、总部人员</w:t>
            </w:r>
          </w:p>
        </w:tc>
        <w:tc>
          <w:tcPr>
            <w:tcW w:w="1151" w:type="pct"/>
            <w:tcBorders>
              <w:top w:val="double" w:color="auto" w:sz="6" w:space="0"/>
            </w:tcBorders>
            <w:vAlign w:val="center"/>
          </w:tcPr>
          <w:p w14:paraId="16ADF012">
            <w:pPr>
              <w:keepNext/>
              <w:spacing w:line="360" w:lineRule="auto"/>
              <w:jc w:val="center"/>
              <w:rPr>
                <w:rFonts w:cs="宋体"/>
                <w:color w:val="auto"/>
                <w:sz w:val="24"/>
                <w:szCs w:val="24"/>
                <w:highlight w:val="none"/>
              </w:rPr>
            </w:pPr>
          </w:p>
        </w:tc>
      </w:tr>
      <w:tr w14:paraId="3F67A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5DDB5295">
            <w:pPr>
              <w:spacing w:line="360" w:lineRule="auto"/>
              <w:jc w:val="center"/>
              <w:rPr>
                <w:rFonts w:cs="宋体"/>
                <w:color w:val="auto"/>
                <w:sz w:val="24"/>
                <w:szCs w:val="24"/>
                <w:highlight w:val="none"/>
              </w:rPr>
            </w:pPr>
            <w:r>
              <w:rPr>
                <w:rFonts w:hint="eastAsia" w:cs="宋体"/>
                <w:color w:val="auto"/>
                <w:sz w:val="24"/>
                <w:szCs w:val="24"/>
                <w:highlight w:val="none"/>
              </w:rPr>
              <w:t>项目主管</w:t>
            </w:r>
          </w:p>
        </w:tc>
        <w:tc>
          <w:tcPr>
            <w:tcW w:w="627" w:type="pct"/>
            <w:tcBorders>
              <w:top w:val="nil"/>
            </w:tcBorders>
            <w:vAlign w:val="center"/>
          </w:tcPr>
          <w:p w14:paraId="6AC28321">
            <w:pPr>
              <w:keepNext/>
              <w:spacing w:line="360" w:lineRule="auto"/>
              <w:jc w:val="center"/>
              <w:rPr>
                <w:rFonts w:cs="宋体"/>
                <w:color w:val="auto"/>
                <w:sz w:val="24"/>
                <w:szCs w:val="24"/>
                <w:highlight w:val="none"/>
              </w:rPr>
            </w:pPr>
          </w:p>
        </w:tc>
        <w:tc>
          <w:tcPr>
            <w:tcW w:w="502" w:type="pct"/>
            <w:tcBorders>
              <w:top w:val="nil"/>
            </w:tcBorders>
            <w:vAlign w:val="center"/>
          </w:tcPr>
          <w:p w14:paraId="410E273C">
            <w:pPr>
              <w:keepNext/>
              <w:spacing w:line="360" w:lineRule="auto"/>
              <w:jc w:val="center"/>
              <w:rPr>
                <w:rFonts w:cs="宋体"/>
                <w:color w:val="auto"/>
                <w:sz w:val="24"/>
                <w:szCs w:val="24"/>
                <w:highlight w:val="none"/>
              </w:rPr>
            </w:pPr>
          </w:p>
        </w:tc>
        <w:tc>
          <w:tcPr>
            <w:tcW w:w="502" w:type="pct"/>
            <w:tcBorders>
              <w:top w:val="nil"/>
            </w:tcBorders>
            <w:vAlign w:val="center"/>
          </w:tcPr>
          <w:p w14:paraId="2620959D">
            <w:pPr>
              <w:keepNext/>
              <w:spacing w:line="360" w:lineRule="auto"/>
              <w:jc w:val="center"/>
              <w:rPr>
                <w:rFonts w:cs="宋体"/>
                <w:color w:val="auto"/>
                <w:sz w:val="24"/>
                <w:szCs w:val="24"/>
                <w:highlight w:val="none"/>
              </w:rPr>
            </w:pPr>
          </w:p>
        </w:tc>
        <w:tc>
          <w:tcPr>
            <w:tcW w:w="1281" w:type="pct"/>
            <w:tcBorders>
              <w:top w:val="nil"/>
            </w:tcBorders>
            <w:vAlign w:val="center"/>
          </w:tcPr>
          <w:p w14:paraId="45064D20">
            <w:pPr>
              <w:keepNext/>
              <w:spacing w:line="360" w:lineRule="auto"/>
              <w:jc w:val="center"/>
              <w:rPr>
                <w:rFonts w:cs="宋体"/>
                <w:color w:val="auto"/>
                <w:sz w:val="24"/>
                <w:szCs w:val="24"/>
                <w:highlight w:val="none"/>
              </w:rPr>
            </w:pPr>
          </w:p>
        </w:tc>
        <w:tc>
          <w:tcPr>
            <w:tcW w:w="1151" w:type="pct"/>
            <w:tcBorders>
              <w:top w:val="nil"/>
            </w:tcBorders>
            <w:vAlign w:val="center"/>
          </w:tcPr>
          <w:p w14:paraId="4C1D03CE">
            <w:pPr>
              <w:keepNext/>
              <w:spacing w:line="360" w:lineRule="auto"/>
              <w:jc w:val="center"/>
              <w:rPr>
                <w:rFonts w:cs="宋体"/>
                <w:color w:val="auto"/>
                <w:sz w:val="24"/>
                <w:szCs w:val="24"/>
                <w:highlight w:val="none"/>
              </w:rPr>
            </w:pPr>
          </w:p>
        </w:tc>
      </w:tr>
      <w:tr w14:paraId="637E47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50037386">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79C207AE">
            <w:pPr>
              <w:keepNext/>
              <w:spacing w:line="360" w:lineRule="auto"/>
              <w:jc w:val="center"/>
              <w:rPr>
                <w:rFonts w:cs="宋体"/>
                <w:color w:val="auto"/>
                <w:sz w:val="24"/>
                <w:szCs w:val="24"/>
                <w:highlight w:val="none"/>
              </w:rPr>
            </w:pPr>
          </w:p>
        </w:tc>
        <w:tc>
          <w:tcPr>
            <w:tcW w:w="502" w:type="pct"/>
            <w:vAlign w:val="center"/>
          </w:tcPr>
          <w:p w14:paraId="47A803A7">
            <w:pPr>
              <w:keepNext/>
              <w:spacing w:line="360" w:lineRule="auto"/>
              <w:jc w:val="center"/>
              <w:rPr>
                <w:rFonts w:cs="宋体"/>
                <w:color w:val="auto"/>
                <w:sz w:val="24"/>
                <w:szCs w:val="24"/>
                <w:highlight w:val="none"/>
              </w:rPr>
            </w:pPr>
          </w:p>
        </w:tc>
        <w:tc>
          <w:tcPr>
            <w:tcW w:w="502" w:type="pct"/>
            <w:vAlign w:val="center"/>
          </w:tcPr>
          <w:p w14:paraId="4B26FEDA">
            <w:pPr>
              <w:keepNext/>
              <w:spacing w:line="360" w:lineRule="auto"/>
              <w:jc w:val="center"/>
              <w:rPr>
                <w:rFonts w:cs="宋体"/>
                <w:color w:val="auto"/>
                <w:sz w:val="24"/>
                <w:szCs w:val="24"/>
                <w:highlight w:val="none"/>
              </w:rPr>
            </w:pPr>
          </w:p>
        </w:tc>
        <w:tc>
          <w:tcPr>
            <w:tcW w:w="1281" w:type="pct"/>
            <w:vAlign w:val="center"/>
          </w:tcPr>
          <w:p w14:paraId="6F8347EB">
            <w:pPr>
              <w:keepNext/>
              <w:spacing w:line="360" w:lineRule="auto"/>
              <w:jc w:val="center"/>
              <w:rPr>
                <w:rFonts w:cs="宋体"/>
                <w:color w:val="auto"/>
                <w:sz w:val="24"/>
                <w:szCs w:val="24"/>
                <w:highlight w:val="none"/>
              </w:rPr>
            </w:pPr>
          </w:p>
        </w:tc>
        <w:tc>
          <w:tcPr>
            <w:tcW w:w="1151" w:type="pct"/>
            <w:vAlign w:val="center"/>
          </w:tcPr>
          <w:p w14:paraId="124276D7">
            <w:pPr>
              <w:keepNext/>
              <w:spacing w:line="360" w:lineRule="auto"/>
              <w:jc w:val="center"/>
              <w:rPr>
                <w:rFonts w:cs="宋体"/>
                <w:color w:val="auto"/>
                <w:sz w:val="24"/>
                <w:szCs w:val="24"/>
                <w:highlight w:val="none"/>
              </w:rPr>
            </w:pPr>
          </w:p>
        </w:tc>
      </w:tr>
      <w:tr w14:paraId="7B9833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875FD96">
            <w:pPr>
              <w:spacing w:line="360" w:lineRule="auto"/>
              <w:jc w:val="center"/>
              <w:rPr>
                <w:rFonts w:cs="宋体"/>
                <w:color w:val="auto"/>
                <w:sz w:val="24"/>
                <w:szCs w:val="24"/>
                <w:highlight w:val="none"/>
              </w:rPr>
            </w:pPr>
          </w:p>
        </w:tc>
        <w:tc>
          <w:tcPr>
            <w:tcW w:w="627" w:type="pct"/>
            <w:vAlign w:val="center"/>
          </w:tcPr>
          <w:p w14:paraId="4B20ECEF">
            <w:pPr>
              <w:keepNext/>
              <w:spacing w:line="360" w:lineRule="auto"/>
              <w:jc w:val="center"/>
              <w:rPr>
                <w:rFonts w:cs="宋体"/>
                <w:color w:val="auto"/>
                <w:sz w:val="24"/>
                <w:szCs w:val="24"/>
                <w:highlight w:val="none"/>
              </w:rPr>
            </w:pPr>
          </w:p>
        </w:tc>
        <w:tc>
          <w:tcPr>
            <w:tcW w:w="502" w:type="pct"/>
            <w:vAlign w:val="center"/>
          </w:tcPr>
          <w:p w14:paraId="6CDBB6BD">
            <w:pPr>
              <w:keepNext/>
              <w:spacing w:line="360" w:lineRule="auto"/>
              <w:jc w:val="center"/>
              <w:rPr>
                <w:rFonts w:cs="宋体"/>
                <w:color w:val="auto"/>
                <w:sz w:val="24"/>
                <w:szCs w:val="24"/>
                <w:highlight w:val="none"/>
              </w:rPr>
            </w:pPr>
          </w:p>
        </w:tc>
        <w:tc>
          <w:tcPr>
            <w:tcW w:w="502" w:type="pct"/>
            <w:vAlign w:val="center"/>
          </w:tcPr>
          <w:p w14:paraId="5D740F87">
            <w:pPr>
              <w:keepNext/>
              <w:spacing w:line="360" w:lineRule="auto"/>
              <w:jc w:val="center"/>
              <w:rPr>
                <w:rFonts w:cs="宋体"/>
                <w:color w:val="auto"/>
                <w:sz w:val="24"/>
                <w:szCs w:val="24"/>
                <w:highlight w:val="none"/>
              </w:rPr>
            </w:pPr>
          </w:p>
        </w:tc>
        <w:tc>
          <w:tcPr>
            <w:tcW w:w="1281" w:type="pct"/>
            <w:vAlign w:val="center"/>
          </w:tcPr>
          <w:p w14:paraId="1669507E">
            <w:pPr>
              <w:keepNext/>
              <w:spacing w:line="360" w:lineRule="auto"/>
              <w:jc w:val="center"/>
              <w:rPr>
                <w:rFonts w:cs="宋体"/>
                <w:color w:val="auto"/>
                <w:sz w:val="24"/>
                <w:szCs w:val="24"/>
                <w:highlight w:val="none"/>
              </w:rPr>
            </w:pPr>
          </w:p>
        </w:tc>
        <w:tc>
          <w:tcPr>
            <w:tcW w:w="1151" w:type="pct"/>
            <w:vAlign w:val="center"/>
          </w:tcPr>
          <w:p w14:paraId="3F864DF8">
            <w:pPr>
              <w:keepNext/>
              <w:spacing w:line="360" w:lineRule="auto"/>
              <w:jc w:val="center"/>
              <w:rPr>
                <w:rFonts w:cs="宋体"/>
                <w:color w:val="auto"/>
                <w:sz w:val="24"/>
                <w:szCs w:val="24"/>
                <w:highlight w:val="none"/>
              </w:rPr>
            </w:pPr>
          </w:p>
        </w:tc>
      </w:tr>
      <w:tr w14:paraId="15A2C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79FD5669">
            <w:pPr>
              <w:spacing w:line="360" w:lineRule="auto"/>
              <w:jc w:val="center"/>
              <w:rPr>
                <w:rFonts w:cs="宋体"/>
                <w:color w:val="auto"/>
                <w:sz w:val="24"/>
                <w:szCs w:val="24"/>
                <w:highlight w:val="none"/>
              </w:rPr>
            </w:pPr>
          </w:p>
        </w:tc>
        <w:tc>
          <w:tcPr>
            <w:tcW w:w="627" w:type="pct"/>
            <w:vAlign w:val="center"/>
          </w:tcPr>
          <w:p w14:paraId="1DD29C91">
            <w:pPr>
              <w:keepNext/>
              <w:spacing w:line="360" w:lineRule="auto"/>
              <w:jc w:val="center"/>
              <w:rPr>
                <w:rFonts w:cs="宋体"/>
                <w:color w:val="auto"/>
                <w:sz w:val="24"/>
                <w:szCs w:val="24"/>
                <w:highlight w:val="none"/>
              </w:rPr>
            </w:pPr>
          </w:p>
        </w:tc>
        <w:tc>
          <w:tcPr>
            <w:tcW w:w="502" w:type="pct"/>
            <w:vAlign w:val="center"/>
          </w:tcPr>
          <w:p w14:paraId="235249E4">
            <w:pPr>
              <w:keepNext/>
              <w:spacing w:line="360" w:lineRule="auto"/>
              <w:jc w:val="center"/>
              <w:rPr>
                <w:rFonts w:cs="宋体"/>
                <w:color w:val="auto"/>
                <w:sz w:val="24"/>
                <w:szCs w:val="24"/>
                <w:highlight w:val="none"/>
              </w:rPr>
            </w:pPr>
          </w:p>
        </w:tc>
        <w:tc>
          <w:tcPr>
            <w:tcW w:w="502" w:type="pct"/>
            <w:vAlign w:val="center"/>
          </w:tcPr>
          <w:p w14:paraId="7566DE32">
            <w:pPr>
              <w:keepNext/>
              <w:spacing w:line="360" w:lineRule="auto"/>
              <w:jc w:val="center"/>
              <w:rPr>
                <w:rFonts w:cs="宋体"/>
                <w:color w:val="auto"/>
                <w:sz w:val="24"/>
                <w:szCs w:val="24"/>
                <w:highlight w:val="none"/>
              </w:rPr>
            </w:pPr>
          </w:p>
        </w:tc>
        <w:tc>
          <w:tcPr>
            <w:tcW w:w="1281" w:type="pct"/>
            <w:vAlign w:val="center"/>
          </w:tcPr>
          <w:p w14:paraId="718C808F">
            <w:pPr>
              <w:keepNext/>
              <w:spacing w:line="360" w:lineRule="auto"/>
              <w:jc w:val="center"/>
              <w:rPr>
                <w:rFonts w:cs="宋体"/>
                <w:color w:val="auto"/>
                <w:sz w:val="24"/>
                <w:szCs w:val="24"/>
                <w:highlight w:val="none"/>
              </w:rPr>
            </w:pPr>
          </w:p>
        </w:tc>
        <w:tc>
          <w:tcPr>
            <w:tcW w:w="1151" w:type="pct"/>
            <w:vAlign w:val="center"/>
          </w:tcPr>
          <w:p w14:paraId="73E8C037">
            <w:pPr>
              <w:keepNext/>
              <w:spacing w:line="360" w:lineRule="auto"/>
              <w:jc w:val="center"/>
              <w:rPr>
                <w:rFonts w:cs="宋体"/>
                <w:color w:val="auto"/>
                <w:sz w:val="24"/>
                <w:szCs w:val="24"/>
                <w:highlight w:val="none"/>
              </w:rPr>
            </w:pPr>
          </w:p>
        </w:tc>
      </w:tr>
      <w:tr w14:paraId="26ACE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57021AFC">
            <w:pPr>
              <w:keepNext/>
              <w:spacing w:line="360" w:lineRule="auto"/>
              <w:jc w:val="center"/>
              <w:rPr>
                <w:rFonts w:cs="宋体"/>
                <w:color w:val="auto"/>
                <w:sz w:val="24"/>
                <w:szCs w:val="24"/>
                <w:highlight w:val="none"/>
              </w:rPr>
            </w:pPr>
            <w:r>
              <w:rPr>
                <w:rFonts w:hint="eastAsia" w:cs="宋体"/>
                <w:color w:val="auto"/>
                <w:sz w:val="24"/>
                <w:szCs w:val="24"/>
                <w:highlight w:val="none"/>
              </w:rPr>
              <w:t>二、现场人员</w:t>
            </w:r>
          </w:p>
        </w:tc>
        <w:tc>
          <w:tcPr>
            <w:tcW w:w="1151" w:type="pct"/>
            <w:vAlign w:val="center"/>
          </w:tcPr>
          <w:p w14:paraId="7F8C2A76">
            <w:pPr>
              <w:keepNext/>
              <w:spacing w:line="360" w:lineRule="auto"/>
              <w:jc w:val="center"/>
              <w:rPr>
                <w:rFonts w:cs="宋体"/>
                <w:color w:val="auto"/>
                <w:sz w:val="24"/>
                <w:szCs w:val="24"/>
                <w:highlight w:val="none"/>
              </w:rPr>
            </w:pPr>
          </w:p>
        </w:tc>
      </w:tr>
      <w:tr w14:paraId="4B1CD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A0B442C">
            <w:pPr>
              <w:spacing w:line="360" w:lineRule="auto"/>
              <w:jc w:val="center"/>
              <w:rPr>
                <w:rFonts w:cs="宋体"/>
                <w:color w:val="auto"/>
                <w:sz w:val="24"/>
                <w:szCs w:val="24"/>
                <w:highlight w:val="none"/>
              </w:rPr>
            </w:pPr>
            <w:r>
              <w:rPr>
                <w:rFonts w:hint="eastAsia" w:cs="宋体"/>
                <w:color w:val="auto"/>
                <w:sz w:val="24"/>
                <w:szCs w:val="24"/>
                <w:highlight w:val="none"/>
              </w:rPr>
              <w:t>项目经理</w:t>
            </w:r>
          </w:p>
        </w:tc>
        <w:tc>
          <w:tcPr>
            <w:tcW w:w="627" w:type="pct"/>
            <w:vAlign w:val="center"/>
          </w:tcPr>
          <w:p w14:paraId="2B5172CC">
            <w:pPr>
              <w:keepNext/>
              <w:spacing w:line="360" w:lineRule="auto"/>
              <w:jc w:val="center"/>
              <w:rPr>
                <w:rFonts w:cs="宋体"/>
                <w:color w:val="auto"/>
                <w:sz w:val="24"/>
                <w:szCs w:val="24"/>
                <w:highlight w:val="none"/>
              </w:rPr>
            </w:pPr>
          </w:p>
        </w:tc>
        <w:tc>
          <w:tcPr>
            <w:tcW w:w="502" w:type="pct"/>
            <w:vAlign w:val="center"/>
          </w:tcPr>
          <w:p w14:paraId="1166D161">
            <w:pPr>
              <w:keepNext/>
              <w:spacing w:line="360" w:lineRule="auto"/>
              <w:jc w:val="center"/>
              <w:rPr>
                <w:rFonts w:cs="宋体"/>
                <w:color w:val="auto"/>
                <w:sz w:val="24"/>
                <w:szCs w:val="24"/>
                <w:highlight w:val="none"/>
              </w:rPr>
            </w:pPr>
          </w:p>
        </w:tc>
        <w:tc>
          <w:tcPr>
            <w:tcW w:w="502" w:type="pct"/>
            <w:vAlign w:val="center"/>
          </w:tcPr>
          <w:p w14:paraId="0647C8C7">
            <w:pPr>
              <w:keepNext/>
              <w:spacing w:line="360" w:lineRule="auto"/>
              <w:jc w:val="center"/>
              <w:rPr>
                <w:rFonts w:cs="宋体"/>
                <w:color w:val="auto"/>
                <w:sz w:val="24"/>
                <w:szCs w:val="24"/>
                <w:highlight w:val="none"/>
              </w:rPr>
            </w:pPr>
          </w:p>
        </w:tc>
        <w:tc>
          <w:tcPr>
            <w:tcW w:w="1281" w:type="pct"/>
            <w:vAlign w:val="center"/>
          </w:tcPr>
          <w:p w14:paraId="7A48B403">
            <w:pPr>
              <w:keepNext/>
              <w:spacing w:line="360" w:lineRule="auto"/>
              <w:jc w:val="center"/>
              <w:rPr>
                <w:rFonts w:cs="宋体"/>
                <w:color w:val="auto"/>
                <w:sz w:val="24"/>
                <w:szCs w:val="24"/>
                <w:highlight w:val="none"/>
              </w:rPr>
            </w:pPr>
          </w:p>
        </w:tc>
        <w:tc>
          <w:tcPr>
            <w:tcW w:w="1151" w:type="pct"/>
            <w:vAlign w:val="center"/>
          </w:tcPr>
          <w:p w14:paraId="4107FA4A">
            <w:pPr>
              <w:keepNext/>
              <w:spacing w:line="360" w:lineRule="auto"/>
              <w:jc w:val="center"/>
              <w:rPr>
                <w:rFonts w:cs="宋体"/>
                <w:color w:val="auto"/>
                <w:sz w:val="24"/>
                <w:szCs w:val="24"/>
                <w:highlight w:val="none"/>
              </w:rPr>
            </w:pPr>
          </w:p>
        </w:tc>
      </w:tr>
      <w:tr w14:paraId="475AA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936D91C">
            <w:pPr>
              <w:spacing w:line="360" w:lineRule="auto"/>
              <w:jc w:val="center"/>
              <w:rPr>
                <w:rFonts w:cs="宋体"/>
                <w:color w:val="auto"/>
                <w:sz w:val="24"/>
                <w:szCs w:val="24"/>
                <w:highlight w:val="none"/>
              </w:rPr>
            </w:pPr>
            <w:r>
              <w:rPr>
                <w:rFonts w:hint="eastAsia" w:cs="宋体"/>
                <w:color w:val="auto"/>
                <w:sz w:val="24"/>
                <w:szCs w:val="24"/>
                <w:highlight w:val="none"/>
              </w:rPr>
              <w:t>项目副经理</w:t>
            </w:r>
          </w:p>
        </w:tc>
        <w:tc>
          <w:tcPr>
            <w:tcW w:w="627" w:type="pct"/>
            <w:vAlign w:val="center"/>
          </w:tcPr>
          <w:p w14:paraId="4ECB5BE5">
            <w:pPr>
              <w:keepNext/>
              <w:spacing w:line="360" w:lineRule="auto"/>
              <w:jc w:val="center"/>
              <w:rPr>
                <w:rFonts w:cs="宋体"/>
                <w:color w:val="auto"/>
                <w:sz w:val="24"/>
                <w:szCs w:val="24"/>
                <w:highlight w:val="none"/>
              </w:rPr>
            </w:pPr>
          </w:p>
        </w:tc>
        <w:tc>
          <w:tcPr>
            <w:tcW w:w="502" w:type="pct"/>
            <w:vAlign w:val="center"/>
          </w:tcPr>
          <w:p w14:paraId="55302DEC">
            <w:pPr>
              <w:keepNext/>
              <w:spacing w:line="360" w:lineRule="auto"/>
              <w:jc w:val="center"/>
              <w:rPr>
                <w:rFonts w:cs="宋体"/>
                <w:color w:val="auto"/>
                <w:sz w:val="24"/>
                <w:szCs w:val="24"/>
                <w:highlight w:val="none"/>
              </w:rPr>
            </w:pPr>
          </w:p>
        </w:tc>
        <w:tc>
          <w:tcPr>
            <w:tcW w:w="502" w:type="pct"/>
            <w:vAlign w:val="center"/>
          </w:tcPr>
          <w:p w14:paraId="2F903FC2">
            <w:pPr>
              <w:keepNext/>
              <w:spacing w:line="360" w:lineRule="auto"/>
              <w:jc w:val="center"/>
              <w:rPr>
                <w:rFonts w:cs="宋体"/>
                <w:color w:val="auto"/>
                <w:sz w:val="24"/>
                <w:szCs w:val="24"/>
                <w:highlight w:val="none"/>
              </w:rPr>
            </w:pPr>
          </w:p>
        </w:tc>
        <w:tc>
          <w:tcPr>
            <w:tcW w:w="1281" w:type="pct"/>
            <w:vAlign w:val="center"/>
          </w:tcPr>
          <w:p w14:paraId="69E92698">
            <w:pPr>
              <w:keepNext/>
              <w:spacing w:line="360" w:lineRule="auto"/>
              <w:jc w:val="center"/>
              <w:rPr>
                <w:rFonts w:cs="宋体"/>
                <w:color w:val="auto"/>
                <w:sz w:val="24"/>
                <w:szCs w:val="24"/>
                <w:highlight w:val="none"/>
              </w:rPr>
            </w:pPr>
          </w:p>
        </w:tc>
        <w:tc>
          <w:tcPr>
            <w:tcW w:w="1151" w:type="pct"/>
            <w:vAlign w:val="center"/>
          </w:tcPr>
          <w:p w14:paraId="3C033598">
            <w:pPr>
              <w:keepNext/>
              <w:spacing w:line="360" w:lineRule="auto"/>
              <w:jc w:val="center"/>
              <w:rPr>
                <w:rFonts w:cs="宋体"/>
                <w:color w:val="auto"/>
                <w:sz w:val="24"/>
                <w:szCs w:val="24"/>
                <w:highlight w:val="none"/>
              </w:rPr>
            </w:pPr>
          </w:p>
        </w:tc>
      </w:tr>
      <w:tr w14:paraId="39C53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47B6E58">
            <w:pPr>
              <w:spacing w:line="360" w:lineRule="auto"/>
              <w:jc w:val="center"/>
              <w:rPr>
                <w:rFonts w:cs="宋体"/>
                <w:color w:val="auto"/>
                <w:sz w:val="24"/>
                <w:szCs w:val="24"/>
                <w:highlight w:val="none"/>
              </w:rPr>
            </w:pPr>
            <w:r>
              <w:rPr>
                <w:rFonts w:hint="eastAsia" w:cs="宋体"/>
                <w:color w:val="auto"/>
                <w:sz w:val="24"/>
                <w:szCs w:val="24"/>
                <w:highlight w:val="none"/>
              </w:rPr>
              <w:t>项目技术负责人</w:t>
            </w:r>
          </w:p>
        </w:tc>
        <w:tc>
          <w:tcPr>
            <w:tcW w:w="627" w:type="pct"/>
            <w:vAlign w:val="center"/>
          </w:tcPr>
          <w:p w14:paraId="40736EA2">
            <w:pPr>
              <w:keepNext/>
              <w:spacing w:line="360" w:lineRule="auto"/>
              <w:jc w:val="center"/>
              <w:rPr>
                <w:rFonts w:cs="宋体"/>
                <w:color w:val="auto"/>
                <w:sz w:val="24"/>
                <w:szCs w:val="24"/>
                <w:highlight w:val="none"/>
              </w:rPr>
            </w:pPr>
          </w:p>
        </w:tc>
        <w:tc>
          <w:tcPr>
            <w:tcW w:w="502" w:type="pct"/>
            <w:vAlign w:val="center"/>
          </w:tcPr>
          <w:p w14:paraId="114BD945">
            <w:pPr>
              <w:keepNext/>
              <w:spacing w:line="360" w:lineRule="auto"/>
              <w:jc w:val="center"/>
              <w:rPr>
                <w:rFonts w:cs="宋体"/>
                <w:color w:val="auto"/>
                <w:sz w:val="24"/>
                <w:szCs w:val="24"/>
                <w:highlight w:val="none"/>
              </w:rPr>
            </w:pPr>
          </w:p>
        </w:tc>
        <w:tc>
          <w:tcPr>
            <w:tcW w:w="502" w:type="pct"/>
            <w:vAlign w:val="center"/>
          </w:tcPr>
          <w:p w14:paraId="23D9B2DE">
            <w:pPr>
              <w:keepNext/>
              <w:spacing w:line="360" w:lineRule="auto"/>
              <w:jc w:val="center"/>
              <w:rPr>
                <w:rFonts w:cs="宋体"/>
                <w:color w:val="auto"/>
                <w:sz w:val="24"/>
                <w:szCs w:val="24"/>
                <w:highlight w:val="none"/>
              </w:rPr>
            </w:pPr>
          </w:p>
        </w:tc>
        <w:tc>
          <w:tcPr>
            <w:tcW w:w="1281" w:type="pct"/>
            <w:vAlign w:val="center"/>
          </w:tcPr>
          <w:p w14:paraId="3C4D4EBD">
            <w:pPr>
              <w:keepNext/>
              <w:spacing w:line="360" w:lineRule="auto"/>
              <w:jc w:val="center"/>
              <w:rPr>
                <w:rFonts w:cs="宋体"/>
                <w:color w:val="auto"/>
                <w:sz w:val="24"/>
                <w:szCs w:val="24"/>
                <w:highlight w:val="none"/>
              </w:rPr>
            </w:pPr>
          </w:p>
        </w:tc>
        <w:tc>
          <w:tcPr>
            <w:tcW w:w="1151" w:type="pct"/>
            <w:vAlign w:val="center"/>
          </w:tcPr>
          <w:p w14:paraId="52905892">
            <w:pPr>
              <w:keepNext/>
              <w:spacing w:line="360" w:lineRule="auto"/>
              <w:jc w:val="center"/>
              <w:rPr>
                <w:rFonts w:cs="宋体"/>
                <w:color w:val="auto"/>
                <w:sz w:val="24"/>
                <w:szCs w:val="24"/>
                <w:highlight w:val="none"/>
              </w:rPr>
            </w:pPr>
          </w:p>
        </w:tc>
      </w:tr>
      <w:tr w14:paraId="79ADD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F5CF4B1">
            <w:pPr>
              <w:spacing w:line="360" w:lineRule="auto"/>
              <w:jc w:val="center"/>
              <w:rPr>
                <w:rFonts w:cs="宋体"/>
                <w:color w:val="auto"/>
                <w:sz w:val="24"/>
                <w:szCs w:val="24"/>
                <w:highlight w:val="none"/>
              </w:rPr>
            </w:pPr>
            <w:r>
              <w:rPr>
                <w:rFonts w:hint="eastAsia" w:cs="宋体"/>
                <w:color w:val="auto"/>
                <w:sz w:val="24"/>
                <w:szCs w:val="24"/>
                <w:highlight w:val="none"/>
              </w:rPr>
              <w:t>施工员</w:t>
            </w:r>
          </w:p>
        </w:tc>
        <w:tc>
          <w:tcPr>
            <w:tcW w:w="627" w:type="pct"/>
            <w:vAlign w:val="center"/>
          </w:tcPr>
          <w:p w14:paraId="4DE82EB0">
            <w:pPr>
              <w:keepNext/>
              <w:spacing w:line="360" w:lineRule="auto"/>
              <w:jc w:val="center"/>
              <w:rPr>
                <w:rFonts w:cs="宋体"/>
                <w:color w:val="auto"/>
                <w:sz w:val="24"/>
                <w:szCs w:val="24"/>
                <w:highlight w:val="none"/>
              </w:rPr>
            </w:pPr>
          </w:p>
        </w:tc>
        <w:tc>
          <w:tcPr>
            <w:tcW w:w="502" w:type="pct"/>
            <w:vAlign w:val="center"/>
          </w:tcPr>
          <w:p w14:paraId="27C44659">
            <w:pPr>
              <w:keepNext/>
              <w:spacing w:line="360" w:lineRule="auto"/>
              <w:jc w:val="center"/>
              <w:rPr>
                <w:rFonts w:cs="宋体"/>
                <w:color w:val="auto"/>
                <w:sz w:val="24"/>
                <w:szCs w:val="24"/>
                <w:highlight w:val="none"/>
              </w:rPr>
            </w:pPr>
          </w:p>
        </w:tc>
        <w:tc>
          <w:tcPr>
            <w:tcW w:w="502" w:type="pct"/>
            <w:vAlign w:val="center"/>
          </w:tcPr>
          <w:p w14:paraId="55D87EE3">
            <w:pPr>
              <w:keepNext/>
              <w:spacing w:line="360" w:lineRule="auto"/>
              <w:jc w:val="center"/>
              <w:rPr>
                <w:rFonts w:cs="宋体"/>
                <w:color w:val="auto"/>
                <w:sz w:val="24"/>
                <w:szCs w:val="24"/>
                <w:highlight w:val="none"/>
              </w:rPr>
            </w:pPr>
          </w:p>
        </w:tc>
        <w:tc>
          <w:tcPr>
            <w:tcW w:w="1281" w:type="pct"/>
            <w:vAlign w:val="center"/>
          </w:tcPr>
          <w:p w14:paraId="315C52E0">
            <w:pPr>
              <w:keepNext/>
              <w:spacing w:line="360" w:lineRule="auto"/>
              <w:jc w:val="center"/>
              <w:rPr>
                <w:rFonts w:cs="宋体"/>
                <w:color w:val="auto"/>
                <w:sz w:val="24"/>
                <w:szCs w:val="24"/>
                <w:highlight w:val="none"/>
              </w:rPr>
            </w:pPr>
          </w:p>
        </w:tc>
        <w:tc>
          <w:tcPr>
            <w:tcW w:w="1151" w:type="pct"/>
            <w:vAlign w:val="center"/>
          </w:tcPr>
          <w:p w14:paraId="0E04A34A">
            <w:pPr>
              <w:keepNext/>
              <w:spacing w:line="360" w:lineRule="auto"/>
              <w:jc w:val="center"/>
              <w:rPr>
                <w:rFonts w:cs="宋体"/>
                <w:color w:val="auto"/>
                <w:sz w:val="24"/>
                <w:szCs w:val="24"/>
                <w:highlight w:val="none"/>
              </w:rPr>
            </w:pPr>
          </w:p>
        </w:tc>
      </w:tr>
      <w:tr w14:paraId="511A1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7386518">
            <w:pPr>
              <w:spacing w:line="360" w:lineRule="auto"/>
              <w:jc w:val="center"/>
              <w:rPr>
                <w:rFonts w:cs="宋体"/>
                <w:color w:val="auto"/>
                <w:sz w:val="24"/>
                <w:szCs w:val="24"/>
                <w:highlight w:val="none"/>
              </w:rPr>
            </w:pPr>
            <w:r>
              <w:rPr>
                <w:rFonts w:hint="eastAsia" w:cs="宋体"/>
                <w:color w:val="auto"/>
                <w:sz w:val="24"/>
                <w:szCs w:val="24"/>
                <w:highlight w:val="none"/>
              </w:rPr>
              <w:t>质检员（质量员）</w:t>
            </w:r>
          </w:p>
        </w:tc>
        <w:tc>
          <w:tcPr>
            <w:tcW w:w="627" w:type="pct"/>
            <w:vAlign w:val="center"/>
          </w:tcPr>
          <w:p w14:paraId="4CE7623A">
            <w:pPr>
              <w:keepNext/>
              <w:spacing w:line="360" w:lineRule="auto"/>
              <w:jc w:val="center"/>
              <w:rPr>
                <w:rFonts w:cs="宋体"/>
                <w:color w:val="auto"/>
                <w:sz w:val="24"/>
                <w:szCs w:val="24"/>
                <w:highlight w:val="none"/>
              </w:rPr>
            </w:pPr>
          </w:p>
        </w:tc>
        <w:tc>
          <w:tcPr>
            <w:tcW w:w="502" w:type="pct"/>
            <w:vAlign w:val="center"/>
          </w:tcPr>
          <w:p w14:paraId="1975371B">
            <w:pPr>
              <w:keepNext/>
              <w:spacing w:line="360" w:lineRule="auto"/>
              <w:jc w:val="center"/>
              <w:rPr>
                <w:rFonts w:cs="宋体"/>
                <w:color w:val="auto"/>
                <w:sz w:val="24"/>
                <w:szCs w:val="24"/>
                <w:highlight w:val="none"/>
              </w:rPr>
            </w:pPr>
          </w:p>
        </w:tc>
        <w:tc>
          <w:tcPr>
            <w:tcW w:w="502" w:type="pct"/>
            <w:vAlign w:val="center"/>
          </w:tcPr>
          <w:p w14:paraId="3CFF888C">
            <w:pPr>
              <w:keepNext/>
              <w:spacing w:line="360" w:lineRule="auto"/>
              <w:jc w:val="center"/>
              <w:rPr>
                <w:rFonts w:cs="宋体"/>
                <w:color w:val="auto"/>
                <w:sz w:val="24"/>
                <w:szCs w:val="24"/>
                <w:highlight w:val="none"/>
              </w:rPr>
            </w:pPr>
          </w:p>
        </w:tc>
        <w:tc>
          <w:tcPr>
            <w:tcW w:w="1281" w:type="pct"/>
            <w:vAlign w:val="center"/>
          </w:tcPr>
          <w:p w14:paraId="5D1E50CF">
            <w:pPr>
              <w:keepNext/>
              <w:spacing w:line="360" w:lineRule="auto"/>
              <w:jc w:val="center"/>
              <w:rPr>
                <w:rFonts w:cs="宋体"/>
                <w:color w:val="auto"/>
                <w:sz w:val="24"/>
                <w:szCs w:val="24"/>
                <w:highlight w:val="none"/>
              </w:rPr>
            </w:pPr>
          </w:p>
        </w:tc>
        <w:tc>
          <w:tcPr>
            <w:tcW w:w="1151" w:type="pct"/>
            <w:vAlign w:val="center"/>
          </w:tcPr>
          <w:p w14:paraId="6D001D35">
            <w:pPr>
              <w:keepNext/>
              <w:spacing w:line="360" w:lineRule="auto"/>
              <w:jc w:val="center"/>
              <w:rPr>
                <w:rFonts w:cs="宋体"/>
                <w:color w:val="auto"/>
                <w:sz w:val="24"/>
                <w:szCs w:val="24"/>
                <w:highlight w:val="none"/>
              </w:rPr>
            </w:pPr>
          </w:p>
        </w:tc>
      </w:tr>
      <w:tr w14:paraId="42515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70B88F6">
            <w:pPr>
              <w:spacing w:line="360" w:lineRule="auto"/>
              <w:jc w:val="center"/>
              <w:rPr>
                <w:rFonts w:cs="宋体"/>
                <w:color w:val="auto"/>
                <w:sz w:val="24"/>
                <w:szCs w:val="24"/>
                <w:highlight w:val="none"/>
              </w:rPr>
            </w:pPr>
            <w:r>
              <w:rPr>
                <w:rFonts w:hint="eastAsia" w:cs="宋体"/>
                <w:color w:val="auto"/>
                <w:sz w:val="24"/>
                <w:szCs w:val="24"/>
                <w:highlight w:val="none"/>
              </w:rPr>
              <w:t>安全员</w:t>
            </w:r>
          </w:p>
        </w:tc>
        <w:tc>
          <w:tcPr>
            <w:tcW w:w="627" w:type="pct"/>
            <w:vAlign w:val="center"/>
          </w:tcPr>
          <w:p w14:paraId="2F00C3B5">
            <w:pPr>
              <w:keepNext/>
              <w:spacing w:line="360" w:lineRule="auto"/>
              <w:jc w:val="center"/>
              <w:rPr>
                <w:rFonts w:cs="宋体"/>
                <w:color w:val="auto"/>
                <w:sz w:val="24"/>
                <w:szCs w:val="24"/>
                <w:highlight w:val="none"/>
              </w:rPr>
            </w:pPr>
          </w:p>
        </w:tc>
        <w:tc>
          <w:tcPr>
            <w:tcW w:w="502" w:type="pct"/>
            <w:vAlign w:val="center"/>
          </w:tcPr>
          <w:p w14:paraId="38D7DE12">
            <w:pPr>
              <w:keepNext/>
              <w:spacing w:line="360" w:lineRule="auto"/>
              <w:jc w:val="center"/>
              <w:rPr>
                <w:rFonts w:cs="宋体"/>
                <w:color w:val="auto"/>
                <w:sz w:val="24"/>
                <w:szCs w:val="24"/>
                <w:highlight w:val="none"/>
              </w:rPr>
            </w:pPr>
          </w:p>
        </w:tc>
        <w:tc>
          <w:tcPr>
            <w:tcW w:w="502" w:type="pct"/>
            <w:vAlign w:val="center"/>
          </w:tcPr>
          <w:p w14:paraId="7A541D90">
            <w:pPr>
              <w:keepNext/>
              <w:spacing w:line="360" w:lineRule="auto"/>
              <w:jc w:val="center"/>
              <w:rPr>
                <w:rFonts w:cs="宋体"/>
                <w:color w:val="auto"/>
                <w:sz w:val="24"/>
                <w:szCs w:val="24"/>
                <w:highlight w:val="none"/>
              </w:rPr>
            </w:pPr>
          </w:p>
        </w:tc>
        <w:tc>
          <w:tcPr>
            <w:tcW w:w="1281" w:type="pct"/>
            <w:vAlign w:val="center"/>
          </w:tcPr>
          <w:p w14:paraId="108730CA">
            <w:pPr>
              <w:keepNext/>
              <w:spacing w:line="360" w:lineRule="auto"/>
              <w:jc w:val="center"/>
              <w:rPr>
                <w:rFonts w:cs="宋体"/>
                <w:color w:val="auto"/>
                <w:sz w:val="24"/>
                <w:szCs w:val="24"/>
                <w:highlight w:val="none"/>
              </w:rPr>
            </w:pPr>
          </w:p>
        </w:tc>
        <w:tc>
          <w:tcPr>
            <w:tcW w:w="1151" w:type="pct"/>
            <w:vAlign w:val="center"/>
          </w:tcPr>
          <w:p w14:paraId="5124D18E">
            <w:pPr>
              <w:keepNext/>
              <w:spacing w:line="360" w:lineRule="auto"/>
              <w:jc w:val="center"/>
              <w:rPr>
                <w:rFonts w:cs="宋体"/>
                <w:color w:val="auto"/>
                <w:sz w:val="24"/>
                <w:szCs w:val="24"/>
                <w:highlight w:val="none"/>
              </w:rPr>
            </w:pPr>
          </w:p>
        </w:tc>
      </w:tr>
      <w:tr w14:paraId="453A31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18A281D">
            <w:pPr>
              <w:spacing w:line="360" w:lineRule="auto"/>
              <w:jc w:val="center"/>
              <w:rPr>
                <w:rFonts w:cs="宋体"/>
                <w:color w:val="auto"/>
                <w:sz w:val="24"/>
                <w:szCs w:val="24"/>
                <w:highlight w:val="none"/>
              </w:rPr>
            </w:pPr>
            <w:r>
              <w:rPr>
                <w:rFonts w:hint="eastAsia" w:cs="宋体"/>
                <w:color w:val="auto"/>
                <w:sz w:val="24"/>
                <w:szCs w:val="24"/>
                <w:highlight w:val="none"/>
              </w:rPr>
              <w:t>资料员</w:t>
            </w:r>
          </w:p>
        </w:tc>
        <w:tc>
          <w:tcPr>
            <w:tcW w:w="627" w:type="pct"/>
            <w:vAlign w:val="center"/>
          </w:tcPr>
          <w:p w14:paraId="22AE46C8">
            <w:pPr>
              <w:keepNext/>
              <w:spacing w:line="360" w:lineRule="auto"/>
              <w:jc w:val="center"/>
              <w:rPr>
                <w:rFonts w:cs="宋体"/>
                <w:color w:val="auto"/>
                <w:sz w:val="24"/>
                <w:szCs w:val="24"/>
                <w:highlight w:val="none"/>
              </w:rPr>
            </w:pPr>
          </w:p>
        </w:tc>
        <w:tc>
          <w:tcPr>
            <w:tcW w:w="502" w:type="pct"/>
            <w:vAlign w:val="center"/>
          </w:tcPr>
          <w:p w14:paraId="49363098">
            <w:pPr>
              <w:keepNext/>
              <w:spacing w:line="360" w:lineRule="auto"/>
              <w:jc w:val="center"/>
              <w:rPr>
                <w:rFonts w:cs="宋体"/>
                <w:color w:val="auto"/>
                <w:sz w:val="24"/>
                <w:szCs w:val="24"/>
                <w:highlight w:val="none"/>
              </w:rPr>
            </w:pPr>
          </w:p>
        </w:tc>
        <w:tc>
          <w:tcPr>
            <w:tcW w:w="502" w:type="pct"/>
            <w:vAlign w:val="center"/>
          </w:tcPr>
          <w:p w14:paraId="246B779E">
            <w:pPr>
              <w:keepNext/>
              <w:spacing w:line="360" w:lineRule="auto"/>
              <w:jc w:val="center"/>
              <w:rPr>
                <w:rFonts w:cs="宋体"/>
                <w:color w:val="auto"/>
                <w:sz w:val="24"/>
                <w:szCs w:val="24"/>
                <w:highlight w:val="none"/>
              </w:rPr>
            </w:pPr>
          </w:p>
        </w:tc>
        <w:tc>
          <w:tcPr>
            <w:tcW w:w="1281" w:type="pct"/>
            <w:vAlign w:val="center"/>
          </w:tcPr>
          <w:p w14:paraId="324C78C3">
            <w:pPr>
              <w:keepNext/>
              <w:spacing w:line="360" w:lineRule="auto"/>
              <w:jc w:val="center"/>
              <w:rPr>
                <w:rFonts w:cs="宋体"/>
                <w:color w:val="auto"/>
                <w:sz w:val="24"/>
                <w:szCs w:val="24"/>
                <w:highlight w:val="none"/>
              </w:rPr>
            </w:pPr>
          </w:p>
        </w:tc>
        <w:tc>
          <w:tcPr>
            <w:tcW w:w="1151" w:type="pct"/>
            <w:vAlign w:val="center"/>
          </w:tcPr>
          <w:p w14:paraId="295505E4">
            <w:pPr>
              <w:keepNext/>
              <w:spacing w:line="360" w:lineRule="auto"/>
              <w:jc w:val="center"/>
              <w:rPr>
                <w:rFonts w:cs="宋体"/>
                <w:color w:val="auto"/>
                <w:sz w:val="24"/>
                <w:szCs w:val="24"/>
                <w:highlight w:val="none"/>
              </w:rPr>
            </w:pPr>
          </w:p>
        </w:tc>
      </w:tr>
      <w:tr w14:paraId="4195D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7A583811">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13D4F9AB">
            <w:pPr>
              <w:keepNext/>
              <w:spacing w:line="360" w:lineRule="auto"/>
              <w:jc w:val="center"/>
              <w:rPr>
                <w:rFonts w:cs="宋体"/>
                <w:color w:val="auto"/>
                <w:sz w:val="24"/>
                <w:szCs w:val="24"/>
                <w:highlight w:val="none"/>
              </w:rPr>
            </w:pPr>
          </w:p>
        </w:tc>
        <w:tc>
          <w:tcPr>
            <w:tcW w:w="502" w:type="pct"/>
            <w:vAlign w:val="center"/>
          </w:tcPr>
          <w:p w14:paraId="46FACA35">
            <w:pPr>
              <w:keepNext/>
              <w:spacing w:line="360" w:lineRule="auto"/>
              <w:jc w:val="center"/>
              <w:rPr>
                <w:rFonts w:cs="宋体"/>
                <w:color w:val="auto"/>
                <w:sz w:val="24"/>
                <w:szCs w:val="24"/>
                <w:highlight w:val="none"/>
              </w:rPr>
            </w:pPr>
          </w:p>
        </w:tc>
        <w:tc>
          <w:tcPr>
            <w:tcW w:w="502" w:type="pct"/>
            <w:vAlign w:val="center"/>
          </w:tcPr>
          <w:p w14:paraId="54C189CE">
            <w:pPr>
              <w:keepNext/>
              <w:spacing w:line="360" w:lineRule="auto"/>
              <w:jc w:val="center"/>
              <w:rPr>
                <w:rFonts w:cs="宋体"/>
                <w:color w:val="auto"/>
                <w:sz w:val="24"/>
                <w:szCs w:val="24"/>
                <w:highlight w:val="none"/>
              </w:rPr>
            </w:pPr>
          </w:p>
        </w:tc>
        <w:tc>
          <w:tcPr>
            <w:tcW w:w="1281" w:type="pct"/>
            <w:vAlign w:val="center"/>
          </w:tcPr>
          <w:p w14:paraId="3C6DE3DD">
            <w:pPr>
              <w:keepNext/>
              <w:spacing w:line="360" w:lineRule="auto"/>
              <w:jc w:val="center"/>
              <w:rPr>
                <w:rFonts w:cs="宋体"/>
                <w:color w:val="auto"/>
                <w:sz w:val="24"/>
                <w:szCs w:val="24"/>
                <w:highlight w:val="none"/>
              </w:rPr>
            </w:pPr>
          </w:p>
        </w:tc>
        <w:tc>
          <w:tcPr>
            <w:tcW w:w="1151" w:type="pct"/>
            <w:vAlign w:val="center"/>
          </w:tcPr>
          <w:p w14:paraId="51913F14">
            <w:pPr>
              <w:keepNext/>
              <w:spacing w:line="360" w:lineRule="auto"/>
              <w:jc w:val="center"/>
              <w:rPr>
                <w:rFonts w:cs="宋体"/>
                <w:color w:val="auto"/>
                <w:sz w:val="24"/>
                <w:szCs w:val="24"/>
                <w:highlight w:val="none"/>
              </w:rPr>
            </w:pPr>
          </w:p>
        </w:tc>
      </w:tr>
      <w:tr w14:paraId="5C6C7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4D17C36B">
            <w:pPr>
              <w:keepNext/>
              <w:spacing w:line="360" w:lineRule="auto"/>
              <w:jc w:val="center"/>
              <w:rPr>
                <w:rFonts w:cs="宋体"/>
                <w:color w:val="auto"/>
                <w:sz w:val="24"/>
                <w:szCs w:val="24"/>
                <w:highlight w:val="none"/>
              </w:rPr>
            </w:pPr>
          </w:p>
        </w:tc>
        <w:tc>
          <w:tcPr>
            <w:tcW w:w="627" w:type="pct"/>
            <w:tcBorders>
              <w:bottom w:val="nil"/>
            </w:tcBorders>
            <w:vAlign w:val="center"/>
          </w:tcPr>
          <w:p w14:paraId="376847DD">
            <w:pPr>
              <w:keepNext/>
              <w:spacing w:line="360" w:lineRule="auto"/>
              <w:jc w:val="center"/>
              <w:rPr>
                <w:rFonts w:cs="宋体"/>
                <w:color w:val="auto"/>
                <w:sz w:val="24"/>
                <w:szCs w:val="24"/>
                <w:highlight w:val="none"/>
              </w:rPr>
            </w:pPr>
          </w:p>
        </w:tc>
        <w:tc>
          <w:tcPr>
            <w:tcW w:w="502" w:type="pct"/>
            <w:tcBorders>
              <w:bottom w:val="nil"/>
            </w:tcBorders>
            <w:vAlign w:val="center"/>
          </w:tcPr>
          <w:p w14:paraId="7AC8B1F0">
            <w:pPr>
              <w:keepNext/>
              <w:spacing w:line="360" w:lineRule="auto"/>
              <w:jc w:val="center"/>
              <w:rPr>
                <w:rFonts w:cs="宋体"/>
                <w:color w:val="auto"/>
                <w:sz w:val="24"/>
                <w:szCs w:val="24"/>
                <w:highlight w:val="none"/>
              </w:rPr>
            </w:pPr>
          </w:p>
        </w:tc>
        <w:tc>
          <w:tcPr>
            <w:tcW w:w="502" w:type="pct"/>
            <w:tcBorders>
              <w:bottom w:val="nil"/>
            </w:tcBorders>
            <w:vAlign w:val="center"/>
          </w:tcPr>
          <w:p w14:paraId="149516C6">
            <w:pPr>
              <w:keepNext/>
              <w:spacing w:line="360" w:lineRule="auto"/>
              <w:jc w:val="center"/>
              <w:rPr>
                <w:rFonts w:cs="宋体"/>
                <w:color w:val="auto"/>
                <w:sz w:val="24"/>
                <w:szCs w:val="24"/>
                <w:highlight w:val="none"/>
              </w:rPr>
            </w:pPr>
          </w:p>
        </w:tc>
        <w:tc>
          <w:tcPr>
            <w:tcW w:w="1281" w:type="pct"/>
            <w:tcBorders>
              <w:bottom w:val="nil"/>
            </w:tcBorders>
            <w:vAlign w:val="center"/>
          </w:tcPr>
          <w:p w14:paraId="5FE133BD">
            <w:pPr>
              <w:keepNext/>
              <w:spacing w:line="360" w:lineRule="auto"/>
              <w:jc w:val="center"/>
              <w:rPr>
                <w:rFonts w:cs="宋体"/>
                <w:color w:val="auto"/>
                <w:sz w:val="24"/>
                <w:szCs w:val="24"/>
                <w:highlight w:val="none"/>
              </w:rPr>
            </w:pPr>
          </w:p>
        </w:tc>
        <w:tc>
          <w:tcPr>
            <w:tcW w:w="1151" w:type="pct"/>
            <w:tcBorders>
              <w:bottom w:val="nil"/>
            </w:tcBorders>
            <w:vAlign w:val="center"/>
          </w:tcPr>
          <w:p w14:paraId="5E415D79">
            <w:pPr>
              <w:keepNext/>
              <w:spacing w:line="360" w:lineRule="auto"/>
              <w:jc w:val="center"/>
              <w:rPr>
                <w:rFonts w:cs="宋体"/>
                <w:color w:val="auto"/>
                <w:sz w:val="24"/>
                <w:szCs w:val="24"/>
                <w:highlight w:val="none"/>
              </w:rPr>
            </w:pPr>
          </w:p>
        </w:tc>
      </w:tr>
      <w:tr w14:paraId="5A4A2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93881BA">
            <w:pPr>
              <w:keepNext/>
              <w:spacing w:line="360" w:lineRule="auto"/>
              <w:jc w:val="center"/>
              <w:rPr>
                <w:rFonts w:cs="宋体"/>
                <w:color w:val="auto"/>
                <w:sz w:val="24"/>
                <w:szCs w:val="24"/>
                <w:highlight w:val="none"/>
              </w:rPr>
            </w:pPr>
          </w:p>
        </w:tc>
        <w:tc>
          <w:tcPr>
            <w:tcW w:w="627" w:type="pct"/>
            <w:vAlign w:val="center"/>
          </w:tcPr>
          <w:p w14:paraId="0C4E0F3B">
            <w:pPr>
              <w:keepNext/>
              <w:spacing w:line="360" w:lineRule="auto"/>
              <w:jc w:val="center"/>
              <w:rPr>
                <w:rFonts w:cs="宋体"/>
                <w:color w:val="auto"/>
                <w:sz w:val="24"/>
                <w:szCs w:val="24"/>
                <w:highlight w:val="none"/>
              </w:rPr>
            </w:pPr>
          </w:p>
        </w:tc>
        <w:tc>
          <w:tcPr>
            <w:tcW w:w="502" w:type="pct"/>
            <w:vAlign w:val="center"/>
          </w:tcPr>
          <w:p w14:paraId="339257A6">
            <w:pPr>
              <w:keepNext/>
              <w:spacing w:line="360" w:lineRule="auto"/>
              <w:jc w:val="center"/>
              <w:rPr>
                <w:rFonts w:cs="宋体"/>
                <w:color w:val="auto"/>
                <w:sz w:val="24"/>
                <w:szCs w:val="24"/>
                <w:highlight w:val="none"/>
              </w:rPr>
            </w:pPr>
          </w:p>
        </w:tc>
        <w:tc>
          <w:tcPr>
            <w:tcW w:w="502" w:type="pct"/>
            <w:vAlign w:val="center"/>
          </w:tcPr>
          <w:p w14:paraId="03473AA2">
            <w:pPr>
              <w:keepNext/>
              <w:spacing w:line="360" w:lineRule="auto"/>
              <w:jc w:val="center"/>
              <w:rPr>
                <w:rFonts w:cs="宋体"/>
                <w:color w:val="auto"/>
                <w:sz w:val="24"/>
                <w:szCs w:val="24"/>
                <w:highlight w:val="none"/>
              </w:rPr>
            </w:pPr>
          </w:p>
        </w:tc>
        <w:tc>
          <w:tcPr>
            <w:tcW w:w="1281" w:type="pct"/>
            <w:vAlign w:val="center"/>
          </w:tcPr>
          <w:p w14:paraId="1E812737">
            <w:pPr>
              <w:keepNext/>
              <w:spacing w:line="360" w:lineRule="auto"/>
              <w:jc w:val="center"/>
              <w:rPr>
                <w:rFonts w:cs="宋体"/>
                <w:color w:val="auto"/>
                <w:sz w:val="24"/>
                <w:szCs w:val="24"/>
                <w:highlight w:val="none"/>
              </w:rPr>
            </w:pPr>
          </w:p>
        </w:tc>
        <w:tc>
          <w:tcPr>
            <w:tcW w:w="1151" w:type="pct"/>
            <w:vAlign w:val="center"/>
          </w:tcPr>
          <w:p w14:paraId="723A6E28">
            <w:pPr>
              <w:keepNext/>
              <w:spacing w:line="360" w:lineRule="auto"/>
              <w:jc w:val="center"/>
              <w:rPr>
                <w:rFonts w:cs="宋体"/>
                <w:color w:val="auto"/>
                <w:sz w:val="24"/>
                <w:szCs w:val="24"/>
                <w:highlight w:val="none"/>
              </w:rPr>
            </w:pPr>
          </w:p>
        </w:tc>
      </w:tr>
      <w:tr w14:paraId="45491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E7DED7E">
            <w:pPr>
              <w:keepNext/>
              <w:spacing w:line="360" w:lineRule="auto"/>
              <w:jc w:val="center"/>
              <w:rPr>
                <w:rFonts w:cs="宋体"/>
                <w:color w:val="auto"/>
                <w:sz w:val="24"/>
                <w:szCs w:val="24"/>
                <w:highlight w:val="none"/>
              </w:rPr>
            </w:pPr>
          </w:p>
        </w:tc>
        <w:tc>
          <w:tcPr>
            <w:tcW w:w="627" w:type="pct"/>
            <w:vAlign w:val="center"/>
          </w:tcPr>
          <w:p w14:paraId="455AD3BF">
            <w:pPr>
              <w:keepNext/>
              <w:spacing w:line="360" w:lineRule="auto"/>
              <w:jc w:val="center"/>
              <w:rPr>
                <w:rFonts w:cs="宋体"/>
                <w:color w:val="auto"/>
                <w:sz w:val="24"/>
                <w:szCs w:val="24"/>
                <w:highlight w:val="none"/>
              </w:rPr>
            </w:pPr>
          </w:p>
        </w:tc>
        <w:tc>
          <w:tcPr>
            <w:tcW w:w="502" w:type="pct"/>
            <w:vAlign w:val="center"/>
          </w:tcPr>
          <w:p w14:paraId="3DEDB6CC">
            <w:pPr>
              <w:keepNext/>
              <w:spacing w:line="360" w:lineRule="auto"/>
              <w:jc w:val="center"/>
              <w:rPr>
                <w:rFonts w:cs="宋体"/>
                <w:color w:val="auto"/>
                <w:sz w:val="24"/>
                <w:szCs w:val="24"/>
                <w:highlight w:val="none"/>
              </w:rPr>
            </w:pPr>
          </w:p>
        </w:tc>
        <w:tc>
          <w:tcPr>
            <w:tcW w:w="502" w:type="pct"/>
            <w:vAlign w:val="center"/>
          </w:tcPr>
          <w:p w14:paraId="3CED9642">
            <w:pPr>
              <w:keepNext/>
              <w:spacing w:line="360" w:lineRule="auto"/>
              <w:jc w:val="center"/>
              <w:rPr>
                <w:rFonts w:cs="宋体"/>
                <w:color w:val="auto"/>
                <w:sz w:val="24"/>
                <w:szCs w:val="24"/>
                <w:highlight w:val="none"/>
              </w:rPr>
            </w:pPr>
          </w:p>
        </w:tc>
        <w:tc>
          <w:tcPr>
            <w:tcW w:w="1281" w:type="pct"/>
            <w:vAlign w:val="center"/>
          </w:tcPr>
          <w:p w14:paraId="68E72507">
            <w:pPr>
              <w:keepNext/>
              <w:spacing w:line="360" w:lineRule="auto"/>
              <w:jc w:val="center"/>
              <w:rPr>
                <w:rFonts w:cs="宋体"/>
                <w:color w:val="auto"/>
                <w:sz w:val="24"/>
                <w:szCs w:val="24"/>
                <w:highlight w:val="none"/>
              </w:rPr>
            </w:pPr>
          </w:p>
        </w:tc>
        <w:tc>
          <w:tcPr>
            <w:tcW w:w="1151" w:type="pct"/>
            <w:vAlign w:val="center"/>
          </w:tcPr>
          <w:p w14:paraId="1680301E">
            <w:pPr>
              <w:keepNext/>
              <w:spacing w:line="360" w:lineRule="auto"/>
              <w:jc w:val="center"/>
              <w:rPr>
                <w:rFonts w:cs="宋体"/>
                <w:color w:val="auto"/>
                <w:sz w:val="24"/>
                <w:szCs w:val="24"/>
                <w:highlight w:val="none"/>
              </w:rPr>
            </w:pPr>
          </w:p>
        </w:tc>
      </w:tr>
      <w:tr w14:paraId="36518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4889180E">
            <w:pPr>
              <w:keepNext/>
              <w:spacing w:line="360" w:lineRule="auto"/>
              <w:jc w:val="center"/>
              <w:rPr>
                <w:rFonts w:cs="宋体"/>
                <w:color w:val="auto"/>
                <w:sz w:val="24"/>
                <w:szCs w:val="24"/>
                <w:highlight w:val="none"/>
              </w:rPr>
            </w:pPr>
          </w:p>
        </w:tc>
        <w:tc>
          <w:tcPr>
            <w:tcW w:w="627" w:type="pct"/>
            <w:vAlign w:val="center"/>
          </w:tcPr>
          <w:p w14:paraId="6FD83C11">
            <w:pPr>
              <w:keepNext/>
              <w:spacing w:line="360" w:lineRule="auto"/>
              <w:jc w:val="center"/>
              <w:rPr>
                <w:rFonts w:cs="宋体"/>
                <w:color w:val="auto"/>
                <w:sz w:val="24"/>
                <w:szCs w:val="24"/>
                <w:highlight w:val="none"/>
              </w:rPr>
            </w:pPr>
          </w:p>
        </w:tc>
        <w:tc>
          <w:tcPr>
            <w:tcW w:w="502" w:type="pct"/>
            <w:vAlign w:val="center"/>
          </w:tcPr>
          <w:p w14:paraId="1D5FCAB1">
            <w:pPr>
              <w:keepNext/>
              <w:spacing w:line="360" w:lineRule="auto"/>
              <w:jc w:val="center"/>
              <w:rPr>
                <w:rFonts w:cs="宋体"/>
                <w:color w:val="auto"/>
                <w:sz w:val="24"/>
                <w:szCs w:val="24"/>
                <w:highlight w:val="none"/>
              </w:rPr>
            </w:pPr>
          </w:p>
        </w:tc>
        <w:tc>
          <w:tcPr>
            <w:tcW w:w="502" w:type="pct"/>
            <w:vAlign w:val="center"/>
          </w:tcPr>
          <w:p w14:paraId="0D8EA28D">
            <w:pPr>
              <w:keepNext/>
              <w:spacing w:line="360" w:lineRule="auto"/>
              <w:jc w:val="center"/>
              <w:rPr>
                <w:rFonts w:cs="宋体"/>
                <w:color w:val="auto"/>
                <w:sz w:val="24"/>
                <w:szCs w:val="24"/>
                <w:highlight w:val="none"/>
              </w:rPr>
            </w:pPr>
          </w:p>
        </w:tc>
        <w:tc>
          <w:tcPr>
            <w:tcW w:w="1281" w:type="pct"/>
            <w:vAlign w:val="center"/>
          </w:tcPr>
          <w:p w14:paraId="2EF40CF2">
            <w:pPr>
              <w:keepNext/>
              <w:spacing w:line="360" w:lineRule="auto"/>
              <w:jc w:val="center"/>
              <w:rPr>
                <w:rFonts w:cs="宋体"/>
                <w:color w:val="auto"/>
                <w:sz w:val="24"/>
                <w:szCs w:val="24"/>
                <w:highlight w:val="none"/>
              </w:rPr>
            </w:pPr>
          </w:p>
        </w:tc>
        <w:tc>
          <w:tcPr>
            <w:tcW w:w="1151" w:type="pct"/>
            <w:vAlign w:val="center"/>
          </w:tcPr>
          <w:p w14:paraId="2C518742">
            <w:pPr>
              <w:keepNext/>
              <w:spacing w:line="360" w:lineRule="auto"/>
              <w:jc w:val="center"/>
              <w:rPr>
                <w:rFonts w:cs="宋体"/>
                <w:color w:val="auto"/>
                <w:sz w:val="24"/>
                <w:szCs w:val="24"/>
                <w:highlight w:val="none"/>
              </w:rPr>
            </w:pPr>
          </w:p>
        </w:tc>
      </w:tr>
      <w:tr w14:paraId="5F974E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2346935A">
            <w:pPr>
              <w:keepNext/>
              <w:spacing w:line="360" w:lineRule="auto"/>
              <w:jc w:val="center"/>
              <w:rPr>
                <w:rFonts w:cs="宋体"/>
                <w:color w:val="auto"/>
                <w:sz w:val="24"/>
                <w:szCs w:val="24"/>
                <w:highlight w:val="none"/>
              </w:rPr>
            </w:pPr>
          </w:p>
        </w:tc>
        <w:tc>
          <w:tcPr>
            <w:tcW w:w="627" w:type="pct"/>
            <w:tcBorders>
              <w:bottom w:val="single" w:color="auto" w:sz="12" w:space="0"/>
            </w:tcBorders>
            <w:vAlign w:val="center"/>
          </w:tcPr>
          <w:p w14:paraId="4CD28AAD">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6CF28122">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4D5283E8">
            <w:pPr>
              <w:keepNext/>
              <w:spacing w:line="360" w:lineRule="auto"/>
              <w:jc w:val="center"/>
              <w:rPr>
                <w:rFonts w:cs="宋体"/>
                <w:color w:val="auto"/>
                <w:sz w:val="24"/>
                <w:szCs w:val="24"/>
                <w:highlight w:val="none"/>
              </w:rPr>
            </w:pPr>
          </w:p>
        </w:tc>
        <w:tc>
          <w:tcPr>
            <w:tcW w:w="1281" w:type="pct"/>
            <w:tcBorders>
              <w:bottom w:val="single" w:color="auto" w:sz="12" w:space="0"/>
            </w:tcBorders>
            <w:vAlign w:val="center"/>
          </w:tcPr>
          <w:p w14:paraId="01FE2EC0">
            <w:pPr>
              <w:keepNext/>
              <w:spacing w:line="360" w:lineRule="auto"/>
              <w:jc w:val="center"/>
              <w:rPr>
                <w:rFonts w:cs="宋体"/>
                <w:color w:val="auto"/>
                <w:sz w:val="24"/>
                <w:szCs w:val="24"/>
                <w:highlight w:val="none"/>
              </w:rPr>
            </w:pPr>
          </w:p>
        </w:tc>
        <w:tc>
          <w:tcPr>
            <w:tcW w:w="1151" w:type="pct"/>
            <w:tcBorders>
              <w:bottom w:val="single" w:color="auto" w:sz="12" w:space="0"/>
            </w:tcBorders>
            <w:vAlign w:val="center"/>
          </w:tcPr>
          <w:p w14:paraId="067DD3CB">
            <w:pPr>
              <w:keepNext/>
              <w:spacing w:line="360" w:lineRule="auto"/>
              <w:jc w:val="center"/>
              <w:rPr>
                <w:rFonts w:cs="宋体"/>
                <w:color w:val="auto"/>
                <w:sz w:val="24"/>
                <w:szCs w:val="24"/>
                <w:highlight w:val="none"/>
              </w:rPr>
            </w:pPr>
          </w:p>
        </w:tc>
      </w:tr>
    </w:tbl>
    <w:p w14:paraId="4D0A29F1">
      <w:pPr>
        <w:spacing w:before="312" w:beforeLines="100" w:after="312" w:afterLines="100"/>
        <w:outlineLvl w:val="9"/>
        <w:rPr>
          <w:rFonts w:hint="eastAsia" w:ascii="Times New Roman" w:eastAsia="黑体"/>
          <w:color w:val="auto"/>
          <w:sz w:val="24"/>
          <w:szCs w:val="24"/>
          <w:highlight w:val="none"/>
        </w:rPr>
      </w:pPr>
    </w:p>
    <w:p w14:paraId="25F9974E">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2A0793C8">
      <w:pPr>
        <w:spacing w:before="312" w:beforeLines="100" w:after="312" w:afterLines="100"/>
        <w:outlineLvl w:val="2"/>
        <w:rPr>
          <w:rFonts w:hint="eastAsia" w:ascii="Times New Roman" w:eastAsia="黑体"/>
          <w:color w:val="auto"/>
          <w:sz w:val="24"/>
          <w:szCs w:val="24"/>
          <w:highlight w:val="none"/>
          <w:lang w:val="en-US" w:eastAsia="zh-CN"/>
        </w:rPr>
      </w:pPr>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6</w:t>
      </w:r>
      <w:r>
        <w:rPr>
          <w:rFonts w:hint="eastAsia" w:ascii="Times New Roman" w:eastAsia="黑体"/>
          <w:color w:val="auto"/>
          <w:sz w:val="24"/>
          <w:szCs w:val="24"/>
          <w:highlight w:val="none"/>
        </w:rPr>
        <w:t>：履约保证金</w:t>
      </w:r>
      <w:bookmarkEnd w:id="637"/>
      <w:r>
        <w:rPr>
          <w:rFonts w:hint="eastAsia" w:ascii="Times New Roman" w:eastAsia="黑体"/>
          <w:color w:val="auto"/>
          <w:sz w:val="24"/>
          <w:szCs w:val="24"/>
          <w:highlight w:val="none"/>
          <w:lang w:val="en-US" w:eastAsia="zh-CN"/>
        </w:rPr>
        <w:t>格式</w:t>
      </w:r>
    </w:p>
    <w:p w14:paraId="34F98E38">
      <w:pPr>
        <w:spacing w:line="360" w:lineRule="auto"/>
        <w:jc w:val="center"/>
        <w:rPr>
          <w:rFonts w:cs="宋体"/>
          <w:b/>
          <w:bCs/>
          <w:color w:val="auto"/>
          <w:sz w:val="24"/>
          <w:szCs w:val="24"/>
          <w:highlight w:val="none"/>
        </w:rPr>
      </w:pPr>
      <w:r>
        <w:rPr>
          <w:rFonts w:hint="eastAsia" w:cs="宋体"/>
          <w:b/>
          <w:bCs/>
          <w:color w:val="auto"/>
          <w:sz w:val="24"/>
          <w:szCs w:val="24"/>
          <w:highlight w:val="none"/>
        </w:rPr>
        <w:t>履约保函示范文本</w:t>
      </w:r>
    </w:p>
    <w:p w14:paraId="62AA7BED">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2A3564AF">
      <w:pPr>
        <w:spacing w:line="360" w:lineRule="auto"/>
        <w:rPr>
          <w:rFonts w:ascii="Times New Roman"/>
          <w:color w:val="auto"/>
          <w:sz w:val="24"/>
          <w:szCs w:val="24"/>
          <w:highlight w:val="none"/>
        </w:rPr>
      </w:pPr>
    </w:p>
    <w:p w14:paraId="0F8DC39B">
      <w:pPr>
        <w:spacing w:line="360" w:lineRule="auto"/>
        <w:rPr>
          <w:rFonts w:cs="宋体"/>
          <w:color w:val="auto"/>
          <w:sz w:val="24"/>
          <w:szCs w:val="24"/>
          <w:highlight w:val="none"/>
        </w:rPr>
      </w:pPr>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p w14:paraId="27D94BA1">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（以下简称“基础合同”），开立人根据基础合同了解到申请人为基础合同项下之</w:t>
      </w:r>
      <w:r>
        <w:rPr>
          <w:rFonts w:hint="eastAsia" w:cs="宋体"/>
          <w:color w:val="auto"/>
          <w:sz w:val="24"/>
          <w:szCs w:val="24"/>
          <w:highlight w:val="none"/>
          <w:lang w:eastAsia="zh-CN"/>
        </w:rPr>
        <w:t>乙方</w:t>
      </w:r>
      <w:r>
        <w:rPr>
          <w:rFonts w:hint="eastAsia" w:cs="宋体"/>
          <w:color w:val="auto"/>
          <w:sz w:val="24"/>
          <w:szCs w:val="24"/>
          <w:highlight w:val="none"/>
        </w:rPr>
        <w:t>，受益人为基础合同项下之</w:t>
      </w:r>
      <w:r>
        <w:rPr>
          <w:rFonts w:hint="eastAsia" w:cs="宋体"/>
          <w:color w:val="auto"/>
          <w:sz w:val="24"/>
          <w:szCs w:val="24"/>
          <w:highlight w:val="none"/>
          <w:lang w:eastAsia="zh-CN"/>
        </w:rPr>
        <w:t>甲方</w:t>
      </w:r>
      <w:r>
        <w:rPr>
          <w:rFonts w:hint="eastAsia" w:cs="宋体"/>
          <w:color w:val="auto"/>
          <w:sz w:val="24"/>
          <w:szCs w:val="24"/>
          <w:highlight w:val="none"/>
        </w:rPr>
        <w:t xml:space="preserve">，基于申请人的请求，开立人同意就申请人履行与受益人签订的基础合同项下的义务，向受益人提供不可撤销、不可转让的见索即付独立保函（以下简称“本保函”）。 </w:t>
      </w:r>
    </w:p>
    <w:p w14:paraId="13635399">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w:t>
      </w:r>
      <w:r>
        <w:rPr>
          <w:rFonts w:hint="eastAsia" w:cs="宋体"/>
          <w:color w:val="auto"/>
          <w:sz w:val="24"/>
          <w:szCs w:val="24"/>
          <w:highlight w:val="none"/>
          <w:lang w:eastAsia="zh-CN"/>
        </w:rPr>
        <w:t>乙方</w:t>
      </w:r>
      <w:r>
        <w:rPr>
          <w:rFonts w:hint="eastAsia" w:cs="宋体"/>
          <w:color w:val="auto"/>
          <w:sz w:val="24"/>
          <w:szCs w:val="24"/>
          <w:highlight w:val="none"/>
        </w:rPr>
        <w:t>未按照基础合同的约定履行义务，应当向受益人承担的违约责任和赔偿因此造成的损失、利息、律师费、诉讼费用等实现债权的费用。</w:t>
      </w:r>
    </w:p>
    <w:p w14:paraId="3FD5B3F3">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3C8FB6F5">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三、本保函有效期自开立之日起至基础合同约定的缺陷责任期满之日止。 </w:t>
      </w:r>
    </w:p>
    <w:p w14:paraId="0599C5BB">
      <w:pPr>
        <w:spacing w:line="360" w:lineRule="auto"/>
        <w:ind w:firstLine="480"/>
        <w:rPr>
          <w:rFonts w:cs="宋体"/>
          <w:color w:val="auto"/>
          <w:sz w:val="24"/>
          <w:szCs w:val="24"/>
          <w:highlight w:val="none"/>
        </w:rPr>
      </w:pPr>
      <w:bookmarkStart w:id="638" w:name="_Hlk40302764"/>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bookmarkEnd w:id="638"/>
    <w:p w14:paraId="5204FC63">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03D52DD0">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0ED75DAE">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02E5A4F2">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6D212718">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0727AC6D">
      <w:pPr>
        <w:spacing w:line="360" w:lineRule="auto"/>
        <w:ind w:firstLine="480" w:firstLineChars="200"/>
        <w:rPr>
          <w:rFonts w:cs="宋体"/>
          <w:color w:val="auto"/>
          <w:sz w:val="24"/>
          <w:szCs w:val="24"/>
          <w:highlight w:val="none"/>
        </w:rPr>
      </w:pPr>
      <w:bookmarkStart w:id="639" w:name="_Hlk40303486"/>
      <w:r>
        <w:rPr>
          <w:rFonts w:hint="eastAsia" w:cs="宋体"/>
          <w:color w:val="auto"/>
          <w:sz w:val="24"/>
          <w:szCs w:val="24"/>
          <w:highlight w:val="none"/>
        </w:rPr>
        <w:t>受益人发出的书面付款通知应由其法定代表人（负责人）或授权代理人签字并加盖公章。</w:t>
      </w:r>
      <w:bookmarkEnd w:id="639"/>
    </w:p>
    <w:p w14:paraId="10E975D3">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五、本保函项下的权利不得转让，不得设定担保。受益人未经我方书面同意转 让本保函或其项下任何权利，对我方不发生法律效力。 </w:t>
      </w:r>
    </w:p>
    <w:p w14:paraId="1BFDD3FA">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六、与本保函有关的基础合同不成立、不生效、无效、被撤销、被解除，不影响本保函的独立有效。 </w:t>
      </w:r>
    </w:p>
    <w:p w14:paraId="1F772130">
      <w:pPr>
        <w:spacing w:line="360" w:lineRule="auto"/>
        <w:ind w:firstLine="480" w:firstLineChars="200"/>
        <w:rPr>
          <w:rFonts w:cs="宋体"/>
          <w:color w:val="auto"/>
          <w:sz w:val="24"/>
          <w:szCs w:val="24"/>
          <w:highlight w:val="none"/>
        </w:rPr>
      </w:pPr>
      <w:bookmarkStart w:id="640" w:name="_Hlk40303383"/>
      <w:bookmarkStart w:id="641" w:name="_Hlk40354981"/>
      <w:r>
        <w:rPr>
          <w:rFonts w:hint="eastAsia" w:cs="宋体"/>
          <w:color w:val="auto"/>
          <w:sz w:val="24"/>
          <w:szCs w:val="24"/>
          <w:highlight w:val="none"/>
        </w:rPr>
        <w:t xml:space="preserve">七、本保函项下的义务和责任均在保函有效期到期后自动消灭。 </w:t>
      </w:r>
    </w:p>
    <w:p w14:paraId="18E292A1">
      <w:pPr>
        <w:spacing w:line="360" w:lineRule="auto"/>
        <w:ind w:firstLine="480" w:firstLineChars="200"/>
        <w:rPr>
          <w:rFonts w:cs="宋体"/>
          <w:color w:val="auto"/>
          <w:sz w:val="24"/>
          <w:szCs w:val="24"/>
          <w:highlight w:val="none"/>
        </w:rPr>
      </w:pPr>
      <w:r>
        <w:rPr>
          <w:rFonts w:hint="eastAsia" w:cs="宋体"/>
          <w:color w:val="auto"/>
          <w:sz w:val="24"/>
          <w:szCs w:val="24"/>
          <w:highlight w:val="none"/>
        </w:rPr>
        <w:t>八、本保函适用的法律为中华人民共和国法律，因本保函产生的纠纷案件，</w:t>
      </w:r>
      <w:bookmarkEnd w:id="640"/>
      <w:r>
        <w:rPr>
          <w:rFonts w:hint="eastAsia" w:cs="宋体"/>
          <w:color w:val="auto"/>
          <w:sz w:val="24"/>
          <w:szCs w:val="24"/>
          <w:highlight w:val="none"/>
        </w:rPr>
        <w:t xml:space="preserve">由受益人所在地人民法院管辖。 </w:t>
      </w:r>
    </w:p>
    <w:bookmarkEnd w:id="641"/>
    <w:p w14:paraId="71495582">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53DE749C">
      <w:pPr>
        <w:spacing w:line="360" w:lineRule="auto"/>
        <w:ind w:firstLine="480" w:firstLineChars="200"/>
        <w:rPr>
          <w:rFonts w:cs="宋体"/>
          <w:color w:val="auto"/>
          <w:sz w:val="24"/>
          <w:szCs w:val="24"/>
          <w:highlight w:val="none"/>
        </w:rPr>
      </w:pPr>
    </w:p>
    <w:p w14:paraId="6172DEB3">
      <w:pPr>
        <w:spacing w:line="360" w:lineRule="auto"/>
        <w:ind w:firstLine="480" w:firstLineChars="200"/>
        <w:rPr>
          <w:rFonts w:cs="宋体"/>
          <w:color w:val="auto"/>
          <w:sz w:val="24"/>
          <w:szCs w:val="24"/>
          <w:highlight w:val="none"/>
        </w:rPr>
      </w:pPr>
    </w:p>
    <w:p w14:paraId="3E96AF6B">
      <w:pPr>
        <w:spacing w:line="360" w:lineRule="auto"/>
        <w:ind w:firstLine="480" w:firstLineChars="200"/>
        <w:rPr>
          <w:rFonts w:cs="宋体"/>
          <w:color w:val="auto"/>
          <w:sz w:val="24"/>
          <w:szCs w:val="24"/>
          <w:highlight w:val="none"/>
        </w:rPr>
      </w:pPr>
    </w:p>
    <w:p w14:paraId="2A3FD031">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644F19D7">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279412F4">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237EFC35">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63A39279">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06FD2AA1">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6572D6D8">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296EEE31">
      <w:pPr>
        <w:spacing w:before="312" w:beforeLines="100" w:after="312" w:afterLines="100"/>
        <w:outlineLvl w:val="2"/>
        <w:rPr>
          <w:rFonts w:hint="eastAsia" w:ascii="Times New Roman" w:eastAsia="黑体"/>
          <w:color w:val="auto"/>
          <w:sz w:val="24"/>
          <w:szCs w:val="24"/>
          <w:highlight w:val="none"/>
          <w:lang w:val="en-US" w:eastAsia="zh-CN"/>
        </w:rPr>
      </w:pPr>
      <w:r>
        <w:rPr>
          <w:rFonts w:ascii="Times New Roman" w:eastAsia="黑体"/>
          <w:bCs/>
          <w:color w:val="auto"/>
          <w:sz w:val="24"/>
          <w:szCs w:val="24"/>
          <w:highlight w:val="none"/>
        </w:rPr>
        <w:br w:type="page"/>
      </w:r>
      <w:bookmarkStart w:id="642" w:name="_Toc128950245"/>
      <w:bookmarkStart w:id="643" w:name="_Toc296346733"/>
      <w:bookmarkStart w:id="644" w:name="_Toc267261702"/>
      <w:bookmarkStart w:id="645" w:name="_Toc296944571"/>
      <w:bookmarkStart w:id="646" w:name="_Toc296891060"/>
      <w:bookmarkStart w:id="647" w:name="_Toc296503232"/>
      <w:bookmarkStart w:id="648" w:name="_Toc296347231"/>
      <w:bookmarkStart w:id="649" w:name="_Toc296891272"/>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7</w:t>
      </w:r>
      <w:r>
        <w:rPr>
          <w:rFonts w:hint="eastAsia" w:ascii="Times New Roman" w:eastAsia="黑体"/>
          <w:color w:val="auto"/>
          <w:sz w:val="24"/>
          <w:szCs w:val="24"/>
          <w:highlight w:val="none"/>
        </w:rPr>
        <w:t>：预付款担保</w:t>
      </w:r>
      <w:bookmarkEnd w:id="642"/>
      <w:r>
        <w:rPr>
          <w:rFonts w:hint="eastAsia" w:ascii="Times New Roman" w:eastAsia="黑体"/>
          <w:color w:val="auto"/>
          <w:sz w:val="24"/>
          <w:szCs w:val="24"/>
          <w:highlight w:val="none"/>
          <w:lang w:val="en-US" w:eastAsia="zh-CN"/>
        </w:rPr>
        <w:t>格式</w:t>
      </w:r>
    </w:p>
    <w:bookmarkEnd w:id="643"/>
    <w:bookmarkEnd w:id="644"/>
    <w:bookmarkEnd w:id="645"/>
    <w:bookmarkEnd w:id="646"/>
    <w:bookmarkEnd w:id="647"/>
    <w:bookmarkEnd w:id="648"/>
    <w:bookmarkEnd w:id="649"/>
    <w:p w14:paraId="128B7465">
      <w:pPr>
        <w:spacing w:line="360" w:lineRule="auto"/>
        <w:jc w:val="center"/>
        <w:rPr>
          <w:rFonts w:cs="宋体"/>
          <w:b/>
          <w:bCs/>
          <w:color w:val="auto"/>
          <w:sz w:val="24"/>
          <w:szCs w:val="24"/>
          <w:highlight w:val="none"/>
        </w:rPr>
      </w:pPr>
      <w:r>
        <w:rPr>
          <w:rFonts w:hint="eastAsia" w:cs="宋体"/>
          <w:b/>
          <w:bCs/>
          <w:color w:val="auto"/>
          <w:sz w:val="24"/>
          <w:szCs w:val="24"/>
          <w:highlight w:val="none"/>
        </w:rPr>
        <w:t>预付款保函示范文本</w:t>
      </w:r>
    </w:p>
    <w:p w14:paraId="3A5D479C">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709DD1EF">
      <w:pPr>
        <w:spacing w:line="360" w:lineRule="auto"/>
        <w:rPr>
          <w:rFonts w:ascii="Times New Roman"/>
          <w:color w:val="auto"/>
          <w:sz w:val="24"/>
          <w:szCs w:val="24"/>
          <w:highlight w:val="none"/>
        </w:rPr>
      </w:pPr>
    </w:p>
    <w:p w14:paraId="03B4F615">
      <w:pPr>
        <w:spacing w:line="360" w:lineRule="auto"/>
        <w:rPr>
          <w:rFonts w:cs="宋体"/>
          <w:color w:val="auto"/>
          <w:sz w:val="24"/>
          <w:szCs w:val="24"/>
          <w:highlight w:val="none"/>
        </w:rPr>
      </w:pPr>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p w14:paraId="0F82BAD8">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（以下简称“基础合同”），开立人根据主合同了解到申请人为主合同项下之</w:t>
      </w:r>
      <w:r>
        <w:rPr>
          <w:rFonts w:hint="eastAsia" w:cs="宋体"/>
          <w:color w:val="auto"/>
          <w:sz w:val="24"/>
          <w:szCs w:val="24"/>
          <w:highlight w:val="none"/>
          <w:lang w:eastAsia="zh-CN"/>
        </w:rPr>
        <w:t>乙方</w:t>
      </w:r>
      <w:r>
        <w:rPr>
          <w:rFonts w:hint="eastAsia" w:cs="宋体"/>
          <w:color w:val="auto"/>
          <w:sz w:val="24"/>
          <w:szCs w:val="24"/>
          <w:highlight w:val="none"/>
        </w:rPr>
        <w:t>，受益人为主合同项下之</w:t>
      </w:r>
      <w:r>
        <w:rPr>
          <w:rFonts w:hint="eastAsia" w:cs="宋体"/>
          <w:color w:val="auto"/>
          <w:sz w:val="24"/>
          <w:szCs w:val="24"/>
          <w:highlight w:val="none"/>
          <w:lang w:eastAsia="zh-CN"/>
        </w:rPr>
        <w:t>甲方</w:t>
      </w:r>
      <w:r>
        <w:rPr>
          <w:rFonts w:hint="eastAsia" w:cs="宋体"/>
          <w:color w:val="auto"/>
          <w:sz w:val="24"/>
          <w:szCs w:val="24"/>
          <w:highlight w:val="none"/>
        </w:rPr>
        <w:t xml:space="preserve">，基于申请人的请求，开立人同意就申请人按照合同约定正确和合理地为合同目的使用预付款，向受益人提供不可撤销、不可转让的见索即付独立保函（以下简称“本保函”）。 </w:t>
      </w:r>
    </w:p>
    <w:p w14:paraId="394EA2F1">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一、本保函担保范围：申请人未按照合同约定正确和合理地为合同目的使用预付款，应当向受益人承担的违约责任和赔偿因此造成的损失、利息、律师费、诉讼费用等实现债权的费用。</w:t>
      </w:r>
    </w:p>
    <w:p w14:paraId="16660218">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43EFE7BE">
      <w:pPr>
        <w:spacing w:line="360" w:lineRule="auto"/>
        <w:ind w:firstLine="480" w:firstLineChars="200"/>
        <w:rPr>
          <w:rFonts w:cs="宋体"/>
          <w:color w:val="auto"/>
          <w:sz w:val="24"/>
          <w:szCs w:val="24"/>
          <w:highlight w:val="none"/>
        </w:rPr>
      </w:pPr>
      <w:r>
        <w:rPr>
          <w:rFonts w:hint="eastAsia" w:cs="宋体"/>
          <w:color w:val="auto"/>
          <w:sz w:val="24"/>
          <w:szCs w:val="24"/>
          <w:highlight w:val="none"/>
        </w:rPr>
        <w:t>三、本保函有效期自开立之日起至</w:t>
      </w:r>
      <w:r>
        <w:rPr>
          <w:rFonts w:hint="eastAsia" w:cs="宋体"/>
          <w:color w:val="auto"/>
          <w:sz w:val="24"/>
          <w:szCs w:val="24"/>
          <w:highlight w:val="none"/>
          <w:lang w:eastAsia="zh-CN"/>
        </w:rPr>
        <w:t>甲方</w:t>
      </w:r>
      <w:r>
        <w:rPr>
          <w:rFonts w:hint="eastAsia" w:cs="宋体"/>
          <w:color w:val="auto"/>
          <w:sz w:val="24"/>
          <w:szCs w:val="24"/>
          <w:highlight w:val="none"/>
        </w:rPr>
        <w:t>全额扣回预付款之日止。</w:t>
      </w:r>
    </w:p>
    <w:p w14:paraId="22F8C94B">
      <w:pPr>
        <w:spacing w:line="400" w:lineRule="exact"/>
        <w:ind w:firstLine="480"/>
        <w:rPr>
          <w:rFonts w:cs="宋体"/>
          <w:color w:val="auto"/>
          <w:sz w:val="24"/>
          <w:szCs w:val="24"/>
          <w:highlight w:val="none"/>
        </w:rPr>
      </w:pPr>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p w14:paraId="07991ADF">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331A2180">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150475D5">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5FDF913E">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5659FB7B">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57F7C279">
      <w:pPr>
        <w:spacing w:line="400" w:lineRule="exact"/>
        <w:rPr>
          <w:rFonts w:cs="宋体"/>
          <w:color w:val="auto"/>
          <w:sz w:val="24"/>
          <w:szCs w:val="24"/>
          <w:highlight w:val="none"/>
        </w:rPr>
      </w:pPr>
      <w:r>
        <w:rPr>
          <w:rFonts w:hint="eastAsia" w:cs="宋体"/>
          <w:color w:val="auto"/>
          <w:sz w:val="24"/>
          <w:szCs w:val="24"/>
          <w:highlight w:val="none"/>
        </w:rPr>
        <w:t xml:space="preserve">    受益人发出的书面付款通知应由其法定代表人（负责人）或授权代理人签字并加盖公章。</w:t>
      </w:r>
    </w:p>
    <w:p w14:paraId="19D31FF7">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4D1924F0">
      <w:pPr>
        <w:spacing w:line="400" w:lineRule="exact"/>
        <w:ind w:firstLine="480" w:firstLineChars="200"/>
        <w:rPr>
          <w:rStyle w:val="63"/>
          <w:rFonts w:cs="宋体"/>
          <w:color w:val="auto"/>
          <w:sz w:val="24"/>
          <w:szCs w:val="24"/>
          <w:highlight w:val="none"/>
        </w:rPr>
      </w:pPr>
      <w:r>
        <w:rPr>
          <w:rFonts w:hint="eastAsia" w:cs="宋体"/>
          <w:color w:val="auto"/>
          <w:sz w:val="24"/>
          <w:szCs w:val="24"/>
          <w:highlight w:val="none"/>
        </w:rPr>
        <w:t>六、本保函项下的基础交易不成立、不生效、无效、被撤销、被解除，不影响本保函的独立有效。</w:t>
      </w:r>
    </w:p>
    <w:p w14:paraId="23E9D9BB">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七、本保函项下的义务和责任均在保函有效期到期后自动消灭。 </w:t>
      </w:r>
    </w:p>
    <w:p w14:paraId="1E37658C">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八、本保函适用的法律为中华人民共和国法律，因本保函产生的纠纷案件，由受益人所在地人民法院管辖。 </w:t>
      </w:r>
    </w:p>
    <w:p w14:paraId="5C69005D">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54E46102">
      <w:pPr>
        <w:spacing w:line="360" w:lineRule="auto"/>
        <w:ind w:firstLine="480" w:firstLineChars="200"/>
        <w:rPr>
          <w:rFonts w:cs="宋体"/>
          <w:color w:val="auto"/>
          <w:sz w:val="24"/>
          <w:szCs w:val="24"/>
          <w:highlight w:val="none"/>
        </w:rPr>
      </w:pPr>
    </w:p>
    <w:p w14:paraId="5D8A4CD0">
      <w:pPr>
        <w:spacing w:line="360" w:lineRule="auto"/>
        <w:ind w:firstLine="480" w:firstLineChars="200"/>
        <w:rPr>
          <w:rFonts w:cs="宋体"/>
          <w:color w:val="auto"/>
          <w:sz w:val="24"/>
          <w:szCs w:val="24"/>
          <w:highlight w:val="none"/>
        </w:rPr>
      </w:pPr>
    </w:p>
    <w:p w14:paraId="0C43C882">
      <w:pPr>
        <w:spacing w:line="360" w:lineRule="auto"/>
        <w:ind w:firstLine="480" w:firstLineChars="200"/>
        <w:rPr>
          <w:rFonts w:cs="宋体"/>
          <w:color w:val="auto"/>
          <w:sz w:val="24"/>
          <w:szCs w:val="24"/>
          <w:highlight w:val="none"/>
        </w:rPr>
      </w:pPr>
    </w:p>
    <w:p w14:paraId="3C6F59C9">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41C226CD">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07E401B7">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74B9C216">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1E3EBABC">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3CDE39B3">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3948C79B">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6249E76D">
      <w:pPr>
        <w:spacing w:before="312" w:beforeLines="100" w:after="312" w:afterLines="100"/>
        <w:outlineLvl w:val="2"/>
        <w:rPr>
          <w:rFonts w:hint="eastAsia" w:ascii="Times New Roman" w:eastAsia="黑体"/>
          <w:color w:val="auto"/>
          <w:sz w:val="24"/>
          <w:szCs w:val="24"/>
          <w:highlight w:val="none"/>
          <w:lang w:val="en-US" w:eastAsia="zh-CN"/>
        </w:rPr>
      </w:pPr>
      <w:r>
        <w:rPr>
          <w:rFonts w:ascii="Times New Roman" w:eastAsia="黑体"/>
          <w:b/>
          <w:bCs/>
          <w:color w:val="auto"/>
          <w:sz w:val="24"/>
          <w:szCs w:val="24"/>
          <w:highlight w:val="none"/>
        </w:rPr>
        <w:br w:type="page"/>
      </w:r>
      <w:bookmarkStart w:id="650" w:name="_Toc128950246"/>
      <w:r>
        <w:rPr>
          <w:rFonts w:hint="eastAsia" w:ascii="Times New Roman" w:eastAsia="黑体"/>
          <w:color w:val="auto"/>
          <w:sz w:val="24"/>
          <w:szCs w:val="24"/>
          <w:highlight w:val="none"/>
        </w:rPr>
        <w:t>附</w:t>
      </w:r>
      <w:bookmarkStart w:id="651" w:name="_Toc296346734"/>
      <w:bookmarkStart w:id="652" w:name="_Toc296944572"/>
      <w:bookmarkStart w:id="653" w:name="_Toc296891273"/>
      <w:bookmarkStart w:id="654" w:name="_Toc296347232"/>
      <w:bookmarkStart w:id="655" w:name="_Toc296891061"/>
      <w:bookmarkStart w:id="656" w:name="_Toc296503233"/>
      <w:r>
        <w:rPr>
          <w:rFonts w:hint="eastAsia" w:ascii="Times New Roman" w:eastAsia="黑体"/>
          <w:color w:val="auto"/>
          <w:sz w:val="24"/>
          <w:szCs w:val="24"/>
          <w:highlight w:val="none"/>
        </w:rPr>
        <w:t>件</w:t>
      </w:r>
      <w:r>
        <w:rPr>
          <w:rFonts w:hint="eastAsia" w:ascii="Times New Roman" w:eastAsia="黑体"/>
          <w:color w:val="auto"/>
          <w:sz w:val="24"/>
          <w:szCs w:val="24"/>
          <w:highlight w:val="none"/>
          <w:lang w:val="en-US" w:eastAsia="zh-CN"/>
        </w:rPr>
        <w:t>8</w:t>
      </w:r>
      <w:r>
        <w:rPr>
          <w:rFonts w:hint="eastAsia" w:ascii="Times New Roman" w:eastAsia="黑体"/>
          <w:color w:val="auto"/>
          <w:sz w:val="24"/>
          <w:szCs w:val="24"/>
          <w:highlight w:val="none"/>
        </w:rPr>
        <w:t>：支付担保</w:t>
      </w:r>
      <w:bookmarkEnd w:id="650"/>
      <w:bookmarkEnd w:id="651"/>
      <w:bookmarkEnd w:id="652"/>
      <w:bookmarkEnd w:id="653"/>
      <w:bookmarkEnd w:id="654"/>
      <w:bookmarkEnd w:id="655"/>
      <w:bookmarkEnd w:id="656"/>
      <w:r>
        <w:rPr>
          <w:rFonts w:hint="eastAsia" w:ascii="Times New Roman" w:eastAsia="黑体"/>
          <w:color w:val="auto"/>
          <w:sz w:val="24"/>
          <w:szCs w:val="24"/>
          <w:highlight w:val="none"/>
          <w:lang w:val="en-US" w:eastAsia="zh-CN"/>
        </w:rPr>
        <w:t>格式</w:t>
      </w:r>
    </w:p>
    <w:p w14:paraId="36F8627A">
      <w:pPr>
        <w:spacing w:line="360" w:lineRule="auto"/>
        <w:jc w:val="center"/>
        <w:rPr>
          <w:rFonts w:cs="宋体"/>
          <w:b/>
          <w:bCs/>
          <w:color w:val="auto"/>
          <w:sz w:val="24"/>
          <w:szCs w:val="24"/>
          <w:highlight w:val="none"/>
        </w:rPr>
      </w:pPr>
      <w:r>
        <w:rPr>
          <w:rFonts w:hint="eastAsia" w:cs="宋体"/>
          <w:b/>
          <w:bCs/>
          <w:color w:val="auto"/>
          <w:sz w:val="24"/>
          <w:szCs w:val="24"/>
          <w:highlight w:val="none"/>
        </w:rPr>
        <w:t>支付保函示范文本</w:t>
      </w:r>
    </w:p>
    <w:p w14:paraId="5076D3DD">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5D25C401">
      <w:pPr>
        <w:spacing w:line="360" w:lineRule="auto"/>
        <w:rPr>
          <w:rFonts w:ascii="Times New Roman"/>
          <w:color w:val="auto"/>
          <w:sz w:val="24"/>
          <w:szCs w:val="24"/>
          <w:highlight w:val="none"/>
        </w:rPr>
      </w:pPr>
    </w:p>
    <w:p w14:paraId="3A92040D">
      <w:pPr>
        <w:spacing w:line="360" w:lineRule="auto"/>
        <w:rPr>
          <w:rFonts w:cs="宋体"/>
          <w:color w:val="auto"/>
          <w:sz w:val="24"/>
          <w:szCs w:val="24"/>
          <w:highlight w:val="none"/>
        </w:rPr>
      </w:pPr>
      <w:bookmarkStart w:id="657" w:name="_Hlk40355074"/>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bookmarkEnd w:id="657"/>
    <w:p w14:paraId="721C5701">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（以下简称基础合同”），开立人根据基础合同了解到申请人为基础合同项下之</w:t>
      </w:r>
      <w:r>
        <w:rPr>
          <w:rFonts w:hint="eastAsia" w:cs="宋体"/>
          <w:color w:val="auto"/>
          <w:sz w:val="24"/>
          <w:szCs w:val="24"/>
          <w:highlight w:val="none"/>
          <w:lang w:eastAsia="zh-CN"/>
        </w:rPr>
        <w:t>甲方</w:t>
      </w:r>
      <w:r>
        <w:rPr>
          <w:rFonts w:hint="eastAsia" w:cs="宋体"/>
          <w:color w:val="auto"/>
          <w:sz w:val="24"/>
          <w:szCs w:val="24"/>
          <w:highlight w:val="none"/>
        </w:rPr>
        <w:t>，受益人为基础合同项下之</w:t>
      </w:r>
      <w:r>
        <w:rPr>
          <w:rFonts w:hint="eastAsia" w:cs="宋体"/>
          <w:color w:val="auto"/>
          <w:sz w:val="24"/>
          <w:szCs w:val="24"/>
          <w:highlight w:val="none"/>
          <w:lang w:eastAsia="zh-CN"/>
        </w:rPr>
        <w:t>乙方</w:t>
      </w:r>
      <w:r>
        <w:rPr>
          <w:rFonts w:hint="eastAsia" w:cs="宋体"/>
          <w:color w:val="auto"/>
          <w:sz w:val="24"/>
          <w:szCs w:val="24"/>
          <w:highlight w:val="none"/>
        </w:rPr>
        <w:t xml:space="preserve">，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6C8E906A">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一、本保函担保范围：申请人未履行基础合同约定的工程款支付义务，应当向受益人承担的违约责任和赔偿因此造成的损失、利息、律师费、诉讼费用等实现债权的费用。</w:t>
      </w:r>
    </w:p>
    <w:p w14:paraId="1BC70F2F">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475D3F9A">
      <w:pPr>
        <w:spacing w:line="360" w:lineRule="auto"/>
        <w:ind w:firstLine="480" w:firstLineChars="200"/>
        <w:rPr>
          <w:rFonts w:cs="宋体"/>
          <w:color w:val="auto"/>
          <w:sz w:val="24"/>
          <w:szCs w:val="24"/>
          <w:highlight w:val="none"/>
        </w:rPr>
      </w:pPr>
      <w:r>
        <w:rPr>
          <w:rFonts w:hint="eastAsia" w:cs="宋体"/>
          <w:color w:val="auto"/>
          <w:sz w:val="24"/>
          <w:szCs w:val="24"/>
          <w:highlight w:val="none"/>
        </w:rPr>
        <w:t>三、本保函有效期自开立之日起至基础合同约定的除工程质量保修金以外的全部工程结算款项支付之日后</w:t>
      </w:r>
      <w:r>
        <w:rPr>
          <w:rFonts w:hint="eastAsia" w:cs="宋体"/>
          <w:color w:val="auto"/>
          <w:sz w:val="24"/>
          <w:szCs w:val="24"/>
          <w:highlight w:val="none"/>
          <w:u w:val="single"/>
        </w:rPr>
        <w:t xml:space="preserve">    </w:t>
      </w:r>
      <w:r>
        <w:rPr>
          <w:rFonts w:hint="eastAsia" w:cs="宋体"/>
          <w:color w:val="auto"/>
          <w:sz w:val="24"/>
          <w:szCs w:val="24"/>
          <w:highlight w:val="none"/>
        </w:rPr>
        <w:t xml:space="preserve">日止。 </w:t>
      </w:r>
    </w:p>
    <w:p w14:paraId="7776A706">
      <w:pPr>
        <w:spacing w:line="400" w:lineRule="exact"/>
        <w:ind w:firstLine="480"/>
        <w:rPr>
          <w:rFonts w:cs="宋体"/>
          <w:color w:val="auto"/>
          <w:sz w:val="24"/>
          <w:szCs w:val="24"/>
          <w:highlight w:val="none"/>
        </w:rPr>
      </w:pPr>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p w14:paraId="438EDFE1">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2933718A">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0F362405">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50A5D822">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469EE8FA">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D702376">
      <w:pPr>
        <w:spacing w:line="400" w:lineRule="exact"/>
        <w:rPr>
          <w:rFonts w:cs="宋体"/>
          <w:color w:val="auto"/>
          <w:sz w:val="24"/>
          <w:szCs w:val="24"/>
          <w:highlight w:val="none"/>
        </w:rPr>
      </w:pPr>
      <w:r>
        <w:rPr>
          <w:rFonts w:hint="eastAsia" w:cs="宋体"/>
          <w:color w:val="auto"/>
          <w:sz w:val="24"/>
          <w:szCs w:val="24"/>
          <w:highlight w:val="none"/>
        </w:rPr>
        <w:t xml:space="preserve">    受益人发出的书面付款通知应由其法定代表人（负责人）或授权代理人签字并加盖公章。</w:t>
      </w:r>
    </w:p>
    <w:p w14:paraId="3A60B7DC">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456D7572">
      <w:pPr>
        <w:spacing w:line="400" w:lineRule="exact"/>
        <w:ind w:firstLine="480" w:firstLineChars="200"/>
        <w:rPr>
          <w:rStyle w:val="63"/>
          <w:rFonts w:cs="宋体"/>
          <w:color w:val="auto"/>
          <w:sz w:val="24"/>
          <w:szCs w:val="24"/>
          <w:highlight w:val="none"/>
        </w:rPr>
      </w:pPr>
      <w:r>
        <w:rPr>
          <w:rFonts w:hint="eastAsia" w:cs="宋体"/>
          <w:color w:val="auto"/>
          <w:sz w:val="24"/>
          <w:szCs w:val="24"/>
          <w:highlight w:val="none"/>
        </w:rPr>
        <w:t>六、本保函项下的基础交易不成立、不生效、无效、被撤销、被解除，不影响本保函的独立有效。</w:t>
      </w:r>
    </w:p>
    <w:p w14:paraId="47279184">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七、本保函项下的义务和责任均在保函有效期到期后自动消灭。 </w:t>
      </w:r>
    </w:p>
    <w:p w14:paraId="7352C4DB">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八、本保函适用的法律为中华人民共和国法律，因本保函产生的纠纷案件，由申请人所在地人民法院管辖。 </w:t>
      </w:r>
    </w:p>
    <w:p w14:paraId="15334F35">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37842D41">
      <w:pPr>
        <w:spacing w:line="360" w:lineRule="auto"/>
        <w:ind w:firstLine="480" w:firstLineChars="200"/>
        <w:rPr>
          <w:rFonts w:cs="宋体"/>
          <w:color w:val="auto"/>
          <w:sz w:val="24"/>
          <w:szCs w:val="24"/>
          <w:highlight w:val="none"/>
        </w:rPr>
      </w:pPr>
    </w:p>
    <w:p w14:paraId="7B27541F">
      <w:pPr>
        <w:spacing w:line="360" w:lineRule="auto"/>
        <w:ind w:firstLine="480" w:firstLineChars="200"/>
        <w:rPr>
          <w:rFonts w:cs="宋体"/>
          <w:color w:val="auto"/>
          <w:sz w:val="24"/>
          <w:szCs w:val="24"/>
          <w:highlight w:val="none"/>
        </w:rPr>
      </w:pPr>
    </w:p>
    <w:p w14:paraId="049D6815">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1D22247B">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6C7C0C5B">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09233535">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2DAE6BE2">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3D182E52">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698EEF7E">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755F9A04">
      <w:pPr>
        <w:rPr>
          <w:b/>
          <w:color w:val="auto"/>
          <w:sz w:val="24"/>
          <w:szCs w:val="24"/>
          <w:highlight w:val="none"/>
        </w:rPr>
      </w:pPr>
      <w:r>
        <w:rPr>
          <w:rFonts w:ascii="Times New Roman" w:eastAsia="黑体"/>
          <w:bCs/>
          <w:color w:val="auto"/>
          <w:sz w:val="24"/>
          <w:szCs w:val="24"/>
          <w:highlight w:val="none"/>
        </w:rPr>
        <w:br w:type="page"/>
      </w:r>
    </w:p>
    <w:p w14:paraId="1A5F4709">
      <w:pPr>
        <w:widowControl/>
        <w:jc w:val="left"/>
        <w:rPr>
          <w:b/>
          <w:color w:val="auto"/>
          <w:sz w:val="24"/>
          <w:highlight w:val="none"/>
        </w:rPr>
      </w:pPr>
    </w:p>
    <w:p w14:paraId="1C308E8A">
      <w:pPr>
        <w:spacing w:line="360" w:lineRule="auto"/>
        <w:jc w:val="center"/>
        <w:outlineLvl w:val="0"/>
        <w:rPr>
          <w:rFonts w:asciiTheme="minorEastAsia" w:hAnsiTheme="minorEastAsia" w:eastAsiaTheme="minorEastAsia"/>
          <w:b/>
          <w:color w:val="auto"/>
          <w:sz w:val="28"/>
          <w:highlight w:val="none"/>
        </w:rPr>
      </w:pPr>
      <w:bookmarkStart w:id="658" w:name="_Toc22734"/>
      <w:r>
        <w:rPr>
          <w:rFonts w:hint="eastAsia" w:asciiTheme="minorEastAsia" w:hAnsiTheme="minorEastAsia" w:eastAsiaTheme="minorEastAsia"/>
          <w:b/>
          <w:color w:val="auto"/>
          <w:sz w:val="28"/>
          <w:highlight w:val="none"/>
        </w:rPr>
        <w:t>第六章  响应文件格式</w:t>
      </w:r>
      <w:bookmarkEnd w:id="658"/>
    </w:p>
    <w:p w14:paraId="17680157">
      <w:pPr>
        <w:spacing w:line="900" w:lineRule="exact"/>
        <w:jc w:val="center"/>
        <w:rPr>
          <w:rFonts w:asciiTheme="minorEastAsia" w:hAnsiTheme="minorEastAsia" w:eastAsiaTheme="minorEastAsia"/>
          <w:b/>
          <w:color w:val="auto"/>
          <w:sz w:val="72"/>
          <w:highlight w:val="none"/>
        </w:rPr>
      </w:pPr>
    </w:p>
    <w:p w14:paraId="7BAFF53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026CC410">
      <w:pPr>
        <w:spacing w:line="900" w:lineRule="exact"/>
        <w:jc w:val="center"/>
        <w:outlineLvl w:val="9"/>
        <w:rPr>
          <w:rFonts w:asciiTheme="minorEastAsia" w:hAnsiTheme="minorEastAsia" w:eastAsiaTheme="minorEastAsia"/>
          <w:b/>
          <w:color w:val="auto"/>
          <w:sz w:val="72"/>
          <w:highlight w:val="none"/>
        </w:rPr>
      </w:pPr>
    </w:p>
    <w:p w14:paraId="3E76058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2E56AB9C">
      <w:pPr>
        <w:spacing w:line="900" w:lineRule="exact"/>
        <w:jc w:val="center"/>
        <w:outlineLvl w:val="9"/>
        <w:rPr>
          <w:rFonts w:asciiTheme="minorEastAsia" w:hAnsiTheme="minorEastAsia" w:eastAsiaTheme="minorEastAsia"/>
          <w:b/>
          <w:color w:val="auto"/>
          <w:sz w:val="72"/>
          <w:highlight w:val="none"/>
        </w:rPr>
      </w:pPr>
    </w:p>
    <w:p w14:paraId="7D573F01">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05CEED10">
      <w:pPr>
        <w:spacing w:line="900" w:lineRule="exact"/>
        <w:jc w:val="center"/>
        <w:outlineLvl w:val="9"/>
        <w:rPr>
          <w:rFonts w:asciiTheme="minorEastAsia" w:hAnsiTheme="minorEastAsia" w:eastAsiaTheme="minorEastAsia"/>
          <w:b/>
          <w:color w:val="auto"/>
          <w:sz w:val="72"/>
          <w:highlight w:val="none"/>
        </w:rPr>
      </w:pPr>
    </w:p>
    <w:p w14:paraId="767DFA6B">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5FAC8499">
      <w:pPr>
        <w:spacing w:after="156" w:afterLines="50"/>
        <w:jc w:val="center"/>
        <w:outlineLvl w:val="9"/>
        <w:rPr>
          <w:rFonts w:asciiTheme="minorEastAsia" w:hAnsiTheme="minorEastAsia" w:eastAsiaTheme="minorEastAsia"/>
          <w:b/>
          <w:color w:val="auto"/>
          <w:sz w:val="72"/>
          <w:highlight w:val="none"/>
        </w:rPr>
      </w:pPr>
    </w:p>
    <w:p w14:paraId="08FE9445">
      <w:pPr>
        <w:spacing w:after="156" w:afterLines="50" w:line="500" w:lineRule="exact"/>
        <w:jc w:val="center"/>
        <w:outlineLvl w:val="9"/>
        <w:rPr>
          <w:rFonts w:asciiTheme="minorEastAsia" w:hAnsiTheme="minorEastAsia" w:eastAsiaTheme="minorEastAsia"/>
          <w:b/>
          <w:color w:val="auto"/>
          <w:sz w:val="28"/>
          <w:szCs w:val="28"/>
          <w:highlight w:val="none"/>
        </w:rPr>
      </w:pPr>
    </w:p>
    <w:p w14:paraId="3AE9D14E">
      <w:pPr>
        <w:tabs>
          <w:tab w:val="left" w:pos="2410"/>
        </w:tabs>
        <w:autoSpaceDE w:val="0"/>
        <w:autoSpaceDN w:val="0"/>
        <w:adjustRightInd w:val="0"/>
        <w:snapToGrid w:val="0"/>
        <w:spacing w:line="360" w:lineRule="auto"/>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lang w:eastAsia="zh-CN"/>
        </w:rPr>
        <w:t>省淮河局、省临淮岗局水闸自动化运行维护等（第1包）</w:t>
      </w:r>
    </w:p>
    <w:p w14:paraId="5503AAB1">
      <w:pPr>
        <w:tabs>
          <w:tab w:val="left" w:pos="2410"/>
        </w:tabs>
        <w:autoSpaceDE w:val="0"/>
        <w:autoSpaceDN w:val="0"/>
        <w:adjustRightInd w:val="0"/>
        <w:snapToGrid w:val="0"/>
        <w:spacing w:line="360" w:lineRule="auto"/>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94A6E93">
      <w:pPr>
        <w:tabs>
          <w:tab w:val="left" w:pos="2410"/>
        </w:tabs>
        <w:autoSpaceDE w:val="0"/>
        <w:autoSpaceDN w:val="0"/>
        <w:adjustRightInd w:val="0"/>
        <w:snapToGrid w:val="0"/>
        <w:spacing w:line="360" w:lineRule="auto"/>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AA8288">
      <w:pPr>
        <w:spacing w:after="156" w:afterLines="50" w:line="500" w:lineRule="exact"/>
        <w:jc w:val="center"/>
        <w:outlineLvl w:val="9"/>
        <w:rPr>
          <w:rFonts w:asciiTheme="minorEastAsia" w:hAnsiTheme="minorEastAsia" w:eastAsiaTheme="minorEastAsia"/>
          <w:b/>
          <w:color w:val="auto"/>
          <w:sz w:val="32"/>
          <w:highlight w:val="none"/>
          <w:u w:val="none"/>
        </w:rPr>
      </w:pPr>
      <w:bookmarkStart w:id="659" w:name="_Toc19892"/>
      <w:bookmarkStart w:id="660" w:name="_Toc24911"/>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none"/>
          <w:lang w:val="en-US" w:eastAsia="zh-CN"/>
        </w:rPr>
        <w:t>年</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none"/>
          <w:lang w:val="en-US" w:eastAsia="zh-CN"/>
        </w:rPr>
        <w:t>月</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none"/>
        </w:rPr>
        <w:t>日</w:t>
      </w:r>
      <w:bookmarkEnd w:id="659"/>
      <w:bookmarkEnd w:id="660"/>
    </w:p>
    <w:p w14:paraId="566CA025">
      <w:pPr>
        <w:widowControl/>
        <w:jc w:val="left"/>
        <w:outlineLvl w:val="9"/>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5B9EC857">
      <w:pPr>
        <w:spacing w:line="360" w:lineRule="auto"/>
        <w:jc w:val="center"/>
        <w:outlineLvl w:val="1"/>
        <w:rPr>
          <w:rFonts w:asciiTheme="minorEastAsia" w:hAnsiTheme="minorEastAsia" w:eastAsiaTheme="minorEastAsia"/>
          <w:b/>
          <w:color w:val="auto"/>
          <w:sz w:val="24"/>
          <w:highlight w:val="none"/>
        </w:rPr>
      </w:pPr>
      <w:bookmarkStart w:id="661" w:name="_Toc461053086"/>
      <w:bookmarkStart w:id="662" w:name="_Toc461056631"/>
      <w:bookmarkStart w:id="663" w:name="_Toc520983587"/>
      <w:bookmarkStart w:id="664" w:name="_Toc28280"/>
      <w:bookmarkStart w:id="665" w:name="_Toc21496"/>
      <w:r>
        <w:rPr>
          <w:rFonts w:hint="eastAsia" w:asciiTheme="minorEastAsia" w:hAnsiTheme="minorEastAsia" w:eastAsiaTheme="minorEastAsia"/>
          <w:b/>
          <w:color w:val="auto"/>
          <w:sz w:val="24"/>
          <w:highlight w:val="none"/>
        </w:rPr>
        <w:t>一</w:t>
      </w:r>
      <w:bookmarkEnd w:id="661"/>
      <w:bookmarkEnd w:id="662"/>
      <w:r>
        <w:rPr>
          <w:rFonts w:hint="eastAsia" w:asciiTheme="minorEastAsia" w:hAnsiTheme="minorEastAsia" w:eastAsiaTheme="minorEastAsia"/>
          <w:b/>
          <w:color w:val="auto"/>
          <w:sz w:val="24"/>
          <w:highlight w:val="none"/>
        </w:rPr>
        <w:t>、报价表格式</w:t>
      </w:r>
      <w:bookmarkEnd w:id="663"/>
      <w:bookmarkEnd w:id="664"/>
      <w:bookmarkEnd w:id="665"/>
    </w:p>
    <w:p w14:paraId="694B6BB3">
      <w:pPr>
        <w:spacing w:before="156" w:beforeLines="50" w:after="156" w:afterLines="50" w:line="360" w:lineRule="auto"/>
        <w:jc w:val="left"/>
        <w:outlineLvl w:val="9"/>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644A885D">
      <w:pPr>
        <w:snapToGrid w:val="0"/>
        <w:spacing w:after="156" w:afterLines="50" w:line="360" w:lineRule="auto"/>
        <w:jc w:val="left"/>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eastAsia="zh-CN"/>
        </w:rPr>
        <w:t>省淮河局、省临淮岗局水闸自动化运行维护等（第1包）</w:t>
      </w:r>
    </w:p>
    <w:p w14:paraId="7670EEA0">
      <w:pPr>
        <w:snapToGrid w:val="0"/>
        <w:spacing w:after="156" w:afterLines="50" w:line="360" w:lineRule="auto"/>
        <w:jc w:val="left"/>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fldChar w:fldCharType="begin"/>
      </w:r>
      <w:r>
        <w:rPr>
          <w:rFonts w:hint="eastAsia" w:cs="宋体" w:asciiTheme="minorEastAsia" w:hAnsiTheme="minorEastAsia" w:eastAsiaTheme="minorEastAsia"/>
          <w:b/>
          <w:color w:val="auto"/>
          <w:kern w:val="2"/>
          <w:sz w:val="24"/>
          <w:szCs w:val="24"/>
          <w:highlight w:val="none"/>
          <w:u w:val="single"/>
          <w:lang w:eastAsia="zh-CN"/>
        </w:rPr>
        <w:instrText xml:space="preserve"> HYPERLINK "https://pay.anhui.zcygov.cn/purchaseplan_front/" \l "/plan/list/view?id=1000000000005136112&amp;_app_=zcy.procurement" \t "https://www.anhui.zcygov.cn/project-center/_procurement_/purchasePlans/_blank" </w:instrText>
      </w:r>
      <w:r>
        <w:rPr>
          <w:rFonts w:hint="eastAsia" w:cs="宋体" w:asciiTheme="minorEastAsia" w:hAnsiTheme="minorEastAsia" w:eastAsiaTheme="minorEastAsia"/>
          <w:b/>
          <w:color w:val="auto"/>
          <w:kern w:val="2"/>
          <w:sz w:val="24"/>
          <w:szCs w:val="24"/>
          <w:highlight w:val="none"/>
          <w:u w:val="single"/>
          <w:lang w:eastAsia="zh-CN"/>
        </w:rPr>
        <w:fldChar w:fldCharType="separate"/>
      </w:r>
      <w:r>
        <w:rPr>
          <w:rFonts w:hint="eastAsia" w:cs="宋体" w:asciiTheme="minorEastAsia" w:hAnsiTheme="minorEastAsia" w:eastAsiaTheme="minorEastAsia"/>
          <w:b/>
          <w:color w:val="auto"/>
          <w:kern w:val="2"/>
          <w:sz w:val="24"/>
          <w:szCs w:val="24"/>
          <w:highlight w:val="none"/>
          <w:u w:val="single"/>
          <w:lang w:eastAsia="zh-CN"/>
        </w:rPr>
        <w:fldChar w:fldCharType="end"/>
      </w:r>
    </w:p>
    <w:tbl>
      <w:tblPr>
        <w:tblStyle w:val="5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749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7A56DED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6063" w:type="dxa"/>
            <w:tcBorders>
              <w:left w:val="single" w:color="auto" w:sz="4" w:space="0"/>
            </w:tcBorders>
          </w:tcPr>
          <w:p w14:paraId="2F920DF3">
            <w:pPr>
              <w:rPr>
                <w:rFonts w:cs="宋体" w:asciiTheme="minorEastAsia" w:hAnsiTheme="minorEastAsia" w:eastAsiaTheme="minorEastAsia"/>
                <w:b/>
                <w:color w:val="auto"/>
                <w:kern w:val="2"/>
                <w:sz w:val="24"/>
                <w:szCs w:val="24"/>
                <w:highlight w:val="none"/>
              </w:rPr>
            </w:pPr>
          </w:p>
        </w:tc>
      </w:tr>
      <w:tr w14:paraId="1F1D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54C61B1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6063" w:type="dxa"/>
            <w:tcBorders>
              <w:left w:val="single" w:color="auto" w:sz="4" w:space="0"/>
            </w:tcBorders>
            <w:vAlign w:val="center"/>
          </w:tcPr>
          <w:p w14:paraId="54930F23">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6D70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55FE92F3">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64C8EA7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6063" w:type="dxa"/>
            <w:vAlign w:val="center"/>
          </w:tcPr>
          <w:p w14:paraId="7085F1E3">
            <w:pPr>
              <w:snapToGrid w:val="0"/>
              <w:rPr>
                <w:rFonts w:cs="宋体" w:asciiTheme="minorEastAsia" w:hAnsiTheme="minorEastAsia" w:eastAsiaTheme="minorEastAsia"/>
                <w:color w:val="auto"/>
                <w:kern w:val="2"/>
                <w:sz w:val="24"/>
                <w:szCs w:val="24"/>
                <w:highlight w:val="none"/>
              </w:rPr>
            </w:pPr>
          </w:p>
          <w:p w14:paraId="019B7729">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00BB48B">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cs="宋体"/>
                <w:bCs/>
                <w:color w:val="auto"/>
                <w:sz w:val="24"/>
                <w:szCs w:val="24"/>
                <w:highlight w:val="none"/>
                <w:lang w:eastAsia="zh-CN"/>
              </w:rPr>
              <w:t>（</w:t>
            </w:r>
            <w:r>
              <w:rPr>
                <w:rFonts w:hint="eastAsia" w:cs="宋体"/>
                <w:bCs/>
                <w:color w:val="auto"/>
                <w:sz w:val="24"/>
                <w:szCs w:val="24"/>
                <w:highlight w:val="none"/>
                <w:lang w:val="en-US" w:eastAsia="zh-CN"/>
              </w:rPr>
              <w:t>元）</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p w14:paraId="08609AD9">
            <w:pPr>
              <w:snapToGrid w:val="0"/>
              <w:rPr>
                <w:rFonts w:cs="宋体" w:asciiTheme="minorEastAsia" w:hAnsiTheme="minorEastAsia" w:eastAsiaTheme="minorEastAsia"/>
                <w:b/>
                <w:color w:val="auto"/>
                <w:kern w:val="2"/>
                <w:sz w:val="24"/>
                <w:szCs w:val="24"/>
                <w:highlight w:val="none"/>
              </w:rPr>
            </w:pPr>
          </w:p>
        </w:tc>
      </w:tr>
      <w:tr w14:paraId="3DBE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08169E51">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6063" w:type="dxa"/>
            <w:vAlign w:val="center"/>
          </w:tcPr>
          <w:p w14:paraId="2A727C82">
            <w:pPr>
              <w:snapToGrid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2"/>
                <w:highlight w:val="none"/>
                <w:lang w:val="en-US" w:eastAsia="zh-CN"/>
              </w:rPr>
              <w:t>质量合格，满足国家和行业规范标准。</w:t>
            </w:r>
          </w:p>
        </w:tc>
      </w:tr>
      <w:tr w14:paraId="2283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16C59200">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6063" w:type="dxa"/>
            <w:vAlign w:val="center"/>
          </w:tcPr>
          <w:p w14:paraId="3C9847AF">
            <w:pPr>
              <w:snapToGrid w:val="0"/>
              <w:spacing w:line="360" w:lineRule="auto"/>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lang w:val="en-US" w:eastAsia="zh-CN"/>
              </w:rPr>
              <w:t>满足磋商文件要求</w:t>
            </w:r>
          </w:p>
        </w:tc>
      </w:tr>
      <w:tr w14:paraId="3677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51EA96FF">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6063" w:type="dxa"/>
            <w:vAlign w:val="center"/>
          </w:tcPr>
          <w:p w14:paraId="110DAE4A">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w:t>
            </w:r>
            <w:r>
              <w:rPr>
                <w:rFonts w:hint="eastAsia" w:cs="宋体" w:asciiTheme="minorEastAsia" w:hAnsiTheme="minorEastAsia" w:eastAsiaTheme="minorEastAsia"/>
                <w:color w:val="auto"/>
                <w:kern w:val="2"/>
                <w:sz w:val="24"/>
                <w:szCs w:val="24"/>
                <w:highlight w:val="none"/>
              </w:rPr>
              <w:sym w:font="Wingdings 2" w:char="0052"/>
            </w:r>
            <w:r>
              <w:rPr>
                <w:rFonts w:hint="eastAsia" w:cs="宋体" w:asciiTheme="minorEastAsia" w:hAnsiTheme="minorEastAsia" w:eastAsiaTheme="minorEastAsia"/>
                <w:color w:val="auto"/>
                <w:kern w:val="2"/>
                <w:sz w:val="24"/>
                <w:szCs w:val="24"/>
                <w:highlight w:val="none"/>
              </w:rPr>
              <w:t xml:space="preserve">    否□   （划√）</w:t>
            </w:r>
          </w:p>
        </w:tc>
      </w:tr>
      <w:tr w14:paraId="671F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2459" w:type="dxa"/>
            <w:vAlign w:val="center"/>
          </w:tcPr>
          <w:p w14:paraId="196BBEF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6063" w:type="dxa"/>
          </w:tcPr>
          <w:p w14:paraId="392B9318">
            <w:pPr>
              <w:rPr>
                <w:rFonts w:cs="宋体" w:asciiTheme="minorEastAsia" w:hAnsiTheme="minorEastAsia" w:eastAsiaTheme="minorEastAsia"/>
                <w:b/>
                <w:color w:val="auto"/>
                <w:kern w:val="2"/>
                <w:sz w:val="24"/>
                <w:szCs w:val="24"/>
                <w:highlight w:val="none"/>
              </w:rPr>
            </w:pPr>
          </w:p>
        </w:tc>
      </w:tr>
    </w:tbl>
    <w:p w14:paraId="41785E60">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073AEAAC">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72BAB82">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1167E8D7">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w:t>
      </w:r>
      <w:r>
        <w:rPr>
          <w:rFonts w:hint="eastAsia" w:cs="宋体" w:asciiTheme="minorEastAsia" w:hAnsiTheme="minorEastAsia" w:eastAsiaTheme="minorEastAsia"/>
          <w:b/>
          <w:bCs/>
          <w:color w:val="auto"/>
          <w:kern w:val="2"/>
          <w:sz w:val="24"/>
          <w:szCs w:val="24"/>
          <w:highlight w:val="none"/>
          <w:lang w:val="en-US" w:eastAsia="zh-CN"/>
        </w:rPr>
        <w:t>工程</w:t>
      </w:r>
      <w:r>
        <w:rPr>
          <w:rFonts w:hint="eastAsia" w:cs="宋体" w:asciiTheme="minorEastAsia" w:hAnsiTheme="minorEastAsia" w:eastAsiaTheme="minorEastAsia"/>
          <w:b/>
          <w:bCs/>
          <w:color w:val="auto"/>
          <w:kern w:val="2"/>
          <w:sz w:val="24"/>
          <w:szCs w:val="24"/>
          <w:highlight w:val="none"/>
        </w:rPr>
        <w:t>内容的所有费用。</w:t>
      </w:r>
    </w:p>
    <w:p w14:paraId="739ED73F">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6DEC92A2">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F439062">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1BD6CBC6">
      <w:pPr>
        <w:adjustRightInd w:val="0"/>
        <w:snapToGrid w:val="0"/>
        <w:spacing w:line="360" w:lineRule="auto"/>
        <w:outlineLvl w:val="9"/>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0CFE558B">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6EBC5EA6">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66" w:name="_Toc1874"/>
      <w:bookmarkStart w:id="667" w:name="_Toc26702"/>
      <w:r>
        <w:rPr>
          <w:rFonts w:hint="eastAsia" w:cs="宋体" w:asciiTheme="minorEastAsia" w:hAnsiTheme="minorEastAsia" w:eastAsiaTheme="minorEastAsia"/>
          <w:b/>
          <w:color w:val="auto"/>
          <w:sz w:val="24"/>
          <w:szCs w:val="24"/>
          <w:highlight w:val="none"/>
        </w:rPr>
        <w:t>工程量清单报价书</w:t>
      </w:r>
      <w:bookmarkEnd w:id="666"/>
      <w:bookmarkEnd w:id="667"/>
    </w:p>
    <w:p w14:paraId="49403BC9">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4A55CF89">
      <w:pPr>
        <w:widowControl/>
        <w:jc w:val="left"/>
        <w:rPr>
          <w:b/>
          <w:bCs/>
          <w:color w:val="auto"/>
          <w:sz w:val="24"/>
          <w:szCs w:val="28"/>
          <w:highlight w:val="none"/>
        </w:rPr>
      </w:pPr>
      <w:r>
        <w:rPr>
          <w:b/>
          <w:bCs/>
          <w:color w:val="auto"/>
          <w:sz w:val="24"/>
          <w:szCs w:val="28"/>
          <w:highlight w:val="none"/>
        </w:rPr>
        <w:br w:type="page"/>
      </w:r>
    </w:p>
    <w:p w14:paraId="2D0BE9B1">
      <w:pPr>
        <w:spacing w:line="360" w:lineRule="auto"/>
        <w:jc w:val="both"/>
        <w:outlineLvl w:val="9"/>
        <w:rPr>
          <w:rFonts w:asciiTheme="minorEastAsia" w:hAnsiTheme="minorEastAsia" w:eastAsiaTheme="minorEastAsia"/>
          <w:b/>
          <w:color w:val="auto"/>
          <w:sz w:val="24"/>
          <w:highlight w:val="none"/>
        </w:rPr>
      </w:pPr>
      <w:bookmarkStart w:id="668" w:name="_Toc520983588"/>
      <w:bookmarkStart w:id="669" w:name="_Toc20879"/>
      <w:bookmarkStart w:id="670" w:name="_Toc22341"/>
      <w:r>
        <w:rPr>
          <w:rFonts w:hint="eastAsia" w:asciiTheme="minorEastAsia" w:hAnsiTheme="minorEastAsia" w:eastAsiaTheme="minorEastAsia"/>
          <w:b/>
          <w:color w:val="auto"/>
          <w:sz w:val="24"/>
          <w:highlight w:val="none"/>
          <w:lang w:val="en-US" w:eastAsia="zh-CN"/>
        </w:rPr>
        <w:t>1-3</w:t>
      </w:r>
      <w:r>
        <w:rPr>
          <w:rFonts w:hint="eastAsia" w:asciiTheme="minorEastAsia" w:hAnsiTheme="minorEastAsia" w:eastAsiaTheme="minorEastAsia"/>
          <w:b/>
          <w:color w:val="auto"/>
          <w:sz w:val="24"/>
          <w:highlight w:val="none"/>
        </w:rPr>
        <w:t>最后承诺报价表</w:t>
      </w:r>
      <w:bookmarkEnd w:id="668"/>
      <w:bookmarkEnd w:id="669"/>
      <w:bookmarkEnd w:id="670"/>
    </w:p>
    <w:p w14:paraId="09138B47">
      <w:pPr>
        <w:spacing w:before="156" w:beforeLines="50" w:after="156" w:afterLines="50" w:line="360" w:lineRule="auto"/>
        <w:ind w:firstLine="236" w:firstLineChars="98"/>
        <w:jc w:val="center"/>
        <w:outlineLvl w:val="9"/>
        <w:rPr>
          <w:b/>
          <w:color w:val="auto"/>
          <w:sz w:val="24"/>
          <w:szCs w:val="28"/>
          <w:highlight w:val="none"/>
        </w:rPr>
      </w:pPr>
      <w:bookmarkStart w:id="671" w:name="_Toc13333"/>
      <w:bookmarkStart w:id="672"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71"/>
      <w:bookmarkEnd w:id="672"/>
    </w:p>
    <w:p w14:paraId="487E9131">
      <w:pPr>
        <w:snapToGrid w:val="0"/>
        <w:spacing w:after="156" w:afterLines="50" w:line="360" w:lineRule="auto"/>
        <w:jc w:val="left"/>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eastAsia="zh-CN"/>
        </w:rPr>
        <w:t>省淮河局、省临淮岗局水闸自动化运行维护等（第1包）</w:t>
      </w:r>
    </w:p>
    <w:p w14:paraId="1802D668">
      <w:pPr>
        <w:snapToGrid w:val="0"/>
        <w:spacing w:after="156" w:afterLines="50" w:line="360" w:lineRule="auto"/>
        <w:jc w:val="left"/>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fldChar w:fldCharType="begin"/>
      </w:r>
      <w:r>
        <w:rPr>
          <w:rFonts w:hint="eastAsia" w:cs="宋体" w:asciiTheme="minorEastAsia" w:hAnsiTheme="minorEastAsia" w:eastAsiaTheme="minorEastAsia"/>
          <w:b/>
          <w:color w:val="auto"/>
          <w:kern w:val="2"/>
          <w:sz w:val="24"/>
          <w:szCs w:val="24"/>
          <w:highlight w:val="none"/>
          <w:u w:val="single"/>
          <w:lang w:eastAsia="zh-CN"/>
        </w:rPr>
        <w:instrText xml:space="preserve"> HYPERLINK "https://pay.anhui.zcygov.cn/purchaseplan_front/" \l "/plan/list/view?id=1000000000005136112&amp;_app_=zcy.procurement" \t "https://www.anhui.zcygov.cn/project-center/_procurement_/purchasePlans/_blank" </w:instrText>
      </w:r>
      <w:r>
        <w:rPr>
          <w:rFonts w:hint="eastAsia" w:cs="宋体" w:asciiTheme="minorEastAsia" w:hAnsiTheme="minorEastAsia" w:eastAsiaTheme="minorEastAsia"/>
          <w:b/>
          <w:color w:val="auto"/>
          <w:kern w:val="2"/>
          <w:sz w:val="24"/>
          <w:szCs w:val="24"/>
          <w:highlight w:val="none"/>
          <w:u w:val="single"/>
          <w:lang w:eastAsia="zh-CN"/>
        </w:rPr>
        <w:fldChar w:fldCharType="separate"/>
      </w:r>
      <w:r>
        <w:rPr>
          <w:rFonts w:hint="eastAsia" w:cs="宋体" w:asciiTheme="minorEastAsia" w:hAnsiTheme="minorEastAsia" w:eastAsiaTheme="minorEastAsia"/>
          <w:b/>
          <w:color w:val="auto"/>
          <w:kern w:val="2"/>
          <w:sz w:val="24"/>
          <w:szCs w:val="24"/>
          <w:highlight w:val="none"/>
          <w:u w:val="single"/>
          <w:lang w:eastAsia="zh-CN"/>
        </w:rPr>
        <w:fldChar w:fldCharType="end"/>
      </w:r>
    </w:p>
    <w:tbl>
      <w:tblPr>
        <w:tblStyle w:val="5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2"/>
        <w:gridCol w:w="5950"/>
      </w:tblGrid>
      <w:tr w14:paraId="6069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572" w:type="dxa"/>
            <w:tcBorders>
              <w:top w:val="single" w:color="auto" w:sz="4" w:space="0"/>
              <w:left w:val="single" w:color="auto" w:sz="4" w:space="0"/>
              <w:bottom w:val="single" w:color="auto" w:sz="4" w:space="0"/>
              <w:right w:val="single" w:color="auto" w:sz="4" w:space="0"/>
            </w:tcBorders>
            <w:vAlign w:val="center"/>
          </w:tcPr>
          <w:p w14:paraId="408297F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5950" w:type="dxa"/>
            <w:tcBorders>
              <w:left w:val="single" w:color="auto" w:sz="4" w:space="0"/>
            </w:tcBorders>
          </w:tcPr>
          <w:p w14:paraId="764529B8">
            <w:pPr>
              <w:rPr>
                <w:rFonts w:cs="宋体" w:asciiTheme="minorEastAsia" w:hAnsiTheme="minorEastAsia" w:eastAsiaTheme="minorEastAsia"/>
                <w:b/>
                <w:color w:val="auto"/>
                <w:kern w:val="2"/>
                <w:sz w:val="24"/>
                <w:szCs w:val="24"/>
                <w:highlight w:val="none"/>
              </w:rPr>
            </w:pPr>
          </w:p>
        </w:tc>
      </w:tr>
      <w:tr w14:paraId="7271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572" w:type="dxa"/>
            <w:tcBorders>
              <w:top w:val="single" w:color="auto" w:sz="4" w:space="0"/>
              <w:left w:val="single" w:color="auto" w:sz="4" w:space="0"/>
              <w:bottom w:val="single" w:color="auto" w:sz="4" w:space="0"/>
              <w:right w:val="single" w:color="auto" w:sz="4" w:space="0"/>
            </w:tcBorders>
            <w:vAlign w:val="center"/>
          </w:tcPr>
          <w:p w14:paraId="449B9F7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5950" w:type="dxa"/>
            <w:tcBorders>
              <w:left w:val="single" w:color="auto" w:sz="4" w:space="0"/>
            </w:tcBorders>
            <w:vAlign w:val="center"/>
          </w:tcPr>
          <w:p w14:paraId="12AEBEED">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5DC0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2572" w:type="dxa"/>
            <w:tcBorders>
              <w:top w:val="single" w:color="auto" w:sz="4" w:space="0"/>
            </w:tcBorders>
            <w:vAlign w:val="center"/>
          </w:tcPr>
          <w:p w14:paraId="71475CA2">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613C9E49">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5950" w:type="dxa"/>
            <w:vAlign w:val="center"/>
          </w:tcPr>
          <w:p w14:paraId="432BAC70">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F991022">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cs="宋体"/>
                <w:bCs/>
                <w:color w:val="auto"/>
                <w:sz w:val="24"/>
                <w:szCs w:val="24"/>
                <w:highlight w:val="none"/>
                <w:lang w:eastAsia="zh-CN"/>
              </w:rPr>
              <w:t>（</w:t>
            </w:r>
            <w:r>
              <w:rPr>
                <w:rFonts w:hint="eastAsia" w:cs="宋体"/>
                <w:bCs/>
                <w:color w:val="auto"/>
                <w:sz w:val="24"/>
                <w:szCs w:val="24"/>
                <w:highlight w:val="none"/>
                <w:lang w:val="en-US" w:eastAsia="zh-CN"/>
              </w:rPr>
              <w:t>元）</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tc>
      </w:tr>
      <w:tr w14:paraId="743C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676AF57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5950" w:type="dxa"/>
            <w:vAlign w:val="center"/>
          </w:tcPr>
          <w:p w14:paraId="307F1325">
            <w:pPr>
              <w:snapToGrid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2"/>
                <w:highlight w:val="none"/>
                <w:lang w:val="en-US" w:eastAsia="zh-CN"/>
              </w:rPr>
              <w:t>质量合格，满足国家和行业规范标准。</w:t>
            </w:r>
          </w:p>
        </w:tc>
      </w:tr>
      <w:tr w14:paraId="61EA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25A2F27A">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5950" w:type="dxa"/>
            <w:vAlign w:val="center"/>
          </w:tcPr>
          <w:p w14:paraId="350EC751">
            <w:pPr>
              <w:snapToGrid w:val="0"/>
              <w:spacing w:line="360" w:lineRule="auto"/>
              <w:rPr>
                <w:rFonts w:hint="default" w:cs="宋体" w:asciiTheme="minorEastAsia" w:hAnsiTheme="minorEastAsia" w:eastAsiaTheme="minorEastAsia"/>
                <w:b/>
                <w:color w:val="auto"/>
                <w:kern w:val="2"/>
                <w:sz w:val="24"/>
                <w:szCs w:val="24"/>
                <w:highlight w:val="none"/>
                <w:lang w:val="en-US"/>
              </w:rPr>
            </w:pPr>
            <w:r>
              <w:rPr>
                <w:rFonts w:hint="eastAsia" w:cs="@仿宋_GB2312" w:asciiTheme="minorEastAsia" w:hAnsiTheme="minorEastAsia" w:eastAsiaTheme="minorEastAsia"/>
                <w:color w:val="auto"/>
                <w:kern w:val="2"/>
                <w:sz w:val="24"/>
                <w:szCs w:val="22"/>
                <w:highlight w:val="none"/>
                <w:lang w:val="en-US" w:eastAsia="zh-CN"/>
              </w:rPr>
              <w:t>满足磋商文件要求</w:t>
            </w:r>
          </w:p>
        </w:tc>
      </w:tr>
      <w:tr w14:paraId="2F0F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6DBA3F2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5950" w:type="dxa"/>
            <w:vAlign w:val="center"/>
          </w:tcPr>
          <w:p w14:paraId="6B04BABB">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w:t>
            </w:r>
            <w:r>
              <w:rPr>
                <w:rFonts w:hint="eastAsia" w:cs="宋体" w:asciiTheme="minorEastAsia" w:hAnsiTheme="minorEastAsia" w:eastAsiaTheme="minorEastAsia"/>
                <w:color w:val="auto"/>
                <w:kern w:val="2"/>
                <w:sz w:val="24"/>
                <w:szCs w:val="24"/>
                <w:highlight w:val="none"/>
              </w:rPr>
              <w:sym w:font="Wingdings 2" w:char="0052"/>
            </w:r>
            <w:r>
              <w:rPr>
                <w:rFonts w:hint="eastAsia" w:cs="宋体" w:asciiTheme="minorEastAsia" w:hAnsiTheme="minorEastAsia" w:eastAsiaTheme="minorEastAsia"/>
                <w:color w:val="auto"/>
                <w:kern w:val="2"/>
                <w:sz w:val="24"/>
                <w:szCs w:val="24"/>
                <w:highlight w:val="none"/>
              </w:rPr>
              <w:t xml:space="preserve">    否□   （划√）</w:t>
            </w:r>
          </w:p>
        </w:tc>
      </w:tr>
      <w:tr w14:paraId="46EE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2572" w:type="dxa"/>
            <w:vAlign w:val="center"/>
          </w:tcPr>
          <w:p w14:paraId="53F4ADB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5950" w:type="dxa"/>
          </w:tcPr>
          <w:p w14:paraId="02D359B9">
            <w:pPr>
              <w:rPr>
                <w:rFonts w:cs="宋体" w:asciiTheme="minorEastAsia" w:hAnsiTheme="minorEastAsia" w:eastAsiaTheme="minorEastAsia"/>
                <w:b/>
                <w:color w:val="auto"/>
                <w:kern w:val="2"/>
                <w:sz w:val="24"/>
                <w:szCs w:val="24"/>
                <w:highlight w:val="none"/>
              </w:rPr>
            </w:pPr>
          </w:p>
        </w:tc>
      </w:tr>
      <w:tr w14:paraId="77BC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572" w:type="dxa"/>
            <w:vAlign w:val="center"/>
          </w:tcPr>
          <w:p w14:paraId="2FB2D2E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5950" w:type="dxa"/>
          </w:tcPr>
          <w:p w14:paraId="4047EE08">
            <w:pPr>
              <w:rPr>
                <w:rFonts w:cs="宋体" w:asciiTheme="minorEastAsia" w:hAnsiTheme="minorEastAsia" w:eastAsiaTheme="minorEastAsia"/>
                <w:b/>
                <w:color w:val="auto"/>
                <w:kern w:val="2"/>
                <w:sz w:val="24"/>
                <w:szCs w:val="24"/>
                <w:highlight w:val="none"/>
              </w:rPr>
            </w:pPr>
          </w:p>
        </w:tc>
      </w:tr>
    </w:tbl>
    <w:p w14:paraId="0F69E08B">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5DB857AF">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0D146A0A">
      <w:pPr>
        <w:adjustRightInd w:val="0"/>
        <w:snapToGrid w:val="0"/>
        <w:spacing w:line="360" w:lineRule="auto"/>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注：</w:t>
      </w:r>
    </w:p>
    <w:p w14:paraId="224BC6AD">
      <w:pPr>
        <w:spacing w:line="360" w:lineRule="auto"/>
        <w:ind w:firstLine="422" w:firstLineChars="200"/>
        <w:jc w:val="left"/>
        <w:rPr>
          <w:rFonts w:hint="eastAsia"/>
          <w:b/>
          <w:bCs/>
          <w:color w:val="FF0000"/>
          <w:sz w:val="21"/>
          <w:szCs w:val="21"/>
          <w:highlight w:val="none"/>
          <w:lang w:val="en-US" w:eastAsia="zh-CN"/>
        </w:rPr>
      </w:pPr>
      <w:r>
        <w:rPr>
          <w:rFonts w:hint="eastAsia" w:ascii="宋体" w:hAnsi="宋体" w:eastAsia="宋体"/>
          <w:b/>
          <w:bCs/>
          <w:color w:val="auto"/>
          <w:sz w:val="21"/>
          <w:szCs w:val="21"/>
          <w:highlight w:val="none"/>
        </w:rPr>
        <w:t>1.本页《报价表》由供应商在接到报价通知后依据磋商情况填写,并在规定</w:t>
      </w:r>
      <w:r>
        <w:rPr>
          <w:rFonts w:hint="eastAsia"/>
          <w:b/>
          <w:bCs/>
          <w:color w:val="auto"/>
          <w:sz w:val="21"/>
          <w:szCs w:val="21"/>
          <w:highlight w:val="none"/>
          <w:lang w:val="en-US" w:eastAsia="zh-CN"/>
        </w:rPr>
        <w:t>30分钟</w:t>
      </w:r>
      <w:r>
        <w:rPr>
          <w:rFonts w:hint="eastAsia" w:ascii="宋体" w:hAnsi="宋体" w:eastAsia="宋体"/>
          <w:b/>
          <w:bCs/>
          <w:color w:val="auto"/>
          <w:sz w:val="21"/>
          <w:szCs w:val="21"/>
          <w:highlight w:val="none"/>
        </w:rPr>
        <w:t>内提交。考虑磋商报价的方便，供应商在填写最后承诺报价后，（第一次报价-最后承诺报价）除以第一次报价后得出的优惠率视同为</w:t>
      </w:r>
      <w:r>
        <w:rPr>
          <w:rFonts w:hint="eastAsia"/>
          <w:b/>
          <w:bCs/>
          <w:color w:val="auto"/>
          <w:sz w:val="21"/>
          <w:szCs w:val="21"/>
          <w:highlight w:val="none"/>
          <w:lang w:val="en-US" w:eastAsia="zh-CN"/>
        </w:rPr>
        <w:t>供应商第一次报价</w:t>
      </w:r>
      <w:r>
        <w:rPr>
          <w:rFonts w:hint="eastAsia" w:ascii="宋体" w:hAnsi="宋体" w:eastAsia="宋体"/>
          <w:b/>
          <w:bCs/>
          <w:color w:val="auto"/>
          <w:sz w:val="21"/>
          <w:szCs w:val="21"/>
          <w:highlight w:val="none"/>
        </w:rPr>
        <w:t>清单中全部分项工程量的优惠浮动值</w:t>
      </w:r>
      <w:r>
        <w:rPr>
          <w:rFonts w:hint="eastAsia"/>
          <w:b/>
          <w:bCs/>
          <w:color w:val="000000" w:themeColor="text1"/>
          <w:sz w:val="21"/>
          <w:szCs w:val="21"/>
          <w14:textFill>
            <w14:solidFill>
              <w14:schemeClr w14:val="tx1"/>
            </w14:solidFill>
          </w14:textFill>
        </w:rPr>
        <w:t>（①以上</w:t>
      </w:r>
      <w:r>
        <w:rPr>
          <w:rFonts w:hint="eastAsia" w:ascii="宋体" w:hAnsi="宋体" w:eastAsia="宋体"/>
          <w:b/>
          <w:bCs/>
          <w:color w:val="auto"/>
          <w:sz w:val="21"/>
          <w:szCs w:val="21"/>
          <w:highlight w:val="none"/>
        </w:rPr>
        <w:t>第一次报价</w:t>
      </w:r>
      <w:r>
        <w:rPr>
          <w:rFonts w:hint="eastAsia"/>
          <w:b/>
          <w:bCs/>
          <w:color w:val="000000" w:themeColor="text1"/>
          <w:sz w:val="21"/>
          <w:szCs w:val="21"/>
          <w14:textFill>
            <w14:solidFill>
              <w14:schemeClr w14:val="tx1"/>
            </w14:solidFill>
          </w14:textFill>
        </w:rPr>
        <w:t>、最后承诺报价计算时均不含安全生产费；②计算结果保留小数点后两位，小数点后第三位“四舍五入”）。</w:t>
      </w:r>
      <w:r>
        <w:rPr>
          <w:rFonts w:hint="eastAsia" w:ascii="宋体" w:hAnsi="宋体" w:eastAsia="宋体"/>
          <w:b/>
          <w:bCs/>
          <w:color w:val="auto"/>
          <w:sz w:val="21"/>
          <w:szCs w:val="21"/>
          <w:highlight w:val="none"/>
        </w:rPr>
        <w:t>此优惠率调整原则适用于合同内价格的计算及项目增减、变更时价格的计算。</w:t>
      </w:r>
    </w:p>
    <w:p w14:paraId="177DF4FD">
      <w:pPr>
        <w:spacing w:line="360" w:lineRule="auto"/>
        <w:ind w:firstLine="422" w:firstLineChars="200"/>
        <w:jc w:val="left"/>
        <w:rPr>
          <w:rFonts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2.如按照上述原则存在部分分项报价无法取整，合同价格按照最终承诺报价不变双方协商后修正部分分项报价单价</w:t>
      </w:r>
      <w:r>
        <w:rPr>
          <w:rFonts w:hint="eastAsia" w:cs="宋体"/>
          <w:b/>
          <w:bCs/>
          <w:color w:val="FF0000"/>
          <w:sz w:val="21"/>
          <w:szCs w:val="21"/>
          <w:highlight w:val="none"/>
          <w:lang w:eastAsia="zh-CN"/>
        </w:rPr>
        <w:t>，</w:t>
      </w:r>
      <w:r>
        <w:rPr>
          <w:rFonts w:hint="eastAsia" w:cs="宋体"/>
          <w:b/>
          <w:bCs/>
          <w:color w:val="FF0000"/>
          <w:sz w:val="21"/>
          <w:szCs w:val="21"/>
          <w:highlight w:val="none"/>
          <w:lang w:val="en-US" w:eastAsia="zh-CN"/>
        </w:rPr>
        <w:t>并将调整后的分项单价作为结算依据</w:t>
      </w:r>
      <w:r>
        <w:rPr>
          <w:rFonts w:hint="eastAsia" w:ascii="宋体" w:hAnsi="宋体" w:eastAsia="宋体" w:cs="宋体"/>
          <w:b/>
          <w:bCs/>
          <w:color w:val="FF0000"/>
          <w:sz w:val="21"/>
          <w:szCs w:val="21"/>
          <w:highlight w:val="none"/>
        </w:rPr>
        <w:t>。</w:t>
      </w:r>
    </w:p>
    <w:p w14:paraId="427A62C1">
      <w:pPr>
        <w:spacing w:line="360" w:lineRule="auto"/>
        <w:ind w:firstLine="422" w:firstLineChars="200"/>
        <w:jc w:val="left"/>
        <w:rPr>
          <w:bCs/>
          <w:color w:val="auto"/>
          <w:sz w:val="24"/>
          <w:highlight w:val="none"/>
        </w:rPr>
      </w:pPr>
      <w:r>
        <w:rPr>
          <w:rFonts w:hint="default" w:ascii="宋体" w:hAnsi="宋体" w:eastAsia="宋体" w:cs="宋体"/>
          <w:b/>
          <w:bCs/>
          <w:color w:val="auto"/>
          <w:sz w:val="21"/>
          <w:szCs w:val="21"/>
          <w:highlight w:val="none"/>
          <w:lang w:val="en-US"/>
        </w:rPr>
        <w:t>3</w:t>
      </w:r>
      <w:r>
        <w:rPr>
          <w:rFonts w:hint="eastAsia" w:ascii="宋体" w:hAnsi="宋体" w:eastAsia="宋体" w:cs="宋体"/>
          <w:b/>
          <w:bCs/>
          <w:color w:val="auto"/>
          <w:sz w:val="21"/>
          <w:szCs w:val="21"/>
          <w:highlight w:val="none"/>
        </w:rPr>
        <w:t>.表中大写金额与小写金额不一致的，以大写金额为准。</w:t>
      </w:r>
      <w:r>
        <w:rPr>
          <w:bCs/>
          <w:color w:val="auto"/>
          <w:sz w:val="24"/>
          <w:highlight w:val="none"/>
        </w:rPr>
        <w:br w:type="page"/>
      </w:r>
    </w:p>
    <w:p w14:paraId="55DE00F0">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73" w:name="_Toc22429"/>
      <w:bookmarkStart w:id="674" w:name="_Toc7943"/>
      <w:bookmarkStart w:id="675" w:name="_Toc520983591"/>
      <w:r>
        <w:rPr>
          <w:rFonts w:hint="eastAsia" w:cs="@仿宋_GB2312" w:asciiTheme="minorEastAsia" w:hAnsiTheme="minorEastAsia" w:eastAsiaTheme="minorEastAsia"/>
          <w:b/>
          <w:bCs/>
          <w:color w:val="auto"/>
          <w:kern w:val="2"/>
          <w:sz w:val="24"/>
          <w:szCs w:val="24"/>
          <w:highlight w:val="none"/>
          <w:lang w:val="en-US" w:eastAsia="zh-CN"/>
        </w:rPr>
        <w:t>二</w:t>
      </w:r>
      <w:r>
        <w:rPr>
          <w:rFonts w:hint="eastAsia" w:cs="@仿宋_GB2312" w:asciiTheme="minorEastAsia" w:hAnsiTheme="minorEastAsia" w:eastAsiaTheme="minorEastAsia"/>
          <w:b/>
          <w:bCs/>
          <w:color w:val="auto"/>
          <w:kern w:val="2"/>
          <w:sz w:val="24"/>
          <w:szCs w:val="24"/>
          <w:highlight w:val="none"/>
        </w:rPr>
        <w:t>、供应商综合情况简介</w:t>
      </w:r>
      <w:bookmarkEnd w:id="673"/>
      <w:bookmarkEnd w:id="674"/>
    </w:p>
    <w:p w14:paraId="2EEC9C08">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28BEDD56">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611734E1">
      <w:pPr>
        <w:spacing w:line="360" w:lineRule="auto"/>
        <w:jc w:val="center"/>
        <w:outlineLvl w:val="1"/>
        <w:rPr>
          <w:rFonts w:asciiTheme="minorEastAsia" w:hAnsiTheme="minorEastAsia" w:eastAsiaTheme="minorEastAsia"/>
          <w:b/>
          <w:color w:val="auto"/>
          <w:sz w:val="24"/>
          <w:highlight w:val="none"/>
        </w:rPr>
      </w:pPr>
      <w:bookmarkStart w:id="676" w:name="_Toc28160"/>
      <w:bookmarkStart w:id="677" w:name="_Toc8006"/>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、磋商响应函</w:t>
      </w:r>
      <w:bookmarkEnd w:id="675"/>
      <w:bookmarkEnd w:id="676"/>
      <w:bookmarkEnd w:id="677"/>
    </w:p>
    <w:p w14:paraId="6A5F8081">
      <w:pPr>
        <w:spacing w:line="360" w:lineRule="auto"/>
        <w:rPr>
          <w:rFonts w:hint="default" w:cs="宋体" w:asciiTheme="minorEastAsia" w:hAnsiTheme="minorEastAsia" w:eastAsiaTheme="minorEastAsia"/>
          <w:b/>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val="en-US" w:eastAsia="zh-CN"/>
        </w:rPr>
        <w:t>安徽省淮河河道管理局</w:t>
      </w:r>
    </w:p>
    <w:p w14:paraId="58519658">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40E3AA41">
      <w:pPr>
        <w:numPr>
          <w:ilvl w:val="0"/>
          <w:numId w:val="8"/>
        </w:numPr>
        <w:spacing w:line="360" w:lineRule="auto"/>
        <w:ind w:firstLine="480" w:firstLineChars="200"/>
        <w:rPr>
          <w:rFonts w:hint="eastAsia"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5708984">
      <w:pPr>
        <w:numPr>
          <w:ilvl w:val="0"/>
          <w:numId w:val="0"/>
        </w:numPr>
        <w:spacing w:line="360" w:lineRule="auto"/>
        <w:ind w:firstLine="480" w:firstLineChars="200"/>
        <w:rPr>
          <w:rFonts w:hint="eastAsia" w:cs="宋体" w:asciiTheme="minorEastAsia" w:hAnsiTheme="minorEastAsia" w:eastAsiaTheme="minorEastAsia"/>
          <w:bCs/>
          <w:color w:val="auto"/>
          <w:kern w:val="2"/>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我方在本项目投标中提供的</w:t>
      </w:r>
      <w:r>
        <w:rPr>
          <w:rFonts w:hint="eastAsia" w:cs="宋体"/>
          <w:color w:val="auto"/>
          <w:sz w:val="24"/>
          <w:szCs w:val="24"/>
          <w:highlight w:val="none"/>
          <w:lang w:val="en-US" w:eastAsia="zh-CN"/>
        </w:rPr>
        <w:t>供应商</w:t>
      </w:r>
      <w:r>
        <w:rPr>
          <w:rFonts w:ascii="宋体" w:hAnsi="宋体" w:eastAsia="宋体" w:cs="宋体"/>
          <w:color w:val="auto"/>
          <w:sz w:val="24"/>
          <w:szCs w:val="24"/>
          <w:highlight w:val="none"/>
        </w:rPr>
        <w:t>授权</w:t>
      </w:r>
      <w:r>
        <w:rPr>
          <w:rFonts w:hint="eastAsia" w:cs="宋体"/>
          <w:color w:val="auto"/>
          <w:sz w:val="24"/>
          <w:szCs w:val="24"/>
          <w:highlight w:val="none"/>
          <w:lang w:val="en-US" w:eastAsia="zh-CN"/>
        </w:rPr>
        <w:t>代表</w:t>
      </w:r>
      <w:r>
        <w:rPr>
          <w:rFonts w:ascii="宋体" w:hAnsi="宋体" w:eastAsia="宋体" w:cs="宋体"/>
          <w:color w:val="auto"/>
          <w:sz w:val="24"/>
          <w:szCs w:val="24"/>
          <w:highlight w:val="none"/>
        </w:rPr>
        <w:t>，以及</w:t>
      </w:r>
      <w:r>
        <w:rPr>
          <w:rFonts w:hint="eastAsia" w:cs="宋体"/>
          <w:color w:val="auto"/>
          <w:sz w:val="24"/>
          <w:szCs w:val="24"/>
          <w:highlight w:val="none"/>
          <w:lang w:val="en-US" w:eastAsia="zh-CN"/>
        </w:rPr>
        <w:t>响应</w:t>
      </w:r>
      <w:r>
        <w:rPr>
          <w:rFonts w:ascii="宋体" w:hAnsi="宋体" w:eastAsia="宋体" w:cs="宋体"/>
          <w:color w:val="auto"/>
          <w:sz w:val="24"/>
          <w:szCs w:val="24"/>
          <w:highlight w:val="none"/>
        </w:rPr>
        <w:t>文件中确定的项目管理人员，均与我单位具有劳动合同关系、且已依法缴纳社会保险。</w:t>
      </w:r>
    </w:p>
    <w:p w14:paraId="648A7E83">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lang w:val="en-US" w:eastAsia="zh-CN"/>
        </w:rPr>
        <w:t>3</w:t>
      </w:r>
      <w:r>
        <w:rPr>
          <w:rFonts w:hint="eastAsia" w:cs="宋体" w:asciiTheme="minorEastAsia" w:hAnsiTheme="minorEastAsia" w:eastAsiaTheme="minorEastAsia"/>
          <w:color w:val="auto"/>
          <w:kern w:val="2"/>
          <w:sz w:val="24"/>
          <w:szCs w:val="24"/>
          <w:highlight w:val="none"/>
        </w:rPr>
        <w:t>.我方已详细审核并确认全部磋商文件及有关附件，充分理解磋商价格不得低于企业个别成本有关规定。我方经成本核算，所填报的磋商报价不低于企业个别成本。</w:t>
      </w:r>
    </w:p>
    <w:p w14:paraId="15AD05FD">
      <w:pPr>
        <w:spacing w:line="360" w:lineRule="auto"/>
        <w:ind w:firstLine="480" w:firstLineChars="200"/>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0915F7B2">
      <w:pPr>
        <w:spacing w:line="360" w:lineRule="auto"/>
        <w:ind w:firstLine="480" w:firstLineChars="200"/>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3352CE4E">
      <w:pPr>
        <w:spacing w:line="360" w:lineRule="auto"/>
        <w:ind w:firstLine="480" w:firstLineChars="200"/>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6778E74B">
      <w:pPr>
        <w:spacing w:line="360" w:lineRule="auto"/>
        <w:ind w:firstLine="480" w:firstLineChars="200"/>
        <w:rPr>
          <w:rFonts w:hint="eastAsia"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lang w:val="en-US" w:eastAsia="zh-CN"/>
        </w:rPr>
        <w:t>7</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p>
    <w:p w14:paraId="35296FFC">
      <w:pPr>
        <w:spacing w:line="360" w:lineRule="auto"/>
        <w:ind w:firstLine="480" w:firstLineChars="200"/>
        <w:rPr>
          <w:rFonts w:hint="eastAsia" w:ascii="Times New Roman" w:hAnsi="Times New Roman"/>
          <w:color w:val="auto"/>
          <w:sz w:val="24"/>
          <w:szCs w:val="24"/>
          <w:highlight w:val="none"/>
          <w:lang w:val="en-US" w:eastAsia="zh-CN" w:bidi="ar"/>
        </w:rPr>
      </w:pPr>
      <w:r>
        <w:rPr>
          <w:rFonts w:hint="eastAsia" w:cs="宋体" w:asciiTheme="minorEastAsia" w:hAnsiTheme="minorEastAsia" w:eastAsiaTheme="minorEastAsia"/>
          <w:color w:val="auto"/>
          <w:kern w:val="2"/>
          <w:sz w:val="24"/>
          <w:szCs w:val="24"/>
          <w:highlight w:val="none"/>
          <w:lang w:eastAsia="zh-CN"/>
        </w:rPr>
        <w:t>（</w:t>
      </w:r>
      <w:r>
        <w:rPr>
          <w:rFonts w:hint="eastAsia" w:cs="宋体" w:asciiTheme="minorEastAsia" w:hAnsiTheme="minorEastAsia" w:eastAsiaTheme="minorEastAsia"/>
          <w:color w:val="auto"/>
          <w:kern w:val="2"/>
          <w:sz w:val="24"/>
          <w:szCs w:val="24"/>
          <w:highlight w:val="none"/>
          <w:lang w:val="en-US" w:eastAsia="zh-CN"/>
        </w:rPr>
        <w:t>1）</w:t>
      </w:r>
      <w:r>
        <w:rPr>
          <w:rFonts w:hint="eastAsia" w:cs="宋体" w:asciiTheme="minorEastAsia" w:hAnsiTheme="minorEastAsia" w:eastAsiaTheme="minorEastAsia"/>
          <w:b/>
          <w:bCs/>
          <w:color w:val="FF0000"/>
          <w:kern w:val="2"/>
          <w:sz w:val="24"/>
          <w:szCs w:val="24"/>
          <w:highlight w:val="none"/>
          <w:lang w:val="en-US" w:eastAsia="zh-CN"/>
        </w:rPr>
        <w:t>我方承诺为</w:t>
      </w:r>
      <w:r>
        <w:rPr>
          <w:rFonts w:hint="eastAsia" w:ascii="Times New Roman" w:hAnsi="Times New Roman"/>
          <w:b/>
          <w:bCs/>
          <w:color w:val="FF0000"/>
          <w:sz w:val="24"/>
          <w:szCs w:val="24"/>
          <w:highlight w:val="none"/>
          <w:lang w:val="en-US" w:eastAsia="zh-CN" w:bidi="ar"/>
        </w:rPr>
        <w:t>采购需求（技术参数）中要求提供质保的设备提供设备产品质保，质保期为</w:t>
      </w:r>
      <w:r>
        <w:rPr>
          <w:rFonts w:hint="eastAsia" w:ascii="Times New Roman" w:hAnsi="Times New Roman"/>
          <w:color w:val="FF0000"/>
          <w:sz w:val="24"/>
          <w:szCs w:val="24"/>
          <w:highlight w:val="none"/>
          <w:u w:val="single"/>
          <w:lang w:val="en-US" w:eastAsia="zh-CN" w:bidi="ar"/>
        </w:rPr>
        <w:t xml:space="preserve">     年</w:t>
      </w:r>
      <w:r>
        <w:rPr>
          <w:rFonts w:hint="eastAsia" w:ascii="Times New Roman" w:hAnsi="Times New Roman"/>
          <w:color w:val="FF0000"/>
          <w:sz w:val="24"/>
          <w:szCs w:val="24"/>
          <w:highlight w:val="none"/>
          <w:lang w:val="en-US" w:eastAsia="zh-CN" w:bidi="ar"/>
        </w:rPr>
        <w:t>。</w:t>
      </w:r>
    </w:p>
    <w:p w14:paraId="2C224835">
      <w:pPr>
        <w:spacing w:line="360" w:lineRule="auto"/>
        <w:ind w:firstLine="482" w:firstLineChars="200"/>
        <w:rPr>
          <w:rFonts w:hint="eastAsia" w:ascii="Times New Roman" w:hAnsi="Times New Roman"/>
          <w:b/>
          <w:bCs/>
          <w:color w:val="FF0000"/>
          <w:sz w:val="24"/>
          <w:szCs w:val="24"/>
          <w:highlight w:val="none"/>
          <w:lang w:val="en-US" w:eastAsia="zh-CN" w:bidi="ar"/>
        </w:rPr>
      </w:pPr>
      <w:r>
        <w:rPr>
          <w:rFonts w:hint="eastAsia" w:ascii="Times New Roman" w:hAnsi="Times New Roman"/>
          <w:b/>
          <w:bCs/>
          <w:color w:val="FF0000"/>
          <w:sz w:val="24"/>
          <w:szCs w:val="24"/>
          <w:highlight w:val="none"/>
          <w:lang w:val="en-US" w:eastAsia="zh-CN" w:bidi="ar"/>
        </w:rPr>
        <w:t>（2）维修、更换保证：在质保期内，如发现设备产品存在任何质量问题，我方将以最快的速度进行维修、更换。包括人工维修和更换配件。若需要更换零部件，我方将提供原厂配件或合适的替代品。</w:t>
      </w:r>
    </w:p>
    <w:p w14:paraId="68501A0D">
      <w:pPr>
        <w:pStyle w:val="54"/>
        <w:ind w:firstLine="200"/>
        <w:rPr>
          <w:color w:val="auto"/>
          <w:highlight w:val="none"/>
          <w:lang w:val="en-US"/>
        </w:rPr>
      </w:pPr>
    </w:p>
    <w:p w14:paraId="63ED5005">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04619E09">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65F5734E">
      <w:pPr>
        <w:widowControl/>
        <w:jc w:val="left"/>
        <w:rPr>
          <w:color w:val="auto"/>
          <w:sz w:val="24"/>
          <w:highlight w:val="none"/>
        </w:rPr>
      </w:pPr>
      <w:r>
        <w:rPr>
          <w:color w:val="auto"/>
          <w:sz w:val="24"/>
          <w:highlight w:val="none"/>
        </w:rPr>
        <w:br w:type="page"/>
      </w:r>
    </w:p>
    <w:p w14:paraId="77044B7C">
      <w:pPr>
        <w:spacing w:line="360" w:lineRule="auto"/>
        <w:jc w:val="center"/>
        <w:outlineLvl w:val="1"/>
        <w:rPr>
          <w:b/>
          <w:i/>
          <w:color w:val="auto"/>
          <w:sz w:val="24"/>
          <w:highlight w:val="none"/>
        </w:rPr>
      </w:pPr>
      <w:bookmarkStart w:id="678" w:name="_Toc2947"/>
      <w:bookmarkStart w:id="679" w:name="_Toc20728"/>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w:t>
      </w:r>
      <w:bookmarkEnd w:id="678"/>
      <w:bookmarkStart w:id="680" w:name="_Toc8658"/>
      <w:r>
        <w:rPr>
          <w:rFonts w:hint="eastAsia" w:asciiTheme="minorEastAsia" w:hAnsiTheme="minorEastAsia" w:eastAsiaTheme="minorEastAsia"/>
          <w:b/>
          <w:color w:val="auto"/>
          <w:sz w:val="24"/>
          <w:highlight w:val="none"/>
          <w:lang w:val="en-US" w:eastAsia="zh-CN"/>
        </w:rPr>
        <w:t>供应商资格声明书</w:t>
      </w:r>
      <w:bookmarkEnd w:id="679"/>
      <w:r>
        <w:rPr>
          <w:rFonts w:hint="eastAsia" w:asciiTheme="minorEastAsia" w:hAnsiTheme="minorEastAsia" w:eastAsiaTheme="minorEastAsia"/>
          <w:b/>
          <w:color w:val="auto"/>
          <w:sz w:val="24"/>
          <w:highlight w:val="none"/>
          <w:lang w:val="en-US" w:eastAsia="zh-CN"/>
        </w:rPr>
        <w:t xml:space="preserve"> </w:t>
      </w:r>
    </w:p>
    <w:p w14:paraId="44E428FE">
      <w:pPr>
        <w:pStyle w:val="30"/>
        <w:spacing w:line="360" w:lineRule="auto"/>
        <w:rPr>
          <w:rFonts w:hint="default" w:eastAsia="宋体" w:asciiTheme="minorEastAsia" w:hAnsiTheme="minorEastAsia" w:cstheme="minorEastAsia"/>
          <w:color w:val="auto"/>
          <w:sz w:val="24"/>
          <w:szCs w:val="24"/>
          <w:highlight w:val="none"/>
          <w:lang w:val="en-US"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安徽省淮河河道管理局</w:t>
      </w:r>
    </w:p>
    <w:p w14:paraId="6F4B16A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在参与本次项目磋商中，我单位承诺：</w:t>
      </w:r>
    </w:p>
    <w:p w14:paraId="58ACBDB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77B11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10687E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51B490F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5AE945D">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6BDE82D5">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0CD4DE27">
      <w:pPr>
        <w:spacing w:line="360" w:lineRule="auto"/>
        <w:rPr>
          <w:rFonts w:hint="eastAsia"/>
          <w:color w:val="auto"/>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2323A3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07254F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2941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EC4871C">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409A01CC">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0832BB8">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5965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CADC0BC">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13803979">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09D64CBB">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032F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C012A81">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43D4D3DA">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795CBE4">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691BB6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1C77F67">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5E45438">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80"/>
    </w:p>
    <w:p w14:paraId="7EB97CBA">
      <w:pPr>
        <w:widowControl/>
        <w:jc w:val="center"/>
        <w:outlineLvl w:val="1"/>
        <w:rPr>
          <w:rFonts w:asciiTheme="minorEastAsia" w:hAnsiTheme="minorEastAsia" w:eastAsiaTheme="minorEastAsia"/>
          <w:b/>
          <w:color w:val="auto"/>
          <w:sz w:val="24"/>
          <w:highlight w:val="none"/>
          <w:u w:val="none"/>
        </w:rPr>
      </w:pPr>
      <w:bookmarkStart w:id="681" w:name="_Toc25503"/>
      <w:bookmarkStart w:id="682" w:name="_Toc121626298"/>
      <w:bookmarkStart w:id="683" w:name="_Toc909"/>
      <w:bookmarkStart w:id="684" w:name="_Toc516969106"/>
      <w:bookmarkStart w:id="685" w:name="_Toc204594911"/>
      <w:bookmarkStart w:id="686" w:name="_Toc520983594"/>
      <w:r>
        <w:rPr>
          <w:rFonts w:hint="eastAsia" w:asciiTheme="minorEastAsia" w:hAnsiTheme="minorEastAsia" w:eastAsiaTheme="minorEastAsia"/>
          <w:b/>
          <w:color w:val="auto"/>
          <w:sz w:val="24"/>
          <w:highlight w:val="none"/>
          <w:u w:val="none"/>
          <w:lang w:val="en-US" w:eastAsia="zh-CN"/>
        </w:rPr>
        <w:t>五</w:t>
      </w:r>
      <w:r>
        <w:rPr>
          <w:rFonts w:hint="eastAsia" w:asciiTheme="minorEastAsia" w:hAnsiTheme="minorEastAsia" w:eastAsiaTheme="minorEastAsia"/>
          <w:b/>
          <w:color w:val="auto"/>
          <w:sz w:val="24"/>
          <w:highlight w:val="none"/>
          <w:u w:val="none"/>
        </w:rPr>
        <w:t>、授权书</w:t>
      </w:r>
      <w:bookmarkEnd w:id="681"/>
      <w:bookmarkEnd w:id="682"/>
      <w:bookmarkEnd w:id="683"/>
      <w:bookmarkEnd w:id="684"/>
      <w:bookmarkEnd w:id="685"/>
      <w:bookmarkEnd w:id="686"/>
    </w:p>
    <w:p w14:paraId="745F6AD9">
      <w:pPr>
        <w:spacing w:line="360" w:lineRule="auto"/>
        <w:jc w:val="center"/>
        <w:rPr>
          <w:rFonts w:asciiTheme="minorEastAsia" w:hAnsiTheme="minorEastAsia" w:eastAsiaTheme="minorEastAsia"/>
          <w:b/>
          <w:color w:val="auto"/>
          <w:sz w:val="24"/>
          <w:highlight w:val="none"/>
        </w:rPr>
      </w:pPr>
    </w:p>
    <w:p w14:paraId="0386E8D3">
      <w:pPr>
        <w:pStyle w:val="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4C292DA8">
      <w:pPr>
        <w:pStyle w:val="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076531BC">
      <w:pPr>
        <w:pStyle w:val="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2197E62F">
      <w:pPr>
        <w:pStyle w:val="2"/>
        <w:snapToGrid w:val="0"/>
        <w:spacing w:line="360" w:lineRule="auto"/>
        <w:ind w:firstLine="480" w:firstLineChars="200"/>
        <w:jc w:val="left"/>
        <w:rPr>
          <w:rFonts w:hAnsi="宋体" w:eastAsia="宋体"/>
          <w:color w:val="auto"/>
          <w:sz w:val="24"/>
          <w:highlight w:val="none"/>
        </w:rPr>
      </w:pPr>
    </w:p>
    <w:p w14:paraId="3F30DE96">
      <w:pPr>
        <w:pStyle w:val="2"/>
        <w:snapToGrid w:val="0"/>
        <w:spacing w:line="360" w:lineRule="auto"/>
        <w:ind w:firstLine="480" w:firstLineChars="200"/>
        <w:jc w:val="left"/>
        <w:rPr>
          <w:rFonts w:hAnsi="宋体" w:eastAsia="宋体"/>
          <w:color w:val="auto"/>
          <w:sz w:val="24"/>
          <w:highlight w:val="none"/>
        </w:rPr>
      </w:pPr>
    </w:p>
    <w:p w14:paraId="6BD61BD0">
      <w:pPr>
        <w:pStyle w:val="2"/>
        <w:snapToGrid w:val="0"/>
        <w:spacing w:line="360" w:lineRule="auto"/>
        <w:ind w:firstLine="480" w:firstLineChars="200"/>
        <w:jc w:val="left"/>
        <w:rPr>
          <w:rFonts w:hAnsi="宋体" w:eastAsia="宋体"/>
          <w:color w:val="auto"/>
          <w:sz w:val="24"/>
          <w:highlight w:val="none"/>
        </w:rPr>
      </w:pPr>
    </w:p>
    <w:p w14:paraId="283E558F">
      <w:pPr>
        <w:pStyle w:val="2"/>
        <w:snapToGrid w:val="0"/>
        <w:spacing w:line="360" w:lineRule="auto"/>
        <w:ind w:firstLine="480" w:firstLineChars="200"/>
        <w:jc w:val="left"/>
        <w:rPr>
          <w:rFonts w:hAnsi="宋体" w:eastAsia="宋体"/>
          <w:color w:val="auto"/>
          <w:sz w:val="24"/>
          <w:highlight w:val="none"/>
        </w:rPr>
      </w:pPr>
    </w:p>
    <w:p w14:paraId="59535001">
      <w:pPr>
        <w:pStyle w:val="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767BBA4B">
      <w:pPr>
        <w:pStyle w:val="2"/>
        <w:snapToGrid w:val="0"/>
        <w:spacing w:line="360" w:lineRule="auto"/>
        <w:ind w:firstLine="480" w:firstLineChars="200"/>
        <w:jc w:val="left"/>
        <w:rPr>
          <w:rFonts w:hAnsi="宋体" w:eastAsia="宋体"/>
          <w:color w:val="auto"/>
          <w:sz w:val="24"/>
          <w:szCs w:val="28"/>
          <w:highlight w:val="none"/>
        </w:rPr>
      </w:pPr>
    </w:p>
    <w:p w14:paraId="4DE0D7FF">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C7D6111">
      <w:pPr>
        <w:spacing w:line="360" w:lineRule="auto"/>
        <w:rPr>
          <w:color w:val="auto"/>
          <w:sz w:val="24"/>
          <w:szCs w:val="28"/>
          <w:highlight w:val="none"/>
        </w:rPr>
      </w:pPr>
    </w:p>
    <w:p w14:paraId="5D2AA310">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4DA4D2CD">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6610F806">
      <w:pPr>
        <w:spacing w:line="360" w:lineRule="auto"/>
        <w:rPr>
          <w:color w:val="auto"/>
          <w:sz w:val="24"/>
          <w:szCs w:val="28"/>
          <w:highlight w:val="none"/>
        </w:rPr>
      </w:pPr>
    </w:p>
    <w:p w14:paraId="2A760061">
      <w:pPr>
        <w:pStyle w:val="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3C63EADF">
      <w:pPr>
        <w:pStyle w:val="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6232D265">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16DD7D46">
      <w:pPr>
        <w:widowControl/>
        <w:jc w:val="left"/>
        <w:rPr>
          <w:color w:val="auto"/>
          <w:sz w:val="24"/>
          <w:highlight w:val="none"/>
        </w:rPr>
      </w:pPr>
      <w:r>
        <w:rPr>
          <w:color w:val="auto"/>
          <w:sz w:val="24"/>
          <w:highlight w:val="none"/>
        </w:rPr>
        <w:br w:type="page"/>
      </w:r>
    </w:p>
    <w:p w14:paraId="4146594D">
      <w:pPr>
        <w:keepNext/>
        <w:keepLines/>
        <w:spacing w:before="260" w:after="260" w:line="416" w:lineRule="auto"/>
        <w:jc w:val="center"/>
        <w:outlineLvl w:val="9"/>
        <w:rPr>
          <w:rFonts w:cs="@仿宋_GB2312" w:asciiTheme="minorEastAsia" w:hAnsiTheme="minorEastAsia" w:eastAsiaTheme="minorEastAsia"/>
          <w:b/>
          <w:bCs/>
          <w:color w:val="auto"/>
          <w:kern w:val="2"/>
          <w:sz w:val="24"/>
          <w:szCs w:val="24"/>
          <w:highlight w:val="none"/>
        </w:rPr>
      </w:pPr>
      <w:bookmarkStart w:id="687" w:name="_Toc12223"/>
      <w:bookmarkStart w:id="688" w:name="_Toc32351"/>
      <w:r>
        <w:rPr>
          <w:rFonts w:hint="eastAsia" w:cs="@仿宋_GB2312" w:asciiTheme="minorEastAsia" w:hAnsiTheme="minorEastAsia" w:eastAsiaTheme="minorEastAsia"/>
          <w:b/>
          <w:bCs/>
          <w:color w:val="auto"/>
          <w:kern w:val="2"/>
          <w:sz w:val="24"/>
          <w:szCs w:val="24"/>
          <w:highlight w:val="none"/>
        </w:rPr>
        <w:t>法定代表人身份证明书</w:t>
      </w:r>
      <w:bookmarkEnd w:id="687"/>
      <w:bookmarkEnd w:id="688"/>
    </w:p>
    <w:p w14:paraId="322E432D">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2980BCA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367F1B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2C7AF5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708C0B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40D3E93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6F017ED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1C28A9D1">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244D156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F02384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56951AD4">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58CD5B92">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629C10F9">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2502175A">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7E08FAB6">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4A9ED2F4">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14708709">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F4B3B6E">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3C298C6A">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89" w:name="_Toc4373"/>
      <w:bookmarkStart w:id="690" w:name="_Toc20099"/>
      <w:r>
        <w:rPr>
          <w:rFonts w:hint="eastAsia" w:cs="@仿宋_GB2312" w:asciiTheme="minorEastAsia" w:hAnsiTheme="minorEastAsia" w:eastAsiaTheme="minorEastAsia"/>
          <w:b/>
          <w:bCs/>
          <w:color w:val="auto"/>
          <w:kern w:val="2"/>
          <w:sz w:val="24"/>
          <w:szCs w:val="24"/>
          <w:highlight w:val="none"/>
          <w:lang w:val="en-US" w:eastAsia="zh-CN"/>
        </w:rPr>
        <w:t>六</w:t>
      </w:r>
      <w:r>
        <w:rPr>
          <w:rFonts w:hint="eastAsia" w:cs="@仿宋_GB2312" w:asciiTheme="minorEastAsia" w:hAnsiTheme="minorEastAsia" w:eastAsiaTheme="minorEastAsia"/>
          <w:b/>
          <w:bCs/>
          <w:color w:val="auto"/>
          <w:kern w:val="2"/>
          <w:sz w:val="24"/>
          <w:szCs w:val="24"/>
          <w:highlight w:val="none"/>
        </w:rPr>
        <w:t>、项目经理承诺书</w:t>
      </w:r>
      <w:bookmarkEnd w:id="689"/>
      <w:bookmarkEnd w:id="690"/>
    </w:p>
    <w:p w14:paraId="26DF328C">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34FB6875">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0F68071">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76404AFF">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2EE5E9B7">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4BF27E68">
      <w:pPr>
        <w:spacing w:line="360" w:lineRule="auto"/>
        <w:ind w:firstLine="482" w:firstLineChars="200"/>
        <w:rPr>
          <w:rFonts w:hint="eastAsia" w:cs="宋体"/>
          <w:b/>
          <w:bCs/>
          <w:color w:val="auto"/>
          <w:kern w:val="2"/>
          <w:sz w:val="24"/>
          <w:szCs w:val="24"/>
          <w:highlight w:val="none"/>
          <w:lang w:val="en-US" w:eastAsia="zh-CN"/>
        </w:rPr>
      </w:pPr>
      <w:r>
        <w:rPr>
          <w:rFonts w:hint="eastAsia" w:cs="宋体"/>
          <w:b/>
          <w:bCs/>
          <w:color w:val="auto"/>
          <w:kern w:val="2"/>
          <w:sz w:val="24"/>
          <w:szCs w:val="24"/>
          <w:highlight w:val="none"/>
          <w:lang w:val="en-US" w:eastAsia="zh-CN"/>
        </w:rPr>
        <w:t>四、</w:t>
      </w:r>
      <w:r>
        <w:rPr>
          <w:rFonts w:hint="eastAsia" w:cs="宋体"/>
          <w:b/>
          <w:bCs/>
          <w:color w:val="auto"/>
          <w:kern w:val="2"/>
          <w:sz w:val="24"/>
          <w:szCs w:val="24"/>
          <w:highlight w:val="none"/>
        </w:rPr>
        <w:t>本人声明</w:t>
      </w:r>
      <w:r>
        <w:rPr>
          <w:rFonts w:hint="eastAsia" w:cs="宋体"/>
          <w:b/>
          <w:bCs/>
          <w:color w:val="auto"/>
          <w:kern w:val="2"/>
          <w:sz w:val="24"/>
          <w:szCs w:val="24"/>
          <w:highlight w:val="none"/>
          <w:lang w:val="en-US" w:eastAsia="zh-CN"/>
        </w:rPr>
        <w:t>与我单位具有劳动合同关系、且已依法缴纳社会保险。</w:t>
      </w:r>
    </w:p>
    <w:p w14:paraId="2EDDE17A">
      <w:pPr>
        <w:spacing w:line="360" w:lineRule="auto"/>
        <w:ind w:firstLine="480" w:firstLineChars="200"/>
        <w:rPr>
          <w:rFonts w:cs="宋体"/>
          <w:color w:val="auto"/>
          <w:kern w:val="2"/>
          <w:sz w:val="24"/>
          <w:szCs w:val="24"/>
          <w:highlight w:val="none"/>
        </w:rPr>
      </w:pPr>
    </w:p>
    <w:p w14:paraId="310CADBF">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1BF27649">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46EA4C9A">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4E1DCA05">
      <w:pPr>
        <w:spacing w:line="360" w:lineRule="auto"/>
        <w:ind w:firstLine="480" w:firstLineChars="200"/>
        <w:rPr>
          <w:rFonts w:cs="宋体"/>
          <w:color w:val="auto"/>
          <w:kern w:val="2"/>
          <w:sz w:val="24"/>
          <w:szCs w:val="24"/>
          <w:highlight w:val="none"/>
        </w:rPr>
      </w:pPr>
    </w:p>
    <w:p w14:paraId="2AC3302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74CB123C">
      <w:pPr>
        <w:autoSpaceDE w:val="0"/>
        <w:autoSpaceDN w:val="0"/>
        <w:adjustRightInd w:val="0"/>
        <w:spacing w:line="360" w:lineRule="auto"/>
        <w:jc w:val="center"/>
        <w:rPr>
          <w:rFonts w:asciiTheme="minorEastAsia" w:hAnsiTheme="minorEastAsia" w:eastAsiaTheme="minorEastAsia"/>
          <w:color w:val="auto"/>
          <w:sz w:val="28"/>
          <w:highlight w:val="none"/>
        </w:rPr>
      </w:pPr>
      <w:bookmarkStart w:id="691" w:name="_Toc438648628"/>
      <w:r>
        <w:rPr>
          <w:rFonts w:hint="eastAsia" w:ascii="@仿宋_GB2312" w:eastAsia="@仿宋_GB2312" w:cs="宋体"/>
          <w:b/>
          <w:color w:val="auto"/>
          <w:kern w:val="2"/>
          <w:sz w:val="24"/>
          <w:szCs w:val="24"/>
          <w:highlight w:val="none"/>
        </w:rPr>
        <w:br w:type="page"/>
      </w:r>
      <w:bookmarkEnd w:id="691"/>
    </w:p>
    <w:p w14:paraId="7A578D01">
      <w:pPr>
        <w:spacing w:line="360" w:lineRule="auto"/>
        <w:jc w:val="center"/>
        <w:outlineLvl w:val="1"/>
        <w:rPr>
          <w:rFonts w:asciiTheme="minorEastAsia" w:hAnsiTheme="minorEastAsia" w:eastAsiaTheme="minorEastAsia"/>
          <w:b/>
          <w:color w:val="auto"/>
          <w:sz w:val="24"/>
          <w:highlight w:val="none"/>
        </w:rPr>
      </w:pPr>
      <w:bookmarkStart w:id="692" w:name="_Toc31589"/>
      <w:bookmarkStart w:id="693" w:name="_Toc28359"/>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、中小企业声明函</w:t>
      </w:r>
      <w:bookmarkEnd w:id="692"/>
      <w:bookmarkEnd w:id="693"/>
    </w:p>
    <w:p w14:paraId="52310F95">
      <w:pPr>
        <w:pStyle w:val="2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043D5C75">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b/>
          <w:bCs/>
          <w:color w:val="auto"/>
          <w:kern w:val="2"/>
          <w:sz w:val="24"/>
          <w:szCs w:val="24"/>
          <w:highlight w:val="none"/>
          <w:u w:val="single"/>
          <w:lang w:val="en-US" w:eastAsia="zh-CN"/>
        </w:rPr>
        <w:t>安徽省淮河河道管理局</w:t>
      </w:r>
      <w:r>
        <w:rPr>
          <w:rFonts w:hint="eastAsia" w:cs="@仿宋_GB2312"/>
          <w:color w:val="auto"/>
          <w:kern w:val="2"/>
          <w:sz w:val="24"/>
          <w:szCs w:val="24"/>
          <w:highlight w:val="none"/>
          <w:lang w:val="zh-CN"/>
        </w:rPr>
        <w:t>的</w:t>
      </w:r>
      <w:r>
        <w:rPr>
          <w:rFonts w:hint="eastAsia" w:cs="@仿宋_GB2312"/>
          <w:b/>
          <w:bCs/>
          <w:color w:val="auto"/>
          <w:kern w:val="2"/>
          <w:sz w:val="24"/>
          <w:szCs w:val="24"/>
          <w:highlight w:val="none"/>
          <w:u w:val="single"/>
          <w:lang w:val="zh-CN"/>
        </w:rPr>
        <w:t>省淮河局、省临淮岗局水闸自动化运行维护等第1包</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7CED301B">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u w:val="single"/>
          <w:lang w:val="zh-CN"/>
        </w:rPr>
        <w:t xml:space="preserve"> </w:t>
      </w:r>
      <w:r>
        <w:rPr>
          <w:rFonts w:hint="eastAsia" w:cs="@仿宋_GB2312"/>
          <w:b/>
          <w:bCs/>
          <w:color w:val="auto"/>
          <w:kern w:val="2"/>
          <w:sz w:val="24"/>
          <w:szCs w:val="24"/>
          <w:highlight w:val="none"/>
          <w:u w:val="single"/>
          <w:lang w:val="zh-CN"/>
        </w:rPr>
        <w:t>省淮河局、省临淮岗局水闸自动化运行维护等第1包</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，属于</w:t>
      </w:r>
      <w:r>
        <w:rPr>
          <w:rFonts w:hint="eastAsia" w:cs="@仿宋_GB2312"/>
          <w:b/>
          <w:bCs/>
          <w:color w:val="auto"/>
          <w:kern w:val="2"/>
          <w:sz w:val="24"/>
          <w:szCs w:val="24"/>
          <w:highlight w:val="none"/>
          <w:u w:val="single"/>
          <w:lang w:val="en-US" w:eastAsia="zh-CN"/>
        </w:rPr>
        <w:t xml:space="preserve"> 建筑业 </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0047E8D1">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7538165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0253731A">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17D649EF">
      <w:pPr>
        <w:spacing w:line="360" w:lineRule="auto"/>
        <w:ind w:firstLine="435"/>
        <w:rPr>
          <w:rFonts w:cs="@仿宋_GB2312" w:asciiTheme="minorEastAsia" w:hAnsiTheme="minorEastAsia" w:eastAsiaTheme="minorEastAsia"/>
          <w:color w:val="auto"/>
          <w:kern w:val="2"/>
          <w:sz w:val="24"/>
          <w:szCs w:val="24"/>
          <w:highlight w:val="none"/>
        </w:rPr>
      </w:pPr>
    </w:p>
    <w:p w14:paraId="3DD7D55F">
      <w:pPr>
        <w:spacing w:line="360" w:lineRule="auto"/>
        <w:ind w:firstLine="435"/>
        <w:rPr>
          <w:rFonts w:cs="@仿宋_GB2312" w:asciiTheme="minorEastAsia" w:hAnsiTheme="minorEastAsia" w:eastAsiaTheme="minorEastAsia"/>
          <w:color w:val="auto"/>
          <w:kern w:val="2"/>
          <w:sz w:val="24"/>
          <w:szCs w:val="24"/>
          <w:highlight w:val="none"/>
        </w:rPr>
      </w:pPr>
    </w:p>
    <w:p w14:paraId="3BC9C442">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7DFAFFFA">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4ED5C12C">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3ED1D1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664E25BA">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6FE101A1">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45FE528">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19DDDB83">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43ABDA2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403FF872">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行业；承接企业为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791F3EF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10AFC0F">
      <w:pPr>
        <w:spacing w:line="360" w:lineRule="auto"/>
        <w:jc w:val="center"/>
        <w:outlineLvl w:val="9"/>
        <w:rPr>
          <w:rFonts w:asciiTheme="minorEastAsia" w:hAnsiTheme="minorEastAsia" w:eastAsiaTheme="minorEastAsia"/>
          <w:b/>
          <w:color w:val="auto"/>
          <w:sz w:val="24"/>
          <w:highlight w:val="none"/>
        </w:rPr>
      </w:pPr>
      <w:bookmarkStart w:id="694" w:name="_Toc17813"/>
      <w:bookmarkStart w:id="695" w:name="_Toc17154"/>
      <w:r>
        <w:rPr>
          <w:rFonts w:hint="eastAsia" w:asciiTheme="minorEastAsia" w:hAnsiTheme="minorEastAsia" w:eastAsiaTheme="minorEastAsia"/>
          <w:b/>
          <w:color w:val="auto"/>
          <w:sz w:val="24"/>
          <w:highlight w:val="none"/>
        </w:rPr>
        <w:t>残疾人福利性单位声明函</w:t>
      </w:r>
      <w:bookmarkEnd w:id="694"/>
      <w:bookmarkEnd w:id="695"/>
    </w:p>
    <w:p w14:paraId="7D6A5FD6">
      <w:pPr>
        <w:pStyle w:val="2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30BB9471">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b/>
          <w:bCs/>
          <w:color w:val="auto"/>
          <w:spacing w:val="6"/>
          <w:sz w:val="24"/>
          <w:szCs w:val="24"/>
          <w:highlight w:val="none"/>
          <w:u w:val="single"/>
          <w:lang w:val="en-US" w:eastAsia="zh-CN"/>
        </w:rPr>
        <w:t>安徽省淮河河道管理局</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b/>
          <w:bCs/>
          <w:color w:val="auto"/>
          <w:spacing w:val="6"/>
          <w:sz w:val="24"/>
          <w:szCs w:val="24"/>
          <w:highlight w:val="none"/>
          <w:u w:val="single"/>
          <w:lang w:eastAsia="zh-CN"/>
        </w:rPr>
        <w:t>省淮河局、省临淮岗局水闸自动化运行维护等第1包</w:t>
      </w:r>
      <w:r>
        <w:rPr>
          <w:rFonts w:hint="eastAsia" w:asciiTheme="minorEastAsia" w:hAnsiTheme="minorEastAsia" w:eastAsiaTheme="minorEastAsia"/>
          <w:color w:val="auto"/>
          <w:spacing w:val="6"/>
          <w:sz w:val="24"/>
          <w:szCs w:val="24"/>
          <w:highlight w:val="none"/>
        </w:rPr>
        <w:t>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683CDFD">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2CB499D2">
      <w:pPr>
        <w:spacing w:line="360" w:lineRule="auto"/>
        <w:ind w:firstLine="4228" w:firstLineChars="1762"/>
        <w:rPr>
          <w:rFonts w:cs="Times New Roman"/>
          <w:color w:val="auto"/>
          <w:kern w:val="2"/>
          <w:sz w:val="24"/>
          <w:szCs w:val="24"/>
          <w:highlight w:val="none"/>
        </w:rPr>
      </w:pPr>
    </w:p>
    <w:p w14:paraId="5DF6367A">
      <w:pPr>
        <w:spacing w:line="360" w:lineRule="auto"/>
        <w:ind w:firstLine="4228" w:firstLineChars="1762"/>
        <w:rPr>
          <w:rFonts w:cs="Times New Roman"/>
          <w:color w:val="auto"/>
          <w:kern w:val="2"/>
          <w:sz w:val="24"/>
          <w:szCs w:val="24"/>
          <w:highlight w:val="none"/>
        </w:rPr>
      </w:pPr>
    </w:p>
    <w:p w14:paraId="33802F2D">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38A93761">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78416FDD">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5D39A0E">
      <w:pPr>
        <w:spacing w:line="360" w:lineRule="auto"/>
        <w:jc w:val="center"/>
        <w:outlineLvl w:val="1"/>
        <w:rPr>
          <w:rFonts w:asciiTheme="minorEastAsia" w:hAnsiTheme="minorEastAsia" w:eastAsiaTheme="minorEastAsia"/>
          <w:b/>
          <w:color w:val="auto"/>
          <w:sz w:val="24"/>
          <w:highlight w:val="none"/>
        </w:rPr>
      </w:pPr>
      <w:bookmarkStart w:id="696" w:name="_Toc17768"/>
      <w:bookmarkStart w:id="697" w:name="_Toc26894"/>
      <w:bookmarkStart w:id="698" w:name="_Hlk44283088"/>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、诚信履约承诺函</w:t>
      </w:r>
      <w:bookmarkEnd w:id="696"/>
      <w:bookmarkEnd w:id="697"/>
    </w:p>
    <w:p w14:paraId="6647E622">
      <w:pPr>
        <w:spacing w:line="360" w:lineRule="auto"/>
        <w:rPr>
          <w:rFonts w:cs="@仿宋_GB2312" w:asciiTheme="minorEastAsia" w:hAnsiTheme="minorEastAsia" w:eastAsiaTheme="minorEastAsia"/>
          <w:b/>
          <w:bCs/>
          <w:color w:val="auto"/>
          <w:kern w:val="2"/>
          <w:sz w:val="24"/>
          <w:highlight w:val="none"/>
        </w:rPr>
      </w:pPr>
    </w:p>
    <w:bookmarkEnd w:id="698"/>
    <w:p w14:paraId="0C327B4B">
      <w:pPr>
        <w:spacing w:line="360" w:lineRule="auto"/>
        <w:rPr>
          <w:rFonts w:asciiTheme="minorEastAsia" w:hAnsiTheme="minorEastAsia" w:eastAsiaTheme="minorEastAsia"/>
          <w:b/>
          <w:bCs/>
          <w:color w:val="auto"/>
          <w:sz w:val="24"/>
          <w:highlight w:val="none"/>
          <w:u w:val="single"/>
        </w:rPr>
      </w:pPr>
      <w:bookmarkStart w:id="699" w:name="_Toc28645"/>
      <w:bookmarkStart w:id="700" w:name="_Toc8176"/>
      <w:r>
        <w:rPr>
          <w:rFonts w:hint="eastAsia" w:asciiTheme="minorEastAsia" w:hAnsiTheme="minorEastAsia" w:eastAsiaTheme="minorEastAsia"/>
          <w:b/>
          <w:bCs/>
          <w:color w:val="auto"/>
          <w:sz w:val="24"/>
          <w:highlight w:val="none"/>
          <w:u w:val="single"/>
        </w:rPr>
        <w:t>致：采购人</w:t>
      </w:r>
    </w:p>
    <w:p w14:paraId="495FE4CD">
      <w:pPr>
        <w:spacing w:line="360" w:lineRule="auto"/>
        <w:ind w:firstLine="480" w:firstLineChars="200"/>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lang w:val="en-US" w:eastAsia="zh-CN"/>
        </w:rPr>
        <w:t>若</w:t>
      </w:r>
      <w:r>
        <w:rPr>
          <w:rFonts w:hint="eastAsia" w:asciiTheme="minorEastAsia" w:hAnsiTheme="minorEastAsia" w:eastAsiaTheme="minorEastAsia"/>
          <w:bCs/>
          <w:color w:val="auto"/>
          <w:sz w:val="24"/>
          <w:highlight w:val="none"/>
        </w:rPr>
        <w:t>我单位被确定为本项目成交供应商，我单位承诺在合同签订及履约过程中将严格执行《中华人民共和国政府采购法》、《中华人民共和国政府采购法实施条例》及本项目采购文件</w:t>
      </w:r>
      <w:r>
        <w:rPr>
          <w:rFonts w:hint="eastAsia" w:asciiTheme="minorEastAsia" w:hAnsiTheme="minorEastAsia" w:eastAsiaTheme="minorEastAsia"/>
          <w:bCs/>
          <w:color w:val="auto"/>
          <w:sz w:val="24"/>
          <w:highlight w:val="none"/>
          <w:lang w:val="en-US" w:eastAsia="zh-CN"/>
        </w:rPr>
        <w:t>的</w:t>
      </w:r>
      <w:r>
        <w:rPr>
          <w:rFonts w:hint="eastAsia" w:asciiTheme="minorEastAsia" w:hAnsiTheme="minorEastAsia" w:eastAsiaTheme="minorEastAsia"/>
          <w:bCs/>
          <w:color w:val="auto"/>
          <w:sz w:val="24"/>
          <w:highlight w:val="none"/>
        </w:rPr>
        <w:t>相关规定，</w:t>
      </w:r>
      <w:r>
        <w:rPr>
          <w:rFonts w:hint="eastAsia" w:asciiTheme="minorEastAsia" w:hAnsiTheme="minorEastAsia" w:eastAsiaTheme="minorEastAsia"/>
          <w:bCs/>
          <w:color w:val="auto"/>
          <w:sz w:val="24"/>
          <w:highlight w:val="none"/>
          <w:lang w:val="en-US" w:eastAsia="zh-CN"/>
        </w:rPr>
        <w:t>并郑重承诺如下</w:t>
      </w:r>
      <w:r>
        <w:rPr>
          <w:rFonts w:hint="eastAsia" w:asciiTheme="minorEastAsia" w:hAnsiTheme="minorEastAsia" w:eastAsiaTheme="minorEastAsia"/>
          <w:bCs/>
          <w:color w:val="auto"/>
          <w:sz w:val="24"/>
          <w:highlight w:val="none"/>
        </w:rPr>
        <w:t>：</w:t>
      </w:r>
    </w:p>
    <w:p w14:paraId="76827438">
      <w:pPr>
        <w:numPr>
          <w:ilvl w:val="0"/>
          <w:numId w:val="0"/>
        </w:numPr>
        <w:spacing w:line="360" w:lineRule="auto"/>
        <w:ind w:firstLine="480" w:firstLineChars="200"/>
        <w:rPr>
          <w:rFonts w:hint="default" w:cs="@仿宋_GB2312" w:asciiTheme="minorEastAsia" w:hAnsiTheme="minorEastAsia" w:eastAsiaTheme="minorEastAsia"/>
          <w:bCs/>
          <w:color w:val="auto"/>
          <w:kern w:val="2"/>
          <w:sz w:val="24"/>
          <w:highlight w:val="none"/>
          <w:lang w:val="en-US" w:eastAsia="zh-CN" w:bidi="ar-SA"/>
        </w:rPr>
      </w:pPr>
      <w:r>
        <w:rPr>
          <w:rFonts w:hint="eastAsia" w:cs="@仿宋_GB2312" w:asciiTheme="minorEastAsia" w:hAnsiTheme="minorEastAsia" w:eastAsiaTheme="minorEastAsia"/>
          <w:bCs/>
          <w:color w:val="auto"/>
          <w:kern w:val="2"/>
          <w:sz w:val="24"/>
          <w:highlight w:val="none"/>
          <w:lang w:val="en-US" w:eastAsia="zh-CN" w:bidi="ar-SA"/>
        </w:rPr>
        <w:t>（1）我单位响应文件全部为真实、有效，若存在虚假响应，一经查实，无条件同意采购人取消我单位成交资格或合同甲方解除合同，同时愿意承担因此造成的一切损失和处罚，包括但不限于信用惩戒、限制响应资格等。</w:t>
      </w:r>
    </w:p>
    <w:p w14:paraId="3B0B5EEB">
      <w:pPr>
        <w:numPr>
          <w:ilvl w:val="0"/>
          <w:numId w:val="0"/>
        </w:numPr>
        <w:spacing w:line="360" w:lineRule="auto"/>
        <w:ind w:firstLine="480" w:firstLineChars="200"/>
        <w:rPr>
          <w:rFonts w:hint="eastAsia" w:asciiTheme="minorEastAsia" w:hAnsiTheme="minorEastAsia" w:eastAsiaTheme="minorEastAsia"/>
          <w:bCs/>
          <w:color w:val="auto"/>
          <w:sz w:val="24"/>
          <w:highlight w:val="none"/>
          <w:lang w:val="en-US" w:eastAsia="zh-CN"/>
        </w:rPr>
      </w:pPr>
      <w:r>
        <w:rPr>
          <w:rFonts w:hint="eastAsia" w:cs="@仿宋_GB2312" w:asciiTheme="minorEastAsia" w:hAnsiTheme="minorEastAsia" w:eastAsiaTheme="minorEastAsia"/>
          <w:bCs/>
          <w:color w:val="auto"/>
          <w:kern w:val="2"/>
          <w:sz w:val="24"/>
          <w:highlight w:val="none"/>
          <w:lang w:val="en-US" w:eastAsia="zh-CN" w:bidi="ar-SA"/>
        </w:rPr>
        <w:t>（2）</w:t>
      </w:r>
      <w:r>
        <w:rPr>
          <w:rFonts w:hint="eastAsia" w:asciiTheme="minorEastAsia" w:hAnsiTheme="minorEastAsia" w:eastAsiaTheme="minorEastAsia"/>
          <w:b/>
          <w:bCs w:val="0"/>
          <w:color w:val="auto"/>
          <w:sz w:val="24"/>
          <w:highlight w:val="none"/>
          <w:lang w:val="en-US" w:eastAsia="zh-CN"/>
        </w:rPr>
        <w:t>成交通知书发送之日起10日历天内，</w:t>
      </w:r>
      <w:r>
        <w:rPr>
          <w:rFonts w:hint="eastAsia" w:asciiTheme="minorEastAsia" w:hAnsiTheme="minorEastAsia" w:eastAsiaTheme="minorEastAsia"/>
          <w:bCs/>
          <w:color w:val="auto"/>
          <w:sz w:val="24"/>
          <w:highlight w:val="none"/>
          <w:lang w:val="en-US" w:eastAsia="zh-CN"/>
        </w:rPr>
        <w:t>按照响应文件提供自备机械设备、项目组成员，并为所有项目人员购买</w:t>
      </w:r>
      <w:r>
        <w:rPr>
          <w:rFonts w:hint="eastAsia" w:cs="宋体"/>
          <w:b/>
          <w:bCs/>
          <w:color w:val="auto"/>
          <w:sz w:val="24"/>
          <w:szCs w:val="24"/>
          <w:highlight w:val="none"/>
          <w:u w:val="single"/>
        </w:rPr>
        <w:t>雇主责任险或</w:t>
      </w:r>
      <w:r>
        <w:rPr>
          <w:rFonts w:hint="eastAsia" w:cs="宋体"/>
          <w:b/>
          <w:bCs/>
          <w:color w:val="auto"/>
          <w:sz w:val="24"/>
          <w:szCs w:val="24"/>
          <w:highlight w:val="none"/>
          <w:u w:val="single"/>
          <w:lang w:eastAsia="zh-CN"/>
        </w:rPr>
        <w:t>团体意外险</w:t>
      </w:r>
      <w:r>
        <w:rPr>
          <w:rFonts w:hint="eastAsia" w:asciiTheme="minorEastAsia" w:hAnsiTheme="minorEastAsia" w:eastAsiaTheme="minorEastAsia"/>
          <w:bCs/>
          <w:color w:val="auto"/>
          <w:sz w:val="24"/>
          <w:highlight w:val="none"/>
          <w:lang w:val="en-US" w:eastAsia="zh-CN"/>
        </w:rPr>
        <w:t>，进场作业前由甲方验证，若不能按时提供，无条件同意采购人取消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lang w:val="en-US" w:eastAsia="zh-CN"/>
        </w:rPr>
        <w:t>成交资格或合同甲方解除合同，同时愿意承担因此造成的一切损失和处罚，包括但不限于信用惩戒、限制响应资格等。</w:t>
      </w:r>
    </w:p>
    <w:p w14:paraId="4B7D6053">
      <w:pPr>
        <w:numPr>
          <w:ilvl w:val="0"/>
          <w:numId w:val="0"/>
        </w:numPr>
        <w:spacing w:line="360" w:lineRule="auto"/>
        <w:ind w:left="0" w:leftChars="0" w:firstLine="480" w:firstLineChars="200"/>
        <w:rPr>
          <w:rFonts w:hint="eastAsia" w:asciiTheme="minorEastAsia" w:hAnsiTheme="minorEastAsia" w:eastAsiaTheme="minorEastAsia"/>
          <w:bCs/>
          <w:color w:val="auto"/>
          <w:sz w:val="24"/>
          <w:highlight w:val="none"/>
          <w:lang w:val="en-US" w:eastAsia="zh-CN"/>
        </w:rPr>
      </w:pPr>
      <w:r>
        <w:rPr>
          <w:rFonts w:hint="eastAsia" w:cs="@仿宋_GB2312" w:asciiTheme="minorEastAsia" w:hAnsiTheme="minorEastAsia" w:eastAsiaTheme="minorEastAsia"/>
          <w:bCs/>
          <w:color w:val="auto"/>
          <w:kern w:val="2"/>
          <w:sz w:val="24"/>
          <w:highlight w:val="none"/>
          <w:lang w:val="en-US" w:eastAsia="zh-CN" w:bidi="ar-SA"/>
        </w:rPr>
        <w:t>（3）</w:t>
      </w:r>
      <w:r>
        <w:rPr>
          <w:rFonts w:hint="eastAsia" w:asciiTheme="minorEastAsia" w:hAnsiTheme="minorEastAsia" w:eastAsiaTheme="minorEastAsia"/>
          <w:bCs/>
          <w:color w:val="auto"/>
          <w:sz w:val="24"/>
          <w:highlight w:val="none"/>
          <w:lang w:val="en-US" w:eastAsia="zh-CN"/>
        </w:rPr>
        <w:t>项目履约过程中，质量、进度及安全严格按照采购文件要求执行，并自愿服从合同甲方监管，若出现不服从现场监管，无条件同意采购人取消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lang w:val="en-US" w:eastAsia="zh-CN"/>
        </w:rPr>
        <w:t>成交资格或合同甲方解除合同，并愿意承担因此造成的一切损失和处罚，包括但不限于信用惩戒、限制响应资格等。</w:t>
      </w:r>
    </w:p>
    <w:p w14:paraId="4BA2E58C">
      <w:pPr>
        <w:spacing w:line="360" w:lineRule="auto"/>
        <w:ind w:firstLine="480" w:firstLineChars="200"/>
        <w:rPr>
          <w:rFonts w:hint="eastAsia" w:asciiTheme="minorEastAsia" w:hAnsiTheme="minorEastAsia" w:eastAsiaTheme="minorEastAsia"/>
          <w:bCs/>
          <w:color w:val="auto"/>
          <w:sz w:val="24"/>
          <w:highlight w:val="none"/>
          <w:lang w:eastAsia="zh-CN"/>
        </w:rPr>
      </w:pP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lang w:eastAsia="zh-CN"/>
        </w:rPr>
        <w:t>）作业过程中如出现作业人员未有效佩戴现场安全防护必需的安全帽、安全绳、救生衣以及其他必需的作业防护等安全防护用品，发生不安全行为的，每出现一次，从</w:t>
      </w:r>
      <w:r>
        <w:rPr>
          <w:rFonts w:hint="eastAsia" w:asciiTheme="minorEastAsia" w:hAnsiTheme="minorEastAsia" w:eastAsiaTheme="minorEastAsia"/>
          <w:bCs/>
          <w:color w:val="auto"/>
          <w:sz w:val="24"/>
          <w:highlight w:val="none"/>
          <w:lang w:val="en-US" w:eastAsia="zh-CN"/>
        </w:rPr>
        <w:t>项目</w:t>
      </w:r>
      <w:r>
        <w:rPr>
          <w:rFonts w:hint="eastAsia" w:asciiTheme="minorEastAsia" w:hAnsiTheme="minorEastAsia" w:eastAsiaTheme="minorEastAsia"/>
          <w:bCs/>
          <w:color w:val="auto"/>
          <w:sz w:val="24"/>
          <w:highlight w:val="none"/>
          <w:lang w:eastAsia="zh-CN"/>
        </w:rPr>
        <w:t>结算价中自愿核减1000元，减完为止。</w:t>
      </w:r>
    </w:p>
    <w:p w14:paraId="483DA3B1">
      <w:pPr>
        <w:spacing w:line="360" w:lineRule="auto"/>
        <w:ind w:firstLine="480" w:firstLineChars="200"/>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lang w:val="en-US" w:eastAsia="zh-CN"/>
        </w:rPr>
        <w:t>5</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合同履约期间，</w:t>
      </w:r>
      <w:r>
        <w:rPr>
          <w:rFonts w:hint="eastAsia" w:asciiTheme="minorEastAsia" w:hAnsiTheme="minorEastAsia" w:eastAsiaTheme="minorEastAsia"/>
          <w:bCs/>
          <w:color w:val="auto"/>
          <w:sz w:val="24"/>
          <w:highlight w:val="none"/>
          <w:lang w:val="en-US" w:eastAsia="zh-CN"/>
        </w:rPr>
        <w:t>所有项目</w:t>
      </w:r>
      <w:r>
        <w:rPr>
          <w:rFonts w:hint="eastAsia" w:asciiTheme="minorEastAsia" w:hAnsiTheme="minorEastAsia" w:eastAsiaTheme="minorEastAsia"/>
          <w:bCs/>
          <w:color w:val="auto"/>
          <w:sz w:val="24"/>
          <w:highlight w:val="none"/>
        </w:rPr>
        <w:t>人员突发疾病、意外等造成的人员伤亡及财产损失均由</w:t>
      </w:r>
      <w:r>
        <w:rPr>
          <w:rFonts w:hint="eastAsia" w:asciiTheme="minorEastAsia" w:hAnsiTheme="minorEastAsia" w:eastAsiaTheme="minorEastAsia"/>
          <w:bCs/>
          <w:color w:val="auto"/>
          <w:sz w:val="24"/>
          <w:highlight w:val="none"/>
          <w:lang w:val="en-US" w:eastAsia="zh-CN"/>
        </w:rPr>
        <w:t>我单位</w:t>
      </w:r>
      <w:r>
        <w:rPr>
          <w:rFonts w:hint="eastAsia" w:asciiTheme="minorEastAsia" w:hAnsiTheme="minorEastAsia" w:eastAsiaTheme="minorEastAsia"/>
          <w:bCs/>
          <w:color w:val="auto"/>
          <w:sz w:val="24"/>
          <w:highlight w:val="none"/>
        </w:rPr>
        <w:t>负责</w:t>
      </w:r>
      <w:r>
        <w:rPr>
          <w:rFonts w:hint="eastAsia" w:asciiTheme="minorEastAsia" w:hAnsiTheme="minorEastAsia" w:eastAsiaTheme="minorEastAsia"/>
          <w:bCs/>
          <w:color w:val="auto"/>
          <w:sz w:val="24"/>
          <w:highlight w:val="none"/>
          <w:lang w:val="en-US" w:eastAsia="zh-CN"/>
        </w:rPr>
        <w:t>承担，并全额赔偿因此给采购人或第三方造成的损失。</w:t>
      </w:r>
    </w:p>
    <w:p w14:paraId="378D147D">
      <w:pPr>
        <w:spacing w:line="360" w:lineRule="auto"/>
        <w:ind w:firstLine="480" w:firstLineChars="200"/>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w:t>
      </w:r>
      <w:r>
        <w:rPr>
          <w:rFonts w:hint="eastAsia" w:asciiTheme="minorEastAsia" w:hAnsiTheme="minorEastAsia" w:eastAsiaTheme="minorEastAsia"/>
          <w:bCs/>
          <w:color w:val="auto"/>
          <w:sz w:val="24"/>
          <w:highlight w:val="none"/>
          <w:lang w:val="en-US" w:eastAsia="zh-CN"/>
        </w:rPr>
        <w:t>6</w:t>
      </w:r>
      <w:r>
        <w:rPr>
          <w:rFonts w:hint="eastAsia" w:asciiTheme="minorEastAsia" w:hAnsiTheme="minorEastAsia" w:eastAsiaTheme="minorEastAsia"/>
          <w:bCs/>
          <w:color w:val="auto"/>
          <w:sz w:val="24"/>
          <w:highlight w:val="none"/>
        </w:rPr>
        <w:t>）在项目发生投诉、信访举报案件、履约存在争议时，拒绝协助配合调查的，无条件同意采购人取消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rPr>
        <w:t>成交资格或</w:t>
      </w:r>
      <w:r>
        <w:rPr>
          <w:rFonts w:hint="eastAsia" w:asciiTheme="minorEastAsia" w:hAnsiTheme="minorEastAsia" w:eastAsiaTheme="minorEastAsia"/>
          <w:bCs/>
          <w:color w:val="auto"/>
          <w:sz w:val="24"/>
          <w:highlight w:val="none"/>
          <w:lang w:eastAsia="zh-CN"/>
        </w:rPr>
        <w:t>合同甲方解除合同</w:t>
      </w:r>
      <w:r>
        <w:rPr>
          <w:rFonts w:hint="eastAsia" w:asciiTheme="minorEastAsia" w:hAnsiTheme="minorEastAsia" w:eastAsiaTheme="minorEastAsia"/>
          <w:bCs/>
          <w:color w:val="auto"/>
          <w:sz w:val="24"/>
          <w:highlight w:val="none"/>
        </w:rPr>
        <w:t>，并愿意承担因此造成的一切损失和处罚，包括但不限于信用惩戒、限制响应资格等。</w:t>
      </w:r>
    </w:p>
    <w:p w14:paraId="6863D0BA">
      <w:pPr>
        <w:spacing w:line="360" w:lineRule="auto"/>
        <w:rPr>
          <w:rFonts w:asciiTheme="minorEastAsia" w:hAnsiTheme="minorEastAsia" w:eastAsiaTheme="minorEastAsia"/>
          <w:bCs/>
          <w:color w:val="auto"/>
          <w:sz w:val="24"/>
          <w:highlight w:val="none"/>
        </w:rPr>
      </w:pPr>
    </w:p>
    <w:p w14:paraId="166AF46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64C519A5">
      <w:pPr>
        <w:spacing w:line="360" w:lineRule="auto"/>
        <w:ind w:firstLine="4320" w:firstLineChars="1800"/>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3FC08413">
      <w:pPr>
        <w:rPr>
          <w:color w:val="auto"/>
          <w:highlight w:val="none"/>
        </w:rPr>
      </w:pPr>
    </w:p>
    <w:p w14:paraId="391243D3">
      <w:pPr>
        <w:rPr>
          <w:rFonts w:hint="eastAsia" w:ascii="宋体" w:hAnsi="宋体" w:eastAsia="宋体"/>
          <w:b/>
          <w:color w:val="auto"/>
          <w:sz w:val="24"/>
          <w:szCs w:val="24"/>
          <w:highlight w:val="none"/>
          <w:lang w:val="en-US" w:eastAsia="zh-CN"/>
        </w:rPr>
      </w:pPr>
      <w:r>
        <w:rPr>
          <w:rFonts w:hint="eastAsia" w:ascii="宋体" w:hAnsi="宋体" w:eastAsia="宋体"/>
          <w:b/>
          <w:color w:val="auto"/>
          <w:sz w:val="24"/>
          <w:szCs w:val="24"/>
          <w:highlight w:val="none"/>
          <w:lang w:val="en-US" w:eastAsia="zh-CN"/>
        </w:rPr>
        <w:br w:type="page"/>
      </w:r>
    </w:p>
    <w:p w14:paraId="618D19EB">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699"/>
      <w:bookmarkEnd w:id="700"/>
    </w:p>
    <w:p w14:paraId="03BBF3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4E2AA965">
      <w:pPr>
        <w:spacing w:line="360" w:lineRule="auto"/>
        <w:ind w:firstLine="480" w:firstLineChars="200"/>
        <w:rPr>
          <w:rFonts w:asciiTheme="minorEastAsia" w:hAnsiTheme="minorEastAsia" w:eastAsiaTheme="minorEastAsia"/>
          <w:color w:val="auto"/>
          <w:sz w:val="24"/>
          <w:highlight w:val="none"/>
        </w:rPr>
      </w:pPr>
    </w:p>
    <w:p w14:paraId="7B45E546">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9C9BB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5B5EE267">
      <w:pPr>
        <w:pStyle w:val="51"/>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112721F2">
      <w:pPr>
        <w:widowControl/>
        <w:jc w:val="center"/>
        <w:outlineLvl w:val="0"/>
        <w:rPr>
          <w:b/>
          <w:bCs/>
          <w:color w:val="auto"/>
          <w:sz w:val="28"/>
          <w:highlight w:val="none"/>
        </w:rPr>
      </w:pPr>
      <w:bookmarkStart w:id="701"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701"/>
    </w:p>
    <w:p w14:paraId="5F59B744">
      <w:pPr>
        <w:spacing w:line="360" w:lineRule="auto"/>
        <w:jc w:val="center"/>
        <w:outlineLvl w:val="9"/>
        <w:rPr>
          <w:rFonts w:ascii="仿宋" w:hAnsi="仿宋" w:eastAsia="仿宋" w:cs="仿宋"/>
          <w:b/>
          <w:bCs/>
          <w:color w:val="auto"/>
          <w:sz w:val="32"/>
          <w:szCs w:val="44"/>
          <w:highlight w:val="none"/>
        </w:rPr>
      </w:pPr>
      <w:bookmarkStart w:id="702" w:name="_Toc2290"/>
      <w:bookmarkStart w:id="703" w:name="_Toc26448"/>
      <w:r>
        <w:rPr>
          <w:rFonts w:hint="eastAsia" w:ascii="仿宋" w:hAnsi="仿宋" w:eastAsia="仿宋" w:cs="仿宋"/>
          <w:b/>
          <w:bCs/>
          <w:color w:val="auto"/>
          <w:sz w:val="32"/>
          <w:szCs w:val="44"/>
          <w:highlight w:val="none"/>
        </w:rPr>
        <w:t>询问函范本</w:t>
      </w:r>
      <w:bookmarkEnd w:id="702"/>
      <w:bookmarkEnd w:id="703"/>
    </w:p>
    <w:p w14:paraId="6D8A31A5">
      <w:pPr>
        <w:adjustRightInd w:val="0"/>
        <w:snapToGrid w:val="0"/>
        <w:spacing w:line="360" w:lineRule="auto"/>
        <w:ind w:firstLine="480" w:firstLineChars="200"/>
        <w:jc w:val="center"/>
        <w:outlineLvl w:val="9"/>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6E114758">
      <w:pPr>
        <w:adjustRightInd w:val="0"/>
        <w:snapToGrid w:val="0"/>
        <w:spacing w:line="360" w:lineRule="auto"/>
        <w:outlineLvl w:val="9"/>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01928CC2">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DC10BE">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704" w:name="_Toc14234"/>
      <w:bookmarkStart w:id="705" w:name="_Toc32070"/>
      <w:r>
        <w:rPr>
          <w:rFonts w:hint="eastAsia" w:cs="仿宋" w:asciiTheme="minorEastAsia" w:hAnsiTheme="minorEastAsia" w:eastAsiaTheme="minorEastAsia"/>
          <w:color w:val="auto"/>
          <w:sz w:val="24"/>
          <w:szCs w:val="24"/>
          <w:highlight w:val="none"/>
        </w:rPr>
        <w:t>一、(事项一)</w:t>
      </w:r>
      <w:bookmarkEnd w:id="704"/>
      <w:bookmarkEnd w:id="705"/>
    </w:p>
    <w:p w14:paraId="7457B046">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4D76BD7">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234CF06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433C0C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706" w:name="_Toc6489"/>
      <w:bookmarkStart w:id="707" w:name="_Toc16507"/>
      <w:r>
        <w:rPr>
          <w:rFonts w:hint="eastAsia" w:cs="仿宋" w:asciiTheme="minorEastAsia" w:hAnsiTheme="minorEastAsia" w:eastAsiaTheme="minorEastAsia"/>
          <w:color w:val="auto"/>
          <w:sz w:val="24"/>
          <w:szCs w:val="24"/>
          <w:highlight w:val="none"/>
        </w:rPr>
        <w:t>二、(事项二)</w:t>
      </w:r>
      <w:bookmarkEnd w:id="706"/>
      <w:bookmarkEnd w:id="707"/>
    </w:p>
    <w:p w14:paraId="78A1CDEB">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DF15764">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487C0D7">
      <w:pPr>
        <w:spacing w:line="360" w:lineRule="auto"/>
        <w:ind w:firstLine="4228" w:firstLineChars="1762"/>
        <w:outlineLvl w:val="9"/>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8526964">
      <w:pPr>
        <w:spacing w:line="360" w:lineRule="auto"/>
        <w:ind w:firstLine="4228" w:firstLineChars="1762"/>
        <w:outlineLvl w:val="9"/>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411E2D9">
      <w:pPr>
        <w:tabs>
          <w:tab w:val="left" w:pos="630"/>
        </w:tabs>
        <w:spacing w:line="360" w:lineRule="auto"/>
        <w:ind w:firstLine="4228" w:firstLineChars="1762"/>
        <w:outlineLvl w:val="9"/>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4374912">
      <w:pPr>
        <w:outlineLvl w:val="9"/>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D4A46B0">
      <w:pPr>
        <w:jc w:val="center"/>
        <w:outlineLvl w:val="9"/>
        <w:rPr>
          <w:rFonts w:ascii="仿宋" w:hAnsi="仿宋" w:eastAsia="仿宋" w:cs="仿宋"/>
          <w:b/>
          <w:bCs/>
          <w:color w:val="auto"/>
          <w:sz w:val="32"/>
          <w:szCs w:val="44"/>
          <w:highlight w:val="none"/>
        </w:rPr>
      </w:pPr>
      <w:bookmarkStart w:id="708" w:name="_Toc26224"/>
      <w:bookmarkStart w:id="709" w:name="_Toc4923"/>
      <w:r>
        <w:rPr>
          <w:rFonts w:hint="eastAsia" w:ascii="仿宋" w:hAnsi="仿宋" w:eastAsia="仿宋" w:cs="仿宋"/>
          <w:b/>
          <w:bCs/>
          <w:color w:val="auto"/>
          <w:sz w:val="32"/>
          <w:szCs w:val="44"/>
          <w:highlight w:val="none"/>
        </w:rPr>
        <w:t>质疑函范本</w:t>
      </w:r>
      <w:bookmarkEnd w:id="708"/>
      <w:bookmarkEnd w:id="709"/>
    </w:p>
    <w:p w14:paraId="57D1AC01">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710" w:name="_Toc10663"/>
      <w:bookmarkStart w:id="711" w:name="_Toc3847"/>
      <w:r>
        <w:rPr>
          <w:rFonts w:hint="eastAsia" w:cs="仿宋" w:asciiTheme="minorEastAsia" w:hAnsiTheme="minorEastAsia" w:eastAsiaTheme="minorEastAsia"/>
          <w:b/>
          <w:bCs/>
          <w:color w:val="auto"/>
          <w:sz w:val="24"/>
          <w:szCs w:val="24"/>
          <w:highlight w:val="none"/>
        </w:rPr>
        <w:t>一、质疑供应商基本信息</w:t>
      </w:r>
      <w:bookmarkEnd w:id="710"/>
      <w:bookmarkEnd w:id="711"/>
    </w:p>
    <w:p w14:paraId="2522EFA2">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FEFDE41">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5B0085B">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45DEF5A9">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664F182F">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EDEA1F7">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A9E5A5B">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12" w:name="_Toc30012"/>
      <w:bookmarkStart w:id="713" w:name="_Toc19182"/>
      <w:r>
        <w:rPr>
          <w:rFonts w:hint="eastAsia" w:cs="仿宋" w:asciiTheme="minorEastAsia" w:hAnsiTheme="minorEastAsia" w:eastAsiaTheme="minorEastAsia"/>
          <w:b/>
          <w:bCs/>
          <w:color w:val="auto"/>
          <w:sz w:val="24"/>
          <w:szCs w:val="24"/>
          <w:highlight w:val="none"/>
        </w:rPr>
        <w:t>二、质疑项目基本情况</w:t>
      </w:r>
      <w:bookmarkEnd w:id="712"/>
      <w:bookmarkEnd w:id="713"/>
    </w:p>
    <w:p w14:paraId="2D8F3560">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08161051">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F24F841">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385A98E">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9153800">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14" w:name="_Toc21700"/>
      <w:bookmarkStart w:id="715" w:name="_Toc9989"/>
      <w:r>
        <w:rPr>
          <w:rFonts w:hint="eastAsia" w:cs="仿宋" w:asciiTheme="minorEastAsia" w:hAnsiTheme="minorEastAsia" w:eastAsiaTheme="minorEastAsia"/>
          <w:b/>
          <w:bCs/>
          <w:color w:val="auto"/>
          <w:sz w:val="24"/>
          <w:szCs w:val="24"/>
          <w:highlight w:val="none"/>
        </w:rPr>
        <w:t>三、质疑事项具体内容</w:t>
      </w:r>
      <w:bookmarkEnd w:id="714"/>
      <w:bookmarkEnd w:id="715"/>
    </w:p>
    <w:p w14:paraId="2C81D591">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E83F92">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5FD8BF16">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C476417">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A05A21C">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956D022">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E0E7355">
      <w:pPr>
        <w:adjustRightInd w:val="0"/>
        <w:snapToGrid w:val="0"/>
        <w:spacing w:line="360" w:lineRule="auto"/>
        <w:outlineLvl w:val="9"/>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52F4CE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16" w:name="_Toc19016"/>
      <w:bookmarkStart w:id="717" w:name="_Toc10625"/>
      <w:r>
        <w:rPr>
          <w:rFonts w:hint="eastAsia" w:cs="仿宋" w:asciiTheme="minorEastAsia" w:hAnsiTheme="minorEastAsia" w:eastAsiaTheme="minorEastAsia"/>
          <w:b/>
          <w:bCs/>
          <w:color w:val="auto"/>
          <w:sz w:val="24"/>
          <w:szCs w:val="24"/>
          <w:highlight w:val="none"/>
        </w:rPr>
        <w:t>四、与质疑事项相关的质疑请求</w:t>
      </w:r>
      <w:bookmarkEnd w:id="716"/>
      <w:bookmarkEnd w:id="717"/>
    </w:p>
    <w:p w14:paraId="4CCCC1EC">
      <w:pPr>
        <w:adjustRightInd w:val="0"/>
        <w:snapToGrid w:val="0"/>
        <w:spacing w:line="360" w:lineRule="auto"/>
        <w:outlineLvl w:val="9"/>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60F4BC9">
      <w:pPr>
        <w:spacing w:line="360" w:lineRule="auto"/>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5E151CA">
      <w:pPr>
        <w:spacing w:line="360" w:lineRule="auto"/>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6532F4">
      <w:pPr>
        <w:widowControl/>
        <w:jc w:val="left"/>
        <w:outlineLvl w:val="9"/>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0691E0A0">
      <w:pPr>
        <w:outlineLvl w:val="9"/>
        <w:rPr>
          <w:rFonts w:asciiTheme="minorEastAsia" w:hAnsiTheme="minorEastAsia" w:eastAsiaTheme="minorEastAsia"/>
          <w:b/>
          <w:color w:val="auto"/>
          <w:sz w:val="28"/>
          <w:szCs w:val="32"/>
          <w:highlight w:val="none"/>
        </w:rPr>
      </w:pPr>
      <w:bookmarkStart w:id="718" w:name="_Toc17684"/>
      <w:bookmarkStart w:id="719" w:name="_Toc25274"/>
      <w:r>
        <w:rPr>
          <w:rFonts w:hint="eastAsia" w:asciiTheme="minorEastAsia" w:hAnsiTheme="minorEastAsia" w:eastAsiaTheme="minorEastAsia"/>
          <w:b/>
          <w:color w:val="auto"/>
          <w:sz w:val="28"/>
          <w:szCs w:val="32"/>
          <w:highlight w:val="none"/>
        </w:rPr>
        <w:t>质疑函制作说明：</w:t>
      </w:r>
      <w:bookmarkEnd w:id="718"/>
      <w:bookmarkEnd w:id="719"/>
    </w:p>
    <w:p w14:paraId="70D8719F">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0EF928C">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7A338CA">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132A621">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48CC290">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5FDE0251">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monospace">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435EA">
    <w:pPr>
      <w:pStyle w:val="3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34E56">
    <w:pPr>
      <w:pStyle w:val="33"/>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5B6E9">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65B6E9">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32461">
    <w:pPr>
      <w:pStyle w:val="33"/>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9F7B5">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49F7B5">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E345F">
    <w:pPr>
      <w:pStyle w:val="33"/>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20BCF">
                          <w:pPr>
                            <w:pStyle w:val="33"/>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7920BCF">
                    <w:pPr>
                      <w:pStyle w:val="33"/>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E0EDF">
    <w:pPr>
      <w:pStyle w:val="3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6E901">
    <w:pPr>
      <w:pStyle w:val="3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C23794"/>
    <w:multiLevelType w:val="singleLevel"/>
    <w:tmpl w:val="CFC23794"/>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00000001"/>
    <w:multiLevelType w:val="singleLevel"/>
    <w:tmpl w:val="00000001"/>
    <w:lvl w:ilvl="0" w:tentative="0">
      <w:start w:val="1"/>
      <w:numFmt w:val="decimal"/>
      <w:suff w:val="nothing"/>
      <w:lvlText w:val="（%1）"/>
      <w:lvlJc w:val="left"/>
    </w:lvl>
  </w:abstractNum>
  <w:abstractNum w:abstractNumId="3">
    <w:nsid w:val="00000004"/>
    <w:multiLevelType w:val="singleLevel"/>
    <w:tmpl w:val="00000004"/>
    <w:lvl w:ilvl="0" w:tentative="0">
      <w:start w:val="1"/>
      <w:numFmt w:val="decimal"/>
      <w:suff w:val="nothing"/>
      <w:lvlText w:val="（%1）"/>
      <w:lvlJc w:val="left"/>
    </w:lvl>
  </w:abstractNum>
  <w:abstractNum w:abstractNumId="4">
    <w:nsid w:val="05AF9F2D"/>
    <w:multiLevelType w:val="singleLevel"/>
    <w:tmpl w:val="05AF9F2D"/>
    <w:lvl w:ilvl="0" w:tentative="0">
      <w:start w:val="3"/>
      <w:numFmt w:val="decimal"/>
      <w:lvlText w:val="%1."/>
      <w:lvlJc w:val="left"/>
      <w:pPr>
        <w:tabs>
          <w:tab w:val="left" w:pos="312"/>
        </w:tabs>
      </w:pPr>
    </w:lvl>
  </w:abstractNum>
  <w:abstractNum w:abstractNumId="5">
    <w:nsid w:val="0FC25D48"/>
    <w:multiLevelType w:val="singleLevel"/>
    <w:tmpl w:val="0FC25D48"/>
    <w:lvl w:ilvl="0" w:tentative="0">
      <w:start w:val="1"/>
      <w:numFmt w:val="decimal"/>
      <w:lvlText w:val="%1."/>
      <w:lvlJc w:val="left"/>
      <w:pPr>
        <w:tabs>
          <w:tab w:val="left" w:pos="312"/>
        </w:tabs>
      </w:pPr>
    </w:lvl>
  </w:abstractNum>
  <w:abstractNum w:abstractNumId="6">
    <w:nsid w:val="4482DDAA"/>
    <w:multiLevelType w:val="singleLevel"/>
    <w:tmpl w:val="4482DDAA"/>
    <w:lvl w:ilvl="0" w:tentative="0">
      <w:start w:val="1"/>
      <w:numFmt w:val="decimal"/>
      <w:suff w:val="nothing"/>
      <w:lvlText w:val="（%1）"/>
      <w:lvlJc w:val="left"/>
    </w:lvl>
  </w:abstractNum>
  <w:abstractNum w:abstractNumId="7">
    <w:nsid w:val="7F7E5238"/>
    <w:multiLevelType w:val="multilevel"/>
    <w:tmpl w:val="7F7E5238"/>
    <w:lvl w:ilvl="0" w:tentative="0">
      <w:start w:val="1"/>
      <w:numFmt w:val="none"/>
      <w:pStyle w:val="170"/>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7"/>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2"/>
      <w:lvlText w:val="           "/>
      <w:lvlJc w:val="left"/>
      <w:pPr>
        <w:tabs>
          <w:tab w:val="left" w:pos="1440"/>
        </w:tabs>
        <w:ind w:left="1152" w:hanging="1152"/>
      </w:pPr>
      <w:rPr>
        <w:rFonts w:hint="eastAsia"/>
      </w:rPr>
    </w:lvl>
    <w:lvl w:ilvl="6" w:tentative="0">
      <w:start w:val="1"/>
      <w:numFmt w:val="decimal"/>
      <w:pStyle w:val="174"/>
      <w:lvlText w:val="%1.%2.%3.%4.%5.%6.%7"/>
      <w:lvlJc w:val="left"/>
      <w:pPr>
        <w:tabs>
          <w:tab w:val="left" w:pos="2520"/>
        </w:tabs>
        <w:ind w:left="1296" w:hanging="1296"/>
      </w:pPr>
      <w:rPr>
        <w:rFonts w:hint="eastAsia"/>
      </w:rPr>
    </w:lvl>
    <w:lvl w:ilvl="7" w:tentative="0">
      <w:start w:val="1"/>
      <w:numFmt w:val="decimal"/>
      <w:pStyle w:val="176"/>
      <w:lvlText w:val="%1.%2.%3.%4.%5.%6.%7.%8"/>
      <w:lvlJc w:val="left"/>
      <w:pPr>
        <w:tabs>
          <w:tab w:val="left" w:pos="1440"/>
        </w:tabs>
        <w:ind w:left="1440" w:hanging="1440"/>
      </w:pPr>
      <w:rPr>
        <w:rFonts w:hint="eastAsia"/>
      </w:rPr>
    </w:lvl>
    <w:lvl w:ilvl="8" w:tentative="0">
      <w:start w:val="1"/>
      <w:numFmt w:val="decimal"/>
      <w:pStyle w:val="178"/>
      <w:lvlText w:val="%1.%2.%3.%4.%5.%6.%7.%8.%9"/>
      <w:lvlJc w:val="left"/>
      <w:pPr>
        <w:tabs>
          <w:tab w:val="left" w:pos="1584"/>
        </w:tabs>
        <w:ind w:left="1584" w:hanging="1584"/>
      </w:pPr>
      <w:rPr>
        <w:rFonts w:hint="eastAsia"/>
      </w:rPr>
    </w:lvl>
  </w:abstractNum>
  <w:num w:numId="1">
    <w:abstractNumId w:val="7"/>
  </w:num>
  <w:num w:numId="2">
    <w:abstractNumId w:val="4"/>
  </w:num>
  <w:num w:numId="3">
    <w:abstractNumId w:val="6"/>
  </w:num>
  <w:num w:numId="4">
    <w:abstractNumId w:val="0"/>
  </w:num>
  <w:num w:numId="5">
    <w:abstractNumId w:val="1"/>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yYjJjOTg4Y2Q0YTc4MzE2NjViYTc4MTdjODFlNW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1A7"/>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0BD"/>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0CAF"/>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E5C95"/>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00390C"/>
    <w:rsid w:val="01216A43"/>
    <w:rsid w:val="01A64FED"/>
    <w:rsid w:val="01B6046E"/>
    <w:rsid w:val="02300221"/>
    <w:rsid w:val="02DF6040"/>
    <w:rsid w:val="0305345B"/>
    <w:rsid w:val="034F016A"/>
    <w:rsid w:val="039E5EDD"/>
    <w:rsid w:val="03DA5762"/>
    <w:rsid w:val="04052C93"/>
    <w:rsid w:val="040575E6"/>
    <w:rsid w:val="042E6885"/>
    <w:rsid w:val="044F5876"/>
    <w:rsid w:val="058D7738"/>
    <w:rsid w:val="05CE3C5E"/>
    <w:rsid w:val="05DA7FE9"/>
    <w:rsid w:val="05F53ECA"/>
    <w:rsid w:val="060D5ED0"/>
    <w:rsid w:val="06694CFE"/>
    <w:rsid w:val="06826CEB"/>
    <w:rsid w:val="06A646FC"/>
    <w:rsid w:val="06C508DA"/>
    <w:rsid w:val="06C604CC"/>
    <w:rsid w:val="06EE74DB"/>
    <w:rsid w:val="072015CC"/>
    <w:rsid w:val="07E4353E"/>
    <w:rsid w:val="08035B97"/>
    <w:rsid w:val="08617CF0"/>
    <w:rsid w:val="08633A5F"/>
    <w:rsid w:val="0878647D"/>
    <w:rsid w:val="093E5132"/>
    <w:rsid w:val="097D1872"/>
    <w:rsid w:val="099C3247"/>
    <w:rsid w:val="09A62B95"/>
    <w:rsid w:val="09AF5ECF"/>
    <w:rsid w:val="09B44D40"/>
    <w:rsid w:val="0A40375A"/>
    <w:rsid w:val="0A583F07"/>
    <w:rsid w:val="0AD35BED"/>
    <w:rsid w:val="0AE331B4"/>
    <w:rsid w:val="0B071D3B"/>
    <w:rsid w:val="0B34273F"/>
    <w:rsid w:val="0B5759D8"/>
    <w:rsid w:val="0B584B6B"/>
    <w:rsid w:val="0B7E1AF8"/>
    <w:rsid w:val="0B91283B"/>
    <w:rsid w:val="0B9A6428"/>
    <w:rsid w:val="0BB97319"/>
    <w:rsid w:val="0BC76A6E"/>
    <w:rsid w:val="0BD069A1"/>
    <w:rsid w:val="0C0B76AE"/>
    <w:rsid w:val="0C0D3381"/>
    <w:rsid w:val="0C1955FE"/>
    <w:rsid w:val="0C3C77C2"/>
    <w:rsid w:val="0C5E5640"/>
    <w:rsid w:val="0C695EBF"/>
    <w:rsid w:val="0C764D16"/>
    <w:rsid w:val="0CF464E3"/>
    <w:rsid w:val="0D3E7892"/>
    <w:rsid w:val="0D710CA8"/>
    <w:rsid w:val="0DB72352"/>
    <w:rsid w:val="0DDA1988"/>
    <w:rsid w:val="0DFC12FE"/>
    <w:rsid w:val="0DFF1A91"/>
    <w:rsid w:val="0E277278"/>
    <w:rsid w:val="0E30091C"/>
    <w:rsid w:val="0EB116DF"/>
    <w:rsid w:val="0EB9796D"/>
    <w:rsid w:val="0ED93BBF"/>
    <w:rsid w:val="0EEE68D0"/>
    <w:rsid w:val="0F4C683F"/>
    <w:rsid w:val="0F9242C9"/>
    <w:rsid w:val="0FBD342A"/>
    <w:rsid w:val="0FC76BB7"/>
    <w:rsid w:val="0FED14FF"/>
    <w:rsid w:val="0FFB7896"/>
    <w:rsid w:val="10B908D5"/>
    <w:rsid w:val="10EE19D3"/>
    <w:rsid w:val="10F935A7"/>
    <w:rsid w:val="110C00AB"/>
    <w:rsid w:val="111A5120"/>
    <w:rsid w:val="115B2DE0"/>
    <w:rsid w:val="121A67F7"/>
    <w:rsid w:val="125E4B0E"/>
    <w:rsid w:val="12802AFE"/>
    <w:rsid w:val="12D373EF"/>
    <w:rsid w:val="12E83133"/>
    <w:rsid w:val="135079C0"/>
    <w:rsid w:val="13517FF7"/>
    <w:rsid w:val="13607801"/>
    <w:rsid w:val="1375778E"/>
    <w:rsid w:val="13873A19"/>
    <w:rsid w:val="13D77B3C"/>
    <w:rsid w:val="13FC4407"/>
    <w:rsid w:val="14CA3957"/>
    <w:rsid w:val="14E43199"/>
    <w:rsid w:val="14F74BCE"/>
    <w:rsid w:val="157C128B"/>
    <w:rsid w:val="157E6EF5"/>
    <w:rsid w:val="159870F0"/>
    <w:rsid w:val="15D45DE5"/>
    <w:rsid w:val="161F0868"/>
    <w:rsid w:val="1684559B"/>
    <w:rsid w:val="16F15C51"/>
    <w:rsid w:val="17146EEB"/>
    <w:rsid w:val="1719192A"/>
    <w:rsid w:val="17810C39"/>
    <w:rsid w:val="17AD32B5"/>
    <w:rsid w:val="17B80C6E"/>
    <w:rsid w:val="18A85F98"/>
    <w:rsid w:val="193E25F8"/>
    <w:rsid w:val="19960E59"/>
    <w:rsid w:val="19F3AA19"/>
    <w:rsid w:val="1A554FB9"/>
    <w:rsid w:val="1AAB619B"/>
    <w:rsid w:val="1C136791"/>
    <w:rsid w:val="1C8C6544"/>
    <w:rsid w:val="1CE617B0"/>
    <w:rsid w:val="1D015171"/>
    <w:rsid w:val="1D191BE5"/>
    <w:rsid w:val="1D3B78BE"/>
    <w:rsid w:val="1D8D60CF"/>
    <w:rsid w:val="1DEC70E9"/>
    <w:rsid w:val="1E0B00F8"/>
    <w:rsid w:val="1E112FC8"/>
    <w:rsid w:val="1E196982"/>
    <w:rsid w:val="1EF439EC"/>
    <w:rsid w:val="1F2D79C6"/>
    <w:rsid w:val="1F2E6A6D"/>
    <w:rsid w:val="1F324B4A"/>
    <w:rsid w:val="1F332CA6"/>
    <w:rsid w:val="1F4B71D4"/>
    <w:rsid w:val="1FC3402A"/>
    <w:rsid w:val="1FCC6A3E"/>
    <w:rsid w:val="1FFE5062"/>
    <w:rsid w:val="20305D15"/>
    <w:rsid w:val="20542ED4"/>
    <w:rsid w:val="20570BEB"/>
    <w:rsid w:val="20CF3CAF"/>
    <w:rsid w:val="21221225"/>
    <w:rsid w:val="21326E5F"/>
    <w:rsid w:val="215150C9"/>
    <w:rsid w:val="21616461"/>
    <w:rsid w:val="21A12912"/>
    <w:rsid w:val="22196184"/>
    <w:rsid w:val="22F83FEB"/>
    <w:rsid w:val="22FB7F7F"/>
    <w:rsid w:val="237C1D35"/>
    <w:rsid w:val="239156F4"/>
    <w:rsid w:val="240959A7"/>
    <w:rsid w:val="240A7D85"/>
    <w:rsid w:val="241D3932"/>
    <w:rsid w:val="24586F23"/>
    <w:rsid w:val="245B6F27"/>
    <w:rsid w:val="247E2DFD"/>
    <w:rsid w:val="249A1C21"/>
    <w:rsid w:val="256D3B90"/>
    <w:rsid w:val="259C34F4"/>
    <w:rsid w:val="26282E39"/>
    <w:rsid w:val="263B7010"/>
    <w:rsid w:val="264E76A3"/>
    <w:rsid w:val="265324A8"/>
    <w:rsid w:val="265B0373"/>
    <w:rsid w:val="273168FE"/>
    <w:rsid w:val="274D5052"/>
    <w:rsid w:val="2753038A"/>
    <w:rsid w:val="275A1F7C"/>
    <w:rsid w:val="276A4438"/>
    <w:rsid w:val="27E04A80"/>
    <w:rsid w:val="27E85AF1"/>
    <w:rsid w:val="28153BB7"/>
    <w:rsid w:val="286A598B"/>
    <w:rsid w:val="28851C58"/>
    <w:rsid w:val="288E11CC"/>
    <w:rsid w:val="28A96E2F"/>
    <w:rsid w:val="299D3B3E"/>
    <w:rsid w:val="29A70519"/>
    <w:rsid w:val="2A1534D2"/>
    <w:rsid w:val="2A8B3997"/>
    <w:rsid w:val="2ACB2D39"/>
    <w:rsid w:val="2ADB5F53"/>
    <w:rsid w:val="2AFB4FC0"/>
    <w:rsid w:val="2B2368E4"/>
    <w:rsid w:val="2B3E6793"/>
    <w:rsid w:val="2B5044AE"/>
    <w:rsid w:val="2B652AA2"/>
    <w:rsid w:val="2B89414F"/>
    <w:rsid w:val="2BE61F32"/>
    <w:rsid w:val="2C2F4A08"/>
    <w:rsid w:val="2C320603"/>
    <w:rsid w:val="2CBC165F"/>
    <w:rsid w:val="2CCB6C14"/>
    <w:rsid w:val="2D0A773C"/>
    <w:rsid w:val="2D1633EB"/>
    <w:rsid w:val="2D340315"/>
    <w:rsid w:val="2D611D48"/>
    <w:rsid w:val="2DAC4350"/>
    <w:rsid w:val="2E535D64"/>
    <w:rsid w:val="2E992065"/>
    <w:rsid w:val="2E992FC2"/>
    <w:rsid w:val="2EB60132"/>
    <w:rsid w:val="2F7327E4"/>
    <w:rsid w:val="2F850E2A"/>
    <w:rsid w:val="2F8779B7"/>
    <w:rsid w:val="2FC51CEF"/>
    <w:rsid w:val="2FDF2500"/>
    <w:rsid w:val="30550401"/>
    <w:rsid w:val="315E02E1"/>
    <w:rsid w:val="316E1B79"/>
    <w:rsid w:val="31AC0DC2"/>
    <w:rsid w:val="31EB7645"/>
    <w:rsid w:val="3215051D"/>
    <w:rsid w:val="330C0CEE"/>
    <w:rsid w:val="33E463D1"/>
    <w:rsid w:val="33E83C08"/>
    <w:rsid w:val="33FF032A"/>
    <w:rsid w:val="34152599"/>
    <w:rsid w:val="346F0142"/>
    <w:rsid w:val="34790D04"/>
    <w:rsid w:val="34791549"/>
    <w:rsid w:val="347C4231"/>
    <w:rsid w:val="347E291E"/>
    <w:rsid w:val="34AA5B2B"/>
    <w:rsid w:val="3544508A"/>
    <w:rsid w:val="35DA54E6"/>
    <w:rsid w:val="360337E4"/>
    <w:rsid w:val="367E0853"/>
    <w:rsid w:val="36963DEF"/>
    <w:rsid w:val="36AD04C3"/>
    <w:rsid w:val="36B85FBC"/>
    <w:rsid w:val="36D733FE"/>
    <w:rsid w:val="36E71BB0"/>
    <w:rsid w:val="37107F95"/>
    <w:rsid w:val="376D72AA"/>
    <w:rsid w:val="37BB5A7B"/>
    <w:rsid w:val="38003C16"/>
    <w:rsid w:val="382F0057"/>
    <w:rsid w:val="383B3057"/>
    <w:rsid w:val="385414FE"/>
    <w:rsid w:val="38614FCA"/>
    <w:rsid w:val="38CD4FE1"/>
    <w:rsid w:val="38DA3599"/>
    <w:rsid w:val="392D39C7"/>
    <w:rsid w:val="397C3770"/>
    <w:rsid w:val="39D30EB6"/>
    <w:rsid w:val="3AEA26F3"/>
    <w:rsid w:val="3B123B5D"/>
    <w:rsid w:val="3B5006E0"/>
    <w:rsid w:val="3BF057D7"/>
    <w:rsid w:val="3BFD046C"/>
    <w:rsid w:val="3BFD31C3"/>
    <w:rsid w:val="3C2546B9"/>
    <w:rsid w:val="3C6923A5"/>
    <w:rsid w:val="3C6C2EE7"/>
    <w:rsid w:val="3C9227B9"/>
    <w:rsid w:val="3CBE62EC"/>
    <w:rsid w:val="3D081CDC"/>
    <w:rsid w:val="3D0B7FB1"/>
    <w:rsid w:val="3D192362"/>
    <w:rsid w:val="3D812480"/>
    <w:rsid w:val="3D86254C"/>
    <w:rsid w:val="3D891FB8"/>
    <w:rsid w:val="3DB84470"/>
    <w:rsid w:val="3E1677F2"/>
    <w:rsid w:val="3E5D2790"/>
    <w:rsid w:val="3E9B4698"/>
    <w:rsid w:val="3EE635F2"/>
    <w:rsid w:val="3EFFF5A0"/>
    <w:rsid w:val="3F397A0D"/>
    <w:rsid w:val="3F9D1A94"/>
    <w:rsid w:val="3FA3480D"/>
    <w:rsid w:val="3FBD23EC"/>
    <w:rsid w:val="404F535A"/>
    <w:rsid w:val="40750F19"/>
    <w:rsid w:val="408D59ED"/>
    <w:rsid w:val="40A56CB3"/>
    <w:rsid w:val="40B54BA9"/>
    <w:rsid w:val="40CD2B03"/>
    <w:rsid w:val="40E21FA4"/>
    <w:rsid w:val="41BB6E00"/>
    <w:rsid w:val="41FA1B64"/>
    <w:rsid w:val="4218737F"/>
    <w:rsid w:val="42CF07A0"/>
    <w:rsid w:val="42DD73D7"/>
    <w:rsid w:val="4335673E"/>
    <w:rsid w:val="43406525"/>
    <w:rsid w:val="43F61425"/>
    <w:rsid w:val="44166916"/>
    <w:rsid w:val="441722A4"/>
    <w:rsid w:val="447B4624"/>
    <w:rsid w:val="44CC5046"/>
    <w:rsid w:val="44E678A3"/>
    <w:rsid w:val="44F243AD"/>
    <w:rsid w:val="44FF068A"/>
    <w:rsid w:val="450D1720"/>
    <w:rsid w:val="453D710A"/>
    <w:rsid w:val="45517EE7"/>
    <w:rsid w:val="458A0FC3"/>
    <w:rsid w:val="45B432AB"/>
    <w:rsid w:val="45B649C6"/>
    <w:rsid w:val="45E16709"/>
    <w:rsid w:val="46364CA7"/>
    <w:rsid w:val="46D629D1"/>
    <w:rsid w:val="472745EF"/>
    <w:rsid w:val="47997CE8"/>
    <w:rsid w:val="47C27D6C"/>
    <w:rsid w:val="47F72214"/>
    <w:rsid w:val="4838270D"/>
    <w:rsid w:val="488F069E"/>
    <w:rsid w:val="48A71E8C"/>
    <w:rsid w:val="48BC7DAB"/>
    <w:rsid w:val="48EC3373"/>
    <w:rsid w:val="48F007C1"/>
    <w:rsid w:val="49364312"/>
    <w:rsid w:val="493B64BB"/>
    <w:rsid w:val="495E0E6D"/>
    <w:rsid w:val="49A413EC"/>
    <w:rsid w:val="49CD7090"/>
    <w:rsid w:val="49D55251"/>
    <w:rsid w:val="4A6F4C2B"/>
    <w:rsid w:val="4AB90145"/>
    <w:rsid w:val="4AEA4061"/>
    <w:rsid w:val="4B06733D"/>
    <w:rsid w:val="4B2D07D3"/>
    <w:rsid w:val="4B8B2F80"/>
    <w:rsid w:val="4BE87A98"/>
    <w:rsid w:val="4C1743E7"/>
    <w:rsid w:val="4C1A4486"/>
    <w:rsid w:val="4C2E43AC"/>
    <w:rsid w:val="4CA76E6E"/>
    <w:rsid w:val="4DDF2CBF"/>
    <w:rsid w:val="4E0144C3"/>
    <w:rsid w:val="4E102281"/>
    <w:rsid w:val="4E1E35A8"/>
    <w:rsid w:val="4E310B48"/>
    <w:rsid w:val="4E616C92"/>
    <w:rsid w:val="4E6F2E5D"/>
    <w:rsid w:val="4E7229C3"/>
    <w:rsid w:val="4E8B1908"/>
    <w:rsid w:val="4EC12B91"/>
    <w:rsid w:val="4EED7F02"/>
    <w:rsid w:val="4EF377FA"/>
    <w:rsid w:val="4F9B25B3"/>
    <w:rsid w:val="4FAA6AA2"/>
    <w:rsid w:val="508A5A0C"/>
    <w:rsid w:val="508B764F"/>
    <w:rsid w:val="50B13DEA"/>
    <w:rsid w:val="50C055F7"/>
    <w:rsid w:val="50C17863"/>
    <w:rsid w:val="50F27458"/>
    <w:rsid w:val="51357AF8"/>
    <w:rsid w:val="513F7105"/>
    <w:rsid w:val="517A638F"/>
    <w:rsid w:val="51BB0DAD"/>
    <w:rsid w:val="51C55A0C"/>
    <w:rsid w:val="51F91CB7"/>
    <w:rsid w:val="51FA127E"/>
    <w:rsid w:val="52630BD1"/>
    <w:rsid w:val="528B0128"/>
    <w:rsid w:val="52991C53"/>
    <w:rsid w:val="52C553E8"/>
    <w:rsid w:val="52F37341"/>
    <w:rsid w:val="53253909"/>
    <w:rsid w:val="53331116"/>
    <w:rsid w:val="53530C46"/>
    <w:rsid w:val="53740BBC"/>
    <w:rsid w:val="53B33E41"/>
    <w:rsid w:val="53B65679"/>
    <w:rsid w:val="53EF5B7D"/>
    <w:rsid w:val="54062CA5"/>
    <w:rsid w:val="5407371F"/>
    <w:rsid w:val="542D1CD6"/>
    <w:rsid w:val="54301FB8"/>
    <w:rsid w:val="54770964"/>
    <w:rsid w:val="54C01D99"/>
    <w:rsid w:val="54E87505"/>
    <w:rsid w:val="55076EDB"/>
    <w:rsid w:val="5540169E"/>
    <w:rsid w:val="555E38D2"/>
    <w:rsid w:val="55646FF0"/>
    <w:rsid w:val="557F62EE"/>
    <w:rsid w:val="55992B5C"/>
    <w:rsid w:val="55BD684B"/>
    <w:rsid w:val="55C027DF"/>
    <w:rsid w:val="55E510E7"/>
    <w:rsid w:val="56395F69"/>
    <w:rsid w:val="565019E7"/>
    <w:rsid w:val="56861129"/>
    <w:rsid w:val="569861B6"/>
    <w:rsid w:val="56A83B0B"/>
    <w:rsid w:val="56B6493F"/>
    <w:rsid w:val="56BB4492"/>
    <w:rsid w:val="56D26221"/>
    <w:rsid w:val="56ED3FA2"/>
    <w:rsid w:val="56FB1D20"/>
    <w:rsid w:val="57650F48"/>
    <w:rsid w:val="57721F89"/>
    <w:rsid w:val="5778511F"/>
    <w:rsid w:val="57AA1051"/>
    <w:rsid w:val="57D4238E"/>
    <w:rsid w:val="5809250B"/>
    <w:rsid w:val="58575D94"/>
    <w:rsid w:val="58946959"/>
    <w:rsid w:val="589E1721"/>
    <w:rsid w:val="58A12453"/>
    <w:rsid w:val="58C1672F"/>
    <w:rsid w:val="590754CD"/>
    <w:rsid w:val="593D5002"/>
    <w:rsid w:val="5A5113C2"/>
    <w:rsid w:val="5A8C0EE1"/>
    <w:rsid w:val="5AE6136B"/>
    <w:rsid w:val="5B591320"/>
    <w:rsid w:val="5B916FC1"/>
    <w:rsid w:val="5BAC2B68"/>
    <w:rsid w:val="5BEFA646"/>
    <w:rsid w:val="5BF605B4"/>
    <w:rsid w:val="5C4D0240"/>
    <w:rsid w:val="5C8F7148"/>
    <w:rsid w:val="5D5B355A"/>
    <w:rsid w:val="5D5D7D54"/>
    <w:rsid w:val="5D8C4430"/>
    <w:rsid w:val="5D8D744A"/>
    <w:rsid w:val="5D8F082D"/>
    <w:rsid w:val="5DF71EF1"/>
    <w:rsid w:val="5E09527C"/>
    <w:rsid w:val="5E3C06A6"/>
    <w:rsid w:val="5EC73A2C"/>
    <w:rsid w:val="5F24257D"/>
    <w:rsid w:val="5F6103C2"/>
    <w:rsid w:val="5FCD130C"/>
    <w:rsid w:val="5FD07FE9"/>
    <w:rsid w:val="5FD941B2"/>
    <w:rsid w:val="5FF6672B"/>
    <w:rsid w:val="601401C0"/>
    <w:rsid w:val="604C7149"/>
    <w:rsid w:val="60613CC2"/>
    <w:rsid w:val="60A41A75"/>
    <w:rsid w:val="60F21B27"/>
    <w:rsid w:val="611E0377"/>
    <w:rsid w:val="61737CE0"/>
    <w:rsid w:val="617A62BB"/>
    <w:rsid w:val="621E2D67"/>
    <w:rsid w:val="62450E0A"/>
    <w:rsid w:val="625A41CC"/>
    <w:rsid w:val="626A5FAC"/>
    <w:rsid w:val="6270505E"/>
    <w:rsid w:val="627E7362"/>
    <w:rsid w:val="62856942"/>
    <w:rsid w:val="62A2790D"/>
    <w:rsid w:val="62C51160"/>
    <w:rsid w:val="62DB721E"/>
    <w:rsid w:val="62E70777"/>
    <w:rsid w:val="62EB49FC"/>
    <w:rsid w:val="631318DB"/>
    <w:rsid w:val="632B05B6"/>
    <w:rsid w:val="635272BD"/>
    <w:rsid w:val="63D905AD"/>
    <w:rsid w:val="64025D70"/>
    <w:rsid w:val="64333908"/>
    <w:rsid w:val="645F3309"/>
    <w:rsid w:val="647A03AB"/>
    <w:rsid w:val="651452D1"/>
    <w:rsid w:val="652674EA"/>
    <w:rsid w:val="659830FE"/>
    <w:rsid w:val="65B46500"/>
    <w:rsid w:val="65D32682"/>
    <w:rsid w:val="65FF07B9"/>
    <w:rsid w:val="66381AEC"/>
    <w:rsid w:val="668A09CB"/>
    <w:rsid w:val="66B772E6"/>
    <w:rsid w:val="66E2747D"/>
    <w:rsid w:val="66F7550A"/>
    <w:rsid w:val="673047EC"/>
    <w:rsid w:val="678665C6"/>
    <w:rsid w:val="6833421D"/>
    <w:rsid w:val="683B31A6"/>
    <w:rsid w:val="687150F2"/>
    <w:rsid w:val="68DB5F16"/>
    <w:rsid w:val="68FB170C"/>
    <w:rsid w:val="69136471"/>
    <w:rsid w:val="69F10872"/>
    <w:rsid w:val="6A2B2E9D"/>
    <w:rsid w:val="6A4B69A3"/>
    <w:rsid w:val="6A833F73"/>
    <w:rsid w:val="6A9874AE"/>
    <w:rsid w:val="6AAD1A41"/>
    <w:rsid w:val="6AB853DB"/>
    <w:rsid w:val="6AEB57B0"/>
    <w:rsid w:val="6B0074AE"/>
    <w:rsid w:val="6B161ED7"/>
    <w:rsid w:val="6B5B0B88"/>
    <w:rsid w:val="6B9C347D"/>
    <w:rsid w:val="6BAC18E9"/>
    <w:rsid w:val="6BDA0E02"/>
    <w:rsid w:val="6BDB75D3"/>
    <w:rsid w:val="6CEB1A97"/>
    <w:rsid w:val="6D2E7D96"/>
    <w:rsid w:val="6D2F1B21"/>
    <w:rsid w:val="6D390A55"/>
    <w:rsid w:val="6D846AD1"/>
    <w:rsid w:val="6DB54928"/>
    <w:rsid w:val="6DBB276F"/>
    <w:rsid w:val="6DDD441D"/>
    <w:rsid w:val="6DF2FF6B"/>
    <w:rsid w:val="6E4B51ED"/>
    <w:rsid w:val="6E5F172B"/>
    <w:rsid w:val="6E861409"/>
    <w:rsid w:val="6EAE7189"/>
    <w:rsid w:val="6ED068A4"/>
    <w:rsid w:val="6F141779"/>
    <w:rsid w:val="6F352F9A"/>
    <w:rsid w:val="6F5D0B2F"/>
    <w:rsid w:val="6F6117F5"/>
    <w:rsid w:val="6F84274A"/>
    <w:rsid w:val="6FBE314B"/>
    <w:rsid w:val="6FDC216E"/>
    <w:rsid w:val="6FF56F12"/>
    <w:rsid w:val="6FF695F1"/>
    <w:rsid w:val="70217AAF"/>
    <w:rsid w:val="70A0444C"/>
    <w:rsid w:val="70E11BD6"/>
    <w:rsid w:val="71E7396A"/>
    <w:rsid w:val="71FD7315"/>
    <w:rsid w:val="72AC4223"/>
    <w:rsid w:val="72B648F6"/>
    <w:rsid w:val="739D491A"/>
    <w:rsid w:val="73C7A441"/>
    <w:rsid w:val="74300CFA"/>
    <w:rsid w:val="74B90999"/>
    <w:rsid w:val="74FC2405"/>
    <w:rsid w:val="75465BD1"/>
    <w:rsid w:val="75526B58"/>
    <w:rsid w:val="75BD5BF7"/>
    <w:rsid w:val="777A7420"/>
    <w:rsid w:val="77860F5E"/>
    <w:rsid w:val="77CD4BBB"/>
    <w:rsid w:val="78325075"/>
    <w:rsid w:val="78373BAC"/>
    <w:rsid w:val="78BD53BB"/>
    <w:rsid w:val="78D4376C"/>
    <w:rsid w:val="79775D93"/>
    <w:rsid w:val="799B26EC"/>
    <w:rsid w:val="79DA107C"/>
    <w:rsid w:val="7A13262E"/>
    <w:rsid w:val="7A721EC3"/>
    <w:rsid w:val="7A7F7E7B"/>
    <w:rsid w:val="7AEF723C"/>
    <w:rsid w:val="7B6969A9"/>
    <w:rsid w:val="7B853EC3"/>
    <w:rsid w:val="7B8763AA"/>
    <w:rsid w:val="7BDB95F2"/>
    <w:rsid w:val="7C113447"/>
    <w:rsid w:val="7C2B1EB0"/>
    <w:rsid w:val="7C363AD7"/>
    <w:rsid w:val="7C730498"/>
    <w:rsid w:val="7CAE2B9E"/>
    <w:rsid w:val="7CDDBCCF"/>
    <w:rsid w:val="7CE85FF3"/>
    <w:rsid w:val="7D18299B"/>
    <w:rsid w:val="7D7543A3"/>
    <w:rsid w:val="7D76711F"/>
    <w:rsid w:val="7D912DEC"/>
    <w:rsid w:val="7DDD3DC8"/>
    <w:rsid w:val="7DE71E07"/>
    <w:rsid w:val="7E0E55E6"/>
    <w:rsid w:val="7E18651E"/>
    <w:rsid w:val="7E250B4B"/>
    <w:rsid w:val="7E2F5732"/>
    <w:rsid w:val="7E6E5448"/>
    <w:rsid w:val="7EAB0421"/>
    <w:rsid w:val="7EAB552B"/>
    <w:rsid w:val="7EB5BAA1"/>
    <w:rsid w:val="7EDD4AB0"/>
    <w:rsid w:val="7F1E1636"/>
    <w:rsid w:val="7F201AEB"/>
    <w:rsid w:val="7F4C0D3F"/>
    <w:rsid w:val="7FA949DA"/>
    <w:rsid w:val="7FF75E5A"/>
    <w:rsid w:val="7FFF991A"/>
    <w:rsid w:val="AADF1365"/>
    <w:rsid w:val="AEAFF5E0"/>
    <w:rsid w:val="B75EDC42"/>
    <w:rsid w:val="BD79AC51"/>
    <w:rsid w:val="C4FAA3B4"/>
    <w:rsid w:val="DAEF3FA1"/>
    <w:rsid w:val="EFDE6086"/>
    <w:rsid w:val="EFF9AA5F"/>
    <w:rsid w:val="FEFD67D2"/>
    <w:rsid w:val="FFBD3595"/>
    <w:rsid w:val="FFFB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6"/>
    <w:unhideWhenUsed/>
    <w:qFormat/>
    <w:uiPriority w:val="0"/>
    <w:pPr>
      <w:keepNext/>
      <w:keepLines/>
      <w:spacing w:before="0" w:after="0" w:line="360" w:lineRule="auto"/>
      <w:outlineLvl w:val="2"/>
    </w:pPr>
    <w:rPr>
      <w:rFonts w:ascii="宋体" w:hAnsi="宋体" w:eastAsia="宋体"/>
      <w:b/>
      <w:bCs/>
      <w:sz w:val="28"/>
      <w:szCs w:val="32"/>
    </w:rPr>
  </w:style>
  <w:style w:type="paragraph" w:styleId="6">
    <w:name w:val="heading 4"/>
    <w:basedOn w:val="1"/>
    <w:next w:val="1"/>
    <w:link w:val="91"/>
    <w:qFormat/>
    <w:uiPriority w:val="0"/>
    <w:pPr>
      <w:keepNext/>
      <w:keepLines/>
      <w:spacing w:before="280" w:after="290" w:line="376" w:lineRule="auto"/>
      <w:outlineLvl w:val="3"/>
    </w:pPr>
    <w:rPr>
      <w:b/>
      <w:bCs/>
      <w:sz w:val="28"/>
      <w:szCs w:val="28"/>
    </w:rPr>
  </w:style>
  <w:style w:type="paragraph" w:styleId="7">
    <w:name w:val="heading 5"/>
    <w:basedOn w:val="1"/>
    <w:next w:val="1"/>
    <w:link w:val="98"/>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9"/>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0"/>
    <w:autoRedefine/>
    <w:qFormat/>
    <w:uiPriority w:val="0"/>
    <w:pPr>
      <w:tabs>
        <w:tab w:val="left" w:pos="1800"/>
        <w:tab w:val="clear" w:pos="1440"/>
      </w:tabs>
      <w:ind w:left="1276" w:hanging="1276"/>
      <w:outlineLvl w:val="6"/>
    </w:pPr>
  </w:style>
  <w:style w:type="paragraph" w:styleId="10">
    <w:name w:val="heading 8"/>
    <w:basedOn w:val="1"/>
    <w:next w:val="1"/>
    <w:link w:val="101"/>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2"/>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autoRedefine/>
    <w:semiHidden/>
    <w:unhideWhenUsed/>
    <w:qFormat/>
    <w:uiPriority w:val="1"/>
  </w:style>
  <w:style w:type="table" w:default="1" w:styleId="55">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72"/>
    <w:autoRedefine/>
    <w:qFormat/>
    <w:uiPriority w:val="0"/>
    <w:rPr>
      <w:rFonts w:hAnsi="Courier New" w:eastAsiaTheme="minorEastAsia"/>
      <w:szCs w:val="22"/>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next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autoRedefine/>
    <w:qFormat/>
    <w:uiPriority w:val="0"/>
    <w:pPr>
      <w:spacing w:before="152" w:after="160"/>
    </w:pPr>
    <w:rPr>
      <w:rFonts w:ascii="Arial" w:hAnsi="Arial" w:eastAsia="黑体" w:cs="Arial"/>
      <w:kern w:val="2"/>
    </w:rPr>
  </w:style>
  <w:style w:type="paragraph" w:styleId="16">
    <w:name w:val="Document Map"/>
    <w:basedOn w:val="1"/>
    <w:link w:val="147"/>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3"/>
    <w:qFormat/>
    <w:uiPriority w:val="0"/>
    <w:pPr>
      <w:jc w:val="left"/>
    </w:pPr>
    <w:rPr>
      <w:rFonts w:ascii="Arial" w:hAnsi="Arial" w:eastAsia="黑体" w:cs="Arial"/>
    </w:rPr>
  </w:style>
  <w:style w:type="paragraph" w:styleId="18">
    <w:name w:val="Salutation"/>
    <w:basedOn w:val="1"/>
    <w:next w:val="1"/>
    <w:link w:val="113"/>
    <w:autoRedefine/>
    <w:qFormat/>
    <w:uiPriority w:val="0"/>
    <w:rPr>
      <w:rFonts w:ascii="仿宋_GB2312" w:hAnsi="Times New Roman" w:eastAsia="仿宋_GB2312" w:cs="Times New Roman"/>
      <w:kern w:val="2"/>
      <w:sz w:val="28"/>
      <w:lang w:val="zh-CN"/>
    </w:rPr>
  </w:style>
  <w:style w:type="paragraph" w:styleId="19">
    <w:name w:val="Body Text 3"/>
    <w:basedOn w:val="1"/>
    <w:link w:val="133"/>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w:basedOn w:val="1"/>
    <w:link w:val="92"/>
    <w:qFormat/>
    <w:uiPriority w:val="0"/>
    <w:pPr>
      <w:spacing w:after="120"/>
    </w:pPr>
    <w:rPr>
      <w:rFonts w:ascii="@微软简标宋" w:hAnsi="@微软简标宋" w:eastAsia="@微软简标宋" w:cs="@微软简标宋"/>
      <w:szCs w:val="24"/>
      <w:lang w:val="zh-CN"/>
    </w:rPr>
  </w:style>
  <w:style w:type="paragraph" w:styleId="21">
    <w:name w:val="Body Text Indent"/>
    <w:basedOn w:val="1"/>
    <w:next w:val="22"/>
    <w:link w:val="107"/>
    <w:unhideWhenUsed/>
    <w:qFormat/>
    <w:uiPriority w:val="0"/>
    <w:pPr>
      <w:spacing w:after="120"/>
      <w:ind w:left="420" w:leftChars="200"/>
    </w:pPr>
    <w:rPr>
      <w:rFonts w:asciiTheme="minorHAnsi" w:hAnsiTheme="minorHAnsi"/>
      <w:kern w:val="2"/>
      <w:sz w:val="21"/>
      <w:szCs w:val="22"/>
    </w:rPr>
  </w:style>
  <w:style w:type="paragraph" w:styleId="22">
    <w:name w:val="Body Text First Indent 2"/>
    <w:basedOn w:val="21"/>
    <w:next w:val="1"/>
    <w:qFormat/>
    <w:uiPriority w:val="0"/>
    <w:pPr>
      <w:ind w:firstLine="420"/>
    </w:pPr>
  </w:style>
  <w:style w:type="paragraph" w:styleId="23">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4">
    <w:name w:val="List Continue"/>
    <w:basedOn w:val="1"/>
    <w:qFormat/>
    <w:uiPriority w:val="0"/>
    <w:pPr>
      <w:spacing w:after="120"/>
      <w:ind w:left="420" w:leftChars="200"/>
    </w:pPr>
    <w:rPr>
      <w:rFonts w:ascii="Calibri" w:hAnsi="Calibri" w:cs="Times New Roman"/>
      <w:kern w:val="2"/>
      <w:sz w:val="21"/>
      <w:szCs w:val="22"/>
    </w:rPr>
  </w:style>
  <w:style w:type="paragraph" w:styleId="25">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6">
    <w:name w:val="index 4"/>
    <w:basedOn w:val="1"/>
    <w:next w:val="1"/>
    <w:qFormat/>
    <w:uiPriority w:val="0"/>
    <w:pPr>
      <w:ind w:left="600" w:leftChars="600"/>
    </w:pPr>
    <w:rPr>
      <w:rFonts w:ascii="Times New Roman" w:hAnsi="Times New Roman" w:cs="Times New Roman"/>
      <w:kern w:val="2"/>
      <w:sz w:val="21"/>
      <w:szCs w:val="24"/>
    </w:rPr>
  </w:style>
  <w:style w:type="paragraph" w:styleId="27">
    <w:name w:val="toc 5"/>
    <w:basedOn w:val="1"/>
    <w:next w:val="1"/>
    <w:autoRedefine/>
    <w:unhideWhenUsed/>
    <w:qFormat/>
    <w:uiPriority w:val="39"/>
    <w:pPr>
      <w:ind w:left="840"/>
      <w:jc w:val="left"/>
    </w:pPr>
    <w:rPr>
      <w:rFonts w:ascii="Calibri" w:hAnsi="Calibri" w:cs="Calibri"/>
      <w:kern w:val="2"/>
      <w:sz w:val="18"/>
      <w:szCs w:val="18"/>
    </w:rPr>
  </w:style>
  <w:style w:type="paragraph" w:styleId="28">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9">
    <w:name w:val="toc 8"/>
    <w:basedOn w:val="1"/>
    <w:next w:val="1"/>
    <w:autoRedefine/>
    <w:unhideWhenUsed/>
    <w:qFormat/>
    <w:uiPriority w:val="39"/>
    <w:pPr>
      <w:ind w:left="1470"/>
      <w:jc w:val="left"/>
    </w:pPr>
    <w:rPr>
      <w:rFonts w:ascii="Calibri" w:hAnsi="Calibri" w:cs="Calibri"/>
      <w:kern w:val="2"/>
      <w:sz w:val="18"/>
      <w:szCs w:val="18"/>
    </w:rPr>
  </w:style>
  <w:style w:type="paragraph" w:styleId="30">
    <w:name w:val="Date"/>
    <w:basedOn w:val="1"/>
    <w:next w:val="1"/>
    <w:link w:val="79"/>
    <w:qFormat/>
    <w:uiPriority w:val="0"/>
    <w:rPr>
      <w:rFonts w:ascii="Arial" w:hAnsi="Arial" w:cs="Arial"/>
      <w:b/>
      <w:sz w:val="28"/>
    </w:rPr>
  </w:style>
  <w:style w:type="paragraph" w:styleId="31">
    <w:name w:val="Body Text Indent 2"/>
    <w:basedOn w:val="1"/>
    <w:link w:val="129"/>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2">
    <w:name w:val="Balloon Text"/>
    <w:basedOn w:val="1"/>
    <w:link w:val="66"/>
    <w:unhideWhenUsed/>
    <w:qFormat/>
    <w:uiPriority w:val="0"/>
    <w:rPr>
      <w:sz w:val="18"/>
      <w:szCs w:val="18"/>
    </w:rPr>
  </w:style>
  <w:style w:type="paragraph" w:styleId="33">
    <w:name w:val="footer"/>
    <w:basedOn w:val="1"/>
    <w:link w:val="71"/>
    <w:unhideWhenUsed/>
    <w:qFormat/>
    <w:uiPriority w:val="99"/>
    <w:pPr>
      <w:tabs>
        <w:tab w:val="center" w:pos="4153"/>
        <w:tab w:val="right" w:pos="8306"/>
      </w:tabs>
      <w:snapToGrid w:val="0"/>
      <w:jc w:val="left"/>
    </w:pPr>
    <w:rPr>
      <w:sz w:val="18"/>
      <w:szCs w:val="18"/>
    </w:rPr>
  </w:style>
  <w:style w:type="paragraph" w:styleId="34">
    <w:name w:val="envelope return"/>
    <w:basedOn w:val="1"/>
    <w:qFormat/>
    <w:uiPriority w:val="0"/>
    <w:pPr>
      <w:widowControl/>
      <w:snapToGrid w:val="0"/>
      <w:spacing w:line="240" w:lineRule="auto"/>
      <w:ind w:firstLine="0" w:firstLineChars="0"/>
      <w:jc w:val="left"/>
    </w:pPr>
    <w:rPr>
      <w:rFonts w:ascii="Arial" w:hAnsi="Arial"/>
      <w:szCs w:val="20"/>
    </w:rPr>
  </w:style>
  <w:style w:type="paragraph" w:styleId="35">
    <w:name w:val="header"/>
    <w:basedOn w:val="1"/>
    <w:link w:val="70"/>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7">
    <w:name w:val="List Continue 4"/>
    <w:basedOn w:val="1"/>
    <w:qFormat/>
    <w:uiPriority w:val="0"/>
    <w:pPr>
      <w:spacing w:after="120"/>
      <w:ind w:left="1680" w:leftChars="800"/>
    </w:pPr>
    <w:rPr>
      <w:rFonts w:ascii="Calibri" w:hAnsi="Calibri" w:cs="Times New Roman"/>
      <w:kern w:val="2"/>
      <w:sz w:val="21"/>
      <w:szCs w:val="22"/>
    </w:rPr>
  </w:style>
  <w:style w:type="paragraph" w:styleId="38">
    <w:name w:val="toc 4"/>
    <w:basedOn w:val="1"/>
    <w:next w:val="1"/>
    <w:autoRedefine/>
    <w:unhideWhenUsed/>
    <w:qFormat/>
    <w:uiPriority w:val="39"/>
    <w:pPr>
      <w:ind w:left="630"/>
      <w:jc w:val="left"/>
    </w:pPr>
    <w:rPr>
      <w:rFonts w:ascii="Calibri" w:hAnsi="Calibri" w:cs="Calibri"/>
      <w:kern w:val="2"/>
      <w:sz w:val="18"/>
      <w:szCs w:val="18"/>
    </w:rPr>
  </w:style>
  <w:style w:type="paragraph" w:styleId="39">
    <w:name w:val="index heading"/>
    <w:basedOn w:val="1"/>
    <w:next w:val="40"/>
    <w:autoRedefine/>
    <w:semiHidden/>
    <w:qFormat/>
    <w:uiPriority w:val="0"/>
    <w:rPr>
      <w:rFonts w:ascii="Times New Roman" w:hAnsi="Times New Roman" w:cs="Times New Roman"/>
      <w:kern w:val="2"/>
      <w:sz w:val="21"/>
      <w:szCs w:val="24"/>
    </w:rPr>
  </w:style>
  <w:style w:type="paragraph" w:styleId="40">
    <w:name w:val="index 1"/>
    <w:basedOn w:val="1"/>
    <w:next w:val="1"/>
    <w:autoRedefine/>
    <w:qFormat/>
    <w:uiPriority w:val="0"/>
    <w:pPr>
      <w:jc w:val="center"/>
    </w:pPr>
    <w:rPr>
      <w:rFonts w:ascii="Arial" w:hAnsi="Arial" w:eastAsia="Arial" w:cs="Arial"/>
      <w:b/>
      <w:bCs/>
      <w:sz w:val="28"/>
    </w:rPr>
  </w:style>
  <w:style w:type="paragraph" w:styleId="41">
    <w:name w:val="Subtitle"/>
    <w:basedOn w:val="1"/>
    <w:link w:val="221"/>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2">
    <w:name w:val="List"/>
    <w:basedOn w:val="1"/>
    <w:autoRedefine/>
    <w:qFormat/>
    <w:uiPriority w:val="0"/>
    <w:pPr>
      <w:ind w:left="200" w:hanging="200" w:hangingChars="200"/>
    </w:pPr>
    <w:rPr>
      <w:rFonts w:ascii="Calibri" w:hAnsi="Calibri" w:cs="Times New Roman"/>
      <w:kern w:val="2"/>
      <w:sz w:val="21"/>
      <w:szCs w:val="22"/>
    </w:rPr>
  </w:style>
  <w:style w:type="paragraph" w:styleId="43">
    <w:name w:val="footnote text"/>
    <w:basedOn w:val="1"/>
    <w:link w:val="109"/>
    <w:unhideWhenUsed/>
    <w:qFormat/>
    <w:uiPriority w:val="0"/>
    <w:pPr>
      <w:snapToGrid w:val="0"/>
      <w:jc w:val="left"/>
    </w:pPr>
    <w:rPr>
      <w:rFonts w:ascii="Times New Roman" w:hAnsi="Times New Roman" w:cs="Times New Roman"/>
      <w:kern w:val="2"/>
      <w:sz w:val="18"/>
      <w:szCs w:val="18"/>
      <w:lang w:val="zh-CN"/>
    </w:rPr>
  </w:style>
  <w:style w:type="paragraph" w:styleId="44">
    <w:name w:val="toc 6"/>
    <w:basedOn w:val="1"/>
    <w:next w:val="1"/>
    <w:autoRedefine/>
    <w:unhideWhenUsed/>
    <w:qFormat/>
    <w:uiPriority w:val="39"/>
    <w:pPr>
      <w:ind w:left="1050"/>
      <w:jc w:val="left"/>
    </w:pPr>
    <w:rPr>
      <w:rFonts w:ascii="Calibri" w:hAnsi="Calibri" w:cs="Calibri"/>
      <w:kern w:val="2"/>
      <w:sz w:val="18"/>
      <w:szCs w:val="18"/>
    </w:rPr>
  </w:style>
  <w:style w:type="paragraph" w:styleId="45">
    <w:name w:val="Body Text Indent 3"/>
    <w:basedOn w:val="1"/>
    <w:link w:val="128"/>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6">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7">
    <w:name w:val="toc 9"/>
    <w:basedOn w:val="1"/>
    <w:next w:val="1"/>
    <w:unhideWhenUsed/>
    <w:qFormat/>
    <w:uiPriority w:val="39"/>
    <w:pPr>
      <w:ind w:left="1680"/>
      <w:jc w:val="left"/>
    </w:pPr>
    <w:rPr>
      <w:rFonts w:ascii="Calibri" w:hAnsi="Calibri" w:cs="Calibri"/>
      <w:kern w:val="2"/>
      <w:sz w:val="18"/>
      <w:szCs w:val="18"/>
    </w:rPr>
  </w:style>
  <w:style w:type="paragraph" w:styleId="48">
    <w:name w:val="Body Text 2"/>
    <w:basedOn w:val="1"/>
    <w:link w:val="132"/>
    <w:autoRedefine/>
    <w:qFormat/>
    <w:uiPriority w:val="0"/>
    <w:pPr>
      <w:spacing w:line="360" w:lineRule="auto"/>
    </w:pPr>
    <w:rPr>
      <w:rFonts w:hAnsi="Times New Roman" w:cs="Times New Roman"/>
      <w:spacing w:val="-20"/>
      <w:kern w:val="2"/>
      <w:sz w:val="28"/>
      <w:lang w:val="zh-CN"/>
    </w:rPr>
  </w:style>
  <w:style w:type="paragraph" w:styleId="49">
    <w:name w:val="List 4"/>
    <w:basedOn w:val="1"/>
    <w:autoRedefine/>
    <w:qFormat/>
    <w:uiPriority w:val="0"/>
    <w:pPr>
      <w:ind w:left="100" w:leftChars="600" w:hanging="200" w:hangingChars="200"/>
    </w:pPr>
    <w:rPr>
      <w:rFonts w:ascii="Calibri" w:hAnsi="Calibri" w:cs="Times New Roman"/>
      <w:kern w:val="2"/>
      <w:sz w:val="21"/>
      <w:szCs w:val="22"/>
    </w:rPr>
  </w:style>
  <w:style w:type="paragraph" w:styleId="50">
    <w:name w:val="List Continue 2"/>
    <w:basedOn w:val="1"/>
    <w:autoRedefine/>
    <w:qFormat/>
    <w:uiPriority w:val="0"/>
    <w:pPr>
      <w:spacing w:after="120"/>
      <w:ind w:left="840" w:leftChars="400"/>
    </w:pPr>
    <w:rPr>
      <w:rFonts w:ascii="Calibri" w:hAnsi="Calibri" w:cs="Times New Roman"/>
      <w:kern w:val="2"/>
      <w:sz w:val="21"/>
      <w:szCs w:val="22"/>
    </w:rPr>
  </w:style>
  <w:style w:type="paragraph" w:styleId="51">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2">
    <w:name w:val="Title"/>
    <w:basedOn w:val="4"/>
    <w:next w:val="1"/>
    <w:link w:val="136"/>
    <w:qFormat/>
    <w:uiPriority w:val="0"/>
    <w:pPr>
      <w:spacing w:before="0" w:after="0" w:line="360" w:lineRule="auto"/>
      <w:jc w:val="center"/>
    </w:pPr>
    <w:rPr>
      <w:rFonts w:ascii="宋体" w:hAnsi="宋体" w:eastAsia="黑体"/>
      <w:bCs w:val="0"/>
      <w:smallCaps/>
      <w:snapToGrid w:val="0"/>
      <w:sz w:val="44"/>
      <w:szCs w:val="24"/>
    </w:rPr>
  </w:style>
  <w:style w:type="paragraph" w:styleId="53">
    <w:name w:val="annotation subject"/>
    <w:basedOn w:val="17"/>
    <w:next w:val="17"/>
    <w:link w:val="94"/>
    <w:autoRedefine/>
    <w:unhideWhenUsed/>
    <w:qFormat/>
    <w:uiPriority w:val="0"/>
    <w:rPr>
      <w:rFonts w:ascii="宋体" w:hAnsi="宋体" w:eastAsia="宋体" w:cstheme="minorBidi"/>
      <w:b/>
      <w:bCs/>
    </w:rPr>
  </w:style>
  <w:style w:type="paragraph" w:styleId="54">
    <w:name w:val="Body Text First Indent"/>
    <w:basedOn w:val="20"/>
    <w:semiHidden/>
    <w:unhideWhenUsed/>
    <w:qFormat/>
    <w:uiPriority w:val="99"/>
    <w:pPr>
      <w:ind w:firstLine="420" w:firstLineChars="100"/>
    </w:pPr>
  </w:style>
  <w:style w:type="table" w:styleId="56">
    <w:name w:val="Table Grid"/>
    <w:basedOn w:val="5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8">
    <w:name w:val="Strong"/>
    <w:autoRedefine/>
    <w:qFormat/>
    <w:uiPriority w:val="0"/>
    <w:rPr>
      <w:b/>
      <w:bCs/>
    </w:rPr>
  </w:style>
  <w:style w:type="character" w:styleId="59">
    <w:name w:val="page number"/>
    <w:basedOn w:val="57"/>
    <w:qFormat/>
    <w:uiPriority w:val="0"/>
  </w:style>
  <w:style w:type="character" w:styleId="60">
    <w:name w:val="FollowedHyperlink"/>
    <w:basedOn w:val="57"/>
    <w:autoRedefine/>
    <w:semiHidden/>
    <w:unhideWhenUsed/>
    <w:qFormat/>
    <w:uiPriority w:val="99"/>
    <w:rPr>
      <w:color w:val="800080" w:themeColor="followedHyperlink"/>
      <w:u w:val="single"/>
      <w14:textFill>
        <w14:solidFill>
          <w14:schemeClr w14:val="folHlink"/>
        </w14:solidFill>
      </w14:textFill>
    </w:rPr>
  </w:style>
  <w:style w:type="character" w:styleId="61">
    <w:name w:val="Emphasis"/>
    <w:qFormat/>
    <w:uiPriority w:val="0"/>
    <w:rPr>
      <w:color w:val="CC0033"/>
    </w:rPr>
  </w:style>
  <w:style w:type="character" w:styleId="62">
    <w:name w:val="Hyperlink"/>
    <w:basedOn w:val="57"/>
    <w:autoRedefine/>
    <w:unhideWhenUsed/>
    <w:qFormat/>
    <w:uiPriority w:val="99"/>
    <w:rPr>
      <w:color w:val="0000FF" w:themeColor="hyperlink"/>
      <w:u w:val="single"/>
      <w14:textFill>
        <w14:solidFill>
          <w14:schemeClr w14:val="hlink"/>
        </w14:solidFill>
      </w14:textFill>
    </w:rPr>
  </w:style>
  <w:style w:type="character" w:styleId="63">
    <w:name w:val="annotation reference"/>
    <w:basedOn w:val="57"/>
    <w:unhideWhenUsed/>
    <w:qFormat/>
    <w:uiPriority w:val="0"/>
    <w:rPr>
      <w:sz w:val="21"/>
      <w:szCs w:val="21"/>
    </w:rPr>
  </w:style>
  <w:style w:type="character" w:styleId="64">
    <w:name w:val="footnote reference"/>
    <w:unhideWhenUsed/>
    <w:qFormat/>
    <w:uiPriority w:val="0"/>
    <w:rPr>
      <w:vertAlign w:val="superscript"/>
    </w:rPr>
  </w:style>
  <w:style w:type="character" w:styleId="65">
    <w:name w:val="HTML Sample"/>
    <w:qFormat/>
    <w:uiPriority w:val="0"/>
    <w:rPr>
      <w:rFonts w:hint="default" w:ascii="monospace" w:hAnsi="monospace" w:eastAsia="monospace" w:cs="monospace"/>
      <w:sz w:val="21"/>
      <w:szCs w:val="21"/>
    </w:rPr>
  </w:style>
  <w:style w:type="character" w:customStyle="1" w:styleId="66">
    <w:name w:val="批注框文本 Char"/>
    <w:basedOn w:val="57"/>
    <w:link w:val="32"/>
    <w:autoRedefine/>
    <w:qFormat/>
    <w:uiPriority w:val="0"/>
    <w:rPr>
      <w:rFonts w:ascii="@仿宋_GB2312" w:hAnsi="@仿宋_GB2312" w:eastAsia="@仿宋_GB2312" w:cs="@仿宋_GB2312"/>
      <w:sz w:val="18"/>
      <w:szCs w:val="18"/>
    </w:rPr>
  </w:style>
  <w:style w:type="paragraph" w:customStyle="1" w:styleId="67">
    <w:name w:val="正文（缩进）"/>
    <w:basedOn w:val="1"/>
    <w:qFormat/>
    <w:uiPriority w:val="0"/>
    <w:pPr>
      <w:widowControl/>
      <w:spacing w:before="156" w:after="156"/>
      <w:ind w:firstLine="480" w:firstLineChars="200"/>
      <w:jc w:val="left"/>
    </w:pPr>
    <w:rPr>
      <w:sz w:val="24"/>
      <w:szCs w:val="24"/>
    </w:rPr>
  </w:style>
  <w:style w:type="paragraph" w:customStyle="1" w:styleId="68">
    <w:name w:val="xl31"/>
    <w:basedOn w:val="1"/>
    <w:qFormat/>
    <w:uiPriority w:val="0"/>
    <w:pPr>
      <w:widowControl/>
      <w:spacing w:before="100" w:beforeAutospacing="1" w:after="100" w:afterAutospacing="1"/>
      <w:jc w:val="center"/>
    </w:pPr>
    <w:rPr>
      <w:b/>
      <w:bCs/>
      <w:sz w:val="28"/>
      <w:szCs w:val="28"/>
    </w:rPr>
  </w:style>
  <w:style w:type="paragraph" w:customStyle="1" w:styleId="69">
    <w:name w:val="D&amp;L"/>
    <w:basedOn w:val="35"/>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0">
    <w:name w:val="页眉 Char"/>
    <w:basedOn w:val="57"/>
    <w:link w:val="35"/>
    <w:autoRedefine/>
    <w:qFormat/>
    <w:uiPriority w:val="99"/>
    <w:rPr>
      <w:rFonts w:ascii="@仿宋_GB2312" w:hAnsi="@仿宋_GB2312" w:eastAsia="@仿宋_GB2312" w:cs="@仿宋_GB2312"/>
      <w:sz w:val="18"/>
      <w:szCs w:val="18"/>
    </w:rPr>
  </w:style>
  <w:style w:type="character" w:customStyle="1" w:styleId="71">
    <w:name w:val="页脚 Char"/>
    <w:basedOn w:val="57"/>
    <w:link w:val="33"/>
    <w:qFormat/>
    <w:uiPriority w:val="99"/>
    <w:rPr>
      <w:rFonts w:ascii="@仿宋_GB2312" w:hAnsi="@仿宋_GB2312" w:eastAsia="@仿宋_GB2312" w:cs="@仿宋_GB2312"/>
      <w:sz w:val="18"/>
      <w:szCs w:val="18"/>
    </w:rPr>
  </w:style>
  <w:style w:type="character" w:customStyle="1" w:styleId="72">
    <w:name w:val="纯文本 Char"/>
    <w:link w:val="2"/>
    <w:autoRedefine/>
    <w:qFormat/>
    <w:uiPriority w:val="0"/>
    <w:rPr>
      <w:rFonts w:ascii="宋体" w:hAnsi="Courier New"/>
    </w:rPr>
  </w:style>
  <w:style w:type="character" w:customStyle="1" w:styleId="73">
    <w:name w:val="纯文本 字符1"/>
    <w:basedOn w:val="57"/>
    <w:autoRedefine/>
    <w:semiHidden/>
    <w:qFormat/>
    <w:uiPriority w:val="99"/>
    <w:rPr>
      <w:rFonts w:hAnsi="Courier New" w:cs="Courier New" w:asciiTheme="minorEastAsia"/>
      <w:szCs w:val="20"/>
    </w:rPr>
  </w:style>
  <w:style w:type="character" w:customStyle="1" w:styleId="74">
    <w:name w:val="未处理的提及1"/>
    <w:basedOn w:val="57"/>
    <w:semiHidden/>
    <w:unhideWhenUsed/>
    <w:qFormat/>
    <w:uiPriority w:val="99"/>
    <w:rPr>
      <w:color w:val="605E5C"/>
      <w:shd w:val="clear" w:color="auto" w:fill="E1DFDD"/>
    </w:rPr>
  </w:style>
  <w:style w:type="paragraph" w:styleId="75">
    <w:name w:val="List Paragraph"/>
    <w:basedOn w:val="1"/>
    <w:qFormat/>
    <w:uiPriority w:val="34"/>
    <w:pPr>
      <w:ind w:firstLine="420" w:firstLineChars="200"/>
    </w:pPr>
  </w:style>
  <w:style w:type="paragraph" w:customStyle="1" w:styleId="76">
    <w:name w:val="Char Char Char Char Char Char Char1 Char"/>
    <w:basedOn w:val="1"/>
    <w:qFormat/>
    <w:uiPriority w:val="0"/>
    <w:rPr>
      <w:rFonts w:ascii="Arial" w:hAnsi="Arial" w:cs="Arial"/>
      <w:sz w:val="24"/>
    </w:rPr>
  </w:style>
  <w:style w:type="table" w:customStyle="1" w:styleId="77">
    <w:name w:val="网格表 1 浅色1"/>
    <w:basedOn w:val="5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8">
    <w:name w:val="日期 字符"/>
    <w:basedOn w:val="57"/>
    <w:semiHidden/>
    <w:qFormat/>
    <w:uiPriority w:val="99"/>
    <w:rPr>
      <w:rFonts w:ascii="@仿宋_GB2312" w:hAnsi="@仿宋_GB2312" w:eastAsia="@仿宋_GB2312" w:cs="@仿宋_GB2312"/>
      <w:szCs w:val="20"/>
    </w:rPr>
  </w:style>
  <w:style w:type="character" w:customStyle="1" w:styleId="79">
    <w:name w:val="日期 Char"/>
    <w:link w:val="30"/>
    <w:autoRedefine/>
    <w:qFormat/>
    <w:uiPriority w:val="0"/>
    <w:rPr>
      <w:rFonts w:ascii="Arial" w:hAnsi="Arial" w:eastAsia="宋体" w:cs="Arial"/>
      <w:b/>
      <w:sz w:val="28"/>
      <w:szCs w:val="20"/>
    </w:rPr>
  </w:style>
  <w:style w:type="character" w:customStyle="1" w:styleId="80">
    <w:name w:val="纯文本 Char1"/>
    <w:link w:val="81"/>
    <w:qFormat/>
    <w:locked/>
    <w:uiPriority w:val="99"/>
    <w:rPr>
      <w:rFonts w:ascii="Arial" w:hAnsi="Arial" w:eastAsia="Arial"/>
      <w:kern w:val="2"/>
      <w:sz w:val="21"/>
      <w:lang w:val="en-US" w:eastAsia="zh-CN" w:bidi="ar-SA"/>
    </w:rPr>
  </w:style>
  <w:style w:type="paragraph" w:customStyle="1" w:styleId="81">
    <w:name w:val="纯文本1"/>
    <w:basedOn w:val="1"/>
    <w:link w:val="80"/>
    <w:autoRedefine/>
    <w:qFormat/>
    <w:uiPriority w:val="0"/>
    <w:rPr>
      <w:rFonts w:ascii="Arial" w:hAnsi="Arial" w:eastAsia="Arial"/>
    </w:rPr>
  </w:style>
  <w:style w:type="character" w:customStyle="1" w:styleId="82">
    <w:name w:val="批注文字 Char"/>
    <w:basedOn w:val="57"/>
    <w:autoRedefine/>
    <w:qFormat/>
    <w:uiPriority w:val="0"/>
    <w:rPr>
      <w:rFonts w:ascii="@仿宋_GB2312" w:hAnsi="@仿宋_GB2312" w:eastAsia="@仿宋_GB2312" w:cs="@仿宋_GB2312"/>
      <w:szCs w:val="20"/>
    </w:rPr>
  </w:style>
  <w:style w:type="character" w:customStyle="1" w:styleId="83">
    <w:name w:val="批注文字 Char1"/>
    <w:link w:val="17"/>
    <w:qFormat/>
    <w:uiPriority w:val="99"/>
    <w:rPr>
      <w:rFonts w:ascii="Arial" w:hAnsi="Arial" w:eastAsia="黑体" w:cs="Arial"/>
      <w:szCs w:val="20"/>
    </w:rPr>
  </w:style>
  <w:style w:type="character" w:customStyle="1" w:styleId="84">
    <w:name w:val="标题 1 Char"/>
    <w:basedOn w:val="57"/>
    <w:link w:val="3"/>
    <w:autoRedefine/>
    <w:qFormat/>
    <w:uiPriority w:val="0"/>
    <w:rPr>
      <w:rFonts w:ascii="@仿宋_GB2312" w:hAnsi="@仿宋_GB2312" w:eastAsia="@仿宋_GB2312" w:cs="@仿宋_GB2312"/>
      <w:b/>
      <w:bCs/>
      <w:kern w:val="44"/>
      <w:sz w:val="44"/>
      <w:szCs w:val="44"/>
    </w:rPr>
  </w:style>
  <w:style w:type="paragraph" w:customStyle="1" w:styleId="85">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6">
    <w:name w:val="标题 3 Char"/>
    <w:basedOn w:val="57"/>
    <w:link w:val="5"/>
    <w:autoRedefine/>
    <w:qFormat/>
    <w:uiPriority w:val="0"/>
    <w:rPr>
      <w:rFonts w:ascii="宋体" w:hAnsi="宋体" w:eastAsia="宋体" w:cs="@仿宋_GB2312"/>
      <w:b/>
      <w:bCs/>
      <w:sz w:val="28"/>
      <w:szCs w:val="32"/>
    </w:rPr>
  </w:style>
  <w:style w:type="character" w:customStyle="1" w:styleId="87">
    <w:name w:val="fontstyle01"/>
    <w:basedOn w:val="57"/>
    <w:qFormat/>
    <w:uiPriority w:val="0"/>
    <w:rPr>
      <w:rFonts w:hint="eastAsia" w:ascii="宋体" w:hAnsi="宋体" w:eastAsia="宋体"/>
      <w:color w:val="000000"/>
      <w:sz w:val="22"/>
      <w:szCs w:val="22"/>
    </w:rPr>
  </w:style>
  <w:style w:type="character" w:customStyle="1" w:styleId="88">
    <w:name w:val="fontstyle21"/>
    <w:basedOn w:val="57"/>
    <w:autoRedefine/>
    <w:qFormat/>
    <w:uiPriority w:val="0"/>
    <w:rPr>
      <w:rFonts w:hint="default" w:ascii="TimesNewRomanPSMT" w:hAnsi="TimesNewRomanPSMT"/>
      <w:color w:val="000000"/>
      <w:sz w:val="22"/>
      <w:szCs w:val="22"/>
    </w:rPr>
  </w:style>
  <w:style w:type="character" w:customStyle="1" w:styleId="89">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90">
    <w:name w:val="标题 4 字符"/>
    <w:basedOn w:val="57"/>
    <w:semiHidden/>
    <w:qFormat/>
    <w:uiPriority w:val="9"/>
    <w:rPr>
      <w:rFonts w:asciiTheme="majorHAnsi" w:hAnsiTheme="majorHAnsi" w:eastAsiaTheme="majorEastAsia" w:cstheme="majorBidi"/>
      <w:b/>
      <w:bCs/>
      <w:sz w:val="28"/>
      <w:szCs w:val="28"/>
    </w:rPr>
  </w:style>
  <w:style w:type="character" w:customStyle="1" w:styleId="91">
    <w:name w:val="标题 4 Char"/>
    <w:link w:val="6"/>
    <w:qFormat/>
    <w:uiPriority w:val="0"/>
    <w:rPr>
      <w:rFonts w:ascii="@仿宋_GB2312" w:hAnsi="@仿宋_GB2312" w:eastAsia="@仿宋_GB2312" w:cs="@仿宋_GB2312"/>
      <w:b/>
      <w:bCs/>
      <w:sz w:val="28"/>
      <w:szCs w:val="28"/>
    </w:rPr>
  </w:style>
  <w:style w:type="character" w:customStyle="1" w:styleId="92">
    <w:name w:val="正文文本 Char"/>
    <w:basedOn w:val="57"/>
    <w:link w:val="20"/>
    <w:autoRedefine/>
    <w:qFormat/>
    <w:uiPriority w:val="0"/>
    <w:rPr>
      <w:rFonts w:ascii="@微软简标宋" w:hAnsi="@微软简标宋" w:eastAsia="@微软简标宋" w:cs="@微软简标宋"/>
      <w:szCs w:val="24"/>
      <w:lang w:val="zh-CN" w:eastAsia="zh-CN"/>
    </w:rPr>
  </w:style>
  <w:style w:type="table" w:customStyle="1" w:styleId="93">
    <w:name w:val="网格型1"/>
    <w:basedOn w:val="5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批注主题 Char"/>
    <w:basedOn w:val="83"/>
    <w:link w:val="53"/>
    <w:qFormat/>
    <w:uiPriority w:val="0"/>
    <w:rPr>
      <w:rFonts w:ascii="Arial" w:hAnsi="Arial" w:eastAsia="黑体" w:cs="Arial"/>
      <w:b/>
      <w:bCs/>
      <w:szCs w:val="20"/>
    </w:rPr>
  </w:style>
  <w:style w:type="paragraph" w:customStyle="1" w:styleId="95">
    <w:name w:val="普通 (Web)"/>
    <w:basedOn w:val="1"/>
    <w:qFormat/>
    <w:uiPriority w:val="0"/>
    <w:pPr>
      <w:widowControl/>
      <w:spacing w:before="100" w:beforeAutospacing="1" w:after="100" w:afterAutospacing="1"/>
      <w:jc w:val="left"/>
    </w:pPr>
    <w:rPr>
      <w:rFonts w:cs="Times New Roman"/>
      <w:sz w:val="24"/>
      <w:szCs w:val="24"/>
    </w:rPr>
  </w:style>
  <w:style w:type="table" w:customStyle="1" w:styleId="96">
    <w:name w:val="网格型2"/>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
    <w:name w:val="标题 2 Char"/>
    <w:basedOn w:val="57"/>
    <w:link w:val="4"/>
    <w:autoRedefine/>
    <w:qFormat/>
    <w:uiPriority w:val="0"/>
    <w:rPr>
      <w:rFonts w:ascii="Cambria" w:hAnsi="Cambria" w:cs="Times New Roman"/>
      <w:b/>
      <w:bCs/>
      <w:kern w:val="2"/>
      <w:sz w:val="32"/>
      <w:szCs w:val="32"/>
      <w:lang w:val="zh-CN" w:eastAsia="zh-CN"/>
    </w:rPr>
  </w:style>
  <w:style w:type="character" w:customStyle="1" w:styleId="98">
    <w:name w:val="标题 5 Char"/>
    <w:basedOn w:val="57"/>
    <w:link w:val="7"/>
    <w:autoRedefine/>
    <w:qFormat/>
    <w:uiPriority w:val="0"/>
    <w:rPr>
      <w:rFonts w:ascii="Calibri" w:hAnsi="Calibri" w:cs="Times New Roman"/>
      <w:b/>
      <w:bCs/>
      <w:kern w:val="2"/>
      <w:sz w:val="28"/>
      <w:szCs w:val="28"/>
      <w:lang w:val="zh-CN" w:eastAsia="zh-CN"/>
    </w:rPr>
  </w:style>
  <w:style w:type="character" w:customStyle="1" w:styleId="99">
    <w:name w:val="标题 6 Char"/>
    <w:basedOn w:val="57"/>
    <w:link w:val="8"/>
    <w:autoRedefine/>
    <w:qFormat/>
    <w:uiPriority w:val="0"/>
    <w:rPr>
      <w:rFonts w:ascii="Times New Roman" w:hAnsi="Times New Roman" w:cs="Times New Roman"/>
      <w:b/>
      <w:bCs/>
      <w:kern w:val="2"/>
      <w:sz w:val="30"/>
      <w:szCs w:val="18"/>
      <w:lang w:val="zh-CN" w:eastAsia="zh-CN"/>
    </w:rPr>
  </w:style>
  <w:style w:type="character" w:customStyle="1" w:styleId="100">
    <w:name w:val="标题 7 Char"/>
    <w:basedOn w:val="57"/>
    <w:link w:val="9"/>
    <w:qFormat/>
    <w:uiPriority w:val="0"/>
    <w:rPr>
      <w:rFonts w:ascii="Times New Roman" w:hAnsi="Times New Roman" w:cs="Times New Roman"/>
      <w:b/>
      <w:bCs/>
      <w:kern w:val="2"/>
      <w:sz w:val="30"/>
      <w:szCs w:val="18"/>
      <w:lang w:val="zh-CN" w:eastAsia="zh-CN"/>
    </w:rPr>
  </w:style>
  <w:style w:type="character" w:customStyle="1" w:styleId="101">
    <w:name w:val="标题 8 Char"/>
    <w:basedOn w:val="57"/>
    <w:link w:val="10"/>
    <w:qFormat/>
    <w:uiPriority w:val="0"/>
    <w:rPr>
      <w:rFonts w:eastAsia="黑体" w:cs="Times New Roman"/>
      <w:kern w:val="2"/>
      <w:sz w:val="32"/>
      <w:szCs w:val="32"/>
      <w:lang w:val="zh-CN" w:eastAsia="zh-CN"/>
    </w:rPr>
  </w:style>
  <w:style w:type="character" w:customStyle="1" w:styleId="102">
    <w:name w:val="标题 9 Char"/>
    <w:basedOn w:val="57"/>
    <w:link w:val="11"/>
    <w:qFormat/>
    <w:uiPriority w:val="0"/>
    <w:rPr>
      <w:rFonts w:ascii="Cambria" w:hAnsi="Cambria" w:cs="Times New Roman"/>
      <w:kern w:val="2"/>
      <w:sz w:val="21"/>
      <w:szCs w:val="21"/>
      <w:lang w:val="zh-CN" w:eastAsia="zh-CN"/>
    </w:rPr>
  </w:style>
  <w:style w:type="character" w:customStyle="1" w:styleId="103">
    <w:name w:val="纯文本 Char2"/>
    <w:autoRedefine/>
    <w:qFormat/>
    <w:uiPriority w:val="0"/>
    <w:rPr>
      <w:rFonts w:ascii="宋体" w:hAnsi="Courier New"/>
    </w:rPr>
  </w:style>
  <w:style w:type="table" w:customStyle="1" w:styleId="104">
    <w:name w:val="网格型3"/>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网格表 1 浅色11"/>
    <w:basedOn w:val="55"/>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6">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7">
    <w:name w:val="正文文本缩进 Char"/>
    <w:basedOn w:val="57"/>
    <w:link w:val="21"/>
    <w:autoRedefine/>
    <w:qFormat/>
    <w:uiPriority w:val="0"/>
    <w:rPr>
      <w:rFonts w:asciiTheme="minorHAnsi" w:hAnsiTheme="minorHAnsi"/>
      <w:kern w:val="2"/>
      <w:sz w:val="21"/>
      <w:szCs w:val="22"/>
    </w:rPr>
  </w:style>
  <w:style w:type="paragraph" w:customStyle="1" w:styleId="108">
    <w:name w:val="Char"/>
    <w:basedOn w:val="1"/>
    <w:qFormat/>
    <w:uiPriority w:val="0"/>
    <w:rPr>
      <w:rFonts w:ascii="Tahoma" w:hAnsi="Tahoma" w:cs="Times New Roman"/>
      <w:sz w:val="24"/>
    </w:rPr>
  </w:style>
  <w:style w:type="character" w:customStyle="1" w:styleId="109">
    <w:name w:val="脚注文本 Char"/>
    <w:basedOn w:val="57"/>
    <w:link w:val="43"/>
    <w:autoRedefine/>
    <w:qFormat/>
    <w:uiPriority w:val="0"/>
    <w:rPr>
      <w:rFonts w:ascii="Times New Roman" w:hAnsi="Times New Roman" w:cs="Times New Roman"/>
      <w:kern w:val="2"/>
      <w:sz w:val="18"/>
      <w:szCs w:val="18"/>
      <w:lang w:val="zh-CN" w:eastAsia="zh-CN"/>
    </w:rPr>
  </w:style>
  <w:style w:type="paragraph" w:customStyle="1" w:styleId="110">
    <w:name w:val="样式 标题 3 + (中文) 黑体 小四 非加粗 段前: 7.8 磅 段后: 0 磅 行距: 固定值 20 磅"/>
    <w:basedOn w:val="5"/>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1">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3">
    <w:name w:val="称呼 Char"/>
    <w:basedOn w:val="57"/>
    <w:link w:val="18"/>
    <w:autoRedefine/>
    <w:qFormat/>
    <w:uiPriority w:val="0"/>
    <w:rPr>
      <w:rFonts w:ascii="仿宋_GB2312" w:hAnsi="Times New Roman" w:eastAsia="仿宋_GB2312" w:cs="Times New Roman"/>
      <w:kern w:val="2"/>
      <w:sz w:val="28"/>
      <w:lang w:val="zh-CN" w:eastAsia="zh-CN"/>
    </w:rPr>
  </w:style>
  <w:style w:type="paragraph" w:customStyle="1" w:styleId="114">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5">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0">
    <w:name w:val="Normal_3"/>
    <w:qFormat/>
    <w:uiPriority w:val="0"/>
    <w:rPr>
      <w:rFonts w:ascii="Times New Roman" w:hAnsi="Times New Roman" w:eastAsia="Times New Roman" w:cs="Times New Roman"/>
      <w:sz w:val="24"/>
      <w:szCs w:val="24"/>
      <w:lang w:val="en-US" w:eastAsia="zh-CN" w:bidi="ar-SA"/>
    </w:rPr>
  </w:style>
  <w:style w:type="paragraph" w:customStyle="1" w:styleId="121">
    <w:name w:val="Char Char Char Char Char Char"/>
    <w:basedOn w:val="1"/>
    <w:autoRedefine/>
    <w:qFormat/>
    <w:uiPriority w:val="0"/>
    <w:rPr>
      <w:rFonts w:ascii="Tahoma" w:hAnsi="Tahoma" w:cs="Times New Roman"/>
      <w:kern w:val="2"/>
      <w:sz w:val="24"/>
    </w:rPr>
  </w:style>
  <w:style w:type="paragraph" w:customStyle="1" w:styleId="122">
    <w:name w:val="Blockquote"/>
    <w:basedOn w:val="1"/>
    <w:link w:val="123"/>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3">
    <w:name w:val="Blockquote Char"/>
    <w:link w:val="122"/>
    <w:autoRedefine/>
    <w:qFormat/>
    <w:uiPriority w:val="0"/>
    <w:rPr>
      <w:rFonts w:ascii="Times New Roman" w:hAnsi="Times New Roman" w:cs="Times New Roman"/>
      <w:sz w:val="24"/>
      <w:lang w:val="zh-CN" w:eastAsia="zh-CN"/>
    </w:rPr>
  </w:style>
  <w:style w:type="paragraph" w:customStyle="1" w:styleId="124">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paragraph" w:customStyle="1" w:styleId="125">
    <w:name w:val="样式1"/>
    <w:basedOn w:val="1"/>
    <w:next w:val="6"/>
    <w:qFormat/>
    <w:uiPriority w:val="0"/>
    <w:pPr>
      <w:spacing w:line="360" w:lineRule="auto"/>
      <w:ind w:firstLine="420" w:firstLineChars="200"/>
    </w:pPr>
    <w:rPr>
      <w:rFonts w:cs="Times New Roman"/>
      <w:kern w:val="2"/>
      <w:sz w:val="21"/>
      <w:szCs w:val="21"/>
    </w:rPr>
  </w:style>
  <w:style w:type="character" w:customStyle="1" w:styleId="126">
    <w:name w:val="tdrownotice1"/>
    <w:qFormat/>
    <w:uiPriority w:val="0"/>
    <w:rPr>
      <w:sz w:val="22"/>
    </w:rPr>
  </w:style>
  <w:style w:type="paragraph" w:customStyle="1" w:styleId="127">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8">
    <w:name w:val="正文文本缩进 3 Char"/>
    <w:basedOn w:val="57"/>
    <w:link w:val="45"/>
    <w:qFormat/>
    <w:uiPriority w:val="0"/>
    <w:rPr>
      <w:rFonts w:hAnsi="MS Sans Serif" w:cs="Times New Roman"/>
      <w:bCs/>
      <w:color w:val="000000"/>
      <w:sz w:val="24"/>
      <w:lang w:val="zh-CN" w:eastAsia="zh-CN"/>
    </w:rPr>
  </w:style>
  <w:style w:type="character" w:customStyle="1" w:styleId="129">
    <w:name w:val="正文文本缩进 2 Char"/>
    <w:basedOn w:val="57"/>
    <w:link w:val="31"/>
    <w:autoRedefine/>
    <w:qFormat/>
    <w:uiPriority w:val="0"/>
    <w:rPr>
      <w:rFonts w:hAnsi="MS Sans Serif" w:cs="Times New Roman"/>
      <w:bCs/>
      <w:spacing w:val="12"/>
      <w:sz w:val="24"/>
      <w:lang w:val="zh-CN" w:eastAsia="zh-CN"/>
    </w:rPr>
  </w:style>
  <w:style w:type="paragraph" w:customStyle="1" w:styleId="130">
    <w:name w:val="目录"/>
    <w:basedOn w:val="1"/>
    <w:qFormat/>
    <w:uiPriority w:val="0"/>
    <w:pPr>
      <w:widowControl/>
      <w:jc w:val="center"/>
    </w:pPr>
    <w:rPr>
      <w:rFonts w:hAnsi="Calibri" w:cs="Times New Roman"/>
      <w:b/>
      <w:sz w:val="36"/>
    </w:rPr>
  </w:style>
  <w:style w:type="paragraph" w:customStyle="1" w:styleId="131">
    <w:name w:val="目录文字"/>
    <w:basedOn w:val="1"/>
    <w:autoRedefine/>
    <w:qFormat/>
    <w:uiPriority w:val="0"/>
    <w:pPr>
      <w:widowControl/>
      <w:spacing w:line="480" w:lineRule="auto"/>
      <w:jc w:val="left"/>
    </w:pPr>
    <w:rPr>
      <w:rFonts w:cs="Times New Roman"/>
      <w:sz w:val="24"/>
    </w:rPr>
  </w:style>
  <w:style w:type="character" w:customStyle="1" w:styleId="132">
    <w:name w:val="正文文本 2 Char"/>
    <w:basedOn w:val="57"/>
    <w:link w:val="48"/>
    <w:qFormat/>
    <w:uiPriority w:val="0"/>
    <w:rPr>
      <w:rFonts w:hAnsi="Times New Roman" w:cs="Times New Roman"/>
      <w:spacing w:val="-20"/>
      <w:kern w:val="2"/>
      <w:sz w:val="28"/>
      <w:lang w:val="zh-CN" w:eastAsia="zh-CN"/>
    </w:rPr>
  </w:style>
  <w:style w:type="character" w:customStyle="1" w:styleId="133">
    <w:name w:val="正文文本 3 Char"/>
    <w:basedOn w:val="57"/>
    <w:link w:val="19"/>
    <w:autoRedefine/>
    <w:qFormat/>
    <w:uiPriority w:val="0"/>
    <w:rPr>
      <w:rFonts w:ascii="仿宋_GB2312" w:eastAsia="仿宋_GB2312" w:cs="Times New Roman"/>
      <w:bCs/>
      <w:color w:val="000000"/>
      <w:kern w:val="2"/>
      <w:sz w:val="24"/>
      <w:szCs w:val="32"/>
      <w:lang w:val="zh-CN" w:eastAsia="zh-CN"/>
    </w:rPr>
  </w:style>
  <w:style w:type="paragraph" w:customStyle="1" w:styleId="13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5">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6">
    <w:name w:val="标题 Char"/>
    <w:basedOn w:val="57"/>
    <w:link w:val="52"/>
    <w:autoRedefine/>
    <w:qFormat/>
    <w:uiPriority w:val="0"/>
    <w:rPr>
      <w:rFonts w:eastAsia="黑体" w:cs="Times New Roman"/>
      <w:b/>
      <w:smallCaps/>
      <w:snapToGrid w:val="0"/>
      <w:kern w:val="2"/>
      <w:sz w:val="44"/>
      <w:szCs w:val="24"/>
      <w:lang w:val="zh-CN" w:eastAsia="zh-CN"/>
    </w:rPr>
  </w:style>
  <w:style w:type="paragraph" w:customStyle="1" w:styleId="137">
    <w:name w:val="段落1 Char"/>
    <w:basedOn w:val="2"/>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8">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9">
    <w:name w:val="简单回函地址"/>
    <w:basedOn w:val="1"/>
    <w:autoRedefine/>
    <w:qFormat/>
    <w:uiPriority w:val="0"/>
    <w:rPr>
      <w:rFonts w:ascii="Calibri" w:hAnsi="Calibri" w:cs="Times New Roman"/>
      <w:kern w:val="2"/>
      <w:sz w:val="21"/>
      <w:szCs w:val="22"/>
    </w:rPr>
  </w:style>
  <w:style w:type="paragraph" w:customStyle="1" w:styleId="140">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1">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2">
    <w:name w:val="t_tag"/>
    <w:basedOn w:val="57"/>
    <w:autoRedefine/>
    <w:qFormat/>
    <w:uiPriority w:val="0"/>
  </w:style>
  <w:style w:type="table" w:customStyle="1" w:styleId="143">
    <w:name w:val="网格型11"/>
    <w:basedOn w:val="55"/>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4">
    <w:name w:val="批注框文本 Char1"/>
    <w:basedOn w:val="57"/>
    <w:autoRedefine/>
    <w:qFormat/>
    <w:uiPriority w:val="0"/>
    <w:rPr>
      <w:rFonts w:ascii="Times New Roman" w:hAnsi="Times New Roman" w:eastAsia="宋体" w:cs="Times New Roman"/>
      <w:sz w:val="18"/>
      <w:szCs w:val="18"/>
    </w:rPr>
  </w:style>
  <w:style w:type="character" w:customStyle="1" w:styleId="145">
    <w:name w:val="批注主题 Char1"/>
    <w:basedOn w:val="83"/>
    <w:autoRedefine/>
    <w:qFormat/>
    <w:uiPriority w:val="0"/>
    <w:rPr>
      <w:rFonts w:ascii="@仿宋_GB2312" w:hAnsi="@仿宋_GB2312" w:eastAsia="@仿宋_GB2312" w:cs="@仿宋_GB2312"/>
      <w:b/>
      <w:bCs/>
      <w:szCs w:val="20"/>
    </w:rPr>
  </w:style>
  <w:style w:type="paragraph" w:customStyle="1" w:styleId="146">
    <w:name w:val="Char10 Char Char Char Char Char Char Char Char Char"/>
    <w:basedOn w:val="1"/>
    <w:next w:val="1"/>
    <w:qFormat/>
    <w:uiPriority w:val="0"/>
    <w:rPr>
      <w:rFonts w:ascii="Calibri" w:hAnsi="Calibri" w:cs="Times New Roman"/>
      <w:kern w:val="2"/>
      <w:sz w:val="21"/>
      <w:szCs w:val="22"/>
    </w:rPr>
  </w:style>
  <w:style w:type="character" w:customStyle="1" w:styleId="147">
    <w:name w:val="文档结构图 Char"/>
    <w:basedOn w:val="57"/>
    <w:link w:val="16"/>
    <w:autoRedefine/>
    <w:qFormat/>
    <w:uiPriority w:val="0"/>
    <w:rPr>
      <w:rFonts w:ascii="Calibri" w:hAnsi="Calibri" w:cs="Times New Roman"/>
      <w:bCs/>
      <w:kern w:val="2"/>
      <w:sz w:val="21"/>
      <w:szCs w:val="32"/>
      <w:shd w:val="clear" w:color="auto" w:fill="000080"/>
      <w:lang w:val="zh-CN" w:eastAsia="zh-CN"/>
    </w:rPr>
  </w:style>
  <w:style w:type="character" w:customStyle="1" w:styleId="148">
    <w:name w:val="标题 1 Char1"/>
    <w:qFormat/>
    <w:uiPriority w:val="0"/>
    <w:rPr>
      <w:rFonts w:ascii="Calibri" w:hAnsi="Calibri" w:eastAsia="宋体"/>
      <w:b/>
      <w:kern w:val="44"/>
      <w:sz w:val="44"/>
      <w:szCs w:val="44"/>
    </w:rPr>
  </w:style>
  <w:style w:type="character" w:customStyle="1" w:styleId="149">
    <w:name w:val="标题 3 Char1"/>
    <w:semiHidden/>
    <w:qFormat/>
    <w:uiPriority w:val="0"/>
    <w:rPr>
      <w:rFonts w:ascii="Calibri" w:hAnsi="Calibri" w:eastAsia="宋体"/>
      <w:b/>
      <w:kern w:val="2"/>
      <w:sz w:val="32"/>
    </w:rPr>
  </w:style>
  <w:style w:type="character" w:customStyle="1" w:styleId="150">
    <w:name w:val="标题 4 Char1"/>
    <w:semiHidden/>
    <w:qFormat/>
    <w:uiPriority w:val="0"/>
    <w:rPr>
      <w:rFonts w:ascii="Cambria" w:hAnsi="Cambria" w:eastAsia="宋体"/>
      <w:b/>
      <w:kern w:val="2"/>
      <w:sz w:val="28"/>
      <w:szCs w:val="28"/>
    </w:rPr>
  </w:style>
  <w:style w:type="character" w:customStyle="1" w:styleId="151">
    <w:name w:val="标题 5 Char1"/>
    <w:autoRedefine/>
    <w:semiHidden/>
    <w:qFormat/>
    <w:uiPriority w:val="0"/>
    <w:rPr>
      <w:rFonts w:ascii="Calibri" w:hAnsi="Calibri" w:eastAsia="宋体"/>
      <w:b/>
      <w:kern w:val="2"/>
      <w:sz w:val="28"/>
      <w:szCs w:val="28"/>
    </w:rPr>
  </w:style>
  <w:style w:type="character" w:customStyle="1" w:styleId="152">
    <w:name w:val="标题 6 Char1"/>
    <w:autoRedefine/>
    <w:semiHidden/>
    <w:qFormat/>
    <w:uiPriority w:val="0"/>
    <w:rPr>
      <w:rFonts w:ascii="Cambria" w:hAnsi="Cambria" w:eastAsia="宋体"/>
      <w:b/>
      <w:kern w:val="2"/>
      <w:sz w:val="24"/>
      <w:szCs w:val="24"/>
    </w:rPr>
  </w:style>
  <w:style w:type="character" w:customStyle="1" w:styleId="153">
    <w:name w:val="标题 7 Char1"/>
    <w:semiHidden/>
    <w:qFormat/>
    <w:uiPriority w:val="0"/>
    <w:rPr>
      <w:rFonts w:ascii="Calibri" w:hAnsi="Calibri" w:eastAsia="宋体"/>
      <w:b/>
      <w:kern w:val="2"/>
      <w:sz w:val="24"/>
      <w:szCs w:val="24"/>
    </w:rPr>
  </w:style>
  <w:style w:type="character" w:customStyle="1" w:styleId="154">
    <w:name w:val="标题 8 Char1"/>
    <w:autoRedefine/>
    <w:semiHidden/>
    <w:qFormat/>
    <w:uiPriority w:val="0"/>
    <w:rPr>
      <w:rFonts w:ascii="Cambria" w:hAnsi="Cambria" w:eastAsia="宋体"/>
      <w:kern w:val="2"/>
      <w:sz w:val="24"/>
      <w:szCs w:val="24"/>
    </w:rPr>
  </w:style>
  <w:style w:type="character" w:customStyle="1" w:styleId="155">
    <w:name w:val="标题 9 Char1"/>
    <w:semiHidden/>
    <w:qFormat/>
    <w:uiPriority w:val="0"/>
    <w:rPr>
      <w:rFonts w:ascii="Cambria" w:hAnsi="Cambria" w:eastAsia="宋体"/>
      <w:kern w:val="2"/>
      <w:sz w:val="21"/>
      <w:szCs w:val="21"/>
    </w:rPr>
  </w:style>
  <w:style w:type="paragraph" w:customStyle="1" w:styleId="156">
    <w:name w:val="MsoNormal"/>
    <w:basedOn w:val="157"/>
    <w:autoRedefine/>
    <w:qFormat/>
    <w:uiPriority w:val="0"/>
    <w:rPr>
      <w:rFonts w:ascii="Calibri" w:hAnsi="Calibri" w:eastAsia="Calibri"/>
      <w:sz w:val="21"/>
    </w:rPr>
  </w:style>
  <w:style w:type="paragraph" w:customStyle="1" w:styleId="157">
    <w:name w:val="Normal_0"/>
    <w:autoRedefine/>
    <w:qFormat/>
    <w:uiPriority w:val="0"/>
    <w:rPr>
      <w:rFonts w:ascii="Times New Roman" w:hAnsi="Times New Roman" w:eastAsia="宋体" w:cs="Times New Roman"/>
      <w:sz w:val="24"/>
      <w:szCs w:val="24"/>
      <w:lang w:val="en-US" w:eastAsia="zh-CN" w:bidi="ar-SA"/>
    </w:rPr>
  </w:style>
  <w:style w:type="paragraph" w:customStyle="1" w:styleId="158">
    <w:name w:val="标题 2_0"/>
    <w:basedOn w:val="159"/>
    <w:next w:val="160"/>
    <w:link w:val="161"/>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9">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1">
    <w:name w:val="标题 2 Char_0"/>
    <w:link w:val="158"/>
    <w:qFormat/>
    <w:uiPriority w:val="0"/>
    <w:rPr>
      <w:rFonts w:ascii="黑体" w:eastAsia="黑体" w:cs="Times New Roman"/>
      <w:b/>
      <w:smallCaps/>
      <w:snapToGrid w:val="0"/>
      <w:sz w:val="36"/>
      <w:szCs w:val="24"/>
      <w:lang w:val="zh-CN" w:eastAsia="zh-CN"/>
    </w:rPr>
  </w:style>
  <w:style w:type="paragraph" w:customStyle="1" w:styleId="162">
    <w:name w:val="纯文本_0"/>
    <w:basedOn w:val="160"/>
    <w:link w:val="163"/>
    <w:qFormat/>
    <w:uiPriority w:val="99"/>
    <w:rPr>
      <w:rFonts w:ascii="宋体" w:hAnsi="Courier New"/>
      <w:szCs w:val="21"/>
    </w:rPr>
  </w:style>
  <w:style w:type="character" w:customStyle="1" w:styleId="163">
    <w:name w:val="Texte Char1"/>
    <w:link w:val="162"/>
    <w:autoRedefine/>
    <w:qFormat/>
    <w:uiPriority w:val="99"/>
    <w:rPr>
      <w:rFonts w:hAnsi="Courier New" w:cs="Times New Roman"/>
      <w:kern w:val="2"/>
      <w:sz w:val="21"/>
      <w:szCs w:val="21"/>
    </w:rPr>
  </w:style>
  <w:style w:type="paragraph" w:customStyle="1" w:styleId="164">
    <w:name w:val="纯文本_1"/>
    <w:basedOn w:val="165"/>
    <w:link w:val="166"/>
    <w:autoRedefine/>
    <w:qFormat/>
    <w:uiPriority w:val="0"/>
    <w:rPr>
      <w:rFonts w:ascii="宋体" w:hAnsi="Courier New"/>
      <w:szCs w:val="21"/>
      <w:lang w:val="zh-CN"/>
    </w:rPr>
  </w:style>
  <w:style w:type="paragraph" w:customStyle="1" w:styleId="165">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6">
    <w:name w:val="纯文本 Char1_0"/>
    <w:link w:val="164"/>
    <w:qFormat/>
    <w:uiPriority w:val="0"/>
    <w:rPr>
      <w:rFonts w:hAnsi="Courier New" w:cs="Times New Roman"/>
      <w:kern w:val="2"/>
      <w:sz w:val="21"/>
      <w:szCs w:val="21"/>
      <w:lang w:val="zh-CN" w:eastAsia="zh-CN"/>
    </w:rPr>
  </w:style>
  <w:style w:type="paragraph" w:customStyle="1" w:styleId="167">
    <w:name w:val="标题 3_0"/>
    <w:basedOn w:val="168"/>
    <w:next w:val="169"/>
    <w:link w:val="180"/>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8">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正文缩进_0"/>
    <w:basedOn w:val="168"/>
    <w:autoRedefine/>
    <w:unhideWhenUsed/>
    <w:qFormat/>
    <w:uiPriority w:val="0"/>
    <w:pPr>
      <w:ind w:firstLine="420" w:firstLineChars="200"/>
    </w:pPr>
    <w:rPr>
      <w:rFonts w:ascii="Calibri" w:hAnsi="Calibri"/>
      <w:bCs/>
      <w:szCs w:val="32"/>
    </w:rPr>
  </w:style>
  <w:style w:type="paragraph" w:customStyle="1" w:styleId="170">
    <w:name w:val="标题 1_0"/>
    <w:basedOn w:val="168"/>
    <w:next w:val="168"/>
    <w:link w:val="171"/>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1">
    <w:name w:val="标题 1 Char_0"/>
    <w:link w:val="170"/>
    <w:qFormat/>
    <w:uiPriority w:val="0"/>
    <w:rPr>
      <w:rFonts w:ascii="黑体" w:hAnsi="Times New Roman" w:eastAsia="黑体" w:cs="Times New Roman"/>
      <w:sz w:val="52"/>
      <w:lang w:val="zh-CN" w:eastAsia="zh-CN"/>
    </w:rPr>
  </w:style>
  <w:style w:type="paragraph" w:customStyle="1" w:styleId="172">
    <w:name w:val="标题 6_0"/>
    <w:basedOn w:val="168"/>
    <w:next w:val="168"/>
    <w:link w:val="173"/>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3">
    <w:name w:val="标题 6 Char_0"/>
    <w:link w:val="172"/>
    <w:qFormat/>
    <w:uiPriority w:val="0"/>
    <w:rPr>
      <w:rFonts w:ascii="Arial" w:hAnsi="Arial" w:eastAsia="黑体" w:cs="Times New Roman"/>
      <w:b/>
      <w:bCs/>
      <w:sz w:val="24"/>
      <w:szCs w:val="24"/>
      <w:lang w:val="zh-CN" w:eastAsia="zh-CN"/>
    </w:rPr>
  </w:style>
  <w:style w:type="paragraph" w:customStyle="1" w:styleId="174">
    <w:name w:val="标题 7_0"/>
    <w:basedOn w:val="168"/>
    <w:next w:val="168"/>
    <w:link w:val="175"/>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5">
    <w:name w:val="标题 7 Char_0"/>
    <w:link w:val="174"/>
    <w:autoRedefine/>
    <w:qFormat/>
    <w:uiPriority w:val="0"/>
    <w:rPr>
      <w:rFonts w:ascii="Times New Roman" w:hAnsi="Times New Roman" w:cs="Times New Roman"/>
      <w:b/>
      <w:bCs/>
      <w:sz w:val="24"/>
      <w:szCs w:val="24"/>
      <w:lang w:val="zh-CN" w:eastAsia="zh-CN"/>
    </w:rPr>
  </w:style>
  <w:style w:type="paragraph" w:customStyle="1" w:styleId="176">
    <w:name w:val="标题 8_0"/>
    <w:basedOn w:val="168"/>
    <w:next w:val="168"/>
    <w:link w:val="177"/>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7">
    <w:name w:val="标题 8 Char_0"/>
    <w:link w:val="176"/>
    <w:autoRedefine/>
    <w:qFormat/>
    <w:uiPriority w:val="0"/>
    <w:rPr>
      <w:rFonts w:ascii="Arial" w:hAnsi="Arial" w:eastAsia="黑体" w:cs="Times New Roman"/>
      <w:sz w:val="24"/>
      <w:szCs w:val="24"/>
      <w:lang w:val="zh-CN" w:eastAsia="zh-CN"/>
    </w:rPr>
  </w:style>
  <w:style w:type="paragraph" w:customStyle="1" w:styleId="178">
    <w:name w:val="标题 9_0"/>
    <w:basedOn w:val="168"/>
    <w:next w:val="168"/>
    <w:link w:val="179"/>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9">
    <w:name w:val="标题 9 Char_0"/>
    <w:link w:val="178"/>
    <w:qFormat/>
    <w:uiPriority w:val="0"/>
    <w:rPr>
      <w:rFonts w:ascii="Arial" w:hAnsi="Arial" w:eastAsia="黑体" w:cs="Times New Roman"/>
      <w:sz w:val="21"/>
      <w:szCs w:val="21"/>
      <w:lang w:val="zh-CN" w:eastAsia="zh-CN"/>
    </w:rPr>
  </w:style>
  <w:style w:type="character" w:customStyle="1" w:styleId="180">
    <w:name w:val="标题 3 Char_0"/>
    <w:link w:val="167"/>
    <w:autoRedefine/>
    <w:qFormat/>
    <w:uiPriority w:val="0"/>
    <w:rPr>
      <w:rFonts w:ascii="Times New Roman" w:hAnsi="Times New Roman" w:cs="Times New Roman"/>
      <w:b/>
      <w:sz w:val="32"/>
      <w:lang w:val="zh-CN" w:eastAsia="zh-CN"/>
    </w:rPr>
  </w:style>
  <w:style w:type="paragraph" w:customStyle="1" w:styleId="181">
    <w:name w:val="Blockquote_0"/>
    <w:basedOn w:val="168"/>
    <w:link w:val="182"/>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2">
    <w:name w:val="Blockquote Char_0"/>
    <w:link w:val="181"/>
    <w:autoRedefine/>
    <w:qFormat/>
    <w:locked/>
    <w:uiPriority w:val="0"/>
    <w:rPr>
      <w:rFonts w:ascii="Times New Roman" w:hAnsi="Times New Roman" w:cs="Times New Roman"/>
      <w:sz w:val="24"/>
      <w:lang w:val="zh-CN" w:eastAsia="zh-CN"/>
    </w:rPr>
  </w:style>
  <w:style w:type="paragraph" w:customStyle="1" w:styleId="183">
    <w:name w:val="标题 4_0"/>
    <w:basedOn w:val="168"/>
    <w:next w:val="168"/>
    <w:link w:val="184"/>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4">
    <w:name w:val="标题 4 Char_0"/>
    <w:link w:val="183"/>
    <w:autoRedefine/>
    <w:qFormat/>
    <w:uiPriority w:val="0"/>
    <w:rPr>
      <w:rFonts w:ascii="Arial" w:hAnsi="Arial" w:eastAsia="黑体" w:cs="Times New Roman"/>
      <w:sz w:val="28"/>
      <w:lang w:val="zh-CN" w:eastAsia="zh-CN"/>
    </w:rPr>
  </w:style>
  <w:style w:type="paragraph" w:customStyle="1" w:styleId="185">
    <w:name w:val="纯文本_2"/>
    <w:basedOn w:val="168"/>
    <w:link w:val="186"/>
    <w:qFormat/>
    <w:uiPriority w:val="0"/>
    <w:rPr>
      <w:rFonts w:ascii="宋体" w:hAnsi="Courier New"/>
      <w:szCs w:val="21"/>
      <w:lang w:val="zh-CN"/>
    </w:rPr>
  </w:style>
  <w:style w:type="character" w:customStyle="1" w:styleId="186">
    <w:name w:val="纯文本 Char1_1"/>
    <w:link w:val="185"/>
    <w:autoRedefine/>
    <w:qFormat/>
    <w:uiPriority w:val="0"/>
    <w:rPr>
      <w:rFonts w:hAnsi="Courier New" w:cs="Times New Roman"/>
      <w:kern w:val="2"/>
      <w:sz w:val="21"/>
      <w:szCs w:val="21"/>
      <w:lang w:val="zh-CN" w:eastAsia="zh-CN"/>
    </w:rPr>
  </w:style>
  <w:style w:type="paragraph" w:customStyle="1" w:styleId="187">
    <w:name w:val="Blockquote_0_1"/>
    <w:basedOn w:val="188"/>
    <w:link w:val="189"/>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8">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9">
    <w:name w:val="Blockquote Char_0_1"/>
    <w:link w:val="187"/>
    <w:autoRedefine/>
    <w:qFormat/>
    <w:locked/>
    <w:uiPriority w:val="0"/>
    <w:rPr>
      <w:rFonts w:ascii="Times New Roman" w:hAnsi="Times New Roman" w:cs="Times New Roman"/>
      <w:sz w:val="24"/>
      <w:lang w:val="zh-CN" w:eastAsia="zh-CN"/>
    </w:rPr>
  </w:style>
  <w:style w:type="paragraph" w:customStyle="1" w:styleId="190">
    <w:name w:val="正文文本_0"/>
    <w:basedOn w:val="168"/>
    <w:link w:val="191"/>
    <w:autoRedefine/>
    <w:qFormat/>
    <w:uiPriority w:val="0"/>
    <w:pPr>
      <w:spacing w:after="120"/>
    </w:pPr>
    <w:rPr>
      <w:lang w:val="zh-CN"/>
    </w:rPr>
  </w:style>
  <w:style w:type="character" w:customStyle="1" w:styleId="191">
    <w:name w:val="正文文本 Char_0"/>
    <w:link w:val="190"/>
    <w:qFormat/>
    <w:uiPriority w:val="0"/>
    <w:rPr>
      <w:rFonts w:ascii="Times New Roman" w:hAnsi="Times New Roman" w:cs="Times New Roman"/>
      <w:kern w:val="2"/>
      <w:sz w:val="21"/>
      <w:szCs w:val="24"/>
      <w:lang w:val="zh-CN" w:eastAsia="zh-CN"/>
    </w:rPr>
  </w:style>
  <w:style w:type="paragraph" w:customStyle="1" w:styleId="192">
    <w:name w:val="普通(网站)_0"/>
    <w:basedOn w:val="168"/>
    <w:qFormat/>
    <w:uiPriority w:val="0"/>
    <w:pPr>
      <w:widowControl/>
      <w:spacing w:before="100" w:beforeAutospacing="1" w:after="100" w:afterAutospacing="1"/>
      <w:jc w:val="left"/>
    </w:pPr>
    <w:rPr>
      <w:rFonts w:ascii="宋体" w:hAnsi="宋体"/>
      <w:kern w:val="0"/>
      <w:sz w:val="24"/>
    </w:rPr>
  </w:style>
  <w:style w:type="paragraph" w:customStyle="1" w:styleId="193">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5">
    <w:name w:val="脚注文本_0"/>
    <w:basedOn w:val="116"/>
    <w:link w:val="196"/>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6">
    <w:name w:val="脚注文本 Char_0"/>
    <w:link w:val="195"/>
    <w:qFormat/>
    <w:uiPriority w:val="0"/>
    <w:rPr>
      <w:rFonts w:ascii="Times New Roman" w:hAnsi="Times New Roman" w:cs="Times New Roman"/>
      <w:sz w:val="18"/>
      <w:lang w:val="zh-CN" w:eastAsia="zh-CN"/>
    </w:rPr>
  </w:style>
  <w:style w:type="paragraph" w:customStyle="1" w:styleId="197">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9">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1">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7">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8">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0">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7">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8">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9">
    <w:name w:val="Char Char Char Char Char"/>
    <w:basedOn w:val="1"/>
    <w:autoRedefine/>
    <w:qFormat/>
    <w:uiPriority w:val="0"/>
    <w:rPr>
      <w:rFonts w:ascii="Tahoma" w:hAnsi="Tahoma" w:cs="Times New Roman"/>
      <w:kern w:val="2"/>
      <w:sz w:val="24"/>
    </w:rPr>
  </w:style>
  <w:style w:type="paragraph" w:customStyle="1" w:styleId="220">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1">
    <w:name w:val="副标题 Char"/>
    <w:basedOn w:val="57"/>
    <w:link w:val="41"/>
    <w:qFormat/>
    <w:uiPriority w:val="0"/>
    <w:rPr>
      <w:rFonts w:ascii="Arial" w:hAnsi="Arial" w:cs="Times New Roman"/>
      <w:b/>
      <w:bCs/>
      <w:kern w:val="28"/>
      <w:sz w:val="32"/>
      <w:szCs w:val="32"/>
      <w:lang w:val="zh-CN" w:eastAsia="zh-CN"/>
    </w:rPr>
  </w:style>
  <w:style w:type="character" w:customStyle="1" w:styleId="222">
    <w:name w:val="Char Char"/>
    <w:autoRedefine/>
    <w:qFormat/>
    <w:uiPriority w:val="0"/>
    <w:rPr>
      <w:rFonts w:ascii="宋体" w:hAnsi="Courier New" w:eastAsia="宋体" w:cs="Courier New"/>
      <w:kern w:val="2"/>
      <w:sz w:val="21"/>
      <w:szCs w:val="21"/>
      <w:lang w:val="en-US" w:eastAsia="zh-CN" w:bidi="ar-SA"/>
    </w:rPr>
  </w:style>
  <w:style w:type="character" w:customStyle="1" w:styleId="223">
    <w:name w:val="标题4 Char Char"/>
    <w:link w:val="224"/>
    <w:autoRedefine/>
    <w:qFormat/>
    <w:uiPriority w:val="0"/>
    <w:rPr>
      <w:rFonts w:ascii="Arial" w:hAnsi="Arial"/>
      <w:b/>
      <w:bCs/>
      <w:sz w:val="24"/>
      <w:szCs w:val="32"/>
    </w:rPr>
  </w:style>
  <w:style w:type="paragraph" w:customStyle="1" w:styleId="224">
    <w:name w:val="标题4"/>
    <w:basedOn w:val="4"/>
    <w:next w:val="26"/>
    <w:link w:val="223"/>
    <w:qFormat/>
    <w:uiPriority w:val="0"/>
    <w:pPr>
      <w:spacing w:before="0" w:after="0" w:line="413" w:lineRule="auto"/>
    </w:pPr>
    <w:rPr>
      <w:rFonts w:ascii="Arial" w:hAnsi="Arial" w:cstheme="minorBidi"/>
      <w:kern w:val="0"/>
      <w:sz w:val="24"/>
      <w:lang w:val="en-US"/>
    </w:rPr>
  </w:style>
  <w:style w:type="character" w:customStyle="1" w:styleId="225">
    <w:name w:val="明显引用 Char"/>
    <w:link w:val="226"/>
    <w:autoRedefine/>
    <w:qFormat/>
    <w:uiPriority w:val="0"/>
    <w:rPr>
      <w:b/>
      <w:bCs/>
      <w:i/>
      <w:iCs/>
      <w:color w:val="4F81BD"/>
    </w:rPr>
  </w:style>
  <w:style w:type="paragraph" w:styleId="226">
    <w:name w:val="Intense Quote"/>
    <w:basedOn w:val="1"/>
    <w:next w:val="1"/>
    <w:link w:val="225"/>
    <w:qFormat/>
    <w:uiPriority w:val="0"/>
    <w:pPr>
      <w:pBdr>
        <w:bottom w:val="single" w:color="4F81BD" w:themeColor="accent1" w:sz="4" w:space="4"/>
      </w:pBdr>
      <w:spacing w:before="200" w:after="280"/>
      <w:ind w:left="936" w:right="936"/>
    </w:pPr>
    <w:rPr>
      <w:b/>
      <w:bCs/>
      <w:i/>
      <w:iCs/>
      <w:color w:val="4F81BD"/>
    </w:rPr>
  </w:style>
  <w:style w:type="paragraph" w:customStyle="1" w:styleId="227">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8">
    <w:name w:val="明显引用 Char1"/>
    <w:basedOn w:val="57"/>
    <w:autoRedefine/>
    <w:qFormat/>
    <w:uiPriority w:val="30"/>
    <w:rPr>
      <w:rFonts w:ascii="Times New Roman" w:hAnsi="Times New Roman" w:eastAsia="宋体" w:cs="Times New Roman"/>
      <w:i/>
      <w:iCs/>
      <w:color w:val="5B9BD5"/>
      <w:szCs w:val="24"/>
    </w:rPr>
  </w:style>
  <w:style w:type="character" w:customStyle="1" w:styleId="229">
    <w:name w:val="标题5 Char Char"/>
    <w:link w:val="230"/>
    <w:qFormat/>
    <w:uiPriority w:val="0"/>
    <w:rPr>
      <w:rFonts w:ascii="Arial" w:hAnsi="Arial"/>
      <w:b/>
      <w:bCs/>
      <w:sz w:val="24"/>
      <w:szCs w:val="32"/>
    </w:rPr>
  </w:style>
  <w:style w:type="paragraph" w:customStyle="1" w:styleId="230">
    <w:name w:val="标题5"/>
    <w:basedOn w:val="5"/>
    <w:link w:val="229"/>
    <w:qFormat/>
    <w:uiPriority w:val="0"/>
    <w:pPr>
      <w:spacing w:line="413" w:lineRule="auto"/>
      <w:jc w:val="left"/>
    </w:pPr>
    <w:rPr>
      <w:rFonts w:ascii="Arial" w:hAnsi="Arial"/>
      <w:sz w:val="24"/>
    </w:rPr>
  </w:style>
  <w:style w:type="character" w:customStyle="1" w:styleId="231">
    <w:name w:val="引用 Char"/>
    <w:link w:val="232"/>
    <w:autoRedefine/>
    <w:qFormat/>
    <w:uiPriority w:val="0"/>
    <w:rPr>
      <w:i/>
      <w:iCs/>
      <w:color w:val="000000"/>
    </w:rPr>
  </w:style>
  <w:style w:type="paragraph" w:styleId="232">
    <w:name w:val="Quote"/>
    <w:basedOn w:val="1"/>
    <w:next w:val="1"/>
    <w:link w:val="231"/>
    <w:autoRedefine/>
    <w:qFormat/>
    <w:uiPriority w:val="0"/>
    <w:rPr>
      <w:i/>
      <w:iCs/>
      <w:color w:val="000000"/>
    </w:rPr>
  </w:style>
  <w:style w:type="paragraph" w:customStyle="1" w:styleId="233">
    <w:name w:val="引用1"/>
    <w:basedOn w:val="1"/>
    <w:next w:val="1"/>
    <w:qFormat/>
    <w:uiPriority w:val="0"/>
    <w:rPr>
      <w:rFonts w:ascii="Calibri" w:hAnsi="Calibri" w:cs="Times New Roman"/>
      <w:i/>
      <w:iCs/>
      <w:color w:val="000000"/>
      <w:kern w:val="2"/>
      <w:sz w:val="21"/>
      <w:szCs w:val="22"/>
    </w:rPr>
  </w:style>
  <w:style w:type="character" w:customStyle="1" w:styleId="234">
    <w:name w:val="引用 Char1"/>
    <w:basedOn w:val="57"/>
    <w:qFormat/>
    <w:uiPriority w:val="29"/>
    <w:rPr>
      <w:rFonts w:ascii="Times New Roman" w:hAnsi="Times New Roman" w:eastAsia="宋体" w:cs="Times New Roman"/>
      <w:i/>
      <w:iCs/>
      <w:color w:val="404040"/>
      <w:szCs w:val="24"/>
    </w:rPr>
  </w:style>
  <w:style w:type="character" w:customStyle="1" w:styleId="235">
    <w:name w:val="ask-title2"/>
    <w:autoRedefine/>
    <w:qFormat/>
    <w:uiPriority w:val="0"/>
  </w:style>
  <w:style w:type="character" w:customStyle="1" w:styleId="236">
    <w:name w:val="正文文本 Char1"/>
    <w:qFormat/>
    <w:uiPriority w:val="0"/>
    <w:rPr>
      <w:kern w:val="2"/>
      <w:sz w:val="21"/>
      <w:szCs w:val="22"/>
    </w:rPr>
  </w:style>
  <w:style w:type="character" w:customStyle="1" w:styleId="237">
    <w:name w:val="不明显强调1"/>
    <w:autoRedefine/>
    <w:qFormat/>
    <w:uiPriority w:val="0"/>
    <w:rPr>
      <w:i/>
      <w:iCs/>
      <w:color w:val="808080"/>
    </w:rPr>
  </w:style>
  <w:style w:type="character" w:customStyle="1" w:styleId="238">
    <w:name w:val="明显参考1"/>
    <w:autoRedefine/>
    <w:qFormat/>
    <w:uiPriority w:val="0"/>
    <w:rPr>
      <w:b/>
      <w:bCs/>
      <w:smallCaps/>
      <w:color w:val="C0504D"/>
      <w:spacing w:val="5"/>
      <w:u w:val="single"/>
    </w:rPr>
  </w:style>
  <w:style w:type="character" w:customStyle="1" w:styleId="239">
    <w:name w:val="书籍标题1"/>
    <w:qFormat/>
    <w:uiPriority w:val="0"/>
    <w:rPr>
      <w:b/>
      <w:bCs/>
      <w:smallCaps/>
      <w:spacing w:val="5"/>
    </w:rPr>
  </w:style>
  <w:style w:type="character" w:customStyle="1" w:styleId="240">
    <w:name w:val="日期 Char1"/>
    <w:qFormat/>
    <w:uiPriority w:val="0"/>
    <w:rPr>
      <w:kern w:val="2"/>
      <w:sz w:val="21"/>
      <w:szCs w:val="22"/>
    </w:rPr>
  </w:style>
  <w:style w:type="character" w:customStyle="1" w:styleId="241">
    <w:name w:val="明显强调1"/>
    <w:autoRedefine/>
    <w:qFormat/>
    <w:uiPriority w:val="0"/>
    <w:rPr>
      <w:b/>
      <w:bCs/>
      <w:i/>
      <w:iCs/>
      <w:color w:val="4F81BD"/>
    </w:rPr>
  </w:style>
  <w:style w:type="character" w:customStyle="1" w:styleId="242">
    <w:name w:val="textcontents"/>
    <w:qFormat/>
    <w:uiPriority w:val="0"/>
    <w:rPr>
      <w:rFonts w:cs="Times New Roman"/>
    </w:rPr>
  </w:style>
  <w:style w:type="character" w:customStyle="1" w:styleId="243">
    <w:name w:val="不明显参考1"/>
    <w:autoRedefine/>
    <w:qFormat/>
    <w:uiPriority w:val="0"/>
    <w:rPr>
      <w:smallCaps/>
      <w:color w:val="C0504D"/>
      <w:u w:val="single"/>
    </w:rPr>
  </w:style>
  <w:style w:type="character" w:customStyle="1" w:styleId="244">
    <w:name w:val="批注文字 Char Char"/>
    <w:autoRedefine/>
    <w:qFormat/>
    <w:uiPriority w:val="0"/>
    <w:rPr>
      <w:rFonts w:ascii="宋体" w:hAnsi="Times New Roman" w:eastAsia="宋体" w:cs="Times New Roman"/>
      <w:sz w:val="28"/>
      <w:szCs w:val="20"/>
    </w:rPr>
  </w:style>
  <w:style w:type="character" w:customStyle="1" w:styleId="245">
    <w:name w:val="文档结构图 Char1"/>
    <w:qFormat/>
    <w:uiPriority w:val="0"/>
    <w:rPr>
      <w:rFonts w:ascii="宋体"/>
      <w:kern w:val="2"/>
      <w:sz w:val="18"/>
      <w:szCs w:val="18"/>
    </w:rPr>
  </w:style>
  <w:style w:type="paragraph" w:customStyle="1" w:styleId="246">
    <w:name w:val="修订1"/>
    <w:qFormat/>
    <w:uiPriority w:val="0"/>
    <w:rPr>
      <w:rFonts w:ascii="Times New Roman" w:hAnsi="Times New Roman" w:eastAsia="宋体" w:cs="Times New Roman"/>
      <w:kern w:val="2"/>
      <w:sz w:val="21"/>
      <w:szCs w:val="24"/>
      <w:lang w:val="en-US" w:eastAsia="zh-CN" w:bidi="ar-SA"/>
    </w:rPr>
  </w:style>
  <w:style w:type="character" w:customStyle="1" w:styleId="247">
    <w:name w:val="页脚 Char1"/>
    <w:autoRedefine/>
    <w:semiHidden/>
    <w:qFormat/>
    <w:uiPriority w:val="99"/>
    <w:rPr>
      <w:kern w:val="2"/>
      <w:sz w:val="18"/>
      <w:szCs w:val="18"/>
    </w:rPr>
  </w:style>
  <w:style w:type="character" w:customStyle="1" w:styleId="248">
    <w:name w:val="批注框文本 Char2"/>
    <w:semiHidden/>
    <w:qFormat/>
    <w:uiPriority w:val="99"/>
    <w:rPr>
      <w:kern w:val="2"/>
      <w:sz w:val="18"/>
      <w:szCs w:val="18"/>
    </w:rPr>
  </w:style>
  <w:style w:type="character" w:customStyle="1" w:styleId="249">
    <w:name w:val="批注主题 Char2"/>
    <w:semiHidden/>
    <w:qFormat/>
    <w:uiPriority w:val="99"/>
    <w:rPr>
      <w:b/>
      <w:bCs/>
      <w:kern w:val="2"/>
      <w:sz w:val="21"/>
      <w:szCs w:val="22"/>
    </w:rPr>
  </w:style>
  <w:style w:type="character" w:customStyle="1" w:styleId="250">
    <w:name w:val="文档结构图 Char2"/>
    <w:autoRedefine/>
    <w:semiHidden/>
    <w:qFormat/>
    <w:uiPriority w:val="99"/>
    <w:rPr>
      <w:rFonts w:ascii="宋体"/>
      <w:kern w:val="2"/>
      <w:sz w:val="18"/>
      <w:szCs w:val="18"/>
    </w:rPr>
  </w:style>
  <w:style w:type="character" w:customStyle="1" w:styleId="251">
    <w:name w:val="页眉 Char1"/>
    <w:autoRedefine/>
    <w:semiHidden/>
    <w:qFormat/>
    <w:uiPriority w:val="99"/>
    <w:rPr>
      <w:kern w:val="2"/>
      <w:sz w:val="18"/>
      <w:szCs w:val="18"/>
    </w:rPr>
  </w:style>
  <w:style w:type="character" w:customStyle="1" w:styleId="252">
    <w:name w:val="日期 Char2"/>
    <w:semiHidden/>
    <w:qFormat/>
    <w:uiPriority w:val="99"/>
    <w:rPr>
      <w:kern w:val="2"/>
      <w:sz w:val="21"/>
      <w:szCs w:val="22"/>
    </w:rPr>
  </w:style>
  <w:style w:type="character" w:customStyle="1" w:styleId="253">
    <w:name w:val="正文文本 Char2"/>
    <w:autoRedefine/>
    <w:semiHidden/>
    <w:qFormat/>
    <w:uiPriority w:val="99"/>
    <w:rPr>
      <w:kern w:val="2"/>
      <w:sz w:val="21"/>
      <w:szCs w:val="22"/>
    </w:rPr>
  </w:style>
  <w:style w:type="character" w:customStyle="1" w:styleId="254">
    <w:name w:val="标题 Char1"/>
    <w:qFormat/>
    <w:uiPriority w:val="10"/>
    <w:rPr>
      <w:rFonts w:ascii="Cambria" w:hAnsi="Cambria" w:cs="Times New Roman"/>
      <w:b/>
      <w:bCs/>
      <w:kern w:val="2"/>
      <w:sz w:val="32"/>
      <w:szCs w:val="32"/>
    </w:rPr>
  </w:style>
  <w:style w:type="character" w:customStyle="1" w:styleId="255">
    <w:name w:val="副标题 Char1"/>
    <w:autoRedefine/>
    <w:qFormat/>
    <w:uiPriority w:val="11"/>
    <w:rPr>
      <w:rFonts w:ascii="Cambria" w:hAnsi="Cambria" w:cs="Times New Roman"/>
      <w:b/>
      <w:bCs/>
      <w:kern w:val="28"/>
      <w:sz w:val="32"/>
      <w:szCs w:val="32"/>
    </w:rPr>
  </w:style>
  <w:style w:type="paragraph" w:customStyle="1" w:styleId="256">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7">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9">
    <w:name w:val="正文2 Char"/>
    <w:link w:val="260"/>
    <w:autoRedefine/>
    <w:qFormat/>
    <w:uiPriority w:val="0"/>
    <w:rPr>
      <w:rFonts w:ascii="楷体" w:eastAsia="楷体"/>
      <w:b/>
      <w:color w:val="0000FF"/>
    </w:rPr>
  </w:style>
  <w:style w:type="paragraph" w:customStyle="1" w:styleId="260">
    <w:name w:val="正文2"/>
    <w:link w:val="259"/>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1">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2">
    <w:name w:val="正文文本 (2)_"/>
    <w:link w:val="263"/>
    <w:qFormat/>
    <w:locked/>
    <w:uiPriority w:val="99"/>
    <w:rPr>
      <w:rFonts w:ascii="MingLiU" w:eastAsia="MingLiU" w:cs="MingLiU"/>
      <w:spacing w:val="20"/>
      <w:sz w:val="22"/>
      <w:shd w:val="clear" w:color="auto" w:fill="FFFFFF"/>
    </w:rPr>
  </w:style>
  <w:style w:type="paragraph" w:customStyle="1" w:styleId="263">
    <w:name w:val="正文文本 (2)1"/>
    <w:basedOn w:val="1"/>
    <w:link w:val="262"/>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4">
    <w:name w:val="正文文本 (2) + 间距 0 pt5"/>
    <w:qFormat/>
    <w:uiPriority w:val="99"/>
    <w:rPr>
      <w:rFonts w:ascii="MingLiU" w:eastAsia="MingLiU" w:cs="MingLiU"/>
      <w:spacing w:val="0"/>
      <w:sz w:val="22"/>
      <w:shd w:val="clear" w:color="auto" w:fill="FFFFFF"/>
    </w:rPr>
  </w:style>
  <w:style w:type="character" w:customStyle="1" w:styleId="265">
    <w:name w:val="访问过的超链接1"/>
    <w:basedOn w:val="57"/>
    <w:semiHidden/>
    <w:unhideWhenUsed/>
    <w:qFormat/>
    <w:uiPriority w:val="99"/>
    <w:rPr>
      <w:color w:val="954F72"/>
      <w:u w:val="single"/>
    </w:rPr>
  </w:style>
  <w:style w:type="character" w:customStyle="1" w:styleId="266">
    <w:name w:val="明显引用 Char2"/>
    <w:basedOn w:val="57"/>
    <w:qFormat/>
    <w:uiPriority w:val="30"/>
    <w:rPr>
      <w:b/>
      <w:bCs/>
      <w:i/>
      <w:iCs/>
      <w:color w:val="4F81BD" w:themeColor="accent1"/>
      <w14:textFill>
        <w14:solidFill>
          <w14:schemeClr w14:val="accent1"/>
        </w14:solidFill>
      </w14:textFill>
    </w:rPr>
  </w:style>
  <w:style w:type="character" w:customStyle="1" w:styleId="267">
    <w:name w:val="引用 Char2"/>
    <w:basedOn w:val="57"/>
    <w:qFormat/>
    <w:uiPriority w:val="29"/>
    <w:rPr>
      <w:i/>
      <w:iCs/>
      <w:color w:val="000000" w:themeColor="text1"/>
      <w14:textFill>
        <w14:solidFill>
          <w14:schemeClr w14:val="tx1"/>
        </w14:solidFill>
      </w14:textFill>
    </w:rPr>
  </w:style>
  <w:style w:type="table" w:customStyle="1" w:styleId="268">
    <w:name w:val="网格型4"/>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
    <w:name w:val="Table Normal"/>
    <w:autoRedefine/>
    <w:semiHidden/>
    <w:unhideWhenUsed/>
    <w:qFormat/>
    <w:uiPriority w:val="0"/>
    <w:tblPr>
      <w:tblCellMar>
        <w:top w:w="0" w:type="dxa"/>
        <w:left w:w="0" w:type="dxa"/>
        <w:bottom w:w="0" w:type="dxa"/>
        <w:right w:w="0" w:type="dxa"/>
      </w:tblCellMar>
    </w:tblPr>
  </w:style>
  <w:style w:type="paragraph" w:customStyle="1" w:styleId="270">
    <w:name w:val="Table Text"/>
    <w:basedOn w:val="1"/>
    <w:autoRedefine/>
    <w:semiHidden/>
    <w:qFormat/>
    <w:uiPriority w:val="0"/>
    <w:rPr>
      <w:rFonts w:ascii="Arial" w:hAnsi="Arial" w:eastAsia="Arial" w:cs="Arial"/>
      <w:sz w:val="21"/>
      <w:szCs w:val="21"/>
      <w:lang w:val="en-US" w:eastAsia="en-US" w:bidi="ar-SA"/>
    </w:rPr>
  </w:style>
  <w:style w:type="paragraph" w:customStyle="1" w:styleId="271">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272">
    <w:name w:val="NormalCharacter"/>
    <w:qFormat/>
    <w:uiPriority w:val="99"/>
  </w:style>
  <w:style w:type="paragraph" w:customStyle="1" w:styleId="273">
    <w:name w:val="样式 样式 样式 五号 行距: 固定值 20 磅 + 首行缩进:  2 字符 + 首行缩进:  2 字符"/>
    <w:basedOn w:val="274"/>
    <w:autoRedefine/>
    <w:qFormat/>
    <w:uiPriority w:val="0"/>
    <w:pPr>
      <w:adjustRightInd w:val="0"/>
      <w:snapToGrid w:val="0"/>
      <w:ind w:firstLine="452"/>
    </w:pPr>
    <w:rPr>
      <w:rFonts w:ascii="Calibri" w:hAnsi="Calibri" w:cs="Times New Roman"/>
      <w:spacing w:val="0"/>
      <w:kern w:val="0"/>
      <w:sz w:val="20"/>
      <w:szCs w:val="21"/>
    </w:rPr>
  </w:style>
  <w:style w:type="paragraph" w:customStyle="1" w:styleId="274">
    <w:name w:val="样式 样式 五号 行距: 固定值 20 磅 + 首行缩进:  2 字符"/>
    <w:basedOn w:val="275"/>
    <w:autoRedefine/>
    <w:qFormat/>
    <w:uiPriority w:val="0"/>
    <w:pPr>
      <w:spacing w:line="360" w:lineRule="auto"/>
      <w:ind w:firstLine="200"/>
    </w:pPr>
  </w:style>
  <w:style w:type="paragraph" w:customStyle="1" w:styleId="275">
    <w:name w:val="样式 五号 行距: 固定值 20 磅"/>
    <w:basedOn w:val="1"/>
    <w:autoRedefine/>
    <w:qFormat/>
    <w:uiPriority w:val="0"/>
    <w:pPr>
      <w:spacing w:line="400" w:lineRule="exact"/>
      <w:ind w:firstLine="420" w:firstLineChars="200"/>
    </w:pPr>
    <w:rPr>
      <w:rFonts w:ascii="Times New Roman" w:hAnsi="Times New Roman" w:cs="宋体"/>
      <w:spacing w:val="8"/>
      <w:sz w:val="24"/>
      <w:szCs w:val="24"/>
    </w:rPr>
  </w:style>
  <w:style w:type="paragraph" w:customStyle="1" w:styleId="276">
    <w:name w:val="样式 样式 小四 行距: 1.5 倍行距1 + 黑体 小四 居中 段前: 3 磅 段后: 10 磅 行距: 单倍行距"/>
    <w:basedOn w:val="277"/>
    <w:autoRedefine/>
    <w:qFormat/>
    <w:uiPriority w:val="0"/>
    <w:pPr>
      <w:spacing w:before="60" w:after="200" w:line="240" w:lineRule="auto"/>
      <w:ind w:firstLine="0" w:firstLineChars="0"/>
      <w:jc w:val="center"/>
    </w:pPr>
    <w:rPr>
      <w:rFonts w:ascii="黑体" w:hAnsi="黑体" w:eastAsia="黑体"/>
      <w:sz w:val="24"/>
      <w:szCs w:val="20"/>
    </w:rPr>
  </w:style>
  <w:style w:type="paragraph" w:customStyle="1" w:styleId="277">
    <w:name w:val="样式 小四 行距: 1.5 倍行距1"/>
    <w:basedOn w:val="1"/>
    <w:autoRedefine/>
    <w:qFormat/>
    <w:uiPriority w:val="0"/>
    <w:pPr>
      <w:adjustRightInd w:val="0"/>
      <w:spacing w:line="360" w:lineRule="auto"/>
      <w:ind w:firstLine="360" w:firstLineChars="150"/>
      <w:textAlignment w:val="baseline"/>
    </w:pPr>
    <w:rPr>
      <w:rFonts w:cs="宋体"/>
      <w:kern w:val="0"/>
      <w:sz w:val="28"/>
      <w:szCs w:val="28"/>
    </w:rPr>
  </w:style>
  <w:style w:type="character" w:customStyle="1" w:styleId="278">
    <w:name w:val="font71"/>
    <w:basedOn w:val="57"/>
    <w:qFormat/>
    <w:uiPriority w:val="0"/>
    <w:rPr>
      <w:rFonts w:hint="eastAsia" w:ascii="宋体" w:hAnsi="宋体" w:eastAsia="宋体" w:cs="宋体"/>
      <w:color w:val="000000"/>
      <w:sz w:val="20"/>
      <w:szCs w:val="20"/>
      <w:u w:val="none"/>
    </w:rPr>
  </w:style>
  <w:style w:type="character" w:customStyle="1" w:styleId="279">
    <w:name w:val="font31"/>
    <w:basedOn w:val="57"/>
    <w:autoRedefine/>
    <w:qFormat/>
    <w:uiPriority w:val="0"/>
    <w:rPr>
      <w:rFonts w:hint="eastAsia" w:ascii="宋体" w:hAnsi="宋体" w:eastAsia="宋体" w:cs="宋体"/>
      <w:color w:val="00B0F0"/>
      <w:sz w:val="20"/>
      <w:szCs w:val="20"/>
      <w:u w:val="none"/>
    </w:rPr>
  </w:style>
  <w:style w:type="character" w:customStyle="1" w:styleId="280">
    <w:name w:val="font11"/>
    <w:basedOn w:val="57"/>
    <w:autoRedefine/>
    <w:qFormat/>
    <w:uiPriority w:val="0"/>
    <w:rPr>
      <w:rFonts w:hint="eastAsia" w:ascii="宋体" w:hAnsi="宋体" w:eastAsia="宋体" w:cs="宋体"/>
      <w:color w:val="000000"/>
      <w:sz w:val="20"/>
      <w:szCs w:val="20"/>
      <w:u w:val="none"/>
    </w:rPr>
  </w:style>
  <w:style w:type="character" w:customStyle="1" w:styleId="281">
    <w:name w:val="font21"/>
    <w:basedOn w:val="57"/>
    <w:qFormat/>
    <w:uiPriority w:val="0"/>
    <w:rPr>
      <w:rFonts w:hint="eastAsia" w:ascii="宋体" w:hAnsi="宋体" w:eastAsia="宋体" w:cs="宋体"/>
      <w:color w:val="FF0000"/>
      <w:sz w:val="20"/>
      <w:szCs w:val="20"/>
      <w:u w:val="none"/>
    </w:rPr>
  </w:style>
  <w:style w:type="character" w:customStyle="1" w:styleId="282">
    <w:name w:val="font61"/>
    <w:basedOn w:val="57"/>
    <w:autoRedefine/>
    <w:qFormat/>
    <w:uiPriority w:val="0"/>
    <w:rPr>
      <w:rFonts w:hint="eastAsia" w:ascii="宋体" w:hAnsi="宋体" w:eastAsia="宋体" w:cs="宋体"/>
      <w:color w:val="000000"/>
      <w:sz w:val="20"/>
      <w:szCs w:val="20"/>
      <w:u w:val="none"/>
    </w:rPr>
  </w:style>
  <w:style w:type="character" w:customStyle="1" w:styleId="283">
    <w:name w:val="font41"/>
    <w:basedOn w:val="57"/>
    <w:autoRedefine/>
    <w:qFormat/>
    <w:uiPriority w:val="0"/>
    <w:rPr>
      <w:rFonts w:hint="eastAsia" w:ascii="宋体" w:hAnsi="宋体" w:eastAsia="宋体" w:cs="宋体"/>
      <w:color w:val="00B0F0"/>
      <w:sz w:val="20"/>
      <w:szCs w:val="20"/>
      <w:u w:val="none"/>
    </w:rPr>
  </w:style>
  <w:style w:type="paragraph" w:customStyle="1" w:styleId="284">
    <w:name w:val="样式 样式 正文文本缩进正文文字缩进 + 首行缩进:  2 字符2 + 首行缩进:  2 字符"/>
    <w:basedOn w:val="1"/>
    <w:qFormat/>
    <w:uiPriority w:val="0"/>
    <w:pPr>
      <w:ind w:left="100" w:leftChars="100" w:right="100" w:rightChars="100" w:firstLine="200" w:firstLineChars="100"/>
      <w:jc w:val="left"/>
    </w:pPr>
    <w:rPr>
      <w:rFonts w:ascii="Arial" w:hAnsi="Arial"/>
    </w:rPr>
  </w:style>
  <w:style w:type="paragraph" w:customStyle="1" w:styleId="285">
    <w:name w:val="Body text|1"/>
    <w:basedOn w:val="1"/>
    <w:autoRedefine/>
    <w:qFormat/>
    <w:uiPriority w:val="0"/>
    <w:pPr>
      <w:spacing w:line="398"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jpe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emf"/><Relationship Id="rId12" Type="http://schemas.openxmlformats.org/officeDocument/2006/relationships/oleObject" Target="embeddings/oleObject1.bin"/><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116</Pages>
  <Words>4943</Words>
  <Characters>5550</Characters>
  <Lines>451</Lines>
  <Paragraphs>127</Paragraphs>
  <TotalTime>0</TotalTime>
  <ScaleCrop>false</ScaleCrop>
  <LinksUpToDate>false</LinksUpToDate>
  <CharactersWithSpaces>5668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2021-12-21T01:21:00Z</dcterms:created>
  <dc:creator>Anakin</dc:creator>
  <cp:lastModifiedBy>薛</cp:lastModifiedBy>
  <cp:lastPrinted>2019-12-08T15:20:00Z</cp:lastPrinted>
  <dcterms:modified xsi:type="dcterms:W3CDTF">2026-03-23T09:09:00Z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5EF21CF0178833245C9DBF693029F70E_43</vt:lpwstr>
  </property>
  <property fmtid="{D5CDD505-2E9C-101B-9397-08002B2CF9AE}" pid="4" name="KSOTemplateDocerSaveRecord">
    <vt:lpwstr>eyJoZGlkIjoiODkyYjc0MzE2ZWExODM3MjhiYjE2YzBhNWFmZTU4YjEiLCJ1c2VySWQiOiIxMjMyMDYzNDI1In0=</vt:lpwstr>
  </property>
</Properties>
</file>