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C430">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0E6112D8">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2079EE63">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70BA8ABB">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竞争性磋商文件示范文本（工程类）</w:t>
      </w:r>
    </w:p>
    <w:p w14:paraId="77738FDC">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2026版本</w:t>
      </w:r>
      <w:r>
        <w:rPr>
          <w:rFonts w:hint="eastAsia"/>
          <w:b/>
          <w:bCs/>
          <w:color w:val="auto"/>
          <w:sz w:val="52"/>
          <w:szCs w:val="52"/>
          <w:highlight w:val="none"/>
        </w:rPr>
        <w:t>）</w:t>
      </w:r>
    </w:p>
    <w:bookmarkEnd w:id="0"/>
    <w:p w14:paraId="1F710565">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0079A0BD">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DFEB20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E6C5A70">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EBD2A7B">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1BCE5C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5FF2E6B">
      <w:pPr>
        <w:tabs>
          <w:tab w:val="left" w:pos="2410"/>
        </w:tabs>
        <w:autoSpaceDE w:val="0"/>
        <w:autoSpaceDN w:val="0"/>
        <w:adjustRightInd w:val="0"/>
        <w:snapToGrid w:val="0"/>
        <w:spacing w:line="360" w:lineRule="auto"/>
        <w:rPr>
          <w:rFonts w:hint="default"/>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lang w:eastAsia="zh-CN"/>
        </w:rPr>
        <w:t>2026年省淮河局、省临淮岗局水闸自动化运行维护等（第2包临淮岗工程自动监控系统维护项目）（</w:t>
      </w:r>
      <w:r>
        <w:rPr>
          <w:rFonts w:hint="eastAsia"/>
          <w:b/>
          <w:color w:val="auto"/>
          <w:spacing w:val="20"/>
          <w:sz w:val="32"/>
          <w:szCs w:val="32"/>
          <w:highlight w:val="none"/>
          <w:lang w:val="en-US" w:eastAsia="zh-CN"/>
        </w:rPr>
        <w:t>二次）</w:t>
      </w:r>
    </w:p>
    <w:p w14:paraId="60987956">
      <w:pPr>
        <w:tabs>
          <w:tab w:val="left" w:pos="2410"/>
        </w:tabs>
        <w:autoSpaceDE w:val="0"/>
        <w:autoSpaceDN w:val="0"/>
        <w:adjustRightInd w:val="0"/>
        <w:snapToGrid w:val="0"/>
        <w:spacing w:line="360" w:lineRule="auto"/>
        <w:rPr>
          <w:rFonts w:hint="eastAsia" w:eastAsia="宋体"/>
          <w:b/>
          <w:color w:val="auto"/>
          <w:spacing w:val="20"/>
          <w:sz w:val="32"/>
          <w:szCs w:val="32"/>
          <w:highlight w:val="none"/>
          <w:u w:val="single"/>
          <w:lang w:eastAsia="zh-CN"/>
        </w:rPr>
      </w:pPr>
      <w:r>
        <w:rPr>
          <w:rFonts w:hint="eastAsia"/>
          <w:b/>
          <w:color w:val="auto"/>
          <w:spacing w:val="20"/>
          <w:sz w:val="32"/>
          <w:szCs w:val="32"/>
          <w:highlight w:val="none"/>
        </w:rPr>
        <w:t>项目编号：</w:t>
      </w:r>
      <w:r>
        <w:rPr>
          <w:rFonts w:hint="eastAsia"/>
          <w:b/>
          <w:color w:val="auto"/>
          <w:spacing w:val="20"/>
          <w:sz w:val="32"/>
          <w:szCs w:val="32"/>
          <w:highlight w:val="none"/>
          <w:u w:val="single"/>
        </w:rPr>
        <w:t>FSSD34000120261695号00</w:t>
      </w:r>
      <w:r>
        <w:rPr>
          <w:rFonts w:hint="eastAsia"/>
          <w:b/>
          <w:color w:val="auto"/>
          <w:spacing w:val="20"/>
          <w:sz w:val="32"/>
          <w:szCs w:val="32"/>
          <w:highlight w:val="none"/>
          <w:u w:val="single"/>
          <w:lang w:val="en-US" w:eastAsia="zh-CN"/>
        </w:rPr>
        <w:t>3</w:t>
      </w:r>
    </w:p>
    <w:p w14:paraId="7B7191E6">
      <w:pPr>
        <w:tabs>
          <w:tab w:val="left" w:pos="2410"/>
        </w:tabs>
        <w:autoSpaceDE w:val="0"/>
        <w:autoSpaceDN w:val="0"/>
        <w:adjustRightInd w:val="0"/>
        <w:snapToGrid w:val="0"/>
        <w:spacing w:line="360" w:lineRule="auto"/>
        <w:rPr>
          <w:rFonts w:hint="default" w:ascii="Times New Roman"/>
          <w:b/>
          <w:bCs/>
          <w:i w:val="0"/>
          <w:iCs w:val="0"/>
          <w:color w:val="auto"/>
          <w:sz w:val="32"/>
          <w:highlight w:val="none"/>
          <w:u w:val="single"/>
          <w:lang w:val="en-US" w:eastAsia="zh-CN"/>
        </w:rPr>
      </w:pPr>
      <w:r>
        <w:rPr>
          <w:rFonts w:hint="eastAsia"/>
          <w:b/>
          <w:color w:val="auto"/>
          <w:spacing w:val="20"/>
          <w:sz w:val="32"/>
          <w:szCs w:val="32"/>
          <w:highlight w:val="none"/>
        </w:rPr>
        <w:t>采 购 人：</w:t>
      </w:r>
      <w:r>
        <w:rPr>
          <w:rFonts w:hint="default" w:ascii="Times New Roman"/>
          <w:b/>
          <w:bCs/>
          <w:i w:val="0"/>
          <w:iCs w:val="0"/>
          <w:color w:val="auto"/>
          <w:sz w:val="32"/>
          <w:highlight w:val="none"/>
          <w:u w:val="single"/>
          <w:lang w:val="en-US" w:eastAsia="zh-CN"/>
        </w:rPr>
        <w:t>安徽省淮河河道管理局</w:t>
      </w:r>
    </w:p>
    <w:p w14:paraId="5FE46CC8">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ascii="Times New Roman"/>
          <w:b/>
          <w:bCs/>
          <w:color w:val="auto"/>
          <w:sz w:val="32"/>
          <w:highlight w:val="none"/>
          <w:u w:val="single"/>
        </w:rPr>
        <w:t>安徽安兆工程技术咨询服务有限公司</w:t>
      </w:r>
    </w:p>
    <w:p w14:paraId="7D8D0731">
      <w:pPr>
        <w:tabs>
          <w:tab w:val="left" w:pos="2410"/>
        </w:tabs>
        <w:autoSpaceDE w:val="0"/>
        <w:autoSpaceDN w:val="0"/>
        <w:adjustRightInd w:val="0"/>
        <w:snapToGrid w:val="0"/>
        <w:spacing w:line="360" w:lineRule="auto"/>
        <w:rPr>
          <w:b/>
          <w:color w:val="auto"/>
          <w:spacing w:val="20"/>
          <w:sz w:val="32"/>
          <w:szCs w:val="32"/>
          <w:highlight w:val="none"/>
        </w:rPr>
      </w:pPr>
    </w:p>
    <w:p w14:paraId="289E1684">
      <w:pPr>
        <w:tabs>
          <w:tab w:val="left" w:pos="2410"/>
        </w:tabs>
        <w:autoSpaceDE w:val="0"/>
        <w:autoSpaceDN w:val="0"/>
        <w:adjustRightInd w:val="0"/>
        <w:snapToGrid w:val="0"/>
        <w:spacing w:line="360" w:lineRule="auto"/>
        <w:jc w:val="both"/>
        <w:rPr>
          <w:b/>
          <w:color w:val="auto"/>
          <w:sz w:val="36"/>
          <w:highlight w:val="none"/>
        </w:rPr>
      </w:pPr>
    </w:p>
    <w:p w14:paraId="6ADDE832">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lang w:val="en-US" w:eastAsia="zh-CN"/>
        </w:rPr>
        <w:t>2026</w:t>
      </w:r>
      <w:r>
        <w:rPr>
          <w:rFonts w:hint="eastAsia"/>
          <w:b/>
          <w:color w:val="auto"/>
          <w:sz w:val="36"/>
          <w:highlight w:val="none"/>
        </w:rPr>
        <w:t>年</w:t>
      </w:r>
      <w:r>
        <w:rPr>
          <w:rFonts w:hint="eastAsia"/>
          <w:b/>
          <w:color w:val="auto"/>
          <w:sz w:val="36"/>
          <w:highlight w:val="none"/>
          <w:u w:val="single"/>
          <w:lang w:val="en-US" w:eastAsia="zh-CN"/>
        </w:rPr>
        <w:t>4</w:t>
      </w:r>
      <w:r>
        <w:rPr>
          <w:rFonts w:hint="eastAsia"/>
          <w:b/>
          <w:color w:val="auto"/>
          <w:sz w:val="36"/>
          <w:highlight w:val="none"/>
        </w:rPr>
        <w:t>月</w:t>
      </w:r>
      <w:r>
        <w:rPr>
          <w:b/>
          <w:color w:val="auto"/>
          <w:sz w:val="36"/>
          <w:highlight w:val="none"/>
        </w:rPr>
        <w:br w:type="page"/>
      </w:r>
    </w:p>
    <w:p w14:paraId="0A80D35B">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18F3B0BA">
      <w:pPr>
        <w:tabs>
          <w:tab w:val="left" w:pos="2410"/>
        </w:tabs>
        <w:autoSpaceDE w:val="0"/>
        <w:autoSpaceDN w:val="0"/>
        <w:adjustRightInd w:val="0"/>
        <w:snapToGrid w:val="0"/>
        <w:spacing w:line="360" w:lineRule="auto"/>
        <w:jc w:val="center"/>
        <w:rPr>
          <w:b/>
          <w:color w:val="auto"/>
          <w:sz w:val="28"/>
          <w:highlight w:val="none"/>
        </w:rPr>
      </w:pPr>
    </w:p>
    <w:p w14:paraId="59DF1163">
      <w:pPr>
        <w:pStyle w:val="35"/>
        <w:tabs>
          <w:tab w:val="right" w:leader="dot" w:pos="8279"/>
        </w:tabs>
        <w:rPr>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_Toc11403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rPr>
          <w:highlight w:val="none"/>
        </w:rPr>
        <w:tab/>
      </w:r>
      <w:r>
        <w:rPr>
          <w:highlight w:val="none"/>
        </w:rPr>
        <w:fldChar w:fldCharType="begin"/>
      </w:r>
      <w:r>
        <w:rPr>
          <w:highlight w:val="none"/>
        </w:rPr>
        <w:instrText xml:space="preserve"> PAGEREF _Toc11403 \h </w:instrText>
      </w:r>
      <w:r>
        <w:rPr>
          <w:highlight w:val="none"/>
        </w:rPr>
        <w:fldChar w:fldCharType="separate"/>
      </w:r>
      <w:r>
        <w:rPr>
          <w:highlight w:val="none"/>
        </w:rPr>
        <w:t>1</w:t>
      </w:r>
      <w:r>
        <w:rPr>
          <w:highlight w:val="none"/>
        </w:rPr>
        <w:fldChar w:fldCharType="end"/>
      </w:r>
      <w:r>
        <w:rPr>
          <w:rFonts w:asciiTheme="minorEastAsia" w:hAnsiTheme="minorEastAsia"/>
          <w:color w:val="auto"/>
          <w:szCs w:val="24"/>
          <w:highlight w:val="none"/>
        </w:rPr>
        <w:fldChar w:fldCharType="end"/>
      </w:r>
    </w:p>
    <w:p w14:paraId="179442B6">
      <w:pPr>
        <w:pStyle w:val="35"/>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_Toc28080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rPr>
          <w:highlight w:val="none"/>
        </w:rPr>
        <w:tab/>
      </w:r>
      <w:r>
        <w:rPr>
          <w:highlight w:val="none"/>
        </w:rPr>
        <w:fldChar w:fldCharType="begin"/>
      </w:r>
      <w:r>
        <w:rPr>
          <w:highlight w:val="none"/>
        </w:rPr>
        <w:instrText xml:space="preserve"> PAGEREF _Toc28080 \h </w:instrText>
      </w:r>
      <w:r>
        <w:rPr>
          <w:highlight w:val="none"/>
        </w:rPr>
        <w:fldChar w:fldCharType="separate"/>
      </w:r>
      <w:r>
        <w:rPr>
          <w:highlight w:val="none"/>
        </w:rPr>
        <w:t>3</w:t>
      </w:r>
      <w:r>
        <w:rPr>
          <w:highlight w:val="none"/>
        </w:rPr>
        <w:fldChar w:fldCharType="end"/>
      </w:r>
      <w:r>
        <w:rPr>
          <w:rFonts w:asciiTheme="minorEastAsia" w:hAnsiTheme="minorEastAsia"/>
          <w:color w:val="auto"/>
          <w:szCs w:val="24"/>
          <w:highlight w:val="none"/>
        </w:rPr>
        <w:fldChar w:fldCharType="end"/>
      </w:r>
    </w:p>
    <w:p w14:paraId="54835936">
      <w:pPr>
        <w:pStyle w:val="35"/>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_Toc30873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第三章  采购需求</w:t>
      </w:r>
      <w:r>
        <w:rPr>
          <w:highlight w:val="none"/>
        </w:rPr>
        <w:tab/>
      </w:r>
      <w:r>
        <w:rPr>
          <w:highlight w:val="none"/>
        </w:rPr>
        <w:fldChar w:fldCharType="begin"/>
      </w:r>
      <w:r>
        <w:rPr>
          <w:highlight w:val="none"/>
        </w:rPr>
        <w:instrText xml:space="preserve"> PAGEREF _Toc30873 \h </w:instrText>
      </w:r>
      <w:r>
        <w:rPr>
          <w:highlight w:val="none"/>
        </w:rPr>
        <w:fldChar w:fldCharType="separate"/>
      </w:r>
      <w:r>
        <w:rPr>
          <w:highlight w:val="none"/>
        </w:rPr>
        <w:t>19</w:t>
      </w:r>
      <w:r>
        <w:rPr>
          <w:highlight w:val="none"/>
        </w:rPr>
        <w:fldChar w:fldCharType="end"/>
      </w:r>
      <w:r>
        <w:rPr>
          <w:rFonts w:asciiTheme="minorEastAsia" w:hAnsiTheme="minorEastAsia"/>
          <w:color w:val="auto"/>
          <w:szCs w:val="24"/>
          <w:highlight w:val="none"/>
        </w:rPr>
        <w:fldChar w:fldCharType="end"/>
      </w:r>
    </w:p>
    <w:p w14:paraId="625AC819">
      <w:pPr>
        <w:pStyle w:val="35"/>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_Toc11353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_Toc11353 \h </w:instrText>
      </w:r>
      <w:r>
        <w:rPr>
          <w:highlight w:val="none"/>
        </w:rPr>
        <w:fldChar w:fldCharType="separate"/>
      </w:r>
      <w:r>
        <w:rPr>
          <w:highlight w:val="none"/>
        </w:rPr>
        <w:t>21</w:t>
      </w:r>
      <w:r>
        <w:rPr>
          <w:highlight w:val="none"/>
        </w:rPr>
        <w:fldChar w:fldCharType="end"/>
      </w:r>
      <w:r>
        <w:rPr>
          <w:rFonts w:asciiTheme="minorEastAsia" w:hAnsiTheme="minorEastAsia"/>
          <w:color w:val="auto"/>
          <w:szCs w:val="24"/>
          <w:highlight w:val="none"/>
        </w:rPr>
        <w:fldChar w:fldCharType="end"/>
      </w:r>
    </w:p>
    <w:p w14:paraId="6B39CC35">
      <w:pPr>
        <w:pStyle w:val="35"/>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_Toc31277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rPr>
          <w:highlight w:val="none"/>
        </w:rPr>
        <w:tab/>
      </w:r>
      <w:r>
        <w:rPr>
          <w:highlight w:val="none"/>
        </w:rPr>
        <w:fldChar w:fldCharType="begin"/>
      </w:r>
      <w:r>
        <w:rPr>
          <w:highlight w:val="none"/>
        </w:rPr>
        <w:instrText xml:space="preserve"> PAGEREF _Toc31277 \h </w:instrText>
      </w:r>
      <w:r>
        <w:rPr>
          <w:highlight w:val="none"/>
        </w:rPr>
        <w:fldChar w:fldCharType="separate"/>
      </w:r>
      <w:r>
        <w:rPr>
          <w:highlight w:val="none"/>
        </w:rPr>
        <w:t>26</w:t>
      </w:r>
      <w:r>
        <w:rPr>
          <w:highlight w:val="none"/>
        </w:rPr>
        <w:fldChar w:fldCharType="end"/>
      </w:r>
      <w:r>
        <w:rPr>
          <w:rFonts w:asciiTheme="minorEastAsia" w:hAnsiTheme="minorEastAsia"/>
          <w:color w:val="auto"/>
          <w:szCs w:val="24"/>
          <w:highlight w:val="none"/>
        </w:rPr>
        <w:fldChar w:fldCharType="end"/>
      </w:r>
    </w:p>
    <w:p w14:paraId="5EC0F1D2">
      <w:pPr>
        <w:pStyle w:val="35"/>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_Toc22734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第六章  响应文件格式</w:t>
      </w:r>
      <w:r>
        <w:rPr>
          <w:highlight w:val="none"/>
        </w:rPr>
        <w:tab/>
      </w:r>
      <w:r>
        <w:rPr>
          <w:highlight w:val="none"/>
        </w:rPr>
        <w:fldChar w:fldCharType="begin"/>
      </w:r>
      <w:r>
        <w:rPr>
          <w:highlight w:val="none"/>
        </w:rPr>
        <w:instrText xml:space="preserve"> PAGEREF _Toc22734 \h </w:instrText>
      </w:r>
      <w:r>
        <w:rPr>
          <w:highlight w:val="none"/>
        </w:rPr>
        <w:fldChar w:fldCharType="separate"/>
      </w:r>
      <w:r>
        <w:rPr>
          <w:highlight w:val="none"/>
        </w:rPr>
        <w:t>76</w:t>
      </w:r>
      <w:r>
        <w:rPr>
          <w:highlight w:val="none"/>
        </w:rPr>
        <w:fldChar w:fldCharType="end"/>
      </w:r>
      <w:r>
        <w:rPr>
          <w:rFonts w:asciiTheme="minorEastAsia" w:hAnsiTheme="minorEastAsia"/>
          <w:color w:val="auto"/>
          <w:szCs w:val="24"/>
          <w:highlight w:val="none"/>
        </w:rPr>
        <w:fldChar w:fldCharType="end"/>
      </w:r>
    </w:p>
    <w:p w14:paraId="17C68126">
      <w:pPr>
        <w:pStyle w:val="35"/>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_Toc24879 </w:instrText>
      </w:r>
      <w:r>
        <w:rPr>
          <w:rFonts w:asciiTheme="minorEastAsia" w:hAnsiTheme="minorEastAsia"/>
          <w:szCs w:val="24"/>
          <w:highlight w:val="none"/>
        </w:rPr>
        <w:fldChar w:fldCharType="separate"/>
      </w:r>
      <w:r>
        <w:rPr>
          <w:rFonts w:hint="eastAsia"/>
          <w:bCs/>
          <w:highlight w:val="none"/>
        </w:rPr>
        <w:t>第</w:t>
      </w:r>
      <w:r>
        <w:rPr>
          <w:rFonts w:hint="eastAsia"/>
          <w:bCs/>
          <w:highlight w:val="none"/>
          <w:lang w:val="en-US" w:eastAsia="zh-CN"/>
        </w:rPr>
        <w:t>七</w:t>
      </w:r>
      <w:r>
        <w:rPr>
          <w:rFonts w:hint="eastAsia"/>
          <w:bCs/>
          <w:highlight w:val="none"/>
        </w:rPr>
        <w:t>章  政府采购</w:t>
      </w:r>
      <w:r>
        <w:rPr>
          <w:rFonts w:hint="eastAsia" w:asciiTheme="minorEastAsia" w:hAnsiTheme="minorEastAsia" w:eastAsiaTheme="minorEastAsia"/>
          <w:highlight w:val="none"/>
        </w:rPr>
        <w:t>供应</w:t>
      </w:r>
      <w:r>
        <w:rPr>
          <w:rFonts w:hint="eastAsia"/>
          <w:bCs/>
          <w:highlight w:val="none"/>
        </w:rPr>
        <w:t>商询问函和质疑函范本</w:t>
      </w:r>
      <w:r>
        <w:rPr>
          <w:highlight w:val="none"/>
        </w:rPr>
        <w:tab/>
      </w:r>
      <w:r>
        <w:rPr>
          <w:highlight w:val="none"/>
        </w:rPr>
        <w:fldChar w:fldCharType="begin"/>
      </w:r>
      <w:r>
        <w:rPr>
          <w:highlight w:val="none"/>
        </w:rPr>
        <w:instrText xml:space="preserve"> PAGEREF _Toc24879 \h </w:instrText>
      </w:r>
      <w:r>
        <w:rPr>
          <w:highlight w:val="none"/>
        </w:rPr>
        <w:fldChar w:fldCharType="separate"/>
      </w:r>
      <w:r>
        <w:rPr>
          <w:highlight w:val="none"/>
        </w:rPr>
        <w:t>96</w:t>
      </w:r>
      <w:r>
        <w:rPr>
          <w:highlight w:val="none"/>
        </w:rPr>
        <w:fldChar w:fldCharType="end"/>
      </w:r>
      <w:r>
        <w:rPr>
          <w:rFonts w:asciiTheme="minorEastAsia" w:hAnsiTheme="minorEastAsia"/>
          <w:color w:val="auto"/>
          <w:szCs w:val="24"/>
          <w:highlight w:val="none"/>
        </w:rPr>
        <w:fldChar w:fldCharType="end"/>
      </w:r>
    </w:p>
    <w:p w14:paraId="038BB42F">
      <w:pPr>
        <w:pStyle w:val="45"/>
        <w:tabs>
          <w:tab w:val="right" w:leader="dot" w:pos="8296"/>
        </w:tabs>
        <w:rPr>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r>
        <w:rPr>
          <w:rFonts w:asciiTheme="minorEastAsia" w:hAnsiTheme="minorEastAsia"/>
          <w:color w:val="auto"/>
          <w:szCs w:val="24"/>
          <w:highlight w:val="none"/>
        </w:rPr>
        <w:fldChar w:fldCharType="end"/>
      </w:r>
    </w:p>
    <w:p w14:paraId="2FC6D169">
      <w:pPr>
        <w:spacing w:line="360" w:lineRule="auto"/>
        <w:jc w:val="both"/>
        <w:outlineLvl w:val="0"/>
        <w:rPr>
          <w:rFonts w:hint="eastAsia" w:asciiTheme="minorEastAsia" w:hAnsiTheme="minorEastAsia" w:eastAsiaTheme="minorEastAsia"/>
          <w:b/>
          <w:color w:val="auto"/>
          <w:sz w:val="28"/>
          <w:highlight w:val="none"/>
        </w:rPr>
      </w:pPr>
      <w:bookmarkStart w:id="1" w:name="_Toc11403"/>
    </w:p>
    <w:p w14:paraId="5F60CF7E">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5B54D449">
      <w:pPr>
        <w:spacing w:line="360" w:lineRule="auto"/>
        <w:ind w:firstLine="435"/>
        <w:outlineLvl w:val="1"/>
        <w:rPr>
          <w:rFonts w:hint="eastAsia"/>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0290C503">
      <w:pPr>
        <w:spacing w:line="360" w:lineRule="auto"/>
        <w:ind w:firstLine="435"/>
        <w:rPr>
          <w:rFonts w:hint="eastAsia" w:asciiTheme="minorEastAsia" w:hAnsiTheme="minorEastAsia" w:eastAsiaTheme="minorEastAsia"/>
          <w:color w:val="auto"/>
          <w:sz w:val="24"/>
          <w:highlight w:val="none"/>
          <w:lang w:eastAsia="zh-CN"/>
        </w:rPr>
      </w:pPr>
      <w:bookmarkStart w:id="4" w:name="_Toc26628"/>
      <w:r>
        <w:rPr>
          <w:rFonts w:hint="eastAsia" w:asciiTheme="minorEastAsia" w:hAnsiTheme="minorEastAsia" w:eastAsiaTheme="minorEastAsia"/>
          <w:color w:val="auto"/>
          <w:sz w:val="24"/>
          <w:highlight w:val="none"/>
        </w:rPr>
        <w:t>1.项目编号：FSSD34000120261695号00</w:t>
      </w:r>
      <w:r>
        <w:rPr>
          <w:rFonts w:hint="eastAsia" w:asciiTheme="minorEastAsia" w:hAnsiTheme="minorEastAsia" w:eastAsiaTheme="minorEastAsia"/>
          <w:color w:val="auto"/>
          <w:sz w:val="24"/>
          <w:highlight w:val="none"/>
          <w:lang w:val="en-US" w:eastAsia="zh-CN"/>
        </w:rPr>
        <w:t>3</w:t>
      </w:r>
    </w:p>
    <w:p w14:paraId="28B7E137">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lang w:eastAsia="zh-CN"/>
        </w:rPr>
        <w:t>2026年省淮河局、省临淮岗局水闸自动化运行维护等（第2包临淮岗工程自动监控系统维护项目）（</w:t>
      </w:r>
      <w:r>
        <w:rPr>
          <w:rFonts w:hint="eastAsia" w:asciiTheme="minorEastAsia" w:hAnsiTheme="minorEastAsia" w:eastAsiaTheme="minorEastAsia"/>
          <w:color w:val="auto"/>
          <w:sz w:val="24"/>
          <w:highlight w:val="none"/>
          <w:lang w:val="en-US" w:eastAsia="zh-CN"/>
        </w:rPr>
        <w:t>二次）</w:t>
      </w:r>
    </w:p>
    <w:p w14:paraId="0B49545D">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3.预算金额：</w:t>
      </w:r>
      <w:r>
        <w:rPr>
          <w:rFonts w:hint="eastAsia"/>
          <w:color w:val="auto"/>
          <w:sz w:val="24"/>
          <w:szCs w:val="18"/>
          <w:highlight w:val="none"/>
          <w:u w:val="single"/>
          <w:lang w:val="en-US" w:eastAsia="zh-CN"/>
        </w:rPr>
        <w:t>69万元</w:t>
      </w:r>
    </w:p>
    <w:p w14:paraId="65F370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color w:val="auto"/>
          <w:sz w:val="24"/>
          <w:szCs w:val="18"/>
          <w:highlight w:val="none"/>
          <w:u w:val="single"/>
          <w:lang w:val="en-US" w:eastAsia="zh-CN"/>
        </w:rPr>
        <w:t>69万元</w:t>
      </w:r>
    </w:p>
    <w:p w14:paraId="441004A7">
      <w:pPr>
        <w:spacing w:line="360" w:lineRule="auto"/>
        <w:ind w:firstLine="435"/>
        <w:rPr>
          <w:rFonts w:hint="eastAsia"/>
          <w:color w:val="auto"/>
          <w:sz w:val="24"/>
          <w:szCs w:val="18"/>
          <w:highlight w:val="none"/>
          <w:u w:val="single"/>
          <w:lang w:val="en-US" w:eastAsia="zh-CN"/>
        </w:rPr>
      </w:pPr>
      <w:r>
        <w:rPr>
          <w:rFonts w:hint="eastAsia" w:asciiTheme="minorEastAsia" w:hAnsiTheme="minorEastAsia" w:eastAsiaTheme="minorEastAsia"/>
          <w:color w:val="auto"/>
          <w:sz w:val="24"/>
          <w:highlight w:val="none"/>
        </w:rPr>
        <w:t>5.采购需求：</w:t>
      </w:r>
      <w:r>
        <w:rPr>
          <w:rFonts w:hint="eastAsia"/>
          <w:color w:val="auto"/>
          <w:sz w:val="24"/>
          <w:szCs w:val="18"/>
          <w:highlight w:val="none"/>
          <w:u w:val="single"/>
          <w:lang w:val="en-US" w:eastAsia="zh-CN"/>
        </w:rPr>
        <w:t>详见磋商文件。</w:t>
      </w:r>
    </w:p>
    <w:p w14:paraId="297F4BDD">
      <w:pPr>
        <w:spacing w:line="360" w:lineRule="auto"/>
        <w:ind w:firstLine="435"/>
        <w:rPr>
          <w:rFonts w:hint="default" w:eastAsia="宋体" w:asciiTheme="minorEastAsia" w:hAnsi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省淮河局、省临淮岗局水闸自动化运行维护等</w:t>
      </w:r>
      <w:r>
        <w:rPr>
          <w:rFonts w:hint="eastAsia" w:cs="宋体"/>
          <w:b/>
          <w:bCs/>
          <w:color w:val="000000" w:themeColor="text1"/>
          <w:sz w:val="24"/>
          <w:szCs w:val="24"/>
          <w14:textFill>
            <w14:solidFill>
              <w14:schemeClr w14:val="tx1"/>
            </w14:solidFill>
          </w14:textFill>
        </w:rPr>
        <w:t>为统采分签项目。由安徽省淮河河道管理局作为采购人统一组织采购。本项目为第</w:t>
      </w:r>
      <w:r>
        <w:rPr>
          <w:rFonts w:hint="eastAsia" w:cs="宋体"/>
          <w:b/>
          <w:bCs/>
          <w:color w:val="000000" w:themeColor="text1"/>
          <w:sz w:val="24"/>
          <w:szCs w:val="24"/>
          <w:lang w:val="en-US" w:eastAsia="zh-CN"/>
          <w14:textFill>
            <w14:solidFill>
              <w14:schemeClr w14:val="tx1"/>
            </w14:solidFill>
          </w14:textFill>
        </w:rPr>
        <w:t>2</w:t>
      </w:r>
      <w:r>
        <w:rPr>
          <w:rFonts w:hint="eastAsia" w:cs="宋体"/>
          <w:b/>
          <w:bCs/>
          <w:color w:val="000000" w:themeColor="text1"/>
          <w:sz w:val="24"/>
          <w:szCs w:val="24"/>
          <w14:textFill>
            <w14:solidFill>
              <w14:schemeClr w14:val="tx1"/>
            </w14:solidFill>
          </w14:textFill>
        </w:rPr>
        <w:t>包</w:t>
      </w:r>
      <w:r>
        <w:rPr>
          <w:rFonts w:hint="eastAsia" w:asciiTheme="minorEastAsia" w:hAnsiTheme="minorEastAsia" w:eastAsiaTheme="minorEastAsia"/>
          <w:b/>
          <w:bCs/>
          <w:color w:val="auto"/>
          <w:sz w:val="24"/>
          <w:highlight w:val="none"/>
          <w:lang w:eastAsia="zh-CN"/>
        </w:rPr>
        <w:t>临淮岗工程自动监控系统维护项目</w:t>
      </w:r>
      <w:r>
        <w:rPr>
          <w:rFonts w:hint="eastAsia" w:cs="宋体"/>
          <w:b/>
          <w:bCs/>
          <w:color w:val="000000" w:themeColor="text1"/>
          <w:sz w:val="24"/>
          <w:szCs w:val="24"/>
          <w14:textFill>
            <w14:solidFill>
              <w14:schemeClr w14:val="tx1"/>
            </w14:solidFill>
          </w14:textFill>
        </w:rPr>
        <w:t>，成交人成交后与</w:t>
      </w:r>
      <w:r>
        <w:rPr>
          <w:rFonts w:hint="eastAsia" w:cs="宋体"/>
          <w:b/>
          <w:bCs/>
          <w:color w:val="000000" w:themeColor="text1"/>
          <w:sz w:val="24"/>
          <w:szCs w:val="24"/>
          <w:lang w:val="en-US" w:eastAsia="zh-CN"/>
          <w14:textFill>
            <w14:solidFill>
              <w14:schemeClr w14:val="tx1"/>
            </w14:solidFill>
          </w14:textFill>
        </w:rPr>
        <w:t>安徽省临淮岗洪水控制工程管理局</w:t>
      </w:r>
      <w:r>
        <w:rPr>
          <w:rFonts w:hint="eastAsia" w:cs="宋体"/>
          <w:b/>
          <w:bCs/>
          <w:color w:val="000000" w:themeColor="text1"/>
          <w:sz w:val="24"/>
          <w:szCs w:val="24"/>
          <w14:textFill>
            <w14:solidFill>
              <w14:schemeClr w14:val="tx1"/>
            </w14:solidFill>
          </w14:textFill>
        </w:rPr>
        <w:t>签订合同。</w:t>
      </w:r>
    </w:p>
    <w:p w14:paraId="52148D93">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6.合同履行期限：</w:t>
      </w:r>
      <w:r>
        <w:rPr>
          <w:rFonts w:hint="eastAsia"/>
          <w:color w:val="auto"/>
          <w:sz w:val="24"/>
          <w:szCs w:val="18"/>
          <w:highlight w:val="none"/>
          <w:u w:val="single"/>
          <w:lang w:val="en-US" w:eastAsia="zh-CN"/>
        </w:rPr>
        <w:t>合同签订之日至11月15日</w:t>
      </w:r>
    </w:p>
    <w:p w14:paraId="46BE2B5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14:paraId="17F5EF22">
      <w:pPr>
        <w:spacing w:line="360" w:lineRule="auto"/>
        <w:ind w:firstLine="435"/>
        <w:outlineLvl w:val="1"/>
        <w:rPr>
          <w:rFonts w:hint="eastAsia" w:eastAsia="宋体"/>
          <w:b/>
          <w:bCs/>
          <w:color w:val="auto"/>
          <w:sz w:val="24"/>
          <w:szCs w:val="18"/>
          <w:highlight w:val="none"/>
          <w:lang w:val="en-US" w:eastAsia="zh-CN"/>
        </w:rPr>
      </w:pPr>
      <w:bookmarkStart w:id="5"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4"/>
      <w:r>
        <w:rPr>
          <w:rFonts w:hint="eastAsia"/>
          <w:b/>
          <w:bCs/>
          <w:color w:val="auto"/>
          <w:sz w:val="24"/>
          <w:szCs w:val="18"/>
          <w:highlight w:val="none"/>
          <w:lang w:val="en-US" w:eastAsia="zh-CN"/>
        </w:rPr>
        <w:t>要求</w:t>
      </w:r>
      <w:bookmarkEnd w:id="5"/>
    </w:p>
    <w:p w14:paraId="5E9A1DE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6"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14:paraId="7C09C20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14:paraId="3DE36EA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5EED27F6">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43CA6748">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w:t>
      </w:r>
      <w:r>
        <w:rPr>
          <w:rFonts w:hint="eastAsia" w:ascii="宋体" w:hAnsi="宋体" w:eastAsia="宋体" w:cs="宋体"/>
          <w:color w:val="auto"/>
          <w:sz w:val="24"/>
          <w:szCs w:val="24"/>
          <w:highlight w:val="none"/>
        </w:rPr>
        <w:t>中小企业</w:t>
      </w:r>
      <w:r>
        <w:rPr>
          <w:rFonts w:hint="eastAsia" w:asciiTheme="minorEastAsia" w:hAnsiTheme="minorEastAsia" w:eastAsiaTheme="minorEastAsia"/>
          <w:color w:val="auto"/>
          <w:sz w:val="24"/>
          <w:highlight w:val="none"/>
          <w:lang w:val="en-US" w:eastAsia="zh-CN"/>
        </w:rPr>
        <w:t>采购。</w:t>
      </w:r>
    </w:p>
    <w:p w14:paraId="25E5E4C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2.1.3□本项目预留部分采购项目预算专门面向中小企业采购。对于预留份额，提供的工程由符合政策要求的中小企业承建。预留份额通过以下措施进行：</w:t>
      </w:r>
      <w:r>
        <w:rPr>
          <w:rFonts w:hint="default" w:asciiTheme="minorEastAsia" w:hAnsiTheme="minorEastAsia" w:eastAsiaTheme="minorEastAsia"/>
          <w:color w:val="auto"/>
          <w:sz w:val="24"/>
          <w:highlight w:val="none"/>
          <w:lang w:val="en-US" w:eastAsia="zh-CN"/>
        </w:rPr>
        <w:t>___</w:t>
      </w:r>
      <w:r>
        <w:rPr>
          <w:rFonts w:hint="eastAsia" w:asciiTheme="minorEastAsia" w:hAnsiTheme="minorEastAsia" w:eastAsiaTheme="minorEastAsia"/>
          <w:color w:val="auto"/>
          <w:sz w:val="24"/>
          <w:highlight w:val="none"/>
          <w:lang w:val="en-US" w:eastAsia="zh-CN"/>
        </w:rPr>
        <w:t>/</w:t>
      </w:r>
      <w:r>
        <w:rPr>
          <w:rFonts w:hint="default" w:asciiTheme="minorEastAsia" w:hAnsiTheme="minorEastAsia" w:eastAsiaTheme="minorEastAsia"/>
          <w:color w:val="auto"/>
          <w:sz w:val="24"/>
          <w:highlight w:val="none"/>
          <w:lang w:val="en-US" w:eastAsia="zh-CN"/>
        </w:rPr>
        <w:t>_</w:t>
      </w:r>
      <w:r>
        <w:rPr>
          <w:rFonts w:hint="eastAsia" w:asciiTheme="minorEastAsia" w:hAnsiTheme="minorEastAsia" w:eastAsiaTheme="minorEastAsia"/>
          <w:color w:val="auto"/>
          <w:sz w:val="24"/>
          <w:highlight w:val="none"/>
          <w:lang w:val="en-US" w:eastAsia="zh-CN"/>
        </w:rPr>
        <w:t>。</w:t>
      </w:r>
    </w:p>
    <w:p w14:paraId="4368AC5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其它落实政府采购政策的资格要求（如有）：</w:t>
      </w:r>
      <w:r>
        <w:rPr>
          <w:rFonts w:hint="default" w:asciiTheme="minorEastAsia" w:hAnsiTheme="minorEastAsia" w:eastAsiaTheme="minorEastAsia"/>
          <w:color w:val="auto"/>
          <w:sz w:val="24"/>
          <w:highlight w:val="none"/>
          <w:lang w:val="en-US" w:eastAsia="zh-CN"/>
        </w:rPr>
        <w:t>__</w:t>
      </w:r>
      <w:r>
        <w:rPr>
          <w:rFonts w:hint="eastAsia" w:asciiTheme="minorEastAsia" w:hAnsiTheme="minorEastAsia" w:eastAsiaTheme="minorEastAsia"/>
          <w:color w:val="auto"/>
          <w:sz w:val="24"/>
          <w:highlight w:val="none"/>
          <w:lang w:val="en-US" w:eastAsia="zh-CN"/>
        </w:rPr>
        <w:t>/</w:t>
      </w:r>
      <w:r>
        <w:rPr>
          <w:rFonts w:hint="default" w:asciiTheme="minorEastAsia" w:hAnsiTheme="minorEastAsia" w:eastAsiaTheme="minorEastAsia"/>
          <w:color w:val="auto"/>
          <w:sz w:val="24"/>
          <w:highlight w:val="none"/>
          <w:lang w:val="en-US" w:eastAsia="zh-CN"/>
        </w:rPr>
        <w:t>__</w:t>
      </w:r>
      <w:r>
        <w:rPr>
          <w:rFonts w:hint="eastAsia" w:asciiTheme="minorEastAsia" w:hAnsiTheme="minorEastAsia" w:eastAsiaTheme="minorEastAsia"/>
          <w:color w:val="auto"/>
          <w:sz w:val="24"/>
          <w:highlight w:val="none"/>
          <w:lang w:val="en-US" w:eastAsia="zh-CN"/>
        </w:rPr>
        <w:t>。</w:t>
      </w:r>
    </w:p>
    <w:p w14:paraId="3BE58101">
      <w:pPr>
        <w:numPr>
          <w:ilvl w:val="0"/>
          <w:numId w:val="0"/>
        </w:numPr>
        <w:adjustRightInd w:val="0"/>
        <w:snapToGrid w:val="0"/>
        <w:spacing w:line="560" w:lineRule="exact"/>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3.本项目的特定资格要求：</w:t>
      </w:r>
    </w:p>
    <w:p w14:paraId="33E7EA52">
      <w:pPr>
        <w:numPr>
          <w:ilvl w:val="0"/>
          <w:numId w:val="0"/>
        </w:numPr>
        <w:adjustRightInd w:val="0"/>
        <w:snapToGrid w:val="0"/>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具有有效的电子与智能化工程专业承包二级及以上资质，且具有有效的安全生产许可证；</w:t>
      </w:r>
    </w:p>
    <w:p w14:paraId="5F74481C">
      <w:pPr>
        <w:numPr>
          <w:ilvl w:val="-1"/>
          <w:numId w:val="0"/>
        </w:numPr>
        <w:adjustRightInd w:val="0"/>
        <w:snapToGrid w:val="0"/>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bookmarkStart w:id="7" w:name="OLE_LINK3"/>
      <w:r>
        <w:rPr>
          <w:rFonts w:hint="eastAsia" w:ascii="宋体" w:hAnsi="宋体" w:eastAsia="宋体" w:cs="宋体"/>
          <w:color w:val="auto"/>
          <w:sz w:val="24"/>
          <w:szCs w:val="24"/>
          <w:highlight w:val="none"/>
        </w:rPr>
        <w:t>拟任项目经理具有有效的机电工程专业二级及以上建造师注册证书，且具有有效的</w:t>
      </w:r>
      <w:r>
        <w:rPr>
          <w:rFonts w:hint="eastAsia" w:cs="宋体"/>
          <w:color w:val="auto"/>
          <w:sz w:val="24"/>
          <w:szCs w:val="24"/>
          <w:highlight w:val="none"/>
          <w:lang w:val="en-US" w:eastAsia="zh-CN"/>
        </w:rPr>
        <w:t>相关主管部门颁发的</w:t>
      </w:r>
      <w:r>
        <w:rPr>
          <w:rFonts w:hint="eastAsia" w:ascii="宋体" w:hAnsi="宋体" w:eastAsia="宋体" w:cs="宋体"/>
          <w:color w:val="auto"/>
          <w:sz w:val="24"/>
          <w:szCs w:val="24"/>
          <w:highlight w:val="none"/>
        </w:rPr>
        <w:t>安全生产考核合格B证。</w:t>
      </w:r>
      <w:bookmarkEnd w:id="7"/>
    </w:p>
    <w:p w14:paraId="61E96FC5">
      <w:pPr>
        <w:spacing w:line="360" w:lineRule="auto"/>
        <w:ind w:firstLine="435"/>
        <w:outlineLvl w:val="1"/>
        <w:rPr>
          <w:rFonts w:hint="eastAsia"/>
          <w:b/>
          <w:bCs/>
          <w:color w:val="auto"/>
          <w:sz w:val="24"/>
          <w:highlight w:val="none"/>
        </w:rPr>
      </w:pPr>
      <w:bookmarkStart w:id="8" w:name="_Toc2855"/>
      <w:r>
        <w:rPr>
          <w:rFonts w:hint="eastAsia"/>
          <w:b/>
          <w:bCs/>
          <w:color w:val="auto"/>
          <w:sz w:val="24"/>
          <w:highlight w:val="none"/>
        </w:rPr>
        <w:t>三、</w:t>
      </w:r>
      <w:bookmarkEnd w:id="6"/>
      <w:r>
        <w:rPr>
          <w:rFonts w:hint="eastAsia"/>
          <w:b/>
          <w:bCs/>
          <w:color w:val="auto"/>
          <w:sz w:val="24"/>
          <w:highlight w:val="none"/>
        </w:rPr>
        <w:t>获取采购文件</w:t>
      </w:r>
      <w:bookmarkEnd w:id="8"/>
    </w:p>
    <w:p w14:paraId="48FE3EDE">
      <w:pPr>
        <w:spacing w:line="360" w:lineRule="auto"/>
        <w:ind w:firstLine="540"/>
        <w:rPr>
          <w:rFonts w:hint="eastAsia" w:cs="宋体"/>
          <w:sz w:val="24"/>
          <w:szCs w:val="24"/>
          <w:highlight w:val="none"/>
          <w:u w:val="single"/>
          <w:lang w:val="en-US" w:eastAsia="zh-CN"/>
        </w:rPr>
      </w:pPr>
      <w:bookmarkStart w:id="9" w:name="_Toc16910"/>
      <w:r>
        <w:rPr>
          <w:rFonts w:hint="eastAsia" w:ascii="宋体" w:hAnsi="宋体" w:eastAsia="宋体" w:cs="宋体"/>
          <w:sz w:val="24"/>
          <w:szCs w:val="24"/>
          <w:highlight w:val="none"/>
        </w:rPr>
        <w:t>时间：</w:t>
      </w:r>
      <w:r>
        <w:rPr>
          <w:rFonts w:hint="eastAsia"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cs="宋体"/>
          <w:sz w:val="24"/>
          <w:szCs w:val="24"/>
          <w:highlight w:val="none"/>
          <w:u w:val="single"/>
          <w:lang w:val="en-US" w:eastAsia="zh-CN"/>
        </w:rPr>
        <w:t>4</w:t>
      </w:r>
      <w:r>
        <w:rPr>
          <w:rFonts w:hint="eastAsia" w:ascii="宋体" w:hAnsi="宋体" w:eastAsia="宋体" w:cs="宋体"/>
          <w:sz w:val="24"/>
          <w:szCs w:val="24"/>
          <w:highlight w:val="none"/>
          <w:u w:val="none"/>
        </w:rPr>
        <w:t>月</w:t>
      </w:r>
      <w:r>
        <w:rPr>
          <w:rFonts w:hint="eastAsia" w:cs="宋体"/>
          <w:sz w:val="24"/>
          <w:szCs w:val="24"/>
          <w:highlight w:val="none"/>
          <w:u w:val="single"/>
          <w:lang w:val="en-US" w:eastAsia="zh-CN"/>
        </w:rPr>
        <w:t>10</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cs="宋体"/>
          <w:sz w:val="24"/>
          <w:szCs w:val="24"/>
          <w:highlight w:val="none"/>
          <w:u w:val="single"/>
          <w:lang w:val="en-US" w:eastAsia="zh-CN"/>
        </w:rPr>
        <w:t>4</w:t>
      </w:r>
      <w:r>
        <w:rPr>
          <w:rFonts w:hint="eastAsia" w:ascii="宋体" w:hAnsi="宋体" w:eastAsia="宋体" w:cs="宋体"/>
          <w:sz w:val="24"/>
          <w:szCs w:val="24"/>
          <w:highlight w:val="none"/>
          <w:u w:val="none"/>
        </w:rPr>
        <w:t>月</w:t>
      </w:r>
      <w:r>
        <w:rPr>
          <w:rFonts w:hint="eastAsia" w:cs="宋体"/>
          <w:sz w:val="24"/>
          <w:szCs w:val="24"/>
          <w:highlight w:val="none"/>
          <w:u w:val="single"/>
          <w:lang w:val="en-US" w:eastAsia="zh-CN"/>
        </w:rPr>
        <w:t>23</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，每天上午</w:t>
      </w:r>
      <w:r>
        <w:rPr>
          <w:rFonts w:hint="eastAsia" w:cs="宋体"/>
          <w:sz w:val="24"/>
          <w:szCs w:val="24"/>
          <w:highlight w:val="none"/>
          <w:u w:val="single"/>
          <w:lang w:val="en-US" w:eastAsia="zh-CN"/>
        </w:rPr>
        <w:t>0：00</w:t>
      </w:r>
      <w:r>
        <w:rPr>
          <w:rFonts w:hint="eastAsia" w:ascii="宋体" w:hAnsi="宋体" w:eastAsia="宋体" w:cs="宋体"/>
          <w:sz w:val="24"/>
          <w:szCs w:val="24"/>
          <w:highlight w:val="none"/>
        </w:rPr>
        <w:t>至</w:t>
      </w:r>
      <w:r>
        <w:rPr>
          <w:rFonts w:hint="eastAsia" w:cs="宋体"/>
          <w:sz w:val="24"/>
          <w:szCs w:val="24"/>
          <w:highlight w:val="none"/>
          <w:u w:val="single"/>
          <w:lang w:val="en-US" w:eastAsia="zh-CN"/>
        </w:rPr>
        <w:t>12:00</w:t>
      </w:r>
      <w:r>
        <w:rPr>
          <w:rFonts w:hint="eastAsia" w:ascii="宋体" w:hAnsi="宋体" w:eastAsia="宋体" w:cs="宋体"/>
          <w:sz w:val="24"/>
          <w:szCs w:val="24"/>
          <w:highlight w:val="none"/>
        </w:rPr>
        <w:t>，下午</w:t>
      </w:r>
      <w:r>
        <w:rPr>
          <w:rFonts w:hint="eastAsia" w:cs="宋体"/>
          <w:sz w:val="24"/>
          <w:szCs w:val="24"/>
          <w:highlight w:val="none"/>
          <w:u w:val="single"/>
          <w:lang w:val="en-US" w:eastAsia="zh-CN"/>
        </w:rPr>
        <w:t>12:00</w:t>
      </w:r>
      <w:r>
        <w:rPr>
          <w:rFonts w:hint="eastAsia" w:ascii="宋体" w:hAnsi="宋体" w:eastAsia="宋体" w:cs="宋体"/>
          <w:sz w:val="24"/>
          <w:szCs w:val="24"/>
          <w:highlight w:val="none"/>
        </w:rPr>
        <w:t>至</w:t>
      </w:r>
      <w:r>
        <w:rPr>
          <w:rFonts w:hint="eastAsia" w:cs="宋体"/>
          <w:sz w:val="24"/>
          <w:szCs w:val="24"/>
          <w:highlight w:val="none"/>
          <w:u w:val="single"/>
          <w:lang w:val="en-US" w:eastAsia="zh-CN"/>
        </w:rPr>
        <w:t>23:59</w:t>
      </w:r>
    </w:p>
    <w:p w14:paraId="108CFE5B">
      <w:pPr>
        <w:spacing w:line="360" w:lineRule="auto"/>
        <w:ind w:firstLine="54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地点：</w:t>
      </w:r>
      <w:r>
        <w:rPr>
          <w:rFonts w:hint="eastAsia" w:ascii="宋体" w:hAnsi="宋体" w:eastAsia="宋体" w:cs="宋体"/>
          <w:color w:val="auto"/>
          <w:sz w:val="24"/>
          <w:szCs w:val="24"/>
          <w:highlight w:val="none"/>
        </w:rPr>
        <w:t>“徽采云”电子交易系统</w:t>
      </w:r>
    </w:p>
    <w:p w14:paraId="4C907861">
      <w:pPr>
        <w:spacing w:line="360" w:lineRule="auto"/>
        <w:ind w:firstLine="435"/>
        <w:outlineLvl w:val="1"/>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方式：</w:t>
      </w:r>
      <w:r>
        <w:rPr>
          <w:rFonts w:hint="eastAsia" w:ascii="宋体" w:hAnsi="宋体" w:eastAsia="宋体" w:cs="宋体"/>
          <w:color w:val="auto"/>
          <w:sz w:val="24"/>
          <w:szCs w:val="24"/>
          <w:highlight w:val="none"/>
        </w:rPr>
        <w:t>（潜在供应商须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08A04E14">
      <w:pPr>
        <w:spacing w:line="360" w:lineRule="auto"/>
        <w:ind w:firstLine="435"/>
        <w:outlineLvl w:val="1"/>
        <w:rPr>
          <w:rFonts w:hint="eastAsia"/>
          <w:b/>
          <w:bCs/>
          <w:color w:val="auto"/>
          <w:sz w:val="24"/>
          <w:highlight w:val="none"/>
        </w:rPr>
      </w:pPr>
      <w:bookmarkStart w:id="10" w:name="_Toc1322"/>
      <w:r>
        <w:rPr>
          <w:rFonts w:hint="eastAsia"/>
          <w:b/>
          <w:bCs/>
          <w:color w:val="auto"/>
          <w:sz w:val="24"/>
          <w:highlight w:val="none"/>
        </w:rPr>
        <w:t>四、</w:t>
      </w:r>
      <w:bookmarkEnd w:id="9"/>
      <w:r>
        <w:rPr>
          <w:rFonts w:hint="eastAsia"/>
          <w:b/>
          <w:bCs/>
          <w:color w:val="auto"/>
          <w:sz w:val="24"/>
          <w:highlight w:val="none"/>
        </w:rPr>
        <w:t>响应文件提交</w:t>
      </w:r>
      <w:bookmarkEnd w:id="10"/>
    </w:p>
    <w:p w14:paraId="338AB7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rPr>
      </w:pPr>
      <w:bookmarkStart w:id="11" w:name="_Toc11944"/>
      <w:r>
        <w:rPr>
          <w:rFonts w:hint="eastAsia" w:asciiTheme="minorEastAsia" w:hAnsiTheme="minorEastAsia" w:eastAsiaTheme="minorEastAsia" w:cstheme="minorEastAsia"/>
          <w:sz w:val="24"/>
          <w:szCs w:val="24"/>
          <w:highlight w:val="none"/>
        </w:rPr>
        <w:t>截止时间</w:t>
      </w:r>
      <w:r>
        <w:rPr>
          <w:rFonts w:hint="eastAsia" w:asciiTheme="minorEastAsia" w:hAnsiTheme="minorEastAsia" w:eastAsiaTheme="minorEastAsia" w:cstheme="minorEastAsia"/>
          <w:bCs/>
          <w:sz w:val="24"/>
          <w:szCs w:val="24"/>
          <w:highlight w:val="none"/>
          <w:u w:val="single"/>
          <w:lang w:val="en-US" w:eastAsia="zh-CN"/>
        </w:rPr>
        <w:t>:2026</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lang w:val="en-US" w:eastAsia="zh-CN"/>
        </w:rPr>
        <w:t>4</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lang w:val="en-US" w:eastAsia="zh-CN"/>
        </w:rPr>
        <w:t>23</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lang w:val="en-US" w:eastAsia="zh-CN"/>
        </w:rPr>
        <w:t>9</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lang w:val="en-US" w:eastAsia="zh-CN"/>
        </w:rPr>
        <w:t>30</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14:paraId="65783D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s="宋体"/>
          <w:color w:val="auto"/>
          <w:sz w:val="24"/>
          <w:szCs w:val="24"/>
          <w:highlight w:val="none"/>
        </w:rPr>
        <w:t>“徽采云”电子交易系统</w:t>
      </w:r>
    </w:p>
    <w:p w14:paraId="0517DAA7">
      <w:pPr>
        <w:spacing w:line="360" w:lineRule="auto"/>
        <w:ind w:firstLine="435"/>
        <w:outlineLvl w:val="1"/>
        <w:rPr>
          <w:rFonts w:hint="eastAsia"/>
          <w:b/>
          <w:bCs/>
          <w:color w:val="auto"/>
          <w:sz w:val="24"/>
          <w:highlight w:val="none"/>
        </w:rPr>
      </w:pPr>
      <w:bookmarkStart w:id="12" w:name="_Toc35393802"/>
      <w:bookmarkStart w:id="13" w:name="_Toc28359016"/>
      <w:bookmarkStart w:id="14" w:name="_Toc28359093"/>
      <w:bookmarkStart w:id="15" w:name="_Toc35393633"/>
      <w:bookmarkStart w:id="16" w:name="_Toc27720"/>
      <w:r>
        <w:rPr>
          <w:rFonts w:hint="eastAsia"/>
          <w:b/>
          <w:bCs/>
          <w:color w:val="auto"/>
          <w:sz w:val="24"/>
          <w:highlight w:val="none"/>
        </w:rPr>
        <w:t>五、开启</w:t>
      </w:r>
      <w:bookmarkEnd w:id="12"/>
      <w:bookmarkEnd w:id="13"/>
      <w:bookmarkEnd w:id="14"/>
      <w:bookmarkEnd w:id="15"/>
      <w:bookmarkEnd w:id="16"/>
    </w:p>
    <w:p w14:paraId="198585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时间</w:t>
      </w:r>
      <w:r>
        <w:rPr>
          <w:rFonts w:hint="eastAsia" w:cs="宋体"/>
          <w:sz w:val="24"/>
          <w:szCs w:val="24"/>
          <w:highlight w:val="none"/>
          <w:lang w:val="en-US" w:eastAsia="zh-CN"/>
        </w:rPr>
        <w:t>:</w:t>
      </w:r>
      <w:r>
        <w:rPr>
          <w:rFonts w:hint="eastAsia" w:asciiTheme="minorEastAsia" w:hAnsiTheme="minorEastAsia" w:eastAsiaTheme="minorEastAsia" w:cstheme="minorEastAsia"/>
          <w:bCs/>
          <w:sz w:val="24"/>
          <w:szCs w:val="24"/>
          <w:highlight w:val="none"/>
          <w:u w:val="single"/>
          <w:lang w:val="en-US" w:eastAsia="zh-CN"/>
        </w:rPr>
        <w:t>2026</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lang w:val="en-US" w:eastAsia="zh-CN"/>
        </w:rPr>
        <w:t>4</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lang w:val="en-US" w:eastAsia="zh-CN"/>
        </w:rPr>
        <w:t>23</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lang w:val="en-US" w:eastAsia="zh-CN"/>
        </w:rPr>
        <w:t>9</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lang w:val="en-US" w:eastAsia="zh-CN"/>
        </w:rPr>
        <w:t>30</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14:paraId="44E9D0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宋体" w:hAnsi="宋体" w:eastAsia="宋体" w:cs="宋体"/>
          <w:sz w:val="24"/>
          <w:szCs w:val="24"/>
          <w:highlight w:val="none"/>
        </w:rPr>
        <w:t>地点：</w:t>
      </w:r>
      <w:r>
        <w:rPr>
          <w:rFonts w:hint="eastAsia" w:ascii="宋体" w:hAnsi="宋体" w:eastAsia="宋体" w:cs="宋体"/>
          <w:color w:val="auto"/>
          <w:sz w:val="24"/>
          <w:szCs w:val="24"/>
          <w:highlight w:val="none"/>
        </w:rPr>
        <w:t>“徽采云”电子交易系统</w:t>
      </w:r>
    </w:p>
    <w:p w14:paraId="3F457CD1">
      <w:pPr>
        <w:spacing w:line="360" w:lineRule="auto"/>
        <w:ind w:firstLine="435"/>
        <w:outlineLvl w:val="1"/>
        <w:rPr>
          <w:rFonts w:hint="eastAsia"/>
          <w:b/>
          <w:bCs/>
          <w:color w:val="auto"/>
          <w:sz w:val="24"/>
          <w:highlight w:val="none"/>
        </w:rPr>
      </w:pPr>
      <w:bookmarkStart w:id="17" w:name="_Toc24365"/>
      <w:r>
        <w:rPr>
          <w:rFonts w:hint="eastAsia"/>
          <w:b/>
          <w:bCs/>
          <w:color w:val="auto"/>
          <w:sz w:val="24"/>
          <w:highlight w:val="none"/>
          <w:lang w:val="en-US" w:eastAsia="zh-CN"/>
        </w:rPr>
        <w:t>六</w:t>
      </w:r>
      <w:r>
        <w:rPr>
          <w:rFonts w:hint="eastAsia"/>
          <w:b/>
          <w:bCs/>
          <w:color w:val="auto"/>
          <w:sz w:val="24"/>
          <w:highlight w:val="none"/>
        </w:rPr>
        <w:t>、</w:t>
      </w:r>
      <w:bookmarkEnd w:id="11"/>
      <w:r>
        <w:rPr>
          <w:rFonts w:hint="eastAsia"/>
          <w:b/>
          <w:bCs/>
          <w:color w:val="auto"/>
          <w:sz w:val="24"/>
          <w:highlight w:val="none"/>
        </w:rPr>
        <w:t>公告期限</w:t>
      </w:r>
      <w:bookmarkEnd w:id="17"/>
    </w:p>
    <w:p w14:paraId="4860E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8" w:name="_Toc7722"/>
      <w:r>
        <w:rPr>
          <w:rFonts w:hint="eastAsia" w:ascii="宋体" w:hAnsi="宋体" w:eastAsia="宋体" w:cs="宋体"/>
          <w:sz w:val="24"/>
          <w:szCs w:val="24"/>
          <w:highlight w:val="none"/>
        </w:rPr>
        <w:t>自本公告发布之日起3个工作日。</w:t>
      </w:r>
    </w:p>
    <w:p w14:paraId="25F06198">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9" w:name="_Toc35393795"/>
      <w:bookmarkStart w:id="20" w:name="_Toc35393626"/>
      <w:bookmarkStart w:id="21" w:name="_Toc22198"/>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9"/>
      <w:bookmarkEnd w:id="20"/>
      <w:bookmarkEnd w:id="21"/>
    </w:p>
    <w:p w14:paraId="13A24EC6">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ascii="宋体" w:hAnsi="宋体" w:eastAsia="宋体"/>
          <w:color w:val="auto"/>
          <w:sz w:val="24"/>
          <w:szCs w:val="18"/>
          <w:highlight w:val="none"/>
          <w:u w:val="single"/>
        </w:rPr>
      </w:pPr>
      <w:r>
        <w:rPr>
          <w:rFonts w:hint="eastAsia"/>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709E40AF">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bookmarkStart w:id="22" w:name="_Toc25763"/>
      <w:r>
        <w:rPr>
          <w:rFonts w:hint="eastAsia" w:ascii="宋体" w:hAnsi="宋体" w:eastAsia="宋体"/>
          <w:b w:val="0"/>
          <w:bCs w:val="0"/>
          <w:color w:val="auto"/>
          <w:sz w:val="24"/>
          <w:szCs w:val="18"/>
          <w:highlight w:val="none"/>
          <w:lang w:val="en-US" w:eastAsia="zh-CN"/>
        </w:rPr>
        <w:t>2.</w:t>
      </w:r>
      <w:r>
        <w:rPr>
          <w:rFonts w:hint="default" w:ascii="宋体" w:hAnsi="宋体" w:eastAsia="宋体"/>
          <w:b w:val="0"/>
          <w:bCs w:val="0"/>
          <w:color w:val="auto"/>
          <w:sz w:val="24"/>
          <w:szCs w:val="18"/>
          <w:highlight w:val="none"/>
        </w:rPr>
        <w:t>本项目落实节能环保、中小微型企业扶持等相关政府采购政策。</w:t>
      </w:r>
    </w:p>
    <w:p w14:paraId="3858DFA3">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eastAsia" w:ascii="宋体" w:hAnsi="宋体" w:eastAsia="宋体"/>
          <w:b w:val="0"/>
          <w:bCs w:val="0"/>
          <w:color w:val="auto"/>
          <w:sz w:val="24"/>
          <w:szCs w:val="18"/>
          <w:highlight w:val="none"/>
          <w:lang w:val="en-US" w:eastAsia="zh-CN"/>
        </w:rPr>
        <w:t>3.</w:t>
      </w:r>
      <w:r>
        <w:rPr>
          <w:rFonts w:hint="default" w:ascii="宋体" w:hAnsi="宋体" w:eastAsia="宋体"/>
          <w:b w:val="0"/>
          <w:bCs w:val="0"/>
          <w:color w:val="auto"/>
          <w:sz w:val="24"/>
          <w:szCs w:val="18"/>
          <w:highlight w:val="none"/>
        </w:rPr>
        <w:t>本次竞争性磋商公告同时在安徽省政府采购网</w:t>
      </w:r>
      <w:r>
        <w:rPr>
          <w:rFonts w:hint="eastAsia"/>
          <w:b w:val="0"/>
          <w:bCs w:val="0"/>
          <w:color w:val="auto"/>
          <w:sz w:val="24"/>
          <w:szCs w:val="18"/>
          <w:highlight w:val="none"/>
          <w:lang w:eastAsia="zh-CN"/>
        </w:rPr>
        <w:t>、</w:t>
      </w:r>
      <w:r>
        <w:rPr>
          <w:rFonts w:hint="eastAsia"/>
          <w:b w:val="0"/>
          <w:bCs w:val="0"/>
          <w:color w:val="auto"/>
          <w:sz w:val="24"/>
          <w:szCs w:val="18"/>
          <w:highlight w:val="none"/>
          <w:lang w:val="en-US" w:eastAsia="zh-CN"/>
        </w:rPr>
        <w:t>安徽省临淮岗洪水控制工程管理局网站</w:t>
      </w:r>
      <w:r>
        <w:rPr>
          <w:rFonts w:hint="default" w:ascii="宋体" w:hAnsi="宋体" w:eastAsia="宋体"/>
          <w:b w:val="0"/>
          <w:bCs w:val="0"/>
          <w:color w:val="auto"/>
          <w:sz w:val="24"/>
          <w:szCs w:val="18"/>
          <w:highlight w:val="none"/>
        </w:rPr>
        <w:t>上发布。</w:t>
      </w:r>
    </w:p>
    <w:p w14:paraId="4DA5B68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eastAsia" w:ascii="宋体" w:hAnsi="宋体" w:eastAsia="宋体"/>
          <w:b w:val="0"/>
          <w:bCs w:val="0"/>
          <w:color w:val="auto"/>
          <w:sz w:val="24"/>
          <w:szCs w:val="18"/>
          <w:highlight w:val="none"/>
          <w:lang w:val="en-US" w:eastAsia="zh-CN"/>
        </w:rPr>
        <w:t>4</w:t>
      </w:r>
      <w:r>
        <w:rPr>
          <w:rFonts w:hint="default" w:ascii="宋体" w:hAnsi="宋体" w:eastAsia="宋体"/>
          <w:b w:val="0"/>
          <w:bCs w:val="0"/>
          <w:color w:val="auto"/>
          <w:sz w:val="24"/>
          <w:szCs w:val="18"/>
          <w:highlight w:val="none"/>
        </w:rPr>
        <w:t>.潜在供应商应合理安排采购文件获取时间，特别是网络速度慢的地区防止在系统关闭前网络拥堵无法操作。如果因计算机及网络故障造成无法完成采购文件获取，责任自负。采购文件获取过程中有任何疑问，请在工作时间（09：00-17:30，节假日休息）拨打技术支持热线（非项目咨询）：95763。项目咨询请拨打代理机构项目联系人电话：0552-3092287。</w:t>
      </w:r>
    </w:p>
    <w:p w14:paraId="49E64B53">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5.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w:t>
      </w:r>
    </w:p>
    <w:p w14:paraId="63A99509">
      <w:pPr>
        <w:spacing w:line="360" w:lineRule="auto"/>
        <w:ind w:firstLine="437"/>
        <w:outlineLvl w:val="1"/>
        <w:rPr>
          <w:b/>
          <w:bCs/>
          <w:color w:val="auto"/>
          <w:sz w:val="24"/>
          <w:szCs w:val="18"/>
          <w:highlight w:val="none"/>
        </w:rPr>
      </w:pPr>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18"/>
      <w:r>
        <w:rPr>
          <w:rFonts w:hint="eastAsia" w:ascii="宋体" w:hAnsi="宋体" w:eastAsia="宋体"/>
          <w:b/>
          <w:bCs/>
          <w:color w:val="auto"/>
          <w:sz w:val="24"/>
          <w:szCs w:val="18"/>
          <w:highlight w:val="none"/>
        </w:rPr>
        <w:t>对本次招标提出询问，请按以下方式联系</w:t>
      </w:r>
      <w:bookmarkEnd w:id="22"/>
    </w:p>
    <w:p w14:paraId="54883576">
      <w:pPr>
        <w:spacing w:line="360" w:lineRule="auto"/>
        <w:ind w:firstLine="437"/>
        <w:outlineLvl w:val="2"/>
        <w:rPr>
          <w:rFonts w:hint="eastAsia" w:ascii="宋体" w:hAnsi="宋体" w:eastAsia="宋体"/>
          <w:color w:val="auto"/>
          <w:sz w:val="24"/>
          <w:szCs w:val="18"/>
          <w:highlight w:val="none"/>
          <w:lang w:val="en-US" w:eastAsia="zh-CN"/>
        </w:rPr>
      </w:pPr>
      <w:bookmarkStart w:id="23" w:name="_Toc13220"/>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0AA0058F">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：安徽省淮河河道管理局</w:t>
      </w:r>
    </w:p>
    <w:p w14:paraId="4CBE8763">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址：蚌埠市解放一路116号</w:t>
      </w:r>
    </w:p>
    <w:p w14:paraId="622A17F8">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：0552-3918061</w:t>
      </w:r>
    </w:p>
    <w:p w14:paraId="3BCE892A">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69B1FDE3">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color w:val="auto"/>
          <w:sz w:val="24"/>
          <w:szCs w:val="18"/>
          <w:highlight w:val="none"/>
          <w:u w:val="none"/>
          <w:lang w:val="en-US" w:eastAsia="zh-CN"/>
        </w:rPr>
        <w:t>安徽安兆工程技术咨询服务有限公司</w:t>
      </w:r>
    </w:p>
    <w:p w14:paraId="1D9B9849">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rPr>
        <w:t>安徽省蚌埠市凤阳西路41号</w:t>
      </w:r>
    </w:p>
    <w:p w14:paraId="24EA3637">
      <w:pPr>
        <w:spacing w:line="360" w:lineRule="auto"/>
        <w:ind w:firstLine="435"/>
        <w:rPr>
          <w:highlight w:val="none"/>
        </w:rPr>
      </w:pPr>
      <w:r>
        <w:rPr>
          <w:rFonts w:hint="eastAsia" w:ascii="宋体" w:hAnsi="宋体" w:eastAsia="宋体"/>
          <w:color w:val="auto"/>
          <w:sz w:val="24"/>
          <w:szCs w:val="18"/>
          <w:highlight w:val="none"/>
          <w:lang w:val="en-US" w:eastAsia="zh-CN"/>
        </w:rPr>
        <w:t>联系人：</w:t>
      </w:r>
      <w:r>
        <w:rPr>
          <w:rFonts w:hint="eastAsia"/>
          <w:color w:val="auto"/>
          <w:sz w:val="24"/>
          <w:szCs w:val="18"/>
          <w:highlight w:val="none"/>
          <w:u w:val="none"/>
          <w:lang w:val="en-US" w:eastAsia="zh-CN"/>
        </w:rPr>
        <w:t>薛工</w:t>
      </w:r>
    </w:p>
    <w:p w14:paraId="790ABBBF">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：0552-3092287</w:t>
      </w:r>
    </w:p>
    <w:p w14:paraId="4640BFFB">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bookmarkEnd w:id="23"/>
    <w:p w14:paraId="02E1CD46">
      <w:pPr>
        <w:spacing w:line="360" w:lineRule="auto"/>
        <w:ind w:firstLine="435"/>
        <w:rPr>
          <w:rFonts w:hint="eastAsia"/>
          <w:color w:val="auto"/>
          <w:sz w:val="24"/>
          <w:szCs w:val="18"/>
          <w:highlight w:val="none"/>
        </w:rPr>
      </w:pPr>
      <w:r>
        <w:rPr>
          <w:rFonts w:hint="eastAsia"/>
          <w:color w:val="auto"/>
          <w:sz w:val="24"/>
          <w:szCs w:val="18"/>
          <w:highlight w:val="none"/>
        </w:rPr>
        <w:t>名  称：安徽省财政厅</w:t>
      </w:r>
    </w:p>
    <w:p w14:paraId="074F0985">
      <w:pPr>
        <w:spacing w:line="360" w:lineRule="auto"/>
        <w:ind w:firstLine="435"/>
        <w:rPr>
          <w:rFonts w:hint="eastAsia"/>
          <w:color w:val="auto"/>
          <w:sz w:val="24"/>
          <w:szCs w:val="18"/>
          <w:highlight w:val="none"/>
        </w:rPr>
      </w:pPr>
      <w:r>
        <w:rPr>
          <w:rFonts w:hint="eastAsia"/>
          <w:color w:val="auto"/>
          <w:sz w:val="24"/>
          <w:szCs w:val="18"/>
          <w:highlight w:val="none"/>
        </w:rPr>
        <w:t>地  址：合肥市阜南西路238号</w:t>
      </w:r>
    </w:p>
    <w:p w14:paraId="79422F0B">
      <w:pPr>
        <w:spacing w:line="360" w:lineRule="auto"/>
        <w:ind w:firstLine="435"/>
        <w:rPr>
          <w:rFonts w:hint="eastAsia"/>
          <w:color w:val="auto"/>
          <w:sz w:val="24"/>
          <w:szCs w:val="18"/>
          <w:highlight w:val="none"/>
        </w:rPr>
      </w:pPr>
      <w:r>
        <w:rPr>
          <w:rFonts w:hint="eastAsia"/>
          <w:color w:val="auto"/>
          <w:sz w:val="24"/>
          <w:szCs w:val="18"/>
          <w:highlight w:val="none"/>
        </w:rPr>
        <w:t>联系方式：0551-68150413</w:t>
      </w:r>
    </w:p>
    <w:p w14:paraId="384FC5D9">
      <w:pPr>
        <w:spacing w:line="360" w:lineRule="auto"/>
        <w:ind w:firstLine="435"/>
        <w:rPr>
          <w:color w:val="auto"/>
          <w:sz w:val="24"/>
          <w:szCs w:val="18"/>
          <w:highlight w:val="none"/>
        </w:rPr>
      </w:pPr>
      <w:r>
        <w:rPr>
          <w:color w:val="auto"/>
          <w:sz w:val="24"/>
          <w:szCs w:val="18"/>
          <w:highlight w:val="none"/>
        </w:rPr>
        <w:br w:type="page"/>
      </w:r>
    </w:p>
    <w:p w14:paraId="58EE2BFC">
      <w:pPr>
        <w:spacing w:line="360" w:lineRule="auto"/>
        <w:jc w:val="center"/>
        <w:outlineLvl w:val="0"/>
        <w:rPr>
          <w:rFonts w:asciiTheme="minorEastAsia" w:hAnsiTheme="minorEastAsia" w:eastAsiaTheme="minorEastAsia"/>
          <w:b/>
          <w:color w:val="auto"/>
          <w:sz w:val="28"/>
          <w:highlight w:val="none"/>
        </w:rPr>
      </w:pPr>
      <w:bookmarkStart w:id="24"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4"/>
    </w:p>
    <w:p w14:paraId="370FE04A">
      <w:pPr>
        <w:spacing w:line="360" w:lineRule="auto"/>
        <w:jc w:val="center"/>
        <w:outlineLvl w:val="1"/>
        <w:rPr>
          <w:rFonts w:asciiTheme="minorEastAsia" w:hAnsiTheme="minorEastAsia" w:eastAsiaTheme="minorEastAsia"/>
          <w:b/>
          <w:color w:val="auto"/>
          <w:sz w:val="24"/>
          <w:highlight w:val="none"/>
        </w:rPr>
      </w:pPr>
      <w:bookmarkStart w:id="25" w:name="_Toc18621"/>
      <w:bookmarkStart w:id="26" w:name="_Toc1202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5"/>
      <w:bookmarkEnd w:id="26"/>
    </w:p>
    <w:p w14:paraId="2E3B4C10">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869"/>
        <w:gridCol w:w="6853"/>
      </w:tblGrid>
      <w:tr w14:paraId="571A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28ADB11">
            <w:pPr>
              <w:pStyle w:val="6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006ABCD9">
            <w:pPr>
              <w:pStyle w:val="6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6" w:type="pct"/>
            <w:vAlign w:val="center"/>
          </w:tcPr>
          <w:p w14:paraId="64A1A7FA">
            <w:pPr>
              <w:pStyle w:val="6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6580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213016A6">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711" w:type="dxa"/>
            <w:vAlign w:val="center"/>
          </w:tcPr>
          <w:p w14:paraId="186EF350">
            <w:pPr>
              <w:pStyle w:val="69"/>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6229" w:type="dxa"/>
            <w:vAlign w:val="center"/>
          </w:tcPr>
          <w:p w14:paraId="28F21A0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06476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DE96507">
            <w:pPr>
              <w:spacing w:line="360" w:lineRule="auto"/>
              <w:rPr>
                <w:rFonts w:hint="eastAsia" w:ascii="宋体" w:hAnsi="宋体" w:eastAsia="宋体"/>
                <w:bCs/>
                <w:color w:val="auto"/>
                <w:sz w:val="24"/>
                <w:highlight w:val="none"/>
                <w:u w:val="single"/>
                <w:lang w:val="en-US" w:eastAsia="zh-CN"/>
              </w:rPr>
            </w:pPr>
            <w:r>
              <w:rPr>
                <w:rFonts w:hint="eastAsia" w:ascii="宋体" w:hAnsi="宋体" w:eastAsia="宋体"/>
                <w:bCs/>
                <w:color w:val="auto"/>
                <w:sz w:val="24"/>
                <w:highlight w:val="none"/>
              </w:rPr>
              <w:t>时间：</w:t>
            </w:r>
            <w:r>
              <w:rPr>
                <w:rFonts w:hint="eastAsia"/>
                <w:bCs/>
                <w:color w:val="auto"/>
                <w:sz w:val="24"/>
                <w:highlight w:val="none"/>
                <w:lang w:val="en-US" w:eastAsia="zh-CN"/>
              </w:rPr>
              <w:t>/</w:t>
            </w:r>
          </w:p>
          <w:p w14:paraId="0F6009B5">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地点：</w:t>
            </w:r>
            <w:r>
              <w:rPr>
                <w:rFonts w:hint="eastAsia"/>
                <w:bCs/>
                <w:color w:val="auto"/>
                <w:sz w:val="24"/>
                <w:highlight w:val="none"/>
                <w:u w:val="single"/>
                <w:lang w:val="en-US" w:eastAsia="zh-CN"/>
              </w:rPr>
              <w:t>/</w:t>
            </w:r>
          </w:p>
          <w:p w14:paraId="1548A7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联系人及联系电话：</w:t>
            </w:r>
            <w:r>
              <w:rPr>
                <w:rFonts w:hint="eastAsia"/>
                <w:bCs/>
                <w:color w:val="auto"/>
                <w:sz w:val="24"/>
                <w:highlight w:val="none"/>
                <w:u w:val="single"/>
                <w:lang w:val="en-US" w:eastAsia="zh-CN"/>
              </w:rPr>
              <w:t>/</w:t>
            </w:r>
          </w:p>
          <w:p w14:paraId="47A89B4F">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672C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116C3C4">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11FAF766">
            <w:pPr>
              <w:pStyle w:val="6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6" w:type="pct"/>
            <w:vAlign w:val="center"/>
          </w:tcPr>
          <w:p w14:paraId="17961FE2">
            <w:pPr>
              <w:pStyle w:val="69"/>
              <w:widowControl w:val="0"/>
              <w:spacing w:before="0" w:beforeAutospacing="0" w:after="0" w:afterAutospacing="0" w:line="360" w:lineRule="auto"/>
              <w:jc w:val="both"/>
              <w:rPr>
                <w:b w:val="0"/>
                <w:color w:val="auto"/>
                <w:sz w:val="24"/>
                <w:highlight w:val="none"/>
              </w:rPr>
            </w:pPr>
            <w:r>
              <w:rPr>
                <w:rFonts w:hint="eastAsia"/>
                <w:b w:val="0"/>
                <w:color w:val="FF0000"/>
                <w:sz w:val="24"/>
                <w:highlight w:val="none"/>
                <w:u w:val="single"/>
                <w:lang w:val="en-US" w:eastAsia="zh-CN"/>
              </w:rPr>
              <w:t>2026</w:t>
            </w:r>
            <w:r>
              <w:rPr>
                <w:b w:val="0"/>
                <w:color w:val="FF0000"/>
                <w:sz w:val="24"/>
                <w:highlight w:val="none"/>
              </w:rPr>
              <w:t>年</w:t>
            </w:r>
            <w:r>
              <w:rPr>
                <w:rFonts w:hint="eastAsia"/>
                <w:b w:val="0"/>
                <w:color w:val="FF0000"/>
                <w:sz w:val="24"/>
                <w:highlight w:val="none"/>
                <w:u w:val="single"/>
                <w:lang w:val="en-US" w:eastAsia="zh-CN"/>
              </w:rPr>
              <w:t>4</w:t>
            </w:r>
            <w:r>
              <w:rPr>
                <w:b w:val="0"/>
                <w:color w:val="FF0000"/>
                <w:sz w:val="24"/>
                <w:highlight w:val="none"/>
              </w:rPr>
              <w:t>月</w:t>
            </w:r>
            <w:r>
              <w:rPr>
                <w:rFonts w:hint="eastAsia"/>
                <w:b w:val="0"/>
                <w:color w:val="FF0000"/>
                <w:sz w:val="24"/>
                <w:highlight w:val="none"/>
                <w:u w:val="single"/>
                <w:lang w:val="en-US" w:eastAsia="zh-CN"/>
              </w:rPr>
              <w:t>13</w:t>
            </w:r>
            <w:r>
              <w:rPr>
                <w:b w:val="0"/>
                <w:color w:val="FF0000"/>
                <w:sz w:val="24"/>
                <w:highlight w:val="none"/>
              </w:rPr>
              <w:t>日</w:t>
            </w:r>
            <w:r>
              <w:rPr>
                <w:rFonts w:hint="eastAsia"/>
                <w:b w:val="0"/>
                <w:color w:val="FF0000"/>
                <w:sz w:val="24"/>
                <w:highlight w:val="none"/>
                <w:lang w:val="en-US" w:eastAsia="zh-CN"/>
              </w:rPr>
              <w:t>17</w:t>
            </w:r>
            <w:r>
              <w:rPr>
                <w:b w:val="0"/>
                <w:color w:val="FF0000"/>
                <w:sz w:val="24"/>
                <w:highlight w:val="none"/>
              </w:rPr>
              <w:t>时</w:t>
            </w:r>
            <w:r>
              <w:rPr>
                <w:rFonts w:hint="eastAsia"/>
                <w:b w:val="0"/>
                <w:color w:val="FF0000"/>
                <w:sz w:val="24"/>
                <w:highlight w:val="none"/>
                <w:lang w:val="en-US" w:eastAsia="zh-CN"/>
              </w:rPr>
              <w:t>30</w:t>
            </w:r>
            <w:r>
              <w:rPr>
                <w:rFonts w:hint="eastAsia"/>
                <w:b w:val="0"/>
                <w:color w:val="FF0000"/>
                <w:sz w:val="24"/>
                <w:highlight w:val="none"/>
              </w:rPr>
              <w:t>分</w:t>
            </w:r>
          </w:p>
        </w:tc>
      </w:tr>
      <w:tr w14:paraId="5190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16" w:type="dxa"/>
            <w:vAlign w:val="center"/>
          </w:tcPr>
          <w:p w14:paraId="576AC7EA">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7026D976">
            <w:pPr>
              <w:pStyle w:val="6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6" w:type="pct"/>
            <w:vAlign w:val="center"/>
          </w:tcPr>
          <w:p w14:paraId="67D762E5">
            <w:pPr>
              <w:pStyle w:val="69"/>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bCs w:val="0"/>
                <w:color w:val="auto"/>
                <w:sz w:val="24"/>
                <w:szCs w:val="24"/>
                <w:highlight w:val="none"/>
                <w:lang w:eastAsia="zh-CN"/>
              </w:rPr>
              <w:t>□</w:t>
            </w:r>
            <w:r>
              <w:rPr>
                <w:b w:val="0"/>
                <w:color w:val="auto"/>
                <w:sz w:val="24"/>
                <w:highlight w:val="none"/>
              </w:rPr>
              <w:t xml:space="preserve">不分包     </w:t>
            </w:r>
            <w:r>
              <w:rPr>
                <w:rFonts w:hint="eastAsia"/>
                <w:b w:val="0"/>
                <w:color w:val="auto"/>
                <w:sz w:val="24"/>
                <w:highlight w:val="none"/>
                <w:lang w:eastAsia="zh-CN"/>
              </w:rPr>
              <w:t>☑</w:t>
            </w:r>
            <w:r>
              <w:rPr>
                <w:b w:val="0"/>
                <w:color w:val="auto"/>
                <w:sz w:val="24"/>
                <w:highlight w:val="none"/>
              </w:rPr>
              <w:t>分为</w:t>
            </w:r>
            <w:r>
              <w:rPr>
                <w:rFonts w:hint="eastAsia"/>
                <w:b w:val="0"/>
                <w:color w:val="auto"/>
                <w:sz w:val="24"/>
                <w:highlight w:val="none"/>
                <w:lang w:val="en-US" w:eastAsia="zh-CN"/>
              </w:rPr>
              <w:t>多个包，本项目为第2包临淮岗</w:t>
            </w:r>
          </w:p>
          <w:p w14:paraId="19006EF2">
            <w:pPr>
              <w:pStyle w:val="69"/>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lang w:val="en-US" w:eastAsia="zh-CN"/>
              </w:rPr>
              <w:t>/</w:t>
            </w:r>
          </w:p>
        </w:tc>
      </w:tr>
      <w:tr w14:paraId="1C7C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6" w:type="dxa"/>
            <w:vAlign w:val="center"/>
          </w:tcPr>
          <w:p w14:paraId="18640B59">
            <w:pPr>
              <w:pStyle w:val="70"/>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6CF7A031">
            <w:pPr>
              <w:pStyle w:val="6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6" w:type="pct"/>
            <w:vAlign w:val="center"/>
          </w:tcPr>
          <w:p w14:paraId="70AB614D">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092F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A6DDB7C">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2B95BD20">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6" w:type="pct"/>
            <w:vAlign w:val="center"/>
          </w:tcPr>
          <w:p w14:paraId="530296D3">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 xml:space="preserve"> </w:t>
            </w:r>
            <w:r>
              <w:rPr>
                <w:rFonts w:hint="eastAsia"/>
                <w:b w:val="0"/>
                <w:color w:val="auto"/>
                <w:sz w:val="24"/>
                <w:highlight w:val="none"/>
                <w:u w:val="single"/>
                <w:lang w:val="en-US" w:eastAsia="zh-CN"/>
              </w:rPr>
              <w:t>90</w:t>
            </w:r>
            <w:r>
              <w:rPr>
                <w:rFonts w:hint="eastAsia"/>
                <w:b w:val="0"/>
                <w:color w:val="auto"/>
                <w:sz w:val="24"/>
                <w:highlight w:val="none"/>
                <w:u w:val="single"/>
              </w:rPr>
              <w:t xml:space="preserve"> </w:t>
            </w:r>
            <w:r>
              <w:rPr>
                <w:rFonts w:hint="eastAsia"/>
                <w:b w:val="0"/>
                <w:color w:val="auto"/>
                <w:sz w:val="24"/>
                <w:highlight w:val="none"/>
              </w:rPr>
              <w:t>日历日</w:t>
            </w:r>
          </w:p>
        </w:tc>
      </w:tr>
      <w:tr w14:paraId="53C6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6D2A6C5">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1ADB9331">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6" w:type="pct"/>
            <w:vAlign w:val="center"/>
          </w:tcPr>
          <w:p w14:paraId="5209EDC1">
            <w:pPr>
              <w:pStyle w:val="69"/>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 xml:space="preserve"> 60 </w:t>
            </w:r>
            <w:r>
              <w:rPr>
                <w:rFonts w:hint="eastAsia"/>
                <w:b w:val="0"/>
                <w:color w:val="auto"/>
                <w:sz w:val="24"/>
                <w:highlight w:val="none"/>
                <w:u w:val="none"/>
              </w:rPr>
              <w:t>分钟内</w:t>
            </w:r>
          </w:p>
        </w:tc>
      </w:tr>
      <w:tr w14:paraId="3137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76CA974">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24CC240D">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6" w:type="pct"/>
            <w:vAlign w:val="center"/>
          </w:tcPr>
          <w:p w14:paraId="35A7040F">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333D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3AC50D3A">
            <w:pPr>
              <w:pStyle w:val="7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val="0"/>
              <w:spacing w:line="360" w:lineRule="auto"/>
              <w:textAlignment w:val="auto"/>
              <w:rPr>
                <w:rFonts w:hint="eastAsia"/>
                <w:bCs/>
                <w:color w:val="auto"/>
                <w:kern w:val="2"/>
                <w:highlight w:val="none"/>
              </w:rPr>
            </w:pPr>
            <w:r>
              <w:rPr>
                <w:rFonts w:hint="eastAsia" w:ascii="宋体" w:hAnsi="宋体" w:eastAsia="宋体" w:cstheme="minorBidi"/>
                <w:b w:val="0"/>
                <w:bCs/>
                <w:color w:val="FF0000"/>
                <w:sz w:val="24"/>
                <w:szCs w:val="28"/>
                <w:highlight w:val="none"/>
                <w:lang w:val="en-US" w:eastAsia="zh-CN" w:bidi="ar-SA"/>
              </w:rPr>
              <w:t>14.4.3</w:t>
            </w:r>
          </w:p>
        </w:tc>
        <w:tc>
          <w:tcPr>
            <w:tcW w:w="1888" w:type="dxa"/>
            <w:vAlign w:val="center"/>
          </w:tcPr>
          <w:p w14:paraId="273D0566">
            <w:pPr>
              <w:pStyle w:val="69"/>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b w:val="0"/>
                <w:color w:val="auto"/>
                <w:sz w:val="24"/>
                <w:highlight w:val="none"/>
              </w:rPr>
            </w:pPr>
            <w:r>
              <w:rPr>
                <w:rFonts w:hint="eastAsia" w:ascii="宋体" w:hAnsi="宋体" w:eastAsia="宋体" w:cstheme="minorBidi"/>
                <w:b w:val="0"/>
                <w:bCs/>
                <w:color w:val="FF0000"/>
                <w:sz w:val="24"/>
                <w:szCs w:val="28"/>
                <w:highlight w:val="none"/>
                <w:lang w:val="en-US" w:eastAsia="zh-CN" w:bidi="ar-SA"/>
              </w:rPr>
              <w:t>异常低价审查</w:t>
            </w:r>
          </w:p>
        </w:tc>
        <w:tc>
          <w:tcPr>
            <w:tcW w:w="6872" w:type="dxa"/>
            <w:vAlign w:val="center"/>
          </w:tcPr>
          <w:p w14:paraId="1A7EED4F">
            <w:pPr>
              <w:pStyle w:val="69"/>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本项增加以下内容：</w:t>
            </w:r>
          </w:p>
          <w:p w14:paraId="3DB28206">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政府采购评审中出现下列情形之一的，评审委员会应当启动异常低价响应审查程序：</w:t>
            </w:r>
          </w:p>
          <w:p w14:paraId="16849A2C">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1.报价低于全部通过符合性审查供应商报价平均值</w:t>
            </w:r>
            <w:r>
              <w:rPr>
                <w:rFonts w:hint="eastAsia" w:cstheme="minorBidi"/>
                <w:b w:val="0"/>
                <w:bCs/>
                <w:color w:val="FF0000"/>
                <w:sz w:val="24"/>
                <w:szCs w:val="28"/>
                <w:highlight w:val="none"/>
                <w:lang w:val="en-US" w:eastAsia="zh-CN" w:bidi="ar-SA"/>
              </w:rPr>
              <w:t>6</w:t>
            </w:r>
            <w:r>
              <w:rPr>
                <w:rFonts w:hint="eastAsia" w:ascii="宋体" w:hAnsi="宋体" w:eastAsia="宋体" w:cstheme="minorBidi"/>
                <w:b w:val="0"/>
                <w:bCs/>
                <w:color w:val="FF0000"/>
                <w:sz w:val="24"/>
                <w:szCs w:val="28"/>
                <w:highlight w:val="none"/>
                <w:lang w:val="en-US" w:eastAsia="zh-CN" w:bidi="ar-SA"/>
              </w:rPr>
              <w:t>0%的，即报价&lt;全部通过符合性审查供应商报价平均值×</w:t>
            </w:r>
            <w:r>
              <w:rPr>
                <w:rFonts w:hint="eastAsia" w:cstheme="minorBidi"/>
                <w:b w:val="0"/>
                <w:bCs/>
                <w:color w:val="FF0000"/>
                <w:sz w:val="24"/>
                <w:szCs w:val="28"/>
                <w:highlight w:val="none"/>
                <w:lang w:val="en-US" w:eastAsia="zh-CN" w:bidi="ar-SA"/>
              </w:rPr>
              <w:t>6</w:t>
            </w:r>
            <w:r>
              <w:rPr>
                <w:rFonts w:hint="eastAsia" w:ascii="宋体" w:hAnsi="宋体" w:eastAsia="宋体" w:cstheme="minorBidi"/>
                <w:b w:val="0"/>
                <w:bCs/>
                <w:color w:val="FF0000"/>
                <w:sz w:val="24"/>
                <w:szCs w:val="28"/>
                <w:highlight w:val="none"/>
                <w:lang w:val="en-US" w:eastAsia="zh-CN" w:bidi="ar-SA"/>
              </w:rPr>
              <w:t>0%；</w:t>
            </w:r>
          </w:p>
          <w:p w14:paraId="780C9CF5">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2.报价低于通过符合性审查的次低报价供应商报价</w:t>
            </w:r>
            <w:r>
              <w:rPr>
                <w:rFonts w:hint="eastAsia" w:cstheme="minorBidi"/>
                <w:b w:val="0"/>
                <w:bCs/>
                <w:color w:val="FF0000"/>
                <w:sz w:val="24"/>
                <w:szCs w:val="28"/>
                <w:highlight w:val="none"/>
                <w:lang w:val="en-US" w:eastAsia="zh-CN" w:bidi="ar-SA"/>
              </w:rPr>
              <w:t>6</w:t>
            </w:r>
            <w:r>
              <w:rPr>
                <w:rFonts w:hint="eastAsia" w:ascii="宋体" w:hAnsi="宋体" w:eastAsia="宋体" w:cstheme="minorBidi"/>
                <w:b w:val="0"/>
                <w:bCs/>
                <w:color w:val="FF0000"/>
                <w:sz w:val="24"/>
                <w:szCs w:val="28"/>
                <w:highlight w:val="none"/>
                <w:lang w:val="en-US" w:eastAsia="zh-CN" w:bidi="ar-SA"/>
              </w:rPr>
              <w:t>0%的，即报价&lt;通过符合性审查的次低报价供应商报价×</w:t>
            </w:r>
            <w:r>
              <w:rPr>
                <w:rFonts w:hint="eastAsia" w:cstheme="minorBidi"/>
                <w:b w:val="0"/>
                <w:bCs/>
                <w:color w:val="FF0000"/>
                <w:sz w:val="24"/>
                <w:szCs w:val="28"/>
                <w:highlight w:val="none"/>
                <w:lang w:val="en-US" w:eastAsia="zh-CN" w:bidi="ar-SA"/>
              </w:rPr>
              <w:t>6</w:t>
            </w:r>
            <w:r>
              <w:rPr>
                <w:rFonts w:hint="eastAsia" w:ascii="宋体" w:hAnsi="宋体" w:eastAsia="宋体" w:cstheme="minorBidi"/>
                <w:b w:val="0"/>
                <w:bCs/>
                <w:color w:val="FF0000"/>
                <w:sz w:val="24"/>
                <w:szCs w:val="28"/>
                <w:highlight w:val="none"/>
                <w:lang w:val="en-US" w:eastAsia="zh-CN" w:bidi="ar-SA"/>
              </w:rPr>
              <w:t>0%；</w:t>
            </w:r>
          </w:p>
          <w:p w14:paraId="19E74469">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3.报价低于采购项目最高限价</w:t>
            </w:r>
            <w:r>
              <w:rPr>
                <w:rFonts w:hint="eastAsia" w:cstheme="minorBidi"/>
                <w:b w:val="0"/>
                <w:bCs/>
                <w:color w:val="FF0000"/>
                <w:sz w:val="24"/>
                <w:szCs w:val="28"/>
                <w:highlight w:val="none"/>
                <w:lang w:val="en-US" w:eastAsia="zh-CN" w:bidi="ar-SA"/>
              </w:rPr>
              <w:t>5</w:t>
            </w:r>
            <w:r>
              <w:rPr>
                <w:rFonts w:hint="eastAsia" w:ascii="宋体" w:hAnsi="宋体" w:eastAsia="宋体" w:cstheme="minorBidi"/>
                <w:b w:val="0"/>
                <w:bCs/>
                <w:color w:val="FF0000"/>
                <w:sz w:val="24"/>
                <w:szCs w:val="28"/>
                <w:highlight w:val="none"/>
                <w:lang w:val="en-US" w:eastAsia="zh-CN" w:bidi="ar-SA"/>
              </w:rPr>
              <w:t>5%的，即报价&lt;采购项目最高限价×</w:t>
            </w:r>
            <w:r>
              <w:rPr>
                <w:rFonts w:hint="eastAsia" w:cstheme="minorBidi"/>
                <w:b w:val="0"/>
                <w:bCs/>
                <w:color w:val="FF0000"/>
                <w:sz w:val="24"/>
                <w:szCs w:val="28"/>
                <w:highlight w:val="none"/>
                <w:lang w:val="en-US" w:eastAsia="zh-CN" w:bidi="ar-SA"/>
              </w:rPr>
              <w:t>5</w:t>
            </w:r>
            <w:r>
              <w:rPr>
                <w:rFonts w:hint="eastAsia" w:ascii="宋体" w:hAnsi="宋体" w:eastAsia="宋体" w:cstheme="minorBidi"/>
                <w:b w:val="0"/>
                <w:bCs/>
                <w:color w:val="FF0000"/>
                <w:sz w:val="24"/>
                <w:szCs w:val="28"/>
                <w:highlight w:val="none"/>
                <w:lang w:val="en-US" w:eastAsia="zh-CN" w:bidi="ar-SA"/>
              </w:rPr>
              <w:t>5%；</w:t>
            </w:r>
          </w:p>
          <w:p w14:paraId="36472622">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4.评审委员会基于专业判断，认为供应商报价过低，有可能影响产品质量或者不能诚信履约的其他情形。</w:t>
            </w:r>
          </w:p>
          <w:p w14:paraId="6CDFB982">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w:t>
            </w:r>
          </w:p>
          <w:p w14:paraId="1B66C1E3">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480" w:firstLineChars="200"/>
              <w:jc w:val="both"/>
              <w:textAlignment w:val="auto"/>
              <w:rPr>
                <w:rFonts w:hint="eastAsia"/>
                <w:b w:val="0"/>
                <w:color w:val="auto"/>
                <w:sz w:val="24"/>
                <w:highlight w:val="none"/>
                <w:u w:val="none"/>
              </w:rPr>
            </w:pPr>
            <w:r>
              <w:rPr>
                <w:rFonts w:hint="eastAsia" w:ascii="宋体" w:hAnsi="宋体" w:eastAsia="宋体" w:cstheme="minorBidi"/>
                <w:b w:val="0"/>
                <w:bCs/>
                <w:color w:val="FF0000"/>
                <w:sz w:val="24"/>
                <w:szCs w:val="28"/>
                <w:highlight w:val="none"/>
                <w:lang w:val="en-US" w:eastAsia="zh-CN" w:bidi="ar-SA"/>
              </w:rPr>
              <w:t>供应商不能提供书面说明、证明材料，或者提供的书面说明、证明材料不能证明其报价合理性的，评审委员会应当将其作为无效响应处理。</w:t>
            </w:r>
          </w:p>
        </w:tc>
      </w:tr>
      <w:tr w14:paraId="003B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327A479">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1BE0F5A8">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36F35D5C">
            <w:pPr>
              <w:pStyle w:val="69"/>
              <w:widowControl w:val="0"/>
              <w:spacing w:before="0" w:beforeAutospacing="0" w:after="0" w:afterAutospacing="0" w:line="360" w:lineRule="auto"/>
              <w:jc w:val="both"/>
              <w:rPr>
                <w:b w:val="0"/>
                <w:color w:val="auto"/>
                <w:sz w:val="24"/>
                <w:highlight w:val="none"/>
              </w:rPr>
            </w:pPr>
            <w:r>
              <w:rPr>
                <w:rFonts w:hint="eastAsia"/>
                <w:b w:val="0"/>
                <w:i/>
                <w:color w:val="auto"/>
                <w:sz w:val="24"/>
                <w:highlight w:val="none"/>
              </w:rPr>
              <w:t>（非专门面向中小企业采购项目适用）</w:t>
            </w:r>
          </w:p>
        </w:tc>
        <w:tc>
          <w:tcPr>
            <w:tcW w:w="3556" w:type="pct"/>
            <w:vAlign w:val="center"/>
          </w:tcPr>
          <w:p w14:paraId="0B988EFD">
            <w:pPr>
              <w:pStyle w:val="6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b w:val="0"/>
                <w:color w:val="auto"/>
                <w:sz w:val="24"/>
                <w:highlight w:val="none"/>
                <w:u w:val="single"/>
                <w:lang w:val="en-US" w:eastAsia="zh-CN"/>
              </w:rPr>
              <w:t>3%</w:t>
            </w:r>
            <w:r>
              <w:rPr>
                <w:rFonts w:hint="eastAsia" w:ascii="宋体" w:hAnsi="宋体" w:eastAsia="宋体"/>
                <w:b w:val="0"/>
                <w:color w:val="auto"/>
                <w:sz w:val="24"/>
                <w:highlight w:val="none"/>
              </w:rPr>
              <w:t>。</w:t>
            </w:r>
          </w:p>
          <w:p w14:paraId="77AE2312">
            <w:pPr>
              <w:pStyle w:val="6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6159E14">
            <w:pPr>
              <w:pStyle w:val="6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DE8FA87">
            <w:pPr>
              <w:pStyle w:val="6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6EB6BD0E">
            <w:pPr>
              <w:pStyle w:val="69"/>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b w:val="0"/>
                <w:i/>
                <w:color w:val="auto"/>
                <w:sz w:val="24"/>
                <w:highlight w:val="none"/>
                <w:lang w:val="en-US" w:eastAsia="zh-CN"/>
              </w:rPr>
              <w:t>/</w:t>
            </w:r>
          </w:p>
        </w:tc>
      </w:tr>
      <w:tr w14:paraId="7C8E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Merge w:val="restart"/>
            <w:vAlign w:val="center"/>
          </w:tcPr>
          <w:p w14:paraId="51C34DB0">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622C21A0">
            <w:pPr>
              <w:pStyle w:val="69"/>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6" w:type="pct"/>
            <w:vAlign w:val="center"/>
          </w:tcPr>
          <w:p w14:paraId="76178504">
            <w:pPr>
              <w:pStyle w:val="69"/>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b w:val="0"/>
                <w:color w:val="auto"/>
                <w:sz w:val="24"/>
                <w:highlight w:val="none"/>
                <w:lang w:eastAsia="zh-CN"/>
              </w:rPr>
              <w:t>及</w:t>
            </w:r>
            <w:r>
              <w:rPr>
                <w:rFonts w:hint="eastAsia" w:ascii="宋体" w:hAnsi="宋体" w:eastAsia="宋体"/>
                <w:b w:val="0"/>
                <w:color w:val="auto"/>
                <w:sz w:val="24"/>
                <w:highlight w:val="none"/>
                <w:lang w:val="en-US" w:eastAsia="zh-CN"/>
              </w:rPr>
              <w:t>以上</w:t>
            </w:r>
          </w:p>
          <w:p w14:paraId="29C179CC">
            <w:pPr>
              <w:pStyle w:val="69"/>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30C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6745B143">
            <w:pPr>
              <w:pStyle w:val="70"/>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031DE47F">
            <w:pPr>
              <w:pStyle w:val="69"/>
              <w:widowControl w:val="0"/>
              <w:spacing w:before="0" w:beforeAutospacing="0" w:after="0" w:afterAutospacing="0" w:line="360" w:lineRule="auto"/>
              <w:jc w:val="both"/>
              <w:rPr>
                <w:b w:val="0"/>
                <w:color w:val="auto"/>
                <w:sz w:val="24"/>
                <w:highlight w:val="none"/>
              </w:rPr>
            </w:pPr>
          </w:p>
        </w:tc>
        <w:tc>
          <w:tcPr>
            <w:tcW w:w="3556" w:type="pct"/>
            <w:vAlign w:val="center"/>
          </w:tcPr>
          <w:p w14:paraId="3E2A567D">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2B73D998">
            <w:pPr>
              <w:pStyle w:val="69"/>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A8"/>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采购人确定</w:t>
            </w:r>
          </w:p>
        </w:tc>
      </w:tr>
      <w:tr w14:paraId="520C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17847A9E">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6A9A0D52">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6" w:type="pct"/>
            <w:vAlign w:val="center"/>
          </w:tcPr>
          <w:p w14:paraId="3D97A663">
            <w:pPr>
              <w:pStyle w:val="69"/>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610897A6">
            <w:pPr>
              <w:pStyle w:val="69"/>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2E336721">
            <w:pPr>
              <w:pStyle w:val="69"/>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tc>
      </w:tr>
      <w:tr w14:paraId="0F46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060E769">
            <w:pPr>
              <w:pStyle w:val="70"/>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0E289BAD">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6" w:type="pct"/>
            <w:vAlign w:val="center"/>
          </w:tcPr>
          <w:p w14:paraId="3C6189A3">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481F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D8EA391">
            <w:pPr>
              <w:pStyle w:val="70"/>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77" w:type="pct"/>
            <w:vAlign w:val="center"/>
          </w:tcPr>
          <w:p w14:paraId="1FE416F8">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6" w:type="pct"/>
            <w:vAlign w:val="center"/>
          </w:tcPr>
          <w:p w14:paraId="550D0936">
            <w:pPr>
              <w:pStyle w:val="69"/>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24426C4B">
            <w:pPr>
              <w:pStyle w:val="69"/>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294F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B024883">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2288C87E">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6" w:type="pct"/>
          </w:tcPr>
          <w:p w14:paraId="7111A7A9">
            <w:pPr>
              <w:spacing w:line="360" w:lineRule="auto"/>
              <w:rPr>
                <w:bCs/>
                <w:color w:val="auto"/>
                <w:sz w:val="24"/>
                <w:szCs w:val="28"/>
                <w:highlight w:val="none"/>
              </w:rPr>
            </w:pPr>
            <w:r>
              <w:rPr>
                <w:rFonts w:hint="eastAsia"/>
                <w:bCs/>
                <w:color w:val="auto"/>
                <w:sz w:val="24"/>
                <w:szCs w:val="28"/>
                <w:highlight w:val="none"/>
              </w:rPr>
              <w:t>（1）金额：</w:t>
            </w:r>
          </w:p>
          <w:p w14:paraId="6C0CE609">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免收</w:t>
            </w:r>
          </w:p>
          <w:p w14:paraId="7EC7D754">
            <w:pPr>
              <w:spacing w:line="360" w:lineRule="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合同价的</w:t>
            </w:r>
            <w:r>
              <w:rPr>
                <w:bCs/>
                <w:color w:val="auto"/>
                <w:sz w:val="24"/>
                <w:szCs w:val="28"/>
                <w:highlight w:val="none"/>
                <w:u w:val="single"/>
              </w:rPr>
              <w:t xml:space="preserve"> </w:t>
            </w:r>
            <w:r>
              <w:rPr>
                <w:rFonts w:hint="eastAsia"/>
                <w:bCs/>
                <w:color w:val="auto"/>
                <w:sz w:val="24"/>
                <w:szCs w:val="28"/>
                <w:highlight w:val="none"/>
                <w:u w:val="single"/>
                <w:lang w:val="en-US" w:eastAsia="zh-CN"/>
              </w:rPr>
              <w:t>2.5</w:t>
            </w:r>
            <w:r>
              <w:rPr>
                <w:bCs/>
                <w:color w:val="auto"/>
                <w:sz w:val="24"/>
                <w:szCs w:val="28"/>
                <w:highlight w:val="none"/>
                <w:u w:val="single"/>
              </w:rPr>
              <w:t xml:space="preserve"> </w:t>
            </w:r>
            <w:r>
              <w:rPr>
                <w:bCs/>
                <w:color w:val="auto"/>
                <w:sz w:val="24"/>
                <w:szCs w:val="28"/>
                <w:highlight w:val="none"/>
              </w:rPr>
              <w:t>%</w:t>
            </w:r>
          </w:p>
          <w:p w14:paraId="3177661E">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定额收取：人民币</w:t>
            </w:r>
            <w:r>
              <w:rPr>
                <w:rFonts w:hint="eastAsia"/>
                <w:bCs/>
                <w:color w:val="auto"/>
                <w:sz w:val="24"/>
                <w:szCs w:val="28"/>
                <w:highlight w:val="none"/>
                <w:u w:val="single"/>
              </w:rPr>
              <w:t xml:space="preserve">              </w:t>
            </w:r>
            <w:r>
              <w:rPr>
                <w:rFonts w:hint="eastAsia"/>
                <w:bCs/>
                <w:color w:val="auto"/>
                <w:sz w:val="24"/>
                <w:szCs w:val="28"/>
                <w:highlight w:val="none"/>
              </w:rPr>
              <w:t>元</w:t>
            </w:r>
          </w:p>
          <w:p w14:paraId="73F3B94F">
            <w:pPr>
              <w:spacing w:line="360" w:lineRule="auto"/>
              <w:rPr>
                <w:bCs/>
                <w:color w:val="auto"/>
                <w:sz w:val="24"/>
                <w:szCs w:val="28"/>
                <w:highlight w:val="none"/>
              </w:rPr>
            </w:pPr>
            <w:r>
              <w:rPr>
                <w:rFonts w:hint="eastAsia"/>
                <w:bCs/>
                <w:color w:val="auto"/>
                <w:sz w:val="24"/>
                <w:szCs w:val="28"/>
                <w:highlight w:val="none"/>
              </w:rPr>
              <w:t>（2）支付方式：</w:t>
            </w:r>
          </w:p>
          <w:p w14:paraId="2FCAB721">
            <w:pPr>
              <w:spacing w:line="360" w:lineRule="auto"/>
              <w:rPr>
                <w:bCs/>
                <w:color w:val="auto"/>
                <w:sz w:val="24"/>
                <w:szCs w:val="28"/>
                <w:highlight w:val="none"/>
              </w:rPr>
            </w:pPr>
            <w:r>
              <w:rPr>
                <w:rFonts w:hint="eastAsia"/>
                <w:bCs/>
                <w:color w:val="auto"/>
                <w:sz w:val="24"/>
                <w:szCs w:val="28"/>
                <w:highlight w:val="none"/>
              </w:rPr>
              <w:sym w:font="Wingdings" w:char="00FE"/>
            </w:r>
            <w:r>
              <w:rPr>
                <w:bCs/>
                <w:color w:val="auto"/>
                <w:sz w:val="24"/>
                <w:szCs w:val="28"/>
                <w:highlight w:val="none"/>
              </w:rPr>
              <w:t>转账/电汇</w:t>
            </w:r>
            <w:r>
              <w:rPr>
                <w:rFonts w:hint="eastAsia"/>
                <w:bCs/>
                <w:color w:val="auto"/>
                <w:sz w:val="24"/>
                <w:szCs w:val="28"/>
                <w:highlight w:val="none"/>
              </w:rPr>
              <w:t xml:space="preserve"> </w:t>
            </w:r>
            <w:r>
              <w:rPr>
                <w:rFonts w:hint="eastAsia"/>
                <w:bCs/>
                <w:color w:val="auto"/>
                <w:sz w:val="24"/>
                <w:szCs w:val="28"/>
                <w:highlight w:val="none"/>
              </w:rPr>
              <w:sym w:font="Wingdings" w:char="00FE"/>
            </w:r>
            <w:r>
              <w:rPr>
                <w:bCs/>
                <w:color w:val="auto"/>
                <w:sz w:val="24"/>
                <w:szCs w:val="28"/>
                <w:highlight w:val="none"/>
              </w:rPr>
              <w:t xml:space="preserve">支票 </w:t>
            </w:r>
            <w:r>
              <w:rPr>
                <w:rFonts w:hint="eastAsia"/>
                <w:bCs/>
                <w:color w:val="auto"/>
                <w:sz w:val="24"/>
                <w:szCs w:val="28"/>
                <w:highlight w:val="none"/>
              </w:rPr>
              <w:sym w:font="Wingdings" w:char="00FE"/>
            </w:r>
            <w:r>
              <w:rPr>
                <w:bCs/>
                <w:color w:val="auto"/>
                <w:sz w:val="24"/>
                <w:szCs w:val="28"/>
                <w:highlight w:val="none"/>
              </w:rPr>
              <w:t>汇票</w:t>
            </w:r>
            <w:r>
              <w:rPr>
                <w:rFonts w:hint="eastAsia"/>
                <w:bCs/>
                <w:color w:val="auto"/>
                <w:sz w:val="24"/>
                <w:szCs w:val="28"/>
                <w:highlight w:val="none"/>
              </w:rPr>
              <w:t xml:space="preserve"> </w:t>
            </w:r>
            <w:r>
              <w:rPr>
                <w:rFonts w:hint="eastAsia"/>
                <w:bCs/>
                <w:color w:val="auto"/>
                <w:sz w:val="24"/>
                <w:szCs w:val="28"/>
                <w:highlight w:val="none"/>
              </w:rPr>
              <w:sym w:font="Wingdings" w:char="00FE"/>
            </w:r>
            <w:r>
              <w:rPr>
                <w:rFonts w:hint="eastAsia"/>
                <w:bCs/>
                <w:color w:val="auto"/>
                <w:sz w:val="24"/>
                <w:szCs w:val="28"/>
                <w:highlight w:val="none"/>
              </w:rPr>
              <w:t xml:space="preserve">本票 </w:t>
            </w:r>
            <w:r>
              <w:rPr>
                <w:rFonts w:hint="eastAsia"/>
                <w:bCs/>
                <w:color w:val="auto"/>
                <w:sz w:val="24"/>
                <w:szCs w:val="28"/>
                <w:highlight w:val="none"/>
              </w:rPr>
              <w:sym w:font="Wingdings" w:char="00FE"/>
            </w:r>
            <w:r>
              <w:rPr>
                <w:bCs/>
                <w:color w:val="auto"/>
                <w:sz w:val="24"/>
                <w:szCs w:val="28"/>
                <w:highlight w:val="none"/>
              </w:rPr>
              <w:t>保</w:t>
            </w:r>
            <w:r>
              <w:rPr>
                <w:rFonts w:hint="eastAsia"/>
                <w:bCs/>
                <w:color w:val="auto"/>
                <w:sz w:val="24"/>
                <w:szCs w:val="28"/>
                <w:highlight w:val="none"/>
              </w:rPr>
              <w:t xml:space="preserve">险 </w:t>
            </w:r>
            <w:r>
              <w:rPr>
                <w:rFonts w:hint="eastAsia"/>
                <w:bCs/>
                <w:color w:val="auto"/>
                <w:sz w:val="24"/>
                <w:szCs w:val="28"/>
                <w:highlight w:val="none"/>
              </w:rPr>
              <w:sym w:font="Wingdings" w:char="00FE"/>
            </w:r>
            <w:r>
              <w:rPr>
                <w:rFonts w:hint="eastAsia"/>
                <w:bCs/>
                <w:color w:val="auto"/>
                <w:sz w:val="24"/>
                <w:szCs w:val="28"/>
                <w:highlight w:val="none"/>
              </w:rPr>
              <w:t>保</w:t>
            </w:r>
            <w:r>
              <w:rPr>
                <w:bCs/>
                <w:color w:val="auto"/>
                <w:sz w:val="24"/>
                <w:szCs w:val="28"/>
                <w:highlight w:val="none"/>
              </w:rPr>
              <w:t>函</w:t>
            </w:r>
          </w:p>
          <w:p w14:paraId="2FB6F645">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u w:val="single"/>
                <w:lang w:val="en-US"/>
              </w:rPr>
              <w:t>安徽省</w:t>
            </w:r>
            <w:r>
              <w:rPr>
                <w:rFonts w:hint="default" w:ascii="宋体" w:hAnsi="宋体" w:eastAsia="宋体"/>
                <w:bCs/>
                <w:color w:val="auto"/>
                <w:kern w:val="0"/>
                <w:sz w:val="24"/>
                <w:szCs w:val="28"/>
                <w:highlight w:val="none"/>
                <w:u w:val="single"/>
                <w:lang w:val="en-US" w:eastAsia="zh-CN"/>
              </w:rPr>
              <w:t>临淮岗洪水控制工程</w:t>
            </w:r>
            <w:r>
              <w:rPr>
                <w:rFonts w:hint="default" w:ascii="宋体" w:hAnsi="宋体" w:eastAsia="宋体"/>
                <w:bCs/>
                <w:color w:val="auto"/>
                <w:kern w:val="0"/>
                <w:sz w:val="24"/>
                <w:szCs w:val="28"/>
                <w:highlight w:val="none"/>
                <w:u w:val="single"/>
                <w:lang w:val="en-US"/>
              </w:rPr>
              <w:t>管理局</w:t>
            </w:r>
          </w:p>
          <w:p w14:paraId="682E9956">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成交后提供</w:t>
            </w:r>
          </w:p>
          <w:p w14:paraId="45B8694D">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履约保证金在合同生效之日起至项目验收合格前一直有效，验收合格后经乙方申请，甲方确认后按规定及时将履约保证金款项退还给乙方或者解除履约担保。 </w:t>
            </w:r>
          </w:p>
          <w:p w14:paraId="64C27A0E">
            <w:pPr>
              <w:spacing w:line="360" w:lineRule="auto"/>
              <w:rPr>
                <w:b/>
                <w:bCs/>
                <w:color w:val="auto"/>
                <w:sz w:val="24"/>
                <w:szCs w:val="24"/>
                <w:highlight w:val="none"/>
              </w:rPr>
            </w:pPr>
            <w:r>
              <w:rPr>
                <w:rFonts w:hint="eastAsia"/>
                <w:b/>
                <w:bCs/>
                <w:color w:val="auto"/>
                <w:sz w:val="24"/>
                <w:szCs w:val="24"/>
                <w:highlight w:val="none"/>
              </w:rPr>
              <w:t>注意事项：</w:t>
            </w:r>
          </w:p>
          <w:p w14:paraId="5FF0F573">
            <w:pPr>
              <w:spacing w:line="360" w:lineRule="auto"/>
              <w:rPr>
                <w:b/>
                <w:bCs/>
                <w:color w:val="auto"/>
                <w:sz w:val="24"/>
                <w:szCs w:val="24"/>
                <w:highlight w:val="none"/>
              </w:rPr>
            </w:pPr>
            <w:r>
              <w:rPr>
                <w:rFonts w:hint="eastAsia"/>
                <w:b/>
                <w:bCs/>
                <w:color w:val="auto"/>
                <w:sz w:val="24"/>
                <w:szCs w:val="24"/>
                <w:highlight w:val="none"/>
              </w:rPr>
              <w:t>（1）以上各类机构出具的以担保函、保证保险承担责任的方式均须满足无条件条件。</w:t>
            </w:r>
          </w:p>
          <w:p w14:paraId="154C0BB1">
            <w:pPr>
              <w:pStyle w:val="69"/>
              <w:widowControl w:val="0"/>
              <w:spacing w:before="0" w:beforeAutospacing="0" w:after="0" w:afterAutospacing="0" w:line="360" w:lineRule="auto"/>
              <w:jc w:val="both"/>
              <w:rPr>
                <w:color w:val="auto"/>
                <w:sz w:val="24"/>
                <w:highlight w:val="none"/>
              </w:rPr>
            </w:pPr>
            <w:r>
              <w:rPr>
                <w:rFonts w:hint="eastAsia"/>
                <w:bCs w:val="0"/>
                <w:color w:val="auto"/>
                <w:sz w:val="24"/>
                <w:szCs w:val="24"/>
                <w:highlight w:val="none"/>
              </w:rPr>
              <w:t>（2）以担保函、保证保险形式缴纳履约保证金的，受益人和收取单位须为采购人。</w:t>
            </w:r>
          </w:p>
        </w:tc>
      </w:tr>
      <w:tr w14:paraId="16C7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AE815A7">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488350AC">
            <w:pPr>
              <w:pStyle w:val="69"/>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6" w:type="pct"/>
            <w:vAlign w:val="center"/>
          </w:tcPr>
          <w:p w14:paraId="6B171853">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eastAsia" w:cs="宋体"/>
                <w:spacing w:val="14"/>
                <w:sz w:val="24"/>
                <w:szCs w:val="24"/>
                <w:highlight w:val="none"/>
                <w:lang w:val="en-US" w:eastAsia="zh-CN"/>
              </w:rPr>
              <w:t>成交供应商</w:t>
            </w:r>
          </w:p>
          <w:p w14:paraId="619719B2">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hint="eastAsia" w:ascii="Times New Roman" w:hAnsi="Times New Roman" w:eastAsia="宋体" w:cs="Times New Roman"/>
                <w:b w:val="0"/>
                <w:bCs w:val="0"/>
                <w:color w:val="auto"/>
                <w:kern w:val="0"/>
                <w:sz w:val="24"/>
                <w:szCs w:val="24"/>
                <w:highlight w:val="none"/>
              </w:rPr>
              <w:t>转账/电汇</w:t>
            </w:r>
          </w:p>
          <w:p w14:paraId="297AC97F">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bCs/>
                <w:color w:val="auto"/>
                <w:sz w:val="24"/>
                <w:szCs w:val="28"/>
                <w:highlight w:val="none"/>
                <w:lang w:val="en-US"/>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cs="@仿宋_GB2312"/>
                <w:b w:val="0"/>
                <w:bCs/>
                <w:color w:val="auto"/>
                <w:kern w:val="0"/>
                <w:sz w:val="24"/>
                <w:szCs w:val="28"/>
                <w:highlight w:val="none"/>
                <w:lang w:val="en-US" w:eastAsia="zh-CN" w:bidi="ar-SA"/>
              </w:rPr>
              <w:t>人民币陆仟玖佰元整</w:t>
            </w:r>
          </w:p>
        </w:tc>
      </w:tr>
      <w:tr w14:paraId="6DD2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0F65D464">
            <w:pPr>
              <w:pStyle w:val="70"/>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28F413C0">
            <w:pPr>
              <w:pStyle w:val="6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6" w:type="pct"/>
            <w:vAlign w:val="center"/>
          </w:tcPr>
          <w:p w14:paraId="45FF6AFF">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148D5E9E">
            <w:pPr>
              <w:pStyle w:val="6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2FD8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21548F1">
            <w:pPr>
              <w:pStyle w:val="7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44E5FD33">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6" w:type="pct"/>
            <w:vAlign w:val="center"/>
          </w:tcPr>
          <w:p w14:paraId="3422DBB0">
            <w:pPr>
              <w:pStyle w:val="6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递交方式：“徽采云”电子交易系统</w:t>
            </w:r>
          </w:p>
          <w:p w14:paraId="61251590">
            <w:pPr>
              <w:pStyle w:val="69"/>
              <w:widowControl w:val="0"/>
              <w:spacing w:before="0" w:beforeAutospacing="0" w:after="0" w:afterAutospacing="0" w:line="360" w:lineRule="auto"/>
              <w:jc w:val="both"/>
              <w:rPr>
                <w:rFonts w:hint="default" w:ascii="宋体" w:hAnsi="宋体" w:eastAsia="宋体"/>
                <w:b w:val="0"/>
                <w:bCs w:val="0"/>
                <w:color w:val="auto"/>
                <w:sz w:val="24"/>
                <w:szCs w:val="18"/>
                <w:highlight w:val="none"/>
                <w:lang w:val="en-US" w:eastAsia="zh-CN"/>
              </w:rPr>
            </w:pPr>
            <w:r>
              <w:rPr>
                <w:rFonts w:hint="eastAsia" w:ascii="宋体" w:hAnsi="宋体" w:eastAsia="宋体"/>
                <w:b w:val="0"/>
                <w:color w:val="auto"/>
                <w:sz w:val="24"/>
                <w:highlight w:val="none"/>
              </w:rPr>
              <w:t>接收部门：</w:t>
            </w:r>
            <w:r>
              <w:rPr>
                <w:rFonts w:hint="eastAsia"/>
                <w:b w:val="0"/>
                <w:color w:val="auto"/>
                <w:sz w:val="24"/>
                <w:highlight w:val="none"/>
                <w:lang w:val="en-US" w:eastAsia="zh-CN"/>
              </w:rPr>
              <w:t>安徽省淮河河道管理局</w:t>
            </w:r>
          </w:p>
          <w:p w14:paraId="032D553C">
            <w:pPr>
              <w:pStyle w:val="69"/>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rPr>
              <w:t>0552-39180</w:t>
            </w:r>
            <w:r>
              <w:rPr>
                <w:rFonts w:hint="eastAsia" w:ascii="宋体" w:hAnsi="宋体" w:eastAsia="宋体"/>
                <w:b w:val="0"/>
                <w:color w:val="auto"/>
                <w:sz w:val="24"/>
                <w:highlight w:val="none"/>
                <w:lang w:val="en-US" w:eastAsia="zh-CN"/>
              </w:rPr>
              <w:t>61</w:t>
            </w:r>
          </w:p>
          <w:p w14:paraId="516A987A">
            <w:pPr>
              <w:pStyle w:val="69"/>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通讯地址：安徽省蚌埠市解放一路116号</w:t>
            </w:r>
          </w:p>
        </w:tc>
      </w:tr>
      <w:tr w14:paraId="579A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151567F">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7397BED6">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6" w:type="pct"/>
            <w:vAlign w:val="center"/>
          </w:tcPr>
          <w:p w14:paraId="5235CA0F">
            <w:pPr>
              <w:pStyle w:val="69"/>
              <w:widowControl w:val="0"/>
              <w:spacing w:before="0" w:beforeAutospacing="0" w:after="0" w:afterAutospacing="0" w:line="360" w:lineRule="auto"/>
              <w:jc w:val="both"/>
              <w:rPr>
                <w:rFonts w:hint="eastAsia" w:eastAsia="宋体"/>
                <w:b w:val="0"/>
                <w:color w:val="auto"/>
                <w:sz w:val="24"/>
                <w:highlight w:val="none"/>
                <w:lang w:val="en-US" w:eastAsia="zh-CN"/>
              </w:rPr>
            </w:pPr>
            <w:r>
              <w:rPr>
                <w:rFonts w:hint="eastAsia"/>
                <w:b w:val="0"/>
                <w:color w:val="auto"/>
                <w:sz w:val="24"/>
                <w:highlight w:val="none"/>
                <w:lang w:val="en-US" w:eastAsia="zh-CN"/>
              </w:rPr>
              <w:t>无</w:t>
            </w:r>
          </w:p>
        </w:tc>
      </w:tr>
      <w:tr w14:paraId="7279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13A336F">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3AFFEAEB">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6" w:type="pct"/>
            <w:vAlign w:val="center"/>
          </w:tcPr>
          <w:p w14:paraId="232E9704">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□施工总承包  </w:t>
            </w:r>
            <w:r>
              <w:rPr>
                <w:rFonts w:hint="eastAsia"/>
                <w:b w:val="0"/>
                <w:color w:val="auto"/>
                <w:sz w:val="24"/>
                <w:highlight w:val="none"/>
                <w:lang w:eastAsia="zh-CN"/>
              </w:rPr>
              <w:t>☑</w:t>
            </w:r>
            <w:r>
              <w:rPr>
                <w:rFonts w:hint="eastAsia"/>
                <w:b w:val="0"/>
                <w:color w:val="auto"/>
                <w:sz w:val="24"/>
                <w:highlight w:val="none"/>
              </w:rPr>
              <w:t>专业承包</w:t>
            </w:r>
          </w:p>
        </w:tc>
      </w:tr>
      <w:tr w14:paraId="6ADD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BB55F86">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396AD061">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6" w:type="pct"/>
            <w:vAlign w:val="center"/>
          </w:tcPr>
          <w:p w14:paraId="7B83370A">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□工程量清单综合单价报价法</w:t>
            </w:r>
          </w:p>
          <w:p w14:paraId="2BAB9C1B">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79E7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8D344F3">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4DE0687A">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6" w:type="pct"/>
            <w:vAlign w:val="center"/>
          </w:tcPr>
          <w:p w14:paraId="2EA85FC8">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color w:val="auto"/>
                <w:sz w:val="24"/>
                <w:szCs w:val="18"/>
                <w:highlight w:val="none"/>
                <w:u w:val="single"/>
                <w:lang w:val="en-US" w:eastAsia="zh-CN"/>
              </w:rPr>
              <w:t>合同签订之日至11月15日</w:t>
            </w:r>
          </w:p>
          <w:p w14:paraId="1102753E">
            <w:pPr>
              <w:pStyle w:val="69"/>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r>
              <w:rPr>
                <w:rFonts w:hint="eastAsia"/>
                <w:b w:val="0"/>
                <w:color w:val="auto"/>
                <w:sz w:val="24"/>
                <w:highlight w:val="none"/>
                <w:u w:val="single"/>
                <w:lang w:val="en-US" w:eastAsia="zh-CN"/>
              </w:rPr>
              <w:t>/</w:t>
            </w:r>
            <w:r>
              <w:rPr>
                <w:rFonts w:hint="eastAsia"/>
                <w:b w:val="0"/>
                <w:color w:val="auto"/>
                <w:sz w:val="24"/>
                <w:highlight w:val="none"/>
              </w:rPr>
              <w:t>，</w:t>
            </w:r>
            <w:bookmarkStart w:id="27" w:name="EB2a2e1a22d449405a860670c095486ab8"/>
            <w:r>
              <w:rPr>
                <w:rFonts w:hint="eastAsia"/>
                <w:b w:val="0"/>
                <w:color w:val="auto"/>
                <w:sz w:val="24"/>
                <w:highlight w:val="none"/>
              </w:rPr>
              <w:t>具体开工时间以开工令为准。</w:t>
            </w:r>
            <w:bookmarkEnd w:id="27"/>
          </w:p>
        </w:tc>
      </w:tr>
      <w:tr w14:paraId="2CFA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D3E6637">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2C25BF6E">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6" w:type="pct"/>
            <w:vAlign w:val="center"/>
          </w:tcPr>
          <w:p w14:paraId="0F84E49E">
            <w:pPr>
              <w:pStyle w:val="96"/>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691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B95E801">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6FFC3E9C">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6" w:type="pct"/>
            <w:vAlign w:val="center"/>
          </w:tcPr>
          <w:p w14:paraId="28C69C41">
            <w:pPr>
              <w:pStyle w:val="69"/>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1443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7746626">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3364FFF6">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6" w:type="pct"/>
            <w:vAlign w:val="center"/>
          </w:tcPr>
          <w:p w14:paraId="3F9F3BB3">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5E30B4F0">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2FD786D6">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330EAF85">
            <w:pPr>
              <w:pStyle w:val="69"/>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214C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7BC5DAE">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3B4C9F66">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6" w:type="pct"/>
            <w:vAlign w:val="center"/>
          </w:tcPr>
          <w:p w14:paraId="45B30E58">
            <w:pPr>
              <w:pStyle w:val="69"/>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2358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41BFB29">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5E6C73C3">
            <w:pPr>
              <w:pStyle w:val="69"/>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6" w:type="pct"/>
            <w:vAlign w:val="center"/>
          </w:tcPr>
          <w:p w14:paraId="55157ECC">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79C89484">
            <w:pPr>
              <w:adjustRightInd w:val="0"/>
              <w:snapToGrid w:val="0"/>
              <w:spacing w:line="360" w:lineRule="auto"/>
              <w:jc w:val="left"/>
              <w:rPr>
                <w:bCs/>
                <w:color w:val="auto"/>
                <w:sz w:val="24"/>
                <w:szCs w:val="28"/>
                <w:highlight w:val="none"/>
              </w:rPr>
            </w:pPr>
            <w:r>
              <w:rPr>
                <w:rFonts w:hint="eastAsia"/>
                <w:bCs/>
                <w:color w:val="auto"/>
                <w:sz w:val="24"/>
                <w:szCs w:val="28"/>
                <w:highlight w:val="none"/>
              </w:rPr>
              <w:t>□工程量清单</w:t>
            </w:r>
          </w:p>
          <w:p w14:paraId="61AE1135">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最高投标限价</w:t>
            </w:r>
          </w:p>
          <w:p w14:paraId="019412B6">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41D8A9C5">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34EC4252">
            <w:pPr>
              <w:pStyle w:val="69"/>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3764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3805B5C">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977" w:type="pct"/>
            <w:vAlign w:val="center"/>
          </w:tcPr>
          <w:p w14:paraId="1506C3DA">
            <w:pPr>
              <w:pStyle w:val="69"/>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工程量清单和最高投标限价编制费</w:t>
            </w:r>
          </w:p>
        </w:tc>
        <w:tc>
          <w:tcPr>
            <w:tcW w:w="3556" w:type="pct"/>
            <w:vAlign w:val="center"/>
          </w:tcPr>
          <w:p w14:paraId="4B004CCC">
            <w:pPr>
              <w:pStyle w:val="69"/>
              <w:widowControl w:val="0"/>
              <w:spacing w:before="0" w:beforeAutospacing="0" w:after="0" w:afterAutospacing="0" w:line="360" w:lineRule="auto"/>
              <w:jc w:val="both"/>
              <w:rPr>
                <w:b w:val="0"/>
                <w:color w:val="auto"/>
                <w:sz w:val="24"/>
                <w:highlight w:val="none"/>
              </w:rPr>
            </w:pPr>
            <w:r>
              <w:rPr>
                <w:rFonts w:hint="eastAsia"/>
                <w:bCs/>
                <w:color w:val="auto"/>
                <w:kern w:val="0"/>
                <w:sz w:val="24"/>
                <w:szCs w:val="28"/>
                <w:highlight w:val="none"/>
                <w:lang w:val="en-US" w:eastAsia="zh-CN"/>
              </w:rPr>
              <w:t>/</w:t>
            </w:r>
          </w:p>
        </w:tc>
      </w:tr>
      <w:tr w14:paraId="783C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E6B2BA6">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77" w:type="pct"/>
            <w:vAlign w:val="center"/>
          </w:tcPr>
          <w:p w14:paraId="096AB9F9">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6" w:type="pct"/>
            <w:vAlign w:val="center"/>
          </w:tcPr>
          <w:p w14:paraId="555CAF2F">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6B5543D7">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730B61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4B1E23F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BDF8C4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A2D2116">
            <w:pPr>
              <w:pStyle w:val="69"/>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01BBA3DB">
            <w:pPr>
              <w:pStyle w:val="69"/>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bl>
    <w:p w14:paraId="1AC0222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8" w:name="_Toc26858"/>
      <w:bookmarkStart w:id="29" w:name="_Toc18784"/>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8"/>
      <w:bookmarkEnd w:id="29"/>
    </w:p>
    <w:p w14:paraId="459D677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A08032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5FA69B7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C83C2D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20A2E9E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3D27F61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73CA3A91">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5AE473D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highlight w:val="none"/>
        </w:rPr>
        <w:t>联合体参加磋商的，</w:t>
      </w:r>
      <w:r>
        <w:rPr>
          <w:rFonts w:hint="eastAsia"/>
          <w:b w:val="0"/>
          <w:sz w:val="24"/>
          <w:highlight w:val="none"/>
        </w:rPr>
        <w:t>磋商文件获取</w:t>
      </w:r>
      <w:r>
        <w:rPr>
          <w:b w:val="0"/>
          <w:sz w:val="24"/>
          <w:highlight w:val="none"/>
        </w:rPr>
        <w:t>手续由联合体</w:t>
      </w:r>
      <w:r>
        <w:rPr>
          <w:rFonts w:hint="eastAsia"/>
          <w:b w:val="0"/>
          <w:sz w:val="24"/>
          <w:highlight w:val="none"/>
        </w:rPr>
        <w:t>中</w:t>
      </w:r>
      <w:r>
        <w:rPr>
          <w:b w:val="0"/>
          <w:sz w:val="24"/>
          <w:highlight w:val="none"/>
        </w:rPr>
        <w:t>任一</w:t>
      </w:r>
      <w:r>
        <w:rPr>
          <w:rFonts w:hint="eastAsia"/>
          <w:b w:val="0"/>
          <w:sz w:val="24"/>
          <w:highlight w:val="none"/>
        </w:rPr>
        <w:t>成员单位</w:t>
      </w:r>
      <w:r>
        <w:rPr>
          <w:b w:val="0"/>
          <w:sz w:val="24"/>
          <w:highlight w:val="none"/>
        </w:rPr>
        <w:t>办理均可。</w:t>
      </w:r>
    </w:p>
    <w:p w14:paraId="7783552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313DDB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76E1123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48EB221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618450B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2391A1A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14E790E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454C11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7F8089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3A2275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BD832AD">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80531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04E3263F">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2B141F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36CCF9D">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114351E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2ADA54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0BB407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610C4C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4A85161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9B345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2DAEC20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F1C26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B8A49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52A629B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723B3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20484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30" w:name="_Hlk16458572"/>
      <w:r>
        <w:rPr>
          <w:rFonts w:hint="eastAsia"/>
          <w:color w:val="auto"/>
          <w:sz w:val="24"/>
          <w:szCs w:val="18"/>
          <w:highlight w:val="none"/>
        </w:rPr>
        <w:t>安徽省政府采购网</w:t>
      </w:r>
      <w:bookmarkEnd w:id="30"/>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70308FD4">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0029C9B">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4A0365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069B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A2E48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0919D3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7A2AE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115F0A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086E430E">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652807D">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1" w:name="_Hlk11703583"/>
      <w:r>
        <w:rPr>
          <w:rFonts w:hint="eastAsia" w:asciiTheme="minorEastAsia" w:hAnsiTheme="minorEastAsia" w:eastAsiaTheme="minorEastAsia"/>
          <w:color w:val="auto"/>
          <w:sz w:val="24"/>
          <w:highlight w:val="none"/>
        </w:rPr>
        <w:t>。</w:t>
      </w:r>
      <w:bookmarkEnd w:id="31"/>
    </w:p>
    <w:p w14:paraId="640D2F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7FFA45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3770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4C75F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F5E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80082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70ECBF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55E38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367E4F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EBD091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3DD109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624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6845D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826576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99DA81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E6D1A8E">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075D0BD8">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49CF6BA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7D3556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59AC47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AE58B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C560E98">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36A891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1D0606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19D439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32DEA3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725166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07F92F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701260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0016BA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8E608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4C5FBB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2FB9D84">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磋商小组进行异常低价响应审查。</w:t>
      </w:r>
    </w:p>
    <w:p w14:paraId="6C3840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sz w:val="24"/>
          <w:highlight w:val="none"/>
          <w:lang w:eastAsia="zh-CN"/>
        </w:rPr>
        <w:t>、</w:t>
      </w:r>
      <w:r>
        <w:rPr>
          <w:rFonts w:hint="eastAsia" w:ascii="宋体" w:hAnsi="宋体" w:eastAsia="宋体"/>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6C67F6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6CE5DB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565C80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AC219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6747C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2DD0E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EAAEC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6ECE4C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334ADA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80888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78B86F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1890FF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F5FAA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C77C4BD">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556DDC8">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2FC10C2E">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731C8E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6812EC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2575E7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756B1F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3C0787AA">
      <w:pPr>
        <w:spacing w:line="360" w:lineRule="auto"/>
        <w:ind w:firstLine="435"/>
        <w:rPr>
          <w:rFonts w:asciiTheme="majorEastAsia" w:hAnsiTheme="majorEastAsia" w:eastAsiaTheme="majorEastAsia"/>
          <w:color w:val="auto"/>
          <w:sz w:val="24"/>
          <w:highlight w:val="none"/>
        </w:rPr>
      </w:pPr>
      <w:bookmarkStart w:id="32"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66CC0D3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B9D846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2"/>
    </w:p>
    <w:p w14:paraId="10EF17A3">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5A485CE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582DCE3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B2B076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6D3897B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052AE9F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604092F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A08B6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127DD6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2776B3C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77483FB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5D10C15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3973B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35D47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10D0C8CA">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4C0DA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1F1B0F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1FB7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5E85D0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27320A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64D3842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660E75A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5FDA3AA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36B71FF1">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374E713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1D2ADC5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B5F1D07">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1848CDD9">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344C672D">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7BF3638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29C2A7D5">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3F3922EB">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0B4BCCE7">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2F0CB617">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387B72E0">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386D84DA">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5195CA7A">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58BAF41">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24243F0A">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F1B2ABB">
      <w:pPr>
        <w:spacing w:line="360" w:lineRule="auto"/>
        <w:ind w:firstLine="470" w:firstLineChars="196"/>
        <w:rPr>
          <w:color w:val="auto"/>
          <w:sz w:val="24"/>
          <w:highlight w:val="none"/>
        </w:rPr>
      </w:pPr>
      <w:bookmarkStart w:id="33"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3"/>
    </w:p>
    <w:p w14:paraId="4EB81F00">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6FD0AA45">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541A3A40">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7E680C0C">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059A09F7">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0A598AE8">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4457D0D">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A99F0E1">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65D82988">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396DF675">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86D16F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19D8127">
      <w:pPr>
        <w:spacing w:line="360" w:lineRule="auto"/>
        <w:jc w:val="center"/>
        <w:outlineLvl w:val="0"/>
        <w:rPr>
          <w:rFonts w:asciiTheme="minorEastAsia" w:hAnsiTheme="minorEastAsia" w:eastAsiaTheme="minorEastAsia"/>
          <w:b/>
          <w:color w:val="auto"/>
          <w:sz w:val="28"/>
          <w:highlight w:val="none"/>
        </w:rPr>
      </w:pPr>
      <w:bookmarkStart w:id="34" w:name="_Toc30873"/>
      <w:r>
        <w:rPr>
          <w:rFonts w:hint="eastAsia" w:asciiTheme="minorEastAsia" w:hAnsiTheme="minorEastAsia" w:eastAsiaTheme="minorEastAsia"/>
          <w:b/>
          <w:color w:val="auto"/>
          <w:sz w:val="28"/>
          <w:highlight w:val="none"/>
        </w:rPr>
        <w:t>第三章  采购需求</w:t>
      </w:r>
      <w:bookmarkEnd w:id="34"/>
    </w:p>
    <w:tbl>
      <w:tblPr>
        <w:tblStyle w:val="97"/>
        <w:tblW w:w="55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553"/>
        <w:gridCol w:w="7651"/>
      </w:tblGrid>
      <w:tr w14:paraId="6A51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vAlign w:val="center"/>
          </w:tcPr>
          <w:p w14:paraId="06A6CEBA">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679" w:type="pct"/>
            <w:vAlign w:val="center"/>
          </w:tcPr>
          <w:p w14:paraId="7E80BA24">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344" w:type="pct"/>
            <w:vAlign w:val="center"/>
          </w:tcPr>
          <w:p w14:paraId="5314F29C">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34E3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vAlign w:val="center"/>
          </w:tcPr>
          <w:p w14:paraId="117FA2C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679" w:type="pct"/>
            <w:vAlign w:val="center"/>
          </w:tcPr>
          <w:p w14:paraId="0D8F016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344" w:type="pct"/>
            <w:vAlign w:val="center"/>
          </w:tcPr>
          <w:p w14:paraId="7197D3AA">
            <w:pPr>
              <w:spacing w:line="360" w:lineRule="auto"/>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（1）供应商一旦成交，磋商时所报的本项目的项目经理</w:t>
            </w:r>
            <w:r>
              <w:rPr>
                <w:rFonts w:hint="eastAsia" w:cs="宋体"/>
                <w:bCs/>
                <w:color w:val="000000" w:themeColor="text1"/>
                <w:kern w:val="2"/>
                <w:sz w:val="24"/>
                <w:szCs w:val="24"/>
                <w:highlight w:val="none"/>
                <w14:textFill>
                  <w14:solidFill>
                    <w14:schemeClr w14:val="tx1"/>
                  </w14:solidFill>
                </w14:textFill>
              </w:rPr>
              <w:t>每月在施工现场的时间：驻场时间每月不少于</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u w:val="single"/>
                <w:lang w:val="en-US" w:eastAsia="zh-CN"/>
                <w14:textFill>
                  <w14:solidFill>
                    <w14:schemeClr w14:val="tx1"/>
                  </w14:solidFill>
                </w14:textFill>
              </w:rPr>
              <w:t>22</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14:textFill>
                  <w14:solidFill>
                    <w14:schemeClr w14:val="tx1"/>
                  </w14:solidFill>
                </w14:textFill>
              </w:rPr>
              <w:t>天，每天在岗工作时间不得少于</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u w:val="single"/>
                <w:lang w:val="en-US" w:eastAsia="zh-CN"/>
                <w14:textFill>
                  <w14:solidFill>
                    <w14:schemeClr w14:val="tx1"/>
                  </w14:solidFill>
                </w14:textFill>
              </w:rPr>
              <w:t>8</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14:textFill>
                  <w14:solidFill>
                    <w14:schemeClr w14:val="tx1"/>
                  </w14:solidFill>
                </w14:textFill>
              </w:rPr>
              <w:t>小时</w:t>
            </w:r>
            <w:r>
              <w:rPr>
                <w:rFonts w:ascii="宋体" w:hAnsi="宋体" w:eastAsia="宋体" w:cs="宋体"/>
                <w:kern w:val="2"/>
                <w:sz w:val="24"/>
                <w:szCs w:val="24"/>
                <w:highlight w:val="none"/>
              </w:rPr>
              <w:t>，否则采购人有权终止合同</w:t>
            </w:r>
            <w:r>
              <w:rPr>
                <w:rFonts w:hint="eastAsia" w:ascii="宋体" w:hAnsi="宋体" w:eastAsia="宋体" w:cs="@仿宋_GB2312"/>
                <w:color w:val="000000" w:themeColor="text1"/>
                <w:kern w:val="2"/>
                <w:sz w:val="24"/>
                <w:szCs w:val="24"/>
                <w:highlight w:val="none"/>
                <w14:textFill>
                  <w14:solidFill>
                    <w14:schemeClr w14:val="tx1"/>
                  </w14:solidFill>
                </w14:textFill>
              </w:rPr>
              <w:t>，成交供应商自行承担并赔偿可能给采购人造成的损失。</w:t>
            </w:r>
          </w:p>
          <w:p w14:paraId="267AF654">
            <w:pPr>
              <w:spacing w:line="360" w:lineRule="auto"/>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3E653738">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仿宋_GB2312"/>
                <w:color w:val="000000" w:themeColor="text1"/>
                <w:kern w:val="2"/>
                <w:sz w:val="24"/>
                <w:szCs w:val="24"/>
                <w:highlight w:val="none"/>
                <w14:textFill>
                  <w14:solidFill>
                    <w14:schemeClr w14:val="tx1"/>
                  </w14:solidFill>
                </w14:textFill>
              </w:rPr>
              <w:t>（3）成交供应商未能按照承诺到岗尽职的，采购人将视情况严重程度对其作出相应处理，给予警告并发出整改通知。如仍未及时整改，采购人有权责令其停工整改、直至终止合同，引进新的</w:t>
            </w:r>
            <w:r>
              <w:rPr>
                <w:rFonts w:hint="eastAsia" w:cs="@仿宋_GB2312"/>
                <w:color w:val="000000" w:themeColor="text1"/>
                <w:kern w:val="2"/>
                <w:sz w:val="24"/>
                <w:szCs w:val="24"/>
                <w:highlight w:val="none"/>
                <w:lang w:eastAsia="zh-CN"/>
                <w14:textFill>
                  <w14:solidFill>
                    <w14:schemeClr w14:val="tx1"/>
                  </w14:solidFill>
                </w14:textFill>
              </w:rPr>
              <w:t>乙方</w:t>
            </w:r>
            <w:r>
              <w:rPr>
                <w:rFonts w:hint="eastAsia" w:ascii="宋体" w:hAnsi="宋体" w:eastAsia="宋体" w:cs="@仿宋_GB2312"/>
                <w:color w:val="000000" w:themeColor="text1"/>
                <w:kern w:val="2"/>
                <w:sz w:val="24"/>
                <w:szCs w:val="24"/>
                <w:highlight w:val="none"/>
                <w14:textFill>
                  <w14:solidFill>
                    <w14:schemeClr w14:val="tx1"/>
                  </w14:solidFill>
                </w14:textFill>
              </w:rPr>
              <w:t>。采购人还将停止支付工程款项，扣留任何未付的工程进度款项补偿建设单位的有关损失或工期延误的损失，并就此向</w:t>
            </w:r>
            <w:r>
              <w:rPr>
                <w:rFonts w:hint="eastAsia" w:cs="@仿宋_GB2312"/>
                <w:color w:val="000000" w:themeColor="text1"/>
                <w:kern w:val="2"/>
                <w:sz w:val="24"/>
                <w:szCs w:val="24"/>
                <w:highlight w:val="none"/>
                <w:lang w:val="en-US" w:eastAsia="zh-CN"/>
                <w14:textFill>
                  <w14:solidFill>
                    <w14:schemeClr w14:val="tx1"/>
                  </w14:solidFill>
                </w14:textFill>
              </w:rPr>
              <w:t>供应商</w:t>
            </w:r>
            <w:r>
              <w:rPr>
                <w:rFonts w:hint="eastAsia" w:ascii="宋体" w:hAnsi="宋体" w:eastAsia="宋体" w:cs="@仿宋_GB2312"/>
                <w:color w:val="000000" w:themeColor="text1"/>
                <w:kern w:val="2"/>
                <w:sz w:val="24"/>
                <w:szCs w:val="24"/>
                <w:highlight w:val="none"/>
                <w14:textFill>
                  <w14:solidFill>
                    <w14:schemeClr w14:val="tx1"/>
                  </w14:solidFill>
                </w14:textFill>
              </w:rPr>
              <w:t>索赔。</w:t>
            </w:r>
          </w:p>
        </w:tc>
      </w:tr>
      <w:tr w14:paraId="41FE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vAlign w:val="center"/>
          </w:tcPr>
          <w:p w14:paraId="479D4F9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679" w:type="pct"/>
            <w:vAlign w:val="center"/>
          </w:tcPr>
          <w:p w14:paraId="59460F4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344" w:type="pct"/>
            <w:vAlign w:val="center"/>
          </w:tcPr>
          <w:p w14:paraId="1C9B89F4">
            <w:pPr>
              <w:spacing w:line="360" w:lineRule="auto"/>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质量合格，满足国家和行业规范标准。</w:t>
            </w:r>
          </w:p>
          <w:p w14:paraId="1A664310">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注：成交供应商自行采购的材料应满足设计和规范要求的质量等级，并须按有关技术规范要求对材料质量进行检验。成交供应商选定的材料供应厂家和价格须经采购人认可。如采购人对某种或某些材料的质量有异议，有权提出停止使用的要求，成交供应商必须服从该要求。若该材料经检验部门鉴定确有质量问题，由此而发生的一切费用由成交供应商自负。因成交供应商自行采购的材料质量引起的工程质量问题由成交供应商承担所造成的一切损失。</w:t>
            </w:r>
          </w:p>
        </w:tc>
      </w:tr>
      <w:tr w14:paraId="6CA0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vAlign w:val="center"/>
          </w:tcPr>
          <w:p w14:paraId="7587C6AF">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679" w:type="pct"/>
            <w:vAlign w:val="center"/>
          </w:tcPr>
          <w:p w14:paraId="5AA381F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344" w:type="pct"/>
            <w:vAlign w:val="center"/>
          </w:tcPr>
          <w:p w14:paraId="53E9ED74">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b/>
                <w:bCs/>
                <w:color w:val="FF0000"/>
                <w:kern w:val="2"/>
                <w:sz w:val="24"/>
                <w:szCs w:val="22"/>
                <w:highlight w:val="none"/>
                <w:lang w:eastAsia="zh-CN"/>
              </w:rPr>
              <w:t>（1）养护内容涉及临边等高处作业，编制专项安全生产施工方案，加强安全教育，落实安全防护措施等；</w:t>
            </w:r>
          </w:p>
        </w:tc>
      </w:tr>
      <w:tr w14:paraId="3BC9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vAlign w:val="center"/>
          </w:tcPr>
          <w:p w14:paraId="14F36B8C">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679" w:type="pct"/>
            <w:vAlign w:val="center"/>
          </w:tcPr>
          <w:p w14:paraId="59F5737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344" w:type="pct"/>
            <w:vAlign w:val="center"/>
          </w:tcPr>
          <w:p w14:paraId="4E47258F">
            <w:pPr>
              <w:numPr>
                <w:ilvl w:val="0"/>
                <w:numId w:val="2"/>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供应商最后报价均不得高于磋商文件（公告）列明的项目预算，否则其响应文件将被认定为响应无效。</w:t>
            </w:r>
          </w:p>
          <w:p w14:paraId="222389E1">
            <w:pPr>
              <w:numPr>
                <w:ilvl w:val="0"/>
                <w:numId w:val="2"/>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供应商报价时，安全生产措施费包含在综合单价中，不另外计取</w:t>
            </w:r>
            <w:r>
              <w:rPr>
                <w:rFonts w:hint="eastAsia" w:cs="@仿宋_GB2312" w:asciiTheme="minorEastAsia" w:hAnsiTheme="minorEastAsia" w:eastAsiaTheme="minorEastAsia"/>
                <w:color w:val="auto"/>
                <w:kern w:val="2"/>
                <w:sz w:val="24"/>
                <w:szCs w:val="22"/>
                <w:highlight w:val="none"/>
                <w:lang w:eastAsia="zh-CN"/>
              </w:rPr>
              <w:t>。</w:t>
            </w:r>
          </w:p>
          <w:p w14:paraId="0D9120F7">
            <w:pPr>
              <w:pStyle w:val="69"/>
              <w:widowControl w:val="0"/>
              <w:spacing w:before="0" w:beforeAutospacing="0" w:after="0" w:afterAutospacing="0" w:line="360" w:lineRule="auto"/>
              <w:jc w:val="both"/>
              <w:rPr>
                <w:rFonts w:hint="eastAsia" w:cs="@仿宋_GB2312" w:asciiTheme="minorEastAsia" w:hAnsiTheme="minorEastAsia" w:eastAsiaTheme="minorEastAsia"/>
                <w:color w:val="FF0000"/>
                <w:kern w:val="2"/>
                <w:sz w:val="24"/>
                <w:highlight w:val="none"/>
                <w:lang w:eastAsia="zh-CN"/>
              </w:rPr>
            </w:pPr>
            <w:r>
              <w:rPr>
                <w:rFonts w:hint="eastAsia" w:cs="Times New Roman"/>
                <w:color w:val="FF0000"/>
                <w:kern w:val="2"/>
                <w:sz w:val="24"/>
                <w:szCs w:val="24"/>
                <w:highlight w:val="none"/>
                <w:lang w:eastAsia="zh-CN"/>
              </w:rPr>
              <w:t>（</w:t>
            </w:r>
            <w:r>
              <w:rPr>
                <w:rFonts w:hint="eastAsia" w:cs="Times New Roman"/>
                <w:color w:val="FF0000"/>
                <w:kern w:val="2"/>
                <w:sz w:val="24"/>
                <w:szCs w:val="24"/>
                <w:highlight w:val="none"/>
                <w:lang w:val="en-US" w:eastAsia="zh-CN"/>
              </w:rPr>
              <w:t>3）</w:t>
            </w:r>
            <w:r>
              <w:rPr>
                <w:rFonts w:hint="eastAsia" w:cs="Times New Roman"/>
                <w:color w:val="FF0000"/>
                <w:kern w:val="2"/>
                <w:sz w:val="24"/>
                <w:szCs w:val="24"/>
                <w:highlight w:val="none"/>
              </w:rPr>
              <w:t>除</w:t>
            </w:r>
            <w:r>
              <w:rPr>
                <w:rFonts w:hint="eastAsia" w:cs="Times New Roman"/>
                <w:color w:val="FF0000"/>
                <w:kern w:val="2"/>
                <w:sz w:val="24"/>
                <w:szCs w:val="24"/>
                <w:highlight w:val="none"/>
                <w:lang w:val="en-US" w:eastAsia="zh-CN"/>
              </w:rPr>
              <w:t>磋商</w:t>
            </w:r>
            <w:r>
              <w:rPr>
                <w:rFonts w:hint="eastAsia" w:cs="Times New Roman"/>
                <w:color w:val="FF0000"/>
                <w:kern w:val="2"/>
                <w:sz w:val="24"/>
                <w:szCs w:val="24"/>
                <w:highlight w:val="none"/>
              </w:rPr>
              <w:t>文件另有规定外,</w:t>
            </w:r>
            <w:r>
              <w:rPr>
                <w:rFonts w:hint="eastAsia" w:cs="Times New Roman"/>
                <w:color w:val="FF0000"/>
                <w:kern w:val="2"/>
                <w:sz w:val="24"/>
                <w:szCs w:val="24"/>
                <w:highlight w:val="none"/>
                <w:lang w:val="en-US" w:eastAsia="zh-CN"/>
              </w:rPr>
              <w:t>供应商</w:t>
            </w:r>
            <w:r>
              <w:rPr>
                <w:rFonts w:hint="eastAsia" w:cs="Times New Roman"/>
                <w:color w:val="FF0000"/>
                <w:kern w:val="2"/>
                <w:sz w:val="24"/>
                <w:szCs w:val="24"/>
                <w:highlight w:val="none"/>
              </w:rPr>
              <w:t>不得随意增加、删除或涂改</w:t>
            </w:r>
            <w:r>
              <w:rPr>
                <w:rFonts w:hint="eastAsia" w:cs="Times New Roman"/>
                <w:color w:val="FF0000"/>
                <w:kern w:val="2"/>
                <w:sz w:val="24"/>
                <w:szCs w:val="24"/>
                <w:highlight w:val="none"/>
                <w:lang w:val="en-US" w:eastAsia="zh-CN"/>
              </w:rPr>
              <w:t>磋商</w:t>
            </w:r>
            <w:r>
              <w:rPr>
                <w:rFonts w:hint="eastAsia" w:cs="Times New Roman"/>
                <w:color w:val="FF0000"/>
                <w:kern w:val="2"/>
                <w:sz w:val="24"/>
                <w:szCs w:val="24"/>
                <w:highlight w:val="none"/>
              </w:rPr>
              <w:t>文件</w:t>
            </w:r>
            <w:r>
              <w:rPr>
                <w:rFonts w:hint="eastAsia" w:cs="Times New Roman"/>
                <w:color w:val="FF0000"/>
                <w:kern w:val="2"/>
                <w:sz w:val="24"/>
                <w:szCs w:val="24"/>
                <w:highlight w:val="none"/>
                <w:lang w:val="en-US" w:eastAsia="zh-CN"/>
              </w:rPr>
              <w:t>和工程量清单</w:t>
            </w:r>
            <w:r>
              <w:rPr>
                <w:rFonts w:hint="eastAsia" w:cs="Times New Roman"/>
                <w:color w:val="FF0000"/>
                <w:kern w:val="2"/>
                <w:sz w:val="24"/>
                <w:szCs w:val="24"/>
                <w:highlight w:val="none"/>
              </w:rPr>
              <w:t>中的任何内容</w:t>
            </w:r>
            <w:r>
              <w:rPr>
                <w:rFonts w:hint="eastAsia" w:cs="宋体"/>
                <w:b/>
                <w:color w:val="FF0000"/>
                <w:kern w:val="2"/>
                <w:sz w:val="24"/>
                <w:szCs w:val="24"/>
                <w:highlight w:val="none"/>
                <w:lang w:eastAsia="zh-CN"/>
              </w:rPr>
              <w:t>，</w:t>
            </w:r>
            <w:r>
              <w:rPr>
                <w:rFonts w:ascii="宋体" w:hAnsi="宋体" w:eastAsia="宋体" w:cs="@仿宋_GB2312"/>
                <w:bCs/>
                <w:color w:val="FF0000"/>
                <w:kern w:val="2"/>
                <w:sz w:val="24"/>
                <w:szCs w:val="24"/>
                <w:highlight w:val="none"/>
              </w:rPr>
              <w:t>否则其响应文件将被认定为</w:t>
            </w:r>
            <w:r>
              <w:rPr>
                <w:rFonts w:ascii="宋体" w:hAnsi="宋体" w:eastAsia="宋体" w:cs="@仿宋_GB2312"/>
                <w:b/>
                <w:color w:val="FF0000"/>
                <w:kern w:val="2"/>
                <w:sz w:val="24"/>
                <w:szCs w:val="24"/>
                <w:highlight w:val="none"/>
              </w:rPr>
              <w:t>响应无效</w:t>
            </w:r>
            <w:r>
              <w:rPr>
                <w:rFonts w:hint="eastAsia" w:ascii="宋体" w:hAnsi="宋体" w:eastAsia="宋体" w:cs="@仿宋_GB2312"/>
                <w:color w:val="FF0000"/>
                <w:kern w:val="2"/>
                <w:sz w:val="24"/>
                <w:szCs w:val="24"/>
                <w:highlight w:val="none"/>
              </w:rPr>
              <w:t>。</w:t>
            </w:r>
          </w:p>
        </w:tc>
      </w:tr>
      <w:tr w14:paraId="2C21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vAlign w:val="center"/>
          </w:tcPr>
          <w:p w14:paraId="0E5572F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679" w:type="pct"/>
            <w:vAlign w:val="center"/>
          </w:tcPr>
          <w:p w14:paraId="4D74F8CE">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344" w:type="pct"/>
            <w:vAlign w:val="center"/>
          </w:tcPr>
          <w:p w14:paraId="252772A3">
            <w:pPr>
              <w:spacing w:line="360" w:lineRule="auto"/>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（1）本项目的磋商文件</w:t>
            </w:r>
            <w:r>
              <w:rPr>
                <w:rFonts w:hint="eastAsia" w:cs="@仿宋_GB2312"/>
                <w:color w:val="auto"/>
                <w:kern w:val="2"/>
                <w:sz w:val="24"/>
                <w:szCs w:val="24"/>
                <w:highlight w:val="none"/>
                <w:lang w:val="en-US" w:eastAsia="zh-CN"/>
              </w:rPr>
              <w:t>、</w:t>
            </w:r>
            <w:r>
              <w:rPr>
                <w:rFonts w:hint="eastAsia" w:ascii="宋体" w:hAnsi="宋体" w:eastAsia="宋体" w:cs="@仿宋_GB2312"/>
                <w:color w:val="auto"/>
                <w:kern w:val="2"/>
                <w:sz w:val="24"/>
                <w:szCs w:val="24"/>
                <w:highlight w:val="none"/>
              </w:rPr>
              <w:t>澄清、修改、补充等相关资料均通过电子服务系统发布，请供应商自行从网上下载，供应商应当及时查看有无相关澄清、修改、补充等内容。</w:t>
            </w:r>
          </w:p>
          <w:p w14:paraId="792DD568">
            <w:pPr>
              <w:spacing w:line="360" w:lineRule="auto"/>
              <w:rPr>
                <w:rFonts w:hint="eastAsia" w:eastAsia="宋体"/>
                <w:kern w:val="2"/>
                <w:sz w:val="21"/>
                <w:szCs w:val="22"/>
                <w:highlight w:val="none"/>
                <w:lang w:val="en-US" w:eastAsia="zh-CN"/>
              </w:rPr>
            </w:pPr>
            <w:r>
              <w:rPr>
                <w:rFonts w:hint="eastAsia" w:eastAsia="宋体" w:cs="Times New Roman"/>
                <w:b/>
                <w:bCs/>
                <w:color w:val="auto"/>
                <w:kern w:val="2"/>
                <w:sz w:val="24"/>
                <w:szCs w:val="24"/>
                <w:highlight w:val="none"/>
              </w:rPr>
              <w:t>（</w:t>
            </w:r>
            <w:r>
              <w:rPr>
                <w:rFonts w:hint="eastAsia" w:cs="Times New Roman"/>
                <w:b/>
                <w:bCs/>
                <w:color w:val="auto"/>
                <w:kern w:val="2"/>
                <w:sz w:val="24"/>
                <w:szCs w:val="24"/>
                <w:highlight w:val="none"/>
                <w:lang w:val="en-US" w:eastAsia="zh-CN"/>
              </w:rPr>
              <w:t>2</w:t>
            </w:r>
            <w:r>
              <w:rPr>
                <w:rFonts w:hint="eastAsia" w:eastAsia="宋体" w:cs="Times New Roman"/>
                <w:b/>
                <w:bCs/>
                <w:color w:val="auto"/>
                <w:kern w:val="2"/>
                <w:sz w:val="24"/>
                <w:szCs w:val="24"/>
                <w:highlight w:val="none"/>
              </w:rPr>
              <w:t>）</w:t>
            </w:r>
            <w:r>
              <w:rPr>
                <w:rFonts w:hint="eastAsia" w:ascii="宋体" w:hAnsi="宋体" w:eastAsia="宋体" w:cs="@仿宋_GB2312"/>
                <w:b/>
                <w:bCs/>
                <w:color w:val="auto"/>
                <w:kern w:val="2"/>
                <w:sz w:val="24"/>
                <w:szCs w:val="24"/>
                <w:highlight w:val="none"/>
              </w:rPr>
              <w:t>供应商在工程实施过程中用工行为，必须严格执行国家及地方政府的有关规定，依法签订劳动合同，并按规定及时足额支付工资</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合同履约期间，作业人员突发疾病、意外等造成的人员伤亡及财产损失均由</w:t>
            </w:r>
            <w:r>
              <w:rPr>
                <w:rFonts w:hint="eastAsia" w:ascii="宋体" w:hAnsi="宋体" w:eastAsia="宋体" w:cs="@仿宋_GB2312"/>
                <w:b/>
                <w:bCs/>
                <w:color w:val="auto"/>
                <w:kern w:val="2"/>
                <w:sz w:val="24"/>
                <w:szCs w:val="24"/>
                <w:highlight w:val="none"/>
                <w:lang w:val="en-US" w:eastAsia="zh-CN"/>
              </w:rPr>
              <w:t>供应商</w:t>
            </w:r>
            <w:r>
              <w:rPr>
                <w:rFonts w:hint="eastAsia" w:ascii="宋体" w:hAnsi="宋体" w:eastAsia="宋体" w:cs="@仿宋_GB2312"/>
                <w:b/>
                <w:bCs/>
                <w:color w:val="auto"/>
                <w:kern w:val="2"/>
                <w:sz w:val="24"/>
                <w:szCs w:val="24"/>
                <w:highlight w:val="none"/>
              </w:rPr>
              <w:t>负责</w:t>
            </w:r>
            <w:r>
              <w:rPr>
                <w:rFonts w:hint="eastAsia" w:ascii="宋体" w:hAnsi="宋体" w:eastAsia="宋体" w:cs="@仿宋_GB2312"/>
                <w:b/>
                <w:bCs/>
                <w:color w:val="auto"/>
                <w:kern w:val="2"/>
                <w:sz w:val="24"/>
                <w:szCs w:val="24"/>
                <w:highlight w:val="none"/>
                <w:lang w:eastAsia="zh-CN"/>
              </w:rPr>
              <w:t>。</w:t>
            </w:r>
          </w:p>
        </w:tc>
      </w:tr>
      <w:tr w14:paraId="473D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vAlign w:val="center"/>
          </w:tcPr>
          <w:p w14:paraId="2A9DB2C4">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679" w:type="pct"/>
            <w:vAlign w:val="center"/>
          </w:tcPr>
          <w:p w14:paraId="08EF31F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344" w:type="pct"/>
            <w:vAlign w:val="center"/>
          </w:tcPr>
          <w:p w14:paraId="33547F4E">
            <w:pPr>
              <w:spacing w:line="360" w:lineRule="auto"/>
              <w:rPr>
                <w:rFonts w:hint="eastAsia" w:ascii="宋体" w:hAnsi="宋体" w:eastAsia="宋体" w:cs="@仿宋_GB2312"/>
                <w:b/>
                <w:bCs/>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w:t>
            </w:r>
            <w:r>
              <w:rPr>
                <w:rFonts w:hint="eastAsia" w:cs="@仿宋_GB2312"/>
                <w:b/>
                <w:bCs/>
                <w:color w:val="auto"/>
                <w:kern w:val="2"/>
                <w:sz w:val="24"/>
                <w:szCs w:val="24"/>
                <w:highlight w:val="none"/>
                <w:lang w:val="en-US" w:eastAsia="zh-CN"/>
              </w:rPr>
              <w:t>1</w:t>
            </w:r>
            <w:r>
              <w:rPr>
                <w:rFonts w:hint="eastAsia" w:ascii="宋体" w:hAnsi="宋体" w:eastAsia="宋体" w:cs="@仿宋_GB2312"/>
                <w:b/>
                <w:bCs/>
                <w:color w:val="auto"/>
                <w:kern w:val="2"/>
                <w:sz w:val="24"/>
                <w:szCs w:val="24"/>
                <w:highlight w:val="none"/>
                <w:lang w:val="en-US" w:eastAsia="zh-CN"/>
              </w:rPr>
              <w:t>）项目经理</w:t>
            </w:r>
            <w:r>
              <w:rPr>
                <w:rFonts w:hint="eastAsia" w:cs="@仿宋_GB2312"/>
                <w:b/>
                <w:bCs/>
                <w:color w:val="auto"/>
                <w:kern w:val="2"/>
                <w:sz w:val="24"/>
                <w:szCs w:val="24"/>
                <w:highlight w:val="none"/>
                <w:lang w:val="en-US" w:eastAsia="zh-CN"/>
              </w:rPr>
              <w:t>社保</w:t>
            </w:r>
            <w:r>
              <w:rPr>
                <w:rFonts w:hint="eastAsia" w:ascii="宋体" w:hAnsi="宋体" w:eastAsia="宋体" w:cs="@仿宋_GB2312"/>
                <w:b/>
                <w:bCs/>
                <w:color w:val="auto"/>
                <w:kern w:val="2"/>
                <w:sz w:val="24"/>
                <w:szCs w:val="24"/>
                <w:highlight w:val="none"/>
                <w:lang w:val="en-US" w:eastAsia="zh-CN"/>
              </w:rPr>
              <w:t>：供应商为</w:t>
            </w:r>
            <w:r>
              <w:rPr>
                <w:rFonts w:hint="eastAsia" w:cs="@仿宋_GB2312"/>
                <w:b/>
                <w:bCs/>
                <w:color w:val="auto"/>
                <w:kern w:val="2"/>
                <w:sz w:val="24"/>
                <w:szCs w:val="24"/>
                <w:highlight w:val="none"/>
                <w:lang w:val="en-US" w:eastAsia="zh-CN"/>
              </w:rPr>
              <w:t>项目经理</w:t>
            </w:r>
            <w:r>
              <w:rPr>
                <w:rFonts w:hint="eastAsia" w:ascii="宋体" w:hAnsi="宋体" w:eastAsia="宋体" w:cs="@仿宋_GB2312"/>
                <w:b/>
                <w:bCs/>
                <w:color w:val="auto"/>
                <w:kern w:val="2"/>
                <w:sz w:val="24"/>
                <w:szCs w:val="24"/>
                <w:highlight w:val="none"/>
                <w:lang w:val="en-US" w:eastAsia="zh-CN"/>
              </w:rPr>
              <w:t>缴纳的2025年</w:t>
            </w:r>
            <w:r>
              <w:rPr>
                <w:rFonts w:hint="eastAsia" w:cs="@仿宋_GB2312"/>
                <w:b/>
                <w:bCs/>
                <w:color w:val="auto"/>
                <w:kern w:val="2"/>
                <w:sz w:val="24"/>
                <w:szCs w:val="24"/>
                <w:highlight w:val="none"/>
                <w:lang w:val="en-US" w:eastAsia="zh-CN"/>
              </w:rPr>
              <w:t>3</w:t>
            </w:r>
            <w:r>
              <w:rPr>
                <w:rFonts w:hint="eastAsia" w:ascii="宋体" w:hAnsi="宋体" w:eastAsia="宋体" w:cs="@仿宋_GB2312"/>
                <w:b/>
                <w:bCs/>
                <w:color w:val="auto"/>
                <w:kern w:val="2"/>
                <w:sz w:val="24"/>
                <w:szCs w:val="24"/>
                <w:highlight w:val="none"/>
                <w:lang w:val="en-US" w:eastAsia="zh-CN"/>
              </w:rPr>
              <w:t>月</w:t>
            </w:r>
            <w:r>
              <w:rPr>
                <w:rFonts w:hint="eastAsia" w:cs="@仿宋_GB2312"/>
                <w:b/>
                <w:bCs/>
                <w:color w:val="auto"/>
                <w:kern w:val="2"/>
                <w:sz w:val="24"/>
                <w:szCs w:val="24"/>
                <w:highlight w:val="none"/>
                <w:lang w:val="en-US" w:eastAsia="zh-CN"/>
              </w:rPr>
              <w:t>（含3月）</w:t>
            </w:r>
            <w:r>
              <w:rPr>
                <w:rFonts w:hint="eastAsia" w:ascii="宋体" w:hAnsi="宋体" w:eastAsia="宋体" w:cs="@仿宋_GB2312"/>
                <w:b/>
                <w:bCs/>
                <w:color w:val="auto"/>
                <w:kern w:val="2"/>
                <w:sz w:val="24"/>
                <w:szCs w:val="24"/>
                <w:highlight w:val="none"/>
                <w:lang w:val="en-US" w:eastAsia="zh-CN"/>
              </w:rPr>
              <w:t>以来任意一个月的社保证明材料（提供任意五险之一的社保缴纳证明即可）。项目经理的社会保险的缴纳单位应当是供应商或者供应商不具备独立法人资格的分支机构</w:t>
            </w:r>
            <w:r>
              <w:rPr>
                <w:rFonts w:hint="eastAsia" w:cs="@仿宋_GB2312"/>
                <w:b/>
                <w:bCs/>
                <w:color w:val="auto"/>
                <w:kern w:val="2"/>
                <w:sz w:val="24"/>
                <w:szCs w:val="24"/>
                <w:highlight w:val="none"/>
                <w:lang w:val="en-US" w:eastAsia="zh-CN"/>
              </w:rPr>
              <w:t>。</w:t>
            </w:r>
          </w:p>
          <w:p w14:paraId="65CB97A9">
            <w:pPr>
              <w:spacing w:line="360" w:lineRule="auto"/>
              <w:rPr>
                <w:rFonts w:hint="eastAsia" w:cs="@仿宋_GB2312"/>
                <w:b/>
                <w:bCs/>
                <w:color w:val="FF0000"/>
                <w:kern w:val="2"/>
                <w:sz w:val="24"/>
                <w:szCs w:val="24"/>
                <w:highlight w:val="none"/>
                <w:lang w:val="en-US" w:eastAsia="zh-CN"/>
              </w:rPr>
            </w:pPr>
            <w:r>
              <w:rPr>
                <w:rFonts w:hint="eastAsia" w:cs="@仿宋_GB2312"/>
                <w:b/>
                <w:bCs/>
                <w:color w:val="FF0000"/>
                <w:kern w:val="2"/>
                <w:sz w:val="24"/>
                <w:szCs w:val="24"/>
                <w:highlight w:val="none"/>
                <w:lang w:val="en-US" w:eastAsia="zh-CN"/>
              </w:rPr>
              <w:t>（2）项目经理不接受退休人员及返聘人员担任。</w:t>
            </w:r>
          </w:p>
          <w:p w14:paraId="1108337C">
            <w:pPr>
              <w:spacing w:line="360" w:lineRule="auto"/>
              <w:rPr>
                <w:rFonts w:ascii="宋体" w:hAnsi="宋体" w:eastAsia="宋体" w:cs="宋体"/>
                <w:kern w:val="2"/>
                <w:sz w:val="24"/>
                <w:szCs w:val="24"/>
                <w:highlight w:val="none"/>
              </w:rPr>
            </w:pPr>
            <w:r>
              <w:rPr>
                <w:rFonts w:ascii="宋体" w:hAnsi="宋体" w:eastAsia="宋体" w:cs="宋体"/>
                <w:kern w:val="2"/>
                <w:sz w:val="24"/>
                <w:szCs w:val="24"/>
                <w:highlight w:val="none"/>
              </w:rPr>
              <w:t>（</w:t>
            </w:r>
            <w:r>
              <w:rPr>
                <w:rFonts w:hint="eastAsia" w:cs="宋体"/>
                <w:kern w:val="2"/>
                <w:sz w:val="24"/>
                <w:szCs w:val="24"/>
                <w:highlight w:val="none"/>
                <w:lang w:val="en-US" w:eastAsia="zh-CN"/>
              </w:rPr>
              <w:t>3</w:t>
            </w:r>
            <w:r>
              <w:rPr>
                <w:rFonts w:ascii="宋体" w:hAnsi="宋体" w:eastAsia="宋体" w:cs="宋体"/>
                <w:kern w:val="2"/>
                <w:sz w:val="24"/>
                <w:szCs w:val="24"/>
                <w:highlight w:val="none"/>
              </w:rPr>
              <w:t>）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p w14:paraId="41090FF3">
            <w:pPr>
              <w:spacing w:line="360" w:lineRule="auto"/>
              <w:rPr>
                <w:rFonts w:hint="default" w:cs="@仿宋_GB2312"/>
                <w:b/>
                <w:bCs/>
                <w:color w:val="auto"/>
                <w:kern w:val="2"/>
                <w:sz w:val="24"/>
                <w:szCs w:val="24"/>
                <w:highlight w:val="none"/>
                <w:lang w:val="en-US" w:eastAsia="zh-CN"/>
              </w:rPr>
            </w:pPr>
            <w:r>
              <w:rPr>
                <w:rFonts w:ascii="宋体" w:hAnsi="宋体" w:eastAsia="宋体" w:cs="宋体"/>
                <w:kern w:val="2"/>
                <w:sz w:val="24"/>
                <w:szCs w:val="24"/>
                <w:highlight w:val="none"/>
              </w:rPr>
              <w:t>（</w:t>
            </w:r>
            <w:r>
              <w:rPr>
                <w:rFonts w:hint="eastAsia" w:cs="宋体"/>
                <w:kern w:val="2"/>
                <w:sz w:val="24"/>
                <w:szCs w:val="24"/>
                <w:highlight w:val="none"/>
                <w:lang w:val="en-US" w:eastAsia="zh-CN"/>
              </w:rPr>
              <w:t>4</w:t>
            </w:r>
            <w:r>
              <w:rPr>
                <w:rFonts w:ascii="宋体" w:hAnsi="宋体" w:eastAsia="宋体" w:cs="宋体"/>
                <w:kern w:val="2"/>
                <w:sz w:val="24"/>
                <w:szCs w:val="24"/>
                <w:highlight w:val="none"/>
              </w:rPr>
              <w:t>）拟委任项目经理为二级注册建造师的，</w:t>
            </w:r>
            <w:r>
              <w:rPr>
                <w:rFonts w:hint="eastAsia" w:ascii="宋体" w:hAnsi="宋体" w:eastAsia="宋体" w:cs="宋体"/>
                <w:kern w:val="2"/>
                <w:sz w:val="24"/>
                <w:szCs w:val="24"/>
                <w:highlight w:val="none"/>
                <w:lang w:val="en-US" w:eastAsia="zh-CN"/>
              </w:rPr>
              <w:t>响应文件</w:t>
            </w:r>
            <w:r>
              <w:rPr>
                <w:rFonts w:ascii="宋体" w:hAnsi="宋体" w:eastAsia="宋体" w:cs="宋体"/>
                <w:kern w:val="2"/>
                <w:sz w:val="24"/>
                <w:szCs w:val="24"/>
                <w:highlight w:val="none"/>
              </w:rPr>
              <w:t>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对于其他省份颁发的二级建造师注册证书使用要求，证书颁发单位另有规定的按其规定执行。</w:t>
            </w:r>
          </w:p>
        </w:tc>
      </w:tr>
      <w:tr w14:paraId="4DDA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vAlign w:val="center"/>
          </w:tcPr>
          <w:p w14:paraId="048FBD88">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679" w:type="pct"/>
            <w:vAlign w:val="center"/>
          </w:tcPr>
          <w:p w14:paraId="76D8329B">
            <w:pPr>
              <w:pStyle w:val="69"/>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344" w:type="pct"/>
            <w:vAlign w:val="center"/>
          </w:tcPr>
          <w:p w14:paraId="240E1B45">
            <w:pPr>
              <w:rPr>
                <w:rFonts w:hint="eastAsia" w:asciiTheme="minorEastAsia" w:hAnsiTheme="minorEastAsia" w:eastAsiaTheme="minorEastAsia"/>
                <w:color w:val="auto"/>
                <w:kern w:val="2"/>
                <w:sz w:val="24"/>
                <w:szCs w:val="22"/>
                <w:highlight w:val="none"/>
                <w:u w:val="single"/>
                <w:lang w:val="en-US" w:eastAsia="zh-CN"/>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u w:val="single"/>
                <w:lang w:eastAsia="zh-CN"/>
              </w:rPr>
              <w:t>2026年省淮河局、省临淮岗局水闸自动化运行维护等（第2包临淮岗工程自动监控系统维护项目）（</w:t>
            </w:r>
            <w:r>
              <w:rPr>
                <w:rFonts w:hint="eastAsia" w:asciiTheme="minorEastAsia" w:hAnsiTheme="minorEastAsia" w:eastAsiaTheme="minorEastAsia"/>
                <w:color w:val="auto"/>
                <w:kern w:val="2"/>
                <w:sz w:val="24"/>
                <w:szCs w:val="22"/>
                <w:highlight w:val="none"/>
                <w:u w:val="single"/>
                <w:lang w:val="en-US" w:eastAsia="zh-CN"/>
              </w:rPr>
              <w:t>二次）</w:t>
            </w:r>
          </w:p>
          <w:p w14:paraId="4F4B9E7A">
            <w:pPr>
              <w:rPr>
                <w:rFonts w:hint="eastAsia" w:asciiTheme="minorHAnsi" w:hAnsiTheme="minorHAnsi"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auto"/>
                <w:kern w:val="2"/>
                <w:sz w:val="24"/>
                <w:szCs w:val="22"/>
                <w:highlight w:val="none"/>
                <w:u w:val="single"/>
                <w:lang w:val="en-US" w:eastAsia="zh-CN"/>
              </w:rPr>
              <w:t>建筑业</w:t>
            </w:r>
          </w:p>
        </w:tc>
      </w:tr>
    </w:tbl>
    <w:p w14:paraId="195073B5">
      <w:pPr>
        <w:adjustRightInd w:val="0"/>
        <w:snapToGrid w:val="0"/>
        <w:spacing w:line="560" w:lineRule="exact"/>
        <w:ind w:firstLine="0" w:firstLineChars="0"/>
        <w:outlineLvl w:val="1"/>
        <w:rPr>
          <w:rFonts w:hint="eastAsia" w:ascii="宋体" w:hAnsi="宋体" w:eastAsia="宋体" w:cs="宋体"/>
          <w:b/>
          <w:bCs w:val="0"/>
          <w:sz w:val="24"/>
          <w:szCs w:val="24"/>
        </w:rPr>
      </w:pPr>
      <w:bookmarkStart w:id="35" w:name="_Toc2674"/>
      <w:r>
        <w:rPr>
          <w:rFonts w:hint="eastAsia" w:ascii="宋体" w:hAnsi="宋体" w:eastAsia="宋体" w:cs="宋体"/>
          <w:b/>
          <w:bCs w:val="0"/>
          <w:sz w:val="24"/>
          <w:szCs w:val="24"/>
        </w:rPr>
        <w:t>（一）工程概况</w:t>
      </w:r>
      <w:bookmarkEnd w:id="35"/>
    </w:p>
    <w:p w14:paraId="3C0164F4">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临淮岗洪水控制工程位于淮河干流中游，集水面积 4.22 万 km</w:t>
      </w:r>
      <w:r>
        <w:rPr>
          <w:rFonts w:hint="eastAsia" w:ascii="宋体" w:hAnsi="宋体" w:eastAsia="宋体" w:cs="宋体"/>
          <w:sz w:val="24"/>
          <w:szCs w:val="24"/>
          <w:vertAlign w:val="superscript"/>
        </w:rPr>
        <w:t>2</w:t>
      </w:r>
      <w:r>
        <w:rPr>
          <w:rFonts w:hint="eastAsia" w:ascii="宋体" w:hAnsi="宋体" w:eastAsia="宋体" w:cs="宋体"/>
          <w:sz w:val="24"/>
          <w:szCs w:val="24"/>
        </w:rPr>
        <w:t>，为Ⅰ等大（1）型工程，按100年一遇洪水标准设计、1000年一遇洪水标准校核，具有防洪、除涝、灌溉、航运、生态等功能。主体工程处于淮河王家坝和正阳关之间，跨霍邱、颍上、阜南三县，主要建筑物包括：主坝8.54km、南副坝8.41km、北副坝 60.56km、五座大型建筑物及52座中小型涵闸。</w:t>
      </w:r>
    </w:p>
    <w:p w14:paraId="5F8F96F7">
      <w:pPr>
        <w:numPr>
          <w:ilvl w:val="0"/>
          <w:numId w:val="0"/>
        </w:numPr>
        <w:adjustRightInd w:val="0"/>
        <w:snapToGrid w:val="0"/>
        <w:spacing w:line="560" w:lineRule="exact"/>
        <w:ind w:left="0" w:leftChars="0"/>
        <w:rPr>
          <w:rFonts w:hint="eastAsia" w:ascii="宋体" w:hAnsi="宋体" w:eastAsia="宋体" w:cs="宋体"/>
          <w:b/>
          <w:bCs w:val="0"/>
          <w:sz w:val="24"/>
          <w:szCs w:val="24"/>
          <w:lang w:eastAsia="zh-CN"/>
        </w:rPr>
      </w:pPr>
      <w:r>
        <w:rPr>
          <w:rFonts w:hint="eastAsia" w:ascii="宋体" w:hAnsi="宋体" w:eastAsia="宋体" w:cs="宋体"/>
          <w:b/>
          <w:bCs w:val="0"/>
          <w:sz w:val="24"/>
          <w:szCs w:val="24"/>
        </w:rPr>
        <w:t>（</w:t>
      </w:r>
      <w:r>
        <w:rPr>
          <w:rFonts w:hint="eastAsia" w:ascii="宋体" w:hAnsi="宋体" w:eastAsia="宋体" w:cs="宋体"/>
          <w:b/>
          <w:bCs w:val="0"/>
          <w:sz w:val="24"/>
          <w:szCs w:val="24"/>
          <w:lang w:eastAsia="zh-CN"/>
        </w:rPr>
        <w:t>二</w:t>
      </w:r>
      <w:r>
        <w:rPr>
          <w:rFonts w:hint="eastAsia" w:ascii="宋体" w:hAnsi="宋体" w:eastAsia="宋体" w:cs="宋体"/>
          <w:b/>
          <w:bCs w:val="0"/>
          <w:sz w:val="24"/>
          <w:szCs w:val="24"/>
        </w:rPr>
        <w:t>）</w:t>
      </w:r>
      <w:r>
        <w:rPr>
          <w:rFonts w:hint="eastAsia" w:ascii="宋体" w:hAnsi="宋体" w:eastAsia="宋体" w:cs="宋体"/>
          <w:b/>
          <w:bCs w:val="0"/>
          <w:sz w:val="24"/>
          <w:szCs w:val="24"/>
          <w:lang w:eastAsia="zh-CN"/>
        </w:rPr>
        <w:t>建设任务</w:t>
      </w:r>
    </w:p>
    <w:p w14:paraId="5DEF7858">
      <w:pPr>
        <w:pStyle w:val="35"/>
        <w:numPr>
          <w:ilvl w:val="0"/>
          <w:numId w:val="0"/>
        </w:numPr>
        <w:adjustRightInd w:val="0"/>
        <w:snapToGrid w:val="0"/>
        <w:spacing w:line="560" w:lineRule="exact"/>
        <w:ind w:firstLine="482" w:firstLineChars="200"/>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A.姜唐湖进洪闸、浅孔闸、深孔闸、城西湖退水闸监控维修及设备校准：</w:t>
      </w:r>
    </w:p>
    <w:p w14:paraId="7B67310E">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1.闸门控制维修及设备校准：</w:t>
      </w:r>
    </w:p>
    <w:p w14:paraId="302B3412">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（1）合同期内保障控制系统稳定运行，24时内赶赴现场处理问题，包含视频监控、闸门控制平台等软件问题。</w:t>
      </w:r>
    </w:p>
    <w:p w14:paraId="3A0309BC">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（2）补充闸站上位机（触摸屏）上、下游水位、流量、闸门运行状态、故障信息、荷载等数据。</w:t>
      </w:r>
    </w:p>
    <w:p w14:paraId="3C143048">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（3）检查中控室计算机、UPS电源、录像机、大屏等网络设备状态，确保监控数据正常。</w:t>
      </w:r>
    </w:p>
    <w:p w14:paraId="463E979C">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（4）对各闸站控制软件数据库数据补录、升级维护等。</w:t>
      </w:r>
    </w:p>
    <w:p w14:paraId="784E92E6">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（5）IP规划，参数调整，数据备份，路由调整，故障检查等。</w:t>
      </w:r>
    </w:p>
    <w:p w14:paraId="1C9536BF">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（6）摄像头镜头清洗一次，高空作业。</w:t>
      </w:r>
    </w:p>
    <w:p w14:paraId="03117B46">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（7）水闸闸门开度校准。</w:t>
      </w:r>
    </w:p>
    <w:p w14:paraId="1F06AF4C">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2.LCU集中控制柜及动力柜维修及设备校准：</w:t>
      </w:r>
    </w:p>
    <w:p w14:paraId="643AD85A">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合同期内常态化维修及设备校准。</w:t>
      </w:r>
    </w:p>
    <w:p w14:paraId="71E1FCB5">
      <w:pPr>
        <w:numPr>
          <w:ilvl w:val="0"/>
          <w:numId w:val="3"/>
        </w:num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如柜内的按钮、继电器、电源、通信机、外部接线等设备发生损坏，无偿进行设备更换；</w:t>
      </w:r>
    </w:p>
    <w:p w14:paraId="03BB2EE0">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（2）编制或修改PLC程序（需满足自控上位机要求，本次加入程序内部限位、拒动、启闭力保护等）；</w:t>
      </w:r>
    </w:p>
    <w:p w14:paraId="21C378E0">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（3）触摸屏软件界面设计、更新等。</w:t>
      </w:r>
    </w:p>
    <w:p w14:paraId="37E49A6C">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（4）现地通讯模块维护。</w:t>
      </w:r>
    </w:p>
    <w:p w14:paraId="500BF37E">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（5）检查PLC主机、数字量通讯模块、模拟量通讯模块等功能模块硬件状况，调整数据传输程序和参数的设置。</w:t>
      </w:r>
    </w:p>
    <w:p w14:paraId="58365B67">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（6）如柜内交流接触器、控制回路电源、分离开关、断路器、按钮、中间继电器等设备发生损坏，无偿进行设备更换；</w:t>
      </w:r>
    </w:p>
    <w:p w14:paraId="6A1D8C57">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（7）重新标定仪表的工作参数（开度、限位、荷重值应准确无误），机械限位调整等。</w:t>
      </w:r>
    </w:p>
    <w:p w14:paraId="24F5ED26">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3.渗压观测数据校准：姜唐湖进洪闸8套、深孔闸30套、浅孔闸39套、城西湖退水闸32套、船闸11套、姜唐湖退水闸6套。</w:t>
      </w:r>
    </w:p>
    <w:p w14:paraId="1BB1DC4A">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（1）监测站点设备维护保养。包括MCU监测设备、水位计、渗压计的故障排查与修复，以及故障设备的更换。</w:t>
      </w:r>
    </w:p>
    <w:p w14:paraId="5AF2C479">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（2）设备定期校准。每年2次，时间由临淮岗管理局依据实际情况确定，对渗压计、水位计进行定期校准。</w:t>
      </w:r>
    </w:p>
    <w:p w14:paraId="45200CC7">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（3）现有软件平台数据库数据补录、升级维护等。</w:t>
      </w:r>
    </w:p>
    <w:p w14:paraId="7BF02C6B">
      <w:pPr>
        <w:adjustRightInd w:val="0"/>
        <w:snapToGrid w:val="0"/>
        <w:spacing w:line="560" w:lineRule="exact"/>
        <w:ind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4.浅孔闸控制柜仪表更换24套。</w:t>
      </w:r>
    </w:p>
    <w:p w14:paraId="4613EC9A">
      <w:pPr>
        <w:adjustRightInd w:val="0"/>
        <w:snapToGrid w:val="0"/>
        <w:spacing w:line="560" w:lineRule="exact"/>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B.</w:t>
      </w:r>
      <w:r>
        <w:rPr>
          <w:rFonts w:hint="eastAsia" w:ascii="宋体" w:hAnsi="宋体" w:eastAsia="宋体" w:cs="宋体"/>
          <w:b/>
          <w:bCs/>
          <w:color w:val="auto"/>
          <w:sz w:val="24"/>
          <w:szCs w:val="24"/>
        </w:rPr>
        <w:t>反恐监控设施改造</w:t>
      </w:r>
      <w:r>
        <w:rPr>
          <w:rFonts w:hint="eastAsia" w:ascii="宋体" w:hAnsi="宋体" w:eastAsia="宋体" w:cs="宋体"/>
          <w:b/>
          <w:bCs/>
          <w:color w:val="auto"/>
          <w:sz w:val="24"/>
          <w:szCs w:val="24"/>
          <w:lang w:val="en-US" w:eastAsia="zh-CN"/>
        </w:rPr>
        <w:t>：</w:t>
      </w:r>
    </w:p>
    <w:p w14:paraId="1E22E6E3">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购置安装一键报警装置2套，抓拍球机2个，枪机1个，球机2个，视频监控系统1套。</w:t>
      </w:r>
    </w:p>
    <w:p w14:paraId="57F1E280">
      <w:pPr>
        <w:pStyle w:val="35"/>
        <w:adjustRightInd w:val="0"/>
        <w:snapToGrid w:val="0"/>
        <w:spacing w:line="560" w:lineRule="exact"/>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C.副坝监控维修及设备校准：</w:t>
      </w:r>
    </w:p>
    <w:p w14:paraId="11CFAF78">
      <w:pPr>
        <w:adjustRightInd w:val="0"/>
        <w:snapToGrid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副坝水位监测维修及设备校准8套；陶坝闸自动化控制设备维修及设备校准7套；副坝监控前端设备维修及设备校准36套；监控后台维修及设备校准3套；</w:t>
      </w:r>
    </w:p>
    <w:p w14:paraId="7353F0B1">
      <w:pPr>
        <w:adjustRightInd w:val="0"/>
        <w:snapToGrid w:val="0"/>
        <w:spacing w:line="560" w:lineRule="exact"/>
        <w:rPr>
          <w:rFonts w:hint="eastAsia" w:cs="宋体"/>
          <w:sz w:val="24"/>
          <w:szCs w:val="24"/>
          <w:lang w:val="en-US" w:eastAsia="zh-CN"/>
        </w:rPr>
      </w:pPr>
      <w:r>
        <w:rPr>
          <w:rFonts w:hint="eastAsia" w:ascii="宋体" w:hAnsi="宋体" w:eastAsia="宋体" w:cs="宋体"/>
          <w:color w:val="auto"/>
          <w:kern w:val="2"/>
          <w:sz w:val="24"/>
          <w:szCs w:val="24"/>
          <w:highlight w:val="none"/>
          <w:lang w:val="en-US" w:eastAsia="zh-CN" w:bidi="ar-SA"/>
        </w:rPr>
        <w:t>开度仪表2台，主令控制器1台，外置拉绳控制器1台，光电编码器2台等。</w:t>
      </w:r>
    </w:p>
    <w:p w14:paraId="177B1B3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D.姜唐湖退水闸监控维修及设备校准：</w:t>
      </w:r>
    </w:p>
    <w:p w14:paraId="7B6C3C2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现地柜更换CPU2个；闸门监控更换16个；交流接触器28个；闸门控制</w:t>
      </w:r>
      <w:r>
        <w:rPr>
          <w:rFonts w:hint="eastAsia" w:ascii="宋体" w:hAnsi="宋体" w:eastAsia="宋体" w:cs="宋体"/>
          <w:color w:val="auto"/>
          <w:kern w:val="2"/>
          <w:sz w:val="24"/>
          <w:szCs w:val="24"/>
          <w:highlight w:val="none"/>
          <w:lang w:val="en-US" w:eastAsia="zh-CN" w:bidi="ar-SA"/>
        </w:rPr>
        <w:t>维修及设备校准</w:t>
      </w:r>
      <w:r>
        <w:rPr>
          <w:rFonts w:hint="eastAsia" w:ascii="宋体" w:hAnsi="宋体" w:eastAsia="宋体" w:cs="宋体"/>
          <w:color w:val="auto"/>
          <w:sz w:val="24"/>
          <w:szCs w:val="24"/>
          <w:highlight w:val="none"/>
          <w:lang w:val="en-US" w:eastAsia="zh-CN"/>
        </w:rPr>
        <w:t>3次；LCU集中控制柜及动力柜</w:t>
      </w:r>
      <w:r>
        <w:rPr>
          <w:rFonts w:hint="eastAsia" w:ascii="宋体" w:hAnsi="宋体" w:eastAsia="宋体" w:cs="宋体"/>
          <w:color w:val="auto"/>
          <w:kern w:val="2"/>
          <w:sz w:val="24"/>
          <w:szCs w:val="24"/>
          <w:highlight w:val="none"/>
          <w:lang w:val="en-US" w:eastAsia="zh-CN" w:bidi="ar-SA"/>
        </w:rPr>
        <w:t>维修及设备校准</w:t>
      </w:r>
      <w:r>
        <w:rPr>
          <w:rFonts w:hint="eastAsia" w:ascii="宋体" w:hAnsi="宋体" w:eastAsia="宋体" w:cs="宋体"/>
          <w:color w:val="auto"/>
          <w:sz w:val="24"/>
          <w:szCs w:val="24"/>
          <w:highlight w:val="none"/>
          <w:lang w:val="en-US" w:eastAsia="zh-CN"/>
        </w:rPr>
        <w:t>3次；信息化平台软硬件</w:t>
      </w:r>
      <w:r>
        <w:rPr>
          <w:rFonts w:hint="eastAsia" w:ascii="宋体" w:hAnsi="宋体" w:eastAsia="宋体" w:cs="宋体"/>
          <w:color w:val="auto"/>
          <w:kern w:val="2"/>
          <w:sz w:val="24"/>
          <w:szCs w:val="24"/>
          <w:highlight w:val="none"/>
          <w:lang w:val="en-US" w:eastAsia="zh-CN" w:bidi="ar-SA"/>
        </w:rPr>
        <w:t>维修及设备校准</w:t>
      </w:r>
      <w:r>
        <w:rPr>
          <w:rFonts w:hint="eastAsia" w:ascii="宋体" w:hAnsi="宋体" w:eastAsia="宋体" w:cs="宋体"/>
          <w:color w:val="auto"/>
          <w:sz w:val="24"/>
          <w:szCs w:val="24"/>
          <w:highlight w:val="none"/>
          <w:lang w:val="en-US" w:eastAsia="zh-CN"/>
        </w:rPr>
        <w:t>1项；暂列金1项</w:t>
      </w:r>
      <w:r>
        <w:rPr>
          <w:rFonts w:hint="eastAsia" w:ascii="宋体" w:hAnsi="宋体" w:eastAsia="宋体" w:cs="宋体"/>
          <w:color w:val="auto"/>
          <w:kern w:val="2"/>
          <w:sz w:val="24"/>
          <w:szCs w:val="24"/>
          <w:highlight w:val="none"/>
          <w:lang w:val="en-US" w:eastAsia="zh-CN" w:bidi="ar-SA"/>
        </w:rPr>
        <w:t>。</w:t>
      </w:r>
    </w:p>
    <w:p w14:paraId="3F9E657A">
      <w:pPr>
        <w:pStyle w:val="35"/>
        <w:adjustRightInd w:val="0"/>
        <w:snapToGrid w:val="0"/>
        <w:spacing w:line="560" w:lineRule="exact"/>
        <w:ind w:firstLine="482"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E.工程通讯系统改造：</w:t>
      </w:r>
    </w:p>
    <w:p w14:paraId="525FC6B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1.网络通信系统改造：双频无线AP 17台；出口网关1台；24口千兆POE交换机3台；千兆光模块6台等。</w:t>
      </w:r>
    </w:p>
    <w:p w14:paraId="6A1BAC17">
      <w:pPr>
        <w:pStyle w:val="35"/>
        <w:adjustRightInd w:val="0"/>
        <w:snapToGrid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五楼防汛会商系统改造：多点控制单元1台；视频会商终端1台；视频会商摄像机2台；吸顶音箱6台；纯后级功率放大器3台；数字音频处理器1台；反馈抑制器1台；编组调音台1台；电源时序器1台；数字会议主机1台；双备份有线主席单元1台；双备份有线代表单元4台；智能中控主机1台；8路HDMI无缝矩阵1台；无线平板1台；无线路由器1台；中控编程1项；机柜1台；交换机1台；PZ30配电箱制安1台等。</w:t>
      </w:r>
    </w:p>
    <w:p w14:paraId="58EE0FF3">
      <w:pPr>
        <w:adjustRightInd w:val="0"/>
        <w:snapToGrid w:val="0"/>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color w:val="auto"/>
          <w:kern w:val="2"/>
          <w:sz w:val="24"/>
          <w:szCs w:val="24"/>
          <w:highlight w:val="none"/>
          <w:lang w:val="en-US" w:eastAsia="zh-CN" w:bidi="ar-SA"/>
        </w:rPr>
        <w:t>3.四楼会商系统改造：视频会商摄像机1台；吸顶音箱4台；纯后级功率放大器2台；数字音频处理器1台；反馈抑制器1台；编组调音台1台；电源时序器1台；数字会议主机1台；双备份有线主席单元1台；双备份有线代表单元4台；智能中控主机1台；8路HDMI无缝矩阵1台；无线平板1台；无线路由器1台；中控编程1项；显示设备1台；机柜1台；交换机1台等。</w:t>
      </w:r>
    </w:p>
    <w:p w14:paraId="687191D7">
      <w:pPr>
        <w:numPr>
          <w:ilvl w:val="0"/>
          <w:numId w:val="4"/>
        </w:numPr>
        <w:adjustRightInd w:val="0"/>
        <w:snapToGrid w:val="0"/>
        <w:spacing w:line="560" w:lineRule="exact"/>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技术要求</w:t>
      </w:r>
    </w:p>
    <w:p w14:paraId="6EC32223">
      <w:pPr>
        <w:pStyle w:val="53"/>
        <w:adjustRightInd w:val="0"/>
        <w:snapToGrid w:val="0"/>
        <w:spacing w:after="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凡与本项目有关的国家及行业现行施工标准、施工规范、管理标准以及省市相关部门发布的各项技术验收标准以及相关规定等，均适用于本项目。</w:t>
      </w:r>
    </w:p>
    <w:p w14:paraId="79D7A3F4">
      <w:pPr>
        <w:numPr>
          <w:ilvl w:val="0"/>
          <w:numId w:val="4"/>
        </w:numPr>
        <w:adjustRightInd w:val="0"/>
        <w:snapToGrid w:val="0"/>
        <w:spacing w:line="560" w:lineRule="exact"/>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工程量清单</w:t>
      </w:r>
    </w:p>
    <w:p w14:paraId="7E066D9B">
      <w:pPr>
        <w:rPr>
          <w:rFonts w:hint="eastAsia"/>
          <w:sz w:val="24"/>
          <w:szCs w:val="24"/>
          <w:lang w:val="zh-CN" w:eastAsia="zh-CN"/>
        </w:rPr>
      </w:pPr>
    </w:p>
    <w:tbl>
      <w:tblPr>
        <w:tblStyle w:val="55"/>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1190"/>
        <w:gridCol w:w="689"/>
        <w:gridCol w:w="847"/>
        <w:gridCol w:w="923"/>
        <w:gridCol w:w="811"/>
        <w:gridCol w:w="3327"/>
      </w:tblGrid>
      <w:tr w14:paraId="3C717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5D11D3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717314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A654A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B66AC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27E831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cs="宋体"/>
                <w:b/>
                <w:bCs/>
                <w:i w:val="0"/>
                <w:iCs w:val="0"/>
                <w:color w:val="000000"/>
                <w:kern w:val="0"/>
                <w:sz w:val="20"/>
                <w:szCs w:val="20"/>
                <w:u w:val="none"/>
                <w:lang w:val="en-US" w:eastAsia="zh-CN" w:bidi="ar"/>
              </w:rPr>
              <w:t>（元）</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CE1C3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r>
              <w:rPr>
                <w:rFonts w:hint="eastAsia" w:cs="宋体"/>
                <w:b/>
                <w:bCs/>
                <w:i w:val="0"/>
                <w:iCs w:val="0"/>
                <w:color w:val="000000"/>
                <w:kern w:val="0"/>
                <w:sz w:val="20"/>
                <w:szCs w:val="20"/>
                <w:u w:val="none"/>
                <w:lang w:val="en-US" w:eastAsia="zh-CN" w:bidi="ar"/>
              </w:rPr>
              <w:t>（元）</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7C4B6D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56AA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5F9368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4460" w:type="dxa"/>
            <w:gridSpan w:val="5"/>
            <w:tcBorders>
              <w:top w:val="single" w:color="000000" w:sz="4" w:space="0"/>
              <w:left w:val="single" w:color="000000" w:sz="4" w:space="0"/>
              <w:bottom w:val="single" w:color="000000" w:sz="4" w:space="0"/>
              <w:right w:val="single" w:color="000000" w:sz="4" w:space="0"/>
            </w:tcBorders>
            <w:noWrap/>
            <w:vAlign w:val="center"/>
          </w:tcPr>
          <w:p w14:paraId="5696B362">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姜唐湖进洪闸、浅孔闸、深孔闸、城西湖退水闸监控维修及设备校准</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ECFCD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cs="宋体"/>
                <w:b/>
                <w:bCs/>
                <w:i w:val="0"/>
                <w:iCs w:val="0"/>
                <w:color w:val="FF0000"/>
                <w:kern w:val="0"/>
                <w:sz w:val="20"/>
                <w:szCs w:val="20"/>
                <w:u w:val="none"/>
                <w:lang w:val="en-US" w:eastAsia="zh-CN" w:bidi="ar"/>
              </w:rPr>
              <w:t>分项</w:t>
            </w:r>
            <w:r>
              <w:rPr>
                <w:rFonts w:hint="eastAsia" w:ascii="宋体" w:hAnsi="宋体" w:eastAsia="宋体" w:cs="宋体"/>
                <w:b/>
                <w:bCs/>
                <w:i w:val="0"/>
                <w:iCs w:val="0"/>
                <w:color w:val="FF0000"/>
                <w:kern w:val="0"/>
                <w:sz w:val="20"/>
                <w:szCs w:val="20"/>
                <w:u w:val="none"/>
                <w:lang w:val="en-US" w:eastAsia="zh-CN" w:bidi="ar"/>
              </w:rPr>
              <w:t>限价22万元</w:t>
            </w:r>
          </w:p>
        </w:tc>
      </w:tr>
      <w:tr w14:paraId="22538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2D7B1A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100DD8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闸门控制维修及设备校准</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46E69E4">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F1F4F7A">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26ED930D">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F854A59">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0ED2D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合同期内保障控制系统稳定运行，24时内赶赴现场处理问题，包含视频监控、闸门控制平台等软件问题。</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补充闸站上位机上、下游水位、流量、闸门运行状态、故障信息、荷载等数据。</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检查中控室计算机、UPS电源、录像机、大屏等网络设备状态，确保监控设备正常。</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对各闸站控制软件数据库数据补录、升级维护等。</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IP规划，参数调整，数据备份，路由调整，故障检查等。</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6</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摄像头镜头清洗一次，高空作业。</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FF0000"/>
                <w:kern w:val="0"/>
                <w:sz w:val="20"/>
                <w:szCs w:val="20"/>
                <w:u w:val="none"/>
                <w:lang w:val="en-US" w:eastAsia="zh-CN" w:bidi="ar"/>
              </w:rPr>
              <w:t>7</w:t>
            </w:r>
            <w:r>
              <w:rPr>
                <w:rFonts w:hint="eastAsia" w:cs="宋体"/>
                <w:b/>
                <w:bCs/>
                <w:i w:val="0"/>
                <w:iCs w:val="0"/>
                <w:color w:val="FF0000"/>
                <w:kern w:val="0"/>
                <w:sz w:val="20"/>
                <w:szCs w:val="20"/>
                <w:u w:val="none"/>
                <w:lang w:val="en-US" w:eastAsia="zh-CN" w:bidi="ar"/>
              </w:rPr>
              <w:t>.</w:t>
            </w:r>
            <w:r>
              <w:rPr>
                <w:rFonts w:hint="eastAsia" w:ascii="宋体" w:hAnsi="宋体" w:eastAsia="宋体" w:cs="宋体"/>
                <w:b/>
                <w:bCs/>
                <w:i w:val="0"/>
                <w:iCs w:val="0"/>
                <w:color w:val="FF0000"/>
                <w:kern w:val="0"/>
                <w:sz w:val="20"/>
                <w:szCs w:val="20"/>
                <w:u w:val="none"/>
                <w:lang w:val="en-US" w:eastAsia="zh-CN" w:bidi="ar"/>
              </w:rPr>
              <w:t>水闸闸门开度校准</w:t>
            </w:r>
          </w:p>
        </w:tc>
      </w:tr>
      <w:tr w14:paraId="58D56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5BAD89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07F6B0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姜唐湖进洪闸闸门及监控控制</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ADAC4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B36C3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5F39094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3ED76D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4F8EF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共14孔。</w:t>
            </w:r>
          </w:p>
        </w:tc>
      </w:tr>
      <w:tr w14:paraId="3A2BD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4FA780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0FC52E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浅孔闸闸门及监控控制</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4B6A7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AEAF4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09163F4C">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F1B10F9">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FCC86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共49孔，分为上下扉门。</w:t>
            </w:r>
          </w:p>
        </w:tc>
      </w:tr>
      <w:tr w14:paraId="7E97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494853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3E3C9E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深孔闸闸门及监控控制</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FF0CD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33218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39ACCDA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E1E0F2A">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0A7A6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共12孔。</w:t>
            </w:r>
          </w:p>
        </w:tc>
      </w:tr>
      <w:tr w14:paraId="7891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377D5F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53B10B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城西湖退水闸闸门及监控控制</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45A4F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A0AE2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73BAB475">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C027A75">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B4EC4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共12孔，分为深浅孔。</w:t>
            </w:r>
          </w:p>
        </w:tc>
      </w:tr>
      <w:tr w14:paraId="1D69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4081E9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73A56B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LCU集中控制柜及动力柜维修及设备校准</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17708D9">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E9FCDF3">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0568DBFB">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295BACE">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10D2A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合同期内常态化维护。</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1</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 xml:space="preserve">如柜内的按钮、继电器、电源、通信机、外部接线等设备发生损坏，无偿进行设备更换；                     </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 xml:space="preserve">编制或修改PLC程序（需满足自控上位机要求，本次加入程序内部限位、拒动、启闭力保护等）；                        </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触摸屏软件界面设计、更新等。</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现地通讯模块维护。</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检查PLC主机、数字量通讯模块、模拟量通讯模块等功能模块硬件状况，调整数据传输程序和参数的设置。</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6</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 xml:space="preserve">如柜内交流接触器、控制回路电源、分离开关、断路器、按钮、中间继电器等设备发生损坏，无偿进行设备更换；                           </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7</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重新标定仪表的工作参数（开度、限位、荷重值应准确无误），机械限位调整等。</w:t>
            </w:r>
          </w:p>
        </w:tc>
      </w:tr>
      <w:tr w14:paraId="60866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21FB61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3B88B6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姜唐湖进洪闸LCU集中控制柜</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B419F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6EE78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4B112FA5">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E60E21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3DA2E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14孔。LCU集中控制柜5台，动力柜5台</w:t>
            </w:r>
          </w:p>
        </w:tc>
      </w:tr>
      <w:tr w14:paraId="38AE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626AED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7B54D1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浅孔闸LCU集中控制柜</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962E1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8F3C6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0096191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6348665">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27B7D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49孔，分为上下扉门。LCU集中控制柜13台，动力柜13台</w:t>
            </w:r>
          </w:p>
        </w:tc>
      </w:tr>
      <w:tr w14:paraId="16CB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244E05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1E1772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深孔闸LCU集中控制柜</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DF9EC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1176C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3DA2663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F2A29D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75988C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12孔。LCU集中控制柜4台，动力柜4台</w:t>
            </w:r>
          </w:p>
        </w:tc>
      </w:tr>
      <w:tr w14:paraId="5409D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60BB1D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7A6BE5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城西湖退水闸LCU集中控制柜</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1E814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31FC1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410F5F0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05A450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918B5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12孔，分为深浅孔。LCU集中控制柜4台，动力柜12台</w:t>
            </w:r>
          </w:p>
        </w:tc>
      </w:tr>
      <w:tr w14:paraId="565F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1925DB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00037B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水闸渗压观测数据校准</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FE9D0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A226E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126</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485B3899">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A228ABF">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02ED2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1、监测站点设备维护保养。包括监测设备、水位计、渗压计的故障排查与修复，以及故障设备的更换。</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2、设备定期校准。每年2次，时间由临淮岗管理局依据实际情况确定，对渗压计、水位计进行定期校准。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3、现有软件平台数据库数据补录、升级维护等</w:t>
            </w:r>
          </w:p>
        </w:tc>
      </w:tr>
      <w:tr w14:paraId="70CD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2F81F3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164C3D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浅孔闸控制柜仪表更换</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25D5E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9D0A8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1CDF89D9">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32BB5DA">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FF4FF71">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型号：HY-KD-1K2H-1M</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规格参数：闸门开度荷重测控仪，开孔尺寸： 152（宽）×76（高）mm，具有1路串行格雷码SSI信号输入，2路4-20mA输入信号（荷重），铝制外壳，DC24V供电，具有标准MODBUS-RTU协议RS485信号，开度、左右荷重4-20mA模拟量信号输出，继电器输出（上限、下限、控1、控2、控3，左右荷重110%、90%、10%（欠载））等功能。支持开度设定、荷重标定、限位设置、荷重保护、密码保护，通信寄存器地址设置等功能，可定制私有化协议。兼容原主令控制器、编码器及PLC程序。重新编制或升级PLC、触摸屏、上位机程序，保证仪表更换后，正常使用。</w:t>
            </w:r>
          </w:p>
        </w:tc>
      </w:tr>
      <w:tr w14:paraId="66D8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2E2306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二</w:t>
            </w:r>
          </w:p>
        </w:tc>
        <w:tc>
          <w:tcPr>
            <w:tcW w:w="4460" w:type="dxa"/>
            <w:gridSpan w:val="5"/>
            <w:tcBorders>
              <w:top w:val="single" w:color="000000" w:sz="4" w:space="0"/>
              <w:left w:val="single" w:color="000000" w:sz="4" w:space="0"/>
              <w:bottom w:val="single" w:color="000000" w:sz="4" w:space="0"/>
              <w:right w:val="single" w:color="000000" w:sz="4" w:space="0"/>
            </w:tcBorders>
            <w:noWrap w:val="0"/>
            <w:vAlign w:val="center"/>
          </w:tcPr>
          <w:p w14:paraId="3C8E2EC5">
            <w:pPr>
              <w:snapToGrid w:val="0"/>
              <w:ind w:left="0" w:leftChars="0" w:right="0" w:rightChars="0" w:firstLine="0" w:firstLineChars="0"/>
              <w:jc w:val="left"/>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反恐监控设施改造</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3BA12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FF0000"/>
                <w:sz w:val="20"/>
                <w:szCs w:val="20"/>
                <w:u w:val="none"/>
              </w:rPr>
            </w:pPr>
            <w:r>
              <w:rPr>
                <w:rFonts w:hint="eastAsia" w:cs="宋体"/>
                <w:b/>
                <w:bCs/>
                <w:i w:val="0"/>
                <w:iCs w:val="0"/>
                <w:color w:val="FF0000"/>
                <w:kern w:val="0"/>
                <w:sz w:val="20"/>
                <w:szCs w:val="20"/>
                <w:u w:val="none"/>
                <w:lang w:val="en-US" w:eastAsia="zh-CN" w:bidi="ar"/>
              </w:rPr>
              <w:t>分项</w:t>
            </w:r>
            <w:r>
              <w:rPr>
                <w:rFonts w:hint="eastAsia" w:ascii="宋体" w:hAnsi="宋体" w:eastAsia="宋体" w:cs="宋体"/>
                <w:b/>
                <w:bCs/>
                <w:i w:val="0"/>
                <w:iCs w:val="0"/>
                <w:color w:val="FF0000"/>
                <w:kern w:val="0"/>
                <w:sz w:val="20"/>
                <w:szCs w:val="20"/>
                <w:u w:val="none"/>
                <w:lang w:val="en-US" w:eastAsia="zh-CN" w:bidi="ar"/>
              </w:rPr>
              <w:t>限价7万元。</w:t>
            </w:r>
          </w:p>
        </w:tc>
      </w:tr>
      <w:tr w14:paraId="0E4D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D79BC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9A694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一键报警装置</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5759A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8501A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2904C6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4C55F31">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F9FA1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深孔闸、浅孔闸各一套，监控中心（中控室）实现一键报警，含3年服务费。</w:t>
            </w:r>
          </w:p>
        </w:tc>
      </w:tr>
      <w:tr w14:paraId="3650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F1B6D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9067A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抓拍球机</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14F1A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08A4D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60BD5EAB">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C0A0173">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04A31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深孔闸桥头堡外墙1个球机，浅孔闸桥头堡外墙1个球机（800万像素，含夜视功能，23倍以上变焦全彩摄像机、人脸抓拍，侦测跟随，红外150米以上）。</w:t>
            </w:r>
          </w:p>
        </w:tc>
      </w:tr>
      <w:tr w14:paraId="5E9F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F69FD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E33C1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枪机</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A245F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98D38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0EA53BFE">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228A8EC">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304B2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深孔闸中控室1个枪机（含夜视功能，全彩摄像机，800万像素以上，防尘防水）。</w:t>
            </w:r>
          </w:p>
        </w:tc>
      </w:tr>
      <w:tr w14:paraId="72407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BBBC1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90853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F8B1D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BDE48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08CE44B3">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31C4CD1">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C4616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深孔闸北桥头堡门口1个球机，浅孔闸南桥头堡门口1个球机（400万像素，含夜视功能，23倍以上变焦全彩摄像机、人脸抓拍，侦测跟随，红外100米以上）。</w:t>
            </w:r>
          </w:p>
        </w:tc>
      </w:tr>
      <w:tr w14:paraId="76298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F42E4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FB9EC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视频监控系统</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77F26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75FA8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21005131">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08BB9F8">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BFB15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2台硬盘录像机64路16盘位＋12块8T硬盘</w:t>
            </w:r>
            <w:r>
              <w:rPr>
                <w:rFonts w:hint="eastAsia" w:ascii="宋体" w:hAnsi="宋体" w:eastAsia="宋体" w:cs="宋体"/>
                <w:i w:val="0"/>
                <w:iCs w:val="0"/>
                <w:color w:val="000000"/>
                <w:kern w:val="0"/>
                <w:sz w:val="20"/>
                <w:szCs w:val="20"/>
                <w:u w:val="none"/>
                <w:lang w:val="en-US" w:eastAsia="zh-CN" w:bidi="ar"/>
              </w:rPr>
              <w:t>及配套设施，保证现有和新装所有视频监控图像资料保存时间不少于90d。视频监控系统监视、储存和回放的视频图像分辨率≥1280×720像素；视频监控系统监视、储存和回放的视频图像帧率≥25fps；视频监控系统与入侵和紧急报警系统联动；涉及公共区域视频图像信息采集符合GB37300的相关规定；留有与公共安全视频图像信息共享交换平台联网的接口，联网信息传输、交换、控制协议符合GB/T28181的相关规定。</w:t>
            </w:r>
          </w:p>
        </w:tc>
      </w:tr>
      <w:tr w14:paraId="066BA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9C1B6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三</w:t>
            </w:r>
          </w:p>
        </w:tc>
        <w:tc>
          <w:tcPr>
            <w:tcW w:w="4460" w:type="dxa"/>
            <w:gridSpan w:val="5"/>
            <w:tcBorders>
              <w:top w:val="single" w:color="000000" w:sz="4" w:space="0"/>
              <w:left w:val="single" w:color="000000" w:sz="4" w:space="0"/>
              <w:bottom w:val="single" w:color="000000" w:sz="4" w:space="0"/>
              <w:right w:val="single" w:color="000000" w:sz="4" w:space="0"/>
            </w:tcBorders>
            <w:noWrap w:val="0"/>
            <w:vAlign w:val="center"/>
          </w:tcPr>
          <w:p w14:paraId="22FDDFC2">
            <w:pPr>
              <w:snapToGrid w:val="0"/>
              <w:ind w:left="0" w:leftChars="0" w:right="0" w:rightChars="0" w:firstLine="0" w:firstLineChars="0"/>
              <w:jc w:val="left"/>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副坝监控维修及设备校准</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61ACC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FF0000"/>
                <w:sz w:val="20"/>
                <w:szCs w:val="20"/>
                <w:u w:val="none"/>
              </w:rPr>
            </w:pPr>
            <w:r>
              <w:rPr>
                <w:rFonts w:hint="eastAsia" w:cs="宋体"/>
                <w:b/>
                <w:bCs/>
                <w:i w:val="0"/>
                <w:iCs w:val="0"/>
                <w:color w:val="FF0000"/>
                <w:kern w:val="0"/>
                <w:sz w:val="20"/>
                <w:szCs w:val="20"/>
                <w:u w:val="none"/>
                <w:lang w:val="en-US" w:eastAsia="zh-CN" w:bidi="ar"/>
              </w:rPr>
              <w:t>分项</w:t>
            </w:r>
            <w:r>
              <w:rPr>
                <w:rFonts w:hint="eastAsia" w:ascii="宋体" w:hAnsi="宋体" w:eastAsia="宋体" w:cs="宋体"/>
                <w:b/>
                <w:bCs/>
                <w:i w:val="0"/>
                <w:iCs w:val="0"/>
                <w:color w:val="FF0000"/>
                <w:kern w:val="0"/>
                <w:sz w:val="20"/>
                <w:szCs w:val="20"/>
                <w:u w:val="none"/>
                <w:lang w:val="en-US" w:eastAsia="zh-CN" w:bidi="ar"/>
              </w:rPr>
              <w:t>限价6万元。</w:t>
            </w:r>
          </w:p>
        </w:tc>
      </w:tr>
      <w:tr w14:paraId="1F4D4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EDC9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AFFB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副坝水位监测维修及设备校准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ADA4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1172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4DF447BC">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401481C">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AF5ED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8套小涵闸上下游水位监测系统，合同期内保障系统稳定运行，每月定期清理浮筒内杂物，设备保洁，设备控制柜清洁，出现问题24小时赶赴现场处理问题，包含系统软、硬件、更换配件等问题。</w:t>
            </w:r>
          </w:p>
        </w:tc>
      </w:tr>
      <w:tr w14:paraId="01AE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17F4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83F1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陶坝闸自动化控制设备维修及设备校准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6B37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4351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450501E">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D435A21">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4075B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陶坝闸：plc控制柜7台，上下扉门，共14孔，合同期内保障控制系统稳定运行，24小时赶赴现场处理问题，包含闸门控制系统软、硬件、更换配件等问题，配电柜内部维护、清洁。</w:t>
            </w:r>
          </w:p>
        </w:tc>
      </w:tr>
      <w:tr w14:paraId="5B4D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0DB6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5F94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副坝监控前端设备维修及设备校准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6844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A8DD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19E842E9">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B73C90F">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75936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36个前端点位，合同期内保障系统稳定运行，包含处理硬件故障处理、更换配件等问题，摄像头镜头维护、清洁。</w:t>
            </w:r>
          </w:p>
        </w:tc>
      </w:tr>
      <w:tr w14:paraId="7C99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087B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7D7D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监控后台维修及设备校准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83BD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A702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3E63426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1302EE44">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F374B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三处分控中心后台设备后台（大坝处、黄岗所、润河所），合同期内保障系统稳定运行含处理系统软硬件故障、更换配件等问题，后台设备整理清洁等。</w:t>
            </w:r>
          </w:p>
        </w:tc>
      </w:tr>
      <w:tr w14:paraId="1EEE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33F0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B8B4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开度仪设备制安</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EA07208">
            <w:pPr>
              <w:jc w:val="center"/>
              <w:rPr>
                <w:rFonts w:hint="eastAsia" w:ascii="宋体" w:hAnsi="宋体" w:eastAsia="宋体" w:cs="宋体"/>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A504DB9">
            <w:pPr>
              <w:jc w:val="center"/>
              <w:rPr>
                <w:rFonts w:hint="eastAsia" w:ascii="宋体" w:hAnsi="宋体" w:eastAsia="宋体" w:cs="宋体"/>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CCB6944">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1AC39D86">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89C9D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润河集涵等2座涵闸，合同期内保障系统稳定运行含开度编码器、开度信号线、编码器支架、控制箱、辅材等</w:t>
            </w:r>
          </w:p>
        </w:tc>
      </w:tr>
      <w:tr w14:paraId="005B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77B3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597A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开度仪表</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515F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D3F5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49DB560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1FCB1FA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CA12E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HY型，闸门开度测控仪,支持开度SSI信号输入，4-20ma/485输出、继电器输出等，铸铝外壳，参数可调，支持密码保护，兼容第三方设备（定制协议）数据传输。</w:t>
            </w:r>
          </w:p>
        </w:tc>
      </w:tr>
      <w:tr w14:paraId="61FDA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0117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6E2C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主令控制器</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CFA4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B5E3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34783490">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FAEC32C">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898B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HY-Q型，定位精度小于或者等于0.3，含变速箱和四档可调限位开关，其中蜗轮采用45#优质碳素钢，蜗杆需用优质不锈钢精车而成。</w:t>
            </w:r>
          </w:p>
        </w:tc>
      </w:tr>
      <w:tr w14:paraId="67040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88C4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F244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外置拉绳控制器(润河集)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261E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ECF1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4E924418">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044DA80">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0A9B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量程：4米，钢丝绳直径不小于1.0mm,分辨率0.03mm,含万向轮，机械限位等。</w:t>
            </w:r>
          </w:p>
        </w:tc>
      </w:tr>
      <w:tr w14:paraId="13C3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BBF1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D973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光电编码器</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43B5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F632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41B0307F">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700FFA6">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7DF0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HY型，1213型光电编码器。同步支持SSI/modbus/4-20ma信号输出；支持计数方向选择、零位设置功能；格雷码或二进制可设置</w:t>
            </w:r>
          </w:p>
        </w:tc>
      </w:tr>
      <w:tr w14:paraId="40D3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2338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906D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非标产品制作费</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160E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4B0E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079370E">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127FB9E">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8C8F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控制器支架定制加工，含底座、联轴器、延长杆、齿轮盘等。</w:t>
            </w:r>
          </w:p>
        </w:tc>
      </w:tr>
      <w:tr w14:paraId="373E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C084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C072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信号电缆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BFE0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20E6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66A41D53">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E3D8046">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F342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国标RVV4*0.75/RVV6*0.5。</w:t>
            </w:r>
          </w:p>
        </w:tc>
      </w:tr>
      <w:tr w14:paraId="1537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0490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40E3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安装、调试及辅材</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A66B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AFB3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67392D8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52F58BB">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3DB2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含设备安装及调试、线缆敷设、上、下限位标定等；底座、螺丝、膨胀丝、穿线管、扎带、防水接头等。</w:t>
            </w:r>
          </w:p>
        </w:tc>
      </w:tr>
      <w:tr w14:paraId="64ED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2E135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4460" w:type="dxa"/>
            <w:gridSpan w:val="5"/>
            <w:tcBorders>
              <w:top w:val="single" w:color="000000" w:sz="4" w:space="0"/>
              <w:left w:val="single" w:color="000000" w:sz="4" w:space="0"/>
              <w:bottom w:val="single" w:color="000000" w:sz="4" w:space="0"/>
              <w:right w:val="single" w:color="000000" w:sz="4" w:space="0"/>
            </w:tcBorders>
            <w:noWrap w:val="0"/>
            <w:vAlign w:val="center"/>
          </w:tcPr>
          <w:p w14:paraId="631F0721">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FF0000"/>
                <w:kern w:val="0"/>
                <w:sz w:val="20"/>
                <w:szCs w:val="20"/>
                <w:u w:val="none"/>
                <w:lang w:val="en-US" w:eastAsia="zh-CN" w:bidi="ar"/>
              </w:rPr>
              <w:t>姜唐湖退水闸监控维修及设备校准</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72269A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最高限价5万元。</w:t>
            </w:r>
          </w:p>
        </w:tc>
      </w:tr>
      <w:tr w14:paraId="4C4F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F0002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BF0C7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现地柜CPU采购更换</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50021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7ACF2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9776536">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6EFACD4">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02ECF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6#、3#现地柜，为与PLC柜系统相配应</w:t>
            </w:r>
          </w:p>
        </w:tc>
      </w:tr>
      <w:tr w14:paraId="6DA06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40E3F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D2A4A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闸门监控采购更换</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10524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BD4AD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4D10E2E">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4C4AB78">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65140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闸门监控摄像头：像素≥400万，全彩夜视，防水防尘≥IP66，包含登高车费用。</w:t>
            </w:r>
          </w:p>
        </w:tc>
      </w:tr>
      <w:tr w14:paraId="3DC1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A3F37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31C78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交流接触器采购更换及储备</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0FD90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94562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460F21B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C4822A9">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A4B5D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型号：CJX2-6511 2/T1 AC220V</w:t>
            </w:r>
          </w:p>
        </w:tc>
      </w:tr>
      <w:tr w14:paraId="7909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9A995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C2202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闸门控制维修及设备校准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C3C95E7">
            <w:pPr>
              <w:snapToGrid w:val="0"/>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2"/>
                <w:sz w:val="20"/>
                <w:szCs w:val="20"/>
                <w:u w:val="none"/>
                <w:lang w:val="en-US" w:eastAsia="zh-CN" w:bidi="ar-SA"/>
              </w:rPr>
              <w:t>次</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94C5F1D">
            <w:pPr>
              <w:snapToGrid w:val="0"/>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2"/>
                <w:sz w:val="20"/>
                <w:szCs w:val="20"/>
                <w:u w:val="none"/>
                <w:lang w:val="en-US" w:eastAsia="zh-CN" w:bidi="ar-SA"/>
              </w:rPr>
              <w:t>3</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2C8AFED4">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BEE331B">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1AA5C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闸门控制系统1套，摄像头36个，要求在汛前、汛中及汛后对闸门控制系统及摄像头各进行调试维护1次，具体维护时间由发包方按工作需要指定。</w:t>
            </w:r>
          </w:p>
          <w:p w14:paraId="6FADC469">
            <w:pPr>
              <w:pStyle w:val="35"/>
              <w:rPr>
                <w:rFonts w:hint="eastAsia"/>
                <w:lang w:val="en-US" w:eastAsia="zh-CN"/>
              </w:rPr>
            </w:pPr>
            <w:r>
              <w:rPr>
                <w:rFonts w:hint="eastAsia" w:ascii="宋体" w:hAnsi="宋体" w:eastAsia="宋体" w:cs="宋体"/>
                <w:b/>
                <w:bCs/>
                <w:i w:val="0"/>
                <w:iCs w:val="0"/>
                <w:color w:val="000000"/>
                <w:kern w:val="0"/>
                <w:sz w:val="20"/>
                <w:szCs w:val="20"/>
                <w:u w:val="none"/>
                <w:lang w:val="en-US" w:eastAsia="zh-CN" w:bidi="ar"/>
              </w:rPr>
              <w:t>合同期内常态化维护。</w:t>
            </w:r>
          </w:p>
          <w:p w14:paraId="4BEF43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1、合同期内保障控制系统稳定运行，24时内赶赴现场处理问题，包含视频监控、闸门控制平台等软件问题。</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2、补充闸站上位机上、下游水位、流量、闸门运行状态、故障信息、荷载等数据。</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3、检查中控室计算机、UPS电源、录像机、大屏等网络设备状态，确保监控设备正常。</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4、对闸门控制软件数据库数据补录、升级维护等。</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5、IP规划，参数调整，数据备份，路由调整，故障检查等。</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6、摄像头镜头清洗、紧固及矫正一次，高空作业。</w:t>
            </w:r>
          </w:p>
        </w:tc>
      </w:tr>
      <w:tr w14:paraId="27E0F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95AC3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81B31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LCU集中控制柜及动力柜维修及设备校准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761E9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98DA1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1DE5A57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BFCDB84">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7BFBA0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16孔，集中控制柜8台，动力柜8台。要求在汛前、汛中及汛后对启闭系统、控制柜及动力柜部件各进行检查调试维护1次，具体维护时间由发包方按工作需要指定。</w:t>
            </w:r>
          </w:p>
          <w:p w14:paraId="3F0C38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合同期内常态化维护。</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xml:space="preserve">1、如柜内的按钮、继电器、电源、通信机、外部接线等设备发生损坏，无偿进行设备更换；                     </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xml:space="preserve">2、编制或修改PLC程序（需满足自控上位机要求，本次加入程序内部限位、拒动、启闭力保护等）；                        </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3、触摸屏软件界面设计、更新等。</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4、现地通讯模块维护。</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5、检查PLC主机、数字量通讯模块、模拟量通讯模块等功能模块硬件状况，调整数据传输程序和参数的设置。</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xml:space="preserve">6、如柜内交流接触器、控制回路电源、分离开关、断路器、按钮、中间继电器等设备发生损坏，无偿进行设备更换；                           </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7、重新标定仪表的工作参数（开度、限位、荷重值应准确无误），机械限位调整等。</w:t>
            </w:r>
          </w:p>
        </w:tc>
      </w:tr>
      <w:tr w14:paraId="33DF6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65320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C4D26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信息化平台软硬件</w:t>
            </w:r>
            <w:r>
              <w:rPr>
                <w:rFonts w:hint="eastAsia" w:ascii="宋体" w:hAnsi="宋体" w:eastAsia="宋体" w:cs="宋体"/>
                <w:b/>
                <w:bCs/>
                <w:i w:val="0"/>
                <w:iCs w:val="0"/>
                <w:color w:val="000000"/>
                <w:kern w:val="0"/>
                <w:sz w:val="20"/>
                <w:szCs w:val="20"/>
                <w:u w:val="none"/>
                <w:lang w:val="en-US" w:eastAsia="zh-CN" w:bidi="ar"/>
              </w:rPr>
              <w:t>维修及设备校准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C75C1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FE8C7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252C1B1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E7B611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CCC42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对水闸信息化管理平台系统及智慧配电房系统根据情况进行实时维护</w:t>
            </w:r>
          </w:p>
        </w:tc>
      </w:tr>
      <w:tr w14:paraId="0487C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B482A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290D6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暂列金</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78607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sz w:val="20"/>
                <w:szCs w:val="20"/>
                <w:u w:val="none"/>
                <w:lang w:val="en-US" w:eastAsia="zh-CN"/>
              </w:rPr>
              <w:t>项</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49B3B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3908CF58">
            <w:pPr>
              <w:snapToGrid w:val="0"/>
              <w:ind w:left="0" w:leftChars="0" w:right="0" w:rightChars="0" w:firstLine="0" w:firstLineChars="0"/>
              <w:jc w:val="right"/>
              <w:rPr>
                <w:rFonts w:hint="default" w:ascii="宋体" w:hAnsi="宋体" w:eastAsia="宋体" w:cs="宋体"/>
                <w:b/>
                <w:bCs/>
                <w:i w:val="0"/>
                <w:iCs w:val="0"/>
                <w:color w:val="FF0000"/>
                <w:sz w:val="20"/>
                <w:szCs w:val="20"/>
                <w:u w:val="none"/>
                <w:lang w:val="en-US" w:eastAsia="zh-CN"/>
              </w:rPr>
            </w:pPr>
            <w:r>
              <w:rPr>
                <w:rFonts w:hint="eastAsia" w:cs="宋体"/>
                <w:b/>
                <w:bCs/>
                <w:i w:val="0"/>
                <w:iCs w:val="0"/>
                <w:color w:val="FF0000"/>
                <w:sz w:val="20"/>
                <w:szCs w:val="20"/>
                <w:u w:val="none"/>
                <w:lang w:val="en-US" w:eastAsia="zh-CN"/>
              </w:rPr>
              <w:t>4000</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EFDD445">
            <w:pPr>
              <w:snapToGrid w:val="0"/>
              <w:ind w:left="0" w:leftChars="0" w:right="0" w:rightChars="0" w:firstLine="0" w:firstLineChars="0"/>
              <w:jc w:val="right"/>
              <w:rPr>
                <w:rFonts w:hint="default" w:ascii="宋体" w:hAnsi="宋体" w:eastAsia="宋体" w:cs="宋体"/>
                <w:b/>
                <w:bCs/>
                <w:i w:val="0"/>
                <w:iCs w:val="0"/>
                <w:color w:val="FF0000"/>
                <w:sz w:val="20"/>
                <w:szCs w:val="20"/>
                <w:u w:val="none"/>
                <w:lang w:val="en-US" w:eastAsia="zh-CN"/>
              </w:rPr>
            </w:pPr>
            <w:r>
              <w:rPr>
                <w:rFonts w:hint="eastAsia" w:cs="宋体"/>
                <w:b/>
                <w:bCs/>
                <w:i w:val="0"/>
                <w:iCs w:val="0"/>
                <w:color w:val="FF0000"/>
                <w:sz w:val="20"/>
                <w:szCs w:val="20"/>
                <w:u w:val="none"/>
                <w:lang w:val="en-US" w:eastAsia="zh-CN"/>
              </w:rPr>
              <w:t>4000</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22BF8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不可竞争费</w:t>
            </w:r>
            <w:r>
              <w:rPr>
                <w:rFonts w:hint="eastAsia" w:cs="宋体"/>
                <w:b/>
                <w:bCs/>
                <w:i w:val="0"/>
                <w:iCs w:val="0"/>
                <w:color w:val="FF0000"/>
                <w:kern w:val="0"/>
                <w:sz w:val="20"/>
                <w:szCs w:val="20"/>
                <w:u w:val="none"/>
                <w:lang w:val="en-US" w:eastAsia="zh-CN" w:bidi="ar"/>
              </w:rPr>
              <w:t>，用于</w:t>
            </w:r>
            <w:r>
              <w:rPr>
                <w:rFonts w:hint="eastAsia" w:ascii="宋体" w:hAnsi="宋体" w:eastAsia="宋体" w:cs="宋体"/>
                <w:b/>
                <w:bCs/>
                <w:i w:val="0"/>
                <w:iCs w:val="0"/>
                <w:color w:val="FF0000"/>
                <w:kern w:val="0"/>
                <w:sz w:val="20"/>
                <w:szCs w:val="20"/>
                <w:u w:val="none"/>
                <w:lang w:val="en-US" w:eastAsia="zh-CN" w:bidi="ar"/>
              </w:rPr>
              <w:t>设备损坏更换等不可预见费用，据实报销</w:t>
            </w:r>
            <w:r>
              <w:rPr>
                <w:rFonts w:hint="eastAsia" w:cs="宋体"/>
                <w:b/>
                <w:bCs/>
                <w:i w:val="0"/>
                <w:iCs w:val="0"/>
                <w:color w:val="FF0000"/>
                <w:kern w:val="0"/>
                <w:sz w:val="20"/>
                <w:szCs w:val="20"/>
                <w:u w:val="none"/>
                <w:lang w:val="en-US" w:eastAsia="zh-CN" w:bidi="ar"/>
              </w:rPr>
              <w:t>。</w:t>
            </w:r>
          </w:p>
        </w:tc>
      </w:tr>
      <w:tr w14:paraId="4989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C74AB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五</w:t>
            </w:r>
          </w:p>
        </w:tc>
        <w:tc>
          <w:tcPr>
            <w:tcW w:w="4460" w:type="dxa"/>
            <w:gridSpan w:val="5"/>
            <w:tcBorders>
              <w:top w:val="single" w:color="000000" w:sz="4" w:space="0"/>
              <w:left w:val="single" w:color="000000" w:sz="4" w:space="0"/>
              <w:bottom w:val="single" w:color="000000" w:sz="4" w:space="0"/>
              <w:right w:val="single" w:color="000000" w:sz="4" w:space="0"/>
            </w:tcBorders>
            <w:noWrap w:val="0"/>
            <w:vAlign w:val="center"/>
          </w:tcPr>
          <w:p w14:paraId="68DD0E97">
            <w:pPr>
              <w:snapToGrid w:val="0"/>
              <w:ind w:left="0" w:leftChars="0" w:right="0" w:rightChars="0" w:firstLine="0" w:firstLineChars="0"/>
              <w:jc w:val="left"/>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工程通讯系统改造</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A0048CA">
            <w:pPr>
              <w:snapToGrid w:val="0"/>
              <w:ind w:left="0" w:leftChars="0" w:right="0" w:rightChars="0" w:firstLine="0" w:firstLineChars="0"/>
              <w:jc w:val="left"/>
              <w:rPr>
                <w:rFonts w:hint="default" w:ascii="宋体" w:hAnsi="宋体" w:eastAsia="宋体" w:cs="宋体"/>
                <w:b/>
                <w:bCs/>
                <w:i w:val="0"/>
                <w:iCs w:val="0"/>
                <w:color w:val="FF0000"/>
                <w:sz w:val="20"/>
                <w:szCs w:val="20"/>
                <w:u w:val="none"/>
                <w:lang w:val="en-US" w:eastAsia="zh-CN"/>
              </w:rPr>
            </w:pPr>
            <w:r>
              <w:rPr>
                <w:rFonts w:hint="eastAsia" w:cs="宋体"/>
                <w:b/>
                <w:bCs/>
                <w:i w:val="0"/>
                <w:iCs w:val="0"/>
                <w:color w:val="FF0000"/>
                <w:sz w:val="20"/>
                <w:szCs w:val="20"/>
                <w:u w:val="none"/>
                <w:lang w:val="en-US" w:eastAsia="zh-CN"/>
              </w:rPr>
              <w:t>分项</w:t>
            </w:r>
            <w:r>
              <w:rPr>
                <w:rFonts w:hint="eastAsia" w:ascii="宋体" w:hAnsi="宋体" w:eastAsia="宋体" w:cs="宋体"/>
                <w:b/>
                <w:bCs/>
                <w:i w:val="0"/>
                <w:iCs w:val="0"/>
                <w:color w:val="FF0000"/>
                <w:sz w:val="20"/>
                <w:szCs w:val="20"/>
                <w:u w:val="none"/>
                <w:lang w:val="en-US" w:eastAsia="zh-CN"/>
              </w:rPr>
              <w:t>限价29万元</w:t>
            </w:r>
          </w:p>
        </w:tc>
      </w:tr>
      <w:tr w14:paraId="75E7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C6DF5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（一）</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BB5A0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网络通信系统改造</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96A0E99">
            <w:pPr>
              <w:snapToGrid w:val="0"/>
              <w:ind w:left="0" w:leftChars="0" w:right="0" w:rightChars="0" w:firstLine="0" w:firstLineChars="0"/>
              <w:jc w:val="center"/>
              <w:rPr>
                <w:rFonts w:hint="eastAsia" w:ascii="宋体" w:hAnsi="宋体" w:eastAsia="宋体" w:cs="宋体"/>
                <w:b/>
                <w:bCs/>
                <w:i w:val="0"/>
                <w:iCs w:val="0"/>
                <w:color w:val="FF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717E468">
            <w:pPr>
              <w:snapToGrid w:val="0"/>
              <w:ind w:left="0" w:leftChars="0" w:right="0" w:rightChars="0" w:firstLine="0" w:firstLineChars="0"/>
              <w:jc w:val="center"/>
              <w:rPr>
                <w:rFonts w:hint="eastAsia" w:ascii="宋体" w:hAnsi="宋体" w:eastAsia="宋体" w:cs="宋体"/>
                <w:b/>
                <w:bCs/>
                <w:i w:val="0"/>
                <w:iCs w:val="0"/>
                <w:color w:val="FF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5A71700">
            <w:pPr>
              <w:snapToGrid w:val="0"/>
              <w:ind w:left="0" w:leftChars="0" w:right="0" w:rightChars="0" w:firstLine="0" w:firstLineChars="0"/>
              <w:jc w:val="right"/>
              <w:rPr>
                <w:rFonts w:hint="eastAsia" w:ascii="宋体" w:hAnsi="宋体" w:eastAsia="宋体" w:cs="宋体"/>
                <w:b/>
                <w:bCs/>
                <w:i w:val="0"/>
                <w:iCs w:val="0"/>
                <w:color w:val="FF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8B7B6FC">
            <w:pPr>
              <w:snapToGrid w:val="0"/>
              <w:ind w:left="0" w:leftChars="0" w:right="0" w:rightChars="0" w:firstLine="0" w:firstLineChars="0"/>
              <w:jc w:val="right"/>
              <w:rPr>
                <w:rFonts w:hint="eastAsia" w:ascii="宋体" w:hAnsi="宋体" w:eastAsia="宋体" w:cs="宋体"/>
                <w:b/>
                <w:bCs/>
                <w:i w:val="0"/>
                <w:iCs w:val="0"/>
                <w:color w:val="FF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8269C7D">
            <w:pPr>
              <w:snapToGrid w:val="0"/>
              <w:ind w:left="0" w:leftChars="0" w:right="0" w:rightChars="0" w:firstLine="0" w:firstLineChars="0"/>
              <w:jc w:val="left"/>
              <w:rPr>
                <w:rFonts w:hint="eastAsia" w:ascii="宋体" w:hAnsi="宋体" w:eastAsia="宋体" w:cs="宋体"/>
                <w:b/>
                <w:bCs/>
                <w:i w:val="0"/>
                <w:iCs w:val="0"/>
                <w:color w:val="FF0000"/>
                <w:sz w:val="20"/>
                <w:szCs w:val="20"/>
                <w:u w:val="none"/>
              </w:rPr>
            </w:pPr>
          </w:p>
        </w:tc>
      </w:tr>
      <w:tr w14:paraId="46092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71A49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DF501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双频无线 AP</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7C13F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FFE48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1F4E69FB">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A6D05B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8ABFAB4">
            <w:pPr>
              <w:keepNext w:val="0"/>
              <w:keepLines w:val="0"/>
              <w:widowControl/>
              <w:suppressLineNumbers w:val="0"/>
              <w:snapToGrid w:val="0"/>
              <w:ind w:left="0" w:leftChars="0" w:right="0" w:rightChars="0" w:firstLine="0" w:firstLineChars="0"/>
              <w:jc w:val="left"/>
              <w:textAlignment w:val="center"/>
              <w:rPr>
                <w:rFonts w:hint="eastAsia"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1.支持802.11ax 协议，兼容802.11a/b/g/n/ac协议，整机无线速率 ≥2.975Gbps；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2.采用双路双频设计，整机4条空间流，内置智能天线，千兆以太网电口≥1个</w:t>
            </w:r>
            <w:r>
              <w:rPr>
                <w:rFonts w:hint="eastAsia" w:cs="宋体"/>
                <w:i w:val="0"/>
                <w:iCs w:val="0"/>
                <w:color w:val="000000"/>
                <w:kern w:val="0"/>
                <w:sz w:val="20"/>
                <w:szCs w:val="20"/>
                <w:u w:val="none"/>
                <w:lang w:val="en-US" w:eastAsia="zh-CN" w:bidi="ar"/>
              </w:rPr>
              <w:t>；</w:t>
            </w:r>
          </w:p>
          <w:p w14:paraId="0C2537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3.支持Fat和Fit 两种工作模式，根据网络规划的需要，可以灵活地在Fat和Fit两种工作模式中切换；</w:t>
            </w:r>
          </w:p>
          <w:p w14:paraId="34E372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4.★支持基于逻辑分区的安全风险状态统计，包含但不限于风险访问数量、拦截终端数量、攻击终端数量，以及上述终端明细情况；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5.支持风险终端互访记录，基于角色、区域、端口和接入网络，识别异常终端访问行为，并呈现全网异常访问趋势；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6.★支持对业务访问健康度进行评估，包括但不限于丢包、抖动、延时、连通性、服务器繁忙等指标，从而对关键业务进行排障；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7.支持对无线网络环境指标检测，让不同协商速率的终端占用相等的无线信道，防止低速终端拉低网络整体速；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8.★支持对无线网络环境指标进行检测，包括信道利用率、通信质量、同频干扰、传输速率等并以趋势图展示，以方便对网络质量进行排查；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9.支持联动安全策略，通过安全策略可实现对疑似感染病毒的无线客户端进行识别、监控与隔离等多种方式的处理；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10.支持边缘感知功能，可精细化识别各个应用，同时能对应用流量进行分析，并对识别出的应用优先调度；</w:t>
            </w:r>
            <w:r>
              <w:rPr>
                <w:rFonts w:hint="eastAsia" w:ascii="宋体" w:hAnsi="宋体" w:eastAsia="宋体" w:cs="宋体"/>
                <w:i w:val="0"/>
                <w:iCs w:val="0"/>
                <w:color w:val="000000"/>
                <w:kern w:val="0"/>
                <w:sz w:val="20"/>
                <w:szCs w:val="20"/>
                <w:u w:val="none"/>
                <w:lang w:val="en-US" w:eastAsia="zh-CN" w:bidi="ar"/>
              </w:rPr>
              <w:br w:type="textWrapping"/>
            </w:r>
          </w:p>
        </w:tc>
      </w:tr>
      <w:tr w14:paraId="3271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CEC79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9F6A9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出口网关</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57324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8B54F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3B8BF0D6">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B1E7F10">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65D25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参数见表2</w:t>
            </w:r>
          </w:p>
        </w:tc>
      </w:tr>
      <w:tr w14:paraId="27D3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25450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8D521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24口千兆POE交换机</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18B92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0F3C3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3FC2CAC">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A6D0F93">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572A0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POE，支持网管与多vlan划分</w:t>
            </w:r>
          </w:p>
        </w:tc>
      </w:tr>
      <w:tr w14:paraId="16AEC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839FC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D067B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千兆光模块</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75CE2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62C15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56A695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92C3623">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3E207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多模/单模 千兆光模块（视现场情况而定）</w:t>
            </w:r>
          </w:p>
        </w:tc>
      </w:tr>
      <w:tr w14:paraId="24603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0E65C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923A9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综合布线</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57C86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2508E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33BCD3B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7BE0639">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5F833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含6类网线、pdu、排插、线槽、线卡、膨胀管、膨胀丝、水晶头等各类安装辅材及安装费用</w:t>
            </w:r>
          </w:p>
        </w:tc>
      </w:tr>
      <w:tr w14:paraId="6BDD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C94AB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D6037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设备安装调试</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4FCA2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36532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4C56502E">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FBFA71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689F2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设备迁移、施工、墙面开槽及恢复、调试对接、平台对接等</w:t>
            </w:r>
          </w:p>
        </w:tc>
      </w:tr>
      <w:tr w14:paraId="10DEF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29223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15214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五楼防汛会商系统改造</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802F04E">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2ECF590">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C023F1E">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CE4F400">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AE9B348">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75721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C357C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0658F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视频会商系统</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A97F6AF">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EEB947A">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0029A441">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8C6AD1E">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0253D59">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6025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CA5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98E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多点控制单元</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4CA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6A409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267DE7C1">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37513F4">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E887F2B">
            <w:pPr>
              <w:pStyle w:val="69"/>
              <w:keepNext w:val="0"/>
              <w:keepLines w:val="0"/>
              <w:widowControl w:val="0"/>
              <w:suppressLineNumbers w:val="0"/>
              <w:snapToGrid w:val="0"/>
              <w:spacing w:beforeLines="0" w:afterLines="0"/>
              <w:ind w:left="0" w:leftChars="0" w:right="0" w:rightChars="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1.接入容量：20个硬终端管理、20个硬终端注册、30个软终端注册、10路H.264HP 1080P30并发端口License；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2.视频编码：支持H.265/SVC动态编码，带宽利用率提升50%；</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3.</w:t>
            </w:r>
            <w:r>
              <w:rPr>
                <w:rFonts w:hint="eastAsia" w:asciiTheme="minorEastAsia" w:hAnsiTheme="minorEastAsia" w:eastAsiaTheme="minorEastAsia" w:cstheme="minorEastAsia"/>
                <w:bCs w:val="0"/>
                <w:color w:val="auto"/>
                <w:sz w:val="18"/>
                <w:szCs w:val="18"/>
                <w:highlight w:val="none"/>
              </w:rPr>
              <w:t>供应商成交后所提供的设备需</w:t>
            </w:r>
            <w:r>
              <w:rPr>
                <w:rFonts w:hint="eastAsia" w:asciiTheme="minorEastAsia" w:hAnsiTheme="minorEastAsia" w:eastAsiaTheme="minorEastAsia" w:cstheme="minorEastAsia"/>
                <w:bCs w:val="0"/>
                <w:color w:val="auto"/>
                <w:sz w:val="18"/>
                <w:szCs w:val="18"/>
                <w:highlight w:val="none"/>
                <w:lang w:val="en-US" w:eastAsia="zh-CN"/>
              </w:rPr>
              <w:t>对接安徽省水利厅系统</w:t>
            </w:r>
            <w:r>
              <w:rPr>
                <w:rFonts w:hint="eastAsia" w:asciiTheme="minorEastAsia" w:hAnsiTheme="minorEastAsia" w:eastAsiaTheme="minorEastAsia" w:cstheme="minorEastAsia"/>
                <w:bCs w:val="0"/>
                <w:color w:val="auto"/>
                <w:sz w:val="18"/>
                <w:szCs w:val="18"/>
                <w:highlight w:val="none"/>
              </w:rPr>
              <w:t>，如设备接入后与</w:t>
            </w:r>
            <w:r>
              <w:rPr>
                <w:rFonts w:hint="eastAsia" w:asciiTheme="minorEastAsia" w:hAnsiTheme="minorEastAsia" w:eastAsiaTheme="minorEastAsia" w:cstheme="minorEastAsia"/>
                <w:bCs w:val="0"/>
                <w:color w:val="auto"/>
                <w:sz w:val="18"/>
                <w:szCs w:val="18"/>
                <w:highlight w:val="none"/>
                <w:lang w:val="en-US" w:eastAsia="zh-CN"/>
              </w:rPr>
              <w:t>安徽省水利厅系统</w:t>
            </w:r>
            <w:r>
              <w:rPr>
                <w:rFonts w:hint="eastAsia" w:asciiTheme="minorEastAsia" w:hAnsiTheme="minorEastAsia" w:eastAsiaTheme="minorEastAsia" w:cstheme="minorEastAsia"/>
                <w:bCs w:val="0"/>
                <w:color w:val="auto"/>
                <w:sz w:val="18"/>
                <w:szCs w:val="18"/>
                <w:highlight w:val="none"/>
              </w:rPr>
              <w:t>现有平台不匹配不适用，须自行更换调试，直至完全匹配适用为止。为此产生的人员、材料等误工费用成交供应商须自行承担。对采购人在后期提出的软硬件系统扩展、升级、兼容等需求，应无条件接受并达到无缝对接，实现互联互通。</w:t>
            </w:r>
          </w:p>
        </w:tc>
      </w:tr>
      <w:tr w14:paraId="66C1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C88EE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80C60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视频会商终端</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2996E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6DE76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561CECD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85A0EE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CA128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核心技术自主，4K 30fps 双流, H.265编解码，接口丰富，会议室快速集成1080p30高清视频和内容共享H.265编解码，超强网络适应性，视频30%抗丢包。配置10英寸触控Touch，支持POE供电。视频输入输出接口不少于以下：1xHT-RX，2xHDMI视频输出接口：2×HDMI，音频输入输出接口不少于：1xHD-AI（2级），1x卡农头，2xHDMI（音频输入），2xRCA音频输出接口：4xRCA，1xHDMI（音频输出），</w:t>
            </w:r>
            <w:r>
              <w:rPr>
                <w:rFonts w:hint="eastAsia" w:asciiTheme="minorEastAsia" w:hAnsiTheme="minorEastAsia" w:eastAsiaTheme="minorEastAsia" w:cstheme="minorEastAsia"/>
                <w:bCs w:val="0"/>
                <w:color w:val="auto"/>
                <w:sz w:val="18"/>
                <w:szCs w:val="18"/>
                <w:highlight w:val="none"/>
              </w:rPr>
              <w:t>供应商成交后所提供的设备需</w:t>
            </w:r>
            <w:r>
              <w:rPr>
                <w:rFonts w:hint="eastAsia" w:asciiTheme="minorEastAsia" w:hAnsiTheme="minorEastAsia" w:eastAsiaTheme="minorEastAsia" w:cstheme="minorEastAsia"/>
                <w:bCs w:val="0"/>
                <w:color w:val="auto"/>
                <w:sz w:val="18"/>
                <w:szCs w:val="18"/>
                <w:highlight w:val="none"/>
                <w:lang w:val="en-US" w:eastAsia="zh-CN"/>
              </w:rPr>
              <w:t>对接安徽省水利厅系统</w:t>
            </w:r>
            <w:r>
              <w:rPr>
                <w:rFonts w:hint="eastAsia" w:asciiTheme="minorEastAsia" w:hAnsiTheme="minorEastAsia" w:eastAsiaTheme="minorEastAsia" w:cstheme="minorEastAsia"/>
                <w:bCs w:val="0"/>
                <w:color w:val="auto"/>
                <w:sz w:val="18"/>
                <w:szCs w:val="18"/>
                <w:highlight w:val="none"/>
              </w:rPr>
              <w:t>，如设备接入后与</w:t>
            </w:r>
            <w:r>
              <w:rPr>
                <w:rFonts w:hint="eastAsia" w:asciiTheme="minorEastAsia" w:hAnsiTheme="minorEastAsia" w:eastAsiaTheme="minorEastAsia" w:cstheme="minorEastAsia"/>
                <w:bCs w:val="0"/>
                <w:color w:val="auto"/>
                <w:sz w:val="18"/>
                <w:szCs w:val="18"/>
                <w:highlight w:val="none"/>
                <w:lang w:val="en-US" w:eastAsia="zh-CN"/>
              </w:rPr>
              <w:t>安徽省水利厅系统</w:t>
            </w:r>
            <w:r>
              <w:rPr>
                <w:rFonts w:hint="eastAsia" w:asciiTheme="minorEastAsia" w:hAnsiTheme="minorEastAsia" w:eastAsiaTheme="minorEastAsia" w:cstheme="minorEastAsia"/>
                <w:bCs w:val="0"/>
                <w:color w:val="auto"/>
                <w:sz w:val="18"/>
                <w:szCs w:val="18"/>
                <w:highlight w:val="none"/>
              </w:rPr>
              <w:t>现有平台不匹配不适用，须自行更换调试，直至完全匹配适用为止。为此产生的人员、材料等误工费用成交供应商须自行承担。对采购人在后期提出的软硬件系统扩展、升级、兼容等需求，应无条件接受并达到无缝对接，实现互联互通。</w:t>
            </w:r>
          </w:p>
        </w:tc>
      </w:tr>
      <w:tr w14:paraId="6574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6A438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859F9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视频会商摄像机</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7AA72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CD68D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4EE10E6C">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F232D9E">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9FF57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1.支持最高不小于800万像素1/2.5英寸CMOS成像芯片；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2.支持1080P 50/60fps、1080i 50/60、1080p 25/30、720P50/60fps视频输出；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3.支持不小于12倍光学变焦；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4.支持≥80°水平视角，增加外置广角镜视为不满足；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5.水平转动范围：≥+/-170°，垂直转动范围：≥+/- 30°。</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6.</w:t>
            </w:r>
            <w:r>
              <w:rPr>
                <w:rFonts w:hint="eastAsia" w:asciiTheme="minorEastAsia" w:hAnsiTheme="minorEastAsia" w:eastAsiaTheme="minorEastAsia" w:cstheme="minorEastAsia"/>
                <w:bCs w:val="0"/>
                <w:color w:val="auto"/>
                <w:sz w:val="18"/>
                <w:szCs w:val="18"/>
                <w:highlight w:val="none"/>
              </w:rPr>
              <w:t>供应商成交后所提供的设备需</w:t>
            </w:r>
            <w:r>
              <w:rPr>
                <w:rFonts w:hint="eastAsia" w:asciiTheme="minorEastAsia" w:hAnsiTheme="minorEastAsia" w:eastAsiaTheme="minorEastAsia" w:cstheme="minorEastAsia"/>
                <w:bCs w:val="0"/>
                <w:color w:val="auto"/>
                <w:sz w:val="18"/>
                <w:szCs w:val="18"/>
                <w:highlight w:val="none"/>
                <w:lang w:val="en-US" w:eastAsia="zh-CN"/>
              </w:rPr>
              <w:t>对接安徽省水利厅系统</w:t>
            </w:r>
            <w:r>
              <w:rPr>
                <w:rFonts w:hint="eastAsia" w:asciiTheme="minorEastAsia" w:hAnsiTheme="minorEastAsia" w:eastAsiaTheme="minorEastAsia" w:cstheme="minorEastAsia"/>
                <w:bCs w:val="0"/>
                <w:color w:val="auto"/>
                <w:sz w:val="18"/>
                <w:szCs w:val="18"/>
                <w:highlight w:val="none"/>
              </w:rPr>
              <w:t>，如设备接入后与</w:t>
            </w:r>
            <w:r>
              <w:rPr>
                <w:rFonts w:hint="eastAsia" w:asciiTheme="minorEastAsia" w:hAnsiTheme="minorEastAsia" w:eastAsiaTheme="minorEastAsia" w:cstheme="minorEastAsia"/>
                <w:bCs w:val="0"/>
                <w:color w:val="auto"/>
                <w:sz w:val="18"/>
                <w:szCs w:val="18"/>
                <w:highlight w:val="none"/>
                <w:lang w:val="en-US" w:eastAsia="zh-CN"/>
              </w:rPr>
              <w:t>安徽省水利厅系统</w:t>
            </w:r>
            <w:r>
              <w:rPr>
                <w:rFonts w:hint="eastAsia" w:asciiTheme="minorEastAsia" w:hAnsiTheme="minorEastAsia" w:eastAsiaTheme="minorEastAsia" w:cstheme="minorEastAsia"/>
                <w:bCs w:val="0"/>
                <w:color w:val="auto"/>
                <w:sz w:val="18"/>
                <w:szCs w:val="18"/>
                <w:highlight w:val="none"/>
              </w:rPr>
              <w:t>现有平台不匹配不适用，须自行更换调试，直至完全匹配适用为止。为此产生的人员、材料等误工费用成交供应商须自行承担。对采购人在后期提出的软硬件系统扩展、升级、兼容等需求，应无条件接受并达到无缝对接，实现互联互通。</w:t>
            </w:r>
          </w:p>
        </w:tc>
      </w:tr>
      <w:tr w14:paraId="0F774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0C6CA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82965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扩声系统</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1DA21FA">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BE14659">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2DAF2C49">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0529C47">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8EF809A">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29A7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3CEDF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90933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吸顶音箱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2D800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6D581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68F65A4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496C9A8">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E3C20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6.5”宽频高灵敏度同轴吸顶扬声器，165 mm (6.5 in) 高输出驱动单元，带聚丙烯涂覆的纸锥盆和丁基橡胶折环，19 mm (0.75 in) 软球顶磁液冷却高音单元，配备双咬压位线缆夹，合并70V/100V和低阻直通连接，8Ω 额定设置时为50W，70V/100V时为30W，15W，7.5W（3.8W@70V）有多个功率档位，62 Hz–20 kHz带宽，110° 大角度覆盖范围，平均声压级108dB，最大声压级116dB，白色，Dimensions: 253mm直径 X 225mm深度10.0in 直径X 8.8in深度</w:t>
            </w:r>
          </w:p>
        </w:tc>
      </w:tr>
      <w:tr w14:paraId="6291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1EEFD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D0761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纯后级功率放大器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16BDD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E1CC5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2F0E15B0">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540FE3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FE778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1.功率：2*300W@8Ω；2*450W@4Ω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2.总谐波失真：≤0.02%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3.信噪比：105dB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4.输入阻抗：20KΩ/10KΩ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5.转换速率：20V/US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6.阻尼系数：220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7.分离度：65dB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8.电压：115-230V  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9.尺寸：483*300*45mm</w:t>
            </w:r>
          </w:p>
        </w:tc>
      </w:tr>
      <w:tr w14:paraId="438AA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47436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6B1B2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数字音频处理器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E8F26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B3BC5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2D6008A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6B98D4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EF7B6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1.采样率/量化位数：48K/24bit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2.32bit DSP浮点运算引擎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3.输出电平：0/-6dB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4.幻象电源：+48V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5.频率响应(20~20kHz)：±0.2dB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6.最大电平：+18dBu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7.总谐波失真+噪声：0.003%@4dBu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8.动态范围(模拟通道)：110dB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9.本底噪声(A-计权-模拟)：-89dBu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10.共模抑制比@60Hz：80dB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11.通道隔离度@1kHz：108dB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12.输入阻抗(平衡接法)：10KΩ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13、输出阻抗(平衡接法)：600Ω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14、系统延时：&lt;5ms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15、工作电源：AC110~240V,50Hz/60Hz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16、尺寸（宽x深x高）：482x260x45mm</w:t>
            </w:r>
          </w:p>
        </w:tc>
      </w:tr>
      <w:tr w14:paraId="22F68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9D1DB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9FEB0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反馈抑制器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25AFC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9E42C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0E63663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EAB5C5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7F463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1.输入通道：4路平衡输入XLR或4路非平衡输入TRS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2.线路输入通道：1路RCA接口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3.输出通道：2路平衡输出XLR，1路RCA接口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4.频率响应：20-20KHz（BYPASS）；100-16KHz（ACTIVE）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5.信噪比：&gt;90dB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6.输入阻抗：10KΩ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7.输出阻抗：1KΩ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8.AD采样：48K，24bit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9.额定电压：220V/AC 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10.额定功率：&lt;20W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11.尺寸：宽480*深160*高45mm</w:t>
            </w:r>
          </w:p>
        </w:tc>
      </w:tr>
      <w:tr w14:paraId="416EB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45163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DDD07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编组调音台</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F5644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5BBDB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0A2CE49C">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339C9B4">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98D71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1.幻象电源：48V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2.信噪比：&gt;90dB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3.总谐波失真：0.03%</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.增益范围：10dB到+20dB</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.最大输入水平：22dBu</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.MIC输入：60dB</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.LINE输入：20dB</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 xml:space="preserve">.均衡：高：12kHz/±15dB、中：250Hz–8kHz/±15dB、低：80Hz/±15dB </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.频率响应：20HZ-20kHZ(+3dB)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.辅助发送输出电平：0dBu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.最大输出电平：19dBu(1kw,THD=0.5%）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.耳机输出最大输入水平：19dBu/150Ω（+25dBm）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.电源供电：100–240V 6A 250V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.净机尺寸：45.5*47.5*12.5cm</w:t>
            </w:r>
          </w:p>
        </w:tc>
      </w:tr>
      <w:tr w14:paraId="2D972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6BBF1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B4B69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E1793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7CB51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13E90250">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B907AA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F442C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1.电力输入条件(单相3线)：AC90-260V 50-60HZ两相（三线：零，火，地）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2.通道数量：8路万用插座继电器受控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3.继电器受控输出最大承受单路功率/总功率(无功功率）：5000W/8000W最大承受无功功率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4.输出电源插座规格：阻燃ABS材料，最大可承受13A电流，黄铜材质，标准万用插座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5.每路开关间隔时间/定时时间：1秒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6.输出继电器触点电流：30A 277VAC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7.电路板规格：双面纤维板，主电源走线二次加厚加粗处理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8.供电规格：内置开关电源，适用全球电压AC90-260V 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9.主电缆线规格：3*4平方电缆线，总长度为1.0米（无配电源输入插头）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10.开启类型：方船型开关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11.功能显示电压显示表类型：红色数码管显示电压表</w:t>
            </w:r>
          </w:p>
        </w:tc>
      </w:tr>
      <w:tr w14:paraId="4FD3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75B11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BB4C1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数字会议主机</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98451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CCDD5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6926B6E0">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0EA52F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EFB46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1.频率响应：20Hz-20kHz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2.信噪比：&gt;96dBA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3.总谐波失真：≤0.05%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4.话筒单元接口：圆头DIN-8插座接口×4；RJ45网线接口×4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5.中控连接口：RS-232串口×1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6.摄像头接口：RS-232小串口×1；RS-422串口×1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7.软件控制接口：PC-USB×1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8.线路输入：RCA(莲花插座)×1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9.线路输出：RCA(莲花插座)×1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10.TEL输入：RCA(莲花插座)×1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11.TEL输出：RCA(莲花插座)×1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12.输出接口：平衡XLR卡侬插座×1；非平衡6.35插座×1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13.主机供电：AC220V/50Hz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14.主机尺寸：480长× 260深× 93高mm</w:t>
            </w:r>
          </w:p>
        </w:tc>
      </w:tr>
      <w:tr w14:paraId="209A9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9371C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AB6DA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双备份有线主席单元</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565C4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B8596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0E770CB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249C440">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CB271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1.频率响应：20Hz-20KHz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2.总谐波失真：＜0.05%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3.灵敏度：-46 dBV/Pa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4.信噪比：＞80dB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5.通道串音：＞80dB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6.等效噪声：20 dBA (SPL)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7.最大声压级：125 dB (THD&lt;3%)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8.输入阻抗：2 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9.显示屏：2.8寸彩色显示屏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10.指向性：超心型指向性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11.尺寸：咪杆长230*宽37*高26mm；底座宽110*深140*高60mm</w:t>
            </w:r>
          </w:p>
        </w:tc>
      </w:tr>
      <w:tr w14:paraId="120D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1"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8FFF6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7CAC0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双备份有线代表单元</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D7CCD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72325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1CA1EEB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A9F3F7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DD329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1.频率响应：20Hz-20KHz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2.总谐波失真：＜0.05%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3.灵敏度：-46 dBV/Pa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4.信噪比：＞80dB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5.通道串音：＞80dB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6.等效噪声：20 dBA (SPL)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7.最大声压级：125 dB (THD&lt;3%)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8.输入阻抗：2 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9.显示屏：2.8寸彩色显示屏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10.指向性：超心型指向性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11.尺寸：咪杆长230*宽37*高26mm；底座宽110*深140*高60mm（不含转轴）</w:t>
            </w:r>
          </w:p>
        </w:tc>
      </w:tr>
      <w:tr w14:paraId="1B81D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378F6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73521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中控系统</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BBDBD20">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7615ACE">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61007608">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14B2F09">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EF03EBE">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0D0B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FE257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nil"/>
              <w:left w:val="single" w:color="000000" w:sz="4" w:space="0"/>
              <w:bottom w:val="single" w:color="000000" w:sz="4" w:space="0"/>
              <w:right w:val="single" w:color="000000" w:sz="4" w:space="0"/>
            </w:tcBorders>
            <w:noWrap w:val="0"/>
            <w:vAlign w:val="center"/>
          </w:tcPr>
          <w:p w14:paraId="34157E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智能中控主机</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8AD20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F1BA6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0EF9811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6EEEB7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A5D4A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1.CPU (主)：i.MX ARM Cortex-A7 528MHz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2.操作系统：Linux 4.1.15 内核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3.Memory：512M DDR3 RAM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4.Flash：4096M EMMC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5.RELAY：8 - 隔离低压继电器(常开触点) 30VDC/AC 1A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6.I/O：8x数字I/O输入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7.INFRARED–SERIAL：8 - 红外或单向RS-232串行通讯口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8.COM(A、B、C、D)：4 - DB9双向RS-232串行通讯口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9.COM(E、F、G、H)：4 - 7PIN双向RS-232/422/485串行通讯口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10.LAN：1x RJ45 10M/100M以太网接口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11.USB：1xUSB接口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12.RST：1xRST系统复位按钮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13.LED：3xLED系统状态指示灯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14.RES：1xRES系统预留调试接口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15.电源：24VDC 1A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16.安装方式：标准19英寸机柜或平面安装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17.工作环境温度：5℃至45℃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18.工作环境相对湿度：10%至90%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19.尺寸与重量：高：45mm(不含脚垫)宽：430mm(不含标准机柜安装耳朵)深：192mm(不含端子插排)</w:t>
            </w:r>
          </w:p>
        </w:tc>
      </w:tr>
      <w:tr w14:paraId="0B79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B9D54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nil"/>
              <w:left w:val="single" w:color="000000" w:sz="4" w:space="0"/>
              <w:bottom w:val="single" w:color="000000" w:sz="4" w:space="0"/>
              <w:right w:val="single" w:color="000000" w:sz="4" w:space="0"/>
            </w:tcBorders>
            <w:noWrap w:val="0"/>
            <w:vAlign w:val="center"/>
          </w:tcPr>
          <w:p w14:paraId="668BAF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8路HDMI无缝矩阵</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79057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159EEB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AC2DA4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80D31E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F698F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1.支持HDMI1.4/HDCP1.4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2.支持无缝切换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3.支持HDMI输出音频解嵌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4.HDMI视频输出分辨率支持以下： 3840x2160@30,1920x1080@60,1920x1080@50，1920X1080@30，1280x720@60,1280x720@50,1024x768@60,1920x1200@60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5.支持按键控制, 串口控制, 网口控制，IR红外遥控控制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6.支持电视墙、PIP画中画功能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7.支持WEB控制</w:t>
            </w:r>
          </w:p>
        </w:tc>
      </w:tr>
      <w:tr w14:paraId="4CAE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AC6DB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nil"/>
              <w:left w:val="single" w:color="000000" w:sz="4" w:space="0"/>
              <w:bottom w:val="single" w:color="000000" w:sz="4" w:space="0"/>
              <w:right w:val="single" w:color="000000" w:sz="4" w:space="0"/>
            </w:tcBorders>
            <w:noWrap/>
            <w:vAlign w:val="center"/>
          </w:tcPr>
          <w:p w14:paraId="33A8D5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无线平板</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E3817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7A489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1836ABFE">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90F1A8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A12E4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10.4寸 6+128 wifi</w:t>
            </w:r>
          </w:p>
        </w:tc>
      </w:tr>
      <w:tr w14:paraId="070D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177A1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nil"/>
              <w:left w:val="single" w:color="000000" w:sz="4" w:space="0"/>
              <w:bottom w:val="single" w:color="000000" w:sz="4" w:space="0"/>
              <w:right w:val="single" w:color="000000" w:sz="4" w:space="0"/>
            </w:tcBorders>
            <w:noWrap w:val="0"/>
            <w:vAlign w:val="center"/>
          </w:tcPr>
          <w:p w14:paraId="4C8125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无线路由器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C476D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0BD23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27941D2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183CBA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FFB0B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适配中控</w:t>
            </w:r>
          </w:p>
        </w:tc>
      </w:tr>
      <w:tr w14:paraId="52EE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69BB2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0" w:type="dxa"/>
            <w:tcBorders>
              <w:top w:val="nil"/>
              <w:left w:val="single" w:color="000000" w:sz="4" w:space="0"/>
              <w:bottom w:val="single" w:color="000000" w:sz="4" w:space="0"/>
              <w:right w:val="single" w:color="000000" w:sz="4" w:space="0"/>
            </w:tcBorders>
            <w:noWrap/>
            <w:vAlign w:val="center"/>
          </w:tcPr>
          <w:p w14:paraId="6D3091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中控编程</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77459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8937C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03B86151">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9BF073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62231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现场编辑，定制化界面</w:t>
            </w:r>
          </w:p>
        </w:tc>
      </w:tr>
      <w:tr w14:paraId="56C93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A174F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A0475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安装调试及辅材</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56FA42D">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B5BE051">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4E7E9D6A">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B224D1D">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F3493EE">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795B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7CA1A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0ECC65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98C73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3045E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06C44AF1">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56A2CB1">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08A90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包含HDMI线、6类网线、电源线、无氧铜铝箔屏蔽200芯*2喇叭线等所有系统所需的线缆</w:t>
            </w:r>
          </w:p>
        </w:tc>
      </w:tr>
      <w:tr w14:paraId="16BF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D28DE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1B0452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33032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1014C0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42A17DC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63B0B2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C131E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包含线槽、线管、水晶头、线缆接头、pdu、插线板等所有系统所需的辅材</w:t>
            </w:r>
          </w:p>
        </w:tc>
      </w:tr>
      <w:tr w14:paraId="1103C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D4B7F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18D5A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线路开槽及管线预埋</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005CB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5D033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3A1A7ACD">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1CC1F4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D1975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包含墙体开槽及恢复</w:t>
            </w:r>
          </w:p>
        </w:tc>
      </w:tr>
      <w:tr w14:paraId="5367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414B8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7BBC89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AA3C5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DC833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46A8B8ED">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D88CEAE">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A10EB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32u</w:t>
            </w:r>
          </w:p>
        </w:tc>
      </w:tr>
      <w:tr w14:paraId="47EC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248CE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3F01C4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2C28E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B7DED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7752454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6BA01C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9F720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国产一线，24口千兆电、4千兆光口、三层网管、多vlan划分</w:t>
            </w:r>
          </w:p>
        </w:tc>
      </w:tr>
      <w:tr w14:paraId="11F2D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C48BE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C109B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PZ30配电箱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制安</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DF0CC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865D0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411B5E9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DA5A53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6ED3A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配置要求：明装，阻燃面板，喷塑箱体、冷轧钢板，2p 63a漏电保护器1台，63a自恢复式过欠压保护器1台，2p 32a空开6台，地排、零排等。</w:t>
            </w:r>
            <w:r>
              <w:rPr>
                <w:rFonts w:hint="eastAsia" w:ascii="宋体" w:hAnsi="宋体" w:eastAsia="宋体" w:cs="宋体"/>
                <w:b/>
                <w:bCs/>
                <w:i w:val="0"/>
                <w:iCs w:val="0"/>
                <w:color w:val="FF0000"/>
                <w:kern w:val="0"/>
                <w:sz w:val="18"/>
                <w:szCs w:val="18"/>
                <w:u w:val="none"/>
                <w:lang w:val="en-US" w:eastAsia="zh-CN" w:bidi="ar"/>
              </w:rPr>
              <w:t>此项费用包含安装所需的电缆及辅材，含制作及安装费</w:t>
            </w:r>
          </w:p>
        </w:tc>
      </w:tr>
      <w:tr w14:paraId="49A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78288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0660A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系统集成及安装调试</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D1073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6CCE3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673CE064">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8E885F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86761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设备迁移、施工、调试对接等</w:t>
            </w:r>
          </w:p>
        </w:tc>
      </w:tr>
      <w:tr w14:paraId="030E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C949C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1E1E8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四楼会商系统改造</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D6BDF1F">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7F09F53">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6816CEE8">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E59810F">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66AC78D">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06F59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2D347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56B5D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视频会商系统</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E8CD1E6">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BCCDEDF">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61ACE993">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F397F64">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202E145">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37D0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2A27D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D9AB1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视频会商摄像机</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6F275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884C7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4E8EE70C">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42E9C4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E315F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1.支持最高不小于800万像素1/2.5英寸CMOS成像芯片；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2.支持1080P 50/60fps、1080i 50/60、1080p 25/30、720P50/60fps视频输出；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3.支持不小于12倍光学变焦；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4.支持≥80°水平视角，增加外置广角镜视为不满足；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5.水平转动范围：≥+/-170°，垂直转动范围：≥+/- 30°。</w:t>
            </w:r>
          </w:p>
        </w:tc>
      </w:tr>
      <w:tr w14:paraId="1C43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95591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D3D43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扩声系统</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B7D01A2">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FBD677E">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9C0D766">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9EDF129">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37980C0">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0C935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6A08A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4F0E1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吸顶音箱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C8F20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8EC09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00D864D1">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631302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7365C5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6.5”宽频高灵敏度同轴吸顶扬声器，165 mm (6.5 in) 高输出驱动单元，带聚丙烯涂覆的纸锥盆和丁基橡胶折环，19 mm (0.75 in) 软球顶磁液冷却高音单元，配备双咬压位线缆夹，合并70V/100V和低阻直通连接，8Ω 额定设置时为50W，70V/100V时为30W，15W，7.5W（3.8W@70V）有多个功率档位，62 Hz–20 kHz带宽，110° 大角度覆盖范围，平均声压级108dB，最大声压级116dB，白色，Dimensions: 253mm直径 X 225mm深度10.0in 直径X 8.8in深度</w:t>
            </w:r>
          </w:p>
        </w:tc>
      </w:tr>
      <w:tr w14:paraId="40DC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E3FBA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26A0D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纯后级功率放大器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263CC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9B21E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3314000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7D5C33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7FC583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1.功率：2*300W@8Ω；2*450W@4Ω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2.总谐波失真：≤0.02%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3.信噪比：105dB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4.输入阻抗：20KΩ/10KΩ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5.转换速率：20V/US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6.阻尼系数：220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7.分离度：65dB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8.电压：115-230V  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9.尺寸：483*300*45mm</w:t>
            </w:r>
          </w:p>
        </w:tc>
      </w:tr>
      <w:tr w14:paraId="44AE4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81DD2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0A6F4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数字音频处理器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A4B71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436A7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3550FDA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AAC510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8592D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1.采样率/量化位数：48K/24bit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2.32bit DSP浮点运算引擎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3.输出电平：0/-6dB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4.幻象电源：+48V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5.频率响应(20~20kHz)：±0.2dB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6.最大电平：+18dBu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7.总谐波失真+噪声：0.003%@4dBu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8.动态范围(模拟通道)：110dB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9.本底噪声(A-计权-模拟)：-89dBu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10.共模抑制比@60Hz：80dB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11.通道隔离度@1kHz：108dB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12.输入阻抗(平衡接法)：10KΩ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13、输出阻抗(平衡接法)：600Ω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14、系统延时：&lt;5ms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15、工作电源：AC110~240V,50Hz/60Hz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16、尺寸（宽x深x高）：482x260x45mm</w:t>
            </w:r>
          </w:p>
        </w:tc>
      </w:tr>
      <w:tr w14:paraId="79873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F1B35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44406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反馈抑制器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4EA5E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4FE42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7B21AEBD">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A76437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22900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1.输入通道：4路平衡输入XLR或4路非平衡输入TRS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2.线路输入通道：1路RCA接口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3.输出通道：2路平衡输出XLR，1路RCA接口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4.频率响应：20-20KHz（BYPASS）；100-16KHz（ACTIVE）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5.信噪比：&gt;90dB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6.输入阻抗：10KΩ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7.输出阻抗：1KΩ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8.AD采样：48K，24bit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9.额定电压：220V/AC 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10.额定功率：&lt;20W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11.尺寸：宽480*深160*高45mm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12.一线品牌</w:t>
            </w:r>
          </w:p>
        </w:tc>
      </w:tr>
      <w:tr w14:paraId="790B2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2B195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981D9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编组调音台</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70247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8B2B6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5D786C8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67C190D">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DB021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1.幻象电源：48V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2.信噪比：&gt;90dB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3.总谐波失真：0.03%</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.增益范围：10dB到+20dB</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.最大输入水平：22dBu</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.MIC输入：60dB</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.LINE输入：20dB</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 xml:space="preserve">.均衡：高：12kHz/±15dB、中：250Hz–8kHz/±15dB、低：80Hz/±15dB </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.频率响应：20HZ-20kHZ(+3dB)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.辅助发送输出电平：0dBu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.最大输出电平：19dBu(1kw,THD=0.5%）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.耳机输出最大输入水平：19dBu/150Ω（+25dBm）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.电源供电：100–240V 6A 250V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.净机尺寸：45.5*47.5*12.5cm</w:t>
            </w:r>
          </w:p>
        </w:tc>
      </w:tr>
      <w:tr w14:paraId="72A3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7858C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52809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22289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E18B5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3890F644">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414ABEC">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91903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1.电力输入条件(单相3线)：AC90-260V 50-60HZ两相（三线：零，火，地）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2.通道数量：8路万用插座继电器受控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3.继电器受控输出最大承受单路功率/总功率(无功功率）：5000W/8000W最大承受无功功率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4.输出电源插座规格：阻燃ABS材料，最大可承受13A电流，黄铜材质，标准万用插座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5.每路开关间隔时间/定时时间：1秒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6.输出继电器触点电流：30A 277VAC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7.电路板规格：双面纤维板，主电源走线二次加厚加粗处理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8.供电规格：内置开关电源，适用全球电压AC90-260V 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9.主电缆线规格：3*4平方电缆线，总长度为1.0米（无配电源输入插头）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10.开启类型：方船型开关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11.功能显示电压显示表类型：红色数码管显示电压表</w:t>
            </w:r>
          </w:p>
        </w:tc>
      </w:tr>
      <w:tr w14:paraId="1BF55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6AEAB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23553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数字会议主机</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2C009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80E8F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63BE568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1081D7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CFE0C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1.频率响应：20Hz-20kHz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2.信噪比：&gt;96dBA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3.总谐波失真：≤0.05%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4.话筒单元接口：圆头DIN-8插座接口×4；RJ45网线接口×4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5.中控连接口：RS-232串口×1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6.摄像头接口：RS-232小串口×1；RS-422串口×1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7.软件控制接口：PC-USB×1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8.线路输入：RCA(莲花插座)×1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9.线路输出：RCA(莲花插座)×1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10.TEL输入：RCA(莲花插座)×1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11.TEL输出：RCA(莲花插座)×1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12.输出接口：平衡XLR卡侬插座×1；非平衡6.35插座×1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13.主机供电：AC220V/50Hz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14.主机尺寸：480长× 260深× 93高mm</w:t>
            </w:r>
          </w:p>
        </w:tc>
      </w:tr>
      <w:tr w14:paraId="15A7C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26EA4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0791D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双备份有线主席单元</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6BCF4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42B97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243475C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249F93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37386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1.频率响应：20Hz-20KHz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2.总谐波失真：＜0.05%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3.灵敏度：-46 dBV/Pa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4.信噪比：＞80dB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5.通道串音：＞80dB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6.等效噪声：20 dBA (SPL)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7.最大声压级：125 dB (THD&lt;3%)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8.输入阻抗：2 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9.显示屏：2.8寸彩色显示屏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10.指向性：超心型指向性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11.尺寸：咪杆长230*宽37*高26mm；底座宽110*深140*高60mm</w:t>
            </w:r>
          </w:p>
        </w:tc>
      </w:tr>
      <w:tr w14:paraId="0F26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6DC6C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4D960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双备份有线代表单元</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FCC72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4B020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385266C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996FE9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60924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1.频率响应：20Hz-20KHz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2.总谐波失真：＜0.05%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3.灵敏度：-46 dBV/Pa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4.信噪比：＞80dB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5.通道串音：＞80dB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6.等效噪声：20 dBA (SPL)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7.最大声压级：125 dB (THD&lt;3%)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8.输入阻抗：2 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9.显示屏：2.8寸彩色显示屏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10.指向性：超心型指向性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11.尺寸：咪杆长230*宽37*高26mm；底座宽110*深140*高60mm（不含转轴）</w:t>
            </w:r>
          </w:p>
        </w:tc>
      </w:tr>
      <w:tr w14:paraId="0B40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3AD21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6921F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中控系统</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4A92A90">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07FEDFE">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23D2BAD2">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269A890">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1428C2C">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7BDE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FBD9C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nil"/>
              <w:left w:val="single" w:color="000000" w:sz="4" w:space="0"/>
              <w:bottom w:val="single" w:color="000000" w:sz="4" w:space="0"/>
              <w:right w:val="single" w:color="000000" w:sz="4" w:space="0"/>
            </w:tcBorders>
            <w:noWrap w:val="0"/>
            <w:vAlign w:val="center"/>
          </w:tcPr>
          <w:p w14:paraId="2F923F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智能中控主机</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DD47B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C764C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415D0D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6F130E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A81B5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1.CPU (主)：i.MX ARM Cortex-A7 528MHz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2.操作系统：Linux 4.1.15 内核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3.Memory：512M DDR3 RAM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4.Flash：4096M EMMC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5.RELAY：8 - 隔离低压继电器(常开触点) 30VDC/AC 1A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6.I/O：8x数字I/O输入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7.INFRARED–SERIAL：8 - 红外或单向RS-232串行通讯口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8.COM(A、B、C、D)：4 - DB9双向RS-232串行通讯口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9.COM(E、F、G、H)：4 - 7PIN双向RS-232/422/485串行通讯口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10.LAN：1x RJ45 10M/100M以太网接口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11.USB：1xUSB接口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12.RST：1xRST系统复位按钮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13.LED：3xLED系统状态指示灯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14.RES：1xRES系统预留调试接口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15.电源：24VDC 1A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16.安装方式：标准19英寸机柜或平面安装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17.工作环境温度：5℃至45℃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18.工作环境相对湿度：10%至90%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19.尺寸与重量：高：45mm(不含脚垫)宽：430mm(不含标准机柜安装耳朵)深：192mm(不含端子插排)</w:t>
            </w:r>
          </w:p>
        </w:tc>
      </w:tr>
      <w:tr w14:paraId="6F4F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C130F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nil"/>
              <w:left w:val="single" w:color="000000" w:sz="4" w:space="0"/>
              <w:bottom w:val="single" w:color="000000" w:sz="4" w:space="0"/>
              <w:right w:val="single" w:color="000000" w:sz="4" w:space="0"/>
            </w:tcBorders>
            <w:noWrap w:val="0"/>
            <w:vAlign w:val="center"/>
          </w:tcPr>
          <w:p w14:paraId="183E6A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8路HDMI无缝矩阵</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C1EAB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42AC3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4FA895E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D22807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DDD23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1.支持HDMI1.4/HDCP1.4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2.支持无缝切换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3.支持HDMI输出音频解嵌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4.HDMI视频输出分辨率支持以下： 3840x2160@30,1920x1080@60,1920x1080@50，1920X1080@30，1280x720@60,1280x720@50,1024x768@60,1920x1200@60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5.支持按键控制, 串口控制, 网口控制，IR红外遥控控制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6.支持电视墙、PIP画中画功能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7.支持WEB控制</w:t>
            </w:r>
          </w:p>
        </w:tc>
      </w:tr>
      <w:tr w14:paraId="5312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4FC21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nil"/>
              <w:left w:val="single" w:color="000000" w:sz="4" w:space="0"/>
              <w:bottom w:val="single" w:color="000000" w:sz="4" w:space="0"/>
              <w:right w:val="single" w:color="000000" w:sz="4" w:space="0"/>
            </w:tcBorders>
            <w:noWrap/>
            <w:vAlign w:val="center"/>
          </w:tcPr>
          <w:p w14:paraId="56A82C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无线平板</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45DA3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84F81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09ACDAB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F912F3D">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7B6FCE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10.4寸 6+128 wifi</w:t>
            </w:r>
          </w:p>
        </w:tc>
      </w:tr>
      <w:tr w14:paraId="0B9F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3F346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nil"/>
              <w:left w:val="single" w:color="000000" w:sz="4" w:space="0"/>
              <w:bottom w:val="single" w:color="000000" w:sz="4" w:space="0"/>
              <w:right w:val="single" w:color="000000" w:sz="4" w:space="0"/>
            </w:tcBorders>
            <w:noWrap w:val="0"/>
            <w:vAlign w:val="center"/>
          </w:tcPr>
          <w:p w14:paraId="738FAD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无线路由器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FBBDA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A0E47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31932C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1D0A628">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7A9A27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适配中控</w:t>
            </w:r>
          </w:p>
        </w:tc>
      </w:tr>
      <w:tr w14:paraId="32BE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CF5B4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0" w:type="dxa"/>
            <w:tcBorders>
              <w:top w:val="nil"/>
              <w:left w:val="single" w:color="000000" w:sz="4" w:space="0"/>
              <w:bottom w:val="single" w:color="000000" w:sz="4" w:space="0"/>
              <w:right w:val="single" w:color="000000" w:sz="4" w:space="0"/>
            </w:tcBorders>
            <w:noWrap/>
            <w:vAlign w:val="center"/>
          </w:tcPr>
          <w:p w14:paraId="3E46DD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中控编程</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C0401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42923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25DEF0A4">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B62164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19072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现场编辑，定制化界面</w:t>
            </w:r>
          </w:p>
        </w:tc>
      </w:tr>
      <w:tr w14:paraId="48BB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32DF0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53F43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显示系统</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22FE13E">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ECAE4DB">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BC05E8A">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05E4FEC">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72440C3">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698A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8F368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129594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显示装置</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FA0B8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7026A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7754669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A62516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5239D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75英寸，4k，高刷，含挂墙支架及安装</w:t>
            </w:r>
          </w:p>
        </w:tc>
      </w:tr>
      <w:tr w14:paraId="38BC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0293E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B2C04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安装调试及辅材</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3AB637B">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9467E38">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14CE2349">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3889B00">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49D3263">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4999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AF453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62B29D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D8884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F7AB6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348E041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18E8D11">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F4C5C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包含HDMI线、6类网线、电源线、无氧铜铝箔屏蔽200芯*2喇叭线等所有系统所需的线缆。国标正品</w:t>
            </w:r>
          </w:p>
        </w:tc>
      </w:tr>
      <w:tr w14:paraId="59377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5F4BA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593FFB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5FD16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D58A7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220DB63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E7C24D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742106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包含线槽、线管、水晶头、线缆接头、pdu、插线板等所有系统所需的辅材</w:t>
            </w:r>
          </w:p>
        </w:tc>
      </w:tr>
      <w:tr w14:paraId="2629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12C47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39CAF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线路开槽及管线预埋</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F1DB1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C55FE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442CB3C8">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9CFD30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7C43CD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包含墙体开槽及恢复</w:t>
            </w:r>
          </w:p>
        </w:tc>
      </w:tr>
      <w:tr w14:paraId="3A9DB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D5327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1C0C1E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1E5F0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551CB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4F4203A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17136D4">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7CA393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22u</w:t>
            </w:r>
          </w:p>
        </w:tc>
      </w:tr>
      <w:tr w14:paraId="7C9A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4907E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66D41D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643CE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B4DFC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6072D184">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A773474">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FF7A0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24口千兆电、4千兆光口、三层网管、多vlan划分</w:t>
            </w:r>
          </w:p>
        </w:tc>
      </w:tr>
      <w:tr w14:paraId="08EB1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A692E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77FA2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系统集成及安装调试</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0D33F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1BB0EC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2FF26888">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3C3D89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68F28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设备迁移、安装调试、各种电缆（信号线、电源线等）、所需辅材及摄像头支架2个等</w:t>
            </w:r>
          </w:p>
        </w:tc>
      </w:tr>
      <w:tr w14:paraId="6C637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0C7EF044">
            <w:pPr>
              <w:snapToGrid w:val="0"/>
              <w:ind w:left="0" w:leftChars="0" w:right="0" w:rightChars="0" w:firstLine="0" w:firstLineChars="0"/>
              <w:jc w:val="left"/>
              <w:rPr>
                <w:rFonts w:hint="eastAsia" w:ascii="宋体" w:hAnsi="宋体" w:eastAsia="宋体" w:cs="宋体"/>
                <w:b/>
                <w:i w:val="0"/>
                <w:iCs w:val="0"/>
                <w:color w:val="000000"/>
                <w:sz w:val="20"/>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4028C0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C13E82B">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F973B28">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36654742">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7DA1643">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EF8CE51">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bl>
    <w:p w14:paraId="569BF511">
      <w:pPr>
        <w:pStyle w:val="54"/>
        <w:ind w:left="0" w:leftChars="0" w:firstLine="0" w:firstLineChars="0"/>
        <w:rPr>
          <w:rFonts w:hint="eastAsia"/>
          <w:lang w:eastAsia="zh-CN"/>
        </w:rPr>
      </w:pPr>
    </w:p>
    <w:p w14:paraId="1C32B654">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表2</w:t>
      </w:r>
    </w:p>
    <w:tbl>
      <w:tblPr>
        <w:tblStyle w:val="55"/>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7"/>
        <w:gridCol w:w="1108"/>
        <w:gridCol w:w="837"/>
        <w:gridCol w:w="6247"/>
      </w:tblGrid>
      <w:tr w14:paraId="6577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7" w:type="dxa"/>
            <w:vMerge w:val="restart"/>
            <w:tcBorders>
              <w:top w:val="single" w:color="000000" w:sz="4" w:space="0"/>
              <w:left w:val="single" w:color="000000" w:sz="4" w:space="0"/>
              <w:bottom w:val="single" w:color="000000" w:sz="4" w:space="0"/>
              <w:right w:val="single" w:color="000000" w:sz="4" w:space="0"/>
            </w:tcBorders>
            <w:noWrap/>
            <w:vAlign w:val="center"/>
          </w:tcPr>
          <w:p w14:paraId="4D09925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8" w:type="dxa"/>
            <w:vMerge w:val="restart"/>
            <w:tcBorders>
              <w:top w:val="single" w:color="000000" w:sz="4" w:space="0"/>
              <w:left w:val="single" w:color="000000" w:sz="4" w:space="0"/>
              <w:bottom w:val="single" w:color="000000" w:sz="4" w:space="0"/>
              <w:right w:val="single" w:color="000000" w:sz="4" w:space="0"/>
            </w:tcBorders>
            <w:noWrap/>
            <w:vAlign w:val="center"/>
          </w:tcPr>
          <w:p w14:paraId="14563A5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出口网关</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D63615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硬件接口</w:t>
            </w:r>
          </w:p>
        </w:tc>
        <w:tc>
          <w:tcPr>
            <w:tcW w:w="6247" w:type="dxa"/>
            <w:tcBorders>
              <w:top w:val="single" w:color="000000" w:sz="4" w:space="0"/>
              <w:left w:val="single" w:color="000000" w:sz="4" w:space="0"/>
              <w:bottom w:val="single" w:color="000000" w:sz="4" w:space="0"/>
              <w:right w:val="single" w:color="000000" w:sz="4" w:space="0"/>
            </w:tcBorders>
            <w:noWrap w:val="0"/>
            <w:vAlign w:val="center"/>
          </w:tcPr>
          <w:p w14:paraId="24E54CF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1、固化千兆电口≥3个，Manage口≥1个，USB口≥2个，标准X86架构；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2、为适应未来业务的变化，产品需满足至少1个扩展槽位，并最低可扩展8个千兆光口；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3、整机管理AP数量≥250个，管理交换机数量 ≥60个，在线用户数≥4K，内置认证账户数≥65K；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4、★支持3000余万条海量预分类的URL地址库，支特根据URL类型实现URL控制;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5、支持关联RADIUS、微软AD域、LDAP、数据库、Portal2.0、AS等外置认证服务器，实现802.1x、Portal等第三方认证；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6、支持自动生成网络拓扑图，可以直观查看AP和交换机拓扑情况，网络拓补图支持状态信息查看和网络配置下发，方便网络的维护管理；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7、★支持基于逻辑分区的安全风险状态统计，包含但不限于守护终端数量、拦截终端数量、攻击终端数量，以及上述终端明细情况;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8、支持管理员分权分级，不同的管理员拥有不同的管理权限，包括精细的页面修改查看权限和接入点管辖权限以及是否允许登陆数据中心等，方便网络的维护管理；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9、支持移动APP运维，通过手机APP即可进行无线状态查看、无线网络管理、访客审核、用户画像、无线广播、告警通知等;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10.支持通过导入AP、交换机的MAC地址或者SN码，AP、交换机联网后无需任何配置即可发现对应的控制平台；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账号认证支持呈现整体认证成功率、认证质量趋势（请求次数、失败次数、失败终端个数）、累计认证次数、累计失败次数、累计失败终端个数、认证服务器质量（响应时延、响应成功率）、失败原因TOP5（次数、影响终端个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12.支持无线网络环境指标检测功能，包括信道总利用率、Wi-Fi信道利用率、非Wi-Fi信道利用率、同频AP数量等，以方便对网络质量进行排查；</w:t>
            </w:r>
          </w:p>
        </w:tc>
      </w:tr>
      <w:tr w14:paraId="569F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7" w:type="dxa"/>
            <w:vMerge w:val="continue"/>
            <w:tcBorders>
              <w:top w:val="single" w:color="000000" w:sz="4" w:space="0"/>
              <w:left w:val="single" w:color="000000" w:sz="4" w:space="0"/>
              <w:bottom w:val="single" w:color="000000" w:sz="4" w:space="0"/>
              <w:right w:val="single" w:color="000000" w:sz="4" w:space="0"/>
            </w:tcBorders>
            <w:noWrap/>
            <w:vAlign w:val="center"/>
          </w:tcPr>
          <w:p w14:paraId="563B6CBE">
            <w:pPr>
              <w:snapToGrid w:val="0"/>
              <w:jc w:val="center"/>
              <w:rPr>
                <w:rFonts w:hint="eastAsia" w:ascii="宋体" w:hAnsi="宋体" w:eastAsia="宋体" w:cs="宋体"/>
                <w:i w:val="0"/>
                <w:iCs w:val="0"/>
                <w:color w:val="000000"/>
                <w:sz w:val="22"/>
                <w:szCs w:val="22"/>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ign w:val="center"/>
          </w:tcPr>
          <w:p w14:paraId="7566AB80">
            <w:pPr>
              <w:snapToGrid w:val="0"/>
              <w:jc w:val="cente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0B1769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网络管理平台</w:t>
            </w:r>
          </w:p>
        </w:tc>
        <w:tc>
          <w:tcPr>
            <w:tcW w:w="6247" w:type="dxa"/>
            <w:tcBorders>
              <w:top w:val="single" w:color="000000" w:sz="4" w:space="0"/>
              <w:left w:val="single" w:color="000000" w:sz="4" w:space="0"/>
              <w:bottom w:val="single" w:color="000000" w:sz="4" w:space="0"/>
              <w:right w:val="single" w:color="000000" w:sz="4" w:space="0"/>
            </w:tcBorders>
            <w:noWrap w:val="0"/>
            <w:vAlign w:val="top"/>
          </w:tcPr>
          <w:p w14:paraId="50916613">
            <w:pPr>
              <w:keepNext w:val="0"/>
              <w:keepLines w:val="0"/>
              <w:widowControl/>
              <w:suppressLineNumbers w:val="0"/>
              <w:snapToGrid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1.支持多种部署模式，跨互联网进行远程集群部署，通过中心网络控制器可以对所有分支网络控制器进行统一集中管理；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2.支持基于用户/用户组进行授权，可实现用户无论通过有线、无线接入具有相同的上网权限，实现有线/无线一体化认证、与位置、时间、终端IP地址无关；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支持对网络协议报文接收速率分析，支持查看交换机端口DHCP报文速率/ICMP报文速率/ARP报文速率/TCP报文速率累积时长，支持广播报文（发送/接收）占比、组播报文（发送/接收）占比、单播报文（发送/接收）占比；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4.支持查看交换机MAC表利用率/ARP表利用率/组播利用率/ACL表利用率/路由表利用率百分比分布的交换机台数、累积时长，查看网络交换机端口拥塞报文丢包率、接收报文丢包率的百分比个数；</w:t>
            </w:r>
          </w:p>
        </w:tc>
      </w:tr>
      <w:tr w14:paraId="5688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7" w:type="dxa"/>
            <w:vMerge w:val="continue"/>
            <w:tcBorders>
              <w:top w:val="single" w:color="000000" w:sz="4" w:space="0"/>
              <w:left w:val="single" w:color="000000" w:sz="4" w:space="0"/>
              <w:bottom w:val="single" w:color="000000" w:sz="4" w:space="0"/>
              <w:right w:val="single" w:color="000000" w:sz="4" w:space="0"/>
            </w:tcBorders>
            <w:noWrap/>
            <w:vAlign w:val="center"/>
          </w:tcPr>
          <w:p w14:paraId="61B0CF28">
            <w:pPr>
              <w:snapToGrid w:val="0"/>
              <w:jc w:val="center"/>
              <w:rPr>
                <w:rFonts w:hint="eastAsia" w:ascii="宋体" w:hAnsi="宋体" w:eastAsia="宋体" w:cs="宋体"/>
                <w:i w:val="0"/>
                <w:iCs w:val="0"/>
                <w:color w:val="000000"/>
                <w:sz w:val="22"/>
                <w:szCs w:val="22"/>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ign w:val="center"/>
          </w:tcPr>
          <w:p w14:paraId="098DC316">
            <w:pPr>
              <w:snapToGrid w:val="0"/>
              <w:jc w:val="cente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CE0243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流量管理系统</w:t>
            </w:r>
          </w:p>
        </w:tc>
        <w:tc>
          <w:tcPr>
            <w:tcW w:w="6247" w:type="dxa"/>
            <w:tcBorders>
              <w:top w:val="single" w:color="000000" w:sz="4" w:space="0"/>
              <w:left w:val="single" w:color="000000" w:sz="4" w:space="0"/>
              <w:bottom w:val="single" w:color="000000" w:sz="4" w:space="0"/>
              <w:right w:val="single" w:color="000000" w:sz="4" w:space="0"/>
            </w:tcBorders>
            <w:noWrap w:val="0"/>
            <w:vAlign w:val="top"/>
          </w:tcPr>
          <w:p w14:paraId="74378B5E">
            <w:pPr>
              <w:keepNext w:val="0"/>
              <w:keepLines w:val="0"/>
              <w:widowControl/>
              <w:suppressLineNumbers w:val="0"/>
              <w:snapToGrid w:val="0"/>
              <w:jc w:val="left"/>
              <w:textAlignment w:val="top"/>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 ★支持应用识别库，能识别不低于6000种的网络应用，可识别邮件、游戏、P2P流媒体、WEB流媒体、金融交易、办公OA、移动终端应用等主流应用；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支持基于应用层的互联网流量和内网流量双重访问控制；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无线预分类URL库，能识别不低于千万级的URL；为了保证应用和URL识别的准确率，要求至少每两个星期保持更新一次；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支持无线网络在本地转发部署模式下实现应用识别以及无线网络审计功能；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支持基于多元化应用识别管控，包括用户、接入位置、终端类型、终端MAC地址、时间段；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支持基于用户、用户组、接入位置、终端类型、终端MAC地址、时间段、 Radius Class属性、 LDAP的组织单元、安全组进行上网权限控制；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★支持上网行为审计，可审计用户访问的URL、网络应用类型、FTP上传和下载的文件名、TELNET执行的命令等；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支持免审计策略，排除指定用户，对该用户的上网行为不进行审计；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支持802.11e/WMM，根据业务应用类型（语音、视频、数据）进行优先级调度；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支持记录用户注册信息、IP、终端MAC、时间、访问的目的IP等信息；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支持与本地公安网监平台对接，按网监要求将审计数据上传至公安的网监平台；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★为了保证流量管理系统的售后服务以及兼容性，要求流量管理系统与无线控制器</w:t>
            </w:r>
            <w:r>
              <w:rPr>
                <w:rFonts w:hint="eastAsia" w:cs="宋体"/>
                <w:i w:val="0"/>
                <w:iCs w:val="0"/>
                <w:color w:val="000000"/>
                <w:kern w:val="0"/>
                <w:sz w:val="18"/>
                <w:szCs w:val="18"/>
                <w:u w:val="none"/>
                <w:lang w:val="en-US" w:eastAsia="zh-CN" w:bidi="ar"/>
              </w:rPr>
              <w:t>适配，实现互联互通</w:t>
            </w:r>
          </w:p>
          <w:p w14:paraId="7F455D8B">
            <w:pPr>
              <w:keepNext w:val="0"/>
              <w:keepLines w:val="0"/>
              <w:widowControl/>
              <w:suppressLineNumbers w:val="0"/>
              <w:snapToGrid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13.为了保证系统安全，要求采用本地化部署方式，并提供系统安装所需的硬件资源和本次项目所需的所有软件授权数量。</w:t>
            </w:r>
          </w:p>
        </w:tc>
      </w:tr>
      <w:tr w14:paraId="22AC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7" w:type="dxa"/>
            <w:vMerge w:val="continue"/>
            <w:tcBorders>
              <w:top w:val="single" w:color="000000" w:sz="4" w:space="0"/>
              <w:left w:val="single" w:color="000000" w:sz="4" w:space="0"/>
              <w:bottom w:val="single" w:color="000000" w:sz="4" w:space="0"/>
              <w:right w:val="single" w:color="000000" w:sz="4" w:space="0"/>
            </w:tcBorders>
            <w:noWrap/>
            <w:vAlign w:val="center"/>
          </w:tcPr>
          <w:p w14:paraId="36EF3120">
            <w:pPr>
              <w:snapToGrid w:val="0"/>
              <w:jc w:val="center"/>
              <w:rPr>
                <w:rFonts w:hint="eastAsia" w:ascii="宋体" w:hAnsi="宋体" w:eastAsia="宋体" w:cs="宋体"/>
                <w:i w:val="0"/>
                <w:iCs w:val="0"/>
                <w:color w:val="000000"/>
                <w:sz w:val="22"/>
                <w:szCs w:val="22"/>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ign w:val="center"/>
          </w:tcPr>
          <w:p w14:paraId="1438C766">
            <w:pPr>
              <w:snapToGrid w:val="0"/>
              <w:jc w:val="cente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ACD68E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多功能网络认证系统</w:t>
            </w:r>
          </w:p>
        </w:tc>
        <w:tc>
          <w:tcPr>
            <w:tcW w:w="6247" w:type="dxa"/>
            <w:tcBorders>
              <w:top w:val="single" w:color="000000" w:sz="4" w:space="0"/>
              <w:left w:val="single" w:color="000000" w:sz="4" w:space="0"/>
              <w:bottom w:val="single" w:color="000000" w:sz="4" w:space="0"/>
              <w:right w:val="single" w:color="000000" w:sz="4" w:space="0"/>
            </w:tcBorders>
            <w:noWrap w:val="0"/>
            <w:vAlign w:val="top"/>
          </w:tcPr>
          <w:p w14:paraId="0243C382">
            <w:pPr>
              <w:keepNext w:val="0"/>
              <w:keepLines w:val="0"/>
              <w:widowControl/>
              <w:suppressLineNumbers w:val="0"/>
              <w:snapToGrid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1.B/S界面配置方式；支持认证首页重定向功能；支持认证成功页重定向至本特定页面，支持不同SSID推送不同页面功能；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2.★配置足够的授权，满足至少10000用户同时在线；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3.支持基于全网无线和有线用户的统一认证和管理，跨区域漫游，实现基于用户/用户组进行授权，可实现用户通过有线、无线接入具有相同的认证账号和上网权限；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4.支持内置6宫格、 9宫格、半屏、全屏、简易等多种认证模板，支持实时预览模板效果，并支持倒计时的形式，强制用户观看一定时间的页面展示才允许认证上网;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5.支持限制同一个账号在多个终端同时登录，可以根据实际情况设置阈值，达到上限后禁止新终端接入或强迫最早接入的终端下线；</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.支持智能PSK认证功能，不同的PSK终端可使用专属密码，并支持PSK终端的秘钥与MAC绑定，其他终端即使拿到秘钥也无法上网，保证PSK终端安全接入要求</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.页面编辑指定布局框架，可直接在B/S管理界面基本编辑可替换相关图片背景及标题欢迎词等，编辑完后及时预览，然后作发布操作即可使其生效；</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.页面编辑支持高级html编辑，当需要不按照模版编辑页面布局时，可直接采用html语句进行页面编辑发布；</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.需支持短信认证的有效期设置和短信验证码的有效期设置，在短信认证有效期内，不用重新认证，在验证码有效期内，不用重新获取验证码；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w:t>
            </w:r>
            <w:r>
              <w:rPr>
                <w:rFonts w:hint="eastAsia" w:cs="宋体"/>
                <w:color w:val="000000"/>
                <w:sz w:val="18"/>
                <w:szCs w:val="18"/>
                <w:u w:val="none"/>
                <w:lang w:bidi="ar"/>
              </w:rPr>
              <w:t>支持关联RADIUS、微软AD域、LDAP、数据库（Oracle、MySQL、MS-SQL）、Portal2.0、AS等外置认证服务器，实现802.1x、Portal等第三方认证（提供实际功能截图加以证明），支持认证后跳转，可根据用户/接入AP/终端类型设置不同的跳转页面或URL。</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11</w:t>
            </w:r>
            <w:r>
              <w:rPr>
                <w:rFonts w:hint="eastAsia" w:ascii="宋体" w:hAnsi="宋体" w:eastAsia="宋体" w:cs="宋体"/>
                <w:i w:val="0"/>
                <w:iCs w:val="0"/>
                <w:color w:val="000000"/>
                <w:kern w:val="0"/>
                <w:sz w:val="18"/>
                <w:szCs w:val="18"/>
                <w:u w:val="none"/>
                <w:lang w:val="en-US" w:eastAsia="zh-CN" w:bidi="ar"/>
              </w:rPr>
              <w:t>. 提供有线网络和无线网络的802.1X、 Portal、 CA证书、 MAC地址、 WAPI等认证方式，为了保证笔记本、台式机等桌面终端的认证便捷性，要求在用户首次登陆时提供802.1X一键配置工具，可以完成自动配置，用户只需要输入账号密码即可完成；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.为满足未来业务发展需要，认证系统需支持APP认证方式，需要提供http认证服务接口；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为了保证用户账号的安全性，要求在首次登录时提供账号、终端MAC、手机号码绑定策略，用户获取手机验证码才能上网，实现账号在另一台终端登陆时需要输入正确的手机验证码才能上网，防止账号被非法盗用，同时能利用手机验证码、邮箱自助修改密码，减少IT管理员的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要求实现无感知认证，用户首次输入用户名密码验证成功后，后续上网无需再次输入密码进行重复认证，并要求可以配置免认证有效期，在免认证有效期内自动完成认证接入，过完有效期再次上网时需要再次输入密码才能上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.支持用户身份策略控制，即根据不同用户的身份弹出不同的页面；并提供不同的上网控制策略；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.支持传递用户名、终端MAC、 IP以及接入的AP/AP组等信息，用于二次开发或统计分析等；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 xml:space="preserve">.支持关联RADIUS、微软AD域、LDAP、数据库（Oracle、MySQL、MS-SQL）、Portal2.0、AS等外置认证服务器，实现802.1x、Portal等第三方认证；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.★为了保证流量管理系统的售后服务以及兼容性，要求多功能网络认证系统与无线控制器</w:t>
            </w:r>
            <w:r>
              <w:rPr>
                <w:rFonts w:hint="eastAsia" w:cs="宋体"/>
                <w:i w:val="0"/>
                <w:iCs w:val="0"/>
                <w:color w:val="000000"/>
                <w:kern w:val="0"/>
                <w:sz w:val="18"/>
                <w:szCs w:val="18"/>
                <w:u w:val="none"/>
                <w:lang w:val="en-US" w:eastAsia="zh-CN" w:bidi="ar"/>
              </w:rPr>
              <w:t>适配，实现互联互通</w:t>
            </w:r>
            <w:r>
              <w:rPr>
                <w:rFonts w:hint="eastAsia" w:ascii="宋体" w:hAnsi="宋体" w:eastAsia="宋体" w:cs="宋体"/>
                <w:i w:val="0"/>
                <w:iCs w:val="0"/>
                <w:color w:val="000000"/>
                <w:kern w:val="0"/>
                <w:sz w:val="18"/>
                <w:szCs w:val="18"/>
                <w:u w:val="none"/>
                <w:lang w:val="en-US" w:eastAsia="zh-CN" w:bidi="ar"/>
              </w:rPr>
              <w:t>；</w:t>
            </w:r>
          </w:p>
        </w:tc>
      </w:tr>
    </w:tbl>
    <w:p w14:paraId="7E14391D"/>
    <w:p w14:paraId="02D7BCED">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EEACBA5">
      <w:pPr>
        <w:spacing w:line="360" w:lineRule="auto"/>
        <w:jc w:val="center"/>
        <w:outlineLvl w:val="0"/>
        <w:rPr>
          <w:rFonts w:asciiTheme="minorEastAsia" w:hAnsiTheme="minorEastAsia" w:eastAsiaTheme="minorEastAsia"/>
          <w:b/>
          <w:color w:val="auto"/>
          <w:sz w:val="28"/>
          <w:highlight w:val="none"/>
        </w:rPr>
      </w:pPr>
      <w:bookmarkStart w:id="36" w:name="_Toc11353"/>
      <w:r>
        <w:rPr>
          <w:rFonts w:hint="eastAsia" w:asciiTheme="minorEastAsia" w:hAnsiTheme="minorEastAsia" w:eastAsiaTheme="minorEastAsia"/>
          <w:b/>
          <w:color w:val="auto"/>
          <w:sz w:val="28"/>
          <w:highlight w:val="none"/>
        </w:rPr>
        <w:t>第四章  评审方法和标准</w:t>
      </w:r>
      <w:bookmarkEnd w:id="36"/>
    </w:p>
    <w:p w14:paraId="405AFB19">
      <w:pPr>
        <w:spacing w:line="360" w:lineRule="auto"/>
        <w:ind w:firstLine="437"/>
        <w:outlineLvl w:val="1"/>
        <w:rPr>
          <w:rFonts w:asciiTheme="minorEastAsia" w:hAnsiTheme="minorEastAsia" w:eastAsiaTheme="minorEastAsia"/>
          <w:b/>
          <w:color w:val="auto"/>
          <w:sz w:val="24"/>
          <w:highlight w:val="none"/>
        </w:rPr>
      </w:pPr>
      <w:bookmarkStart w:id="37" w:name="_Toc31533"/>
      <w:bookmarkStart w:id="38" w:name="_Toc3679"/>
      <w:r>
        <w:rPr>
          <w:rFonts w:hint="eastAsia" w:asciiTheme="minorEastAsia" w:hAnsiTheme="minorEastAsia" w:eastAsiaTheme="minorEastAsia"/>
          <w:b/>
          <w:color w:val="auto"/>
          <w:sz w:val="24"/>
          <w:highlight w:val="none"/>
        </w:rPr>
        <w:t>一、总则</w:t>
      </w:r>
      <w:bookmarkEnd w:id="37"/>
      <w:bookmarkEnd w:id="38"/>
    </w:p>
    <w:p w14:paraId="554277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8736BF2">
      <w:pPr>
        <w:spacing w:line="360" w:lineRule="auto"/>
        <w:ind w:firstLine="437"/>
        <w:outlineLvl w:val="1"/>
        <w:rPr>
          <w:rFonts w:asciiTheme="minorEastAsia" w:hAnsiTheme="minorEastAsia" w:eastAsiaTheme="minorEastAsia"/>
          <w:b/>
          <w:color w:val="auto"/>
          <w:sz w:val="24"/>
          <w:highlight w:val="none"/>
        </w:rPr>
      </w:pPr>
      <w:bookmarkStart w:id="39" w:name="_Toc16232"/>
      <w:bookmarkStart w:id="40" w:name="_Toc13405"/>
      <w:r>
        <w:rPr>
          <w:rFonts w:hint="eastAsia" w:asciiTheme="minorEastAsia" w:hAnsiTheme="minorEastAsia" w:eastAsiaTheme="minorEastAsia"/>
          <w:b/>
          <w:color w:val="auto"/>
          <w:sz w:val="24"/>
          <w:highlight w:val="none"/>
        </w:rPr>
        <w:t>二、评审方法</w:t>
      </w:r>
      <w:bookmarkEnd w:id="39"/>
      <w:bookmarkEnd w:id="40"/>
    </w:p>
    <w:p w14:paraId="6D85C35D">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01006C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496"/>
        <w:gridCol w:w="4266"/>
        <w:gridCol w:w="2867"/>
      </w:tblGrid>
      <w:tr w14:paraId="56DD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93729DD">
            <w:pPr>
              <w:adjustRightInd w:val="0"/>
              <w:snapToGrid w:val="0"/>
              <w:spacing w:line="240" w:lineRule="auto"/>
              <w:ind w:right="-1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初审表</w:t>
            </w:r>
          </w:p>
        </w:tc>
      </w:tr>
      <w:tr w14:paraId="46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A5D2716">
            <w:pPr>
              <w:adjustRightInd w:val="0"/>
              <w:snapToGrid w:val="0"/>
              <w:spacing w:line="240" w:lineRule="auto"/>
              <w:ind w:right="-10" w:rightChars="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rPr>
              <w:t>序号</w:t>
            </w:r>
          </w:p>
        </w:tc>
        <w:tc>
          <w:tcPr>
            <w:tcW w:w="796" w:type="pct"/>
            <w:tcBorders>
              <w:bottom w:val="single" w:color="auto" w:sz="4" w:space="0"/>
            </w:tcBorders>
            <w:vAlign w:val="center"/>
          </w:tcPr>
          <w:p w14:paraId="29066BA6">
            <w:pPr>
              <w:pStyle w:val="70"/>
              <w:pBdr>
                <w:bottom w:val="none" w:color="auto" w:sz="0" w:space="0"/>
              </w:pBdr>
              <w:tabs>
                <w:tab w:val="clear" w:pos="4153"/>
                <w:tab w:val="clear" w:pos="8306"/>
              </w:tabs>
              <w:snapToGrid w:val="0"/>
              <w:spacing w:line="240" w:lineRule="auto"/>
              <w:ind w:right="-10" w:rightChars="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审查因素</w:t>
            </w:r>
          </w:p>
        </w:tc>
        <w:tc>
          <w:tcPr>
            <w:tcW w:w="2268" w:type="pct"/>
            <w:tcBorders>
              <w:bottom w:val="single" w:color="auto" w:sz="4" w:space="0"/>
            </w:tcBorders>
            <w:vAlign w:val="center"/>
          </w:tcPr>
          <w:p w14:paraId="0C8807FF">
            <w:pPr>
              <w:adjustRightInd w:val="0"/>
              <w:snapToGrid w:val="0"/>
              <w:spacing w:line="240" w:lineRule="auto"/>
              <w:ind w:right="-10" w:rightChars="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lang w:val="en-US" w:eastAsia="zh-CN"/>
              </w:rPr>
              <w:t>审查内容</w:t>
            </w:r>
          </w:p>
        </w:tc>
        <w:tc>
          <w:tcPr>
            <w:tcW w:w="1524" w:type="pct"/>
            <w:tcBorders>
              <w:bottom w:val="single" w:color="auto" w:sz="4" w:space="0"/>
            </w:tcBorders>
            <w:vAlign w:val="center"/>
          </w:tcPr>
          <w:p w14:paraId="6DC65911">
            <w:pPr>
              <w:adjustRightInd w:val="0"/>
              <w:snapToGrid w:val="0"/>
              <w:spacing w:line="240" w:lineRule="auto"/>
              <w:ind w:right="-10" w:rightChars="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rPr>
              <w:t>格式要求</w:t>
            </w:r>
          </w:p>
        </w:tc>
      </w:tr>
      <w:tr w14:paraId="1A3A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190C42D7">
            <w:pPr>
              <w:adjustRightInd w:val="0"/>
              <w:snapToGrid w:val="0"/>
              <w:spacing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1</w:t>
            </w:r>
          </w:p>
        </w:tc>
        <w:tc>
          <w:tcPr>
            <w:tcW w:w="796" w:type="pct"/>
            <w:tcBorders>
              <w:bottom w:val="single" w:color="auto" w:sz="4" w:space="0"/>
            </w:tcBorders>
            <w:vAlign w:val="center"/>
          </w:tcPr>
          <w:p w14:paraId="77535CBB">
            <w:pPr>
              <w:spacing w:after="50"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spacing w:val="9"/>
                <w:sz w:val="24"/>
                <w:szCs w:val="24"/>
                <w:highlight w:val="none"/>
              </w:rPr>
              <w:t>营业执照等证明</w:t>
            </w:r>
            <w:r>
              <w:rPr>
                <w:rFonts w:hint="eastAsia" w:ascii="宋体" w:hAnsi="宋体" w:eastAsia="宋体" w:cs="宋体"/>
                <w:spacing w:val="-3"/>
                <w:sz w:val="24"/>
                <w:szCs w:val="24"/>
                <w:highlight w:val="none"/>
              </w:rPr>
              <w:t>文件</w:t>
            </w:r>
          </w:p>
        </w:tc>
        <w:tc>
          <w:tcPr>
            <w:tcW w:w="2268" w:type="pct"/>
            <w:tcBorders>
              <w:bottom w:val="single" w:color="auto" w:sz="4" w:space="0"/>
            </w:tcBorders>
            <w:vAlign w:val="center"/>
          </w:tcPr>
          <w:p w14:paraId="2B4144DE">
            <w:pPr>
              <w:spacing w:after="50" w:line="240" w:lineRule="auto"/>
              <w:ind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供有效的营业执照；</w:t>
            </w:r>
          </w:p>
          <w:p w14:paraId="42E28D80">
            <w:pPr>
              <w:spacing w:after="50" w:line="240" w:lineRule="auto"/>
              <w:ind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供有效的事业单位法人证书；</w:t>
            </w:r>
          </w:p>
          <w:p w14:paraId="5BDC6DC5">
            <w:pPr>
              <w:spacing w:after="50" w:line="240" w:lineRule="auto"/>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登记证书等证明文件；</w:t>
            </w:r>
          </w:p>
        </w:tc>
        <w:tc>
          <w:tcPr>
            <w:tcW w:w="1524" w:type="pct"/>
            <w:tcBorders>
              <w:bottom w:val="single" w:color="auto" w:sz="4" w:space="0"/>
            </w:tcBorders>
            <w:vAlign w:val="center"/>
          </w:tcPr>
          <w:p w14:paraId="72169DB6">
            <w:pPr>
              <w:spacing w:line="240" w:lineRule="auto"/>
              <w:jc w:val="left"/>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7BFB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3713D55">
            <w:pPr>
              <w:adjustRightInd w:val="0"/>
              <w:snapToGrid w:val="0"/>
              <w:spacing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2</w:t>
            </w:r>
          </w:p>
        </w:tc>
        <w:tc>
          <w:tcPr>
            <w:tcW w:w="796" w:type="pct"/>
            <w:vAlign w:val="center"/>
          </w:tcPr>
          <w:p w14:paraId="0C6F2D69">
            <w:pPr>
              <w:spacing w:after="50"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供应商资格声明书</w:t>
            </w:r>
          </w:p>
        </w:tc>
        <w:tc>
          <w:tcPr>
            <w:tcW w:w="2268" w:type="pct"/>
            <w:vAlign w:val="center"/>
          </w:tcPr>
          <w:p w14:paraId="469DA493">
            <w:pPr>
              <w:spacing w:after="50" w:line="240" w:lineRule="auto"/>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供符合</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524" w:type="pct"/>
            <w:vAlign w:val="center"/>
          </w:tcPr>
          <w:p w14:paraId="4B2B2C47">
            <w:pPr>
              <w:spacing w:line="24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17CC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BAD0112">
            <w:pPr>
              <w:adjustRightInd w:val="0"/>
              <w:snapToGrid w:val="0"/>
              <w:spacing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3</w:t>
            </w:r>
          </w:p>
        </w:tc>
        <w:tc>
          <w:tcPr>
            <w:tcW w:w="796" w:type="pct"/>
            <w:vAlign w:val="center"/>
          </w:tcPr>
          <w:p w14:paraId="49F2A0A9">
            <w:pPr>
              <w:spacing w:after="50"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004C8599">
            <w:pPr>
              <w:spacing w:after="50" w:line="240" w:lineRule="auto"/>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s="宋体"/>
                <w:color w:val="auto"/>
                <w:sz w:val="24"/>
                <w:szCs w:val="24"/>
                <w:highlight w:val="none"/>
              </w:rPr>
              <w:t>的不良信用记录情形</w:t>
            </w:r>
          </w:p>
        </w:tc>
        <w:tc>
          <w:tcPr>
            <w:tcW w:w="1524" w:type="pct"/>
            <w:vAlign w:val="center"/>
          </w:tcPr>
          <w:p w14:paraId="20AC20DE">
            <w:pPr>
              <w:spacing w:line="240" w:lineRule="auto"/>
              <w:jc w:val="left"/>
              <w:rPr>
                <w:rFonts w:hint="eastAsia" w:ascii="宋体" w:hAnsi="宋体" w:eastAsia="宋体" w:cs="宋体"/>
                <w:color w:val="auto"/>
                <w:kern w:val="2"/>
                <w:sz w:val="24"/>
                <w:szCs w:val="24"/>
                <w:highlight w:val="none"/>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2F30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D31D2EB">
            <w:pPr>
              <w:adjustRightInd w:val="0"/>
              <w:snapToGrid w:val="0"/>
              <w:spacing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4</w:t>
            </w:r>
          </w:p>
        </w:tc>
        <w:tc>
          <w:tcPr>
            <w:tcW w:w="796" w:type="pct"/>
            <w:vAlign w:val="center"/>
          </w:tcPr>
          <w:p w14:paraId="09A4C4CF">
            <w:pPr>
              <w:spacing w:after="50" w:line="240" w:lineRule="auto"/>
              <w:ind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spacing w:val="10"/>
                <w:sz w:val="24"/>
                <w:szCs w:val="24"/>
                <w:highlight w:val="none"/>
              </w:rPr>
              <w:t>其它落实政府采</w:t>
            </w:r>
            <w:r>
              <w:rPr>
                <w:rFonts w:hint="eastAsia" w:ascii="宋体" w:hAnsi="宋体" w:eastAsia="宋体" w:cs="宋体"/>
                <w:spacing w:val="11"/>
                <w:sz w:val="24"/>
                <w:szCs w:val="24"/>
                <w:highlight w:val="none"/>
              </w:rPr>
              <w:t>购政策的资格要</w:t>
            </w:r>
            <w:r>
              <w:rPr>
                <w:rFonts w:hint="eastAsia" w:ascii="宋体" w:hAnsi="宋体" w:eastAsia="宋体" w:cs="宋体"/>
                <w:sz w:val="24"/>
                <w:szCs w:val="24"/>
                <w:highlight w:val="none"/>
              </w:rPr>
              <w:t>求</w:t>
            </w:r>
          </w:p>
        </w:tc>
        <w:tc>
          <w:tcPr>
            <w:tcW w:w="2268" w:type="pct"/>
            <w:vAlign w:val="center"/>
          </w:tcPr>
          <w:p w14:paraId="21A99F83">
            <w:pPr>
              <w:spacing w:after="50" w:line="240" w:lineRule="auto"/>
              <w:ind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spacing w:val="-2"/>
                <w:sz w:val="24"/>
                <w:szCs w:val="24"/>
                <w:highlight w:val="none"/>
              </w:rPr>
              <w:t>如有，见第一章《投标邀请》</w:t>
            </w:r>
          </w:p>
        </w:tc>
        <w:tc>
          <w:tcPr>
            <w:tcW w:w="1524" w:type="pct"/>
            <w:vAlign w:val="center"/>
          </w:tcPr>
          <w:p w14:paraId="110F44DF">
            <w:pPr>
              <w:spacing w:after="50" w:line="240" w:lineRule="auto"/>
              <w:ind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E14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Merge w:val="restart"/>
            <w:vAlign w:val="center"/>
          </w:tcPr>
          <w:p w14:paraId="53A4BCAB">
            <w:pPr>
              <w:adjustRightInd w:val="0"/>
              <w:snapToGrid w:val="0"/>
              <w:spacing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5</w:t>
            </w:r>
          </w:p>
        </w:tc>
        <w:tc>
          <w:tcPr>
            <w:tcW w:w="796" w:type="pct"/>
            <w:vMerge w:val="restart"/>
            <w:vAlign w:val="center"/>
          </w:tcPr>
          <w:p w14:paraId="28A1DBA3">
            <w:pPr>
              <w:spacing w:after="50" w:line="240" w:lineRule="auto"/>
              <w:ind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spacing w:val="10"/>
                <w:sz w:val="24"/>
                <w:szCs w:val="24"/>
                <w:highlight w:val="none"/>
                <w:lang w:eastAsia="zh-CN"/>
              </w:rPr>
              <w:t>本项目的</w:t>
            </w:r>
            <w:r>
              <w:rPr>
                <w:rFonts w:hint="eastAsia" w:ascii="宋体" w:hAnsi="宋体" w:eastAsia="宋体" w:cs="宋体"/>
                <w:spacing w:val="10"/>
                <w:sz w:val="24"/>
                <w:szCs w:val="24"/>
                <w:highlight w:val="none"/>
              </w:rPr>
              <w:t>特定资格要求</w:t>
            </w:r>
          </w:p>
        </w:tc>
        <w:tc>
          <w:tcPr>
            <w:tcW w:w="2268" w:type="pct"/>
            <w:vAlign w:val="center"/>
          </w:tcPr>
          <w:p w14:paraId="272ABEC8">
            <w:pPr>
              <w:spacing w:after="50" w:line="240" w:lineRule="auto"/>
              <w:ind w:right="-10" w:rightChars="0"/>
              <w:jc w:val="left"/>
              <w:rPr>
                <w:rFonts w:hint="eastAsia" w:ascii="宋体" w:hAnsi="宋体" w:eastAsia="宋体" w:cs="宋体"/>
                <w:spacing w:val="10"/>
                <w:sz w:val="24"/>
                <w:szCs w:val="24"/>
                <w:highlight w:val="none"/>
              </w:rPr>
            </w:pPr>
            <w:r>
              <w:rPr>
                <w:rFonts w:hint="eastAsia" w:ascii="宋体" w:hAnsi="宋体" w:eastAsia="宋体" w:cs="宋体"/>
                <w:b/>
                <w:bCs/>
                <w:color w:val="auto"/>
                <w:sz w:val="24"/>
                <w:szCs w:val="24"/>
                <w:highlight w:val="none"/>
              </w:rPr>
              <w:t>资质证书</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提供满足供应商资格中本项目的特定资格要求的资质证书扫描件。</w:t>
            </w:r>
          </w:p>
        </w:tc>
        <w:tc>
          <w:tcPr>
            <w:tcW w:w="1524" w:type="pct"/>
            <w:vAlign w:val="center"/>
          </w:tcPr>
          <w:p w14:paraId="1A70AA30">
            <w:pPr>
              <w:spacing w:after="50" w:line="240" w:lineRule="auto"/>
              <w:ind w:right="-10" w:right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07B9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Merge w:val="continue"/>
            <w:vAlign w:val="center"/>
          </w:tcPr>
          <w:p w14:paraId="3800B3CE">
            <w:pPr>
              <w:adjustRightInd w:val="0"/>
              <w:snapToGrid w:val="0"/>
              <w:spacing w:line="240" w:lineRule="auto"/>
              <w:ind w:right="-10" w:rightChars="0"/>
              <w:jc w:val="center"/>
              <w:rPr>
                <w:rFonts w:hint="eastAsia" w:ascii="宋体" w:hAnsi="宋体" w:eastAsia="宋体" w:cs="宋体"/>
                <w:color w:val="auto"/>
                <w:sz w:val="24"/>
                <w:szCs w:val="24"/>
                <w:highlight w:val="none"/>
                <w:lang w:val="en-US" w:eastAsia="zh-CN"/>
              </w:rPr>
            </w:pPr>
          </w:p>
        </w:tc>
        <w:tc>
          <w:tcPr>
            <w:tcW w:w="796" w:type="pct"/>
            <w:vMerge w:val="continue"/>
            <w:vAlign w:val="center"/>
          </w:tcPr>
          <w:p w14:paraId="3390D718">
            <w:pPr>
              <w:spacing w:after="50" w:line="240" w:lineRule="auto"/>
              <w:ind w:right="-10" w:rightChars="0"/>
              <w:jc w:val="both"/>
              <w:rPr>
                <w:rFonts w:hint="eastAsia" w:ascii="宋体" w:hAnsi="宋体" w:eastAsia="宋体" w:cs="宋体"/>
                <w:spacing w:val="10"/>
                <w:sz w:val="24"/>
                <w:szCs w:val="24"/>
                <w:highlight w:val="none"/>
                <w:lang w:eastAsia="zh-CN"/>
              </w:rPr>
            </w:pPr>
          </w:p>
        </w:tc>
        <w:tc>
          <w:tcPr>
            <w:tcW w:w="2268" w:type="pct"/>
            <w:vAlign w:val="center"/>
          </w:tcPr>
          <w:p w14:paraId="0BA73340">
            <w:pPr>
              <w:spacing w:after="50" w:line="240" w:lineRule="auto"/>
              <w:ind w:right="-10" w:rightChars="0"/>
              <w:jc w:val="left"/>
              <w:rPr>
                <w:rFonts w:hint="eastAsia" w:ascii="宋体" w:hAnsi="宋体" w:eastAsia="宋体" w:cs="宋体"/>
                <w:spacing w:val="10"/>
                <w:sz w:val="24"/>
                <w:szCs w:val="24"/>
                <w:highlight w:val="none"/>
              </w:rPr>
            </w:pPr>
            <w:r>
              <w:rPr>
                <w:rFonts w:hint="eastAsia" w:ascii="宋体" w:hAnsi="宋体" w:eastAsia="宋体" w:cs="宋体"/>
                <w:b/>
                <w:bCs/>
                <w:color w:val="auto"/>
                <w:sz w:val="24"/>
                <w:szCs w:val="24"/>
                <w:highlight w:val="none"/>
              </w:rPr>
              <w:t>资质证书</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提供满足供应商资格中本项目的特定资格要求的资质证书扫描件。</w:t>
            </w:r>
          </w:p>
        </w:tc>
        <w:tc>
          <w:tcPr>
            <w:tcW w:w="1524" w:type="pct"/>
            <w:vAlign w:val="center"/>
          </w:tcPr>
          <w:p w14:paraId="581ECF9F">
            <w:pPr>
              <w:spacing w:after="50" w:line="240" w:lineRule="auto"/>
              <w:ind w:right="-10" w:right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22F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Merge w:val="continue"/>
            <w:vAlign w:val="center"/>
          </w:tcPr>
          <w:p w14:paraId="766ABE5E">
            <w:pPr>
              <w:adjustRightInd w:val="0"/>
              <w:snapToGrid w:val="0"/>
              <w:spacing w:line="240" w:lineRule="auto"/>
              <w:ind w:right="-10" w:rightChars="0"/>
              <w:jc w:val="center"/>
              <w:rPr>
                <w:rFonts w:hint="eastAsia" w:ascii="宋体" w:hAnsi="宋体" w:eastAsia="宋体" w:cs="宋体"/>
                <w:color w:val="auto"/>
                <w:kern w:val="2"/>
                <w:sz w:val="24"/>
                <w:szCs w:val="24"/>
                <w:highlight w:val="none"/>
              </w:rPr>
            </w:pPr>
          </w:p>
        </w:tc>
        <w:tc>
          <w:tcPr>
            <w:tcW w:w="796" w:type="pct"/>
            <w:vMerge w:val="continue"/>
            <w:vAlign w:val="center"/>
          </w:tcPr>
          <w:p w14:paraId="508169DD">
            <w:pPr>
              <w:spacing w:after="50" w:line="240" w:lineRule="auto"/>
              <w:ind w:right="-10" w:rightChars="0"/>
              <w:jc w:val="both"/>
              <w:rPr>
                <w:rFonts w:hint="eastAsia" w:ascii="宋体" w:hAnsi="宋体" w:eastAsia="宋体" w:cs="宋体"/>
                <w:color w:val="auto"/>
                <w:kern w:val="2"/>
                <w:sz w:val="24"/>
                <w:szCs w:val="24"/>
                <w:highlight w:val="none"/>
              </w:rPr>
            </w:pPr>
          </w:p>
        </w:tc>
        <w:tc>
          <w:tcPr>
            <w:tcW w:w="2268" w:type="pct"/>
            <w:vAlign w:val="center"/>
          </w:tcPr>
          <w:p w14:paraId="0128CE7C">
            <w:pPr>
              <w:spacing w:after="50" w:line="240" w:lineRule="auto"/>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b/>
                <w:bCs/>
                <w:color w:val="auto"/>
                <w:sz w:val="24"/>
                <w:szCs w:val="24"/>
                <w:highlight w:val="none"/>
              </w:rPr>
              <w:t>资质证书</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提供满足供应商资格中本项目的特定资格要求的资质证书扫描件。</w:t>
            </w:r>
          </w:p>
        </w:tc>
        <w:tc>
          <w:tcPr>
            <w:tcW w:w="1524" w:type="pct"/>
            <w:vAlign w:val="center"/>
          </w:tcPr>
          <w:p w14:paraId="389442EA">
            <w:pPr>
              <w:spacing w:after="50" w:line="240" w:lineRule="auto"/>
              <w:ind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AB7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10" w:type="pct"/>
            <w:vAlign w:val="center"/>
          </w:tcPr>
          <w:p w14:paraId="77EADD14">
            <w:pPr>
              <w:adjustRightInd w:val="0"/>
              <w:snapToGrid w:val="0"/>
              <w:spacing w:line="240" w:lineRule="auto"/>
              <w:ind w:right="-10" w:rightChars="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6</w:t>
            </w:r>
          </w:p>
        </w:tc>
        <w:tc>
          <w:tcPr>
            <w:tcW w:w="796" w:type="pct"/>
            <w:vAlign w:val="center"/>
          </w:tcPr>
          <w:p w14:paraId="0B0D1B2A">
            <w:pPr>
              <w:adjustRightInd w:val="0"/>
              <w:snapToGrid w:val="0"/>
              <w:spacing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授权书</w:t>
            </w:r>
          </w:p>
        </w:tc>
        <w:tc>
          <w:tcPr>
            <w:tcW w:w="2268" w:type="pct"/>
            <w:vAlign w:val="center"/>
          </w:tcPr>
          <w:p w14:paraId="08F70821">
            <w:pPr>
              <w:adjustRightInd w:val="0"/>
              <w:snapToGrid w:val="0"/>
              <w:spacing w:line="240" w:lineRule="auto"/>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符合</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文件要求。</w:t>
            </w:r>
          </w:p>
        </w:tc>
        <w:tc>
          <w:tcPr>
            <w:tcW w:w="1524" w:type="pct"/>
            <w:vAlign w:val="center"/>
          </w:tcPr>
          <w:p w14:paraId="323B8D59">
            <w:pPr>
              <w:adjustRightInd w:val="0"/>
              <w:snapToGrid w:val="0"/>
              <w:spacing w:line="240" w:lineRule="auto"/>
              <w:ind w:right="-10" w:rightChars="0"/>
              <w:jc w:val="left"/>
              <w:rPr>
                <w:rFonts w:hint="eastAsia" w:ascii="宋体" w:hAnsi="宋体" w:eastAsia="宋体" w:cs="宋体"/>
                <w:color w:val="auto"/>
                <w:kern w:val="2"/>
                <w:sz w:val="24"/>
                <w:szCs w:val="24"/>
                <w:highlight w:val="none"/>
              </w:rPr>
            </w:pPr>
          </w:p>
        </w:tc>
      </w:tr>
      <w:tr w14:paraId="6E02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10" w:type="pct"/>
            <w:vAlign w:val="center"/>
          </w:tcPr>
          <w:p w14:paraId="3E4FACAE">
            <w:pPr>
              <w:adjustRightInd w:val="0"/>
              <w:snapToGrid w:val="0"/>
              <w:spacing w:line="240" w:lineRule="auto"/>
              <w:ind w:right="-10" w:rightChars="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7</w:t>
            </w:r>
          </w:p>
        </w:tc>
        <w:tc>
          <w:tcPr>
            <w:tcW w:w="796" w:type="pct"/>
            <w:vAlign w:val="center"/>
          </w:tcPr>
          <w:p w14:paraId="626403B2">
            <w:pPr>
              <w:adjustRightInd w:val="0"/>
              <w:snapToGrid w:val="0"/>
              <w:spacing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响应函</w:t>
            </w:r>
          </w:p>
        </w:tc>
        <w:tc>
          <w:tcPr>
            <w:tcW w:w="2268" w:type="pct"/>
            <w:vAlign w:val="center"/>
          </w:tcPr>
          <w:p w14:paraId="793FCFF1">
            <w:pPr>
              <w:adjustRightInd w:val="0"/>
              <w:snapToGrid w:val="0"/>
              <w:spacing w:line="240" w:lineRule="auto"/>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符合</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文件要求。</w:t>
            </w:r>
          </w:p>
        </w:tc>
        <w:tc>
          <w:tcPr>
            <w:tcW w:w="1524" w:type="pct"/>
            <w:vAlign w:val="center"/>
          </w:tcPr>
          <w:p w14:paraId="7F9D6E43">
            <w:pPr>
              <w:adjustRightInd w:val="0"/>
              <w:snapToGrid w:val="0"/>
              <w:spacing w:line="240" w:lineRule="auto"/>
              <w:ind w:right="-10" w:rightChars="0"/>
              <w:jc w:val="left"/>
              <w:rPr>
                <w:rFonts w:hint="eastAsia" w:ascii="宋体" w:hAnsi="宋体" w:eastAsia="宋体" w:cs="宋体"/>
                <w:color w:val="auto"/>
                <w:kern w:val="2"/>
                <w:sz w:val="24"/>
                <w:szCs w:val="24"/>
                <w:highlight w:val="none"/>
              </w:rPr>
            </w:pPr>
          </w:p>
        </w:tc>
      </w:tr>
      <w:tr w14:paraId="6FD3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10" w:type="pct"/>
            <w:vAlign w:val="center"/>
          </w:tcPr>
          <w:p w14:paraId="7CC0501B">
            <w:pPr>
              <w:adjustRightInd w:val="0"/>
              <w:snapToGrid w:val="0"/>
              <w:spacing w:line="240" w:lineRule="auto"/>
              <w:ind w:right="-10" w:rightChars="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796" w:type="pct"/>
            <w:vAlign w:val="center"/>
          </w:tcPr>
          <w:p w14:paraId="318E1CD7">
            <w:pPr>
              <w:spacing w:after="50"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w:t>
            </w:r>
          </w:p>
        </w:tc>
        <w:tc>
          <w:tcPr>
            <w:tcW w:w="2268" w:type="pct"/>
            <w:vAlign w:val="center"/>
          </w:tcPr>
          <w:p w14:paraId="5B337567">
            <w:pPr>
              <w:spacing w:after="50" w:line="240" w:lineRule="auto"/>
              <w:ind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要求</w:t>
            </w:r>
          </w:p>
        </w:tc>
        <w:tc>
          <w:tcPr>
            <w:tcW w:w="1524" w:type="pct"/>
            <w:vAlign w:val="center"/>
          </w:tcPr>
          <w:p w14:paraId="11A49FBF">
            <w:pPr>
              <w:adjustRightInd w:val="0"/>
              <w:snapToGrid w:val="0"/>
              <w:spacing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eastAsia="zh-CN"/>
              </w:rPr>
              <w:t>。</w:t>
            </w:r>
          </w:p>
        </w:tc>
      </w:tr>
      <w:tr w14:paraId="2ADC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10" w:type="pct"/>
            <w:vAlign w:val="center"/>
          </w:tcPr>
          <w:p w14:paraId="2A1B7097">
            <w:pPr>
              <w:adjustRightInd w:val="0"/>
              <w:snapToGrid w:val="0"/>
              <w:spacing w:line="240" w:lineRule="auto"/>
              <w:ind w:right="-10" w:rightChars="0"/>
              <w:jc w:val="cente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rPr>
              <w:t>9</w:t>
            </w:r>
          </w:p>
        </w:tc>
        <w:tc>
          <w:tcPr>
            <w:tcW w:w="796" w:type="pct"/>
            <w:vAlign w:val="center"/>
          </w:tcPr>
          <w:p w14:paraId="39CAD38D">
            <w:pPr>
              <w:adjustRightInd w:val="0"/>
              <w:snapToGrid w:val="0"/>
              <w:spacing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其他</w:t>
            </w:r>
          </w:p>
        </w:tc>
        <w:tc>
          <w:tcPr>
            <w:tcW w:w="2268" w:type="pct"/>
            <w:vAlign w:val="center"/>
          </w:tcPr>
          <w:p w14:paraId="2701E583">
            <w:pPr>
              <w:adjustRightInd w:val="0"/>
              <w:snapToGrid w:val="0"/>
              <w:spacing w:line="240" w:lineRule="auto"/>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其他实质性要求</w:t>
            </w:r>
          </w:p>
        </w:tc>
        <w:tc>
          <w:tcPr>
            <w:tcW w:w="1524" w:type="pct"/>
            <w:vAlign w:val="center"/>
          </w:tcPr>
          <w:p w14:paraId="4CAD1303">
            <w:pPr>
              <w:adjustRightInd w:val="0"/>
              <w:snapToGrid w:val="0"/>
              <w:spacing w:line="240" w:lineRule="auto"/>
              <w:ind w:right="-10" w:rightChars="0"/>
              <w:jc w:val="left"/>
              <w:rPr>
                <w:rFonts w:hint="eastAsia" w:ascii="宋体" w:hAnsi="宋体" w:eastAsia="宋体" w:cs="宋体"/>
                <w:color w:val="auto"/>
                <w:sz w:val="24"/>
                <w:szCs w:val="24"/>
                <w:highlight w:val="none"/>
              </w:rPr>
            </w:pPr>
          </w:p>
        </w:tc>
      </w:tr>
      <w:tr w14:paraId="2BCB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1EB36777">
            <w:pPr>
              <w:adjustRightInd w:val="0"/>
              <w:snapToGrid w:val="0"/>
              <w:spacing w:line="240" w:lineRule="auto"/>
              <w:ind w:right="-1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评审指标通过标准：供应商必须通过上述全部指标。</w:t>
            </w:r>
          </w:p>
        </w:tc>
        <w:tc>
          <w:tcPr>
            <w:tcW w:w="1524" w:type="pct"/>
            <w:tcBorders>
              <w:bottom w:val="single" w:color="auto" w:sz="4" w:space="0"/>
            </w:tcBorders>
            <w:vAlign w:val="center"/>
          </w:tcPr>
          <w:p w14:paraId="679ADF89">
            <w:pPr>
              <w:adjustRightInd w:val="0"/>
              <w:snapToGrid w:val="0"/>
              <w:spacing w:line="240" w:lineRule="auto"/>
              <w:ind w:right="-10"/>
              <w:jc w:val="left"/>
              <w:rPr>
                <w:rFonts w:hint="eastAsia" w:ascii="宋体" w:hAnsi="宋体" w:eastAsia="宋体" w:cs="宋体"/>
                <w:color w:val="auto"/>
                <w:kern w:val="2"/>
                <w:sz w:val="24"/>
                <w:szCs w:val="24"/>
                <w:highlight w:val="none"/>
              </w:rPr>
            </w:pPr>
          </w:p>
        </w:tc>
      </w:tr>
    </w:tbl>
    <w:p w14:paraId="232CFA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5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599"/>
        <w:gridCol w:w="4896"/>
        <w:gridCol w:w="2493"/>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24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05" w:type="dxa"/>
            <w:tcBorders>
              <w:bottom w:val="single" w:color="auto" w:sz="4" w:space="0"/>
            </w:tcBorders>
            <w:vAlign w:val="center"/>
          </w:tcPr>
          <w:p w14:paraId="24C66339">
            <w:pPr>
              <w:spacing w:line="24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24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24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24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24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24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FF0000"/>
                <w:sz w:val="24"/>
                <w:szCs w:val="24"/>
                <w:highlight w:val="none"/>
                <w:u w:val="single"/>
                <w:lang w:val="en-US" w:eastAsia="zh-CN"/>
              </w:rPr>
              <w:t>60%</w:t>
            </w:r>
            <w:r>
              <w:rPr>
                <w:rFonts w:hint="eastAsia" w:ascii="宋体" w:hAnsi="宋体" w:eastAsia="宋体" w:cs="宋体"/>
                <w:b w:val="0"/>
                <w:bCs w:val="0"/>
                <w:i w:val="0"/>
                <w:iCs w:val="0"/>
                <w:sz w:val="24"/>
                <w:szCs w:val="24"/>
                <w:highlight w:val="none"/>
                <w:u w:val="none"/>
                <w:lang w:val="en-US" w:eastAsia="zh-CN"/>
              </w:rPr>
              <w:t>；</w:t>
            </w:r>
          </w:p>
          <w:p w14:paraId="12D6E1A2">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FF0000"/>
                <w:sz w:val="24"/>
                <w:szCs w:val="24"/>
                <w:highlight w:val="none"/>
                <w:u w:val="single"/>
                <w:lang w:val="en-US" w:eastAsia="zh-CN"/>
              </w:rPr>
              <w:t>60%</w:t>
            </w:r>
            <w:r>
              <w:rPr>
                <w:rFonts w:hint="eastAsia" w:ascii="宋体" w:hAnsi="宋体" w:eastAsia="宋体" w:cs="宋体"/>
                <w:b w:val="0"/>
                <w:bCs w:val="0"/>
                <w:i w:val="0"/>
                <w:iCs w:val="0"/>
                <w:sz w:val="24"/>
                <w:szCs w:val="24"/>
                <w:highlight w:val="none"/>
                <w:u w:val="none"/>
                <w:lang w:val="en-US" w:eastAsia="zh-CN"/>
              </w:rPr>
              <w:t>；</w:t>
            </w:r>
          </w:p>
          <w:p w14:paraId="595C90C5">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FF0000"/>
                <w:sz w:val="24"/>
                <w:szCs w:val="24"/>
                <w:highlight w:val="none"/>
                <w:u w:val="single"/>
                <w:lang w:val="en-US" w:eastAsia="zh-CN"/>
              </w:rPr>
              <w:t>55%</w:t>
            </w:r>
            <w:r>
              <w:rPr>
                <w:rFonts w:hint="eastAsia" w:ascii="宋体" w:hAnsi="宋体" w:eastAsia="宋体" w:cs="宋体"/>
                <w:b w:val="0"/>
                <w:bCs w:val="0"/>
                <w:i w:val="0"/>
                <w:iCs w:val="0"/>
                <w:sz w:val="24"/>
                <w:szCs w:val="24"/>
                <w:highlight w:val="none"/>
                <w:u w:val="none"/>
                <w:lang w:val="en-US" w:eastAsia="zh-CN"/>
              </w:rPr>
              <w:t>；</w:t>
            </w:r>
          </w:p>
          <w:p w14:paraId="6545F9B4">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（4）磋商小组基于专业判断，认为供应商报价过低，有可能影响产品质量或者不能诚信履约的其他情形。</w:t>
            </w:r>
          </w:p>
          <w:p w14:paraId="1F1C5BD8">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5CB21018">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361741D1">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（2）上述所有项中的供应商响应报价均</w:t>
            </w:r>
            <w:bookmarkStart w:id="61" w:name="_GoBack"/>
            <w:bookmarkEnd w:id="61"/>
            <w:r>
              <w:rPr>
                <w:rFonts w:hint="eastAsia" w:ascii="宋体" w:hAnsi="宋体" w:eastAsia="宋体" w:cs="宋体"/>
                <w:b w:val="0"/>
                <w:bCs w:val="0"/>
                <w:i w:val="0"/>
                <w:iCs w:val="0"/>
                <w:sz w:val="24"/>
                <w:szCs w:val="24"/>
                <w:highlight w:val="none"/>
                <w:u w:val="none"/>
                <w:lang w:val="en-US" w:eastAsia="zh-CN"/>
              </w:rPr>
              <w:t>为最后承诺报价。</w:t>
            </w:r>
          </w:p>
        </w:tc>
        <w:tc>
          <w:tcPr>
            <w:tcW w:w="2260" w:type="dxa"/>
            <w:vAlign w:val="center"/>
          </w:tcPr>
          <w:p w14:paraId="4F4E35CC">
            <w:pPr>
              <w:spacing w:line="24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trike w:val="0"/>
          <w:sz w:val="24"/>
          <w:highlight w:val="none"/>
          <w:lang w:val="en-US" w:eastAsia="zh-CN"/>
        </w:rPr>
      </w:pPr>
      <w:r>
        <w:rPr>
          <w:rFonts w:hint="eastAsia" w:ascii="宋体" w:hAnsi="宋体" w:eastAsia="宋体" w:cs="Times New Roman"/>
          <w:sz w:val="24"/>
          <w:highlight w:val="none"/>
          <w:lang w:val="en-US" w:eastAsia="zh-CN"/>
        </w:rPr>
        <w:t>注：</w:t>
      </w:r>
    </w:p>
    <w:p w14:paraId="09D88CC1">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trike w:val="0"/>
          <w:dstrike w:val="0"/>
          <w:sz w:val="24"/>
          <w:highlight w:val="none"/>
          <w:lang w:val="en-US" w:eastAsia="zh-CN"/>
        </w:rPr>
      </w:pPr>
      <w:r>
        <w:rPr>
          <w:rFonts w:hint="eastAsia" w:ascii="宋体" w:hAnsi="宋体" w:eastAsia="宋体"/>
          <w:strike w:val="0"/>
          <w:dstrike w:val="0"/>
          <w:sz w:val="24"/>
          <w:highlight w:val="none"/>
        </w:rPr>
        <w:t>根据《关于推进解决政府采购异常低价问题的通知》（财库〔2026〕2号），</w:t>
      </w:r>
      <w:r>
        <w:rPr>
          <w:rFonts w:hint="eastAsia" w:ascii="宋体" w:hAnsi="宋体" w:eastAsia="宋体"/>
          <w:strike w:val="0"/>
          <w:dstrike w:val="0"/>
          <w:sz w:val="24"/>
          <w:highlight w:val="none"/>
          <w:lang w:val="en-US" w:eastAsia="zh-CN"/>
        </w:rPr>
        <w:t>采购人可以结合具体项目实际情况，提高上述</w:t>
      </w:r>
      <w:r>
        <w:rPr>
          <w:rFonts w:hint="eastAsia" w:ascii="宋体" w:hAnsi="宋体" w:eastAsia="宋体" w:cs="Times New Roman"/>
          <w:strike w:val="0"/>
          <w:dstrike w:val="0"/>
          <w:sz w:val="24"/>
          <w:highlight w:val="none"/>
          <w:lang w:val="en-US" w:eastAsia="zh-CN"/>
        </w:rPr>
        <w:t>评审标准</w:t>
      </w:r>
      <w:r>
        <w:rPr>
          <w:rFonts w:hint="eastAsia" w:ascii="宋体" w:hAnsi="宋体" w:eastAsia="宋体"/>
          <w:strike w:val="0"/>
          <w:dstrike w:val="0"/>
          <w:sz w:val="24"/>
          <w:highlight w:val="none"/>
          <w:lang w:val="en-US" w:eastAsia="zh-CN"/>
        </w:rPr>
        <w:t>第（1）项至第（3）项中的数值标准，但是最高不得超过65%。</w:t>
      </w:r>
    </w:p>
    <w:p w14:paraId="153DDD6B">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326F5DD3">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sz w:val="24"/>
          <w:highlight w:val="none"/>
        </w:rPr>
      </w:pPr>
      <w:r>
        <w:rPr>
          <w:rFonts w:hint="eastAsia" w:ascii="宋体" w:hAnsi="宋体" w:eastAsia="宋体"/>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62F5CAA0">
      <w:pPr>
        <w:spacing w:line="360" w:lineRule="auto"/>
        <w:ind w:firstLine="435"/>
        <w:outlineLvl w:val="2"/>
        <w:rPr>
          <w:rFonts w:hint="eastAsia" w:asciiTheme="minorEastAsia" w:hAnsiTheme="minorEastAsia" w:eastAsiaTheme="minorEastAsia"/>
          <w:b/>
          <w:color w:val="auto"/>
          <w:sz w:val="24"/>
          <w:highlight w:val="none"/>
        </w:rPr>
      </w:pPr>
      <w:r>
        <w:rPr>
          <w:rFonts w:hint="eastAsia" w:ascii="宋体" w:hAnsi="宋体" w:eastAsia="宋体"/>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BFD6065">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452E0A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6B4C08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%。具体评分细则如下：</w:t>
      </w:r>
    </w:p>
    <w:p w14:paraId="166620A9">
      <w:pPr>
        <w:spacing w:line="360" w:lineRule="auto"/>
        <w:ind w:firstLine="435"/>
        <w:rPr>
          <w:rFonts w:asciiTheme="minorEastAsia" w:hAnsiTheme="minorEastAsia" w:eastAsiaTheme="minorEastAsia"/>
          <w:color w:val="auto"/>
          <w:sz w:val="24"/>
          <w:highlight w:val="none"/>
        </w:rPr>
      </w:pP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897"/>
        <w:gridCol w:w="4131"/>
        <w:gridCol w:w="1742"/>
      </w:tblGrid>
      <w:tr w14:paraId="2063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4357460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7D055566">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67F9C7FD">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297FDA23">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1538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7E7B7E0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技术资信分</w:t>
            </w:r>
          </w:p>
          <w:p w14:paraId="6DCFB4E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4060C640">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
                <w:color w:val="auto"/>
                <w:kern w:val="0"/>
                <w:sz w:val="24"/>
                <w:szCs w:val="24"/>
                <w:highlight w:val="none"/>
              </w:rPr>
              <w:t>供应商业绩</w:t>
            </w:r>
          </w:p>
        </w:tc>
        <w:tc>
          <w:tcPr>
            <w:tcW w:w="2197" w:type="pct"/>
            <w:tcBorders>
              <w:top w:val="single" w:color="auto" w:sz="4" w:space="0"/>
              <w:left w:val="single" w:color="auto" w:sz="4" w:space="0"/>
              <w:bottom w:val="single" w:color="auto" w:sz="4" w:space="0"/>
              <w:right w:val="single" w:color="auto" w:sz="4" w:space="0"/>
            </w:tcBorders>
            <w:vAlign w:val="center"/>
          </w:tcPr>
          <w:p w14:paraId="3D9B690D">
            <w:pPr>
              <w:adjustRightInd w:val="0"/>
              <w:snapToGrid w:val="0"/>
              <w:spacing w:line="240" w:lineRule="auto"/>
              <w:rPr>
                <w:rFonts w:hint="eastAsia" w:ascii="宋体" w:hAnsi="宋体" w:eastAsia="宋体" w:cs="宋体"/>
                <w:bCs w:val="0"/>
                <w:color w:val="auto"/>
                <w:kern w:val="0"/>
                <w:sz w:val="24"/>
                <w:szCs w:val="24"/>
                <w:highlight w:val="none"/>
              </w:rPr>
            </w:pPr>
            <w:r>
              <w:rPr>
                <w:rFonts w:hint="eastAsia" w:ascii="宋体" w:hAnsi="宋体" w:eastAsia="宋体" w:cs="宋体"/>
                <w:bCs/>
                <w:color w:val="auto"/>
                <w:sz w:val="24"/>
                <w:szCs w:val="24"/>
                <w:highlight w:val="none"/>
              </w:rPr>
              <w:t>自20</w:t>
            </w:r>
            <w:r>
              <w:rPr>
                <w:rFonts w:hint="eastAsia" w:ascii="宋体" w:hAnsi="宋体" w:eastAsia="宋体" w:cs="宋体"/>
                <w:bCs/>
                <w:color w:val="auto"/>
                <w:sz w:val="24"/>
                <w:szCs w:val="24"/>
                <w:highlight w:val="none"/>
                <w:lang w:val="en-US" w:eastAsia="zh-CN"/>
              </w:rPr>
              <w:t>21</w:t>
            </w:r>
            <w:r>
              <w:rPr>
                <w:rFonts w:hint="eastAsia" w:ascii="宋体" w:hAnsi="宋体" w:eastAsia="宋体" w:cs="宋体"/>
                <w:bCs/>
                <w:color w:val="auto"/>
                <w:sz w:val="24"/>
                <w:szCs w:val="24"/>
                <w:highlight w:val="none"/>
              </w:rPr>
              <w:t>年1月</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日以来，</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每提供一个</w:t>
            </w:r>
            <w:r>
              <w:rPr>
                <w:rFonts w:hint="eastAsia" w:ascii="宋体" w:hAnsi="宋体" w:eastAsia="宋体" w:cs="宋体"/>
                <w:color w:val="auto"/>
                <w:sz w:val="24"/>
                <w:szCs w:val="24"/>
                <w:highlight w:val="none"/>
              </w:rPr>
              <w:t>水利工程自动化</w:t>
            </w:r>
            <w:r>
              <w:rPr>
                <w:rFonts w:hint="eastAsia" w:ascii="宋体" w:hAnsi="宋体" w:eastAsia="宋体" w:cs="宋体"/>
                <w:bCs/>
                <w:color w:val="auto"/>
                <w:sz w:val="24"/>
                <w:szCs w:val="24"/>
                <w:highlight w:val="none"/>
                <w:lang w:val="en-US" w:eastAsia="zh-CN"/>
              </w:rPr>
              <w:t>施工项目</w:t>
            </w:r>
            <w:r>
              <w:rPr>
                <w:rFonts w:hint="eastAsia" w:ascii="宋体" w:hAnsi="宋体" w:eastAsia="宋体" w:cs="宋体"/>
                <w:bCs/>
                <w:color w:val="auto"/>
                <w:sz w:val="24"/>
                <w:szCs w:val="24"/>
                <w:highlight w:val="none"/>
              </w:rPr>
              <w:t>业绩的得</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分，满分</w:t>
            </w: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w:t>
            </w:r>
          </w:p>
          <w:p w14:paraId="09541277">
            <w:pPr>
              <w:spacing w:line="240" w:lineRule="auto"/>
              <w:jc w:val="left"/>
              <w:rPr>
                <w:rFonts w:hint="eastAsia" w:ascii="宋体" w:hAnsi="宋体" w:eastAsia="宋体" w:cs="宋体"/>
                <w:bCs/>
                <w:color w:val="auto"/>
                <w:sz w:val="24"/>
                <w:szCs w:val="24"/>
                <w:highlight w:val="none"/>
              </w:rPr>
            </w:pPr>
            <w:r>
              <w:rPr>
                <w:rStyle w:val="271"/>
                <w:rFonts w:hint="eastAsia" w:ascii="宋体" w:hAnsi="宋体" w:eastAsia="宋体" w:cs="宋体"/>
                <w:b/>
                <w:bCs/>
                <w:color w:val="auto"/>
                <w:sz w:val="24"/>
                <w:szCs w:val="24"/>
                <w:highlight w:val="none"/>
                <w:lang w:val="en-US" w:eastAsia="zh-CN"/>
              </w:rPr>
              <w:t>注：响应文件中须同时提供①中标通知书或合同；②</w:t>
            </w:r>
            <w:r>
              <w:rPr>
                <w:rStyle w:val="271"/>
                <w:rFonts w:hint="eastAsia" w:ascii="宋体" w:hAnsi="宋体" w:eastAsia="宋体" w:cs="宋体"/>
                <w:b/>
                <w:bCs/>
                <w:sz w:val="24"/>
                <w:szCs w:val="24"/>
                <w:highlight w:val="none"/>
                <w:lang w:val="en-US" w:eastAsia="zh-CN"/>
              </w:rPr>
              <w:t>合同工程完工验收鉴定书（或合同工程验收鉴定书或竣工验收鉴定书或竣工验收报告）扫描件</w:t>
            </w:r>
            <w:r>
              <w:rPr>
                <w:rStyle w:val="271"/>
                <w:rFonts w:hint="eastAsia" w:ascii="宋体" w:hAnsi="宋体" w:eastAsia="宋体" w:cs="宋体"/>
                <w:b/>
                <w:bCs/>
                <w:color w:val="auto"/>
                <w:sz w:val="24"/>
                <w:szCs w:val="24"/>
                <w:highlight w:val="none"/>
                <w:lang w:val="en-US" w:eastAsia="zh-CN"/>
              </w:rPr>
              <w:t>，否则不得分。如上述材料不能体现业绩时间、项目内容等关键评审因素的，可补充提供合同甲方或行政主管部门出具的证明文件。</w:t>
            </w:r>
          </w:p>
        </w:tc>
        <w:tc>
          <w:tcPr>
            <w:tcW w:w="926" w:type="pct"/>
            <w:tcBorders>
              <w:top w:val="single" w:color="auto" w:sz="4" w:space="0"/>
              <w:left w:val="single" w:color="auto" w:sz="4" w:space="0"/>
              <w:bottom w:val="single" w:color="auto" w:sz="4" w:space="0"/>
              <w:right w:val="single" w:color="auto" w:sz="4" w:space="0"/>
            </w:tcBorders>
            <w:vAlign w:val="center"/>
          </w:tcPr>
          <w:p w14:paraId="790ED80C">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0-15分</w:t>
            </w:r>
          </w:p>
        </w:tc>
      </w:tr>
      <w:tr w14:paraId="4DD8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6F05733">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DE27A65">
            <w:pPr>
              <w:spacing w:line="240" w:lineRule="auto"/>
              <w:jc w:val="center"/>
              <w:rPr>
                <w:rFonts w:hint="eastAsia" w:ascii="宋体" w:hAnsi="宋体" w:eastAsia="宋体" w:cs="宋体"/>
                <w:color w:val="auto"/>
                <w:sz w:val="24"/>
                <w:szCs w:val="24"/>
                <w:highlight w:val="none"/>
              </w:rPr>
            </w:pPr>
            <w:r>
              <w:rPr>
                <w:rStyle w:val="271"/>
                <w:rFonts w:hint="eastAsia" w:ascii="宋体" w:hAnsi="宋体" w:eastAsia="宋体" w:cs="宋体"/>
                <w:b/>
                <w:bCs/>
                <w:color w:val="auto"/>
                <w:sz w:val="24"/>
                <w:szCs w:val="24"/>
                <w:highlight w:val="none"/>
                <w:lang w:eastAsia="zh-CN"/>
              </w:rPr>
              <w:t>项目经理</w:t>
            </w:r>
            <w:r>
              <w:rPr>
                <w:rStyle w:val="271"/>
                <w:rFonts w:hint="eastAsia" w:ascii="宋体" w:hAnsi="宋体" w:eastAsia="宋体" w:cs="宋体"/>
                <w:b/>
                <w:bCs/>
                <w:color w:val="auto"/>
                <w:sz w:val="24"/>
                <w:szCs w:val="24"/>
                <w:highlight w:val="none"/>
                <w:lang w:val="en-US" w:eastAsia="zh-CN"/>
              </w:rPr>
              <w:t>业绩</w:t>
            </w:r>
          </w:p>
        </w:tc>
        <w:tc>
          <w:tcPr>
            <w:tcW w:w="2197" w:type="pct"/>
            <w:tcBorders>
              <w:top w:val="single" w:color="auto" w:sz="4" w:space="0"/>
              <w:left w:val="single" w:color="auto" w:sz="4" w:space="0"/>
              <w:bottom w:val="single" w:color="auto" w:sz="4" w:space="0"/>
              <w:right w:val="single" w:color="auto" w:sz="4" w:space="0"/>
            </w:tcBorders>
            <w:vAlign w:val="center"/>
          </w:tcPr>
          <w:p w14:paraId="60353391">
            <w:pPr>
              <w:widowControl/>
              <w:adjustRightInd w:val="0"/>
              <w:snapToGrid w:val="0"/>
              <w:spacing w:line="240" w:lineRule="auto"/>
              <w:rPr>
                <w:rStyle w:val="271"/>
                <w:rFonts w:hint="eastAsia" w:ascii="宋体" w:hAnsi="宋体" w:eastAsia="宋体" w:cs="宋体"/>
                <w:color w:val="auto"/>
                <w:sz w:val="24"/>
                <w:szCs w:val="24"/>
                <w:highlight w:val="none"/>
                <w:lang w:eastAsia="zh-CN"/>
              </w:rPr>
            </w:pPr>
            <w:r>
              <w:rPr>
                <w:rStyle w:val="271"/>
                <w:rFonts w:hint="eastAsia" w:ascii="宋体" w:hAnsi="宋体" w:eastAsia="宋体" w:cs="宋体"/>
                <w:color w:val="auto"/>
                <w:sz w:val="24"/>
                <w:szCs w:val="24"/>
                <w:highlight w:val="none"/>
                <w:lang w:val="en-US" w:eastAsia="zh-CN"/>
              </w:rPr>
              <w:t>拟派</w:t>
            </w:r>
            <w:r>
              <w:rPr>
                <w:rStyle w:val="271"/>
                <w:rFonts w:hint="eastAsia" w:ascii="宋体" w:hAnsi="宋体" w:eastAsia="宋体" w:cs="宋体"/>
                <w:color w:val="auto"/>
                <w:sz w:val="24"/>
                <w:szCs w:val="24"/>
                <w:highlight w:val="none"/>
                <w:lang w:eastAsia="zh-CN"/>
              </w:rPr>
              <w:t>项目经理</w:t>
            </w:r>
            <w:r>
              <w:rPr>
                <w:rStyle w:val="271"/>
                <w:rFonts w:hint="eastAsia" w:ascii="宋体" w:hAnsi="宋体" w:eastAsia="宋体" w:cs="宋体"/>
                <w:color w:val="auto"/>
                <w:sz w:val="24"/>
                <w:szCs w:val="24"/>
                <w:highlight w:val="none"/>
                <w:lang w:val="en-US" w:eastAsia="zh-CN"/>
              </w:rPr>
              <w:t>每</w:t>
            </w:r>
            <w:r>
              <w:rPr>
                <w:rStyle w:val="271"/>
                <w:rFonts w:hint="eastAsia" w:ascii="宋体" w:hAnsi="宋体" w:eastAsia="宋体" w:cs="宋体"/>
                <w:color w:val="auto"/>
                <w:sz w:val="24"/>
                <w:szCs w:val="24"/>
                <w:highlight w:val="none"/>
              </w:rPr>
              <w:t>具有</w:t>
            </w:r>
            <w:r>
              <w:rPr>
                <w:rStyle w:val="271"/>
                <w:rFonts w:hint="eastAsia" w:ascii="宋体" w:hAnsi="宋体" w:eastAsia="宋体" w:cs="宋体"/>
                <w:color w:val="auto"/>
                <w:sz w:val="24"/>
                <w:szCs w:val="24"/>
                <w:highlight w:val="none"/>
                <w:lang w:val="en-US" w:eastAsia="zh-CN"/>
              </w:rPr>
              <w:t>一个</w:t>
            </w:r>
            <w:r>
              <w:rPr>
                <w:rFonts w:hint="eastAsia" w:ascii="宋体" w:hAnsi="宋体" w:eastAsia="宋体" w:cs="宋体"/>
                <w:color w:val="auto"/>
                <w:sz w:val="24"/>
                <w:szCs w:val="24"/>
                <w:highlight w:val="none"/>
              </w:rPr>
              <w:t>水利工程自动化</w:t>
            </w:r>
            <w:r>
              <w:rPr>
                <w:rFonts w:hint="eastAsia" w:ascii="宋体" w:hAnsi="宋体" w:eastAsia="宋体" w:cs="宋体"/>
                <w:color w:val="auto"/>
                <w:spacing w:val="-1"/>
                <w:sz w:val="24"/>
                <w:szCs w:val="24"/>
                <w:highlight w:val="none"/>
                <w:lang w:val="en-US" w:eastAsia="zh-CN"/>
              </w:rPr>
              <w:t>施工项目</w:t>
            </w:r>
            <w:r>
              <w:rPr>
                <w:rStyle w:val="271"/>
                <w:rFonts w:hint="eastAsia" w:ascii="宋体" w:hAnsi="宋体" w:eastAsia="宋体" w:cs="宋体"/>
                <w:color w:val="auto"/>
                <w:sz w:val="24"/>
                <w:szCs w:val="24"/>
                <w:highlight w:val="none"/>
                <w:lang w:eastAsia="zh-CN"/>
              </w:rPr>
              <w:t>经理</w:t>
            </w:r>
            <w:r>
              <w:rPr>
                <w:rStyle w:val="271"/>
                <w:rFonts w:hint="eastAsia" w:ascii="宋体" w:hAnsi="宋体" w:eastAsia="宋体" w:cs="宋体"/>
                <w:color w:val="auto"/>
                <w:sz w:val="24"/>
                <w:szCs w:val="24"/>
                <w:highlight w:val="none"/>
              </w:rPr>
              <w:t>业绩</w:t>
            </w:r>
            <w:r>
              <w:rPr>
                <w:rStyle w:val="271"/>
                <w:rFonts w:hint="eastAsia" w:ascii="宋体" w:hAnsi="宋体" w:eastAsia="宋体" w:cs="宋体"/>
                <w:color w:val="auto"/>
                <w:sz w:val="24"/>
                <w:szCs w:val="24"/>
                <w:highlight w:val="none"/>
                <w:lang w:val="en-US" w:eastAsia="zh-CN"/>
              </w:rPr>
              <w:t>得5</w:t>
            </w:r>
            <w:r>
              <w:rPr>
                <w:rStyle w:val="271"/>
                <w:rFonts w:hint="eastAsia" w:ascii="宋体" w:hAnsi="宋体" w:eastAsia="宋体" w:cs="宋体"/>
                <w:color w:val="auto"/>
                <w:sz w:val="24"/>
                <w:szCs w:val="24"/>
                <w:highlight w:val="none"/>
              </w:rPr>
              <w:t>分，最多得</w:t>
            </w:r>
            <w:r>
              <w:rPr>
                <w:rStyle w:val="271"/>
                <w:rFonts w:hint="eastAsia" w:ascii="宋体" w:hAnsi="宋体" w:eastAsia="宋体" w:cs="宋体"/>
                <w:color w:val="auto"/>
                <w:sz w:val="24"/>
                <w:szCs w:val="24"/>
                <w:highlight w:val="none"/>
                <w:lang w:val="en-US" w:eastAsia="zh-CN"/>
              </w:rPr>
              <w:t>10</w:t>
            </w:r>
            <w:r>
              <w:rPr>
                <w:rStyle w:val="271"/>
                <w:rFonts w:hint="eastAsia" w:ascii="宋体" w:hAnsi="宋体" w:eastAsia="宋体" w:cs="宋体"/>
                <w:color w:val="auto"/>
                <w:sz w:val="24"/>
                <w:szCs w:val="24"/>
                <w:highlight w:val="none"/>
              </w:rPr>
              <w:t>分</w:t>
            </w:r>
            <w:r>
              <w:rPr>
                <w:rStyle w:val="271"/>
                <w:rFonts w:hint="eastAsia" w:ascii="宋体" w:hAnsi="宋体" w:eastAsia="宋体" w:cs="宋体"/>
                <w:color w:val="auto"/>
                <w:sz w:val="24"/>
                <w:szCs w:val="24"/>
                <w:highlight w:val="none"/>
                <w:lang w:eastAsia="zh-CN"/>
              </w:rPr>
              <w:t>。</w:t>
            </w:r>
          </w:p>
          <w:p w14:paraId="4055840C">
            <w:pPr>
              <w:spacing w:line="240" w:lineRule="auto"/>
              <w:jc w:val="left"/>
              <w:rPr>
                <w:rFonts w:hint="eastAsia" w:ascii="宋体" w:hAnsi="宋体" w:eastAsia="宋体" w:cs="宋体"/>
                <w:color w:val="auto"/>
                <w:sz w:val="24"/>
                <w:szCs w:val="24"/>
                <w:highlight w:val="none"/>
              </w:rPr>
            </w:pPr>
            <w:r>
              <w:rPr>
                <w:rStyle w:val="271"/>
                <w:rFonts w:hint="eastAsia" w:ascii="宋体" w:hAnsi="宋体" w:eastAsia="宋体" w:cs="宋体"/>
                <w:b/>
                <w:bCs/>
                <w:color w:val="auto"/>
                <w:sz w:val="24"/>
                <w:szCs w:val="24"/>
                <w:highlight w:val="none"/>
                <w:lang w:val="en-US" w:eastAsia="zh-CN"/>
              </w:rPr>
              <w:t>注：响应文件中须同时提供①中标通知书或合同；②</w:t>
            </w:r>
            <w:r>
              <w:rPr>
                <w:rStyle w:val="271"/>
                <w:rFonts w:hint="eastAsia" w:ascii="宋体" w:hAnsi="宋体" w:eastAsia="宋体" w:cs="宋体"/>
                <w:b/>
                <w:bCs/>
                <w:sz w:val="24"/>
                <w:szCs w:val="24"/>
                <w:highlight w:val="none"/>
                <w:lang w:val="en-US" w:eastAsia="zh-CN"/>
              </w:rPr>
              <w:t>合同工程完工验收鉴定书（或合同工程验收鉴定书或竣工验收鉴定书或竣工验收报告）扫描件</w:t>
            </w:r>
            <w:r>
              <w:rPr>
                <w:rStyle w:val="271"/>
                <w:rFonts w:hint="eastAsia" w:ascii="宋体" w:hAnsi="宋体" w:eastAsia="宋体" w:cs="宋体"/>
                <w:b/>
                <w:bCs/>
                <w:color w:val="auto"/>
                <w:sz w:val="24"/>
                <w:szCs w:val="24"/>
                <w:highlight w:val="none"/>
                <w:lang w:val="en-US" w:eastAsia="zh-CN"/>
              </w:rPr>
              <w:t>，否则不得分。如上述材料不能体现时间、项目经理姓名等关键评审因素的，可补充提供合同甲方或行政主管部门出具的证明文件。</w:t>
            </w:r>
          </w:p>
        </w:tc>
        <w:tc>
          <w:tcPr>
            <w:tcW w:w="926" w:type="pct"/>
            <w:tcBorders>
              <w:top w:val="single" w:color="auto" w:sz="4" w:space="0"/>
              <w:left w:val="single" w:color="auto" w:sz="4" w:space="0"/>
              <w:bottom w:val="single" w:color="auto" w:sz="4" w:space="0"/>
              <w:right w:val="single" w:color="auto" w:sz="4" w:space="0"/>
            </w:tcBorders>
            <w:vAlign w:val="center"/>
          </w:tcPr>
          <w:p w14:paraId="7508B905">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0-10分</w:t>
            </w:r>
          </w:p>
        </w:tc>
      </w:tr>
      <w:tr w14:paraId="2DD0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E671FB8">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D0BA0F8">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项目组人员</w:t>
            </w:r>
          </w:p>
          <w:p w14:paraId="73FF6997">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配置</w:t>
            </w:r>
          </w:p>
        </w:tc>
        <w:tc>
          <w:tcPr>
            <w:tcW w:w="2197" w:type="pct"/>
            <w:tcBorders>
              <w:top w:val="single" w:color="auto" w:sz="4" w:space="0"/>
              <w:left w:val="single" w:color="auto" w:sz="4" w:space="0"/>
              <w:bottom w:val="single" w:color="auto" w:sz="4" w:space="0"/>
              <w:right w:val="single" w:color="auto" w:sz="4" w:space="0"/>
            </w:tcBorders>
            <w:vAlign w:val="center"/>
          </w:tcPr>
          <w:p w14:paraId="339CC08C">
            <w:pPr>
              <w:numPr>
                <w:ilvl w:val="0"/>
                <w:numId w:val="5"/>
              </w:numPr>
              <w:rPr>
                <w:rFonts w:hint="eastAsia" w:ascii="宋体" w:hAnsi="宋体" w:eastAsia="宋体" w:cs="宋体"/>
                <w:sz w:val="24"/>
                <w:szCs w:val="24"/>
              </w:rPr>
            </w:pPr>
            <w:r>
              <w:rPr>
                <w:rFonts w:hint="eastAsia" w:ascii="宋体" w:hAnsi="宋体" w:eastAsia="宋体" w:cs="宋体"/>
                <w:sz w:val="24"/>
                <w:szCs w:val="24"/>
              </w:rPr>
              <w:t>拟派项目经理具有工程类中级及以上技术职称得 5 分；具有工程类初级技术职称得 2 分，本小项满分 5 分。</w:t>
            </w:r>
          </w:p>
          <w:p w14:paraId="1931C5EE">
            <w:pPr>
              <w:numPr>
                <w:ilvl w:val="-1"/>
                <w:numId w:val="0"/>
              </w:numPr>
              <w:rPr>
                <w:rFonts w:hint="eastAsia" w:ascii="宋体" w:hAnsi="宋体" w:eastAsia="宋体" w:cs="宋体"/>
                <w:sz w:val="24"/>
                <w:szCs w:val="24"/>
              </w:rPr>
            </w:pPr>
            <w:r>
              <w:rPr>
                <w:rFonts w:hint="eastAsia" w:ascii="宋体" w:hAnsi="宋体" w:eastAsia="宋体" w:cs="宋体"/>
                <w:sz w:val="24"/>
                <w:szCs w:val="24"/>
              </w:rPr>
              <w:t>2.拟派本项目安全管理人员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1人）</w:t>
            </w:r>
            <w:r>
              <w:rPr>
                <w:rFonts w:hint="eastAsia" w:ascii="宋体" w:hAnsi="宋体" w:eastAsia="宋体" w:cs="宋体"/>
                <w:sz w:val="24"/>
                <w:szCs w:val="24"/>
              </w:rPr>
              <w:t>，具有工程类中级及以上技术职称得 4 分；具有工程类初级技术职称得 2 分。本小项满分4分。</w:t>
            </w:r>
          </w:p>
          <w:p w14:paraId="6E7E8E14">
            <w:pPr>
              <w:rPr>
                <w:rFonts w:hint="eastAsia" w:ascii="宋体" w:hAnsi="宋体" w:eastAsia="宋体" w:cs="宋体"/>
                <w:sz w:val="24"/>
                <w:szCs w:val="24"/>
              </w:rPr>
            </w:pPr>
            <w:r>
              <w:rPr>
                <w:rFonts w:hint="eastAsia" w:ascii="宋体" w:hAnsi="宋体" w:eastAsia="宋体" w:cs="宋体"/>
                <w:sz w:val="24"/>
                <w:szCs w:val="24"/>
              </w:rPr>
              <w:t>3.拟投入本项目组成员（项目经理</w:t>
            </w:r>
            <w:r>
              <w:rPr>
                <w:rFonts w:hint="eastAsia" w:ascii="宋体" w:hAnsi="宋体" w:eastAsia="宋体" w:cs="宋体"/>
                <w:sz w:val="24"/>
                <w:szCs w:val="24"/>
                <w:lang w:eastAsia="zh-CN"/>
              </w:rPr>
              <w:t>、</w:t>
            </w:r>
            <w:r>
              <w:rPr>
                <w:rFonts w:hint="eastAsia" w:ascii="宋体" w:hAnsi="宋体" w:eastAsia="宋体" w:cs="宋体"/>
                <w:sz w:val="24"/>
                <w:szCs w:val="24"/>
              </w:rPr>
              <w:t>本项目安全管理人员除外）每提供一个具有工程类中级及以上技术职称得 4 分；具有工程类初级技术职称得 2 分，本小项满分6分。</w:t>
            </w:r>
          </w:p>
          <w:p w14:paraId="00A25347">
            <w:pPr>
              <w:spacing w:line="240" w:lineRule="auto"/>
              <w:rPr>
                <w:rFonts w:hint="eastAsia" w:ascii="宋体" w:hAnsi="宋体" w:eastAsia="宋体" w:cs="宋体"/>
                <w:bCs w:val="0"/>
                <w:color w:val="auto"/>
                <w:kern w:val="2"/>
                <w:sz w:val="24"/>
                <w:szCs w:val="24"/>
                <w:highlight w:val="none"/>
                <w:lang w:val="en-US" w:eastAsia="zh-CN"/>
              </w:rPr>
            </w:pPr>
            <w:r>
              <w:rPr>
                <w:rFonts w:hint="eastAsia" w:ascii="宋体" w:hAnsi="宋体" w:eastAsia="宋体" w:cs="宋体"/>
                <w:b/>
                <w:bCs/>
                <w:sz w:val="24"/>
                <w:szCs w:val="24"/>
              </w:rPr>
              <w:t>注：（1）响应文件中同时提供以下证明材料： ①人员名单（格式自拟）； ②上述人员证书扫描件； ③上述人员身份证、职称证及供应商为其缴纳的 2025 年 3 月（含 3 月）以来任意一个月的社保证明材料。</w:t>
            </w:r>
          </w:p>
        </w:tc>
        <w:tc>
          <w:tcPr>
            <w:tcW w:w="926" w:type="pct"/>
            <w:tcBorders>
              <w:top w:val="single" w:color="auto" w:sz="4" w:space="0"/>
              <w:left w:val="single" w:color="auto" w:sz="4" w:space="0"/>
              <w:bottom w:val="single" w:color="auto" w:sz="4" w:space="0"/>
              <w:right w:val="single" w:color="auto" w:sz="4" w:space="0"/>
            </w:tcBorders>
            <w:vAlign w:val="center"/>
          </w:tcPr>
          <w:p w14:paraId="482CCD1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0-15分</w:t>
            </w:r>
          </w:p>
        </w:tc>
      </w:tr>
      <w:tr w14:paraId="7AEE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ED5F482">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9CE528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b/>
                <w:bCs/>
                <w:sz w:val="24"/>
                <w:szCs w:val="24"/>
              </w:rPr>
              <w:t>认证体系</w:t>
            </w:r>
          </w:p>
        </w:tc>
        <w:tc>
          <w:tcPr>
            <w:tcW w:w="2197" w:type="pct"/>
            <w:tcBorders>
              <w:top w:val="single" w:color="auto" w:sz="4" w:space="0"/>
              <w:left w:val="single" w:color="auto" w:sz="4" w:space="0"/>
              <w:bottom w:val="single" w:color="auto" w:sz="4" w:space="0"/>
              <w:right w:val="single" w:color="auto" w:sz="4" w:space="0"/>
            </w:tcBorders>
            <w:vAlign w:val="center"/>
          </w:tcPr>
          <w:p w14:paraId="018D2340">
            <w:pPr>
              <w:rPr>
                <w:rFonts w:hint="eastAsia" w:ascii="宋体" w:hAnsi="宋体" w:eastAsia="宋体" w:cs="宋体"/>
                <w:sz w:val="24"/>
                <w:szCs w:val="24"/>
              </w:rPr>
            </w:pPr>
            <w:r>
              <w:rPr>
                <w:rFonts w:hint="eastAsia" w:ascii="宋体" w:hAnsi="宋体" w:eastAsia="宋体" w:cs="宋体"/>
                <w:sz w:val="24"/>
                <w:szCs w:val="24"/>
              </w:rPr>
              <w:t xml:space="preserve">供应商参与响应时具有有效期内的以下证书： </w:t>
            </w:r>
          </w:p>
          <w:p w14:paraId="49E4E2BC">
            <w:pPr>
              <w:rPr>
                <w:rFonts w:hint="eastAsia" w:ascii="宋体" w:hAnsi="宋体" w:eastAsia="宋体" w:cs="宋体"/>
                <w:sz w:val="24"/>
                <w:szCs w:val="24"/>
              </w:rPr>
            </w:pPr>
            <w:r>
              <w:rPr>
                <w:rFonts w:hint="eastAsia" w:ascii="宋体" w:hAnsi="宋体" w:eastAsia="宋体" w:cs="宋体"/>
                <w:sz w:val="24"/>
                <w:szCs w:val="24"/>
              </w:rPr>
              <w:t xml:space="preserve">1.质量管理体系认证证书； </w:t>
            </w:r>
          </w:p>
          <w:p w14:paraId="2BDBB264">
            <w:pPr>
              <w:rPr>
                <w:rFonts w:hint="eastAsia" w:ascii="宋体" w:hAnsi="宋体" w:eastAsia="宋体" w:cs="宋体"/>
                <w:sz w:val="24"/>
                <w:szCs w:val="24"/>
              </w:rPr>
            </w:pPr>
            <w:r>
              <w:rPr>
                <w:rFonts w:hint="eastAsia" w:ascii="宋体" w:hAnsi="宋体" w:eastAsia="宋体" w:cs="宋体"/>
                <w:sz w:val="24"/>
                <w:szCs w:val="24"/>
              </w:rPr>
              <w:t xml:space="preserve">2.环境管理体系认证证书； </w:t>
            </w:r>
          </w:p>
          <w:p w14:paraId="05304B0E">
            <w:pPr>
              <w:rPr>
                <w:rFonts w:hint="eastAsia" w:ascii="宋体" w:hAnsi="宋体" w:eastAsia="宋体" w:cs="宋体"/>
                <w:sz w:val="24"/>
                <w:szCs w:val="24"/>
              </w:rPr>
            </w:pPr>
            <w:r>
              <w:rPr>
                <w:rFonts w:hint="eastAsia" w:ascii="宋体" w:hAnsi="宋体" w:eastAsia="宋体" w:cs="宋体"/>
                <w:sz w:val="24"/>
                <w:szCs w:val="24"/>
              </w:rPr>
              <w:t>3.职业健康安全管理体系认证证书；</w:t>
            </w:r>
          </w:p>
          <w:p w14:paraId="53928846">
            <w:pPr>
              <w:rPr>
                <w:rFonts w:hint="eastAsia" w:ascii="宋体" w:hAnsi="宋体" w:eastAsia="宋体" w:cs="宋体"/>
                <w:sz w:val="24"/>
                <w:szCs w:val="24"/>
              </w:rPr>
            </w:pPr>
            <w:r>
              <w:rPr>
                <w:rFonts w:hint="eastAsia" w:ascii="宋体" w:hAnsi="宋体" w:eastAsia="宋体" w:cs="宋体"/>
                <w:sz w:val="24"/>
                <w:szCs w:val="24"/>
              </w:rPr>
              <w:t>4.信息技术服务管理体系认证证书；</w:t>
            </w:r>
          </w:p>
          <w:p w14:paraId="01825DFA">
            <w:pPr>
              <w:rPr>
                <w:rFonts w:hint="eastAsia" w:ascii="宋体" w:hAnsi="宋体" w:eastAsia="宋体" w:cs="宋体"/>
                <w:sz w:val="24"/>
                <w:szCs w:val="24"/>
              </w:rPr>
            </w:pPr>
            <w:r>
              <w:rPr>
                <w:rFonts w:hint="eastAsia" w:ascii="宋体" w:hAnsi="宋体" w:eastAsia="宋体" w:cs="宋体"/>
                <w:sz w:val="24"/>
                <w:szCs w:val="24"/>
              </w:rPr>
              <w:t>5.信息安全管理体系认证证书。</w:t>
            </w:r>
          </w:p>
          <w:p w14:paraId="462E7CC9">
            <w:pPr>
              <w:rPr>
                <w:rFonts w:hint="eastAsia" w:ascii="宋体" w:hAnsi="宋体" w:eastAsia="宋体" w:cs="宋体"/>
                <w:sz w:val="24"/>
                <w:szCs w:val="24"/>
              </w:rPr>
            </w:pPr>
            <w:r>
              <w:rPr>
                <w:rFonts w:hint="eastAsia" w:ascii="宋体" w:hAnsi="宋体" w:eastAsia="宋体" w:cs="宋体"/>
                <w:sz w:val="24"/>
                <w:szCs w:val="24"/>
              </w:rPr>
              <w:t>每提供一个认证证书得2分，本项满分 10 分。</w:t>
            </w:r>
          </w:p>
          <w:p w14:paraId="6CF8CA2E">
            <w:pPr>
              <w:spacing w:line="240" w:lineRule="auto"/>
              <w:rPr>
                <w:rFonts w:hint="eastAsia" w:ascii="宋体" w:hAnsi="宋体" w:eastAsia="宋体" w:cs="宋体"/>
                <w:color w:val="auto"/>
                <w:sz w:val="24"/>
                <w:szCs w:val="24"/>
                <w:highlight w:val="none"/>
              </w:rPr>
            </w:pPr>
            <w:r>
              <w:rPr>
                <w:rFonts w:hint="eastAsia" w:ascii="宋体" w:hAnsi="宋体" w:eastAsia="宋体" w:cs="宋体"/>
                <w:sz w:val="24"/>
                <w:szCs w:val="24"/>
              </w:rPr>
              <w:t>注： ①响应文件中须提供有效的证书复印件或扫描件； ②响应文件中须提供“全国认证认可信息公共服务 平台（cx.cnca.cn)”网上查询截图（证书处于有效状态）作为评审依据，未提供的不得分。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448253D6">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color w:val="auto"/>
                <w:sz w:val="24"/>
                <w:szCs w:val="24"/>
                <w:highlight w:val="none"/>
                <w:lang w:val="en-US" w:eastAsia="zh-CN"/>
              </w:rPr>
              <w:t>10分</w:t>
            </w:r>
          </w:p>
        </w:tc>
      </w:tr>
      <w:tr w14:paraId="065E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208FDDF">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top"/>
          </w:tcPr>
          <w:p w14:paraId="0E26BA54">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hint="eastAsia" w:ascii="宋体" w:hAnsi="宋体" w:eastAsia="宋体" w:cs="宋体"/>
                <w:b w:val="0"/>
                <w:bCs w:val="0"/>
                <w:snapToGrid w:val="0"/>
                <w:color w:val="auto"/>
                <w:kern w:val="0"/>
                <w:sz w:val="24"/>
                <w:szCs w:val="24"/>
                <w:highlight w:val="none"/>
                <w:lang w:eastAsia="en-US"/>
              </w:rPr>
            </w:pPr>
          </w:p>
          <w:p w14:paraId="182EF359">
            <w:pPr>
              <w:keepNext w:val="0"/>
              <w:keepLines w:val="0"/>
              <w:pageBreakBefore w:val="0"/>
              <w:kinsoku w:val="0"/>
              <w:wordWrap/>
              <w:overflowPunct/>
              <w:topLinePunct w:val="0"/>
              <w:autoSpaceDE w:val="0"/>
              <w:autoSpaceDN w:val="0"/>
              <w:bidi w:val="0"/>
              <w:adjustRightInd w:val="0"/>
              <w:snapToGrid w:val="0"/>
              <w:spacing w:before="68" w:line="220" w:lineRule="auto"/>
              <w:ind w:firstLine="0" w:firstLineChars="0"/>
              <w:jc w:val="center"/>
              <w:textAlignment w:val="baseline"/>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zh-CN" w:bidi="ar"/>
              </w:rPr>
              <w:t>主要施工方案与技术措施：</w:t>
            </w:r>
          </w:p>
        </w:tc>
        <w:tc>
          <w:tcPr>
            <w:tcW w:w="2197" w:type="pct"/>
            <w:tcBorders>
              <w:top w:val="single" w:color="auto" w:sz="4" w:space="0"/>
              <w:left w:val="single" w:color="auto" w:sz="4" w:space="0"/>
              <w:bottom w:val="single" w:color="auto" w:sz="4" w:space="0"/>
              <w:right w:val="single" w:color="auto" w:sz="4" w:space="0"/>
            </w:tcBorders>
            <w:vAlign w:val="center"/>
          </w:tcPr>
          <w:p w14:paraId="73EE70EE">
            <w:pPr>
              <w:rPr>
                <w:rFonts w:hint="eastAsia" w:ascii="宋体" w:hAnsi="宋体" w:eastAsia="宋体" w:cs="宋体"/>
                <w:sz w:val="24"/>
                <w:szCs w:val="24"/>
              </w:rPr>
            </w:pPr>
            <w:r>
              <w:rPr>
                <w:rFonts w:hint="eastAsia" w:ascii="宋体" w:hAnsi="宋体" w:eastAsia="宋体" w:cs="宋体"/>
                <w:sz w:val="24"/>
                <w:szCs w:val="24"/>
              </w:rPr>
              <w:t>服务方案包含但不限于：</w:t>
            </w:r>
          </w:p>
          <w:p w14:paraId="6F142B0A">
            <w:pPr>
              <w:rPr>
                <w:rFonts w:hint="eastAsia" w:ascii="宋体" w:hAnsi="宋体" w:eastAsia="宋体" w:cs="宋体"/>
                <w:sz w:val="24"/>
                <w:szCs w:val="24"/>
              </w:rPr>
            </w:pPr>
            <w:r>
              <w:rPr>
                <w:rFonts w:hint="eastAsia" w:ascii="宋体" w:hAnsi="宋体" w:eastAsia="宋体" w:cs="宋体"/>
                <w:sz w:val="24"/>
                <w:szCs w:val="24"/>
              </w:rPr>
              <w:t xml:space="preserve">1. 主要实施方案与技术措施：各主要分部实施方法符合项目实际，有详尽的实施方案，方法科学合理、可行，能切实指导实际维修和更新。 </w:t>
            </w:r>
          </w:p>
          <w:p w14:paraId="661F533E">
            <w:pPr>
              <w:rPr>
                <w:rFonts w:hint="eastAsia" w:ascii="宋体" w:hAnsi="宋体" w:eastAsia="宋体" w:cs="宋体"/>
                <w:sz w:val="24"/>
                <w:szCs w:val="24"/>
              </w:rPr>
            </w:pPr>
            <w:r>
              <w:rPr>
                <w:rFonts w:hint="eastAsia" w:ascii="宋体" w:hAnsi="宋体" w:eastAsia="宋体" w:cs="宋体"/>
                <w:sz w:val="24"/>
                <w:szCs w:val="24"/>
              </w:rPr>
              <w:t xml:space="preserve">2. 项目重点难点分析：对项目中的重点、难点、特点是否进行分析，是否和实际情况相符，以及是否提出了有针对性的技术措施或方案，特殊时期（雨期、高温）是否分类制订具体维护方案。 </w:t>
            </w:r>
          </w:p>
          <w:p w14:paraId="0F84528A">
            <w:pPr>
              <w:rPr>
                <w:rFonts w:hint="eastAsia" w:ascii="宋体" w:hAnsi="宋体" w:eastAsia="宋体" w:cs="宋体"/>
                <w:sz w:val="24"/>
                <w:szCs w:val="24"/>
              </w:rPr>
            </w:pPr>
            <w:r>
              <w:rPr>
                <w:rFonts w:hint="eastAsia" w:ascii="宋体" w:hAnsi="宋体" w:eastAsia="宋体" w:cs="宋体"/>
                <w:sz w:val="24"/>
                <w:szCs w:val="24"/>
              </w:rPr>
              <w:t>3.人工作业安全防护实施方案：能否针对本项目特点制定科学、可行的人工作业安全防护实施方案。</w:t>
            </w:r>
          </w:p>
          <w:p w14:paraId="6496EA7E">
            <w:pPr>
              <w:rPr>
                <w:rFonts w:hint="eastAsia" w:ascii="宋体" w:hAnsi="宋体" w:eastAsia="宋体" w:cs="宋体"/>
                <w:sz w:val="24"/>
                <w:szCs w:val="24"/>
              </w:rPr>
            </w:pPr>
            <w:r>
              <w:rPr>
                <w:rFonts w:hint="eastAsia" w:ascii="宋体" w:hAnsi="宋体" w:eastAsia="宋体" w:cs="宋体"/>
                <w:sz w:val="24"/>
                <w:szCs w:val="24"/>
              </w:rPr>
              <w:t>4.运维服务技术方案：能否针对本项目特点制定科学、可行的运维服务技术方案。</w:t>
            </w:r>
          </w:p>
          <w:p w14:paraId="17431F62">
            <w:pPr>
              <w:rPr>
                <w:rFonts w:hint="eastAsia" w:ascii="宋体" w:hAnsi="宋体" w:eastAsia="宋体" w:cs="宋体"/>
                <w:sz w:val="24"/>
                <w:szCs w:val="24"/>
              </w:rPr>
            </w:pPr>
            <w:r>
              <w:rPr>
                <w:rFonts w:hint="eastAsia" w:ascii="宋体" w:hAnsi="宋体" w:eastAsia="宋体" w:cs="宋体"/>
                <w:sz w:val="24"/>
                <w:szCs w:val="24"/>
              </w:rPr>
              <w:t>5.应急工作方案：结合实际，制定紧急应急预案包括不限于列出制定应急预案、响应和恢复措施。</w:t>
            </w:r>
          </w:p>
          <w:p w14:paraId="4EBBD4A2">
            <w:pPr>
              <w:rPr>
                <w:rFonts w:hint="eastAsia" w:ascii="宋体" w:hAnsi="宋体" w:eastAsia="宋体" w:cs="宋体"/>
                <w:sz w:val="24"/>
                <w:szCs w:val="24"/>
              </w:rPr>
            </w:pPr>
            <w:r>
              <w:rPr>
                <w:rFonts w:hint="eastAsia" w:ascii="宋体" w:hAnsi="宋体" w:eastAsia="宋体" w:cs="宋体"/>
                <w:sz w:val="24"/>
                <w:szCs w:val="24"/>
              </w:rPr>
              <w:t xml:space="preserve">6.工作进度计划及保证措施：工作进度计划及保证措施是否健全，工作制度是否完备；保障措施是否齐全、合理、可操作性强。 </w:t>
            </w:r>
          </w:p>
          <w:p w14:paraId="21DA7D90">
            <w:pPr>
              <w:rPr>
                <w:rFonts w:hint="eastAsia" w:ascii="宋体" w:hAnsi="宋体" w:eastAsia="宋体" w:cs="宋体"/>
                <w:sz w:val="24"/>
                <w:szCs w:val="24"/>
              </w:rPr>
            </w:pPr>
            <w:r>
              <w:rPr>
                <w:rFonts w:hint="eastAsia" w:ascii="宋体" w:hAnsi="宋体" w:eastAsia="宋体" w:cs="宋体"/>
                <w:sz w:val="24"/>
                <w:szCs w:val="24"/>
              </w:rPr>
              <w:t xml:space="preserve">7.质量保证措施：质量保证措施是否健全、合理、可操作性强。 </w:t>
            </w:r>
          </w:p>
          <w:p w14:paraId="366D9F7B">
            <w:pPr>
              <w:rPr>
                <w:rFonts w:hint="eastAsia" w:ascii="宋体" w:hAnsi="宋体" w:eastAsia="宋体" w:cs="宋体"/>
                <w:sz w:val="24"/>
                <w:szCs w:val="24"/>
              </w:rPr>
            </w:pPr>
            <w:r>
              <w:rPr>
                <w:rFonts w:hint="eastAsia" w:ascii="宋体" w:hAnsi="宋体" w:eastAsia="宋体" w:cs="宋体"/>
                <w:sz w:val="24"/>
                <w:szCs w:val="24"/>
              </w:rPr>
              <w:t xml:space="preserve">8合理化建议：供应商针对本项目提出的合理化建议。 </w:t>
            </w:r>
          </w:p>
          <w:p w14:paraId="6CD49A82">
            <w:pPr>
              <w:topLinePunct/>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sz w:val="24"/>
                <w:szCs w:val="24"/>
              </w:rPr>
              <w:t>以上要求每项覆盖全面、要点突出、 针对性强，内容完整详实，表述清晰，与本项目实际需求适应度高，利于项目实施的得 5 分；每项覆盖基本全面、要点基本突出、有一定针对性，内容基本完整详实，表述基本清晰，与本项目实际需求基本适应，基本符合项目实施要求的得 3 分；每项描述不明确、思路不清晰的，得 1 分； 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4E0A817E">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color w:val="auto"/>
                <w:sz w:val="24"/>
                <w:szCs w:val="24"/>
                <w:highlight w:val="none"/>
                <w:lang w:val="en-US" w:eastAsia="zh-CN"/>
              </w:rPr>
              <w:t>40分</w:t>
            </w:r>
          </w:p>
        </w:tc>
      </w:tr>
      <w:tr w14:paraId="00BD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5CDC8C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3DC3A02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4C049A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价格分统一采用低价优先法，即满足磋商文件要求且最后报价最低的供应商的价格为磋商基准价，其价格分为满分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分。其他供应商的价格分统一按照下列公式计算：</w:t>
            </w:r>
          </w:p>
          <w:p w14:paraId="3A14FEF6">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磋商报价得分＝（磋商基准价/最后磋商报价）×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％×100</w:t>
            </w:r>
          </w:p>
        </w:tc>
      </w:tr>
    </w:tbl>
    <w:p w14:paraId="37ADDF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52D6F7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568FB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0D42300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2272D68">
      <w:pPr>
        <w:spacing w:line="360" w:lineRule="auto"/>
        <w:jc w:val="center"/>
        <w:outlineLvl w:val="0"/>
        <w:rPr>
          <w:rFonts w:asciiTheme="minorEastAsia" w:hAnsiTheme="minorEastAsia" w:eastAsiaTheme="minorEastAsia"/>
          <w:b/>
          <w:color w:val="auto"/>
          <w:sz w:val="28"/>
          <w:highlight w:val="none"/>
        </w:rPr>
      </w:pPr>
      <w:bookmarkStart w:id="41" w:name="_Toc3127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1"/>
    </w:p>
    <w:p w14:paraId="49F3A8B4">
      <w:pPr>
        <w:keepNext/>
        <w:keepLines/>
        <w:snapToGrid w:val="0"/>
        <w:spacing w:before="312" w:beforeLines="100" w:after="312" w:afterLines="100" w:line="360" w:lineRule="auto"/>
        <w:jc w:val="center"/>
        <w:outlineLvl w:val="1"/>
        <w:rPr>
          <w:rFonts w:cs="宋体"/>
          <w:b/>
          <w:bCs/>
          <w:color w:val="auto"/>
          <w:sz w:val="21"/>
          <w:szCs w:val="21"/>
          <w:highlight w:val="none"/>
        </w:rPr>
      </w:pPr>
      <w:bookmarkStart w:id="42" w:name="_Toc9907"/>
      <w:bookmarkStart w:id="43" w:name="_Toc28799376"/>
      <w:bookmarkStart w:id="44" w:name="_Toc130919120"/>
      <w:r>
        <w:rPr>
          <w:rFonts w:hint="eastAsia" w:cs="宋体"/>
          <w:b/>
          <w:bCs/>
          <w:color w:val="auto"/>
          <w:sz w:val="21"/>
          <w:szCs w:val="21"/>
          <w:highlight w:val="none"/>
        </w:rPr>
        <w:t>第一节  合同协议书</w:t>
      </w:r>
      <w:bookmarkEnd w:id="42"/>
      <w:bookmarkEnd w:id="43"/>
      <w:bookmarkEnd w:id="44"/>
    </w:p>
    <w:p w14:paraId="5E320625">
      <w:pPr>
        <w:spacing w:line="360" w:lineRule="auto"/>
        <w:rPr>
          <w:rFonts w:cs="宋体"/>
          <w:b/>
          <w:color w:val="auto"/>
          <w:sz w:val="24"/>
          <w:szCs w:val="24"/>
          <w:highlight w:val="none"/>
          <w:u w:val="single"/>
        </w:rPr>
      </w:pPr>
      <w:r>
        <w:rPr>
          <w:rFonts w:hint="eastAsia" w:cs="宋体"/>
          <w:b/>
          <w:color w:val="auto"/>
          <w:sz w:val="24"/>
          <w:szCs w:val="24"/>
          <w:highlight w:val="none"/>
        </w:rPr>
        <w:t>发包人（全称）：</w:t>
      </w:r>
      <w:r>
        <w:rPr>
          <w:rFonts w:hint="eastAsia" w:cs="宋体"/>
          <w:b/>
          <w:color w:val="auto"/>
          <w:sz w:val="24"/>
          <w:szCs w:val="24"/>
          <w:highlight w:val="none"/>
          <w:u w:val="single"/>
        </w:rPr>
        <w:t xml:space="preserve">  </w:t>
      </w:r>
    </w:p>
    <w:p w14:paraId="2BDB5258">
      <w:pPr>
        <w:spacing w:line="360" w:lineRule="auto"/>
        <w:rPr>
          <w:rFonts w:cs="宋体"/>
          <w:b/>
          <w:color w:val="auto"/>
          <w:sz w:val="24"/>
          <w:szCs w:val="24"/>
          <w:highlight w:val="none"/>
          <w:u w:val="single"/>
        </w:rPr>
      </w:pPr>
      <w:r>
        <w:rPr>
          <w:rFonts w:hint="eastAsia" w:cs="宋体"/>
          <w:b/>
          <w:color w:val="auto"/>
          <w:sz w:val="24"/>
          <w:szCs w:val="24"/>
          <w:highlight w:val="none"/>
        </w:rPr>
        <w:t>承包人（全称）：</w:t>
      </w:r>
      <w:r>
        <w:rPr>
          <w:rFonts w:hint="eastAsia" w:cs="宋体"/>
          <w:b/>
          <w:color w:val="auto"/>
          <w:sz w:val="24"/>
          <w:szCs w:val="24"/>
          <w:highlight w:val="none"/>
          <w:u w:val="single"/>
        </w:rPr>
        <w:t xml:space="preserve">        </w:t>
      </w:r>
    </w:p>
    <w:p w14:paraId="773E1BBA">
      <w:pPr>
        <w:spacing w:line="360" w:lineRule="auto"/>
        <w:rPr>
          <w:rFonts w:ascii="Times New Roman" w:hAnsi="Times New Roman" w:eastAsia="仿宋_GB2312" w:cs="Times New Roman"/>
          <w:b/>
          <w:color w:val="auto"/>
          <w:kern w:val="2"/>
          <w:sz w:val="30"/>
          <w:szCs w:val="30"/>
          <w:highlight w:val="none"/>
          <w:u w:val="single"/>
        </w:rPr>
      </w:pPr>
    </w:p>
    <w:p w14:paraId="5149405C">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工程施工及有关事项协商一致，共同达成如下协议：</w:t>
      </w:r>
    </w:p>
    <w:p w14:paraId="1770302E">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091FD5E7">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21B9FB">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 工程地点：</w:t>
      </w:r>
      <w:r>
        <w:rPr>
          <w:rFonts w:hint="eastAsia" w:cs="宋体"/>
          <w:color w:val="auto"/>
          <w:sz w:val="21"/>
          <w:szCs w:val="21"/>
          <w:highlight w:val="none"/>
          <w:u w:val="single"/>
        </w:rPr>
        <w:t></w:t>
      </w:r>
      <w:r>
        <w:rPr>
          <w:rFonts w:hint="eastAsia" w:cs="宋体"/>
          <w:bCs/>
          <w:color w:val="auto"/>
          <w:sz w:val="21"/>
          <w:szCs w:val="21"/>
          <w:highlight w:val="none"/>
          <w:u w:val="single"/>
          <w:lang w:val="en-US" w:eastAsia="zh-CN"/>
        </w:rPr>
        <w:t>采购人指定地点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981073">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color w:val="auto"/>
          <w:sz w:val="21"/>
          <w:szCs w:val="21"/>
          <w:highlight w:val="none"/>
          <w:u w:val="single"/>
        </w:rPr>
        <w:t></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381FEF58">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 资金来源：</w:t>
      </w:r>
      <w:r>
        <w:rPr>
          <w:rFonts w:hint="eastAsia" w:cs="宋体"/>
          <w:color w:val="auto"/>
          <w:sz w:val="21"/>
          <w:szCs w:val="21"/>
          <w:highlight w:val="none"/>
          <w:u w:val="single"/>
        </w:rPr>
        <w:t xml:space="preserve">财政资金     </w:t>
      </w:r>
      <w:r>
        <w:rPr>
          <w:rFonts w:hint="eastAsia" w:cs="宋体"/>
          <w:bCs/>
          <w:color w:val="auto"/>
          <w:sz w:val="21"/>
          <w:szCs w:val="21"/>
          <w:highlight w:val="none"/>
        </w:rPr>
        <w:t>。</w:t>
      </w:r>
    </w:p>
    <w:p w14:paraId="4337CF56">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5. 工程内容：</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2BA699E4">
      <w:pPr>
        <w:snapToGrid w:val="0"/>
        <w:spacing w:line="360" w:lineRule="auto"/>
        <w:ind w:firstLine="411" w:firstLineChars="196"/>
        <w:rPr>
          <w:rFonts w:cs="宋体"/>
          <w:bCs/>
          <w:color w:val="auto"/>
          <w:sz w:val="21"/>
          <w:szCs w:val="21"/>
          <w:highlight w:val="none"/>
        </w:rPr>
      </w:pPr>
      <w:r>
        <w:rPr>
          <w:rFonts w:hint="eastAsia" w:cs="宋体"/>
          <w:color w:val="auto"/>
          <w:sz w:val="21"/>
          <w:szCs w:val="21"/>
          <w:highlight w:val="none"/>
        </w:rPr>
        <w:t>群体工程应附《承包人承揽工程项目一览表》（附件1）。</w:t>
      </w:r>
    </w:p>
    <w:p w14:paraId="0068FF65">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6. 工程承包范围：</w:t>
      </w:r>
    </w:p>
    <w:p w14:paraId="42504332">
      <w:pPr>
        <w:snapToGrid w:val="0"/>
        <w:spacing w:line="360" w:lineRule="auto"/>
        <w:ind w:firstLine="405" w:firstLineChars="193"/>
        <w:rPr>
          <w:rFonts w:cs="宋体"/>
          <w:color w:val="auto"/>
          <w:sz w:val="21"/>
          <w:szCs w:val="21"/>
          <w:highlight w:val="none"/>
        </w:rPr>
      </w:pPr>
      <w:r>
        <w:rPr>
          <w:rFonts w:hint="eastAsia" w:cs="宋体"/>
          <w:color w:val="auto"/>
          <w:sz w:val="21"/>
          <w:szCs w:val="21"/>
          <w:highlight w:val="none"/>
          <w:u w:val="single"/>
        </w:rPr>
        <w:t xml:space="preserve">      </w:t>
      </w:r>
    </w:p>
    <w:p w14:paraId="32C3B2CC">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 </w:t>
      </w:r>
      <w:r>
        <w:rPr>
          <w:rFonts w:hint="eastAsia" w:cs="宋体"/>
          <w:color w:val="auto"/>
          <w:sz w:val="21"/>
          <w:szCs w:val="21"/>
          <w:highlight w:val="none"/>
        </w:rPr>
        <w:t>。</w:t>
      </w:r>
    </w:p>
    <w:p w14:paraId="53E3F618">
      <w:pPr>
        <w:snapToGrid w:val="0"/>
        <w:spacing w:line="360" w:lineRule="auto"/>
        <w:ind w:firstLine="422" w:firstLineChars="200"/>
        <w:rPr>
          <w:rFonts w:cs="宋体"/>
          <w:b/>
          <w:color w:val="auto"/>
          <w:sz w:val="21"/>
          <w:szCs w:val="21"/>
          <w:highlight w:val="none"/>
        </w:rPr>
      </w:pPr>
      <w:bookmarkStart w:id="45" w:name="_Toc351203482"/>
      <w:r>
        <w:rPr>
          <w:rFonts w:hint="eastAsia" w:cs="宋体"/>
          <w:b/>
          <w:color w:val="auto"/>
          <w:sz w:val="21"/>
          <w:szCs w:val="21"/>
          <w:highlight w:val="none"/>
        </w:rPr>
        <w:t>二、合同工期</w:t>
      </w:r>
      <w:bookmarkEnd w:id="45"/>
    </w:p>
    <w:p w14:paraId="1920A1E3">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3F3B845">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计划竣工日期：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9EB4F48">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rPr>
        <w:t></w:t>
      </w:r>
      <w:r>
        <w:rPr>
          <w:rFonts w:hint="eastAsia" w:cs="宋体"/>
          <w:color w:val="auto"/>
          <w:sz w:val="21"/>
          <w:szCs w:val="21"/>
          <w:highlight w:val="none"/>
        </w:rPr>
        <w:t>天。工期总日历天数与根据前述计划开竣工日期计算的工期天数不一致的，以工期总日历天数为准。</w:t>
      </w:r>
    </w:p>
    <w:p w14:paraId="574ED17B">
      <w:pPr>
        <w:snapToGrid w:val="0"/>
        <w:spacing w:line="360" w:lineRule="auto"/>
        <w:ind w:firstLine="422" w:firstLineChars="200"/>
        <w:rPr>
          <w:rFonts w:cs="宋体"/>
          <w:b/>
          <w:color w:val="auto"/>
          <w:sz w:val="21"/>
          <w:szCs w:val="21"/>
          <w:highlight w:val="none"/>
        </w:rPr>
      </w:pPr>
      <w:bookmarkStart w:id="46" w:name="_Toc351203483"/>
      <w:r>
        <w:rPr>
          <w:rFonts w:hint="eastAsia" w:cs="宋体"/>
          <w:b/>
          <w:color w:val="auto"/>
          <w:sz w:val="21"/>
          <w:szCs w:val="21"/>
          <w:highlight w:val="none"/>
        </w:rPr>
        <w:t>三、质量标准</w:t>
      </w:r>
      <w:bookmarkEnd w:id="46"/>
    </w:p>
    <w:p w14:paraId="4FEA0B68">
      <w:pPr>
        <w:snapToGrid w:val="0"/>
        <w:spacing w:line="360" w:lineRule="auto"/>
        <w:ind w:firstLine="459"/>
        <w:rPr>
          <w:rFonts w:cs="宋体"/>
          <w:color w:val="auto"/>
          <w:sz w:val="21"/>
          <w:szCs w:val="21"/>
          <w:highlight w:val="none"/>
        </w:rPr>
      </w:pPr>
      <w:r>
        <w:rPr>
          <w:rFonts w:hint="eastAsia" w:cs="宋体"/>
          <w:color w:val="auto"/>
          <w:sz w:val="21"/>
          <w:szCs w:val="21"/>
          <w:highlight w:val="none"/>
        </w:rPr>
        <w:t>工程质量符合</w:t>
      </w:r>
      <w:r>
        <w:rPr>
          <w:rFonts w:hint="eastAsia" w:cs="宋体"/>
          <w:color w:val="auto"/>
          <w:sz w:val="21"/>
          <w:szCs w:val="21"/>
          <w:highlight w:val="none"/>
          <w:u w:val="single"/>
        </w:rPr>
        <w:t xml:space="preserve"> 合格 </w:t>
      </w:r>
      <w:r>
        <w:rPr>
          <w:rFonts w:hint="eastAsia" w:cs="宋体"/>
          <w:color w:val="auto"/>
          <w:sz w:val="21"/>
          <w:szCs w:val="21"/>
          <w:highlight w:val="none"/>
        </w:rPr>
        <w:t>标准。</w:t>
      </w:r>
    </w:p>
    <w:p w14:paraId="0C75C531">
      <w:pPr>
        <w:snapToGrid w:val="0"/>
        <w:spacing w:line="360" w:lineRule="auto"/>
        <w:ind w:firstLine="422" w:firstLineChars="200"/>
        <w:rPr>
          <w:rFonts w:hint="default" w:eastAsia="宋体" w:cs="宋体"/>
          <w:b/>
          <w:color w:val="auto"/>
          <w:sz w:val="21"/>
          <w:szCs w:val="21"/>
          <w:highlight w:val="none"/>
          <w:lang w:val="en-US" w:eastAsia="zh-CN"/>
        </w:rPr>
      </w:pPr>
      <w:bookmarkStart w:id="47" w:name="_Toc351203484"/>
      <w:r>
        <w:rPr>
          <w:rFonts w:hint="eastAsia" w:cs="宋体"/>
          <w:b/>
          <w:color w:val="auto"/>
          <w:sz w:val="21"/>
          <w:szCs w:val="21"/>
          <w:highlight w:val="none"/>
        </w:rPr>
        <w:t>四、签约合同价与</w:t>
      </w:r>
      <w:bookmarkEnd w:id="47"/>
      <w:r>
        <w:rPr>
          <w:rFonts w:hint="eastAsia" w:cs="宋体"/>
          <w:b/>
          <w:color w:val="auto"/>
          <w:sz w:val="21"/>
          <w:szCs w:val="21"/>
          <w:highlight w:val="none"/>
          <w:lang w:val="en-US" w:eastAsia="zh-CN"/>
        </w:rPr>
        <w:t>付款方式</w:t>
      </w:r>
    </w:p>
    <w:p w14:paraId="211D55BA">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6FB828E6">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3884B5E4">
      <w:pPr>
        <w:numPr>
          <w:ilvl w:val="0"/>
          <w:numId w:val="5"/>
        </w:numPr>
        <w:snapToGrid w:val="0"/>
        <w:spacing w:line="360" w:lineRule="auto"/>
        <w:ind w:firstLine="0" w:firstLineChars="0"/>
        <w:rPr>
          <w:rFonts w:hint="eastAsia" w:cs="宋体"/>
          <w:color w:val="auto"/>
          <w:sz w:val="21"/>
          <w:szCs w:val="21"/>
          <w:highlight w:val="none"/>
        </w:rPr>
      </w:pPr>
      <w:r>
        <w:rPr>
          <w:rFonts w:hint="eastAsia" w:cs="宋体"/>
          <w:color w:val="auto"/>
          <w:sz w:val="21"/>
          <w:szCs w:val="21"/>
          <w:highlight w:val="none"/>
        </w:rPr>
        <w:t>合同价格形式：</w:t>
      </w:r>
      <w:r>
        <w:rPr>
          <w:rFonts w:hint="eastAsia" w:cs="宋体"/>
          <w:color w:val="auto"/>
          <w:sz w:val="21"/>
          <w:szCs w:val="21"/>
          <w:highlight w:val="none"/>
          <w:u w:val="single"/>
          <w:lang w:val="en-US" w:eastAsia="zh-CN"/>
        </w:rPr>
        <w:t xml:space="preserve">单价合同   </w:t>
      </w:r>
      <w:r>
        <w:rPr>
          <w:rFonts w:hint="eastAsia" w:cs="宋体"/>
          <w:color w:val="auto"/>
          <w:sz w:val="21"/>
          <w:szCs w:val="21"/>
          <w:highlight w:val="none"/>
        </w:rPr>
        <w:t>。</w:t>
      </w:r>
    </w:p>
    <w:p w14:paraId="06175DBA">
      <w:pPr>
        <w:snapToGrid w:val="0"/>
        <w:spacing w:line="360" w:lineRule="auto"/>
        <w:ind w:firstLine="420" w:firstLineChars="200"/>
        <w:jc w:val="left"/>
        <w:rPr>
          <w:color w:val="FF0000"/>
          <w:sz w:val="21"/>
          <w:szCs w:val="21"/>
          <w:u w:val="single"/>
        </w:rPr>
      </w:pPr>
      <w:r>
        <w:rPr>
          <w:rFonts w:hint="eastAsia" w:cs="宋体"/>
          <w:bCs/>
          <w:color w:val="000000" w:themeColor="text1"/>
          <w:sz w:val="21"/>
          <w:szCs w:val="21"/>
          <w:u w:val="single"/>
          <w:lang w:val="en-US" w:eastAsia="zh-CN"/>
          <w14:textFill>
            <w14:solidFill>
              <w14:schemeClr w14:val="tx1"/>
            </w14:solidFill>
          </w14:textFill>
        </w:rPr>
        <w:t>3.付款方式：</w:t>
      </w:r>
      <w:r>
        <w:rPr>
          <w:rFonts w:hint="eastAsia" w:cs="宋体"/>
          <w:bCs/>
          <w:color w:val="FF0000"/>
          <w:sz w:val="21"/>
          <w:szCs w:val="21"/>
          <w:u w:val="single"/>
        </w:rPr>
        <w:t>①</w:t>
      </w:r>
      <w:r>
        <w:rPr>
          <w:rFonts w:hint="eastAsia" w:cs="宋体"/>
          <w:bCs/>
          <w:color w:val="FF0000"/>
          <w:sz w:val="21"/>
          <w:szCs w:val="21"/>
          <w:highlight w:val="none"/>
        </w:rPr>
        <w:t>合同签订后，经乙方申请，合同甲方审核确认后支付乙方签约合同价的</w:t>
      </w:r>
      <w:r>
        <w:rPr>
          <w:rFonts w:hint="eastAsia" w:cs="宋体"/>
          <w:bCs/>
          <w:color w:val="FF0000"/>
          <w:sz w:val="21"/>
          <w:szCs w:val="21"/>
          <w:highlight w:val="none"/>
          <w:lang w:val="en-US" w:eastAsia="zh-CN"/>
        </w:rPr>
        <w:t>6</w:t>
      </w:r>
      <w:r>
        <w:rPr>
          <w:rFonts w:hint="eastAsia" w:cs="宋体"/>
          <w:bCs/>
          <w:color w:val="FF0000"/>
          <w:sz w:val="21"/>
          <w:szCs w:val="21"/>
          <w:highlight w:val="none"/>
        </w:rPr>
        <w:t>0%作为预付款（乙方须提交等额预付款担保）。合同价款按工程进度支付（支付进度款的70%时一次性扣完所有预付款），完工验收并经结算审核后支付至结算价款的100%。</w:t>
      </w:r>
    </w:p>
    <w:p w14:paraId="0EBA1AB7">
      <w:pPr>
        <w:snapToGrid w:val="0"/>
        <w:spacing w:line="360" w:lineRule="auto"/>
        <w:ind w:firstLine="420" w:firstLineChars="200"/>
        <w:rPr>
          <w:color w:val="FF0000"/>
        </w:rPr>
      </w:pPr>
      <w:r>
        <w:rPr>
          <w:rFonts w:hint="eastAsia" w:cs="宋体"/>
          <w:bCs/>
          <w:color w:val="FF0000"/>
          <w:sz w:val="21"/>
          <w:szCs w:val="21"/>
          <w:u w:val="single"/>
        </w:rPr>
        <w:t>②在签订合同时，乙方书面明确表示无需预付款，即乙方无需提供预付款担保，按皖财购〔2022〕556号规定，合同甲方可不再支付预付款。合同价款按工程进度支付，完工验收并经结算审核后支付至结算价款的100%。</w:t>
      </w:r>
    </w:p>
    <w:p w14:paraId="29CEA1B6">
      <w:pPr>
        <w:snapToGrid w:val="0"/>
        <w:spacing w:line="360" w:lineRule="auto"/>
        <w:ind w:firstLine="422" w:firstLineChars="200"/>
        <w:rPr>
          <w:rFonts w:cs="宋体"/>
          <w:b/>
          <w:color w:val="auto"/>
          <w:sz w:val="21"/>
          <w:szCs w:val="21"/>
          <w:highlight w:val="none"/>
        </w:rPr>
      </w:pPr>
      <w:bookmarkStart w:id="48" w:name="_Toc351203485"/>
      <w:r>
        <w:rPr>
          <w:rFonts w:hint="eastAsia" w:cs="宋体"/>
          <w:b/>
          <w:color w:val="auto"/>
          <w:sz w:val="21"/>
          <w:szCs w:val="21"/>
          <w:highlight w:val="none"/>
        </w:rPr>
        <w:t>五、项目经理</w:t>
      </w:r>
    </w:p>
    <w:p w14:paraId="3FF3B502">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w:t>
      </w:r>
      <w:r>
        <w:rPr>
          <w:rFonts w:hint="eastAsia" w:cs="宋体"/>
          <w:color w:val="auto"/>
          <w:sz w:val="21"/>
          <w:szCs w:val="21"/>
          <w:highlight w:val="none"/>
          <w:u w:val="single"/>
        </w:rPr>
        <w:t>                     </w:t>
      </w:r>
      <w:r>
        <w:rPr>
          <w:rFonts w:hint="eastAsia" w:cs="宋体"/>
          <w:color w:val="auto"/>
          <w:sz w:val="21"/>
          <w:szCs w:val="21"/>
          <w:highlight w:val="none"/>
        </w:rPr>
        <w:t>。</w:t>
      </w:r>
    </w:p>
    <w:p w14:paraId="59C1E158">
      <w:pPr>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六、合同文件构成</w:t>
      </w:r>
    </w:p>
    <w:p w14:paraId="2F150FA5">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737A4437">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（1）中标通知书（如果有）；</w:t>
      </w:r>
    </w:p>
    <w:p w14:paraId="0C367A3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（2）投标函及其附录（如果有）； </w:t>
      </w:r>
    </w:p>
    <w:p w14:paraId="2331F41E">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（3）专用合同条款及其附件；</w:t>
      </w:r>
    </w:p>
    <w:p w14:paraId="693C3858">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（4）通用合同条款；</w:t>
      </w:r>
    </w:p>
    <w:p w14:paraId="4CA0742C">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（5）技术标准和要求；</w:t>
      </w:r>
    </w:p>
    <w:p w14:paraId="547B3876">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（6）图纸；</w:t>
      </w:r>
    </w:p>
    <w:p w14:paraId="6462DA62">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（7）</w:t>
      </w:r>
      <w:r>
        <w:rPr>
          <w:rFonts w:hint="eastAsia" w:cs="宋体"/>
          <w:color w:val="auto"/>
          <w:sz w:val="21"/>
          <w:szCs w:val="21"/>
          <w:highlight w:val="none"/>
          <w:lang w:val="en-US" w:eastAsia="zh-CN"/>
        </w:rPr>
        <w:t>采购人发布的工程量清单</w:t>
      </w:r>
      <w:r>
        <w:rPr>
          <w:rFonts w:hint="eastAsia" w:cs="宋体"/>
          <w:color w:val="auto"/>
          <w:sz w:val="21"/>
          <w:szCs w:val="21"/>
          <w:highlight w:val="none"/>
        </w:rPr>
        <w:t>；</w:t>
      </w:r>
    </w:p>
    <w:p w14:paraId="2FF4EAF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（8）其他合同文件。</w:t>
      </w:r>
    </w:p>
    <w:p w14:paraId="1A5EEEBF">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52300D9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6DE22068">
      <w:pPr>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七、承诺</w:t>
      </w:r>
    </w:p>
    <w:p w14:paraId="102E87C9">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3D199C97">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4E3B8E45">
      <w:pPr>
        <w:snapToGrid w:val="0"/>
        <w:spacing w:line="360" w:lineRule="auto"/>
        <w:ind w:firstLine="420" w:firstLineChars="200"/>
        <w:rPr>
          <w:rFonts w:hint="eastAsia"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149C690C">
      <w:pPr>
        <w:snapToGrid w:val="0"/>
        <w:spacing w:line="360" w:lineRule="auto"/>
        <w:ind w:firstLine="420" w:firstLineChars="200"/>
        <w:rPr>
          <w:rFonts w:hint="default" w:eastAsia="宋体" w:cs="宋体"/>
          <w:bCs/>
          <w:color w:val="auto"/>
          <w:sz w:val="21"/>
          <w:szCs w:val="21"/>
          <w:highlight w:val="none"/>
          <w:lang w:val="en-US" w:eastAsia="zh-CN"/>
        </w:rPr>
      </w:pPr>
      <w:r>
        <w:rPr>
          <w:rFonts w:hint="eastAsia" w:cs="宋体"/>
          <w:bCs/>
          <w:color w:val="auto"/>
          <w:sz w:val="21"/>
          <w:szCs w:val="21"/>
          <w:highlight w:val="none"/>
          <w:lang w:val="en-US" w:eastAsia="zh-CN"/>
        </w:rPr>
        <w:t>4.承包人安全管理责任</w:t>
      </w:r>
    </w:p>
    <w:p w14:paraId="19C4AE5C">
      <w:pPr>
        <w:snapToGrid w:val="0"/>
        <w:spacing w:line="360" w:lineRule="auto"/>
        <w:ind w:firstLine="420" w:firstLineChars="2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1）</w:t>
      </w:r>
      <w:r>
        <w:rPr>
          <w:rFonts w:hint="eastAsia" w:cs="宋体"/>
          <w:b w:val="0"/>
          <w:bCs/>
          <w:color w:val="auto"/>
          <w:sz w:val="21"/>
          <w:szCs w:val="21"/>
          <w:highlight w:val="none"/>
        </w:rPr>
        <w:t>乙方在</w:t>
      </w:r>
      <w:r>
        <w:rPr>
          <w:rFonts w:hint="eastAsia" w:cs="宋体"/>
          <w:b w:val="0"/>
          <w:bCs/>
          <w:color w:val="auto"/>
          <w:sz w:val="21"/>
          <w:szCs w:val="21"/>
          <w:highlight w:val="none"/>
          <w:lang w:val="en-US" w:eastAsia="zh-CN"/>
        </w:rPr>
        <w:t>合同履约</w:t>
      </w:r>
      <w:r>
        <w:rPr>
          <w:rFonts w:hint="eastAsia" w:cs="宋体"/>
          <w:b w:val="0"/>
          <w:bCs/>
          <w:color w:val="auto"/>
          <w:sz w:val="21"/>
          <w:szCs w:val="21"/>
          <w:highlight w:val="none"/>
        </w:rPr>
        <w:t>过程中，应加强人员管理，确保人员工作安全，防范安全生产事故，乙方在履行本合同过程中发生的任何工伤或意外伤亡等，均由乙方负责处理并承担全部费用；若因此给发包方或第三方造成损失，由乙方予以全额赔偿。</w:t>
      </w:r>
    </w:p>
    <w:p w14:paraId="79614E8F">
      <w:pPr>
        <w:snapToGrid w:val="0"/>
        <w:spacing w:line="360" w:lineRule="auto"/>
        <w:ind w:firstLine="420" w:firstLineChars="2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2）</w:t>
      </w:r>
      <w:r>
        <w:rPr>
          <w:rFonts w:hint="eastAsia" w:cs="宋体"/>
          <w:b w:val="0"/>
          <w:bCs/>
          <w:color w:val="auto"/>
          <w:sz w:val="21"/>
          <w:szCs w:val="21"/>
          <w:highlight w:val="none"/>
        </w:rPr>
        <w:t>本项目所有从业人员购买以下保险（</w:t>
      </w:r>
      <w:r>
        <w:rPr>
          <w:rFonts w:hint="eastAsia" w:cs="宋体"/>
          <w:b w:val="0"/>
          <w:bCs/>
          <w:color w:val="auto"/>
          <w:sz w:val="21"/>
          <w:szCs w:val="21"/>
          <w:highlight w:val="none"/>
          <w:lang w:eastAsia="zh-CN"/>
        </w:rPr>
        <w:t>三者任选其一</w:t>
      </w:r>
      <w:r>
        <w:rPr>
          <w:rFonts w:hint="eastAsia" w:cs="宋体"/>
          <w:b w:val="0"/>
          <w:bCs/>
          <w:color w:val="auto"/>
          <w:sz w:val="21"/>
          <w:szCs w:val="21"/>
          <w:highlight w:val="none"/>
        </w:rPr>
        <w:t>）：</w:t>
      </w:r>
      <w:r>
        <w:rPr>
          <w:rFonts w:hint="eastAsia" w:cs="宋体"/>
          <w:b/>
          <w:bCs/>
          <w:color w:val="auto"/>
          <w:sz w:val="21"/>
          <w:szCs w:val="21"/>
          <w:highlight w:val="none"/>
          <w:u w:val="single"/>
        </w:rPr>
        <w:t>雇主责任险或</w:t>
      </w:r>
      <w:r>
        <w:rPr>
          <w:rFonts w:hint="eastAsia" w:cs="宋体"/>
          <w:b/>
          <w:bCs/>
          <w:color w:val="auto"/>
          <w:sz w:val="21"/>
          <w:szCs w:val="21"/>
          <w:highlight w:val="none"/>
          <w:u w:val="single"/>
          <w:lang w:eastAsia="zh-CN"/>
        </w:rPr>
        <w:t>团体意外险</w:t>
      </w:r>
      <w:r>
        <w:rPr>
          <w:rFonts w:hint="eastAsia" w:cs="宋体"/>
          <w:b/>
          <w:bCs/>
          <w:color w:val="auto"/>
          <w:sz w:val="21"/>
          <w:szCs w:val="21"/>
          <w:highlight w:val="none"/>
          <w:u w:val="single"/>
          <w:lang w:val="en-US" w:eastAsia="zh-CN"/>
        </w:rPr>
        <w:t>或安全生产责任险</w:t>
      </w:r>
      <w:r>
        <w:rPr>
          <w:rFonts w:hint="eastAsia" w:cs="宋体"/>
          <w:b w:val="0"/>
          <w:bCs/>
          <w:color w:val="auto"/>
          <w:sz w:val="21"/>
          <w:szCs w:val="21"/>
          <w:highlight w:val="none"/>
        </w:rPr>
        <w:t>，其保险费已包含在签约合同价中。</w:t>
      </w:r>
    </w:p>
    <w:p w14:paraId="067650EB">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3）</w:t>
      </w:r>
      <w:r>
        <w:rPr>
          <w:rFonts w:hint="eastAsia" w:cs="宋体"/>
          <w:b w:val="0"/>
          <w:bCs/>
          <w:color w:val="auto"/>
          <w:sz w:val="21"/>
          <w:szCs w:val="21"/>
          <w:highlight w:val="none"/>
        </w:rPr>
        <w:t>安全承诺</w:t>
      </w:r>
      <w:r>
        <w:rPr>
          <w:rFonts w:hint="eastAsia" w:cs="宋体"/>
          <w:b w:val="0"/>
          <w:bCs/>
          <w:color w:val="auto"/>
          <w:sz w:val="21"/>
          <w:szCs w:val="21"/>
          <w:highlight w:val="none"/>
          <w:lang w:val="en-US" w:eastAsia="zh-CN"/>
        </w:rPr>
        <w:t>:</w:t>
      </w:r>
      <w:r>
        <w:rPr>
          <w:rFonts w:hint="eastAsia" w:cs="宋体"/>
          <w:b w:val="0"/>
          <w:bCs/>
          <w:color w:val="auto"/>
          <w:sz w:val="21"/>
          <w:szCs w:val="21"/>
          <w:highlight w:val="none"/>
        </w:rPr>
        <w:t>乙方承诺，作业过程中如出现作业人员未有效佩戴现场安全防护</w:t>
      </w:r>
      <w:r>
        <w:rPr>
          <w:rFonts w:hint="eastAsia" w:cs="宋体"/>
          <w:b w:val="0"/>
          <w:bCs/>
          <w:color w:val="auto"/>
          <w:sz w:val="21"/>
          <w:szCs w:val="21"/>
          <w:highlight w:val="none"/>
          <w:lang w:eastAsia="zh-CN"/>
        </w:rPr>
        <w:t>必需的</w:t>
      </w:r>
      <w:r>
        <w:rPr>
          <w:rFonts w:hint="eastAsia" w:cs="宋体"/>
          <w:b w:val="0"/>
          <w:bCs/>
          <w:color w:val="auto"/>
          <w:sz w:val="21"/>
          <w:szCs w:val="21"/>
          <w:highlight w:val="none"/>
        </w:rPr>
        <w:t>安全帽、安全绳、救生衣以及其他</w:t>
      </w:r>
      <w:r>
        <w:rPr>
          <w:rFonts w:hint="eastAsia" w:cs="宋体"/>
          <w:b w:val="0"/>
          <w:bCs/>
          <w:color w:val="auto"/>
          <w:sz w:val="21"/>
          <w:szCs w:val="21"/>
          <w:highlight w:val="none"/>
          <w:lang w:eastAsia="zh-CN"/>
        </w:rPr>
        <w:t>必需的</w:t>
      </w:r>
      <w:r>
        <w:rPr>
          <w:rFonts w:hint="eastAsia" w:cs="宋体"/>
          <w:b w:val="0"/>
          <w:bCs/>
          <w:color w:val="auto"/>
          <w:sz w:val="21"/>
          <w:szCs w:val="21"/>
          <w:highlight w:val="none"/>
          <w:lang w:val="en-US" w:eastAsia="zh-CN"/>
        </w:rPr>
        <w:t>作业</w:t>
      </w:r>
      <w:r>
        <w:rPr>
          <w:rFonts w:hint="eastAsia" w:cs="宋体"/>
          <w:b w:val="0"/>
          <w:bCs/>
          <w:color w:val="auto"/>
          <w:sz w:val="21"/>
          <w:szCs w:val="21"/>
          <w:highlight w:val="none"/>
        </w:rPr>
        <w:t>防护等安全防护用品，发生不安全行为的，每出现一次，从</w:t>
      </w:r>
      <w:r>
        <w:rPr>
          <w:rFonts w:hint="eastAsia" w:cs="宋体"/>
          <w:b w:val="0"/>
          <w:bCs/>
          <w:color w:val="auto"/>
          <w:sz w:val="21"/>
          <w:szCs w:val="21"/>
          <w:highlight w:val="none"/>
          <w:lang w:val="en-US" w:eastAsia="zh-CN"/>
        </w:rPr>
        <w:t>合同</w:t>
      </w:r>
      <w:r>
        <w:rPr>
          <w:rFonts w:hint="eastAsia" w:cs="宋体"/>
          <w:b w:val="0"/>
          <w:bCs/>
          <w:color w:val="auto"/>
          <w:sz w:val="21"/>
          <w:szCs w:val="21"/>
          <w:highlight w:val="none"/>
        </w:rPr>
        <w:t>结算价中自愿核减1000元，减完为止。</w:t>
      </w:r>
    </w:p>
    <w:p w14:paraId="0C6ED52C">
      <w:pPr>
        <w:snapToGrid w:val="0"/>
        <w:spacing w:line="360" w:lineRule="auto"/>
        <w:ind w:left="240" w:leftChars="120" w:firstLine="210" w:firstLineChars="100"/>
        <w:rPr>
          <w:rFonts w:hint="eastAsia" w:cs="宋体"/>
          <w:b w:val="0"/>
          <w:bCs/>
          <w:color w:val="auto"/>
          <w:sz w:val="21"/>
          <w:szCs w:val="21"/>
          <w:highlight w:val="none"/>
          <w:lang w:val="en-US" w:eastAsia="zh-CN"/>
        </w:rPr>
      </w:pPr>
      <w:r>
        <w:rPr>
          <w:rFonts w:hint="eastAsia" w:cs="宋体"/>
          <w:b w:val="0"/>
          <w:bCs/>
          <w:color w:val="auto"/>
          <w:sz w:val="21"/>
          <w:szCs w:val="21"/>
          <w:highlight w:val="none"/>
          <w:lang w:val="en-US" w:eastAsia="zh-CN"/>
        </w:rPr>
        <w:t>5.承包人保障农民工工资的承诺</w:t>
      </w:r>
    </w:p>
    <w:p w14:paraId="720035F6">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为保护农民工的合法权益，不拖欠农民工工资，</w:t>
      </w:r>
      <w:r>
        <w:rPr>
          <w:rFonts w:hint="eastAsia" w:cs="宋体"/>
          <w:b w:val="0"/>
          <w:bCs/>
          <w:color w:val="auto"/>
          <w:sz w:val="21"/>
          <w:szCs w:val="21"/>
          <w:highlight w:val="none"/>
          <w:lang w:val="en-US" w:eastAsia="zh-CN"/>
        </w:rPr>
        <w:t>我单位</w:t>
      </w:r>
      <w:r>
        <w:rPr>
          <w:rFonts w:hint="eastAsia" w:cs="宋体"/>
          <w:b w:val="0"/>
          <w:bCs/>
          <w:color w:val="auto"/>
          <w:sz w:val="21"/>
          <w:szCs w:val="21"/>
          <w:highlight w:val="none"/>
        </w:rPr>
        <w:t>中标</w:t>
      </w:r>
      <w:r>
        <w:rPr>
          <w:rFonts w:hint="eastAsia" w:cs="宋体"/>
          <w:b w:val="0"/>
          <w:bCs/>
          <w:color w:val="auto"/>
          <w:sz w:val="21"/>
          <w:szCs w:val="21"/>
          <w:highlight w:val="none"/>
          <w:lang w:val="en-US" w:eastAsia="zh-CN"/>
        </w:rPr>
        <w:t>后</w:t>
      </w:r>
      <w:r>
        <w:rPr>
          <w:rFonts w:hint="eastAsia" w:cs="宋体"/>
          <w:b w:val="0"/>
          <w:bCs/>
          <w:color w:val="auto"/>
          <w:sz w:val="21"/>
          <w:szCs w:val="21"/>
          <w:highlight w:val="none"/>
        </w:rPr>
        <w:t>承诺做到:</w:t>
      </w:r>
    </w:p>
    <w:p w14:paraId="59F6E116">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 xml:space="preserve">   </w:t>
      </w:r>
      <w:r>
        <w:rPr>
          <w:rFonts w:hint="eastAsia" w:cs="宋体"/>
          <w:b w:val="0"/>
          <w:bCs/>
          <w:color w:val="auto"/>
          <w:sz w:val="21"/>
          <w:szCs w:val="21"/>
          <w:highlight w:val="none"/>
          <w:lang w:val="en-US" w:eastAsia="zh-CN"/>
        </w:rPr>
        <w:t>1.</w:t>
      </w:r>
      <w:r>
        <w:rPr>
          <w:rFonts w:hint="eastAsia" w:cs="宋体"/>
          <w:b w:val="0"/>
          <w:bCs/>
          <w:color w:val="auto"/>
          <w:sz w:val="21"/>
          <w:szCs w:val="21"/>
          <w:highlight w:val="none"/>
        </w:rPr>
        <w:t>严格按照《中华人民共和国劳动法》规定，不克扣或者无故拖欠</w:t>
      </w:r>
      <w:r>
        <w:rPr>
          <w:rFonts w:hint="eastAsia" w:cs="宋体"/>
          <w:b w:val="0"/>
          <w:bCs/>
          <w:color w:val="auto"/>
          <w:sz w:val="21"/>
          <w:szCs w:val="21"/>
          <w:highlight w:val="none"/>
          <w:lang w:val="en-US" w:eastAsia="zh-CN"/>
        </w:rPr>
        <w:t>本项目履约过程中</w:t>
      </w:r>
      <w:r>
        <w:rPr>
          <w:rFonts w:hint="eastAsia" w:cs="宋体"/>
          <w:b w:val="0"/>
          <w:bCs/>
          <w:color w:val="auto"/>
          <w:sz w:val="21"/>
          <w:szCs w:val="21"/>
          <w:highlight w:val="none"/>
        </w:rPr>
        <w:t>劳动者的工资</w:t>
      </w:r>
      <w:r>
        <w:rPr>
          <w:rFonts w:hint="eastAsia" w:cs="宋体"/>
          <w:b w:val="0"/>
          <w:bCs/>
          <w:color w:val="auto"/>
          <w:sz w:val="21"/>
          <w:szCs w:val="21"/>
          <w:highlight w:val="none"/>
          <w:lang w:val="en-US" w:eastAsia="zh-CN"/>
        </w:rPr>
        <w:t>及雇佣费用</w:t>
      </w:r>
      <w:r>
        <w:rPr>
          <w:rFonts w:hint="eastAsia" w:cs="宋体"/>
          <w:b w:val="0"/>
          <w:bCs/>
          <w:color w:val="auto"/>
          <w:sz w:val="21"/>
          <w:szCs w:val="21"/>
          <w:highlight w:val="none"/>
        </w:rPr>
        <w:t>。</w:t>
      </w:r>
    </w:p>
    <w:p w14:paraId="75E46428">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 xml:space="preserve">   </w:t>
      </w:r>
      <w:r>
        <w:rPr>
          <w:rFonts w:hint="eastAsia" w:cs="宋体"/>
          <w:b w:val="0"/>
          <w:bCs/>
          <w:color w:val="auto"/>
          <w:sz w:val="21"/>
          <w:szCs w:val="21"/>
          <w:highlight w:val="none"/>
          <w:lang w:val="en-US" w:eastAsia="zh-CN"/>
        </w:rPr>
        <w:t>2.履约过程中所有劳动者的工资及雇佣费用，</w:t>
      </w:r>
      <w:r>
        <w:rPr>
          <w:rFonts w:hint="eastAsia" w:cs="宋体"/>
          <w:b w:val="0"/>
          <w:bCs/>
          <w:color w:val="auto"/>
          <w:sz w:val="21"/>
          <w:szCs w:val="21"/>
          <w:highlight w:val="none"/>
        </w:rPr>
        <w:t>将由我公司先行垫付。</w:t>
      </w:r>
    </w:p>
    <w:p w14:paraId="17BC2748">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 xml:space="preserve">   </w:t>
      </w:r>
      <w:r>
        <w:rPr>
          <w:rFonts w:hint="eastAsia" w:cs="宋体"/>
          <w:b w:val="0"/>
          <w:bCs/>
          <w:color w:val="auto"/>
          <w:sz w:val="21"/>
          <w:szCs w:val="21"/>
          <w:highlight w:val="none"/>
          <w:lang w:val="en-US" w:eastAsia="zh-CN"/>
        </w:rPr>
        <w:t>3.</w:t>
      </w:r>
      <w:r>
        <w:rPr>
          <w:rFonts w:hint="eastAsia" w:cs="宋体"/>
          <w:b w:val="0"/>
          <w:bCs/>
          <w:color w:val="auto"/>
          <w:sz w:val="21"/>
          <w:szCs w:val="21"/>
          <w:highlight w:val="none"/>
        </w:rPr>
        <w:t>如果发生违反规定拖欠或克扣农民工工资行为，本</w:t>
      </w:r>
      <w:r>
        <w:rPr>
          <w:rFonts w:hint="eastAsia" w:cs="宋体"/>
          <w:b w:val="0"/>
          <w:bCs/>
          <w:color w:val="auto"/>
          <w:sz w:val="21"/>
          <w:szCs w:val="21"/>
          <w:highlight w:val="none"/>
          <w:lang w:val="en-US" w:eastAsia="zh-CN"/>
        </w:rPr>
        <w:t>单位</w:t>
      </w:r>
      <w:r>
        <w:rPr>
          <w:rFonts w:hint="eastAsia" w:cs="宋体"/>
          <w:b w:val="0"/>
          <w:bCs/>
          <w:color w:val="auto"/>
          <w:sz w:val="21"/>
          <w:szCs w:val="21"/>
          <w:highlight w:val="none"/>
        </w:rPr>
        <w:t>支持</w:t>
      </w:r>
      <w:r>
        <w:rPr>
          <w:rFonts w:hint="eastAsia" w:cs="宋体"/>
          <w:b w:val="0"/>
          <w:bCs/>
          <w:color w:val="auto"/>
          <w:sz w:val="21"/>
          <w:szCs w:val="21"/>
          <w:highlight w:val="none"/>
          <w:lang w:val="en-US" w:eastAsia="zh-CN"/>
        </w:rPr>
        <w:t>甲方</w:t>
      </w:r>
      <w:r>
        <w:rPr>
          <w:rFonts w:hint="eastAsia" w:cs="宋体"/>
          <w:b w:val="0"/>
          <w:bCs/>
          <w:color w:val="auto"/>
          <w:sz w:val="21"/>
          <w:szCs w:val="21"/>
          <w:highlight w:val="none"/>
        </w:rPr>
        <w:t>依照有关规定</w:t>
      </w:r>
      <w:r>
        <w:rPr>
          <w:rFonts w:hint="eastAsia" w:cs="宋体"/>
          <w:b w:val="0"/>
          <w:bCs/>
          <w:color w:val="auto"/>
          <w:sz w:val="21"/>
          <w:szCs w:val="21"/>
          <w:highlight w:val="none"/>
          <w:lang w:val="en-US" w:eastAsia="zh-CN"/>
        </w:rPr>
        <w:t>对我单位</w:t>
      </w:r>
      <w:r>
        <w:rPr>
          <w:rFonts w:hint="eastAsia" w:cs="宋体"/>
          <w:b w:val="0"/>
          <w:bCs/>
          <w:color w:val="auto"/>
          <w:sz w:val="21"/>
          <w:szCs w:val="21"/>
          <w:highlight w:val="none"/>
        </w:rPr>
        <w:t>作出的</w:t>
      </w:r>
      <w:r>
        <w:rPr>
          <w:rFonts w:hint="eastAsia" w:cs="宋体"/>
          <w:b w:val="0"/>
          <w:bCs/>
          <w:color w:val="auto"/>
          <w:sz w:val="21"/>
          <w:szCs w:val="21"/>
          <w:highlight w:val="none"/>
          <w:lang w:val="en-US" w:eastAsia="zh-CN"/>
        </w:rPr>
        <w:t>相关措施（包括但不限于从履约保证金或工程进度款等款项中支付拖欠的农民工工资）</w:t>
      </w:r>
      <w:r>
        <w:rPr>
          <w:rFonts w:hint="eastAsia" w:cs="宋体"/>
          <w:b w:val="0"/>
          <w:bCs/>
          <w:color w:val="auto"/>
          <w:sz w:val="21"/>
          <w:szCs w:val="21"/>
          <w:highlight w:val="none"/>
        </w:rPr>
        <w:t>。</w:t>
      </w:r>
    </w:p>
    <w:p w14:paraId="147D9AF4">
      <w:pPr>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八、词语含义</w:t>
      </w:r>
    </w:p>
    <w:p w14:paraId="62C88165">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327B7ED4">
      <w:pPr>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九、签订时间</w:t>
      </w:r>
    </w:p>
    <w:p w14:paraId="17DF9F71">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175D8C46">
      <w:pPr>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十、签订地点</w:t>
      </w:r>
    </w:p>
    <w:p w14:paraId="0F738335">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w:t>
      </w:r>
      <w:r>
        <w:rPr>
          <w:rFonts w:hint="eastAsia" w:cs="宋体"/>
          <w:bCs/>
          <w:color w:val="auto"/>
          <w:sz w:val="21"/>
          <w:szCs w:val="21"/>
          <w:highlight w:val="none"/>
        </w:rPr>
        <w:t>签订。</w:t>
      </w:r>
    </w:p>
    <w:p w14:paraId="21DD6AE8">
      <w:pPr>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十一、补充协议</w:t>
      </w:r>
    </w:p>
    <w:p w14:paraId="1F6C0830">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62FB7FF2">
      <w:pPr>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十二、合同生效</w:t>
      </w:r>
    </w:p>
    <w:p w14:paraId="57998CC6">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443BC91C">
      <w:pPr>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十三、合同份数</w:t>
      </w:r>
    </w:p>
    <w:p w14:paraId="78CF1971">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rPr>
        <w:t xml:space="preserve">    </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份，承包人执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w:t>
      </w:r>
    </w:p>
    <w:p w14:paraId="43D70ED4">
      <w:pPr>
        <w:snapToGrid w:val="0"/>
        <w:spacing w:line="360" w:lineRule="auto"/>
        <w:rPr>
          <w:rFonts w:cs="宋体"/>
          <w:bCs/>
          <w:color w:val="auto"/>
          <w:sz w:val="21"/>
          <w:szCs w:val="21"/>
          <w:highlight w:val="none"/>
        </w:rPr>
      </w:pPr>
    </w:p>
    <w:p w14:paraId="5B47EB1B">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2313F66E">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454FADED">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9A57020">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4BECD202">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043D8DDF">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277967D7">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5A148175">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4CB8CE02">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76C6808F">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5229F878">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5D21D154">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0392DC1C">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32BFBD0F">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End w:id="48"/>
      <w:bookmarkStart w:id="49" w:name="_Toc130919121"/>
      <w:bookmarkStart w:id="50" w:name="_Toc30550"/>
      <w:bookmarkStart w:id="51" w:name="_Toc28799377"/>
      <w:r>
        <w:rPr>
          <w:rFonts w:hint="eastAsia" w:ascii="等线" w:hAnsi="等线" w:eastAsia="等线" w:cs="@仿宋_GB2312"/>
          <w:b/>
          <w:color w:val="auto"/>
          <w:kern w:val="2"/>
          <w:sz w:val="24"/>
          <w:highlight w:val="none"/>
        </w:rPr>
        <w:t>第二节  通用合同条款</w:t>
      </w:r>
      <w:bookmarkEnd w:id="49"/>
      <w:bookmarkEnd w:id="50"/>
      <w:bookmarkEnd w:id="51"/>
    </w:p>
    <w:p w14:paraId="16E02626">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420F9BC8">
      <w:pPr>
        <w:widowControl/>
        <w:jc w:val="left"/>
        <w:rPr>
          <w:b/>
          <w:color w:val="auto"/>
          <w:sz w:val="24"/>
          <w:highlight w:val="none"/>
        </w:rPr>
      </w:pPr>
      <w:r>
        <w:rPr>
          <w:rFonts w:hint="eastAsia" w:cs="宋体"/>
          <w:b/>
          <w:bCs/>
          <w:color w:val="auto"/>
          <w:sz w:val="21"/>
          <w:szCs w:val="21"/>
          <w:highlight w:val="none"/>
        </w:rPr>
        <w:br w:type="page"/>
      </w:r>
    </w:p>
    <w:p w14:paraId="2DA5A415">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ascii="等线" w:hAnsi="等线" w:eastAsia="等线" w:cs="@仿宋_GB2312"/>
          <w:b/>
          <w:color w:val="auto"/>
          <w:kern w:val="2"/>
          <w:sz w:val="24"/>
          <w:highlight w:val="none"/>
        </w:rPr>
        <w:t>第三节  专用合同条款</w:t>
      </w:r>
    </w:p>
    <w:p w14:paraId="7253FF3A">
      <w:pPr>
        <w:snapToGrid w:val="0"/>
        <w:spacing w:before="312" w:beforeLines="100" w:after="312" w:afterLines="100" w:line="360" w:lineRule="auto"/>
        <w:jc w:val="center"/>
        <w:outlineLvl w:val="2"/>
        <w:rPr>
          <w:rFonts w:cs="宋体"/>
          <w:color w:val="auto"/>
          <w:sz w:val="21"/>
          <w:szCs w:val="21"/>
          <w:highlight w:val="none"/>
        </w:rPr>
      </w:pPr>
      <w:r>
        <w:rPr>
          <w:rFonts w:hint="eastAsia" w:cs="宋体"/>
          <w:color w:val="auto"/>
          <w:sz w:val="21"/>
          <w:szCs w:val="21"/>
          <w:highlight w:val="none"/>
        </w:rPr>
        <w:t>专用合同条款数据表</w:t>
      </w:r>
    </w:p>
    <w:p w14:paraId="6206A012">
      <w:pPr>
        <w:pStyle w:val="20"/>
        <w:snapToGrid w:val="0"/>
        <w:spacing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5"/>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4319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766550D4">
            <w:pPr>
              <w:snapToGrid w:val="0"/>
              <w:spacing w:before="100" w:beforeAutospacing="1"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6493CE85">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7CC35BE3">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1374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5DFE612">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676C3A43">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0F9509AF">
            <w:pPr>
              <w:snapToGrid w:val="0"/>
              <w:spacing w:line="360" w:lineRule="auto"/>
              <w:rPr>
                <w:rFonts w:hint="eastAsia" w:cs="宋体"/>
                <w:bCs/>
                <w:color w:val="auto"/>
                <w:sz w:val="21"/>
                <w:szCs w:val="21"/>
                <w:highlight w:val="none"/>
                <w:u w:val="single"/>
                <w:lang w:val="en-US" w:eastAsia="zh-CN"/>
              </w:rPr>
            </w:pPr>
            <w:r>
              <w:rPr>
                <w:rFonts w:hint="eastAsia" w:cs="宋体"/>
                <w:bCs/>
                <w:color w:val="auto"/>
                <w:sz w:val="21"/>
                <w:szCs w:val="21"/>
                <w:highlight w:val="none"/>
              </w:rPr>
              <w:t xml:space="preserve">发包人提供资金来源证明的期限要求： </w:t>
            </w:r>
            <w:r>
              <w:rPr>
                <w:rFonts w:hint="eastAsia" w:cs="宋体"/>
                <w:bCs/>
                <w:color w:val="auto"/>
                <w:sz w:val="21"/>
                <w:szCs w:val="21"/>
                <w:highlight w:val="none"/>
                <w:u w:val="single"/>
                <w:lang w:val="en-US" w:eastAsia="zh-CN"/>
              </w:rPr>
              <w:t>/</w:t>
            </w:r>
          </w:p>
          <w:p w14:paraId="79F618EA">
            <w:pPr>
              <w:snapToGrid w:val="0"/>
              <w:spacing w:line="360" w:lineRule="auto"/>
              <w:rPr>
                <w:rFonts w:cs="宋体"/>
                <w:bCs/>
                <w:color w:val="auto"/>
                <w:sz w:val="21"/>
                <w:szCs w:val="21"/>
                <w:highlight w:val="none"/>
              </w:rPr>
            </w:pPr>
            <w:r>
              <w:rPr>
                <w:rFonts w:hint="eastAsia" w:cs="宋体"/>
                <w:bCs/>
                <w:color w:val="auto"/>
                <w:sz w:val="21"/>
                <w:szCs w:val="21"/>
                <w:highlight w:val="none"/>
              </w:rPr>
              <w:t xml:space="preserve">发包人是否提供支付担保：  </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否</w:t>
            </w:r>
            <w:r>
              <w:rPr>
                <w:rFonts w:hint="eastAsia" w:cs="宋体"/>
                <w:bCs/>
                <w:color w:val="auto"/>
                <w:sz w:val="21"/>
                <w:szCs w:val="21"/>
                <w:highlight w:val="none"/>
                <w:u w:val="single"/>
              </w:rPr>
              <w:t xml:space="preserve"> </w:t>
            </w:r>
          </w:p>
          <w:p w14:paraId="30CA6EA3">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发包人提供支付担保的形式：</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p>
        </w:tc>
      </w:tr>
      <w:tr w14:paraId="62D3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B337B94">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6EA4B8D2">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0AF29F1D">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7C2CF89B">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2C9BBCC6">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6E637A26">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37028D5A">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27178B1D">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7AA933EF">
            <w:pPr>
              <w:snapToGrid w:val="0"/>
              <w:spacing w:line="360" w:lineRule="auto"/>
              <w:rPr>
                <w:rFonts w:hint="eastAsia" w:cs="宋体"/>
                <w:bCs/>
                <w:color w:val="auto"/>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lang w:val="en-US" w:eastAsia="zh-CN"/>
              </w:rPr>
              <w:t>22</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8</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p w14:paraId="5ED59C40">
            <w:pPr>
              <w:snapToGrid w:val="0"/>
              <w:spacing w:line="360" w:lineRule="auto"/>
              <w:rPr>
                <w:rFonts w:cs="宋体"/>
                <w:bCs/>
                <w:color w:val="auto"/>
                <w:kern w:val="2"/>
                <w:sz w:val="21"/>
                <w:szCs w:val="21"/>
                <w:highlight w:val="none"/>
              </w:rPr>
            </w:pPr>
            <w:r>
              <w:rPr>
                <w:rFonts w:hint="eastAsia" w:cs="宋体"/>
                <w:b/>
                <w:bCs w:val="0"/>
                <w:color w:val="FF0000"/>
                <w:sz w:val="21"/>
                <w:szCs w:val="21"/>
                <w:highlight w:val="none"/>
                <w:u w:val="single"/>
              </w:rPr>
              <w:t>项目经理每缺勤一天，从合同结算价中自愿核减2000元</w:t>
            </w:r>
          </w:p>
        </w:tc>
      </w:tr>
      <w:tr w14:paraId="5AC5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690BE08">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4C007806">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6E2CA1F2">
            <w:pPr>
              <w:snapToGrid w:val="0"/>
              <w:spacing w:line="360" w:lineRule="auto"/>
              <w:rPr>
                <w:rFonts w:cs="宋体"/>
                <w:bCs/>
                <w:color w:val="auto"/>
                <w:sz w:val="21"/>
                <w:szCs w:val="21"/>
                <w:highlight w:val="none"/>
              </w:rPr>
            </w:pPr>
            <w:r>
              <w:rPr>
                <w:rFonts w:hint="eastAsia" w:cs="宋体"/>
                <w:bCs/>
                <w:color w:val="auto"/>
                <w:sz w:val="21"/>
                <w:szCs w:val="21"/>
                <w:highlight w:val="none"/>
              </w:rPr>
              <w:t>承包人是否提供履约保证金：</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是</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1AC4689D">
            <w:pPr>
              <w:snapToGrid w:val="0"/>
              <w:spacing w:line="360" w:lineRule="auto"/>
              <w:rPr>
                <w:rFonts w:cs="宋体"/>
                <w:bCs/>
                <w:color w:val="auto"/>
                <w:sz w:val="21"/>
                <w:szCs w:val="21"/>
                <w:highlight w:val="none"/>
              </w:rPr>
            </w:pPr>
            <w:r>
              <w:rPr>
                <w:rFonts w:hint="eastAsia" w:cs="宋体"/>
                <w:bCs/>
                <w:color w:val="auto"/>
                <w:sz w:val="21"/>
                <w:szCs w:val="21"/>
                <w:highlight w:val="none"/>
              </w:rPr>
              <w:t>承包人提供履约保证金的形式：</w:t>
            </w:r>
            <w:r>
              <w:rPr>
                <w:rFonts w:hint="eastAsia" w:cs="宋体"/>
                <w:bCs/>
                <w:color w:val="auto"/>
                <w:sz w:val="21"/>
                <w:szCs w:val="21"/>
                <w:highlight w:val="none"/>
                <w:u w:val="single"/>
              </w:rPr>
              <w:t>转账/电汇</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支票</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汇票</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本票</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保险</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保函。</w:t>
            </w:r>
          </w:p>
          <w:p w14:paraId="7671FED2">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履约保证金的金额：中标合同金额的</w:t>
            </w:r>
            <w:r>
              <w:rPr>
                <w:rFonts w:hint="eastAsia" w:cs="宋体"/>
                <w:bCs/>
                <w:color w:val="auto"/>
                <w:sz w:val="21"/>
                <w:szCs w:val="21"/>
                <w:highlight w:val="none"/>
                <w:u w:val="single"/>
                <w:lang w:val="en-US" w:eastAsia="zh-CN"/>
              </w:rPr>
              <w:t>2.5</w:t>
            </w:r>
            <w:r>
              <w:rPr>
                <w:rFonts w:hint="eastAsia" w:cs="宋体"/>
                <w:bCs/>
                <w:color w:val="auto"/>
                <w:sz w:val="21"/>
                <w:szCs w:val="21"/>
                <w:highlight w:val="none"/>
              </w:rPr>
              <w:t>%。</w:t>
            </w:r>
          </w:p>
          <w:p w14:paraId="7CB9B065">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履约保证金提交期限的要求：</w:t>
            </w:r>
            <w:r>
              <w:rPr>
                <w:rFonts w:hint="eastAsia" w:cs="宋体"/>
                <w:bCs/>
                <w:color w:val="auto"/>
                <w:sz w:val="21"/>
                <w:szCs w:val="21"/>
                <w:highlight w:val="none"/>
                <w:u w:val="single"/>
              </w:rPr>
              <w:t>签订合同前。</w:t>
            </w:r>
          </w:p>
          <w:p w14:paraId="7DF97DDB">
            <w:pPr>
              <w:snapToGrid w:val="0"/>
              <w:spacing w:line="360" w:lineRule="auto"/>
              <w:rPr>
                <w:rFonts w:hint="eastAsia" w:cs="宋体"/>
                <w:bCs/>
                <w:color w:val="auto"/>
                <w:sz w:val="21"/>
                <w:szCs w:val="21"/>
                <w:highlight w:val="none"/>
                <w:u w:val="single"/>
              </w:rPr>
            </w:pPr>
            <w:r>
              <w:rPr>
                <w:rFonts w:hint="eastAsia" w:cs="宋体"/>
                <w:bCs/>
                <w:color w:val="auto"/>
                <w:sz w:val="21"/>
                <w:szCs w:val="21"/>
                <w:highlight w:val="none"/>
              </w:rPr>
              <w:t>履约保证金退还时限：</w:t>
            </w:r>
            <w:r>
              <w:rPr>
                <w:rFonts w:hint="eastAsia" w:cs="宋体"/>
                <w:bCs/>
                <w:color w:val="auto"/>
                <w:sz w:val="21"/>
                <w:szCs w:val="21"/>
                <w:highlight w:val="none"/>
                <w:u w:val="single"/>
              </w:rPr>
              <w:t>履约保证金在合同生效之日起至项目验收合格前一直有效，验收合格后经乙方申请，合同甲方确认后按规定及时将履约保证金款项退还给乙方或者解除履约担保。</w:t>
            </w:r>
          </w:p>
          <w:p w14:paraId="7BBDB017">
            <w:pPr>
              <w:snapToGrid w:val="0"/>
              <w:spacing w:line="360" w:lineRule="auto"/>
              <w:rPr>
                <w:rFonts w:hint="eastAsia" w:cs="宋体"/>
                <w:bCs/>
                <w:color w:val="auto"/>
                <w:sz w:val="21"/>
                <w:szCs w:val="21"/>
                <w:highlight w:val="none"/>
                <w:u w:val="single"/>
              </w:rPr>
            </w:pPr>
            <w:r>
              <w:rPr>
                <w:rFonts w:hint="eastAsia" w:cs="宋体"/>
                <w:bCs/>
                <w:color w:val="auto"/>
                <w:sz w:val="21"/>
                <w:szCs w:val="21"/>
                <w:highlight w:val="none"/>
                <w:u w:val="single"/>
              </w:rPr>
              <w:t>如果乙方不履行合同，履约保证金不予退还；如果乙方未能按合同约定全面履行义务，合同甲方有权从履约保证金中取得补偿或赔偿，同时不影响甲方要求乙方承担合同约定的超过履约保证金的违约责任的权利。</w:t>
            </w:r>
          </w:p>
          <w:p w14:paraId="53AFBAFF">
            <w:pPr>
              <w:snapToGrid w:val="0"/>
              <w:spacing w:line="360" w:lineRule="auto"/>
              <w:rPr>
                <w:rFonts w:hint="eastAsia" w:cs="宋体"/>
                <w:b/>
                <w:bCs w:val="0"/>
                <w:color w:val="auto"/>
                <w:sz w:val="21"/>
                <w:szCs w:val="21"/>
                <w:highlight w:val="none"/>
              </w:rPr>
            </w:pPr>
            <w:r>
              <w:rPr>
                <w:rFonts w:hint="eastAsia" w:cs="宋体"/>
                <w:b/>
                <w:bCs w:val="0"/>
                <w:color w:val="auto"/>
                <w:sz w:val="21"/>
                <w:szCs w:val="21"/>
                <w:highlight w:val="none"/>
              </w:rPr>
              <w:t>注意事项：</w:t>
            </w:r>
          </w:p>
          <w:p w14:paraId="267A4884">
            <w:pPr>
              <w:snapToGrid w:val="0"/>
              <w:spacing w:line="360" w:lineRule="auto"/>
              <w:rPr>
                <w:rFonts w:hint="eastAsia" w:cs="宋体"/>
                <w:b/>
                <w:bCs w:val="0"/>
                <w:color w:val="auto"/>
                <w:sz w:val="21"/>
                <w:szCs w:val="21"/>
                <w:highlight w:val="none"/>
              </w:rPr>
            </w:pPr>
            <w:r>
              <w:rPr>
                <w:rFonts w:hint="eastAsia" w:cs="宋体"/>
                <w:b/>
                <w:bCs w:val="0"/>
                <w:color w:val="auto"/>
                <w:sz w:val="21"/>
                <w:szCs w:val="21"/>
                <w:highlight w:val="none"/>
              </w:rPr>
              <w:t>（1）以上各类机构出具的以担保函、保证保险承担责任的方式均须满足无条件条件。</w:t>
            </w:r>
          </w:p>
          <w:p w14:paraId="6181D963">
            <w:pPr>
              <w:snapToGrid w:val="0"/>
              <w:spacing w:line="360" w:lineRule="auto"/>
              <w:rPr>
                <w:rFonts w:hint="eastAsia" w:eastAsia="宋体" w:cs="宋体"/>
                <w:bCs/>
                <w:color w:val="auto"/>
                <w:kern w:val="2"/>
                <w:sz w:val="21"/>
                <w:szCs w:val="21"/>
                <w:highlight w:val="none"/>
                <w:lang w:eastAsia="zh-CN"/>
              </w:rPr>
            </w:pPr>
            <w:r>
              <w:rPr>
                <w:rFonts w:hint="eastAsia" w:cs="宋体"/>
                <w:b/>
                <w:bCs w:val="0"/>
                <w:color w:val="auto"/>
                <w:sz w:val="21"/>
                <w:szCs w:val="21"/>
                <w:highlight w:val="none"/>
              </w:rPr>
              <w:t>（2）以担保函、保证保险形式缴纳履约保证金的，受益人和收取单位须为合同甲方。</w:t>
            </w:r>
          </w:p>
        </w:tc>
      </w:tr>
      <w:tr w14:paraId="2905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C4A6FD">
            <w:pPr>
              <w:numPr>
                <w:ilvl w:val="0"/>
                <w:numId w:val="6"/>
              </w:numPr>
              <w:snapToGrid w:val="0"/>
              <w:spacing w:line="360" w:lineRule="auto"/>
              <w:jc w:val="center"/>
              <w:rPr>
                <w:rFonts w:cs="宋体"/>
                <w:bCs/>
                <w:color w:val="auto"/>
                <w:sz w:val="21"/>
                <w:szCs w:val="21"/>
                <w:highlight w:val="none"/>
              </w:rPr>
            </w:pPr>
          </w:p>
        </w:tc>
        <w:tc>
          <w:tcPr>
            <w:tcW w:w="1111" w:type="dxa"/>
            <w:vAlign w:val="center"/>
          </w:tcPr>
          <w:p w14:paraId="24FE1266">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500EBE33">
            <w:pPr>
              <w:snapToGrid w:val="0"/>
              <w:spacing w:line="360" w:lineRule="auto"/>
              <w:rPr>
                <w:rFonts w:cs="宋体"/>
                <w:bCs/>
                <w:color w:val="auto"/>
                <w:sz w:val="21"/>
                <w:szCs w:val="21"/>
                <w:highlight w:val="none"/>
              </w:rPr>
            </w:pPr>
            <w:r>
              <w:rPr>
                <w:rFonts w:hint="eastAsia" w:cs="宋体"/>
                <w:bCs/>
                <w:color w:val="auto"/>
                <w:sz w:val="21"/>
                <w:szCs w:val="21"/>
                <w:highlight w:val="none"/>
              </w:rPr>
              <w:t>5.1.1 特殊质量标准和要求：</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20BE2B0D">
            <w:pPr>
              <w:snapToGrid w:val="0"/>
              <w:spacing w:line="360" w:lineRule="auto"/>
              <w:rPr>
                <w:rFonts w:cs="宋体"/>
                <w:bCs/>
                <w:color w:val="auto"/>
                <w:sz w:val="21"/>
                <w:szCs w:val="21"/>
                <w:highlight w:val="none"/>
              </w:rPr>
            </w:pPr>
            <w:r>
              <w:rPr>
                <w:rFonts w:hint="eastAsia" w:cs="宋体"/>
                <w:bCs/>
                <w:color w:val="auto"/>
                <w:sz w:val="21"/>
                <w:szCs w:val="21"/>
                <w:highlight w:val="none"/>
              </w:rPr>
              <w:t>关于工程奖项的约定：</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4E59368D">
            <w:pPr>
              <w:snapToGrid w:val="0"/>
              <w:spacing w:line="360" w:lineRule="auto"/>
              <w:rPr>
                <w:rFonts w:cs="宋体"/>
                <w:bCs/>
                <w:color w:val="auto"/>
                <w:sz w:val="21"/>
                <w:szCs w:val="21"/>
                <w:highlight w:val="none"/>
              </w:rPr>
            </w:pPr>
            <w:r>
              <w:rPr>
                <w:rFonts w:hint="eastAsia" w:cs="宋体"/>
                <w:bCs/>
                <w:color w:val="auto"/>
                <w:sz w:val="21"/>
                <w:szCs w:val="21"/>
                <w:highlight w:val="none"/>
              </w:rPr>
              <w:t>关于建造要求：</w:t>
            </w:r>
          </w:p>
          <w:p w14:paraId="07D974AD">
            <w:pPr>
              <w:snapToGrid w:val="0"/>
              <w:spacing w:line="360" w:lineRule="auto"/>
              <w:rPr>
                <w:rFonts w:cs="宋体"/>
                <w:bCs/>
                <w:color w:val="auto"/>
                <w:sz w:val="21"/>
                <w:szCs w:val="21"/>
                <w:highlight w:val="none"/>
              </w:rPr>
            </w:pPr>
            <w:r>
              <w:rPr>
                <w:rFonts w:hint="eastAsia" w:cs="宋体"/>
                <w:bCs/>
                <w:color w:val="auto"/>
                <w:sz w:val="21"/>
                <w:szCs w:val="21"/>
                <w:highlight w:val="none"/>
              </w:rPr>
              <w:t>（1）绿色建筑等级要求：</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56328658">
            <w:pPr>
              <w:snapToGrid w:val="0"/>
              <w:spacing w:line="360" w:lineRule="auto"/>
              <w:rPr>
                <w:rFonts w:cs="宋体"/>
                <w:bCs/>
                <w:color w:val="auto"/>
                <w:sz w:val="21"/>
                <w:szCs w:val="21"/>
                <w:highlight w:val="none"/>
              </w:rPr>
            </w:pPr>
            <w:r>
              <w:rPr>
                <w:rFonts w:hint="eastAsia" w:cs="宋体"/>
                <w:bCs/>
                <w:color w:val="auto"/>
                <w:sz w:val="21"/>
                <w:szCs w:val="21"/>
                <w:highlight w:val="none"/>
              </w:rPr>
              <w:t>（2）智慧工地管理要求：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2D220D8E">
            <w:pPr>
              <w:snapToGrid w:val="0"/>
              <w:spacing w:line="360" w:lineRule="auto"/>
              <w:rPr>
                <w:rFonts w:cs="宋体"/>
                <w:bCs/>
                <w:color w:val="auto"/>
                <w:sz w:val="21"/>
                <w:szCs w:val="21"/>
                <w:highlight w:val="none"/>
              </w:rPr>
            </w:pPr>
            <w:r>
              <w:rPr>
                <w:rFonts w:hint="eastAsia" w:cs="宋体"/>
                <w:bCs/>
                <w:color w:val="auto"/>
                <w:sz w:val="21"/>
                <w:szCs w:val="21"/>
                <w:highlight w:val="none"/>
              </w:rPr>
              <w:t>（3）建筑垃圾减量化目标：</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8BDAB46">
            <w:pPr>
              <w:snapToGrid w:val="0"/>
              <w:spacing w:line="360" w:lineRule="auto"/>
              <w:rPr>
                <w:rFonts w:cs="宋体"/>
                <w:bCs/>
                <w:color w:val="auto"/>
                <w:sz w:val="21"/>
                <w:szCs w:val="21"/>
                <w:highlight w:val="none"/>
              </w:rPr>
            </w:pPr>
            <w:r>
              <w:rPr>
                <w:rFonts w:hint="eastAsia" w:cs="宋体"/>
                <w:bCs/>
                <w:color w:val="auto"/>
                <w:sz w:val="21"/>
                <w:szCs w:val="21"/>
                <w:highlight w:val="none"/>
              </w:rPr>
              <w:t>（4）装配式建筑装配率要求：</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tc>
      </w:tr>
      <w:tr w14:paraId="43A9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3C94184">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455D760C">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2EBB26AA">
            <w:pPr>
              <w:snapToGrid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w:t>
            </w:r>
            <w:r>
              <w:rPr>
                <w:rFonts w:hint="eastAsia" w:cs="宋体"/>
                <w:bCs/>
                <w:color w:val="auto"/>
                <w:kern w:val="2"/>
                <w:sz w:val="21"/>
                <w:szCs w:val="21"/>
                <w:highlight w:val="none"/>
                <w:lang w:val="en-US" w:eastAsia="zh-CN"/>
              </w:rPr>
              <w:t>完工</w:t>
            </w:r>
            <w:r>
              <w:rPr>
                <w:rFonts w:hint="eastAsia" w:ascii="宋体" w:hAnsi="宋体" w:eastAsia="宋体" w:cs="宋体"/>
                <w:bCs/>
                <w:color w:val="auto"/>
                <w:kern w:val="2"/>
                <w:sz w:val="21"/>
                <w:szCs w:val="21"/>
                <w:highlight w:val="none"/>
              </w:rPr>
              <w:t>违约金的计算方法为：</w:t>
            </w:r>
          </w:p>
          <w:p w14:paraId="1C48A00A">
            <w:pPr>
              <w:adjustRightInd w:val="0"/>
              <w:snapToGrid w:val="0"/>
              <w:spacing w:line="360" w:lineRule="auto"/>
              <w:ind w:firstLine="422" w:firstLineChars="200"/>
              <w:rPr>
                <w:rFonts w:hint="eastAsia" w:cs="宋体"/>
                <w:b/>
                <w:bCs/>
                <w:strike/>
                <w:dstrike w:val="0"/>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因承包人原因造成工期延误，逾期完工违约金的计算方法为：每延期完工一天，承包人支付发包人签约合同价款的千分之一的违约金；因承包人责任导致工程延期 28 天以上的，每天按签约合同价款的千分之五向发包人支付违约金；延期完工56天以上的，发包人有权解除合同，并追究连带损失。</w:t>
            </w:r>
          </w:p>
          <w:p w14:paraId="11D4FB32">
            <w:pPr>
              <w:adjustRightInd w:val="0"/>
              <w:snapToGrid w:val="0"/>
              <w:spacing w:line="360" w:lineRule="auto"/>
              <w:ind w:firstLine="420" w:firstLineChars="200"/>
              <w:rPr>
                <w:rFonts w:cs="宋体"/>
                <w:bCs/>
                <w:color w:val="auto"/>
                <w:kern w:val="2"/>
                <w:sz w:val="21"/>
                <w:szCs w:val="21"/>
                <w:highlight w:val="none"/>
              </w:rPr>
            </w:pPr>
            <w:r>
              <w:rPr>
                <w:rFonts w:hint="eastAsia" w:cs="宋体"/>
                <w:color w:val="auto"/>
                <w:sz w:val="21"/>
                <w:szCs w:val="21"/>
                <w:highlight w:val="none"/>
              </w:rPr>
              <w:t>因承包人原因造成工期延误，逾期</w:t>
            </w:r>
            <w:r>
              <w:rPr>
                <w:rFonts w:hint="eastAsia" w:cs="宋体"/>
                <w:color w:val="auto"/>
                <w:sz w:val="21"/>
                <w:szCs w:val="21"/>
                <w:highlight w:val="none"/>
                <w:lang w:eastAsia="zh-CN"/>
              </w:rPr>
              <w:t>完工</w:t>
            </w:r>
            <w:r>
              <w:rPr>
                <w:rFonts w:hint="eastAsia" w:cs="宋体"/>
                <w:color w:val="auto"/>
                <w:sz w:val="21"/>
                <w:szCs w:val="21"/>
                <w:highlight w:val="none"/>
              </w:rPr>
              <w:t>违约金的上限：</w:t>
            </w:r>
            <w:r>
              <w:rPr>
                <w:rFonts w:hint="eastAsia" w:ascii="宋体" w:hAnsi="宋体" w:eastAsia="宋体" w:cs="宋体"/>
                <w:b/>
                <w:bCs/>
                <w:color w:val="auto"/>
                <w:sz w:val="21"/>
                <w:szCs w:val="21"/>
                <w:highlight w:val="none"/>
                <w:u w:val="single"/>
                <w:lang w:val="en-US" w:eastAsia="zh-CN"/>
              </w:rPr>
              <w:t>违约金最高限额为</w:t>
            </w:r>
            <w:r>
              <w:rPr>
                <w:rFonts w:hint="eastAsia" w:cs="宋体"/>
                <w:b/>
                <w:bCs/>
                <w:color w:val="auto"/>
                <w:sz w:val="21"/>
                <w:szCs w:val="21"/>
                <w:highlight w:val="none"/>
                <w:u w:val="single"/>
                <w:lang w:val="en-US" w:eastAsia="zh-CN"/>
              </w:rPr>
              <w:t>签约</w:t>
            </w:r>
            <w:r>
              <w:rPr>
                <w:rFonts w:hint="eastAsia" w:ascii="宋体" w:hAnsi="宋体" w:eastAsia="宋体" w:cs="宋体"/>
                <w:b/>
                <w:bCs/>
                <w:color w:val="auto"/>
                <w:sz w:val="21"/>
                <w:szCs w:val="21"/>
                <w:highlight w:val="none"/>
                <w:u w:val="single"/>
                <w:lang w:val="en-US" w:eastAsia="zh-CN"/>
              </w:rPr>
              <w:t>合同价款的10%。</w:t>
            </w:r>
          </w:p>
        </w:tc>
      </w:tr>
      <w:tr w14:paraId="5F55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42410EC">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7246C118">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79774BD1">
            <w:pPr>
              <w:snapToGrid w:val="0"/>
              <w:spacing w:line="360" w:lineRule="auto"/>
              <w:rPr>
                <w:rFonts w:cs="宋体"/>
                <w:bCs/>
                <w:color w:val="auto"/>
                <w:kern w:val="2"/>
                <w:sz w:val="21"/>
                <w:szCs w:val="21"/>
                <w:highlight w:val="none"/>
              </w:rPr>
            </w:pPr>
            <w:r>
              <w:rPr>
                <w:rFonts w:hint="eastAsia" w:cs="宋体"/>
                <w:color w:val="auto"/>
                <w:sz w:val="21"/>
                <w:szCs w:val="21"/>
                <w:highlight w:val="none"/>
              </w:rPr>
              <w:t>提前</w:t>
            </w:r>
            <w:r>
              <w:rPr>
                <w:rFonts w:hint="eastAsia" w:cs="宋体"/>
                <w:bCs/>
                <w:color w:val="auto"/>
                <w:kern w:val="2"/>
                <w:sz w:val="21"/>
                <w:szCs w:val="21"/>
                <w:highlight w:val="none"/>
                <w:lang w:val="en-US" w:eastAsia="zh-CN"/>
              </w:rPr>
              <w:t>完工</w:t>
            </w:r>
            <w:r>
              <w:rPr>
                <w:rFonts w:hint="eastAsia" w:cs="宋体"/>
                <w:color w:val="auto"/>
                <w:sz w:val="21"/>
                <w:szCs w:val="21"/>
                <w:highlight w:val="none"/>
              </w:rPr>
              <w:t>的奖励：</w:t>
            </w:r>
            <w:r>
              <w:rPr>
                <w:rFonts w:hint="eastAsia" w:cs="宋体"/>
                <w:color w:val="auto"/>
                <w:sz w:val="21"/>
                <w:szCs w:val="21"/>
                <w:highlight w:val="none"/>
                <w:u w:val="single"/>
              </w:rPr>
              <w:t>不奖励</w:t>
            </w:r>
            <w:r>
              <w:rPr>
                <w:rFonts w:hint="eastAsia" w:cs="宋体"/>
                <w:color w:val="auto"/>
                <w:sz w:val="21"/>
                <w:szCs w:val="21"/>
                <w:highlight w:val="none"/>
              </w:rPr>
              <w:t>。</w:t>
            </w:r>
          </w:p>
        </w:tc>
      </w:tr>
      <w:tr w14:paraId="2352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5A3BA8B">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61010A8E">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62761F7D">
            <w:pPr>
              <w:pStyle w:val="33"/>
              <w:tabs>
                <w:tab w:val="clear" w:pos="4153"/>
                <w:tab w:val="clear" w:pos="8306"/>
              </w:tabs>
              <w:spacing w:line="360" w:lineRule="auto"/>
              <w:rPr>
                <w:rFonts w:cs="宋体"/>
                <w:bCs/>
                <w:color w:val="auto"/>
                <w:kern w:val="2"/>
                <w:sz w:val="21"/>
                <w:szCs w:val="21"/>
                <w:highlight w:val="none"/>
              </w:rPr>
            </w:pPr>
            <w:r>
              <w:rPr>
                <w:rFonts w:hint="eastAsia" w:cs="宋体"/>
                <w:bCs/>
                <w:color w:val="auto"/>
                <w:kern w:val="2"/>
                <w:sz w:val="21"/>
                <w:szCs w:val="21"/>
                <w:highlight w:val="none"/>
              </w:rPr>
              <w:t>市场价格波动是否调整合同价格的约定：</w:t>
            </w:r>
            <w:r>
              <w:rPr>
                <w:rFonts w:hint="eastAsia" w:cs="宋体"/>
                <w:bCs/>
                <w:color w:val="auto"/>
                <w:kern w:val="2"/>
                <w:sz w:val="21"/>
                <w:szCs w:val="21"/>
                <w:highlight w:val="none"/>
                <w:u w:val="single"/>
                <w:lang w:val="en-US" w:eastAsia="zh-CN"/>
              </w:rPr>
              <w:t>不调整</w:t>
            </w:r>
            <w:r>
              <w:rPr>
                <w:rFonts w:hint="eastAsia" w:cs="宋体"/>
                <w:bCs/>
                <w:color w:val="auto"/>
                <w:kern w:val="2"/>
                <w:sz w:val="21"/>
                <w:szCs w:val="21"/>
                <w:highlight w:val="none"/>
              </w:rPr>
              <w:t>。</w:t>
            </w:r>
          </w:p>
        </w:tc>
      </w:tr>
      <w:tr w14:paraId="0644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FB32AF">
            <w:pPr>
              <w:numPr>
                <w:ilvl w:val="0"/>
                <w:numId w:val="6"/>
              </w:numPr>
              <w:snapToGrid w:val="0"/>
              <w:spacing w:line="360" w:lineRule="auto"/>
              <w:jc w:val="center"/>
              <w:rPr>
                <w:rFonts w:cs="宋体"/>
                <w:bCs/>
                <w:color w:val="auto"/>
                <w:sz w:val="21"/>
                <w:szCs w:val="21"/>
                <w:highlight w:val="none"/>
              </w:rPr>
            </w:pPr>
          </w:p>
        </w:tc>
        <w:tc>
          <w:tcPr>
            <w:tcW w:w="1111" w:type="dxa"/>
            <w:vAlign w:val="center"/>
          </w:tcPr>
          <w:p w14:paraId="3D688C70">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5D99E928">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合同价格形式</w:t>
            </w:r>
          </w:p>
          <w:p w14:paraId="06E84683">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(1)单价合同。</w:t>
            </w:r>
          </w:p>
          <w:p w14:paraId="6D061BF0">
            <w:pPr>
              <w:pStyle w:val="33"/>
              <w:tabs>
                <w:tab w:val="clear" w:pos="4153"/>
                <w:tab w:val="clear" w:pos="8306"/>
              </w:tabs>
              <w:spacing w:line="360" w:lineRule="auto"/>
              <w:rPr>
                <w:rFonts w:cs="宋体"/>
                <w:bCs/>
                <w:color w:val="auto"/>
                <w:sz w:val="21"/>
                <w:szCs w:val="21"/>
                <w:highlight w:val="none"/>
                <w:u w:val="single"/>
              </w:rPr>
            </w:pPr>
            <w:r>
              <w:rPr>
                <w:rFonts w:hint="eastAsia" w:cs="宋体"/>
                <w:bCs/>
                <w:color w:val="auto"/>
                <w:sz w:val="21"/>
                <w:szCs w:val="21"/>
                <w:highlight w:val="none"/>
              </w:rPr>
              <w:t>综合单价包含的风险范围：</w:t>
            </w:r>
            <w:r>
              <w:rPr>
                <w:rFonts w:hint="eastAsia" w:cs="宋体"/>
                <w:bCs/>
                <w:color w:val="auto"/>
                <w:sz w:val="21"/>
                <w:szCs w:val="21"/>
                <w:highlight w:val="none"/>
                <w:u w:val="single"/>
              </w:rPr>
              <w:t>材料价格、人工成本上涨，异常天气导致的工期延误</w:t>
            </w:r>
            <w:r>
              <w:rPr>
                <w:rFonts w:hint="eastAsia" w:cs="宋体"/>
                <w:bCs/>
                <w:color w:val="auto"/>
                <w:sz w:val="21"/>
                <w:szCs w:val="21"/>
                <w:highlight w:val="none"/>
                <w:u w:val="single"/>
                <w:lang w:val="en-US" w:eastAsia="zh-CN"/>
              </w:rPr>
              <w:t>等</w:t>
            </w:r>
            <w:r>
              <w:rPr>
                <w:rFonts w:hint="eastAsia" w:cs="宋体"/>
                <w:bCs/>
                <w:color w:val="auto"/>
                <w:sz w:val="21"/>
                <w:szCs w:val="21"/>
                <w:highlight w:val="none"/>
                <w:u w:val="single"/>
              </w:rPr>
              <w:t>。</w:t>
            </w:r>
          </w:p>
          <w:p w14:paraId="7FCAE1D5">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 xml:space="preserve">   供应商在</w:t>
            </w:r>
            <w:r>
              <w:rPr>
                <w:rFonts w:hint="eastAsia" w:cs="宋体"/>
                <w:bCs/>
                <w:color w:val="auto"/>
                <w:sz w:val="21"/>
                <w:szCs w:val="21"/>
                <w:highlight w:val="none"/>
                <w:u w:val="single"/>
                <w:lang w:val="en-US" w:eastAsia="zh-CN"/>
              </w:rPr>
              <w:t>投标</w:t>
            </w:r>
            <w:r>
              <w:rPr>
                <w:rFonts w:hint="eastAsia" w:cs="宋体"/>
                <w:bCs/>
                <w:color w:val="auto"/>
                <w:sz w:val="21"/>
                <w:szCs w:val="21"/>
                <w:highlight w:val="none"/>
                <w:u w:val="single"/>
              </w:rPr>
              <w:t>报价</w:t>
            </w:r>
            <w:r>
              <w:rPr>
                <w:rFonts w:hint="eastAsia" w:cs="宋体"/>
                <w:bCs/>
                <w:color w:val="auto"/>
                <w:sz w:val="21"/>
                <w:szCs w:val="21"/>
                <w:highlight w:val="none"/>
                <w:u w:val="single"/>
                <w:lang w:val="en-US" w:eastAsia="zh-CN"/>
              </w:rPr>
              <w:t>中</w:t>
            </w:r>
            <w:r>
              <w:rPr>
                <w:rFonts w:hint="eastAsia" w:cs="宋体"/>
                <w:bCs/>
                <w:color w:val="auto"/>
                <w:sz w:val="21"/>
                <w:szCs w:val="21"/>
                <w:highlight w:val="none"/>
                <w:u w:val="single"/>
              </w:rPr>
              <w:t xml:space="preserve">已经考虑，不再另行计取  </w:t>
            </w:r>
            <w:r>
              <w:rPr>
                <w:rFonts w:hint="eastAsia" w:cs="宋体"/>
                <w:bCs/>
                <w:color w:val="auto"/>
                <w:sz w:val="21"/>
                <w:szCs w:val="21"/>
                <w:highlight w:val="none"/>
              </w:rPr>
              <w:t>。</w:t>
            </w:r>
          </w:p>
          <w:p w14:paraId="3AE3811F">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不调整</w:t>
            </w:r>
            <w:r>
              <w:rPr>
                <w:rFonts w:hint="eastAsia" w:cs="宋体"/>
                <w:bCs/>
                <w:color w:val="auto"/>
                <w:sz w:val="21"/>
                <w:szCs w:val="21"/>
                <w:highlight w:val="none"/>
                <w:u w:val="single"/>
                <w:lang w:val="en-US" w:eastAsia="zh-CN"/>
              </w:rPr>
              <w:t xml:space="preserve"> </w:t>
            </w:r>
            <w:r>
              <w:rPr>
                <w:rFonts w:hint="eastAsia" w:cs="宋体"/>
                <w:bCs/>
                <w:color w:val="auto"/>
                <w:sz w:val="21"/>
                <w:szCs w:val="21"/>
                <w:highlight w:val="none"/>
              </w:rPr>
              <w:t>。</w:t>
            </w:r>
          </w:p>
          <w:p w14:paraId="1E37D42E">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(2)总价合同。</w:t>
            </w:r>
          </w:p>
          <w:p w14:paraId="1FA8D0BB">
            <w:pPr>
              <w:pStyle w:val="33"/>
              <w:tabs>
                <w:tab w:val="clear" w:pos="4153"/>
                <w:tab w:val="clear" w:pos="8306"/>
              </w:tabs>
              <w:spacing w:line="360" w:lineRule="auto"/>
              <w:rPr>
                <w:rFonts w:hint="eastAsia" w:eastAsia="宋体" w:cs="宋体"/>
                <w:bCs/>
                <w:color w:val="auto"/>
                <w:sz w:val="21"/>
                <w:szCs w:val="21"/>
                <w:highlight w:val="none"/>
                <w:lang w:eastAsia="zh-CN"/>
              </w:rPr>
            </w:pPr>
            <w:r>
              <w:rPr>
                <w:rFonts w:hint="eastAsia" w:cs="宋体"/>
                <w:bCs/>
                <w:color w:val="auto"/>
                <w:sz w:val="21"/>
                <w:szCs w:val="21"/>
                <w:highlight w:val="none"/>
              </w:rPr>
              <w:t>总价包含的风险范围：</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eastAsia="zh-CN"/>
              </w:rPr>
              <w:t>。</w:t>
            </w:r>
          </w:p>
          <w:p w14:paraId="0B4FEB1E">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3B5E5572">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22F8FEFC">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（3）其他价格方式：</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7A3C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BF3A429">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446EB07F">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 xml:space="preserve">12.2.1 </w:t>
            </w:r>
          </w:p>
        </w:tc>
        <w:tc>
          <w:tcPr>
            <w:tcW w:w="7304" w:type="dxa"/>
            <w:tcBorders>
              <w:bottom w:val="single" w:color="auto" w:sz="4" w:space="0"/>
            </w:tcBorders>
            <w:vAlign w:val="center"/>
          </w:tcPr>
          <w:p w14:paraId="5FBD6674">
            <w:pPr>
              <w:adjustRightInd w:val="0"/>
              <w:snapToGrid w:val="0"/>
              <w:spacing w:line="360" w:lineRule="auto"/>
              <w:rPr>
                <w:rFonts w:hint="eastAsia" w:cs="宋体"/>
                <w:bCs/>
                <w:color w:val="auto"/>
                <w:kern w:val="2"/>
                <w:sz w:val="21"/>
                <w:szCs w:val="21"/>
                <w:highlight w:val="none"/>
              </w:rPr>
            </w:pPr>
            <w:r>
              <w:rPr>
                <w:rFonts w:hint="eastAsia" w:cs="宋体"/>
                <w:bCs/>
                <w:color w:val="auto"/>
                <w:kern w:val="2"/>
                <w:sz w:val="21"/>
                <w:szCs w:val="21"/>
                <w:highlight w:val="none"/>
              </w:rPr>
              <w:t>预付款的支付</w:t>
            </w:r>
          </w:p>
          <w:p w14:paraId="4477319F">
            <w:pPr>
              <w:adjustRightInd w:val="0"/>
              <w:snapToGrid w:val="0"/>
              <w:spacing w:line="360" w:lineRule="auto"/>
              <w:rPr>
                <w:rFonts w:hint="eastAsia" w:cs="宋体"/>
                <w:bCs/>
                <w:color w:val="auto"/>
                <w:kern w:val="2"/>
                <w:sz w:val="21"/>
                <w:szCs w:val="21"/>
                <w:highlight w:val="none"/>
              </w:rPr>
            </w:pPr>
            <w:r>
              <w:rPr>
                <w:rFonts w:hint="eastAsia" w:cs="宋体"/>
                <w:bCs/>
                <w:color w:val="auto"/>
                <w:kern w:val="2"/>
                <w:sz w:val="21"/>
                <w:szCs w:val="21"/>
                <w:highlight w:val="none"/>
              </w:rPr>
              <w:t>预付款支付比例或金额：</w:t>
            </w:r>
            <w:r>
              <w:rPr>
                <w:rFonts w:hint="eastAsia" w:cs="宋体"/>
                <w:bCs/>
                <w:color w:val="auto"/>
                <w:kern w:val="2"/>
                <w:sz w:val="21"/>
                <w:szCs w:val="21"/>
                <w:highlight w:val="none"/>
                <w:u w:val="single"/>
              </w:rPr>
              <w:t>合同金额的</w:t>
            </w:r>
            <w:r>
              <w:rPr>
                <w:rFonts w:hint="eastAsia" w:cs="宋体"/>
                <w:bCs/>
                <w:color w:val="FF0000"/>
                <w:kern w:val="2"/>
                <w:sz w:val="21"/>
                <w:szCs w:val="21"/>
                <w:highlight w:val="none"/>
                <w:u w:val="single"/>
                <w:lang w:val="en-US" w:eastAsia="zh-CN"/>
              </w:rPr>
              <w:t>6</w:t>
            </w:r>
            <w:r>
              <w:rPr>
                <w:rFonts w:hint="eastAsia" w:cs="宋体"/>
                <w:bCs/>
                <w:color w:val="FF0000"/>
                <w:kern w:val="2"/>
                <w:sz w:val="21"/>
                <w:szCs w:val="21"/>
                <w:highlight w:val="none"/>
                <w:u w:val="single"/>
              </w:rPr>
              <w:t>0%</w:t>
            </w:r>
          </w:p>
          <w:p w14:paraId="21F048E6">
            <w:pPr>
              <w:adjustRightInd w:val="0"/>
              <w:snapToGrid w:val="0"/>
              <w:spacing w:line="360" w:lineRule="auto"/>
              <w:rPr>
                <w:rFonts w:hint="eastAsia" w:cs="宋体"/>
                <w:bCs/>
                <w:color w:val="auto"/>
                <w:kern w:val="2"/>
                <w:sz w:val="21"/>
                <w:szCs w:val="21"/>
                <w:highlight w:val="none"/>
                <w:u w:val="single"/>
              </w:rPr>
            </w:pPr>
            <w:r>
              <w:rPr>
                <w:rFonts w:hint="eastAsia" w:cs="宋体"/>
                <w:bCs/>
                <w:color w:val="auto"/>
                <w:kern w:val="2"/>
                <w:sz w:val="21"/>
                <w:szCs w:val="21"/>
                <w:highlight w:val="none"/>
              </w:rPr>
              <w:t>预付款支付期限：</w:t>
            </w:r>
            <w:r>
              <w:rPr>
                <w:rFonts w:hint="eastAsia" w:cs="宋体"/>
                <w:bCs/>
                <w:color w:val="auto"/>
                <w:kern w:val="2"/>
                <w:sz w:val="21"/>
                <w:szCs w:val="21"/>
                <w:highlight w:val="none"/>
                <w:u w:val="single"/>
              </w:rPr>
              <w:t>担保措施生效以及具备施工条件的前提下，经乙方申请，合同甲方审核确认后按规定及时支付预付价款。</w:t>
            </w:r>
          </w:p>
          <w:p w14:paraId="4EE54F08">
            <w:pPr>
              <w:adjustRightInd w:val="0"/>
              <w:snapToGrid w:val="0"/>
              <w:spacing w:line="360" w:lineRule="auto"/>
              <w:rPr>
                <w:rFonts w:cs="宋体"/>
                <w:bCs/>
                <w:color w:val="auto"/>
                <w:kern w:val="2"/>
                <w:sz w:val="21"/>
                <w:szCs w:val="21"/>
                <w:highlight w:val="none"/>
              </w:rPr>
            </w:pPr>
            <w:r>
              <w:rPr>
                <w:rFonts w:hint="eastAsia" w:cs="宋体"/>
                <w:bCs/>
                <w:color w:val="auto"/>
                <w:kern w:val="2"/>
                <w:sz w:val="21"/>
                <w:szCs w:val="21"/>
                <w:highlight w:val="none"/>
              </w:rPr>
              <w:t xml:space="preserve">预付款扣回的方式： </w:t>
            </w:r>
            <w:r>
              <w:rPr>
                <w:rFonts w:hint="eastAsia" w:cs="宋体"/>
                <w:bCs/>
                <w:color w:val="auto"/>
                <w:kern w:val="2"/>
                <w:sz w:val="21"/>
                <w:szCs w:val="21"/>
                <w:highlight w:val="none"/>
                <w:u w:val="single"/>
              </w:rPr>
              <w:t>见付款方式。</w:t>
            </w:r>
          </w:p>
        </w:tc>
      </w:tr>
      <w:tr w14:paraId="4E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4C94CDA3">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16DC1B30">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vAlign w:val="center"/>
          </w:tcPr>
          <w:p w14:paraId="5F3CFD3E">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预付款担保</w:t>
            </w:r>
          </w:p>
          <w:p w14:paraId="6A9C4B80">
            <w:pPr>
              <w:adjustRightInd w:val="0"/>
              <w:snapToGrid w:val="0"/>
              <w:spacing w:line="360" w:lineRule="auto"/>
              <w:rPr>
                <w:rFonts w:hint="default"/>
                <w:color w:val="auto"/>
                <w:sz w:val="21"/>
                <w:szCs w:val="21"/>
                <w:highlight w:val="none"/>
                <w:u w:val="single"/>
                <w:lang w:val="en-US" w:eastAsia="zh-CN"/>
              </w:rPr>
            </w:pPr>
            <w:r>
              <w:rPr>
                <w:rFonts w:hint="eastAsia" w:cs="宋体"/>
                <w:bCs/>
                <w:color w:val="auto"/>
                <w:sz w:val="21"/>
                <w:szCs w:val="21"/>
                <w:highlight w:val="none"/>
              </w:rPr>
              <w:t>承包人提交预付款担保的期限：</w:t>
            </w:r>
            <w:r>
              <w:rPr>
                <w:rFonts w:hint="eastAsia" w:cs="宋体"/>
                <w:bCs/>
                <w:color w:val="auto"/>
                <w:sz w:val="21"/>
                <w:szCs w:val="21"/>
                <w:highlight w:val="none"/>
                <w:u w:val="single"/>
              </w:rPr>
              <w:t>支付预付款前</w:t>
            </w:r>
            <w:r>
              <w:rPr>
                <w:rFonts w:hint="eastAsia" w:cs="宋体"/>
                <w:bCs/>
                <w:color w:val="auto"/>
                <w:sz w:val="21"/>
                <w:szCs w:val="21"/>
                <w:highlight w:val="none"/>
                <w:u w:val="single"/>
                <w:lang w:val="en-US" w:eastAsia="zh-CN"/>
              </w:rPr>
              <w:t>由乙方</w:t>
            </w:r>
            <w:r>
              <w:rPr>
                <w:rFonts w:hint="eastAsia" w:cs="宋体"/>
                <w:bCs/>
                <w:color w:val="auto"/>
                <w:sz w:val="21"/>
                <w:szCs w:val="21"/>
                <w:highlight w:val="none"/>
                <w:u w:val="single"/>
              </w:rPr>
              <w:t>提供给</w:t>
            </w:r>
            <w:r>
              <w:rPr>
                <w:rFonts w:hint="eastAsia" w:cs="宋体"/>
                <w:bCs/>
                <w:color w:val="auto"/>
                <w:sz w:val="21"/>
                <w:szCs w:val="21"/>
                <w:highlight w:val="none"/>
                <w:u w:val="single"/>
                <w:lang w:val="en-US" w:eastAsia="zh-CN"/>
              </w:rPr>
              <w:t>合同</w:t>
            </w:r>
            <w:r>
              <w:rPr>
                <w:rFonts w:hint="eastAsia" w:cs="宋体"/>
                <w:bCs/>
                <w:color w:val="auto"/>
                <w:sz w:val="21"/>
                <w:szCs w:val="21"/>
                <w:highlight w:val="none"/>
                <w:u w:val="single"/>
                <w:lang w:eastAsia="zh-CN"/>
              </w:rPr>
              <w:t>甲方</w:t>
            </w:r>
            <w:r>
              <w:rPr>
                <w:rFonts w:hint="eastAsia" w:cs="宋体"/>
                <w:bCs/>
                <w:color w:val="auto"/>
                <w:sz w:val="21"/>
                <w:szCs w:val="21"/>
                <w:highlight w:val="none"/>
                <w:u w:val="single"/>
              </w:rPr>
              <w:t>，担保期限至预付款全部扣回</w:t>
            </w:r>
            <w:r>
              <w:rPr>
                <w:rFonts w:hint="eastAsia" w:cs="宋体"/>
                <w:bCs/>
                <w:color w:val="auto"/>
                <w:sz w:val="21"/>
                <w:szCs w:val="21"/>
                <w:highlight w:val="none"/>
              </w:rPr>
              <w:t>。</w:t>
            </w:r>
          </w:p>
          <w:p w14:paraId="20DF03A6">
            <w:pPr>
              <w:adjustRightInd w:val="0"/>
              <w:snapToGrid w:val="0"/>
              <w:spacing w:line="360" w:lineRule="auto"/>
              <w:rPr>
                <w:rFonts w:hint="eastAsia"/>
                <w:color w:val="auto"/>
                <w:sz w:val="21"/>
                <w:szCs w:val="21"/>
                <w:highlight w:val="none"/>
                <w:u w:val="single"/>
                <w:lang w:eastAsia="zh-CN"/>
              </w:rPr>
            </w:pPr>
            <w:r>
              <w:rPr>
                <w:rFonts w:hint="eastAsia" w:cs="宋体"/>
                <w:bCs/>
                <w:color w:val="auto"/>
                <w:sz w:val="21"/>
                <w:szCs w:val="21"/>
                <w:highlight w:val="none"/>
              </w:rPr>
              <w:t>预付款担保的形式为：</w:t>
            </w:r>
            <w:r>
              <w:rPr>
                <w:rFonts w:hint="eastAsia"/>
                <w:color w:val="auto"/>
                <w:sz w:val="21"/>
                <w:szCs w:val="21"/>
                <w:highlight w:val="none"/>
                <w:u w:val="single"/>
              </w:rPr>
              <w:t>合同签订后</w:t>
            </w:r>
            <w:r>
              <w:rPr>
                <w:rFonts w:hint="eastAsia"/>
                <w:color w:val="auto"/>
                <w:sz w:val="21"/>
                <w:szCs w:val="21"/>
                <w:highlight w:val="none"/>
                <w:u w:val="single"/>
                <w:lang w:eastAsia="zh-CN"/>
              </w:rPr>
              <w:t>乙方</w:t>
            </w:r>
            <w:r>
              <w:rPr>
                <w:rFonts w:hint="eastAsia"/>
                <w:color w:val="auto"/>
                <w:sz w:val="21"/>
                <w:szCs w:val="21"/>
                <w:highlight w:val="none"/>
                <w:u w:val="single"/>
              </w:rPr>
              <w:t>须向</w:t>
            </w:r>
            <w:r>
              <w:rPr>
                <w:rFonts w:hint="eastAsia" w:cs="宋体"/>
                <w:bCs/>
                <w:color w:val="auto"/>
                <w:sz w:val="21"/>
                <w:szCs w:val="21"/>
                <w:highlight w:val="none"/>
                <w:u w:val="single"/>
                <w:lang w:val="en-US" w:eastAsia="zh-CN"/>
              </w:rPr>
              <w:t>合同</w:t>
            </w:r>
            <w:r>
              <w:rPr>
                <w:rFonts w:hint="eastAsia"/>
                <w:color w:val="auto"/>
                <w:sz w:val="21"/>
                <w:szCs w:val="21"/>
                <w:highlight w:val="none"/>
                <w:u w:val="single"/>
                <w:lang w:val="en-US" w:eastAsia="zh-CN"/>
              </w:rPr>
              <w:t>甲方</w:t>
            </w:r>
            <w:r>
              <w:rPr>
                <w:rFonts w:hint="eastAsia"/>
                <w:color w:val="auto"/>
                <w:sz w:val="21"/>
                <w:szCs w:val="21"/>
                <w:highlight w:val="none"/>
                <w:u w:val="single"/>
              </w:rPr>
              <w:t>提交银行、保险公司、担保公司等金融机构出具的金额为合同总价</w:t>
            </w:r>
            <w:r>
              <w:rPr>
                <w:rFonts w:hint="eastAsia"/>
                <w:color w:val="FF0000"/>
                <w:sz w:val="21"/>
                <w:szCs w:val="21"/>
                <w:highlight w:val="none"/>
                <w:u w:val="single"/>
                <w:lang w:val="en-US" w:eastAsia="zh-CN"/>
              </w:rPr>
              <w:t>60</w:t>
            </w:r>
            <w:r>
              <w:rPr>
                <w:rFonts w:hint="eastAsia"/>
                <w:color w:val="FF0000"/>
                <w:sz w:val="21"/>
                <w:szCs w:val="21"/>
                <w:highlight w:val="none"/>
                <w:u w:val="single"/>
              </w:rPr>
              <w:t>%</w:t>
            </w:r>
            <w:r>
              <w:rPr>
                <w:rFonts w:hint="eastAsia"/>
                <w:color w:val="auto"/>
                <w:sz w:val="21"/>
                <w:szCs w:val="21"/>
                <w:highlight w:val="none"/>
                <w:u w:val="single"/>
              </w:rPr>
              <w:t>的预付款保函作为担保</w:t>
            </w:r>
            <w:r>
              <w:rPr>
                <w:rFonts w:hint="eastAsia"/>
                <w:color w:val="auto"/>
                <w:sz w:val="21"/>
                <w:szCs w:val="21"/>
                <w:highlight w:val="none"/>
                <w:u w:val="single"/>
                <w:lang w:eastAsia="zh-CN"/>
              </w:rPr>
              <w:t>。</w:t>
            </w:r>
          </w:p>
          <w:p w14:paraId="06413F2B">
            <w:pPr>
              <w:adjustRightInd w:val="0"/>
              <w:snapToGrid w:val="0"/>
              <w:spacing w:line="360" w:lineRule="auto"/>
              <w:rPr>
                <w:rFonts w:cs="宋体"/>
                <w:bCs/>
                <w:color w:val="auto"/>
                <w:kern w:val="2"/>
                <w:sz w:val="21"/>
                <w:szCs w:val="21"/>
                <w:highlight w:val="none"/>
              </w:rPr>
            </w:pPr>
            <w:r>
              <w:rPr>
                <w:rFonts w:hint="eastAsia"/>
                <w:b/>
                <w:bCs/>
                <w:color w:val="auto"/>
                <w:sz w:val="21"/>
                <w:szCs w:val="21"/>
                <w:highlight w:val="none"/>
              </w:rPr>
              <w:t>备注：预付款支付前，</w:t>
            </w:r>
            <w:r>
              <w:rPr>
                <w:rFonts w:hint="eastAsia"/>
                <w:b/>
                <w:bCs/>
                <w:color w:val="auto"/>
                <w:sz w:val="21"/>
                <w:szCs w:val="21"/>
                <w:highlight w:val="none"/>
                <w:lang w:val="en-US" w:eastAsia="zh-CN"/>
              </w:rPr>
              <w:t>乙方</w:t>
            </w:r>
            <w:r>
              <w:rPr>
                <w:rFonts w:hint="eastAsia"/>
                <w:b/>
                <w:bCs/>
                <w:color w:val="auto"/>
                <w:sz w:val="21"/>
                <w:szCs w:val="21"/>
                <w:highlight w:val="none"/>
              </w:rPr>
              <w:t>须提交银行、保险公司、担保公司等金融机构出具的预付款保函；</w:t>
            </w:r>
          </w:p>
        </w:tc>
      </w:tr>
      <w:tr w14:paraId="2D9D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88002EC">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35DFFF13">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3522A4D4">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付款周期</w:t>
            </w:r>
          </w:p>
          <w:p w14:paraId="544BA9DB">
            <w:pPr>
              <w:snapToGrid w:val="0"/>
              <w:spacing w:line="360" w:lineRule="auto"/>
              <w:jc w:val="left"/>
              <w:rPr>
                <w:rFonts w:hint="eastAsia" w:cs="宋体"/>
                <w:b/>
                <w:bCs w:val="0"/>
                <w:color w:val="auto"/>
                <w:sz w:val="24"/>
                <w:szCs w:val="24"/>
                <w:highlight w:val="none"/>
                <w:u w:val="none"/>
                <w:lang w:val="en-US" w:eastAsia="zh-CN"/>
              </w:rPr>
            </w:pPr>
            <w:r>
              <w:rPr>
                <w:rFonts w:hint="eastAsia" w:cs="宋体"/>
                <w:bCs/>
                <w:color w:val="auto"/>
                <w:sz w:val="21"/>
                <w:szCs w:val="21"/>
                <w:highlight w:val="none"/>
              </w:rPr>
              <w:t>关于付款周期的约定：</w:t>
            </w:r>
          </w:p>
          <w:p w14:paraId="13577ACF">
            <w:pPr>
              <w:snapToGrid w:val="0"/>
              <w:spacing w:line="360" w:lineRule="auto"/>
              <w:ind w:firstLine="420" w:firstLineChars="200"/>
              <w:jc w:val="left"/>
              <w:rPr>
                <w:rFonts w:cs="宋体"/>
                <w:bCs/>
                <w:color w:val="auto"/>
                <w:sz w:val="21"/>
                <w:szCs w:val="21"/>
                <w:highlight w:val="none"/>
              </w:rPr>
            </w:pPr>
            <w:r>
              <w:rPr>
                <w:rFonts w:hint="eastAsia" w:cs="宋体"/>
                <w:bCs/>
                <w:color w:val="auto"/>
                <w:sz w:val="21"/>
                <w:szCs w:val="21"/>
                <w:highlight w:val="none"/>
              </w:rPr>
              <w:t>合同签订后，经乙方申请，合同甲方审核确认后支付乙方签约合同价的</w:t>
            </w:r>
            <w:r>
              <w:rPr>
                <w:rFonts w:hint="eastAsia" w:cs="宋体"/>
                <w:bCs/>
                <w:color w:val="FF0000"/>
                <w:sz w:val="21"/>
                <w:szCs w:val="21"/>
                <w:highlight w:val="none"/>
                <w:lang w:val="en-US" w:eastAsia="zh-CN"/>
              </w:rPr>
              <w:t>6</w:t>
            </w:r>
            <w:r>
              <w:rPr>
                <w:rFonts w:hint="eastAsia" w:cs="宋体"/>
                <w:bCs/>
                <w:color w:val="FF0000"/>
                <w:sz w:val="21"/>
                <w:szCs w:val="21"/>
                <w:highlight w:val="none"/>
              </w:rPr>
              <w:t>0%</w:t>
            </w:r>
            <w:r>
              <w:rPr>
                <w:rFonts w:hint="eastAsia" w:cs="宋体"/>
                <w:bCs/>
                <w:color w:val="auto"/>
                <w:sz w:val="21"/>
                <w:szCs w:val="21"/>
                <w:highlight w:val="none"/>
              </w:rPr>
              <w:t>作为预付款（乙方须提交等额预付款担保）。合同价款按工程进度支付（支付进度款的70%时一次性扣完所有预付款），完工验收并经结算审核后支付至结算价款的100%。</w:t>
            </w:r>
          </w:p>
        </w:tc>
      </w:tr>
      <w:tr w14:paraId="0FAE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E3219AB">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4C72D176">
            <w:pPr>
              <w:snapToGrid w:val="0"/>
              <w:spacing w:line="360" w:lineRule="auto"/>
              <w:jc w:val="center"/>
              <w:rPr>
                <w:rFonts w:hint="eastAsia"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4F9C32FF">
            <w:pPr>
              <w:snapToGrid w:val="0"/>
              <w:spacing w:line="360" w:lineRule="auto"/>
              <w:jc w:val="left"/>
              <w:rPr>
                <w:rFonts w:hint="default"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合同签订时，供应商须提供不拖欠农民工工资承诺函，格式自拟。</w:t>
            </w:r>
          </w:p>
        </w:tc>
      </w:tr>
      <w:tr w14:paraId="6C3D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512526D">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2FEE81F9">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1A6DBC20">
            <w:pPr>
              <w:snapToGrid w:val="0"/>
              <w:spacing w:line="360" w:lineRule="auto"/>
              <w:rPr>
                <w:rFonts w:cs="宋体"/>
                <w:bCs/>
                <w:color w:val="auto"/>
                <w:kern w:val="2"/>
                <w:sz w:val="21"/>
                <w:szCs w:val="21"/>
                <w:highlight w:val="none"/>
              </w:rPr>
            </w:pPr>
            <w:r>
              <w:rPr>
                <w:rFonts w:hint="eastAsia" w:cs="宋体"/>
                <w:color w:val="auto"/>
                <w:sz w:val="21"/>
                <w:szCs w:val="21"/>
                <w:highlight w:val="none"/>
              </w:rPr>
              <w:t>缺陷责任期的具体期限：</w:t>
            </w:r>
            <w:r>
              <w:rPr>
                <w:rFonts w:hint="eastAsia" w:cs="宋体"/>
                <w:color w:val="auto"/>
                <w:sz w:val="21"/>
                <w:szCs w:val="21"/>
                <w:highlight w:val="none"/>
                <w:u w:val="single"/>
              </w:rPr>
              <w:t>工程通过完工验收之日起12个月。</w:t>
            </w:r>
          </w:p>
        </w:tc>
      </w:tr>
      <w:tr w14:paraId="36AF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D020A79">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655BA647">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40AA6317">
            <w:pPr>
              <w:adjustRightInd w:val="0"/>
              <w:snapToGrid w:val="0"/>
              <w:spacing w:line="360" w:lineRule="auto"/>
              <w:rPr>
                <w:rFonts w:cs="宋体"/>
                <w:color w:val="FF0000"/>
                <w:sz w:val="21"/>
                <w:szCs w:val="21"/>
                <w:highlight w:val="none"/>
              </w:rPr>
            </w:pPr>
            <w:r>
              <w:rPr>
                <w:rFonts w:hint="eastAsia" w:cs="宋体"/>
                <w:color w:val="FF0000"/>
                <w:sz w:val="21"/>
                <w:szCs w:val="21"/>
                <w:highlight w:val="none"/>
              </w:rPr>
              <w:t>质量保证金可采用以下任意一种方式：</w:t>
            </w:r>
          </w:p>
          <w:p w14:paraId="63AD1E3F">
            <w:pPr>
              <w:adjustRightInd w:val="0"/>
              <w:snapToGrid w:val="0"/>
              <w:spacing w:line="360" w:lineRule="auto"/>
              <w:rPr>
                <w:rFonts w:cs="宋体"/>
                <w:color w:val="FF0000"/>
                <w:sz w:val="21"/>
                <w:szCs w:val="21"/>
                <w:highlight w:val="none"/>
              </w:rPr>
            </w:pPr>
            <w:r>
              <w:rPr>
                <w:rFonts w:hint="eastAsia" w:cs="宋体"/>
                <w:color w:val="FF0000"/>
                <w:sz w:val="21"/>
                <w:szCs w:val="21"/>
                <w:highlight w:val="none"/>
              </w:rPr>
              <w:t>（1）</w:t>
            </w:r>
            <w:r>
              <w:rPr>
                <w:rFonts w:hint="eastAsia" w:cs="宋体"/>
                <w:color w:val="FF0000"/>
                <w:sz w:val="21"/>
                <w:szCs w:val="21"/>
                <w:highlight w:val="none"/>
                <w:u w:val="single"/>
              </w:rPr>
              <w:t>由银行业金融机构、工程担保公司、保险机构出具银行保函、工程质量保险等担保方式，担保/保证金额为：结算价的3%；</w:t>
            </w:r>
          </w:p>
          <w:p w14:paraId="36B61724">
            <w:pPr>
              <w:adjustRightInd w:val="0"/>
              <w:snapToGrid w:val="0"/>
              <w:spacing w:line="360" w:lineRule="auto"/>
              <w:rPr>
                <w:rFonts w:hint="eastAsia" w:eastAsia="宋体" w:cs="宋体"/>
                <w:color w:val="FF0000"/>
                <w:sz w:val="21"/>
                <w:szCs w:val="21"/>
                <w:highlight w:val="none"/>
                <w:u w:val="none"/>
                <w:lang w:eastAsia="zh-CN"/>
              </w:rPr>
            </w:pPr>
            <w:r>
              <w:rPr>
                <w:rFonts w:hint="eastAsia" w:cs="宋体"/>
                <w:color w:val="FF0000"/>
                <w:sz w:val="21"/>
                <w:szCs w:val="21"/>
                <w:highlight w:val="none"/>
              </w:rPr>
              <w:t>（2）</w:t>
            </w:r>
            <w:r>
              <w:rPr>
                <w:rFonts w:hint="eastAsia" w:cs="宋体"/>
                <w:color w:val="FF0000"/>
                <w:sz w:val="21"/>
                <w:szCs w:val="21"/>
                <w:highlight w:val="none"/>
                <w:u w:val="single"/>
              </w:rPr>
              <w:t>在本工程结算支付前采用</w:t>
            </w:r>
            <w:r>
              <w:rPr>
                <w:rFonts w:hint="eastAsia" w:cs="宋体"/>
                <w:color w:val="FF0000"/>
                <w:sz w:val="21"/>
                <w:szCs w:val="21"/>
                <w:highlight w:val="none"/>
                <w:u w:val="single"/>
                <w:lang w:val="en-US" w:eastAsia="zh-CN"/>
              </w:rPr>
              <w:t>现金或</w:t>
            </w:r>
            <w:r>
              <w:rPr>
                <w:rFonts w:hint="eastAsia" w:cs="宋体"/>
                <w:color w:val="FF0000"/>
                <w:sz w:val="21"/>
                <w:szCs w:val="21"/>
                <w:highlight w:val="none"/>
                <w:u w:val="single"/>
              </w:rPr>
              <w:t>转账的方式缴纳，金额为结算价的3%</w:t>
            </w:r>
            <w:r>
              <w:rPr>
                <w:rFonts w:hint="eastAsia" w:cs="宋体"/>
                <w:color w:val="FF0000"/>
                <w:sz w:val="21"/>
                <w:szCs w:val="21"/>
                <w:highlight w:val="none"/>
                <w:u w:val="single"/>
                <w:lang w:eastAsia="zh-CN"/>
              </w:rPr>
              <w:t>；</w:t>
            </w:r>
          </w:p>
          <w:p w14:paraId="15F97694">
            <w:pPr>
              <w:adjustRightInd w:val="0"/>
              <w:snapToGrid w:val="0"/>
              <w:spacing w:line="360" w:lineRule="auto"/>
              <w:rPr>
                <w:rFonts w:cs="宋体"/>
                <w:bCs w:val="0"/>
                <w:color w:val="auto"/>
                <w:kern w:val="2"/>
                <w:sz w:val="21"/>
                <w:szCs w:val="21"/>
                <w:highlight w:val="none"/>
              </w:rPr>
            </w:pPr>
            <w:r>
              <w:rPr>
                <w:rFonts w:hint="eastAsia" w:cs="宋体"/>
                <w:color w:val="FF0000"/>
                <w:sz w:val="21"/>
                <w:szCs w:val="21"/>
                <w:highlight w:val="none"/>
              </w:rPr>
              <w:t>（3）其他方式：</w:t>
            </w:r>
            <w:r>
              <w:rPr>
                <w:rFonts w:hint="eastAsia" w:cs="宋体"/>
                <w:color w:val="FF0000"/>
                <w:sz w:val="21"/>
                <w:szCs w:val="21"/>
                <w:highlight w:val="none"/>
                <w:u w:val="single"/>
              </w:rPr>
              <w:t>在工程项目完工前，乙方按合同甲方要求提供履约保证金的，可在工程进入缺陷责任期时按照多退少补原则转为质量保证金</w:t>
            </w:r>
            <w:r>
              <w:rPr>
                <w:rFonts w:hint="eastAsia" w:cs="宋体"/>
                <w:color w:val="FF0000"/>
                <w:sz w:val="21"/>
                <w:szCs w:val="21"/>
                <w:highlight w:val="none"/>
                <w:u w:val="single"/>
                <w:lang w:eastAsia="zh-CN"/>
              </w:rPr>
              <w:t>，</w:t>
            </w:r>
            <w:r>
              <w:rPr>
                <w:rFonts w:hint="eastAsia" w:cs="宋体"/>
                <w:color w:val="FF0000"/>
                <w:sz w:val="21"/>
                <w:szCs w:val="21"/>
                <w:highlight w:val="none"/>
                <w:u w:val="single"/>
              </w:rPr>
              <w:t>金额为：结算价的3%。</w:t>
            </w:r>
          </w:p>
        </w:tc>
      </w:tr>
    </w:tbl>
    <w:p w14:paraId="6F737A1F">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 一般约定</w:t>
      </w:r>
    </w:p>
    <w:p w14:paraId="42ECEFE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 词语定义与解释</w:t>
      </w:r>
    </w:p>
    <w:p w14:paraId="77052B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 合同</w:t>
      </w:r>
    </w:p>
    <w:p w14:paraId="010B8942">
      <w:pPr>
        <w:adjustRightInd w:val="0"/>
        <w:snapToGrid w:val="0"/>
        <w:spacing w:line="360" w:lineRule="auto"/>
        <w:ind w:firstLine="420" w:firstLineChars="200"/>
        <w:rPr>
          <w:rFonts w:hint="eastAsia" w:eastAsia="宋体" w:cs="宋体"/>
          <w:color w:val="auto"/>
          <w:sz w:val="21"/>
          <w:szCs w:val="21"/>
          <w:highlight w:val="none"/>
          <w:u w:val="single"/>
          <w:lang w:eastAsia="zh-CN"/>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p>
    <w:p w14:paraId="004784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 合同当事人及其他相关方</w:t>
      </w:r>
    </w:p>
    <w:p w14:paraId="311B1A0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1.1.2.4 监理人：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p>
    <w:p w14:paraId="24A2A0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1.1.2.5 设计人：</w:t>
      </w:r>
      <w:r>
        <w:rPr>
          <w:rFonts w:hint="eastAsia" w:cs="宋体"/>
          <w:color w:val="auto"/>
          <w:sz w:val="21"/>
          <w:szCs w:val="21"/>
          <w:highlight w:val="none"/>
          <w:lang w:val="en-US" w:eastAsia="zh-CN"/>
        </w:rPr>
        <w:t xml:space="preserve"> </w:t>
      </w:r>
      <w:r>
        <w:rPr>
          <w:rFonts w:hint="eastAsia" w:cs="宋体"/>
          <w:color w:val="auto"/>
          <w:sz w:val="21"/>
          <w:szCs w:val="21"/>
          <w:highlight w:val="none"/>
          <w:u w:val="single"/>
          <w:lang w:val="en-US" w:eastAsia="zh-CN"/>
        </w:rPr>
        <w:t>/</w:t>
      </w:r>
    </w:p>
    <w:p w14:paraId="661C3DF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 工程和设备</w:t>
      </w:r>
    </w:p>
    <w:p w14:paraId="50F65CF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1.1.3.7 作为施工现场组成部分的其他场所包括：</w:t>
      </w:r>
      <w:r>
        <w:rPr>
          <w:rFonts w:hint="eastAsia" w:cs="宋体"/>
          <w:color w:val="auto"/>
          <w:sz w:val="21"/>
          <w:szCs w:val="21"/>
          <w:highlight w:val="none"/>
          <w:u w:val="single"/>
        </w:rPr>
        <w:t>指用于合同工程施工的场所，以及在合同中指定作为施工场地组成部分的其他场所，包括永久占地和临时占地。</w:t>
      </w:r>
    </w:p>
    <w:p w14:paraId="0AB2C05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1.1.3.9 永久占地包括：</w:t>
      </w:r>
      <w:r>
        <w:rPr>
          <w:rFonts w:hint="eastAsia" w:cs="宋体"/>
          <w:color w:val="auto"/>
          <w:sz w:val="21"/>
          <w:szCs w:val="21"/>
          <w:highlight w:val="none"/>
          <w:u w:val="single"/>
        </w:rPr>
        <w:t xml:space="preserve"> 指发包人为建设本合同工程永久征用的场地</w:t>
      </w:r>
      <w:r>
        <w:rPr>
          <w:rFonts w:hint="eastAsia" w:cs="宋体"/>
          <w:color w:val="auto"/>
          <w:sz w:val="21"/>
          <w:szCs w:val="21"/>
          <w:highlight w:val="none"/>
        </w:rPr>
        <w:t>。</w:t>
      </w:r>
    </w:p>
    <w:p w14:paraId="65E35E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1.1.3.10 临时占地包括：</w:t>
      </w:r>
      <w:r>
        <w:rPr>
          <w:rFonts w:hint="eastAsia" w:cs="宋体"/>
          <w:color w:val="auto"/>
          <w:sz w:val="21"/>
          <w:szCs w:val="21"/>
          <w:highlight w:val="none"/>
          <w:u w:val="single"/>
        </w:rPr>
        <w:t xml:space="preserve"> 指</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为建设本合同工程临时征用，</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在完工后须按合同要求退还的场地；工程施工用地（含地面附着物）由</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负责与工程所在地的乡镇协调解决；</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负责办理永久占地和招标图示的临时用地范围内的征地搬迁工作，向</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提供永久用地和招标图示的临时用地，</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应无条件接受现场条件。永久占地由</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承担，临时用地</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负责协调，费用由</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承担。</w:t>
      </w:r>
      <w:r>
        <w:rPr>
          <w:rFonts w:hint="eastAsia" w:cs="宋体"/>
          <w:color w:val="auto"/>
          <w:sz w:val="21"/>
          <w:szCs w:val="21"/>
          <w:highlight w:val="none"/>
        </w:rPr>
        <w:t>。</w:t>
      </w:r>
    </w:p>
    <w:p w14:paraId="14E3698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 法律 </w:t>
      </w:r>
    </w:p>
    <w:p w14:paraId="4D7E0BA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auto"/>
          <w:sz w:val="21"/>
          <w:szCs w:val="21"/>
          <w:highlight w:val="none"/>
        </w:rPr>
        <w:t>。</w:t>
      </w:r>
    </w:p>
    <w:p w14:paraId="5E01477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 标准和规范</w:t>
      </w:r>
    </w:p>
    <w:p w14:paraId="312350C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1.4.1 适用于工程的标准规范包括：</w:t>
      </w:r>
      <w:r>
        <w:rPr>
          <w:rFonts w:hint="eastAsia" w:cs="宋体"/>
          <w:color w:val="auto"/>
          <w:sz w:val="21"/>
          <w:szCs w:val="21"/>
          <w:highlight w:val="none"/>
          <w:u w:val="single"/>
        </w:rPr>
        <w:t xml:space="preserve"> 国家及工程所在地现行有效的法律法规和规章 </w:t>
      </w:r>
      <w:r>
        <w:rPr>
          <w:rFonts w:hint="eastAsia" w:cs="宋体"/>
          <w:color w:val="auto"/>
          <w:sz w:val="21"/>
          <w:szCs w:val="21"/>
          <w:highlight w:val="none"/>
        </w:rPr>
        <w:t>。</w:t>
      </w:r>
    </w:p>
    <w:p w14:paraId="6FB55527">
      <w:pPr>
        <w:adjustRightInd w:val="0"/>
        <w:snapToGrid w:val="0"/>
        <w:spacing w:line="360" w:lineRule="auto"/>
        <w:ind w:firstLine="420" w:firstLineChars="200"/>
        <w:rPr>
          <w:rFonts w:hint="eastAsia" w:cs="宋体"/>
          <w:color w:val="auto"/>
          <w:sz w:val="21"/>
          <w:szCs w:val="21"/>
          <w:highlight w:val="none"/>
          <w:lang w:eastAsia="zh-CN"/>
        </w:rPr>
      </w:pPr>
      <w:r>
        <w:rPr>
          <w:rFonts w:hint="eastAsia" w:cs="宋体"/>
          <w:color w:val="auto"/>
          <w:sz w:val="21"/>
          <w:szCs w:val="21"/>
          <w:highlight w:val="none"/>
        </w:rPr>
        <w:t>1.4.2 发包人提供国外标准、规范的名称：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lang w:eastAsia="zh-CN"/>
        </w:rPr>
        <w:t>。</w:t>
      </w:r>
    </w:p>
    <w:p w14:paraId="6A1DDA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1.4.3 发包人对工程的技术标准和功能要求的特殊要求：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符合</w:t>
      </w:r>
      <w:r>
        <w:rPr>
          <w:rFonts w:hint="eastAsia" w:cs="宋体"/>
          <w:color w:val="auto"/>
          <w:sz w:val="21"/>
          <w:szCs w:val="21"/>
          <w:highlight w:val="none"/>
          <w:u w:val="single"/>
        </w:rPr>
        <w:t>国家及工程所在地现行有效的</w:t>
      </w:r>
      <w:r>
        <w:rPr>
          <w:rFonts w:hint="eastAsia" w:cs="宋体"/>
          <w:color w:val="auto"/>
          <w:sz w:val="21"/>
          <w:szCs w:val="21"/>
          <w:highlight w:val="none"/>
          <w:u w:val="single"/>
          <w:lang w:val="en-US" w:eastAsia="zh-CN"/>
        </w:rPr>
        <w:t>的技术标准和采购文件的要求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A3F387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2B43E8BE">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合同文件组成及优先顺序为：</w:t>
      </w:r>
      <w:r>
        <w:rPr>
          <w:rFonts w:hint="eastAsia" w:cs="宋体"/>
          <w:color w:val="auto"/>
          <w:sz w:val="21"/>
          <w:szCs w:val="21"/>
          <w:highlight w:val="none"/>
          <w:u w:val="single"/>
        </w:rPr>
        <w:t xml:space="preserve"> 组成合同的各项文件应互相解释，互为说明。除专用合同条款另有约定外，解释合同文件的优先顺序如下：</w:t>
      </w:r>
    </w:p>
    <w:p w14:paraId="6D75D986">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(l）合同协议书；</w:t>
      </w:r>
    </w:p>
    <w:p w14:paraId="41A70C92">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(2）中标通知书；</w:t>
      </w:r>
    </w:p>
    <w:p w14:paraId="7ED74855">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(3）</w:t>
      </w:r>
      <w:r>
        <w:rPr>
          <w:rFonts w:hint="eastAsia" w:cs="宋体"/>
          <w:color w:val="auto"/>
          <w:sz w:val="21"/>
          <w:szCs w:val="21"/>
          <w:highlight w:val="none"/>
          <w:u w:val="single"/>
          <w:lang w:val="en-US" w:eastAsia="zh-CN"/>
        </w:rPr>
        <w:t>磋商响应</w:t>
      </w:r>
      <w:r>
        <w:rPr>
          <w:rFonts w:hint="eastAsia" w:cs="宋体"/>
          <w:color w:val="auto"/>
          <w:sz w:val="21"/>
          <w:szCs w:val="21"/>
          <w:highlight w:val="none"/>
          <w:u w:val="single"/>
        </w:rPr>
        <w:t>函及</w:t>
      </w:r>
      <w:r>
        <w:rPr>
          <w:rFonts w:hint="eastAsia" w:cs="宋体"/>
          <w:color w:val="auto"/>
          <w:sz w:val="21"/>
          <w:szCs w:val="21"/>
          <w:highlight w:val="none"/>
          <w:u w:val="single"/>
          <w:lang w:val="en-US" w:eastAsia="zh-CN"/>
        </w:rPr>
        <w:t>最后承诺报价表</w:t>
      </w:r>
      <w:r>
        <w:rPr>
          <w:rFonts w:hint="eastAsia" w:cs="宋体"/>
          <w:color w:val="auto"/>
          <w:sz w:val="21"/>
          <w:szCs w:val="21"/>
          <w:highlight w:val="none"/>
          <w:u w:val="single"/>
        </w:rPr>
        <w:t>；</w:t>
      </w:r>
    </w:p>
    <w:p w14:paraId="1FBA34A9">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(4）专用合同条款；</w:t>
      </w:r>
    </w:p>
    <w:p w14:paraId="2E323A8A">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(5）通用合同条款；</w:t>
      </w:r>
    </w:p>
    <w:p w14:paraId="3AD4737E">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(6）技术标准和要求；</w:t>
      </w:r>
    </w:p>
    <w:p w14:paraId="1BF3AF0C">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(7）图纸；</w:t>
      </w:r>
    </w:p>
    <w:p w14:paraId="7D5648CF">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(8）已标价工程量清单</w:t>
      </w:r>
      <w:r>
        <w:rPr>
          <w:rFonts w:hint="eastAsia" w:cs="宋体"/>
          <w:color w:val="auto"/>
          <w:sz w:val="21"/>
          <w:szCs w:val="21"/>
          <w:highlight w:val="none"/>
          <w:u w:val="single"/>
          <w:lang w:eastAsia="zh-CN"/>
        </w:rPr>
        <w:t>（</w:t>
      </w:r>
      <w:r>
        <w:rPr>
          <w:rFonts w:hint="eastAsia" w:cs="宋体"/>
          <w:color w:val="auto"/>
          <w:sz w:val="21"/>
          <w:szCs w:val="21"/>
          <w:highlight w:val="none"/>
          <w:u w:val="single"/>
          <w:lang w:val="en-US" w:eastAsia="zh-CN"/>
        </w:rPr>
        <w:t>并按照最后承诺报价表下浮后）</w:t>
      </w:r>
      <w:r>
        <w:rPr>
          <w:rFonts w:hint="eastAsia" w:cs="宋体"/>
          <w:color w:val="auto"/>
          <w:sz w:val="21"/>
          <w:szCs w:val="21"/>
          <w:highlight w:val="none"/>
          <w:u w:val="single"/>
        </w:rPr>
        <w:t>；</w:t>
      </w:r>
    </w:p>
    <w:p w14:paraId="5FA2336F">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u w:val="single"/>
        </w:rPr>
        <w:t xml:space="preserve">(9) 其他合同文件。 </w:t>
      </w:r>
    </w:p>
    <w:p w14:paraId="19A4983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 图纸和承包人文件</w:t>
      </w:r>
      <w:r>
        <w:rPr>
          <w:rFonts w:hint="eastAsia" w:cs="宋体"/>
          <w:bCs/>
          <w:color w:val="auto"/>
          <w:sz w:val="21"/>
          <w:szCs w:val="21"/>
          <w:highlight w:val="none"/>
        </w:rPr>
        <w:tab/>
      </w:r>
    </w:p>
    <w:p w14:paraId="58294BE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 图纸的提供和交底</w:t>
      </w:r>
    </w:p>
    <w:p w14:paraId="64007B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CB2C2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 xml:space="preserve">提供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套（含</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 xml:space="preserve">图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套），不足的由承包人自行复制，费用自理；</w:t>
      </w:r>
    </w:p>
    <w:p w14:paraId="52E969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F50D6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1.6.4 承包人文件</w:t>
      </w:r>
    </w:p>
    <w:p w14:paraId="1BDFF5C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需要由承包人提供的文件，包括：</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453B07">
      <w:pPr>
        <w:adjustRightInd w:val="0"/>
        <w:snapToGrid w:val="0"/>
        <w:spacing w:line="360" w:lineRule="auto"/>
        <w:ind w:firstLine="420" w:firstLineChars="200"/>
        <w:rPr>
          <w:rFonts w:cs="宋体"/>
          <w:b/>
          <w:bCs/>
          <w:color w:val="auto"/>
          <w:sz w:val="21"/>
          <w:szCs w:val="21"/>
          <w:highlight w:val="none"/>
        </w:rPr>
      </w:pPr>
      <w:r>
        <w:rPr>
          <w:rFonts w:hint="eastAsia" w:cs="宋体"/>
          <w:color w:val="auto"/>
          <w:sz w:val="21"/>
          <w:szCs w:val="21"/>
          <w:highlight w:val="none"/>
        </w:rPr>
        <w:t>承包人提供的文件的期限为：</w:t>
      </w:r>
      <w:r>
        <w:rPr>
          <w:rFonts w:hint="eastAsia" w:cs="宋体"/>
          <w:b/>
          <w:bCs/>
          <w:color w:val="auto"/>
          <w:sz w:val="21"/>
          <w:szCs w:val="21"/>
          <w:highlight w:val="none"/>
          <w:u w:val="single"/>
        </w:rPr>
        <w:t xml:space="preserve"> 执行通用条款 </w:t>
      </w:r>
      <w:r>
        <w:rPr>
          <w:rFonts w:hint="eastAsia" w:cs="宋体"/>
          <w:b/>
          <w:bCs/>
          <w:color w:val="auto"/>
          <w:sz w:val="21"/>
          <w:szCs w:val="21"/>
          <w:highlight w:val="none"/>
        </w:rPr>
        <w:t>；</w:t>
      </w:r>
    </w:p>
    <w:p w14:paraId="41B9A06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承包人提供的文件的数量为：</w:t>
      </w:r>
      <w:r>
        <w:rPr>
          <w:rFonts w:hint="eastAsia" w:cs="宋体"/>
          <w:color w:val="auto"/>
          <w:sz w:val="21"/>
          <w:szCs w:val="21"/>
          <w:highlight w:val="none"/>
          <w:u w:val="single"/>
        </w:rPr>
        <w:t xml:space="preserve"> </w:t>
      </w:r>
      <w:r>
        <w:rPr>
          <w:rFonts w:hint="eastAsia" w:cs="宋体"/>
          <w:b/>
          <w:bCs/>
          <w:color w:val="auto"/>
          <w:sz w:val="21"/>
          <w:szCs w:val="21"/>
          <w:highlight w:val="none"/>
          <w:u w:val="single"/>
          <w:lang w:val="en-US" w:eastAsia="zh-CN"/>
        </w:rPr>
        <w:t>电子版一套，纸质版每包2套</w:t>
      </w:r>
      <w:r>
        <w:rPr>
          <w:rFonts w:hint="eastAsia" w:cs="宋体"/>
          <w:b/>
          <w:bCs/>
          <w:color w:val="auto"/>
          <w:sz w:val="21"/>
          <w:szCs w:val="21"/>
          <w:highlight w:val="none"/>
          <w:u w:val="single"/>
        </w:rPr>
        <w:t xml:space="preserve"> </w:t>
      </w:r>
      <w:r>
        <w:rPr>
          <w:rFonts w:hint="eastAsia" w:cs="宋体"/>
          <w:color w:val="auto"/>
          <w:sz w:val="21"/>
          <w:szCs w:val="21"/>
          <w:highlight w:val="none"/>
        </w:rPr>
        <w:t>；</w:t>
      </w:r>
    </w:p>
    <w:p w14:paraId="4DE4771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承包人提供的文件的形式为：</w:t>
      </w:r>
      <w:r>
        <w:rPr>
          <w:rFonts w:hint="eastAsia" w:cs="宋体"/>
          <w:color w:val="auto"/>
          <w:sz w:val="21"/>
          <w:szCs w:val="21"/>
          <w:highlight w:val="none"/>
          <w:u w:val="single"/>
        </w:rPr>
        <w:t xml:space="preserve"> </w:t>
      </w:r>
      <w:r>
        <w:rPr>
          <w:rFonts w:hint="eastAsia" w:cs="宋体"/>
          <w:b/>
          <w:bCs/>
          <w:color w:val="auto"/>
          <w:sz w:val="21"/>
          <w:szCs w:val="21"/>
          <w:highlight w:val="none"/>
          <w:u w:val="single"/>
          <w:lang w:val="en-US" w:eastAsia="zh-CN"/>
        </w:rPr>
        <w:t>电子版一套，纸质版每包2套</w:t>
      </w:r>
      <w:r>
        <w:rPr>
          <w:rFonts w:hint="eastAsia" w:cs="宋体"/>
          <w:b/>
          <w:bCs/>
          <w:color w:val="auto"/>
          <w:sz w:val="21"/>
          <w:szCs w:val="21"/>
          <w:highlight w:val="none"/>
          <w:u w:val="single"/>
        </w:rPr>
        <w:t xml:space="preserve">  </w:t>
      </w:r>
      <w:r>
        <w:rPr>
          <w:rFonts w:hint="eastAsia" w:cs="宋体"/>
          <w:b/>
          <w:bCs/>
          <w:color w:val="auto"/>
          <w:sz w:val="21"/>
          <w:szCs w:val="21"/>
          <w:highlight w:val="none"/>
        </w:rPr>
        <w:t>；</w:t>
      </w:r>
    </w:p>
    <w:p w14:paraId="22FB29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发包人审批承包人文件的期限：</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 xml:space="preserve">执行通用条款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A692F4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1.6.5 图纸和承包人文件的保管</w:t>
      </w:r>
    </w:p>
    <w:p w14:paraId="1E91881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05D1A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 联络</w:t>
      </w:r>
    </w:p>
    <w:p w14:paraId="1BCFA2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57CC08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发包人指定地点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2A399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98782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承包人接收文件的地点：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发包人指定地点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7BBFA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380BBD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监理人接收文件的地点：</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5C2EAAC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监理人指定的接收人为：</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0D11B25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1.10 交通运输</w:t>
      </w:r>
    </w:p>
    <w:p w14:paraId="1A4666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1.10.1 出入现场的权利</w:t>
      </w:r>
    </w:p>
    <w:p w14:paraId="1B9E5F2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关于出入现场的权利的约定：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非本项目相关人员不得随意出入</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7CC43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1.10.3 场内交通</w:t>
      </w:r>
    </w:p>
    <w:p w14:paraId="157A9CC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cs="宋体"/>
          <w:color w:val="auto"/>
          <w:sz w:val="21"/>
          <w:szCs w:val="21"/>
          <w:highlight w:val="none"/>
          <w:u w:val="single"/>
        </w:rPr>
        <w:t xml:space="preserve"> 承包人在进行合同约定的各项工作时，不得侵害发包人与他人使用公用道路、水源、市政管网等公共设施的权利，避免对邻近的公共设施产生干扰。承包人占用或使用他人的施工场地，影响他人作业或生活的，应承担相应责任 </w:t>
      </w:r>
      <w:r>
        <w:rPr>
          <w:rFonts w:hint="eastAsia" w:cs="宋体"/>
          <w:color w:val="auto"/>
          <w:sz w:val="21"/>
          <w:szCs w:val="21"/>
          <w:highlight w:val="none"/>
        </w:rPr>
        <w:t>。</w:t>
      </w:r>
    </w:p>
    <w:p w14:paraId="62A295AC">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关于发包人向承包人免费提供满足工程施工需要的场内道路和交通设施的约定：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发包</w:t>
      </w:r>
      <w:r>
        <w:rPr>
          <w:rFonts w:hint="eastAsia" w:cs="宋体"/>
          <w:color w:val="auto"/>
          <w:sz w:val="21"/>
          <w:szCs w:val="21"/>
          <w:highlight w:val="none"/>
          <w:u w:val="single"/>
        </w:rPr>
        <w:t>人应</w:t>
      </w:r>
      <w:r>
        <w:rPr>
          <w:rFonts w:hint="eastAsia" w:cs="宋体"/>
          <w:color w:val="auto"/>
          <w:sz w:val="21"/>
          <w:szCs w:val="21"/>
          <w:highlight w:val="none"/>
          <w:u w:val="single"/>
          <w:lang w:val="en-US" w:eastAsia="zh-CN"/>
        </w:rPr>
        <w:t>为</w:t>
      </w:r>
      <w:r>
        <w:rPr>
          <w:rFonts w:hint="eastAsia" w:cs="宋体"/>
          <w:color w:val="auto"/>
          <w:sz w:val="21"/>
          <w:szCs w:val="21"/>
          <w:highlight w:val="none"/>
          <w:u w:val="single"/>
        </w:rPr>
        <w:t>在施工场地或附近实施与工程有关的其他各项工作提供可能的条件。</w:t>
      </w:r>
    </w:p>
    <w:p w14:paraId="1F8155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1.10.4 超大件和超重件的运输</w:t>
      </w:r>
    </w:p>
    <w:p w14:paraId="3169BD0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 xml:space="preserve"> </w:t>
      </w:r>
      <w:r>
        <w:rPr>
          <w:rFonts w:hint="eastAsia" w:cs="宋体"/>
          <w:color w:val="auto"/>
          <w:sz w:val="21"/>
          <w:szCs w:val="21"/>
          <w:highlight w:val="none"/>
        </w:rPr>
        <w:t>承担。</w:t>
      </w:r>
    </w:p>
    <w:p w14:paraId="5747A59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知识产权</w:t>
      </w:r>
    </w:p>
    <w:p w14:paraId="2C4AD08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BD7A72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6F963D3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1414C4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BAE0A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EBE22D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6AE5EB30">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出现工程量清单错误时，是否调整合同价格：</w:t>
      </w:r>
      <w:r>
        <w:rPr>
          <w:rFonts w:hint="eastAsia" w:cs="宋体"/>
          <w:color w:val="auto"/>
          <w:sz w:val="21"/>
          <w:szCs w:val="21"/>
          <w:highlight w:val="none"/>
          <w:u w:val="single"/>
        </w:rPr>
        <w:t xml:space="preserve">  除专用合同条款另有约定外，发包人提供的工程量清单，应被认为是准确的和完整的。出现下列情形之一时，发包人应予以修正，并相应调整合同价格：</w:t>
      </w:r>
    </w:p>
    <w:p w14:paraId="2DD52084">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（1）工程量清单存在缺项、漏项的；</w:t>
      </w:r>
    </w:p>
    <w:p w14:paraId="2F097610">
      <w:pPr>
        <w:adjustRightInd w:val="0"/>
        <w:snapToGrid w:val="0"/>
        <w:spacing w:line="360" w:lineRule="auto"/>
        <w:ind w:firstLine="420" w:firstLineChars="200"/>
        <w:rPr>
          <w:rFonts w:cs="宋体"/>
          <w:b/>
          <w:bCs/>
          <w:i/>
          <w:iCs/>
          <w:color w:val="auto"/>
          <w:kern w:val="2"/>
          <w:sz w:val="21"/>
          <w:szCs w:val="21"/>
          <w:highlight w:val="none"/>
        </w:rPr>
      </w:pPr>
      <w:r>
        <w:rPr>
          <w:rFonts w:hint="eastAsia" w:cs="宋体"/>
          <w:color w:val="auto"/>
          <w:sz w:val="21"/>
          <w:szCs w:val="21"/>
          <w:highlight w:val="none"/>
          <w:u w:val="single"/>
        </w:rPr>
        <w:t>（</w:t>
      </w:r>
      <w:r>
        <w:rPr>
          <w:rFonts w:hint="eastAsia" w:cs="宋体"/>
          <w:color w:val="auto"/>
          <w:sz w:val="21"/>
          <w:szCs w:val="21"/>
          <w:highlight w:val="none"/>
          <w:u w:val="single"/>
          <w:lang w:val="en-US" w:eastAsia="zh-CN"/>
        </w:rPr>
        <w:t>2</w:t>
      </w:r>
      <w:r>
        <w:rPr>
          <w:rFonts w:hint="eastAsia" w:cs="宋体"/>
          <w:color w:val="auto"/>
          <w:sz w:val="21"/>
          <w:szCs w:val="21"/>
          <w:highlight w:val="none"/>
          <w:u w:val="single"/>
        </w:rPr>
        <w:t>）未按照国家现行计量规范强制性规定计量的。</w:t>
      </w:r>
      <w:r>
        <w:rPr>
          <w:rFonts w:hint="eastAsia" w:cs="宋体"/>
          <w:b/>
          <w:bCs/>
          <w:i/>
          <w:iCs/>
          <w:color w:val="auto"/>
          <w:kern w:val="2"/>
          <w:sz w:val="21"/>
          <w:szCs w:val="21"/>
          <w:highlight w:val="none"/>
        </w:rPr>
        <w:t xml:space="preserve"> </w:t>
      </w:r>
    </w:p>
    <w:p w14:paraId="7F619769">
      <w:pPr>
        <w:adjustRightInd w:val="0"/>
        <w:snapToGrid w:val="0"/>
        <w:spacing w:line="360" w:lineRule="auto"/>
        <w:ind w:firstLine="420" w:firstLineChars="200"/>
        <w:rPr>
          <w:rFonts w:cs="宋体"/>
          <w:b/>
          <w:bCs/>
          <w:i/>
          <w:iCs/>
          <w:color w:val="auto"/>
          <w:kern w:val="2"/>
          <w:sz w:val="21"/>
          <w:szCs w:val="21"/>
          <w:highlight w:val="none"/>
          <w:shd w:val="clear" w:color="FFFFFF" w:fill="D9D9D9"/>
        </w:rPr>
      </w:pPr>
      <w:r>
        <w:rPr>
          <w:rFonts w:hint="eastAsia" w:cs="宋体"/>
          <w:color w:val="auto"/>
          <w:sz w:val="21"/>
          <w:szCs w:val="21"/>
          <w:highlight w:val="none"/>
        </w:rPr>
        <w:t>允许调整合同价格的工程量偏差范围：</w:t>
      </w:r>
      <w:r>
        <w:rPr>
          <w:rFonts w:hint="eastAsia" w:cs="宋体"/>
          <w:color w:val="auto"/>
          <w:sz w:val="21"/>
          <w:szCs w:val="21"/>
          <w:highlight w:val="none"/>
          <w:u w:val="single"/>
          <w:lang w:val="en-US" w:eastAsia="zh-CN"/>
        </w:rPr>
        <w:t>/</w:t>
      </w:r>
      <w:r>
        <w:rPr>
          <w:rFonts w:hint="eastAsia" w:cs="宋体"/>
          <w:b/>
          <w:bCs/>
          <w:i/>
          <w:iCs/>
          <w:color w:val="auto"/>
          <w:kern w:val="2"/>
          <w:sz w:val="21"/>
          <w:szCs w:val="21"/>
          <w:highlight w:val="none"/>
        </w:rPr>
        <w:t xml:space="preserve"> （备注：与合同补充条款相对应）。</w:t>
      </w:r>
    </w:p>
    <w:p w14:paraId="573B27E2">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2. 发包人</w:t>
      </w:r>
    </w:p>
    <w:p w14:paraId="0F03D1C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2.2 发包人代表</w:t>
      </w:r>
    </w:p>
    <w:p w14:paraId="0FC0BFA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发包人代表：</w:t>
      </w:r>
    </w:p>
    <w:p w14:paraId="35061BA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9808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12683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D932B9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A889C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4D0CF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230779C">
      <w:pPr>
        <w:adjustRightInd w:val="0"/>
        <w:snapToGrid w:val="0"/>
        <w:spacing w:line="360" w:lineRule="auto"/>
        <w:ind w:firstLine="420" w:firstLineChars="200"/>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B3DC10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4E1BBCC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2.4.1 提供施工现场</w:t>
      </w:r>
    </w:p>
    <w:p w14:paraId="2C0B3B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cs="宋体"/>
          <w:color w:val="auto"/>
          <w:sz w:val="21"/>
          <w:szCs w:val="21"/>
          <w:highlight w:val="none"/>
          <w:u w:val="single"/>
        </w:rPr>
        <w:t>开工日期7天前</w:t>
      </w:r>
      <w:r>
        <w:rPr>
          <w:rFonts w:hint="eastAsia" w:cs="宋体"/>
          <w:color w:val="auto"/>
          <w:sz w:val="21"/>
          <w:szCs w:val="21"/>
          <w:highlight w:val="none"/>
        </w:rPr>
        <w:t>。</w:t>
      </w:r>
    </w:p>
    <w:p w14:paraId="6FF3F45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2.4.2 提供施工条件</w:t>
      </w:r>
    </w:p>
    <w:p w14:paraId="3E3A1C1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cs="宋体"/>
          <w:b/>
          <w:bCs/>
          <w:color w:val="auto"/>
          <w:sz w:val="21"/>
          <w:szCs w:val="21"/>
          <w:highlight w:val="none"/>
          <w:u w:val="single"/>
        </w:rPr>
        <w:t>执行通用条款。</w:t>
      </w:r>
    </w:p>
    <w:p w14:paraId="7951416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3CBA5B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58BF0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14585B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14E3EAE">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3. 承包人</w:t>
      </w:r>
    </w:p>
    <w:p w14:paraId="7A7C85A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3.1 承包人的一般义务</w:t>
      </w:r>
    </w:p>
    <w:p w14:paraId="04FC9B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（9）承包人提交的</w:t>
      </w:r>
      <w:r>
        <w:rPr>
          <w:rFonts w:hint="eastAsia" w:cs="宋体"/>
          <w:color w:val="auto"/>
          <w:sz w:val="21"/>
          <w:szCs w:val="21"/>
          <w:highlight w:val="none"/>
          <w:lang w:eastAsia="zh-CN"/>
        </w:rPr>
        <w:t>完工</w:t>
      </w:r>
      <w:r>
        <w:rPr>
          <w:rFonts w:hint="eastAsia" w:cs="宋体"/>
          <w:color w:val="auto"/>
          <w:sz w:val="21"/>
          <w:szCs w:val="21"/>
          <w:highlight w:val="none"/>
        </w:rPr>
        <w:t>资料的内容：</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7ADF72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承包人需要提交的</w:t>
      </w:r>
      <w:r>
        <w:rPr>
          <w:rFonts w:hint="eastAsia" w:cs="宋体"/>
          <w:color w:val="auto"/>
          <w:sz w:val="21"/>
          <w:szCs w:val="21"/>
          <w:highlight w:val="none"/>
          <w:lang w:eastAsia="zh-CN"/>
        </w:rPr>
        <w:t>完工</w:t>
      </w:r>
      <w:r>
        <w:rPr>
          <w:rFonts w:hint="eastAsia" w:cs="宋体"/>
          <w:color w:val="auto"/>
          <w:sz w:val="21"/>
          <w:szCs w:val="21"/>
          <w:highlight w:val="none"/>
        </w:rPr>
        <w:t>资料套数：</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BAF9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w:t>
      </w:r>
      <w:r>
        <w:rPr>
          <w:rFonts w:hint="eastAsia" w:cs="宋体"/>
          <w:color w:val="auto"/>
          <w:sz w:val="21"/>
          <w:szCs w:val="21"/>
          <w:highlight w:val="none"/>
          <w:lang w:eastAsia="zh-CN"/>
        </w:rPr>
        <w:t>完工</w:t>
      </w:r>
      <w:r>
        <w:rPr>
          <w:rFonts w:hint="eastAsia" w:cs="宋体"/>
          <w:color w:val="auto"/>
          <w:sz w:val="21"/>
          <w:szCs w:val="21"/>
          <w:highlight w:val="none"/>
        </w:rPr>
        <w:t>资料的费用承担：</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1AE4D4C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w:t>
      </w:r>
      <w:r>
        <w:rPr>
          <w:rFonts w:hint="eastAsia" w:cs="宋体"/>
          <w:color w:val="auto"/>
          <w:sz w:val="21"/>
          <w:szCs w:val="21"/>
          <w:highlight w:val="none"/>
          <w:lang w:eastAsia="zh-CN"/>
        </w:rPr>
        <w:t>完工</w:t>
      </w:r>
      <w:r>
        <w:rPr>
          <w:rFonts w:hint="eastAsia" w:cs="宋体"/>
          <w:color w:val="auto"/>
          <w:sz w:val="21"/>
          <w:szCs w:val="21"/>
          <w:highlight w:val="none"/>
        </w:rPr>
        <w:t>资料移交时间：</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643F6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w:t>
      </w:r>
      <w:r>
        <w:rPr>
          <w:rFonts w:hint="eastAsia" w:cs="宋体"/>
          <w:color w:val="auto"/>
          <w:sz w:val="21"/>
          <w:szCs w:val="21"/>
          <w:highlight w:val="none"/>
          <w:lang w:eastAsia="zh-CN"/>
        </w:rPr>
        <w:t>完工</w:t>
      </w:r>
      <w:r>
        <w:rPr>
          <w:rFonts w:hint="eastAsia" w:cs="宋体"/>
          <w:color w:val="auto"/>
          <w:sz w:val="21"/>
          <w:szCs w:val="21"/>
          <w:highlight w:val="none"/>
        </w:rPr>
        <w:t>资料形式要求：</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8AE8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（10）承包人应履行的其他义务：</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420AD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3.2 项目经理</w:t>
      </w:r>
    </w:p>
    <w:p w14:paraId="25B0B4F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3.2.1 项目经理：</w:t>
      </w:r>
    </w:p>
    <w:p w14:paraId="6C41E71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5D4CFF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B20C09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9D7C9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B8280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3C043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CDB26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1E443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573E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BF01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D20B7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cs="宋体"/>
          <w:color w:val="auto"/>
          <w:sz w:val="21"/>
          <w:szCs w:val="21"/>
          <w:highlight w:val="none"/>
          <w:u w:val="single"/>
        </w:rPr>
        <w:t>见《专用合同条款数据表》。</w:t>
      </w:r>
    </w:p>
    <w:p w14:paraId="290A0C86">
      <w:pPr>
        <w:adjustRightInd w:val="0"/>
        <w:snapToGrid w:val="0"/>
        <w:spacing w:line="360" w:lineRule="auto"/>
        <w:ind w:firstLine="420" w:firstLineChars="200"/>
        <w:rPr>
          <w:rFonts w:cs="宋体"/>
          <w:b/>
          <w:bCs/>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向发包人支付人民币</w:t>
      </w:r>
      <w:r>
        <w:rPr>
          <w:rFonts w:hint="eastAsia" w:cs="宋体"/>
          <w:b/>
          <w:bCs/>
          <w:color w:val="auto"/>
          <w:sz w:val="21"/>
          <w:szCs w:val="21"/>
          <w:highlight w:val="none"/>
          <w:u w:val="single"/>
          <w:lang w:val="en-US" w:eastAsia="zh-CN"/>
        </w:rPr>
        <w:t>壹</w:t>
      </w:r>
      <w:r>
        <w:rPr>
          <w:rFonts w:hint="eastAsia" w:cs="宋体"/>
          <w:b/>
          <w:bCs/>
          <w:color w:val="auto"/>
          <w:sz w:val="21"/>
          <w:szCs w:val="21"/>
          <w:highlight w:val="none"/>
          <w:u w:val="single"/>
        </w:rPr>
        <w:t>万元的违约金，违约金从履约保证金中扣除</w:t>
      </w:r>
      <w:r>
        <w:rPr>
          <w:rFonts w:hint="eastAsia" w:cs="宋体"/>
          <w:b/>
          <w:bCs/>
          <w:color w:val="auto"/>
          <w:sz w:val="21"/>
          <w:szCs w:val="21"/>
          <w:highlight w:val="none"/>
          <w:u w:val="single"/>
          <w:lang w:eastAsia="zh-CN"/>
        </w:rPr>
        <w:t>，</w:t>
      </w:r>
      <w:r>
        <w:rPr>
          <w:rFonts w:hint="eastAsia" w:cs="宋体"/>
          <w:b/>
          <w:bCs/>
          <w:color w:val="auto"/>
          <w:sz w:val="21"/>
          <w:szCs w:val="21"/>
          <w:highlight w:val="none"/>
          <w:u w:val="single"/>
          <w:lang w:val="en-US" w:eastAsia="zh-CN"/>
        </w:rPr>
        <w:t>同时发包人有权解除合同</w:t>
      </w:r>
      <w:r>
        <w:rPr>
          <w:rFonts w:hint="eastAsia" w:cs="宋体"/>
          <w:b/>
          <w:bCs/>
          <w:color w:val="auto"/>
          <w:sz w:val="21"/>
          <w:szCs w:val="21"/>
          <w:highlight w:val="none"/>
          <w:u w:val="single"/>
        </w:rPr>
        <w:t xml:space="preserve">  </w:t>
      </w:r>
      <w:r>
        <w:rPr>
          <w:rFonts w:hint="eastAsia" w:cs="宋体"/>
          <w:b/>
          <w:bCs/>
          <w:color w:val="auto"/>
          <w:sz w:val="21"/>
          <w:szCs w:val="21"/>
          <w:highlight w:val="none"/>
        </w:rPr>
        <w:t>。</w:t>
      </w:r>
    </w:p>
    <w:p w14:paraId="2D94CF6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55238D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3.2.3 承包人擅自更换项目经理的违约责任：</w:t>
      </w:r>
    </w:p>
    <w:p w14:paraId="6F0B43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49D9EE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u w:val="single"/>
        </w:rPr>
        <w:t xml:space="preserve"> 向发包人支付人民币</w:t>
      </w:r>
      <w:r>
        <w:rPr>
          <w:rFonts w:hint="eastAsia" w:cs="宋体"/>
          <w:b/>
          <w:bCs/>
          <w:color w:val="auto"/>
          <w:sz w:val="21"/>
          <w:szCs w:val="21"/>
          <w:highlight w:val="none"/>
          <w:u w:val="single"/>
          <w:lang w:val="en-US" w:eastAsia="zh-CN"/>
        </w:rPr>
        <w:t>壹</w:t>
      </w:r>
      <w:r>
        <w:rPr>
          <w:rFonts w:hint="eastAsia" w:cs="宋体"/>
          <w:color w:val="auto"/>
          <w:sz w:val="21"/>
          <w:szCs w:val="21"/>
          <w:highlight w:val="none"/>
          <w:u w:val="single"/>
        </w:rPr>
        <w:t>万元违约金，同时承包人承担上述违约给发包人造成的一切损失。</w:t>
      </w:r>
    </w:p>
    <w:p w14:paraId="4605FCB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3.3 承包人人员</w:t>
      </w:r>
    </w:p>
    <w:p w14:paraId="4477A5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cs="宋体"/>
          <w:color w:val="auto"/>
          <w:sz w:val="21"/>
          <w:szCs w:val="21"/>
          <w:highlight w:val="none"/>
          <w:u w:val="single"/>
          <w:lang w:val="en-US" w:eastAsia="zh-CN"/>
        </w:rPr>
        <w:t>合同签订时提供</w:t>
      </w:r>
      <w:r>
        <w:rPr>
          <w:rFonts w:hint="eastAsia" w:cs="宋体"/>
          <w:color w:val="auto"/>
          <w:sz w:val="21"/>
          <w:szCs w:val="21"/>
          <w:highlight w:val="none"/>
        </w:rPr>
        <w:t>。</w:t>
      </w:r>
    </w:p>
    <w:p w14:paraId="43C586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rPr>
        <w:t xml:space="preserve"> 发包人有权解除合同，由此造成的损失由承包人自行承担，承包人还应赔偿由此造成发包人的全部损失。 </w:t>
      </w:r>
      <w:r>
        <w:rPr>
          <w:rFonts w:hint="eastAsia" w:cs="宋体"/>
          <w:color w:val="auto"/>
          <w:sz w:val="21"/>
          <w:szCs w:val="21"/>
          <w:highlight w:val="none"/>
        </w:rPr>
        <w:t>。</w:t>
      </w:r>
    </w:p>
    <w:p w14:paraId="31FE264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192DE41D">
      <w:pPr>
        <w:adjustRightInd w:val="0"/>
        <w:snapToGrid w:val="0"/>
        <w:spacing w:line="360" w:lineRule="auto"/>
        <w:ind w:firstLine="424" w:firstLineChars="202"/>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3B7E12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1E7A962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3.5 分包</w:t>
      </w:r>
    </w:p>
    <w:p w14:paraId="36DCDB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3.5.1 分包的一般约定</w:t>
      </w:r>
    </w:p>
    <w:p w14:paraId="48F63C2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10B637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主体结构、关键性工作的范围：</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5831A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3.5.2 分包的确定</w:t>
      </w:r>
    </w:p>
    <w:p w14:paraId="0D57FCC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855307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其他关于分包的约定：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2BE07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3.5.4 分包合同价款</w:t>
      </w:r>
    </w:p>
    <w:p w14:paraId="73D4266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67CF3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1B99D37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rPr>
        <w:t>自发包人向承包人移交施工现场之日起，承包人应负责照管工程及工程相关的材料、工程设备，直到颁发工程接收证书之日止。</w:t>
      </w:r>
    </w:p>
    <w:p w14:paraId="69F1B23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3.7 履约保证金</w:t>
      </w:r>
    </w:p>
    <w:p w14:paraId="2E48C0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承包人是否提供履约保证金：</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1CE1467">
      <w:pPr>
        <w:adjustRightInd w:val="0"/>
        <w:snapToGrid w:val="0"/>
        <w:spacing w:line="360" w:lineRule="auto"/>
        <w:ind w:left="-70" w:leftChars="-35" w:firstLine="497" w:firstLineChars="237"/>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DD2CF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741B14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409EDEB6">
      <w:pPr>
        <w:adjustRightInd w:val="0"/>
        <w:snapToGrid w:val="0"/>
        <w:spacing w:line="360" w:lineRule="auto"/>
        <w:ind w:firstLine="420" w:firstLineChars="200"/>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22606F72">
      <w:pPr>
        <w:snapToGrid w:val="0"/>
        <w:spacing w:before="312" w:beforeLines="100" w:after="312" w:afterLines="100" w:line="360" w:lineRule="auto"/>
        <w:outlineLvl w:val="2"/>
        <w:rPr>
          <w:rFonts w:hint="eastAsia" w:cs="宋体"/>
          <w:bCs/>
          <w:color w:val="auto"/>
          <w:sz w:val="21"/>
          <w:szCs w:val="21"/>
          <w:highlight w:val="none"/>
          <w:lang w:val="en-US" w:eastAsia="zh-CN"/>
        </w:rPr>
      </w:pPr>
      <w:r>
        <w:rPr>
          <w:rFonts w:hint="eastAsia" w:cs="宋体"/>
          <w:color w:val="auto"/>
          <w:sz w:val="21"/>
          <w:szCs w:val="21"/>
          <w:highlight w:val="none"/>
        </w:rPr>
        <w:t>4. 监理人</w:t>
      </w:r>
      <w:r>
        <w:rPr>
          <w:rFonts w:hint="eastAsia" w:cs="宋体"/>
          <w:bCs/>
          <w:color w:val="auto"/>
          <w:sz w:val="21"/>
          <w:szCs w:val="21"/>
          <w:highlight w:val="none"/>
          <w:lang w:val="en-US" w:eastAsia="zh-CN"/>
        </w:rPr>
        <w:t>//</w:t>
      </w:r>
    </w:p>
    <w:p w14:paraId="583127B4">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5. 工程质量</w:t>
      </w:r>
    </w:p>
    <w:p w14:paraId="11A239F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5.1 质量要求</w:t>
      </w:r>
    </w:p>
    <w:p w14:paraId="230FEAB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7F2DB1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5FAF5F">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关于建造要求：</w:t>
      </w:r>
    </w:p>
    <w:p w14:paraId="57573AB5">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127A32D8">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5F7FC3D1">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280AB9AB">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D76C28F">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0B1748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5.3 隐蔽工程检查</w:t>
      </w:r>
    </w:p>
    <w:p w14:paraId="5F66DDC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5.3.2 承包人提前通知监理人隐蔽工程检查的期限的约定：</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8E6A1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监理人不能按时进行检查时，应提前</w:t>
      </w:r>
      <w:r>
        <w:rPr>
          <w:rFonts w:hint="eastAsia" w:cs="宋体"/>
          <w:color w:val="auto"/>
          <w:sz w:val="21"/>
          <w:szCs w:val="21"/>
          <w:highlight w:val="none"/>
          <w:u w:val="single"/>
          <w:lang w:val="en-US" w:eastAsia="zh-CN"/>
        </w:rPr>
        <w:t>/</w:t>
      </w:r>
      <w:r>
        <w:rPr>
          <w:rFonts w:hint="eastAsia" w:cs="宋体"/>
          <w:color w:val="auto"/>
          <w:sz w:val="21"/>
          <w:szCs w:val="21"/>
          <w:highlight w:val="none"/>
        </w:rPr>
        <w:t>小时提交书面延期要求。</w:t>
      </w:r>
    </w:p>
    <w:p w14:paraId="4D5E96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lang w:val="en-US" w:eastAsia="zh-CN"/>
        </w:rPr>
        <w:t>/</w:t>
      </w:r>
      <w:r>
        <w:rPr>
          <w:rFonts w:hint="eastAsia" w:cs="宋体"/>
          <w:color w:val="auto"/>
          <w:sz w:val="21"/>
          <w:szCs w:val="21"/>
          <w:highlight w:val="none"/>
        </w:rPr>
        <w:t>小时。</w:t>
      </w:r>
    </w:p>
    <w:p w14:paraId="2935500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5.4 不合格工程的处理</w:t>
      </w:r>
    </w:p>
    <w:p w14:paraId="465695CD">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本款补充5.4.3项：</w:t>
      </w:r>
    </w:p>
    <w:p w14:paraId="65F73522">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5.4.3 </w:t>
      </w:r>
      <w:r>
        <w:rPr>
          <w:rFonts w:hint="eastAsia" w:cs="宋体"/>
          <w:color w:val="auto"/>
          <w:sz w:val="21"/>
          <w:szCs w:val="21"/>
          <w:highlight w:val="none"/>
          <w:lang w:val="en-US" w:eastAsia="zh-CN"/>
        </w:rPr>
        <w:t>/</w:t>
      </w:r>
      <w:r>
        <w:rPr>
          <w:rFonts w:hint="eastAsia" w:cs="宋体"/>
          <w:color w:val="auto"/>
          <w:sz w:val="21"/>
          <w:szCs w:val="21"/>
          <w:highlight w:val="none"/>
        </w:rPr>
        <w:t>。</w:t>
      </w:r>
    </w:p>
    <w:p w14:paraId="6488F19C">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本条补充5.6款：</w:t>
      </w:r>
    </w:p>
    <w:p w14:paraId="4534F2F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5.6 质量事故的处理</w:t>
      </w:r>
    </w:p>
    <w:p w14:paraId="1B5B2C73">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36580A59">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41D75848">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6. 安全文明施工与环境保护</w:t>
      </w:r>
    </w:p>
    <w:p w14:paraId="4609F9F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6.1 安全文明施工</w:t>
      </w:r>
    </w:p>
    <w:p w14:paraId="223D024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  执行国家、省、市有关</w:t>
      </w:r>
      <w:r>
        <w:rPr>
          <w:rFonts w:hint="eastAsia" w:cs="宋体"/>
          <w:color w:val="auto"/>
          <w:sz w:val="21"/>
          <w:szCs w:val="21"/>
          <w:highlight w:val="none"/>
          <w:u w:val="single"/>
          <w:lang w:val="en-US" w:eastAsia="zh-CN"/>
        </w:rPr>
        <w:t>安全生产</w:t>
      </w:r>
      <w:r>
        <w:rPr>
          <w:rFonts w:hint="eastAsia" w:cs="宋体"/>
          <w:color w:val="auto"/>
          <w:sz w:val="21"/>
          <w:szCs w:val="21"/>
          <w:highlight w:val="none"/>
          <w:u w:val="single"/>
        </w:rPr>
        <w:t xml:space="preserve">规定，确保安全生产的达标  </w:t>
      </w:r>
      <w:r>
        <w:rPr>
          <w:rFonts w:hint="eastAsia" w:cs="宋体"/>
          <w:color w:val="auto"/>
          <w:sz w:val="21"/>
          <w:szCs w:val="21"/>
          <w:highlight w:val="none"/>
        </w:rPr>
        <w:t>。</w:t>
      </w:r>
    </w:p>
    <w:p w14:paraId="299925E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6.1.4 关于治安保卫的特别约定：</w:t>
      </w:r>
      <w:r>
        <w:rPr>
          <w:rFonts w:hint="eastAsia" w:cs="宋体"/>
          <w:color w:val="auto"/>
          <w:sz w:val="21"/>
          <w:szCs w:val="21"/>
          <w:highlight w:val="none"/>
          <w:u w:val="single"/>
        </w:rPr>
        <w:t xml:space="preserve"> 执行国家、省、市有关</w:t>
      </w:r>
      <w:r>
        <w:rPr>
          <w:rFonts w:hint="eastAsia" w:cs="宋体"/>
          <w:color w:val="auto"/>
          <w:sz w:val="21"/>
          <w:szCs w:val="21"/>
          <w:highlight w:val="none"/>
          <w:u w:val="single"/>
          <w:lang w:val="en-US" w:eastAsia="zh-CN"/>
        </w:rPr>
        <w:t>治安保卫</w:t>
      </w:r>
      <w:r>
        <w:rPr>
          <w:rFonts w:hint="eastAsia" w:cs="宋体"/>
          <w:color w:val="auto"/>
          <w:sz w:val="21"/>
          <w:szCs w:val="21"/>
          <w:highlight w:val="none"/>
          <w:u w:val="single"/>
        </w:rPr>
        <w:t xml:space="preserve">规定  </w:t>
      </w:r>
      <w:r>
        <w:rPr>
          <w:rFonts w:hint="eastAsia" w:cs="宋体"/>
          <w:color w:val="auto"/>
          <w:sz w:val="21"/>
          <w:szCs w:val="21"/>
          <w:highlight w:val="none"/>
        </w:rPr>
        <w:t>。</w:t>
      </w:r>
    </w:p>
    <w:p w14:paraId="239EB9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  执行国家、省、市有关</w:t>
      </w:r>
      <w:r>
        <w:rPr>
          <w:rFonts w:hint="eastAsia" w:cs="宋体"/>
          <w:color w:val="auto"/>
          <w:sz w:val="21"/>
          <w:szCs w:val="21"/>
          <w:highlight w:val="none"/>
          <w:u w:val="single"/>
          <w:lang w:val="en-US" w:eastAsia="zh-CN"/>
        </w:rPr>
        <w:t>治安管理规定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0F96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6.1.5 文明施工</w:t>
      </w:r>
    </w:p>
    <w:p w14:paraId="35B6A74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 xml:space="preserve">  执行国家、省、市有关规定，确保文明施工  </w:t>
      </w:r>
      <w:r>
        <w:rPr>
          <w:rFonts w:hint="eastAsia" w:cs="宋体"/>
          <w:color w:val="auto"/>
          <w:sz w:val="21"/>
          <w:szCs w:val="21"/>
          <w:highlight w:val="none"/>
        </w:rPr>
        <w:t>。</w:t>
      </w:r>
    </w:p>
    <w:p w14:paraId="1CFF27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6.1.6 关于安全文明施工费支付比例和支付期限的约定：</w:t>
      </w:r>
      <w:r>
        <w:rPr>
          <w:rFonts w:hint="eastAsia" w:cs="宋体"/>
          <w:color w:val="auto"/>
          <w:sz w:val="21"/>
          <w:szCs w:val="21"/>
          <w:highlight w:val="none"/>
          <w:u w:val="single"/>
        </w:rPr>
        <w:t xml:space="preserve"> 与工程进度款同期支付 </w:t>
      </w:r>
      <w:r>
        <w:rPr>
          <w:rFonts w:hint="eastAsia" w:cs="宋体"/>
          <w:color w:val="auto"/>
          <w:sz w:val="21"/>
          <w:szCs w:val="21"/>
          <w:highlight w:val="none"/>
        </w:rPr>
        <w:t>。</w:t>
      </w:r>
    </w:p>
    <w:p w14:paraId="42A75786">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7. 工期和进度</w:t>
      </w:r>
    </w:p>
    <w:p w14:paraId="2D7D7F7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7.1 施工组织设计</w:t>
      </w:r>
    </w:p>
    <w:p w14:paraId="530AA34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rPr>
        <w:t>总进度计划须含网络图、横道图。</w:t>
      </w:r>
    </w:p>
    <w:p w14:paraId="5A5AA8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7.1.2 施工组织设计的提交和修改</w:t>
      </w:r>
    </w:p>
    <w:p w14:paraId="6D1C48B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4ADDF5F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2CB2223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7.2 施工进度计划</w:t>
      </w:r>
    </w:p>
    <w:p w14:paraId="4332A87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7.2.2 施工进度计划的修订</w:t>
      </w:r>
    </w:p>
    <w:p w14:paraId="4BF1180D">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发包人和监理人在收到修订的施工进度计划后确认或提出修改意见的期限：</w:t>
      </w:r>
      <w:r>
        <w:rPr>
          <w:rFonts w:hint="eastAsia" w:cs="宋体"/>
          <w:color w:val="auto"/>
          <w:sz w:val="21"/>
          <w:szCs w:val="21"/>
          <w:highlight w:val="none"/>
          <w:u w:val="single"/>
        </w:rPr>
        <w:t xml:space="preserve">  执行通用条</w:t>
      </w:r>
    </w:p>
    <w:p w14:paraId="2D9F425B">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款</w:t>
      </w:r>
    </w:p>
    <w:p w14:paraId="0DE533C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w:t>
      </w:r>
    </w:p>
    <w:p w14:paraId="2784583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7.3 开工</w:t>
      </w:r>
    </w:p>
    <w:p w14:paraId="43C8AB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7.3.1 开工准备</w:t>
      </w:r>
    </w:p>
    <w:p w14:paraId="0085DE7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E481FA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4A5BC0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BC7F3F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7.3.2 开工通知</w:t>
      </w:r>
    </w:p>
    <w:p w14:paraId="144891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p w14:paraId="0CB2064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7.4 测量放线</w:t>
      </w:r>
    </w:p>
    <w:p w14:paraId="6EFE2AD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CB014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7.5 工期延误</w:t>
      </w:r>
    </w:p>
    <w:p w14:paraId="426EBE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7.5.1 因发包人原因导致工期延误</w:t>
      </w:r>
    </w:p>
    <w:p w14:paraId="0BB3170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FFB6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7.5.2 因承包人原因导致工期延误</w:t>
      </w:r>
    </w:p>
    <w:p w14:paraId="77982EE1">
      <w:pPr>
        <w:adjustRightInd w:val="0"/>
        <w:snapToGrid w:val="0"/>
        <w:spacing w:line="360" w:lineRule="auto"/>
        <w:ind w:firstLine="422" w:firstLineChars="200"/>
        <w:rPr>
          <w:rFonts w:hint="eastAsia" w:cs="宋体"/>
          <w:b/>
          <w:bCs/>
          <w:strike/>
          <w:dstrike w:val="0"/>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因承包人原因造成工期延误，逾期完工违约金的计算方法为：每延期完工一天，承包人支付发包人签约合同价款的千分之一的违约金；因承包人责任导致工程延期 28 天以上的，每天按签约合同价款的千分之五向发包人支付违约金；延期完工56天以上的，发包人有权解除合同，并追究连带损失。</w:t>
      </w:r>
    </w:p>
    <w:p w14:paraId="4D8105EA">
      <w:pPr>
        <w:adjustRightInd w:val="0"/>
        <w:snapToGrid w:val="0"/>
        <w:spacing w:line="360" w:lineRule="auto"/>
        <w:ind w:firstLine="420" w:firstLineChars="200"/>
        <w:rPr>
          <w:rFonts w:hint="eastAsia" w:ascii="宋体" w:hAnsi="宋体" w:eastAsia="宋体" w:cs="宋体"/>
          <w:b/>
          <w:bCs/>
          <w:color w:val="auto"/>
          <w:sz w:val="21"/>
          <w:szCs w:val="21"/>
          <w:highlight w:val="none"/>
          <w:u w:val="single"/>
          <w:lang w:val="en-US" w:eastAsia="zh-CN"/>
        </w:rPr>
      </w:pPr>
      <w:r>
        <w:rPr>
          <w:rFonts w:hint="eastAsia" w:cs="宋体"/>
          <w:color w:val="auto"/>
          <w:sz w:val="21"/>
          <w:szCs w:val="21"/>
          <w:highlight w:val="none"/>
        </w:rPr>
        <w:t>因承包人原因造成工期延误，逾期</w:t>
      </w:r>
      <w:r>
        <w:rPr>
          <w:rFonts w:hint="eastAsia" w:cs="宋体"/>
          <w:color w:val="auto"/>
          <w:sz w:val="21"/>
          <w:szCs w:val="21"/>
          <w:highlight w:val="none"/>
          <w:lang w:eastAsia="zh-CN"/>
        </w:rPr>
        <w:t>完工</w:t>
      </w:r>
      <w:r>
        <w:rPr>
          <w:rFonts w:hint="eastAsia" w:cs="宋体"/>
          <w:color w:val="auto"/>
          <w:sz w:val="21"/>
          <w:szCs w:val="21"/>
          <w:highlight w:val="none"/>
        </w:rPr>
        <w:t>违约金的上限：</w:t>
      </w:r>
      <w:r>
        <w:rPr>
          <w:rFonts w:hint="eastAsia" w:ascii="宋体" w:hAnsi="宋体" w:eastAsia="宋体" w:cs="宋体"/>
          <w:b/>
          <w:bCs/>
          <w:color w:val="auto"/>
          <w:sz w:val="21"/>
          <w:szCs w:val="21"/>
          <w:highlight w:val="none"/>
          <w:u w:val="single"/>
          <w:lang w:val="en-US" w:eastAsia="zh-CN"/>
        </w:rPr>
        <w:t>违约金最高限额为</w:t>
      </w:r>
      <w:r>
        <w:rPr>
          <w:rFonts w:hint="eastAsia" w:cs="宋体"/>
          <w:b/>
          <w:bCs/>
          <w:color w:val="auto"/>
          <w:sz w:val="21"/>
          <w:szCs w:val="21"/>
          <w:highlight w:val="none"/>
          <w:u w:val="single"/>
          <w:lang w:val="en-US" w:eastAsia="zh-CN"/>
        </w:rPr>
        <w:t>签约</w:t>
      </w:r>
      <w:r>
        <w:rPr>
          <w:rFonts w:hint="eastAsia" w:ascii="宋体" w:hAnsi="宋体" w:eastAsia="宋体" w:cs="宋体"/>
          <w:b/>
          <w:bCs/>
          <w:color w:val="auto"/>
          <w:sz w:val="21"/>
          <w:szCs w:val="21"/>
          <w:highlight w:val="none"/>
          <w:u w:val="single"/>
          <w:lang w:val="en-US" w:eastAsia="zh-CN"/>
        </w:rPr>
        <w:t>合同价款的10%。</w:t>
      </w:r>
    </w:p>
    <w:p w14:paraId="7F1E6A9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7.6 不利物质条件</w:t>
      </w:r>
    </w:p>
    <w:p w14:paraId="01F63AB3">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不利物质条件的其他情形和有关约定：</w:t>
      </w:r>
      <w:r>
        <w:rPr>
          <w:rFonts w:hint="eastAsia" w:cs="宋体"/>
          <w:color w:val="auto"/>
          <w:sz w:val="21"/>
          <w:szCs w:val="21"/>
          <w:highlight w:val="none"/>
          <w:u w:val="single"/>
        </w:rPr>
        <w:t xml:space="preserve"> 执行通用条款</w:t>
      </w:r>
      <w:r>
        <w:rPr>
          <w:rFonts w:hint="eastAsia" w:cs="宋体"/>
          <w:color w:val="auto"/>
          <w:sz w:val="21"/>
          <w:szCs w:val="21"/>
          <w:highlight w:val="none"/>
        </w:rPr>
        <w:t>。</w:t>
      </w:r>
    </w:p>
    <w:p w14:paraId="7EED1C7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7.7 异常恶劣的气候条件</w:t>
      </w:r>
    </w:p>
    <w:p w14:paraId="6957A3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58A0D61E">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（1）平均风力达 10 级以上，或者阵风 12 级以上并可能持续。</w:t>
      </w:r>
    </w:p>
    <w:p w14:paraId="22EC7CF5">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（2）3 小时内降雨量将达 50 毫米以上，或者已达 50 毫米以上且降雨可能</w:t>
      </w:r>
    </w:p>
    <w:p w14:paraId="4CF43C9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持续。</w:t>
      </w:r>
    </w:p>
    <w:p w14:paraId="6DBE6DCC">
      <w:pPr>
        <w:keepNext/>
        <w:keepLines/>
        <w:snapToGrid w:val="0"/>
        <w:spacing w:before="120" w:after="120" w:line="360" w:lineRule="auto"/>
        <w:ind w:firstLine="420" w:firstLineChars="200"/>
        <w:outlineLvl w:val="3"/>
        <w:rPr>
          <w:rFonts w:hint="eastAsia" w:eastAsia="宋体" w:cs="宋体"/>
          <w:bCs/>
          <w:color w:val="auto"/>
          <w:sz w:val="21"/>
          <w:szCs w:val="21"/>
          <w:highlight w:val="none"/>
          <w:lang w:eastAsia="zh-CN"/>
        </w:rPr>
      </w:pPr>
      <w:r>
        <w:rPr>
          <w:rFonts w:hint="eastAsia" w:cs="宋体"/>
          <w:bCs/>
          <w:color w:val="auto"/>
          <w:sz w:val="21"/>
          <w:szCs w:val="21"/>
          <w:highlight w:val="none"/>
        </w:rPr>
        <w:t>7.9 提前</w:t>
      </w:r>
      <w:r>
        <w:rPr>
          <w:rFonts w:hint="eastAsia" w:cs="宋体"/>
          <w:bCs/>
          <w:color w:val="auto"/>
          <w:sz w:val="21"/>
          <w:szCs w:val="21"/>
          <w:highlight w:val="none"/>
          <w:lang w:eastAsia="zh-CN"/>
        </w:rPr>
        <w:t>完工</w:t>
      </w:r>
    </w:p>
    <w:p w14:paraId="7564454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7.9.2 提前</w:t>
      </w:r>
      <w:r>
        <w:rPr>
          <w:rFonts w:hint="eastAsia" w:cs="宋体"/>
          <w:color w:val="auto"/>
          <w:sz w:val="21"/>
          <w:szCs w:val="21"/>
          <w:highlight w:val="none"/>
          <w:lang w:eastAsia="zh-CN"/>
        </w:rPr>
        <w:t>完工</w:t>
      </w:r>
      <w:r>
        <w:rPr>
          <w:rFonts w:hint="eastAsia" w:cs="宋体"/>
          <w:color w:val="auto"/>
          <w:sz w:val="21"/>
          <w:szCs w:val="21"/>
          <w:highlight w:val="none"/>
        </w:rPr>
        <w:t>的奖励：</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24563900">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8. 材料与设备</w:t>
      </w:r>
    </w:p>
    <w:p w14:paraId="365F93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8.4 材料与工程设备的保管与使用</w:t>
      </w:r>
    </w:p>
    <w:p w14:paraId="24B97C2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8.4.1 发包人供应的材料设备的保管费用的承担：</w:t>
      </w:r>
      <w:r>
        <w:rPr>
          <w:rFonts w:hint="eastAsia" w:cs="宋体"/>
          <w:color w:val="auto"/>
          <w:sz w:val="21"/>
          <w:szCs w:val="21"/>
          <w:highlight w:val="none"/>
          <w:u w:val="single"/>
        </w:rPr>
        <w:t xml:space="preserve"> 发包人供应的材料和工程设备使用前，由承包人负责检验，相关检验和保管费用由承包人承担 </w:t>
      </w:r>
      <w:r>
        <w:rPr>
          <w:rFonts w:hint="eastAsia" w:cs="宋体"/>
          <w:color w:val="auto"/>
          <w:sz w:val="21"/>
          <w:szCs w:val="21"/>
          <w:highlight w:val="none"/>
        </w:rPr>
        <w:t>。</w:t>
      </w:r>
    </w:p>
    <w:p w14:paraId="7A86EF6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8.6 样品</w:t>
      </w:r>
    </w:p>
    <w:p w14:paraId="08B83F9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8.6.1 样品的报送与封存</w:t>
      </w:r>
    </w:p>
    <w:p w14:paraId="582DEDF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6E73C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 施工设备和临时设施</w:t>
      </w:r>
    </w:p>
    <w:p w14:paraId="3A56F1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8.8.1 承包人提供的施工设备和临时设施</w:t>
      </w:r>
    </w:p>
    <w:p w14:paraId="0E185A0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承包人承担 </w:t>
      </w:r>
      <w:r>
        <w:rPr>
          <w:rFonts w:hint="eastAsia" w:cs="宋体"/>
          <w:color w:val="auto"/>
          <w:sz w:val="21"/>
          <w:szCs w:val="21"/>
          <w:highlight w:val="none"/>
        </w:rPr>
        <w:t>。</w:t>
      </w:r>
    </w:p>
    <w:p w14:paraId="7048700D">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9. 试验与检验</w:t>
      </w:r>
    </w:p>
    <w:p w14:paraId="035F368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9.1 试验设备与试验人员</w:t>
      </w:r>
    </w:p>
    <w:p w14:paraId="3F0983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9.1.2 试验设备</w:t>
      </w:r>
    </w:p>
    <w:p w14:paraId="4EC4B89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 xml:space="preserve">施工现场需要配置的试验场所：  </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06C6F5B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09940F3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78E4860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714360C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14AD670E">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10. 变更</w:t>
      </w:r>
    </w:p>
    <w:p w14:paraId="0C8C02F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10.1 变更的范围</w:t>
      </w:r>
    </w:p>
    <w:p w14:paraId="771E9679">
      <w:pPr>
        <w:keepNext/>
        <w:keepLines/>
        <w:snapToGrid w:val="0"/>
        <w:spacing w:before="120" w:after="120" w:line="360" w:lineRule="auto"/>
        <w:ind w:firstLine="420" w:firstLineChars="200"/>
        <w:outlineLvl w:val="3"/>
        <w:rPr>
          <w:rFonts w:hint="eastAsia" w:cs="宋体"/>
          <w:color w:val="auto"/>
          <w:sz w:val="21"/>
          <w:szCs w:val="21"/>
          <w:highlight w:val="none"/>
        </w:rPr>
      </w:pPr>
      <w:r>
        <w:rPr>
          <w:rFonts w:hint="eastAsia" w:cs="宋体"/>
          <w:color w:val="auto"/>
          <w:sz w:val="21"/>
          <w:szCs w:val="21"/>
          <w:highlight w:val="none"/>
        </w:rPr>
        <w:t>关于变更的范围的约定：执行通用合同条款，但发包人发布的变更指令，承包人须无条件执行，承包人拒不执行的，发包人有权委托第三方进行实施，变更工程价款金额为发包人与第三方签订的承包合同额，变更工程价款由本合同承包人承担，在结算时由发包人予以扣除。并且每发生一次拒绝执行情况，承包人须向发包人支付</w:t>
      </w:r>
      <w:r>
        <w:rPr>
          <w:rFonts w:hint="eastAsia" w:cs="宋体"/>
          <w:color w:val="auto"/>
          <w:sz w:val="21"/>
          <w:szCs w:val="21"/>
          <w:highlight w:val="none"/>
          <w:lang w:val="en-US" w:eastAsia="zh-CN"/>
        </w:rPr>
        <w:t>5</w:t>
      </w:r>
      <w:r>
        <w:rPr>
          <w:rFonts w:hint="eastAsia" w:cs="宋体"/>
          <w:color w:val="auto"/>
          <w:sz w:val="21"/>
          <w:szCs w:val="21"/>
          <w:highlight w:val="none"/>
        </w:rPr>
        <w:t xml:space="preserve">万元/次的违约金  。 </w:t>
      </w:r>
    </w:p>
    <w:p w14:paraId="2E1816C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10.4 变更估价</w:t>
      </w:r>
    </w:p>
    <w:p w14:paraId="5D244BF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10.4.1 变更估价原则</w:t>
      </w:r>
    </w:p>
    <w:p w14:paraId="0A45BB5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关于变更估价的约定：</w:t>
      </w:r>
    </w:p>
    <w:p w14:paraId="039AF196">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cs="宋体"/>
          <w:b/>
          <w:color w:val="auto"/>
          <w:sz w:val="21"/>
          <w:szCs w:val="21"/>
          <w:highlight w:val="none"/>
        </w:rPr>
        <w:t>10.4.1.1 因工程变更引起已标价工程量清单项目或其工程数量发生变化时，按下列规定调整：</w:t>
      </w:r>
      <w:r>
        <w:rPr>
          <w:rFonts w:hint="eastAsia" w:ascii="宋体" w:hAnsi="宋体" w:eastAsia="宋体" w:cs="宋体"/>
          <w:color w:val="auto"/>
          <w:sz w:val="21"/>
          <w:szCs w:val="21"/>
          <w:highlight w:val="none"/>
        </w:rPr>
        <w:t>由于设计</w:t>
      </w:r>
      <w:r>
        <w:rPr>
          <w:rFonts w:hint="eastAsia" w:cs="宋体"/>
          <w:color w:val="auto"/>
          <w:sz w:val="21"/>
          <w:szCs w:val="21"/>
          <w:highlight w:val="none"/>
          <w:lang w:eastAsia="zh-CN"/>
        </w:rPr>
        <w:t>（</w:t>
      </w:r>
      <w:r>
        <w:rPr>
          <w:rFonts w:hint="eastAsia" w:cs="宋体"/>
          <w:color w:val="auto"/>
          <w:sz w:val="21"/>
          <w:szCs w:val="21"/>
          <w:highlight w:val="none"/>
          <w:lang w:val="en-US" w:eastAsia="zh-CN"/>
        </w:rPr>
        <w:t>工程）</w:t>
      </w:r>
      <w:r>
        <w:rPr>
          <w:rFonts w:hint="eastAsia" w:ascii="宋体" w:hAnsi="宋体" w:eastAsia="宋体" w:cs="宋体"/>
          <w:color w:val="auto"/>
          <w:sz w:val="21"/>
          <w:szCs w:val="21"/>
          <w:highlight w:val="none"/>
        </w:rPr>
        <w:t>变更、签证等引起的</w:t>
      </w:r>
      <w:r>
        <w:rPr>
          <w:rFonts w:hint="eastAsia" w:cs="宋体"/>
          <w:color w:val="auto"/>
          <w:sz w:val="21"/>
          <w:szCs w:val="21"/>
          <w:highlight w:val="none"/>
          <w:lang w:val="en-US" w:eastAsia="zh-CN"/>
        </w:rPr>
        <w:t>合同外的</w:t>
      </w:r>
      <w:r>
        <w:rPr>
          <w:rFonts w:hint="eastAsia" w:ascii="宋体" w:hAnsi="宋体" w:eastAsia="宋体" w:cs="宋体"/>
          <w:color w:val="auto"/>
          <w:sz w:val="21"/>
          <w:szCs w:val="21"/>
          <w:highlight w:val="none"/>
        </w:rPr>
        <w:t>工程量变化，按实际调整。设计</w:t>
      </w:r>
      <w:r>
        <w:rPr>
          <w:rFonts w:hint="eastAsia" w:cs="宋体"/>
          <w:color w:val="auto"/>
          <w:sz w:val="21"/>
          <w:szCs w:val="21"/>
          <w:highlight w:val="none"/>
          <w:lang w:eastAsia="zh-CN"/>
        </w:rPr>
        <w:t>（</w:t>
      </w:r>
      <w:r>
        <w:rPr>
          <w:rFonts w:hint="eastAsia" w:cs="宋体"/>
          <w:color w:val="auto"/>
          <w:sz w:val="21"/>
          <w:szCs w:val="21"/>
          <w:highlight w:val="none"/>
          <w:lang w:val="en-US" w:eastAsia="zh-CN"/>
        </w:rPr>
        <w:t>工程）</w:t>
      </w:r>
      <w:r>
        <w:rPr>
          <w:rFonts w:hint="eastAsia" w:ascii="宋体" w:hAnsi="宋体" w:eastAsia="宋体" w:cs="宋体"/>
          <w:color w:val="auto"/>
          <w:sz w:val="21"/>
          <w:szCs w:val="21"/>
          <w:highlight w:val="none"/>
        </w:rPr>
        <w:t>变更、签证引起新的工程量清单项目，其相应综合单价按以下规则由承包人提出，经发包人、发包人</w:t>
      </w:r>
      <w:r>
        <w:rPr>
          <w:rFonts w:hint="eastAsia" w:cs="宋体"/>
          <w:color w:val="auto"/>
          <w:sz w:val="21"/>
          <w:szCs w:val="21"/>
          <w:highlight w:val="none"/>
          <w:lang w:val="en-US" w:eastAsia="zh-CN"/>
        </w:rPr>
        <w:t>或其</w:t>
      </w:r>
      <w:r>
        <w:rPr>
          <w:rFonts w:hint="eastAsia" w:ascii="宋体" w:hAnsi="宋体" w:eastAsia="宋体" w:cs="宋体"/>
          <w:color w:val="auto"/>
          <w:sz w:val="21"/>
          <w:szCs w:val="21"/>
          <w:highlight w:val="none"/>
        </w:rPr>
        <w:t>委托的审核单位共同确认后作为结算依据，变更、签证程序执行</w:t>
      </w:r>
      <w:r>
        <w:rPr>
          <w:rFonts w:hint="eastAsia" w:cs="宋体"/>
          <w:color w:val="auto"/>
          <w:sz w:val="21"/>
          <w:szCs w:val="21"/>
          <w:highlight w:val="none"/>
          <w:lang w:val="en-US" w:eastAsia="zh-CN"/>
        </w:rPr>
        <w:t>安徽省</w:t>
      </w:r>
      <w:r>
        <w:rPr>
          <w:rFonts w:hint="eastAsia" w:ascii="宋体" w:hAnsi="宋体" w:eastAsia="宋体" w:cs="宋体"/>
          <w:color w:val="auto"/>
          <w:sz w:val="21"/>
          <w:szCs w:val="21"/>
          <w:highlight w:val="none"/>
        </w:rPr>
        <w:t xml:space="preserve">相关文件规定。 </w:t>
      </w:r>
    </w:p>
    <w:p w14:paraId="2284B7A6">
      <w:pPr>
        <w:numPr>
          <w:ilvl w:val="0"/>
          <w:numId w:val="7"/>
        </w:num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最高投标限价中已列项目，按最高投标限价中的综合单价*</w:t>
      </w:r>
      <w:r>
        <w:rPr>
          <w:rFonts w:hint="eastAsia" w:cs="宋体"/>
          <w:color w:val="auto"/>
          <w:sz w:val="21"/>
          <w:szCs w:val="21"/>
          <w:highlight w:val="none"/>
          <w:lang w:val="en-US" w:eastAsia="zh-CN"/>
        </w:rPr>
        <w:t>供应商投标下浮</w:t>
      </w:r>
      <w:r>
        <w:rPr>
          <w:rFonts w:hint="eastAsia" w:ascii="宋体" w:hAnsi="宋体" w:eastAsia="宋体" w:cs="宋体"/>
          <w:color w:val="auto"/>
          <w:sz w:val="21"/>
          <w:szCs w:val="21"/>
          <w:highlight w:val="none"/>
        </w:rPr>
        <w:t>率</w:t>
      </w:r>
      <w:r>
        <w:rPr>
          <w:rFonts w:hint="eastAsia" w:cs="宋体"/>
          <w:color w:val="auto"/>
          <w:sz w:val="21"/>
          <w:szCs w:val="21"/>
          <w:highlight w:val="none"/>
          <w:lang w:val="en-US" w:eastAsia="zh-CN"/>
        </w:rPr>
        <w:t>进行计算</w:t>
      </w:r>
      <w:r>
        <w:rPr>
          <w:rFonts w:hint="eastAsia" w:ascii="宋体" w:hAnsi="宋体" w:eastAsia="宋体" w:cs="宋体"/>
          <w:color w:val="auto"/>
          <w:sz w:val="21"/>
          <w:szCs w:val="21"/>
          <w:highlight w:val="none"/>
        </w:rPr>
        <w:t>。</w:t>
      </w:r>
    </w:p>
    <w:p w14:paraId="682C9B0B">
      <w:pPr>
        <w:numPr>
          <w:ilvl w:val="0"/>
          <w:numId w:val="7"/>
        </w:numPr>
        <w:adjustRightInd w:val="0"/>
        <w:snapToGrid w:val="0"/>
        <w:spacing w:line="360" w:lineRule="auto"/>
        <w:ind w:firstLine="420" w:firstLineChars="200"/>
        <w:rPr>
          <w:rFonts w:hint="eastAsia" w:cs="宋体"/>
          <w:b w:val="0"/>
          <w:color w:val="auto"/>
          <w:sz w:val="21"/>
          <w:szCs w:val="21"/>
          <w:highlight w:val="none"/>
          <w:u w:val="none"/>
        </w:rPr>
      </w:pPr>
      <w:r>
        <w:rPr>
          <w:rFonts w:hint="eastAsia" w:ascii="宋体" w:hAnsi="宋体" w:eastAsia="宋体" w:cs="宋体"/>
          <w:color w:val="auto"/>
          <w:sz w:val="21"/>
          <w:szCs w:val="21"/>
          <w:highlight w:val="none"/>
        </w:rPr>
        <w:t>如工程量清单与施工图纸不一致；工程量清单描述不清的；工程量清单中未列的项目及数量有差异的项目，由承包人在投标报价中自行考虑费用，视为承包人已列入投标总价中。</w:t>
      </w:r>
    </w:p>
    <w:p w14:paraId="2B1C07F1">
      <w:pPr>
        <w:adjustRightInd w:val="0"/>
        <w:snapToGrid w:val="0"/>
        <w:spacing w:before="0" w:beforeLines="-2147483648" w:line="360" w:lineRule="auto"/>
        <w:ind w:firstLine="420" w:firstLineChars="200"/>
        <w:rPr>
          <w:rFonts w:hint="eastAsia" w:cs="宋体"/>
          <w:b w:val="0"/>
          <w:color w:val="auto"/>
          <w:sz w:val="21"/>
          <w:szCs w:val="21"/>
          <w:highlight w:val="none"/>
        </w:rPr>
      </w:pPr>
      <w:r>
        <w:rPr>
          <w:rFonts w:hint="eastAsia" w:ascii="宋体" w:hAnsi="宋体" w:eastAsia="宋体" w:cs="宋体"/>
          <w:color w:val="auto"/>
          <w:sz w:val="21"/>
          <w:szCs w:val="21"/>
          <w:highlight w:val="none"/>
        </w:rPr>
        <w:t>c.工程变更中的报价：发包人最高投标限价中有相同或类似综合单价的，按相同或类似综合单价*</w:t>
      </w:r>
      <w:r>
        <w:rPr>
          <w:rFonts w:hint="eastAsia" w:cs="宋体"/>
          <w:color w:val="auto"/>
          <w:sz w:val="21"/>
          <w:szCs w:val="21"/>
          <w:highlight w:val="none"/>
          <w:lang w:val="en-US" w:eastAsia="zh-CN"/>
        </w:rPr>
        <w:t>投标下浮</w:t>
      </w:r>
      <w:r>
        <w:rPr>
          <w:rFonts w:hint="eastAsia" w:ascii="宋体" w:hAnsi="宋体" w:eastAsia="宋体" w:cs="宋体"/>
          <w:color w:val="auto"/>
          <w:sz w:val="21"/>
          <w:szCs w:val="21"/>
          <w:highlight w:val="none"/>
        </w:rPr>
        <w:t>率记取；承包人投标报价中无相同或类似综合单价的，参照</w:t>
      </w: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rPr>
        <w:t>文件重新组价；其中材料价格按发包人最高投标限价中的材料价格执行；若最高投标限价中没有，执行编制最高投标限价时采用的</w:t>
      </w:r>
      <w:r>
        <w:rPr>
          <w:rFonts w:hint="eastAsia" w:ascii="宋体" w:hAnsi="宋体" w:eastAsia="宋体" w:cs="宋体"/>
          <w:i w:val="0"/>
          <w:iCs w:val="0"/>
          <w:caps w:val="0"/>
          <w:color w:val="auto"/>
          <w:spacing w:val="0"/>
          <w:sz w:val="21"/>
          <w:szCs w:val="21"/>
          <w:highlight w:val="none"/>
          <w:shd w:val="clear" w:fill="auto"/>
        </w:rPr>
        <w:t>安徽省建设工程造价管理总站</w:t>
      </w:r>
      <w:r>
        <w:rPr>
          <w:rFonts w:hint="eastAsia" w:cs="宋体"/>
          <w:i w:val="0"/>
          <w:iCs w:val="0"/>
          <w:caps w:val="0"/>
          <w:color w:val="auto"/>
          <w:spacing w:val="0"/>
          <w:sz w:val="21"/>
          <w:szCs w:val="21"/>
          <w:highlight w:val="none"/>
          <w:shd w:val="clear" w:fill="auto"/>
          <w:lang w:val="en-US" w:eastAsia="zh-CN"/>
        </w:rPr>
        <w:t>项目所在地</w:t>
      </w:r>
      <w:r>
        <w:rPr>
          <w:rFonts w:hint="eastAsia" w:ascii="宋体" w:hAnsi="宋体" w:eastAsia="宋体" w:cs="宋体"/>
          <w:color w:val="auto"/>
          <w:sz w:val="21"/>
          <w:szCs w:val="21"/>
          <w:highlight w:val="none"/>
        </w:rPr>
        <w:t>同期发布的信息价，发布的信息价中若没有，</w:t>
      </w:r>
      <w:r>
        <w:rPr>
          <w:rFonts w:hint="eastAsia" w:cs="宋体"/>
          <w:color w:val="auto"/>
          <w:sz w:val="21"/>
          <w:szCs w:val="21"/>
          <w:highlight w:val="none"/>
          <w:lang w:val="en-US" w:eastAsia="zh-CN"/>
        </w:rPr>
        <w:t>按照项目周边地区发布的信息价格执行</w:t>
      </w:r>
      <w:r>
        <w:rPr>
          <w:rFonts w:hint="eastAsia" w:ascii="宋体" w:hAnsi="宋体" w:eastAsia="宋体" w:cs="宋体"/>
          <w:color w:val="auto"/>
          <w:sz w:val="21"/>
          <w:szCs w:val="21"/>
          <w:highlight w:val="none"/>
        </w:rPr>
        <w:t>。重新组价部分按</w:t>
      </w:r>
      <w:r>
        <w:rPr>
          <w:rFonts w:hint="eastAsia" w:cs="宋体"/>
          <w:color w:val="auto"/>
          <w:sz w:val="21"/>
          <w:szCs w:val="21"/>
          <w:highlight w:val="none"/>
          <w:lang w:val="en-US" w:eastAsia="zh-CN"/>
        </w:rPr>
        <w:t>采购人发布的最高投标限价</w:t>
      </w:r>
      <w:r>
        <w:rPr>
          <w:rFonts w:hint="eastAsia" w:ascii="宋体" w:hAnsi="宋体" w:eastAsia="宋体" w:cs="宋体"/>
          <w:color w:val="auto"/>
          <w:sz w:val="21"/>
          <w:szCs w:val="21"/>
          <w:highlight w:val="none"/>
        </w:rPr>
        <w:t>与承包人投标报价的</w:t>
      </w:r>
      <w:r>
        <w:rPr>
          <w:rFonts w:hint="eastAsia" w:cs="宋体"/>
          <w:b/>
          <w:bCs/>
          <w:color w:val="auto"/>
          <w:sz w:val="21"/>
          <w:szCs w:val="21"/>
          <w:highlight w:val="none"/>
          <w:lang w:val="en-US" w:eastAsia="zh-CN"/>
        </w:rPr>
        <w:t>投标下浮率</w:t>
      </w:r>
      <w:r>
        <w:rPr>
          <w:rFonts w:hint="eastAsia" w:ascii="宋体" w:hAnsi="宋体" w:eastAsia="宋体" w:cs="宋体"/>
          <w:color w:val="auto"/>
          <w:sz w:val="21"/>
          <w:szCs w:val="21"/>
          <w:highlight w:val="none"/>
        </w:rPr>
        <w:t xml:space="preserve">同比例下浮后进行结算。 </w:t>
      </w:r>
    </w:p>
    <w:p w14:paraId="41694B69">
      <w:pPr>
        <w:adjustRightInd w:val="0"/>
        <w:snapToGrid w:val="0"/>
        <w:spacing w:before="93" w:beforeLines="30" w:line="360" w:lineRule="auto"/>
        <w:ind w:firstLine="420" w:firstLineChars="200"/>
        <w:rPr>
          <w:rFonts w:cs="宋体"/>
          <w:b/>
          <w:strike/>
          <w:color w:val="auto"/>
          <w:sz w:val="21"/>
          <w:szCs w:val="21"/>
          <w:highlight w:val="none"/>
          <w:u w:val="single"/>
        </w:rPr>
      </w:pPr>
      <w:r>
        <w:rPr>
          <w:rFonts w:hint="eastAsia" w:cs="宋体"/>
          <w:b w:val="0"/>
          <w:bCs/>
          <w:color w:val="auto"/>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r>
        <w:rPr>
          <w:rFonts w:hint="eastAsia" w:cs="宋体"/>
          <w:b w:val="0"/>
          <w:bCs/>
          <w:color w:val="auto"/>
          <w:sz w:val="21"/>
          <w:szCs w:val="21"/>
          <w:highlight w:val="none"/>
          <w:u w:val="single"/>
          <w:lang w:val="en-US" w:eastAsia="zh-CN"/>
        </w:rPr>
        <w:t>/</w:t>
      </w:r>
      <w:r>
        <w:rPr>
          <w:rFonts w:hint="eastAsia" w:cs="宋体"/>
          <w:b/>
          <w:color w:val="auto"/>
          <w:sz w:val="21"/>
          <w:szCs w:val="21"/>
          <w:highlight w:val="none"/>
          <w:u w:val="single"/>
        </w:rPr>
        <w:t>。</w:t>
      </w:r>
    </w:p>
    <w:p w14:paraId="3613C6E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10.5 承包人的合理化建议</w:t>
      </w:r>
    </w:p>
    <w:p w14:paraId="2EF3393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监理人审查承包人合理化建议的期限：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BADB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44046E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承包人提出的合理化建议降低了合同价格或者提高了工程经济效益的奖励的方法和金额为：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0682E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10.7 暂估价</w:t>
      </w:r>
    </w:p>
    <w:p w14:paraId="2099E0E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暂估价材料和工程设备的明细见附件12：《暂估价一览表》。</w:t>
      </w:r>
    </w:p>
    <w:p w14:paraId="55C02B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10.7.1 依法必须招标的暂估价项目</w:t>
      </w:r>
      <w:r>
        <w:rPr>
          <w:rFonts w:hint="eastAsia" w:cs="宋体"/>
          <w:color w:val="auto"/>
          <w:sz w:val="21"/>
          <w:szCs w:val="21"/>
          <w:highlight w:val="none"/>
          <w:lang w:val="en-US" w:eastAsia="zh-CN"/>
        </w:rPr>
        <w:t>/。</w:t>
      </w:r>
    </w:p>
    <w:p w14:paraId="2E0D10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10.7.2 不属于依法必须招标的暂估价项目</w:t>
      </w:r>
    </w:p>
    <w:p w14:paraId="0A11972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lang w:val="en-US" w:eastAsia="zh-CN"/>
        </w:rPr>
        <w:t>/</w:t>
      </w:r>
      <w:r>
        <w:rPr>
          <w:rFonts w:hint="eastAsia" w:cs="宋体"/>
          <w:color w:val="auto"/>
          <w:sz w:val="21"/>
          <w:szCs w:val="21"/>
          <w:highlight w:val="none"/>
        </w:rPr>
        <w:t>种方式确定。</w:t>
      </w:r>
    </w:p>
    <w:p w14:paraId="1E55436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第3种方式：承包人直接实施的暂估价项目</w:t>
      </w:r>
    </w:p>
    <w:p w14:paraId="3DC0C77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5CE43D8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10.8 暂列金额</w:t>
      </w:r>
    </w:p>
    <w:p w14:paraId="00B2125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0F9163">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11. 价格调整</w:t>
      </w:r>
    </w:p>
    <w:p w14:paraId="3BC6A99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市场价格波动引起的调整</w:t>
      </w:r>
    </w:p>
    <w:p w14:paraId="044580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69D16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因市场价格波动调整合同价格，采用以下第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种方式对合同价格进行调整：</w:t>
      </w:r>
    </w:p>
    <w:p w14:paraId="0BC7E77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第1种方式：采用价格指数进行价格调整。</w:t>
      </w:r>
    </w:p>
    <w:p w14:paraId="61E26D0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关于各可调因子、定值和变值权重，以及基本价格指数及其来源的约定：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3FC539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第2种方式：采用造价信息进行价格调整。</w:t>
      </w:r>
    </w:p>
    <w:p w14:paraId="14CD9E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（1）可调整价格的主要材料范围的约定：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A747F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（2）主要材料价差调整周期的约定：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10997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（3）主要材料价差调整计算方法的约定：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6D31B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（4）主要材料价差调整时间的约定：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BB4E5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（2）关于基准价格的约定：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FBA8A3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①承包人在已标价工程量清单或预算书中载明的材料单价低于基准价格的：专用合同条款合同履行期间材料单价涨幅以基准价格为基础超过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%时，或材料单价跌幅以已标价工程量清单或预算书中载明材料单价为基础超过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067E2D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%时，材料单价涨幅以已标价工程量清单或预算书中载明材料单价为基础超过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682B8B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0A61677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第3种方式：其他价格调整方式：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02152F9">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12. 合同价格、计量与支付</w:t>
      </w:r>
    </w:p>
    <w:p w14:paraId="677F525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12.1 合同价格形式</w:t>
      </w:r>
    </w:p>
    <w:p w14:paraId="19AA5ED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w:t>
      </w:r>
    </w:p>
    <w:p w14:paraId="2068721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C2639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28712D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F8A916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w:t>
      </w:r>
    </w:p>
    <w:p w14:paraId="2AF0A303">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59C62A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F4D8D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024CC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51E7F3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12.2 预付款</w:t>
      </w:r>
    </w:p>
    <w:p w14:paraId="4FB12B3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12.2.1 预付款的支付</w:t>
      </w:r>
    </w:p>
    <w:p w14:paraId="28C099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6EF81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255644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1FF59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12.2.2 预付款担保</w:t>
      </w:r>
    </w:p>
    <w:p w14:paraId="2546CF2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5D749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CE791C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12.3 计量</w:t>
      </w:r>
    </w:p>
    <w:p w14:paraId="43B54A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12.3.1 计量原则</w:t>
      </w:r>
    </w:p>
    <w:p w14:paraId="6BCD908A">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工程量计算规则：</w:t>
      </w:r>
      <w:r>
        <w:rPr>
          <w:rFonts w:hint="eastAsia" w:cs="宋体"/>
          <w:color w:val="auto"/>
          <w:sz w:val="21"/>
          <w:szCs w:val="21"/>
          <w:highlight w:val="none"/>
          <w:u w:val="single"/>
        </w:rPr>
        <w:t>按招标工程量清单及最高投标限价所采用的规范及配套文件等</w:t>
      </w:r>
      <w:r>
        <w:rPr>
          <w:rFonts w:hint="eastAsia" w:cs="宋体"/>
          <w:b/>
          <w:color w:val="auto"/>
          <w:sz w:val="21"/>
          <w:szCs w:val="21"/>
          <w:highlight w:val="none"/>
        </w:rPr>
        <w:t>。</w:t>
      </w:r>
    </w:p>
    <w:p w14:paraId="73D6FC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12.3.2 计量周期</w:t>
      </w:r>
    </w:p>
    <w:p w14:paraId="2C0C319B">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关于计量周期的约定</w:t>
      </w:r>
      <w:r>
        <w:rPr>
          <w:rFonts w:hint="eastAsia" w:cs="宋体"/>
          <w:b/>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根据项目实际情况，由合同甲方确定 </w:t>
      </w:r>
      <w:r>
        <w:rPr>
          <w:rFonts w:hint="eastAsia" w:cs="宋体"/>
          <w:b/>
          <w:color w:val="auto"/>
          <w:sz w:val="21"/>
          <w:szCs w:val="21"/>
          <w:highlight w:val="none"/>
        </w:rPr>
        <w:t>。</w:t>
      </w:r>
    </w:p>
    <w:p w14:paraId="554347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12.3.3 单价合同的计量</w:t>
      </w:r>
    </w:p>
    <w:p w14:paraId="534662F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关于单价合同计量的约定：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39A00C1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12.3.4 总价合同的计量</w:t>
      </w:r>
    </w:p>
    <w:p w14:paraId="6F960F4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关于总价合同计量的约定：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4A304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12.3.5 总价合同采用支付分解表计量支付的，是否适用第12.3.4项〔总价合同的计量〕约定进行计量：</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4DB453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12.3.6 其他价格形式合同的计量</w:t>
      </w:r>
    </w:p>
    <w:p w14:paraId="518017C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其他价格形式的计量方式和程序：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04D87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12.4 工程进度款支付</w:t>
      </w:r>
    </w:p>
    <w:p w14:paraId="53EBF7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12.4.1 付款周期</w:t>
      </w:r>
    </w:p>
    <w:p w14:paraId="547515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关于付款周期的约定：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725B26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12.4.2 进度付款申请单的编制</w:t>
      </w:r>
    </w:p>
    <w:p w14:paraId="352868A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关于进度付款申请单编制的约定：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281F1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12.4.3 进度付款申请单的提交</w:t>
      </w:r>
    </w:p>
    <w:p w14:paraId="0E4C5A7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5D028F7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（2）总价合同进度付款申请单提交的约定：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882895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（3）其他价格形式合同进度付款申请单提交的约定：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57BB2A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12.4.4 进度款审核和支付</w:t>
      </w:r>
    </w:p>
    <w:p w14:paraId="4B208F6E">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（1）监理人审查并报送发包人的期限：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C4DE46">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发包人完成审批并签发进度款支付证书的期限：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84AC716">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（2）发包人支付进度款的期限：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10F699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发包人逾期支付进度款的违约金的计算方式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2C07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12.4.6 支付分解表的编制</w:t>
      </w:r>
    </w:p>
    <w:p w14:paraId="017CC2D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（2）总价合同支付分解表的编制与审批：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1A4017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（3）单价合同的总价项目支付分解表的编制与审批：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2A264390">
      <w:pPr>
        <w:adjustRightInd w:val="0"/>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12.4.7 农民工工资管理</w:t>
      </w:r>
      <w:r>
        <w:rPr>
          <w:rFonts w:hint="eastAsia" w:cs="宋体"/>
          <w:b/>
          <w:bCs w:val="0"/>
          <w:color w:val="FF0000"/>
          <w:sz w:val="21"/>
          <w:szCs w:val="21"/>
          <w:highlight w:val="none"/>
          <w:lang w:eastAsia="zh-CN"/>
        </w:rPr>
        <w:t>（</w:t>
      </w:r>
      <w:r>
        <w:rPr>
          <w:rFonts w:hint="eastAsia" w:cs="宋体"/>
          <w:b/>
          <w:bCs w:val="0"/>
          <w:color w:val="FF0000"/>
          <w:sz w:val="21"/>
          <w:szCs w:val="21"/>
          <w:highlight w:val="none"/>
          <w:lang w:val="en-US" w:eastAsia="zh-CN"/>
        </w:rPr>
        <w:t>本项目不适用</w:t>
      </w:r>
      <w:r>
        <w:rPr>
          <w:rFonts w:hint="eastAsia" w:cs="宋体"/>
          <w:b/>
          <w:bCs w:val="0"/>
          <w:color w:val="FF0000"/>
          <w:sz w:val="21"/>
          <w:szCs w:val="21"/>
          <w:highlight w:val="none"/>
          <w:lang w:eastAsia="zh-CN"/>
        </w:rPr>
        <w:t>）</w:t>
      </w:r>
    </w:p>
    <w:p w14:paraId="0A86BA2E">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（1）</w:t>
      </w:r>
      <w:r>
        <w:rPr>
          <w:rFonts w:hint="eastAsia" w:cs="宋体"/>
          <w:bCs/>
          <w:color w:val="auto"/>
          <w:sz w:val="21"/>
          <w:szCs w:val="21"/>
          <w:highlight w:val="none"/>
        </w:rPr>
        <w:t>本工程农民工工资实行专用账户管理，承包人设立的专用账户开户行为</w:t>
      </w:r>
      <w:r>
        <w:rPr>
          <w:rFonts w:hint="eastAsia" w:cs="宋体"/>
          <w:bCs/>
          <w:color w:val="auto"/>
          <w:sz w:val="21"/>
          <w:szCs w:val="21"/>
          <w:highlight w:val="none"/>
          <w:u w:val="single"/>
        </w:rPr>
        <w:t>：</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，账号：</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20A23CC7">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（2）</w:t>
      </w:r>
      <w:r>
        <w:rPr>
          <w:rFonts w:hint="eastAsia" w:cs="宋体"/>
          <w:bCs/>
          <w:color w:val="auto"/>
          <w:sz w:val="21"/>
          <w:szCs w:val="21"/>
          <w:highlight w:val="none"/>
        </w:rPr>
        <w:t>本工程工资性工程款</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元。</w:t>
      </w:r>
    </w:p>
    <w:p w14:paraId="371A4BB2">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（3）</w:t>
      </w:r>
      <w:r>
        <w:rPr>
          <w:rFonts w:hint="eastAsia" w:cs="宋体"/>
          <w:bCs/>
          <w:color w:val="auto"/>
          <w:sz w:val="21"/>
          <w:szCs w:val="21"/>
          <w:highlight w:val="none"/>
        </w:rPr>
        <w:t>发包人于每月</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日前将工资性工程进度款转入农民工工资专用账户。</w:t>
      </w:r>
    </w:p>
    <w:p w14:paraId="4965AE0A">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（4）</w:t>
      </w:r>
      <w:r>
        <w:rPr>
          <w:rFonts w:hint="eastAsia" w:cs="宋体"/>
          <w:bCs/>
          <w:color w:val="auto"/>
          <w:sz w:val="21"/>
          <w:szCs w:val="21"/>
          <w:highlight w:val="none"/>
        </w:rPr>
        <w:t>承包人每月</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日前上报本工程农民工工资清单，每月</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日前委托开设农民工工资专用账户的银行支付农民工工资。</w:t>
      </w:r>
    </w:p>
    <w:p w14:paraId="7C2C221C">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（5）</w:t>
      </w:r>
      <w:r>
        <w:rPr>
          <w:rFonts w:hint="eastAsia" w:cs="宋体"/>
          <w:bCs/>
          <w:color w:val="auto"/>
          <w:sz w:val="21"/>
          <w:szCs w:val="21"/>
          <w:highlight w:val="none"/>
        </w:rPr>
        <w:t>工程</w:t>
      </w:r>
      <w:r>
        <w:rPr>
          <w:rFonts w:hint="eastAsia" w:cs="宋体"/>
          <w:bCs/>
          <w:color w:val="auto"/>
          <w:sz w:val="21"/>
          <w:szCs w:val="21"/>
          <w:highlight w:val="none"/>
          <w:lang w:eastAsia="zh-CN"/>
        </w:rPr>
        <w:t>完工</w:t>
      </w:r>
      <w:r>
        <w:rPr>
          <w:rFonts w:hint="eastAsia" w:cs="宋体"/>
          <w:bCs/>
          <w:color w:val="auto"/>
          <w:sz w:val="21"/>
          <w:szCs w:val="21"/>
          <w:highlight w:val="none"/>
        </w:rPr>
        <w:t>后，经项目部农民工维权组确认无农民工工资拖欠后，发、承双方办理农民工工资专用账户撤销手续，农民工工资专用账户余额划至本合同约定的承包人账户。</w:t>
      </w:r>
    </w:p>
    <w:p w14:paraId="08A6065C">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13. 验收和工程试车</w:t>
      </w:r>
    </w:p>
    <w:p w14:paraId="1FBBA94D">
      <w:pPr>
        <w:keepNext/>
        <w:keepLines/>
        <w:snapToGrid w:val="0"/>
        <w:spacing w:before="120" w:after="120" w:line="360" w:lineRule="auto"/>
        <w:jc w:val="left"/>
        <w:outlineLvl w:val="2"/>
        <w:rPr>
          <w:rFonts w:cs="宋体"/>
          <w:bCs/>
          <w:color w:val="auto"/>
          <w:sz w:val="21"/>
          <w:szCs w:val="21"/>
          <w:highlight w:val="none"/>
        </w:rPr>
      </w:pPr>
      <w:r>
        <w:rPr>
          <w:rFonts w:hint="eastAsia" w:cs="宋体"/>
          <w:bCs/>
          <w:color w:val="auto"/>
          <w:sz w:val="21"/>
          <w:szCs w:val="21"/>
          <w:highlight w:val="none"/>
        </w:rPr>
        <w:t>13.1 分部分项工程验收</w:t>
      </w:r>
    </w:p>
    <w:p w14:paraId="03AB2C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76C23E5D">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26E661E2">
      <w:pPr>
        <w:keepNext/>
        <w:keepLines/>
        <w:snapToGrid w:val="0"/>
        <w:spacing w:before="120" w:after="120" w:line="360" w:lineRule="auto"/>
        <w:ind w:firstLine="420" w:firstLineChars="200"/>
        <w:outlineLvl w:val="3"/>
        <w:rPr>
          <w:rFonts w:hint="eastAsia" w:eastAsia="宋体" w:cs="宋体"/>
          <w:bCs/>
          <w:color w:val="auto"/>
          <w:sz w:val="21"/>
          <w:szCs w:val="21"/>
          <w:highlight w:val="none"/>
          <w:lang w:eastAsia="zh-CN"/>
        </w:rPr>
      </w:pPr>
      <w:r>
        <w:rPr>
          <w:rFonts w:hint="eastAsia" w:cs="宋体"/>
          <w:bCs/>
          <w:color w:val="auto"/>
          <w:sz w:val="21"/>
          <w:szCs w:val="21"/>
          <w:highlight w:val="none"/>
        </w:rPr>
        <w:t xml:space="preserve">13.2 </w:t>
      </w:r>
      <w:r>
        <w:rPr>
          <w:rFonts w:hint="eastAsia" w:cs="宋体"/>
          <w:bCs/>
          <w:color w:val="auto"/>
          <w:sz w:val="21"/>
          <w:szCs w:val="21"/>
          <w:highlight w:val="none"/>
          <w:lang w:eastAsia="zh-CN"/>
        </w:rPr>
        <w:t>完工验收</w:t>
      </w:r>
    </w:p>
    <w:p w14:paraId="5CB451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13.2.2 </w:t>
      </w:r>
      <w:r>
        <w:rPr>
          <w:rFonts w:hint="eastAsia" w:cs="宋体"/>
          <w:color w:val="auto"/>
          <w:sz w:val="21"/>
          <w:szCs w:val="21"/>
          <w:highlight w:val="none"/>
          <w:lang w:eastAsia="zh-CN"/>
        </w:rPr>
        <w:t>完工验收</w:t>
      </w:r>
      <w:r>
        <w:rPr>
          <w:rFonts w:hint="eastAsia" w:cs="宋体"/>
          <w:color w:val="auto"/>
          <w:sz w:val="21"/>
          <w:szCs w:val="21"/>
          <w:highlight w:val="none"/>
        </w:rPr>
        <w:t>程序</w:t>
      </w:r>
    </w:p>
    <w:p w14:paraId="718D5C3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w:t>
      </w:r>
      <w:r>
        <w:rPr>
          <w:rFonts w:hint="eastAsia" w:cs="宋体"/>
          <w:color w:val="auto"/>
          <w:sz w:val="21"/>
          <w:szCs w:val="21"/>
          <w:highlight w:val="none"/>
          <w:lang w:eastAsia="zh-CN"/>
        </w:rPr>
        <w:t>完工验收</w:t>
      </w:r>
      <w:r>
        <w:rPr>
          <w:rFonts w:hint="eastAsia" w:cs="宋体"/>
          <w:color w:val="auto"/>
          <w:sz w:val="21"/>
          <w:szCs w:val="21"/>
          <w:highlight w:val="none"/>
        </w:rPr>
        <w:t>程序的约定：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438E53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发包人不按照本项约定组织</w:t>
      </w:r>
      <w:r>
        <w:rPr>
          <w:rFonts w:hint="eastAsia" w:cs="宋体"/>
          <w:color w:val="auto"/>
          <w:sz w:val="21"/>
          <w:szCs w:val="21"/>
          <w:highlight w:val="none"/>
          <w:lang w:eastAsia="zh-CN"/>
        </w:rPr>
        <w:t>完工验收</w:t>
      </w:r>
      <w:r>
        <w:rPr>
          <w:rFonts w:hint="eastAsia" w:cs="宋体"/>
          <w:color w:val="auto"/>
          <w:sz w:val="21"/>
          <w:szCs w:val="21"/>
          <w:highlight w:val="none"/>
        </w:rPr>
        <w:t>、颁发工程接收证书的违约金的计算方法：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p w14:paraId="4D0CB55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13.2.5 移交、接收全部与部分工程</w:t>
      </w:r>
    </w:p>
    <w:p w14:paraId="15F5B9B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cs="宋体"/>
          <w:color w:val="auto"/>
          <w:sz w:val="21"/>
          <w:szCs w:val="21"/>
          <w:highlight w:val="none"/>
          <w:u w:val="single"/>
        </w:rPr>
        <w:t>执行通用条款</w:t>
      </w:r>
      <w:r>
        <w:rPr>
          <w:rFonts w:hint="eastAsia" w:cs="宋体"/>
          <w:color w:val="auto"/>
          <w:sz w:val="21"/>
          <w:szCs w:val="21"/>
          <w:highlight w:val="none"/>
        </w:rPr>
        <w:t>。</w:t>
      </w:r>
    </w:p>
    <w:p w14:paraId="73534BA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E0924F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0D0206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13.3 工程试车</w:t>
      </w:r>
    </w:p>
    <w:p w14:paraId="04BF5B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13.3.1 试车程序</w:t>
      </w:r>
    </w:p>
    <w:p w14:paraId="4C1FAD3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4B236D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769EAC1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534EA0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13.3.3 投料试车</w:t>
      </w:r>
    </w:p>
    <w:p w14:paraId="3C10E61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9082F1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13.6 </w:t>
      </w:r>
      <w:r>
        <w:rPr>
          <w:rFonts w:hint="eastAsia" w:cs="宋体"/>
          <w:bCs/>
          <w:color w:val="auto"/>
          <w:sz w:val="21"/>
          <w:szCs w:val="21"/>
          <w:highlight w:val="none"/>
          <w:lang w:val="en-US" w:eastAsia="zh-CN"/>
        </w:rPr>
        <w:t>完工</w:t>
      </w:r>
      <w:r>
        <w:rPr>
          <w:rFonts w:hint="eastAsia" w:cs="宋体"/>
          <w:bCs/>
          <w:color w:val="auto"/>
          <w:sz w:val="21"/>
          <w:szCs w:val="21"/>
          <w:highlight w:val="none"/>
        </w:rPr>
        <w:t>退场</w:t>
      </w:r>
    </w:p>
    <w:p w14:paraId="54B19DF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13.6.1 </w:t>
      </w:r>
      <w:r>
        <w:rPr>
          <w:rFonts w:hint="eastAsia" w:cs="宋体"/>
          <w:color w:val="auto"/>
          <w:sz w:val="21"/>
          <w:szCs w:val="21"/>
          <w:highlight w:val="none"/>
          <w:lang w:eastAsia="zh-CN"/>
        </w:rPr>
        <w:t>完工</w:t>
      </w:r>
      <w:r>
        <w:rPr>
          <w:rFonts w:hint="eastAsia" w:cs="宋体"/>
          <w:color w:val="auto"/>
          <w:sz w:val="21"/>
          <w:szCs w:val="21"/>
          <w:highlight w:val="none"/>
        </w:rPr>
        <w:t>退场</w:t>
      </w:r>
    </w:p>
    <w:p w14:paraId="597D94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承包人完成</w:t>
      </w:r>
      <w:r>
        <w:rPr>
          <w:rFonts w:hint="eastAsia" w:cs="宋体"/>
          <w:color w:val="auto"/>
          <w:sz w:val="21"/>
          <w:szCs w:val="21"/>
          <w:highlight w:val="none"/>
          <w:lang w:eastAsia="zh-CN"/>
        </w:rPr>
        <w:t>完工</w:t>
      </w:r>
      <w:r>
        <w:rPr>
          <w:rFonts w:hint="eastAsia" w:cs="宋体"/>
          <w:color w:val="auto"/>
          <w:sz w:val="21"/>
          <w:szCs w:val="21"/>
          <w:highlight w:val="none"/>
        </w:rPr>
        <w:t>退场的期限：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10日历天</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C96F53A">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 xml:space="preserve">14. </w:t>
      </w:r>
      <w:r>
        <w:rPr>
          <w:rFonts w:hint="eastAsia" w:cs="宋体"/>
          <w:color w:val="auto"/>
          <w:sz w:val="21"/>
          <w:szCs w:val="21"/>
          <w:highlight w:val="none"/>
          <w:lang w:eastAsia="zh-CN"/>
        </w:rPr>
        <w:t>完工</w:t>
      </w:r>
      <w:r>
        <w:rPr>
          <w:rFonts w:hint="eastAsia" w:cs="宋体"/>
          <w:color w:val="auto"/>
          <w:sz w:val="21"/>
          <w:szCs w:val="21"/>
          <w:highlight w:val="none"/>
        </w:rPr>
        <w:t>结算</w:t>
      </w:r>
    </w:p>
    <w:p w14:paraId="1A598E2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14.1 </w:t>
      </w:r>
      <w:r>
        <w:rPr>
          <w:rFonts w:hint="eastAsia" w:cs="宋体"/>
          <w:bCs/>
          <w:color w:val="auto"/>
          <w:sz w:val="21"/>
          <w:szCs w:val="21"/>
          <w:highlight w:val="none"/>
          <w:lang w:eastAsia="zh-CN"/>
        </w:rPr>
        <w:t>完工</w:t>
      </w:r>
      <w:r>
        <w:rPr>
          <w:rFonts w:hint="eastAsia" w:cs="宋体"/>
          <w:bCs/>
          <w:color w:val="auto"/>
          <w:sz w:val="21"/>
          <w:szCs w:val="21"/>
          <w:highlight w:val="none"/>
        </w:rPr>
        <w:t>结算申请</w:t>
      </w:r>
    </w:p>
    <w:p w14:paraId="727096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w:t>
      </w:r>
      <w:r>
        <w:rPr>
          <w:rFonts w:hint="eastAsia" w:cs="宋体"/>
          <w:color w:val="auto"/>
          <w:sz w:val="21"/>
          <w:szCs w:val="21"/>
          <w:highlight w:val="none"/>
          <w:lang w:eastAsia="zh-CN"/>
        </w:rPr>
        <w:t>完工</w:t>
      </w:r>
      <w:r>
        <w:rPr>
          <w:rFonts w:hint="eastAsia" w:cs="宋体"/>
          <w:color w:val="auto"/>
          <w:sz w:val="21"/>
          <w:szCs w:val="21"/>
          <w:highlight w:val="none"/>
        </w:rPr>
        <w:t>结算申请单的期限：</w:t>
      </w:r>
      <w:r>
        <w:rPr>
          <w:rFonts w:hint="eastAsia" w:cs="宋体"/>
          <w:color w:val="auto"/>
          <w:sz w:val="21"/>
          <w:szCs w:val="21"/>
          <w:highlight w:val="none"/>
          <w:u w:val="single"/>
        </w:rPr>
        <w:t>承包人应在工程</w:t>
      </w:r>
      <w:r>
        <w:rPr>
          <w:rFonts w:hint="eastAsia" w:cs="宋体"/>
          <w:color w:val="auto"/>
          <w:sz w:val="21"/>
          <w:szCs w:val="21"/>
          <w:highlight w:val="none"/>
          <w:u w:val="single"/>
          <w:lang w:eastAsia="zh-CN"/>
        </w:rPr>
        <w:t>完工验收</w:t>
      </w:r>
      <w:r>
        <w:rPr>
          <w:rFonts w:hint="eastAsia" w:cs="宋体"/>
          <w:color w:val="auto"/>
          <w:sz w:val="21"/>
          <w:szCs w:val="21"/>
          <w:highlight w:val="none"/>
          <w:u w:val="single"/>
        </w:rPr>
        <w:t>合格后28天内</w:t>
      </w:r>
      <w:r>
        <w:rPr>
          <w:rFonts w:hint="eastAsia" w:cs="宋体"/>
          <w:color w:val="auto"/>
          <w:sz w:val="21"/>
          <w:szCs w:val="21"/>
          <w:highlight w:val="none"/>
        </w:rPr>
        <w:t>。</w:t>
      </w:r>
    </w:p>
    <w:p w14:paraId="03D4470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lang w:eastAsia="zh-CN"/>
        </w:rPr>
        <w:t>完工</w:t>
      </w:r>
      <w:r>
        <w:rPr>
          <w:rFonts w:hint="eastAsia" w:cs="宋体"/>
          <w:color w:val="auto"/>
          <w:sz w:val="21"/>
          <w:szCs w:val="21"/>
          <w:highlight w:val="none"/>
        </w:rPr>
        <w:t>结算申请单应包括的内容：</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99D831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14.2 </w:t>
      </w:r>
      <w:r>
        <w:rPr>
          <w:rFonts w:hint="eastAsia" w:cs="宋体"/>
          <w:bCs/>
          <w:color w:val="auto"/>
          <w:sz w:val="21"/>
          <w:szCs w:val="21"/>
          <w:highlight w:val="none"/>
          <w:lang w:eastAsia="zh-CN"/>
        </w:rPr>
        <w:t>完工</w:t>
      </w:r>
      <w:r>
        <w:rPr>
          <w:rFonts w:hint="eastAsia" w:cs="宋体"/>
          <w:bCs/>
          <w:color w:val="auto"/>
          <w:sz w:val="21"/>
          <w:szCs w:val="21"/>
          <w:highlight w:val="none"/>
        </w:rPr>
        <w:t>结算审核</w:t>
      </w:r>
    </w:p>
    <w:p w14:paraId="798507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w:t>
      </w:r>
      <w:r>
        <w:rPr>
          <w:rFonts w:hint="eastAsia" w:cs="宋体"/>
          <w:color w:val="auto"/>
          <w:sz w:val="21"/>
          <w:szCs w:val="21"/>
          <w:highlight w:val="none"/>
          <w:lang w:eastAsia="zh-CN"/>
        </w:rPr>
        <w:t>完工</w:t>
      </w:r>
      <w:r>
        <w:rPr>
          <w:rFonts w:hint="eastAsia" w:cs="宋体"/>
          <w:color w:val="auto"/>
          <w:sz w:val="21"/>
          <w:szCs w:val="21"/>
          <w:highlight w:val="none"/>
        </w:rPr>
        <w:t>付款申请单的期限：</w:t>
      </w:r>
      <w:r>
        <w:rPr>
          <w:rFonts w:hint="eastAsia" w:cs="宋体"/>
          <w:color w:val="auto"/>
          <w:sz w:val="21"/>
          <w:szCs w:val="21"/>
          <w:highlight w:val="none"/>
          <w:u w:val="single"/>
        </w:rPr>
        <w:t>发包人应在收到</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提交的经审核的</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结算申请单后</w:t>
      </w:r>
      <w:r>
        <w:rPr>
          <w:rFonts w:hint="eastAsia" w:cs="宋体"/>
          <w:color w:val="auto"/>
          <w:sz w:val="21"/>
          <w:szCs w:val="21"/>
          <w:highlight w:val="none"/>
          <w:u w:val="single"/>
          <w:lang w:val="en-US" w:eastAsia="zh-CN"/>
        </w:rPr>
        <w:t>依据相关法律规定</w:t>
      </w:r>
      <w:r>
        <w:rPr>
          <w:rFonts w:hint="eastAsia" w:cs="宋体"/>
          <w:color w:val="auto"/>
          <w:sz w:val="21"/>
          <w:szCs w:val="21"/>
          <w:highlight w:val="none"/>
          <w:u w:val="single"/>
        </w:rPr>
        <w:t>完成审批</w:t>
      </w:r>
      <w:r>
        <w:rPr>
          <w:rFonts w:hint="eastAsia" w:cs="宋体"/>
          <w:color w:val="auto"/>
          <w:sz w:val="21"/>
          <w:szCs w:val="21"/>
          <w:highlight w:val="none"/>
        </w:rPr>
        <w:t>。</w:t>
      </w:r>
    </w:p>
    <w:p w14:paraId="26031B9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发包人完成</w:t>
      </w:r>
      <w:r>
        <w:rPr>
          <w:rFonts w:hint="eastAsia" w:cs="宋体"/>
          <w:color w:val="auto"/>
          <w:sz w:val="21"/>
          <w:szCs w:val="21"/>
          <w:highlight w:val="none"/>
          <w:lang w:eastAsia="zh-CN"/>
        </w:rPr>
        <w:t>完工</w:t>
      </w:r>
      <w:r>
        <w:rPr>
          <w:rFonts w:hint="eastAsia" w:cs="宋体"/>
          <w:color w:val="auto"/>
          <w:sz w:val="21"/>
          <w:szCs w:val="21"/>
          <w:highlight w:val="none"/>
        </w:rPr>
        <w:t>付款的期限：</w:t>
      </w:r>
      <w:r>
        <w:rPr>
          <w:rFonts w:hint="eastAsia" w:cs="宋体"/>
          <w:color w:val="auto"/>
          <w:sz w:val="21"/>
          <w:szCs w:val="21"/>
          <w:highlight w:val="none"/>
          <w:u w:val="single"/>
        </w:rPr>
        <w:t>发包人应在签发</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付款证书后</w:t>
      </w:r>
      <w:r>
        <w:rPr>
          <w:rFonts w:hint="eastAsia" w:cs="宋体"/>
          <w:color w:val="auto"/>
          <w:sz w:val="21"/>
          <w:szCs w:val="21"/>
          <w:highlight w:val="none"/>
          <w:u w:val="single"/>
          <w:lang w:val="en-US" w:eastAsia="zh-CN"/>
        </w:rPr>
        <w:t>依据相关法律规定</w:t>
      </w:r>
      <w:r>
        <w:rPr>
          <w:rFonts w:hint="eastAsia" w:cs="宋体"/>
          <w:color w:val="auto"/>
          <w:sz w:val="21"/>
          <w:szCs w:val="21"/>
          <w:highlight w:val="none"/>
          <w:u w:val="single"/>
        </w:rPr>
        <w:t>，完成对承包人的</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付款</w:t>
      </w:r>
      <w:r>
        <w:rPr>
          <w:rFonts w:hint="eastAsia" w:cs="宋体"/>
          <w:color w:val="auto"/>
          <w:sz w:val="21"/>
          <w:szCs w:val="21"/>
          <w:highlight w:val="none"/>
        </w:rPr>
        <w:t>。</w:t>
      </w:r>
    </w:p>
    <w:p w14:paraId="545DDFB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w:t>
      </w:r>
      <w:r>
        <w:rPr>
          <w:rFonts w:hint="eastAsia" w:cs="宋体"/>
          <w:color w:val="auto"/>
          <w:sz w:val="21"/>
          <w:szCs w:val="21"/>
          <w:highlight w:val="none"/>
          <w:lang w:eastAsia="zh-CN"/>
        </w:rPr>
        <w:t>完工</w:t>
      </w:r>
      <w:r>
        <w:rPr>
          <w:rFonts w:hint="eastAsia" w:cs="宋体"/>
          <w:color w:val="auto"/>
          <w:sz w:val="21"/>
          <w:szCs w:val="21"/>
          <w:highlight w:val="none"/>
        </w:rPr>
        <w:t>付款证书异议部分复核的方式和程序：</w:t>
      </w:r>
      <w:r>
        <w:rPr>
          <w:rFonts w:hint="eastAsia" w:cs="宋体"/>
          <w:color w:val="auto"/>
          <w:sz w:val="21"/>
          <w:szCs w:val="21"/>
          <w:highlight w:val="none"/>
          <w:u w:val="single"/>
        </w:rPr>
        <w:t>执行通用条款</w:t>
      </w:r>
      <w:r>
        <w:rPr>
          <w:rFonts w:hint="eastAsia" w:cs="宋体"/>
          <w:color w:val="auto"/>
          <w:sz w:val="21"/>
          <w:szCs w:val="21"/>
          <w:highlight w:val="none"/>
        </w:rPr>
        <w:t>。</w:t>
      </w:r>
    </w:p>
    <w:p w14:paraId="3D86B63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 最终结清</w:t>
      </w:r>
    </w:p>
    <w:p w14:paraId="1960E2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14.4.1 最终结清申请单</w:t>
      </w:r>
    </w:p>
    <w:p w14:paraId="2A0B3FA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4份</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39FDBE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49208BA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14.4.2 最终结清证书和支付</w:t>
      </w:r>
    </w:p>
    <w:p w14:paraId="62C7B2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cs="宋体"/>
          <w:color w:val="auto"/>
          <w:sz w:val="21"/>
          <w:szCs w:val="21"/>
          <w:highlight w:val="none"/>
          <w:u w:val="single"/>
        </w:rPr>
        <w:t>收到承包人提交的最终结清申请单后14天内</w:t>
      </w:r>
      <w:r>
        <w:rPr>
          <w:rFonts w:hint="eastAsia" w:cs="宋体"/>
          <w:color w:val="auto"/>
          <w:sz w:val="21"/>
          <w:szCs w:val="21"/>
          <w:highlight w:val="none"/>
        </w:rPr>
        <w:t>。</w:t>
      </w:r>
    </w:p>
    <w:p w14:paraId="711350D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（2）发包人完成支付的期限：</w:t>
      </w:r>
      <w:r>
        <w:rPr>
          <w:rFonts w:hint="eastAsia" w:cs="宋体"/>
          <w:color w:val="auto"/>
          <w:sz w:val="21"/>
          <w:szCs w:val="21"/>
          <w:highlight w:val="none"/>
          <w:u w:val="single"/>
        </w:rPr>
        <w:t>颁发最终结清证书后7天内完成支付</w:t>
      </w:r>
      <w:r>
        <w:rPr>
          <w:rFonts w:hint="eastAsia" w:cs="宋体"/>
          <w:color w:val="auto"/>
          <w:sz w:val="21"/>
          <w:szCs w:val="21"/>
          <w:highlight w:val="none"/>
        </w:rPr>
        <w:t>。</w:t>
      </w:r>
    </w:p>
    <w:p w14:paraId="3581307A">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15. 缺陷责任期与保修</w:t>
      </w:r>
    </w:p>
    <w:p w14:paraId="09EA110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15.2 缺陷责任期</w:t>
      </w:r>
    </w:p>
    <w:p w14:paraId="5C614BC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7D9853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15.3 质量保证金</w:t>
      </w:r>
    </w:p>
    <w:p w14:paraId="7E804A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 xml:space="preserve">  见《专用合同条款数据表》 </w:t>
      </w:r>
      <w:r>
        <w:rPr>
          <w:rFonts w:hint="eastAsia" w:cs="宋体"/>
          <w:color w:val="auto"/>
          <w:sz w:val="21"/>
          <w:szCs w:val="21"/>
          <w:highlight w:val="none"/>
        </w:rPr>
        <w:t>。在工程项目</w:t>
      </w:r>
      <w:r>
        <w:rPr>
          <w:rFonts w:hint="eastAsia" w:cs="宋体"/>
          <w:color w:val="auto"/>
          <w:sz w:val="21"/>
          <w:szCs w:val="21"/>
          <w:highlight w:val="none"/>
          <w:lang w:eastAsia="zh-CN"/>
        </w:rPr>
        <w:t>完工</w:t>
      </w:r>
      <w:r>
        <w:rPr>
          <w:rFonts w:hint="eastAsia" w:cs="宋体"/>
          <w:color w:val="auto"/>
          <w:sz w:val="21"/>
          <w:szCs w:val="21"/>
          <w:highlight w:val="none"/>
        </w:rPr>
        <w:t>前，承包人按专用合同条款第3.7款提供履约保证金的，发包人不得同时预留工程质量保证金。</w:t>
      </w:r>
    </w:p>
    <w:p w14:paraId="7096EA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15.3.1 承包人提供质量保证金的方式</w:t>
      </w:r>
    </w:p>
    <w:p w14:paraId="29F5C6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质量保证金可采用以下任意一种方式：</w:t>
      </w:r>
    </w:p>
    <w:p w14:paraId="6D92018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D8617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F55CC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A26DBE9">
      <w:pPr>
        <w:adjustRightInd w:val="0"/>
        <w:snapToGrid w:val="0"/>
        <w:spacing w:line="360" w:lineRule="auto"/>
        <w:ind w:firstLine="420" w:firstLineChars="200"/>
        <w:rPr>
          <w:rFonts w:hint="eastAsia" w:eastAsia="宋体" w:cs="宋体"/>
          <w:color w:val="auto"/>
          <w:sz w:val="21"/>
          <w:szCs w:val="21"/>
          <w:highlight w:val="none"/>
          <w:lang w:eastAsia="zh-CN"/>
        </w:rPr>
      </w:pPr>
      <w:r>
        <w:rPr>
          <w:rFonts w:hint="eastAsia" w:cs="宋体"/>
          <w:color w:val="auto"/>
          <w:sz w:val="21"/>
          <w:szCs w:val="21"/>
          <w:highlight w:val="none"/>
        </w:rPr>
        <w:t xml:space="preserve">15.3.2 质量保证金的扣留 </w:t>
      </w:r>
      <w:r>
        <w:rPr>
          <w:rFonts w:hint="eastAsia" w:cs="宋体"/>
          <w:color w:val="auto"/>
          <w:sz w:val="21"/>
          <w:szCs w:val="21"/>
          <w:highlight w:val="none"/>
          <w:lang w:eastAsia="zh-CN"/>
        </w:rPr>
        <w:t>：</w:t>
      </w:r>
      <w:r>
        <w:rPr>
          <w:rFonts w:hint="eastAsia" w:cs="宋体"/>
          <w:color w:val="auto"/>
          <w:sz w:val="21"/>
          <w:szCs w:val="21"/>
          <w:highlight w:val="none"/>
          <w:u w:val="single"/>
          <w:lang w:val="en-US" w:eastAsia="zh-CN"/>
        </w:rPr>
        <w:t>见合同专用条款</w:t>
      </w:r>
    </w:p>
    <w:p w14:paraId="0B7619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rPr>
        <w:t>种方式：</w:t>
      </w:r>
    </w:p>
    <w:p w14:paraId="5ABC5B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7CA2A1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（2）工程</w:t>
      </w:r>
      <w:r>
        <w:rPr>
          <w:rFonts w:hint="eastAsia" w:cs="宋体"/>
          <w:color w:val="auto"/>
          <w:sz w:val="21"/>
          <w:szCs w:val="21"/>
          <w:highlight w:val="none"/>
          <w:lang w:eastAsia="zh-CN"/>
        </w:rPr>
        <w:t>完工</w:t>
      </w:r>
      <w:r>
        <w:rPr>
          <w:rFonts w:hint="eastAsia" w:cs="宋体"/>
          <w:color w:val="auto"/>
          <w:sz w:val="21"/>
          <w:szCs w:val="21"/>
          <w:highlight w:val="none"/>
        </w:rPr>
        <w:t>结算时一次性扣留质量保证金；</w:t>
      </w:r>
    </w:p>
    <w:p w14:paraId="13AD67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见合同专用条款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9E7F0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关于质量保证金的补充约定：</w:t>
      </w:r>
    </w:p>
    <w:p w14:paraId="1730DB7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①在工程项目</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前，承包人按专用合同条款第3.7款提供履约保证金的，可在工程进入缺陷责任期时按照多退少补原则转为质量保证金；</w:t>
      </w:r>
    </w:p>
    <w:p w14:paraId="27257B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②……</w:t>
      </w:r>
      <w:r>
        <w:rPr>
          <w:rFonts w:hint="eastAsia" w:cs="宋体"/>
          <w:color w:val="auto"/>
          <w:sz w:val="21"/>
          <w:szCs w:val="21"/>
          <w:highlight w:val="none"/>
        </w:rPr>
        <w:t>。</w:t>
      </w:r>
    </w:p>
    <w:p w14:paraId="5A8A675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15.4 保修</w:t>
      </w:r>
    </w:p>
    <w:p w14:paraId="50F76D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15.4.1 保修责任</w:t>
      </w:r>
    </w:p>
    <w:p w14:paraId="1306E46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sz w:val="21"/>
          <w:szCs w:val="21"/>
          <w:highlight w:val="none"/>
          <w:u w:val="single"/>
        </w:rPr>
        <w:t>执行《工程质量保修书》规定</w:t>
      </w:r>
      <w:r>
        <w:rPr>
          <w:rFonts w:hint="eastAsia" w:cs="宋体"/>
          <w:color w:val="auto"/>
          <w:sz w:val="21"/>
          <w:szCs w:val="21"/>
          <w:highlight w:val="none"/>
        </w:rPr>
        <w:t>。</w:t>
      </w:r>
    </w:p>
    <w:p w14:paraId="50386B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15.4.3 修复通知</w:t>
      </w:r>
    </w:p>
    <w:p w14:paraId="015B28DB">
      <w:pPr>
        <w:adjustRightInd w:val="0"/>
        <w:snapToGrid w:val="0"/>
        <w:spacing w:line="360" w:lineRule="auto"/>
        <w:ind w:firstLine="420" w:firstLineChars="200"/>
        <w:rPr>
          <w:rFonts w:cs="宋体"/>
          <w:b/>
          <w:bCs/>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lang w:val="en-US" w:eastAsia="zh-CN"/>
        </w:rPr>
        <w:t>/</w:t>
      </w:r>
      <w:r>
        <w:rPr>
          <w:rFonts w:hint="eastAsia" w:cs="宋体"/>
          <w:b/>
          <w:bCs/>
          <w:color w:val="auto"/>
          <w:sz w:val="21"/>
          <w:szCs w:val="21"/>
          <w:highlight w:val="none"/>
        </w:rPr>
        <w:t>。</w:t>
      </w:r>
    </w:p>
    <w:p w14:paraId="1D67D2AA">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16. 违约</w:t>
      </w:r>
    </w:p>
    <w:p w14:paraId="0571D16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16.1 发包人违约</w:t>
      </w:r>
    </w:p>
    <w:p w14:paraId="6A8D08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16.1.1 发包人违约的情形</w:t>
      </w:r>
    </w:p>
    <w:p w14:paraId="1C9BE02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99C7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16.1.2 发包人违约的责任</w:t>
      </w:r>
    </w:p>
    <w:p w14:paraId="7A49011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发包人违约责任的承担方式和计算方法：</w:t>
      </w:r>
    </w:p>
    <w:p w14:paraId="78B11D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发包人通知承包人推迟开工日期，</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 xml:space="preserve">工期相应顺延  </w:t>
      </w:r>
      <w:r>
        <w:rPr>
          <w:rFonts w:hint="eastAsia" w:cs="宋体"/>
          <w:color w:val="auto"/>
          <w:sz w:val="21"/>
          <w:szCs w:val="21"/>
          <w:highlight w:val="none"/>
        </w:rPr>
        <w:t>。</w:t>
      </w:r>
    </w:p>
    <w:p w14:paraId="12640CA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双方协商解决 </w:t>
      </w:r>
      <w:r>
        <w:rPr>
          <w:rFonts w:hint="eastAsia" w:cs="宋体"/>
          <w:color w:val="auto"/>
          <w:sz w:val="21"/>
          <w:szCs w:val="21"/>
          <w:highlight w:val="none"/>
        </w:rPr>
        <w:t>。</w:t>
      </w:r>
    </w:p>
    <w:p w14:paraId="2657FCDD">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b/>
          <w:bCs/>
          <w:color w:val="auto"/>
          <w:sz w:val="21"/>
          <w:szCs w:val="21"/>
          <w:highlight w:val="none"/>
          <w:u w:val="single"/>
        </w:rPr>
        <w:t xml:space="preserve"> </w:t>
      </w:r>
      <w:r>
        <w:rPr>
          <w:rFonts w:hint="eastAsia" w:cs="宋体"/>
          <w:b/>
          <w:bCs/>
          <w:color w:val="auto"/>
          <w:sz w:val="21"/>
          <w:szCs w:val="21"/>
          <w:highlight w:val="none"/>
          <w:u w:val="single"/>
          <w:lang w:val="en-US" w:eastAsia="zh-CN"/>
        </w:rPr>
        <w:t>/</w:t>
      </w:r>
      <w:r>
        <w:rPr>
          <w:rFonts w:hint="eastAsia" w:cs="宋体"/>
          <w:b/>
          <w:bCs/>
          <w:color w:val="auto"/>
          <w:sz w:val="21"/>
          <w:szCs w:val="21"/>
          <w:highlight w:val="none"/>
          <w:u w:val="singl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CFD84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631C7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72CD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5ECAB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4490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16.1.3 因发包人违约解除合同</w:t>
      </w:r>
    </w:p>
    <w:p w14:paraId="748E66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6E8BDF0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16.2 承包人违约</w:t>
      </w:r>
    </w:p>
    <w:p w14:paraId="5A7249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16.2.1 承包人违约的情形</w:t>
      </w:r>
    </w:p>
    <w:p w14:paraId="7EAD18E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359BE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16.2.2 承包人违约的责任</w:t>
      </w:r>
    </w:p>
    <w:p w14:paraId="25944F4D">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p>
    <w:p w14:paraId="3DD54867">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（1）若工程质量达不到合格标准的，发包人将按</w:t>
      </w:r>
      <w:r>
        <w:rPr>
          <w:rFonts w:hint="eastAsia" w:cs="宋体"/>
          <w:color w:val="FF0000"/>
          <w:sz w:val="21"/>
          <w:szCs w:val="21"/>
          <w:highlight w:val="none"/>
          <w:u w:val="single"/>
          <w:lang w:val="en-US" w:eastAsia="zh-CN"/>
        </w:rPr>
        <w:t>签约</w:t>
      </w:r>
      <w:r>
        <w:rPr>
          <w:rFonts w:hint="eastAsia" w:cs="宋体"/>
          <w:color w:val="FF0000"/>
          <w:sz w:val="21"/>
          <w:szCs w:val="21"/>
          <w:highlight w:val="none"/>
          <w:u w:val="single"/>
        </w:rPr>
        <w:t>合同总价的</w:t>
      </w:r>
      <w:r>
        <w:rPr>
          <w:rFonts w:hint="eastAsia" w:cs="宋体"/>
          <w:color w:val="FF0000"/>
          <w:sz w:val="21"/>
          <w:szCs w:val="21"/>
          <w:highlight w:val="none"/>
          <w:u w:val="single"/>
          <w:lang w:val="en-US" w:eastAsia="zh-CN"/>
        </w:rPr>
        <w:t>10</w:t>
      </w:r>
      <w:r>
        <w:rPr>
          <w:rFonts w:hint="eastAsia" w:cs="宋体"/>
          <w:color w:val="FF0000"/>
          <w:sz w:val="21"/>
          <w:szCs w:val="21"/>
          <w:highlight w:val="none"/>
          <w:u w:val="single"/>
        </w:rPr>
        <w:t>%向承包人收取违约金；同时发包人有权解除合同，不再支付后续款项，就已付工程款向承包人要求返还；由此造成的损失均由承包人承担。</w:t>
      </w:r>
    </w:p>
    <w:p w14:paraId="5A3C65F2">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 xml:space="preserve">（2）因承包人原因造成工程不合格的，发包人有权随时要求承包人采取补救措施，直至达到合同要求的质量标准，由此增加的费用和（或）延误的工期由承包人承担；承包人未按照发包人要求采取补救措施的，或限期未完成补救措施的，或采取补救措施仍不合格的，该部分费用工程结算时不予认可，且发包人给予承包人该分项的 </w:t>
      </w:r>
      <w:r>
        <w:rPr>
          <w:rFonts w:hint="eastAsia" w:cs="宋体"/>
          <w:color w:val="FF0000"/>
          <w:sz w:val="21"/>
          <w:szCs w:val="21"/>
          <w:highlight w:val="none"/>
          <w:u w:val="single"/>
          <w:lang w:val="en-US" w:eastAsia="zh-CN"/>
        </w:rPr>
        <w:t>2</w:t>
      </w:r>
      <w:r>
        <w:rPr>
          <w:rFonts w:hint="eastAsia" w:cs="宋体"/>
          <w:color w:val="FF0000"/>
          <w:sz w:val="21"/>
          <w:szCs w:val="21"/>
          <w:highlight w:val="none"/>
          <w:u w:val="single"/>
        </w:rPr>
        <w:t>%/次的违约处罚，造成发包人损失的（含其他经济利益损失），承包人应予赔偿。造成工程不合格且无法补救的，发包人有权利立即解除合同，承包人必须无条件服从，承包人应全额退还发包人已付工程款，且发包人不退还承包人的履约保证金，造成发包人其他损失（含时间损失等）的，承包人应予赔偿。</w:t>
      </w:r>
    </w:p>
    <w:p w14:paraId="0C2C937D">
      <w:pPr>
        <w:adjustRightInd w:val="0"/>
        <w:snapToGrid w:val="0"/>
        <w:spacing w:line="360" w:lineRule="auto"/>
        <w:ind w:firstLine="420" w:firstLineChars="200"/>
        <w:rPr>
          <w:rFonts w:hint="eastAsia" w:cs="宋体"/>
          <w:b/>
          <w:bCs/>
          <w:strike/>
          <w:dstrike w:val="0"/>
          <w:color w:val="auto"/>
          <w:sz w:val="21"/>
          <w:szCs w:val="21"/>
          <w:highlight w:val="none"/>
          <w:u w:val="single"/>
        </w:rPr>
      </w:pPr>
      <w:r>
        <w:rPr>
          <w:rFonts w:hint="eastAsia" w:cs="宋体"/>
          <w:color w:val="FF0000"/>
          <w:sz w:val="21"/>
          <w:szCs w:val="21"/>
          <w:highlight w:val="none"/>
          <w:u w:val="single"/>
        </w:rPr>
        <w:t>（3）</w:t>
      </w:r>
      <w:r>
        <w:rPr>
          <w:rFonts w:hint="eastAsia" w:ascii="宋体" w:hAnsi="宋体" w:eastAsia="宋体" w:cs="宋体"/>
          <w:b/>
          <w:bCs/>
          <w:color w:val="auto"/>
          <w:sz w:val="21"/>
          <w:szCs w:val="21"/>
          <w:highlight w:val="none"/>
          <w:u w:val="single"/>
          <w:lang w:val="en-US" w:eastAsia="zh-CN"/>
        </w:rPr>
        <w:t>因承包人原因造成工期延误，逾期完工违约金的计算方法为：每延期完工一天，承包人支付发包人签约合同价款的千分之一的违约金；因承包人责任导致工程延期 28 天以上的，每天按签约合同价款的千分之五向发包人支付违约金；延期完工56天以上的，发包人有权解除合同，并追究连带损失。</w:t>
      </w:r>
    </w:p>
    <w:p w14:paraId="70E95749">
      <w:pPr>
        <w:adjustRightInd w:val="0"/>
        <w:snapToGrid w:val="0"/>
        <w:spacing w:line="360" w:lineRule="auto"/>
        <w:ind w:firstLine="420" w:firstLineChars="200"/>
        <w:rPr>
          <w:rFonts w:hint="eastAsia" w:ascii="宋体" w:hAnsi="宋体" w:eastAsia="宋体" w:cs="宋体"/>
          <w:b/>
          <w:bCs/>
          <w:color w:val="auto"/>
          <w:sz w:val="21"/>
          <w:szCs w:val="21"/>
          <w:highlight w:val="none"/>
          <w:u w:val="single"/>
          <w:lang w:val="en-US" w:eastAsia="zh-CN"/>
        </w:rPr>
      </w:pPr>
      <w:r>
        <w:rPr>
          <w:rFonts w:hint="eastAsia" w:cs="宋体"/>
          <w:color w:val="auto"/>
          <w:sz w:val="21"/>
          <w:szCs w:val="21"/>
          <w:highlight w:val="none"/>
        </w:rPr>
        <w:t>因承包人原因造成工期延误，逾期</w:t>
      </w:r>
      <w:r>
        <w:rPr>
          <w:rFonts w:hint="eastAsia" w:cs="宋体"/>
          <w:color w:val="auto"/>
          <w:sz w:val="21"/>
          <w:szCs w:val="21"/>
          <w:highlight w:val="none"/>
          <w:lang w:eastAsia="zh-CN"/>
        </w:rPr>
        <w:t>完工</w:t>
      </w:r>
      <w:r>
        <w:rPr>
          <w:rFonts w:hint="eastAsia" w:cs="宋体"/>
          <w:color w:val="auto"/>
          <w:sz w:val="21"/>
          <w:szCs w:val="21"/>
          <w:highlight w:val="none"/>
        </w:rPr>
        <w:t>违约金的上限：</w:t>
      </w:r>
      <w:r>
        <w:rPr>
          <w:rFonts w:hint="eastAsia" w:ascii="宋体" w:hAnsi="宋体" w:eastAsia="宋体" w:cs="宋体"/>
          <w:b/>
          <w:bCs/>
          <w:color w:val="auto"/>
          <w:sz w:val="21"/>
          <w:szCs w:val="21"/>
          <w:highlight w:val="none"/>
          <w:u w:val="single"/>
          <w:lang w:val="en-US" w:eastAsia="zh-CN"/>
        </w:rPr>
        <w:t>违约金最高限额为</w:t>
      </w:r>
      <w:r>
        <w:rPr>
          <w:rFonts w:hint="eastAsia" w:cs="宋体"/>
          <w:b/>
          <w:bCs/>
          <w:color w:val="auto"/>
          <w:sz w:val="21"/>
          <w:szCs w:val="21"/>
          <w:highlight w:val="none"/>
          <w:u w:val="single"/>
          <w:lang w:val="en-US" w:eastAsia="zh-CN"/>
        </w:rPr>
        <w:t>签约</w:t>
      </w:r>
      <w:r>
        <w:rPr>
          <w:rFonts w:hint="eastAsia" w:ascii="宋体" w:hAnsi="宋体" w:eastAsia="宋体" w:cs="宋体"/>
          <w:b/>
          <w:bCs/>
          <w:color w:val="auto"/>
          <w:sz w:val="21"/>
          <w:szCs w:val="21"/>
          <w:highlight w:val="none"/>
          <w:u w:val="single"/>
          <w:lang w:val="en-US" w:eastAsia="zh-CN"/>
        </w:rPr>
        <w:t>合同价款的10%。</w:t>
      </w:r>
    </w:p>
    <w:p w14:paraId="59439530">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（4）本项目不得发生重大质量事故或者在一年内不得发生两次以上较大质量事故，否则发包人有权要求承包人支付</w:t>
      </w:r>
      <w:r>
        <w:rPr>
          <w:rFonts w:hint="eastAsia" w:cs="宋体"/>
          <w:color w:val="FF0000"/>
          <w:sz w:val="21"/>
          <w:szCs w:val="21"/>
          <w:highlight w:val="none"/>
          <w:u w:val="single"/>
          <w:lang w:val="en-US" w:eastAsia="zh-CN"/>
        </w:rPr>
        <w:t>叁拾</w:t>
      </w:r>
      <w:r>
        <w:rPr>
          <w:rFonts w:hint="eastAsia" w:cs="宋体"/>
          <w:color w:val="FF0000"/>
          <w:sz w:val="21"/>
          <w:szCs w:val="21"/>
          <w:highlight w:val="none"/>
          <w:u w:val="single"/>
        </w:rPr>
        <w:t>万元/次的违约金。</w:t>
      </w:r>
    </w:p>
    <w:p w14:paraId="39FFFC0C">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（5）承包人未履行合同义务或未按合同约定履行义务的，承包人应立即纠正违约事项，赔偿因其违约给发包人造成的损失，支付违约金。除本合同已有约定外，承包人违约金按每发生一起违约事项人民币</w:t>
      </w:r>
      <w:r>
        <w:rPr>
          <w:rFonts w:hint="eastAsia" w:cs="宋体"/>
          <w:color w:val="FF0000"/>
          <w:sz w:val="21"/>
          <w:szCs w:val="21"/>
          <w:highlight w:val="none"/>
          <w:u w:val="single"/>
          <w:lang w:val="en-US" w:eastAsia="zh-CN"/>
        </w:rPr>
        <w:t>壹仟</w:t>
      </w:r>
      <w:r>
        <w:rPr>
          <w:rFonts w:hint="eastAsia" w:cs="宋体"/>
          <w:color w:val="FF0000"/>
          <w:sz w:val="21"/>
          <w:szCs w:val="21"/>
          <w:highlight w:val="none"/>
          <w:u w:val="single"/>
        </w:rPr>
        <w:t>元的标准计算，违约状态持续时，以每日人民币</w:t>
      </w:r>
      <w:r>
        <w:rPr>
          <w:rFonts w:hint="eastAsia" w:cs="宋体"/>
          <w:color w:val="FF0000"/>
          <w:sz w:val="21"/>
          <w:szCs w:val="21"/>
          <w:highlight w:val="none"/>
          <w:u w:val="single"/>
          <w:lang w:val="en-US" w:eastAsia="zh-CN"/>
        </w:rPr>
        <w:t>壹仟</w:t>
      </w:r>
      <w:r>
        <w:rPr>
          <w:rFonts w:hint="eastAsia" w:cs="宋体"/>
          <w:color w:val="FF0000"/>
          <w:sz w:val="21"/>
          <w:szCs w:val="21"/>
          <w:highlight w:val="none"/>
          <w:u w:val="single"/>
        </w:rPr>
        <w:t>元元计算，各项违约责任独立存在，违约金应予以累加。</w:t>
      </w:r>
    </w:p>
    <w:p w14:paraId="16DE7D4B">
      <w:pPr>
        <w:adjustRightInd w:val="0"/>
        <w:snapToGrid w:val="0"/>
        <w:spacing w:line="360" w:lineRule="auto"/>
        <w:ind w:firstLine="420" w:firstLineChars="200"/>
        <w:rPr>
          <w:rFonts w:cs="宋体"/>
          <w:color w:val="FF0000"/>
          <w:sz w:val="21"/>
          <w:szCs w:val="21"/>
          <w:highlight w:val="none"/>
          <w:u w:val="single"/>
        </w:rPr>
      </w:pPr>
      <w:r>
        <w:rPr>
          <w:rFonts w:hint="eastAsia" w:cs="宋体"/>
          <w:color w:val="FF0000"/>
          <w:sz w:val="21"/>
          <w:szCs w:val="21"/>
          <w:highlight w:val="none"/>
          <w:u w:val="single"/>
        </w:rPr>
        <w:t xml:space="preserve">（6）合同当事人对工程质量有争议的，由发包人聘请的第三方检测机构进行检测评定，属于质量未达到本合同有关质量约定条款的，由承包人进行返工，并承担一切费用（含检测费用） </w:t>
      </w:r>
      <w:r>
        <w:rPr>
          <w:rFonts w:hint="eastAsia" w:cs="宋体"/>
          <w:color w:val="FF0000"/>
          <w:sz w:val="21"/>
          <w:szCs w:val="21"/>
          <w:highlight w:val="none"/>
        </w:rPr>
        <w:t>。</w:t>
      </w:r>
    </w:p>
    <w:p w14:paraId="40C30E6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16.2.3 因承包人违约解除合同</w:t>
      </w:r>
    </w:p>
    <w:p w14:paraId="167C7AC3">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 </w:t>
      </w:r>
      <w:r>
        <w:rPr>
          <w:rFonts w:hint="eastAsia" w:cs="宋体"/>
          <w:color w:val="FF0000"/>
          <w:sz w:val="21"/>
          <w:szCs w:val="21"/>
          <w:highlight w:val="none"/>
          <w:u w:val="single"/>
        </w:rPr>
        <w:t>（1）承包人将其承包的全部工程转包给他人或者肢解以后以分包的名义分别转包给他人。</w:t>
      </w:r>
    </w:p>
    <w:p w14:paraId="5217DADB">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（2）承包人未经发包人事先书面同意将部分工程分包他人。</w:t>
      </w:r>
    </w:p>
    <w:p w14:paraId="1D3BE8EA">
      <w:pPr>
        <w:adjustRightInd w:val="0"/>
        <w:snapToGrid w:val="0"/>
        <w:spacing w:line="360" w:lineRule="auto"/>
        <w:ind w:firstLine="420" w:firstLineChars="200"/>
        <w:rPr>
          <w:rFonts w:cs="宋体"/>
          <w:color w:val="FF0000"/>
          <w:sz w:val="21"/>
          <w:szCs w:val="21"/>
          <w:highlight w:val="none"/>
          <w:u w:val="single"/>
        </w:rPr>
      </w:pPr>
      <w:r>
        <w:rPr>
          <w:rFonts w:hint="eastAsia" w:cs="宋体"/>
          <w:color w:val="FF0000"/>
          <w:sz w:val="21"/>
          <w:szCs w:val="21"/>
          <w:highlight w:val="none"/>
          <w:u w:val="single"/>
        </w:rPr>
        <w:t xml:space="preserve">（3）工程质量达不到合格标准  </w:t>
      </w:r>
      <w:r>
        <w:rPr>
          <w:rFonts w:hint="eastAsia" w:cs="宋体"/>
          <w:color w:val="FF0000"/>
          <w:sz w:val="21"/>
          <w:szCs w:val="21"/>
          <w:highlight w:val="none"/>
        </w:rPr>
        <w:t>。</w:t>
      </w:r>
    </w:p>
    <w:p w14:paraId="652A11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FF0000"/>
          <w:sz w:val="21"/>
          <w:szCs w:val="21"/>
          <w:highlight w:val="none"/>
          <w:u w:val="single"/>
        </w:rPr>
        <w:t xml:space="preserve">  </w:t>
      </w:r>
      <w:r>
        <w:rPr>
          <w:rFonts w:hint="eastAsia" w:cs="宋体"/>
          <w:color w:val="FF0000"/>
          <w:sz w:val="21"/>
          <w:szCs w:val="21"/>
          <w:highlight w:val="none"/>
          <w:u w:val="single"/>
          <w:lang w:val="en-US" w:eastAsia="zh-CN"/>
        </w:rPr>
        <w:t>由承包人承担</w:t>
      </w:r>
      <w:r>
        <w:rPr>
          <w:rFonts w:hint="eastAsia" w:cs="宋体"/>
          <w:color w:val="FF0000"/>
          <w:sz w:val="21"/>
          <w:szCs w:val="21"/>
          <w:highlight w:val="none"/>
          <w:u w:val="single"/>
        </w:rPr>
        <w:t xml:space="preserve"> </w:t>
      </w:r>
      <w:r>
        <w:rPr>
          <w:rFonts w:hint="eastAsia" w:cs="宋体"/>
          <w:color w:val="auto"/>
          <w:sz w:val="21"/>
          <w:szCs w:val="21"/>
          <w:highlight w:val="none"/>
        </w:rPr>
        <w:t>。</w:t>
      </w:r>
    </w:p>
    <w:p w14:paraId="01E23FAA">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 xml:space="preserve">17. 不可抗力 </w:t>
      </w:r>
    </w:p>
    <w:p w14:paraId="5AA971B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17.1 不可抗力的确认</w:t>
      </w:r>
    </w:p>
    <w:p w14:paraId="47631DAA">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rPr>
        <w:t>执行通用条款</w:t>
      </w:r>
      <w:r>
        <w:rPr>
          <w:rFonts w:hint="eastAsia" w:cs="宋体"/>
          <w:color w:val="auto"/>
          <w:sz w:val="21"/>
          <w:szCs w:val="21"/>
          <w:highlight w:val="none"/>
        </w:rPr>
        <w:t>。</w:t>
      </w:r>
    </w:p>
    <w:p w14:paraId="7753AB0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2F2990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合同解除后，发包人应在商定或确定发包人应支付款项后</w:t>
      </w:r>
      <w:r>
        <w:rPr>
          <w:rFonts w:hint="eastAsia" w:cs="宋体"/>
          <w:color w:val="auto"/>
          <w:sz w:val="21"/>
          <w:szCs w:val="21"/>
          <w:highlight w:val="none"/>
          <w:u w:val="single"/>
        </w:rPr>
        <w:t>28</w:t>
      </w:r>
      <w:r>
        <w:rPr>
          <w:rFonts w:hint="eastAsia" w:cs="宋体"/>
          <w:color w:val="auto"/>
          <w:sz w:val="21"/>
          <w:szCs w:val="21"/>
          <w:highlight w:val="none"/>
        </w:rPr>
        <w:t>天内完成款项的支付。</w:t>
      </w:r>
    </w:p>
    <w:p w14:paraId="1CB963E4">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18. 保险</w:t>
      </w:r>
    </w:p>
    <w:p w14:paraId="0A6F149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18.1 工程保险</w:t>
      </w:r>
    </w:p>
    <w:p w14:paraId="5294AE20">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关于工程保险的特别约定：</w:t>
      </w:r>
      <w:r>
        <w:rPr>
          <w:rFonts w:hint="eastAsia" w:cs="宋体"/>
          <w:b/>
          <w:color w:val="FF0000"/>
          <w:sz w:val="21"/>
          <w:szCs w:val="21"/>
          <w:highlight w:val="none"/>
          <w:u w:val="single"/>
        </w:rPr>
        <w:t xml:space="preserve">   乙方应投保建筑工程一切险或安装工程一切险    </w:t>
      </w:r>
      <w:r>
        <w:rPr>
          <w:rFonts w:hint="eastAsia" w:cs="宋体"/>
          <w:b/>
          <w:color w:val="FF0000"/>
          <w:sz w:val="21"/>
          <w:szCs w:val="21"/>
          <w:highlight w:val="none"/>
        </w:rPr>
        <w:t>。</w:t>
      </w:r>
    </w:p>
    <w:p w14:paraId="15E0DE0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18.3 其他保险</w:t>
      </w:r>
    </w:p>
    <w:p w14:paraId="74E39E58">
      <w:pPr>
        <w:adjustRightInd w:val="0"/>
        <w:snapToGrid w:val="0"/>
        <w:spacing w:line="360" w:lineRule="auto"/>
        <w:ind w:firstLine="420" w:firstLineChars="200"/>
        <w:rPr>
          <w:rFonts w:cs="宋体"/>
          <w:b/>
          <w:bCs/>
          <w:color w:val="FF0000"/>
          <w:sz w:val="21"/>
          <w:szCs w:val="21"/>
          <w:highlight w:val="none"/>
          <w:u w:val="single"/>
        </w:rPr>
      </w:pPr>
      <w:r>
        <w:rPr>
          <w:rFonts w:hint="eastAsia" w:cs="宋体"/>
          <w:color w:val="auto"/>
          <w:sz w:val="21"/>
          <w:szCs w:val="21"/>
          <w:highlight w:val="none"/>
        </w:rPr>
        <w:t>关于其他保险的约定：</w:t>
      </w:r>
      <w:r>
        <w:rPr>
          <w:rFonts w:hint="eastAsia" w:cs="宋体"/>
          <w:b/>
          <w:bCs/>
          <w:color w:val="FF0000"/>
          <w:sz w:val="21"/>
          <w:szCs w:val="21"/>
          <w:highlight w:val="none"/>
          <w:u w:val="single"/>
        </w:rPr>
        <w:t>乙方须为本项目所有从业人员购买以下保险（</w:t>
      </w:r>
      <w:r>
        <w:rPr>
          <w:rFonts w:hint="eastAsia" w:cs="宋体"/>
          <w:b/>
          <w:bCs/>
          <w:color w:val="FF0000"/>
          <w:sz w:val="21"/>
          <w:szCs w:val="21"/>
          <w:highlight w:val="none"/>
          <w:u w:val="single"/>
          <w:lang w:eastAsia="zh-CN"/>
        </w:rPr>
        <w:t>三者任选其一</w:t>
      </w:r>
      <w:r>
        <w:rPr>
          <w:rFonts w:hint="eastAsia" w:cs="宋体"/>
          <w:b/>
          <w:bCs/>
          <w:color w:val="FF0000"/>
          <w:sz w:val="21"/>
          <w:szCs w:val="21"/>
          <w:highlight w:val="none"/>
          <w:u w:val="single"/>
        </w:rPr>
        <w:t>）：雇主责任险或团体意外险</w:t>
      </w:r>
      <w:r>
        <w:rPr>
          <w:rFonts w:hint="eastAsia" w:cs="宋体"/>
          <w:b/>
          <w:bCs/>
          <w:color w:val="FF0000"/>
          <w:sz w:val="21"/>
          <w:szCs w:val="21"/>
          <w:highlight w:val="none"/>
          <w:u w:val="single"/>
          <w:lang w:val="en-US" w:eastAsia="zh-CN"/>
        </w:rPr>
        <w:t>或安全生产责任险</w:t>
      </w:r>
      <w:r>
        <w:rPr>
          <w:rFonts w:hint="eastAsia" w:cs="宋体"/>
          <w:b/>
          <w:bCs/>
          <w:color w:val="FF0000"/>
          <w:sz w:val="21"/>
          <w:szCs w:val="21"/>
          <w:highlight w:val="none"/>
          <w:u w:val="single"/>
        </w:rPr>
        <w:t>，其保险费已包含在签约合同价中。</w:t>
      </w:r>
    </w:p>
    <w:p w14:paraId="365FB49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B9854A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18.7 通知义务</w:t>
      </w:r>
    </w:p>
    <w:p w14:paraId="044B14C4">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A484926">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20. 争议解决</w:t>
      </w:r>
    </w:p>
    <w:p w14:paraId="6A3D366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20.3 争议评审</w:t>
      </w:r>
    </w:p>
    <w:p w14:paraId="398F794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48FCD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20.3.1 争议评审小组的确定</w:t>
      </w:r>
    </w:p>
    <w:p w14:paraId="1A7DAAE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4D90F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0A404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D643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C2129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20.3.2 争议评审小组的决定</w:t>
      </w:r>
    </w:p>
    <w:p w14:paraId="7193E8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2BB9A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20.4 仲裁或诉讼</w:t>
      </w:r>
    </w:p>
    <w:p w14:paraId="547D796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2 </w:t>
      </w:r>
      <w:r>
        <w:rPr>
          <w:rFonts w:hint="eastAsia" w:cs="宋体"/>
          <w:b/>
          <w:bCs/>
          <w:color w:val="auto"/>
          <w:sz w:val="21"/>
          <w:szCs w:val="21"/>
          <w:highlight w:val="none"/>
        </w:rPr>
        <w:t>种</w:t>
      </w:r>
      <w:r>
        <w:rPr>
          <w:rFonts w:hint="eastAsia" w:cs="宋体"/>
          <w:color w:val="auto"/>
          <w:sz w:val="21"/>
          <w:szCs w:val="21"/>
          <w:highlight w:val="none"/>
        </w:rPr>
        <w:t>方式解决：</w:t>
      </w:r>
    </w:p>
    <w:p w14:paraId="06117265">
      <w:pPr>
        <w:numPr>
          <w:ilvl w:val="0"/>
          <w:numId w:val="8"/>
        </w:num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w:t>
      </w:r>
      <w:r>
        <w:rPr>
          <w:rFonts w:hint="eastAsia" w:cs="宋体"/>
          <w:color w:val="auto"/>
          <w:sz w:val="24"/>
          <w:szCs w:val="24"/>
          <w:highlight w:val="none"/>
          <w:u w:val="single"/>
          <w:lang w:val="en-US" w:eastAsia="zh-CN"/>
        </w:rPr>
        <w:t>甲方</w:t>
      </w:r>
      <w:r>
        <w:rPr>
          <w:rFonts w:hint="eastAsia" w:cs="宋体"/>
          <w:color w:val="auto"/>
          <w:sz w:val="24"/>
          <w:szCs w:val="24"/>
          <w:highlight w:val="none"/>
          <w:u w:val="single"/>
        </w:rPr>
        <w:t>法人证书登记的住所地</w:t>
      </w:r>
      <w:r>
        <w:rPr>
          <w:rFonts w:hint="eastAsia" w:cs="宋体"/>
          <w:color w:val="auto"/>
          <w:sz w:val="21"/>
          <w:szCs w:val="21"/>
          <w:highlight w:val="none"/>
          <w:u w:val="single"/>
        </w:rPr>
        <w:t xml:space="preserve"> </w:t>
      </w:r>
      <w:r>
        <w:rPr>
          <w:rFonts w:hint="eastAsia" w:cs="宋体"/>
          <w:color w:val="auto"/>
          <w:sz w:val="21"/>
          <w:szCs w:val="21"/>
          <w:highlight w:val="none"/>
        </w:rPr>
        <w:t>仲裁委员会申请仲裁；</w:t>
      </w:r>
    </w:p>
    <w:p w14:paraId="6ECA75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（2）向</w:t>
      </w:r>
      <w:r>
        <w:rPr>
          <w:rFonts w:hint="eastAsia" w:cs="宋体"/>
          <w:color w:val="auto"/>
          <w:sz w:val="24"/>
          <w:szCs w:val="24"/>
          <w:highlight w:val="none"/>
          <w:u w:val="single"/>
          <w:lang w:val="en-US" w:eastAsia="zh-CN"/>
        </w:rPr>
        <w:t>甲方</w:t>
      </w:r>
      <w:r>
        <w:rPr>
          <w:rFonts w:hint="eastAsia" w:cs="宋体"/>
          <w:color w:val="auto"/>
          <w:sz w:val="24"/>
          <w:szCs w:val="24"/>
          <w:highlight w:val="none"/>
          <w:u w:val="single"/>
        </w:rPr>
        <w:t>法人证书登记的住所地</w:t>
      </w:r>
      <w:r>
        <w:rPr>
          <w:rFonts w:hint="eastAsia" w:cs="宋体"/>
          <w:color w:val="auto"/>
          <w:sz w:val="21"/>
          <w:szCs w:val="21"/>
          <w:highlight w:val="none"/>
        </w:rPr>
        <w:t>人民法院起诉。</w:t>
      </w:r>
    </w:p>
    <w:p w14:paraId="4E8B3E5C">
      <w:pPr>
        <w:snapToGrid w:val="0"/>
        <w:spacing w:before="312" w:beforeLines="100" w:after="312" w:afterLines="100" w:line="360" w:lineRule="auto"/>
        <w:outlineLvl w:val="2"/>
        <w:rPr>
          <w:rFonts w:hint="eastAsia" w:cs="宋体"/>
          <w:color w:val="auto"/>
          <w:sz w:val="21"/>
          <w:szCs w:val="21"/>
          <w:highlight w:val="none"/>
        </w:rPr>
      </w:pPr>
      <w:r>
        <w:rPr>
          <w:rFonts w:hint="eastAsia" w:cs="宋体"/>
          <w:color w:val="auto"/>
          <w:sz w:val="21"/>
          <w:szCs w:val="21"/>
          <w:highlight w:val="none"/>
        </w:rPr>
        <w:t xml:space="preserve">21. 补充条款 </w:t>
      </w:r>
    </w:p>
    <w:p w14:paraId="1852DF79">
      <w:pPr>
        <w:pStyle w:val="19"/>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微软简标宋"/>
          <w:color w:val="auto"/>
          <w:highlight w:val="none"/>
          <w:lang w:val="en-US" w:eastAsia="zh-CN"/>
        </w:rPr>
      </w:pP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p>
    <w:p w14:paraId="32E87A11">
      <w:pPr>
        <w:snapToGrid w:val="0"/>
        <w:spacing w:line="360" w:lineRule="auto"/>
        <w:rPr>
          <w:rFonts w:cs="宋体"/>
          <w:b/>
          <w:color w:val="auto"/>
          <w:sz w:val="21"/>
          <w:szCs w:val="21"/>
          <w:highlight w:val="none"/>
        </w:rPr>
      </w:pPr>
    </w:p>
    <w:p w14:paraId="43006277">
      <w:pPr>
        <w:snapToGrid w:val="0"/>
        <w:spacing w:line="360" w:lineRule="auto"/>
        <w:rPr>
          <w:rFonts w:cs="宋体"/>
          <w:color w:val="auto"/>
          <w:sz w:val="21"/>
          <w:szCs w:val="21"/>
          <w:highlight w:val="none"/>
        </w:rPr>
      </w:pPr>
      <w:r>
        <w:rPr>
          <w:rFonts w:hint="eastAsia" w:cs="宋体"/>
          <w:color w:val="auto"/>
          <w:sz w:val="21"/>
          <w:szCs w:val="21"/>
          <w:highlight w:val="none"/>
        </w:rPr>
        <w:t>发包人：  （公章）                           承包人：  （公章）</w:t>
      </w:r>
    </w:p>
    <w:p w14:paraId="2486A5D6">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5F9895ED">
      <w:pPr>
        <w:snapToGrid w:val="0"/>
        <w:spacing w:line="360" w:lineRule="auto"/>
        <w:rPr>
          <w:rFonts w:cs="宋体"/>
          <w:color w:val="auto"/>
          <w:sz w:val="21"/>
          <w:szCs w:val="21"/>
          <w:highlight w:val="none"/>
        </w:rPr>
      </w:pPr>
      <w:r>
        <w:rPr>
          <w:rFonts w:hint="eastAsia" w:cs="宋体"/>
          <w:color w:val="auto"/>
          <w:sz w:val="21"/>
          <w:szCs w:val="21"/>
          <w:highlight w:val="none"/>
        </w:rPr>
        <w:t>（签字）                                  （签字）</w:t>
      </w:r>
    </w:p>
    <w:p w14:paraId="6D9D7ED3">
      <w:pPr>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p>
    <w:p w14:paraId="14137965">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66057F6D">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957D726">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4C65E084">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6F966F72">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2218646A">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01FA4207">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 xml:space="preserve">   </w:t>
      </w:r>
    </w:p>
    <w:p w14:paraId="3C042A65">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3A889D0D">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280007AE">
      <w:pPr>
        <w:spacing w:before="312" w:beforeLines="100" w:after="312" w:afterLines="100"/>
        <w:outlineLvl w:val="2"/>
        <w:rPr>
          <w:rFonts w:ascii="Times New Roman" w:eastAsia="黑体"/>
          <w:color w:val="auto"/>
          <w:sz w:val="24"/>
          <w:szCs w:val="24"/>
          <w:highlight w:val="none"/>
        </w:rPr>
      </w:pPr>
      <w:r>
        <w:rPr>
          <w:rFonts w:hint="eastAsia" w:cs="宋体"/>
          <w:bCs/>
          <w:color w:val="auto"/>
          <w:sz w:val="21"/>
          <w:szCs w:val="21"/>
          <w:highlight w:val="none"/>
        </w:rPr>
        <w:br w:type="page"/>
      </w: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1</w:t>
      </w:r>
      <w:r>
        <w:rPr>
          <w:rFonts w:hint="eastAsia" w:ascii="Times New Roman" w:eastAsia="黑体"/>
          <w:color w:val="auto"/>
          <w:sz w:val="24"/>
          <w:szCs w:val="24"/>
          <w:highlight w:val="none"/>
        </w:rPr>
        <w:t>：廉政协议</w:t>
      </w:r>
    </w:p>
    <w:p w14:paraId="42195B96">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廉政协议书</w:t>
      </w:r>
    </w:p>
    <w:p w14:paraId="6C7B10D0">
      <w:pPr>
        <w:widowControl/>
        <w:adjustRightInd w:val="0"/>
        <w:snapToGrid w:val="0"/>
        <w:spacing w:line="360" w:lineRule="auto"/>
        <w:ind w:firstLine="400" w:firstLineChars="200"/>
        <w:jc w:val="left"/>
        <w:rPr>
          <w:rFonts w:hint="default" w:ascii="Times New Roman" w:hAnsi="Times New Roman" w:cs="Times New Roman"/>
          <w:color w:val="auto"/>
          <w:kern w:val="0"/>
          <w:szCs w:val="21"/>
          <w:highlight w:val="none"/>
        </w:rPr>
      </w:pPr>
      <w:bookmarkStart w:id="52" w:name="OLE_LINK11"/>
      <w:bookmarkStart w:id="53" w:name="OLE_LINK10"/>
    </w:p>
    <w:bookmarkEnd w:id="52"/>
    <w:bookmarkEnd w:id="53"/>
    <w:p w14:paraId="0044C7C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为促进双方诚信经营、廉洁从业，防范商业贿赂，保护国家、集体和当事人的合法权益，根据国家有关法律法规和安徽省廉政建设的规定，</w:t>
      </w:r>
      <w:r>
        <w:rPr>
          <w:rFonts w:hint="eastAsia" w:cs="宋体"/>
          <w:color w:val="auto"/>
          <w:sz w:val="24"/>
          <w:szCs w:val="24"/>
          <w:highlight w:val="none"/>
          <w:u w:val="single"/>
        </w:rPr>
        <w:t xml:space="preserve">     </w:t>
      </w:r>
      <w:r>
        <w:rPr>
          <w:rFonts w:hint="eastAsia" w:cs="宋体"/>
          <w:color w:val="auto"/>
          <w:sz w:val="24"/>
          <w:szCs w:val="24"/>
          <w:highlight w:val="none"/>
        </w:rPr>
        <w:t>（以下称甲方）与</w:t>
      </w:r>
      <w:r>
        <w:rPr>
          <w:rFonts w:hint="eastAsia" w:cs="宋体"/>
          <w:color w:val="auto"/>
          <w:sz w:val="24"/>
          <w:szCs w:val="24"/>
          <w:highlight w:val="none"/>
          <w:u w:val="single"/>
        </w:rPr>
        <w:t xml:space="preserve">             （</w:t>
      </w:r>
      <w:r>
        <w:rPr>
          <w:rFonts w:hint="eastAsia" w:cs="宋体"/>
          <w:color w:val="auto"/>
          <w:sz w:val="24"/>
          <w:szCs w:val="24"/>
          <w:highlight w:val="none"/>
        </w:rPr>
        <w:t>以下称乙方），特此订立本协议共同遵照执行。</w:t>
      </w:r>
    </w:p>
    <w:p w14:paraId="134A0DF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第一条 甲乙双方的权利和义务</w:t>
      </w:r>
    </w:p>
    <w:p w14:paraId="67F7460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58F3182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（二）严格执行</w:t>
      </w:r>
      <w:r>
        <w:rPr>
          <w:rFonts w:hint="eastAsia" w:cs="宋体"/>
          <w:color w:val="auto"/>
          <w:sz w:val="24"/>
          <w:szCs w:val="24"/>
          <w:highlight w:val="none"/>
          <w:u w:val="single"/>
        </w:rPr>
        <w:t xml:space="preserve">                                </w:t>
      </w:r>
      <w:r>
        <w:rPr>
          <w:rFonts w:hint="eastAsia" w:cs="宋体"/>
          <w:color w:val="auto"/>
          <w:sz w:val="24"/>
          <w:szCs w:val="24"/>
          <w:highlight w:val="none"/>
        </w:rPr>
        <w:t>的合同要求，自觉履行合同约定的相关义务。</w:t>
      </w:r>
    </w:p>
    <w:p w14:paraId="4C83959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（三）在业务活动中坚持公开、公正、诚信、透明的原则，不得损害国家、集体利益。</w:t>
      </w:r>
    </w:p>
    <w:p w14:paraId="7AFB428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（四）建立健全廉政制度，开展廉政教育，公布举报电话，监督并认真查处违法违纪行为。</w:t>
      </w:r>
    </w:p>
    <w:p w14:paraId="2AB1295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（五）发现对方在业务活动中有违反廉政规定的行为，应及时提醒对方纠正。情节严重的，应向其上级有关部门举报、建议给予处理，并有权要求告知处理结果。</w:t>
      </w:r>
    </w:p>
    <w:p w14:paraId="7793AC4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第二条 甲方的义务</w:t>
      </w:r>
    </w:p>
    <w:p w14:paraId="7296F1C6">
      <w:pPr>
        <w:widowControl/>
        <w:spacing w:line="360" w:lineRule="auto"/>
        <w:ind w:firstLine="600" w:firstLineChars="250"/>
        <w:jc w:val="left"/>
        <w:rPr>
          <w:rFonts w:cs="宋体"/>
          <w:color w:val="auto"/>
          <w:sz w:val="24"/>
          <w:szCs w:val="24"/>
          <w:highlight w:val="none"/>
        </w:rPr>
      </w:pPr>
      <w:r>
        <w:rPr>
          <w:rFonts w:hint="eastAsia" w:cs="宋体"/>
          <w:color w:val="auto"/>
          <w:sz w:val="24"/>
          <w:szCs w:val="24"/>
          <w:highlight w:val="none"/>
        </w:rPr>
        <w:t>（一）甲方及其工作人员不得索要或接受乙方的礼金、有价证券和贵重物品，不得在乙方报销任何应由甲方单位或个人支付的费用等。</w:t>
      </w:r>
    </w:p>
    <w:p w14:paraId="480EE8F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18BC67F">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 甲方及其工作人员不得要求或者接受乙方为其住房装修、婚丧嫁娶活动、配偶子女工作安排以及出国出境、旅游等提供方便等。</w:t>
      </w:r>
    </w:p>
    <w:p w14:paraId="7288300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 甲方工作人员不得在乙方有股权关联的企业兼职，不得向乙方介绍家属或者亲友从事与甲方业务有关的经济活动。</w:t>
      </w:r>
    </w:p>
    <w:p w14:paraId="2BE7BD3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（五）甲方工作人员不得以明显低于市场的价格向乙方购买房屋、汽车等物品；不得以明显高于市场的价格向乙方出售房屋、汽车等物品；不得以其他交易形式非法收受请托人财物。</w:t>
      </w:r>
    </w:p>
    <w:p w14:paraId="0F0B454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（六）甲方工作人员不得利用职务之便收受乙方以回扣、手续费、加班费、咨询费、劳务费、协调费、辛苦费等各种名义给予或赠送的钱物。</w:t>
      </w:r>
    </w:p>
    <w:p w14:paraId="3CC0FFD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（七）甲方工作人员不得接受乙方给予或赠送的干股或红利。</w:t>
      </w:r>
    </w:p>
    <w:p w14:paraId="4F42F21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（八）甲方任何人不得以个人的名义向乙方推荐设备、部件等供货商以及其他合作单位。</w:t>
      </w:r>
    </w:p>
    <w:p w14:paraId="07E6D3A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第三条 乙方的义务</w:t>
      </w:r>
    </w:p>
    <w:p w14:paraId="67800EC0">
      <w:pPr>
        <w:widowControl/>
        <w:spacing w:line="360" w:lineRule="auto"/>
        <w:ind w:firstLine="600" w:firstLineChars="250"/>
        <w:jc w:val="left"/>
        <w:rPr>
          <w:rFonts w:cs="宋体"/>
          <w:color w:val="auto"/>
          <w:sz w:val="24"/>
          <w:szCs w:val="24"/>
          <w:highlight w:val="none"/>
        </w:rPr>
      </w:pPr>
      <w:r>
        <w:rPr>
          <w:rFonts w:hint="eastAsia" w:cs="宋体"/>
          <w:color w:val="auto"/>
          <w:sz w:val="24"/>
          <w:szCs w:val="24"/>
          <w:highlight w:val="none"/>
        </w:rPr>
        <w:t>（一）乙方不得以任何理由向甲方及其工作人员行贿或馈赠礼金、有价证券、贵重礼品。</w:t>
      </w:r>
    </w:p>
    <w:p w14:paraId="7BD1CFC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（二）乙方不得以任何名义为甲方及其工作人员报销应由甲方单位或个人支付的任何费用。</w:t>
      </w:r>
    </w:p>
    <w:p w14:paraId="27B7A3C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（三）乙方不得以任何理由安排甲方工作人员参加可能影响相关业务公开、公正、公平性的宴请及娱乐活动。</w:t>
      </w:r>
    </w:p>
    <w:p w14:paraId="279AF3D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（四）乙方不得为甲方单位和个人购置或提供通讯工具和高档办公用品等物品，也不得为甲方提供与工作无关的房屋、汽车等。</w:t>
      </w:r>
    </w:p>
    <w:p w14:paraId="64F1B139">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（五）乙方不得与甲方工作人员就合同中的质量、数量、价格、工程量、验收等条款进行私下商谈或者达成默契。</w:t>
      </w:r>
    </w:p>
    <w:p w14:paraId="6F205CC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（六）乙方不得以回扣、手续费、加班费、咨询费、劳务费、协调费、辛苦费等各种名义向甲方工作人员给予或赠送钱物。</w:t>
      </w:r>
    </w:p>
    <w:p w14:paraId="1F90FACC">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（七）乙方不得向甲方工作人员提供干股或红利。</w:t>
      </w:r>
    </w:p>
    <w:p w14:paraId="3A2F35D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第四条 违约责任</w:t>
      </w:r>
    </w:p>
    <w:p w14:paraId="19E00219">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31E4D663">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（二）乙方及其工作人员违反本协议第一、三条规定。根据具体情节和造成的后果，甲方有权对乙方采取以下一种或多种处理办法：</w:t>
      </w:r>
    </w:p>
    <w:p w14:paraId="56422B6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1. 全额收取乙方合同履约保证金不予退还； </w:t>
      </w:r>
    </w:p>
    <w:p w14:paraId="45A308C0">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2. 追究乙方其他违约责任；</w:t>
      </w:r>
    </w:p>
    <w:p w14:paraId="09F1C13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3. 终止或解除双方已签订的包括本合同在内的所有合同；</w:t>
      </w:r>
    </w:p>
    <w:p w14:paraId="1604857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4. 乙方一定期限内（6个月至3年，具体由甲方根据情况而定）不得参与甲方作为发包人（业主）的工程项目投标。</w:t>
      </w:r>
    </w:p>
    <w:p w14:paraId="3418448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甲方作出的处理意见，乙方应无条件接受并承担给甲方造成的损失，全额返还通过不正当手段从甲方获取的非法所得，并承担相应的法律责任。</w:t>
      </w:r>
    </w:p>
    <w:p w14:paraId="06B993D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第五条 双方约定</w:t>
      </w:r>
    </w:p>
    <w:p w14:paraId="5281486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4C89A3D0">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第六条  本协议有效期为甲乙双方签署之日起至合同终止。  </w:t>
      </w:r>
    </w:p>
    <w:p w14:paraId="0E4879A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第七条  本协议作为合同的附件，与本合同具有同等法律效力。</w:t>
      </w:r>
    </w:p>
    <w:p w14:paraId="633CC21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 </w:t>
      </w:r>
    </w:p>
    <w:p w14:paraId="30F2F96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甲方（盖章）： </w:t>
      </w:r>
      <w:r>
        <w:rPr>
          <w:rFonts w:hint="eastAsia" w:cs="宋体"/>
          <w:color w:val="auto"/>
          <w:sz w:val="24"/>
          <w:szCs w:val="24"/>
          <w:highlight w:val="none"/>
          <w:u w:val="single"/>
        </w:rPr>
        <w:t xml:space="preserve">                  </w:t>
      </w:r>
      <w:r>
        <w:rPr>
          <w:rFonts w:hint="eastAsia" w:cs="宋体"/>
          <w:color w:val="auto"/>
          <w:sz w:val="24"/>
          <w:szCs w:val="24"/>
          <w:highlight w:val="none"/>
        </w:rPr>
        <w:t xml:space="preserve">     乙方（盖章）：</w:t>
      </w:r>
      <w:r>
        <w:rPr>
          <w:rFonts w:hint="eastAsia" w:cs="宋体"/>
          <w:color w:val="auto"/>
          <w:sz w:val="24"/>
          <w:szCs w:val="24"/>
          <w:highlight w:val="none"/>
          <w:u w:val="single"/>
        </w:rPr>
        <w:t xml:space="preserve">             </w:t>
      </w:r>
    </w:p>
    <w:p w14:paraId="5810118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法定代表人或                          法定代表人或</w:t>
      </w:r>
    </w:p>
    <w:p w14:paraId="20CD456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授权代表：</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lang w:val="en-US" w:eastAsia="zh-CN"/>
        </w:rPr>
        <w:t>签字</w:t>
      </w:r>
      <w:r>
        <w:rPr>
          <w:rFonts w:hint="eastAsia" w:cs="宋体"/>
          <w:color w:val="auto"/>
          <w:sz w:val="24"/>
          <w:szCs w:val="24"/>
          <w:highlight w:val="none"/>
        </w:rPr>
        <w:t>)         授权代表：</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lang w:val="en-US" w:eastAsia="zh-CN"/>
        </w:rPr>
        <w:t>签字</w:t>
      </w:r>
      <w:r>
        <w:rPr>
          <w:rFonts w:hint="eastAsia" w:cs="宋体"/>
          <w:color w:val="auto"/>
          <w:sz w:val="24"/>
          <w:szCs w:val="24"/>
          <w:highlight w:val="none"/>
        </w:rPr>
        <w:t>)</w:t>
      </w:r>
    </w:p>
    <w:p w14:paraId="1A1BA25B">
      <w:pPr>
        <w:spacing w:before="312" w:beforeLines="100" w:after="312" w:afterLines="100"/>
        <w:outlineLvl w:val="9"/>
        <w:rPr>
          <w:rFonts w:hint="eastAsia" w:ascii="Times New Roman" w:eastAsia="黑体"/>
          <w:color w:val="auto"/>
          <w:sz w:val="24"/>
          <w:szCs w:val="24"/>
          <w:highlight w:val="none"/>
        </w:rPr>
      </w:pPr>
    </w:p>
    <w:p w14:paraId="576EC577">
      <w:pPr>
        <w:rPr>
          <w:color w:val="auto"/>
          <w:highlight w:val="none"/>
        </w:rPr>
      </w:pPr>
    </w:p>
    <w:p w14:paraId="6AFCC611">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3CF5F668">
      <w:pPr>
        <w:spacing w:before="156" w:beforeLines="50" w:after="156" w:afterLines="50" w:line="360" w:lineRule="auto"/>
        <w:jc w:val="left"/>
        <w:outlineLvl w:val="2"/>
        <w:rPr>
          <w:rFonts w:hint="eastAsia" w:ascii="Times New Roman" w:eastAsia="黑体"/>
          <w:color w:val="auto"/>
          <w:sz w:val="24"/>
          <w:szCs w:val="24"/>
          <w:highlight w:val="none"/>
          <w:lang w:val="en-US" w:eastAsia="zh-CN"/>
        </w:rPr>
      </w:pP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2</w:t>
      </w:r>
      <w:r>
        <w:rPr>
          <w:rFonts w:hint="eastAsia" w:ascii="Times New Roman" w:eastAsia="黑体"/>
          <w:color w:val="auto"/>
          <w:sz w:val="24"/>
          <w:szCs w:val="24"/>
          <w:highlight w:val="none"/>
        </w:rPr>
        <w:t>：</w:t>
      </w:r>
      <w:r>
        <w:rPr>
          <w:rFonts w:hint="eastAsia" w:ascii="Times New Roman" w:eastAsia="黑体"/>
          <w:color w:val="auto"/>
          <w:sz w:val="24"/>
          <w:szCs w:val="24"/>
          <w:highlight w:val="none"/>
          <w:lang w:val="en-US" w:eastAsia="zh-CN"/>
        </w:rPr>
        <w:t>安全生产合同</w:t>
      </w:r>
      <w:bookmarkStart w:id="54" w:name="bookmark1864"/>
    </w:p>
    <w:p w14:paraId="526F6042">
      <w:pPr>
        <w:spacing w:before="156" w:beforeLines="50" w:after="156" w:afterLines="50" w:line="360" w:lineRule="auto"/>
        <w:jc w:val="center"/>
        <w:rPr>
          <w:rFonts w:cs="宋体"/>
          <w:b/>
          <w:color w:val="auto"/>
          <w:sz w:val="28"/>
          <w:szCs w:val="28"/>
          <w:highlight w:val="none"/>
        </w:rPr>
      </w:pPr>
      <w:r>
        <w:rPr>
          <w:rFonts w:hint="eastAsia" w:cs="宋体"/>
          <w:b/>
          <w:color w:val="auto"/>
          <w:sz w:val="28"/>
          <w:szCs w:val="28"/>
          <w:highlight w:val="none"/>
        </w:rPr>
        <w:t>安全生产合同</w:t>
      </w:r>
    </w:p>
    <w:p w14:paraId="6FDEB51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（项目名称）合同的实施过程中创造安全、高效的施工环境，切实搞好本项目的安全管理工作，本项目</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名称，以下简称“</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名称，以下简称“</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”）特此签订安全生产合同：</w:t>
      </w:r>
    </w:p>
    <w:bookmarkEnd w:id="54"/>
    <w:p w14:paraId="22FBB3BE">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bookmarkStart w:id="55" w:name="bookmark1868"/>
      <w:r>
        <w:rPr>
          <w:rFonts w:hint="eastAsia" w:asciiTheme="minorEastAsia" w:hAnsiTheme="minorEastAsia" w:eastAsiaTheme="minorEastAsia" w:cstheme="minorEastAsia"/>
          <w:bCs/>
          <w:color w:val="auto"/>
          <w:sz w:val="24"/>
          <w:szCs w:val="24"/>
          <w:highlight w:val="none"/>
          <w:lang w:eastAsia="zh-CN"/>
        </w:rPr>
        <w:t>一</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职责</w:t>
      </w:r>
    </w:p>
    <w:p w14:paraId="3B409F14">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甲方</w:t>
      </w:r>
      <w:r>
        <w:rPr>
          <w:rFonts w:hint="eastAsia" w:asciiTheme="minorEastAsia" w:hAnsiTheme="minorEastAsia" w:eastAsiaTheme="minorEastAsia" w:cstheme="minorEastAsia"/>
          <w:bCs/>
          <w:color w:val="auto"/>
          <w:sz w:val="24"/>
          <w:szCs w:val="24"/>
          <w:highlight w:val="none"/>
        </w:rPr>
        <w:t>依据《中华人民共和国安全生产法》等法律法规规定责任，全面履行自己应有的权利和义务。</w:t>
      </w:r>
    </w:p>
    <w:p w14:paraId="01CE0EDD">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eastAsia="zh-CN"/>
        </w:rPr>
        <w:t>甲方</w:t>
      </w:r>
      <w:r>
        <w:rPr>
          <w:rFonts w:hint="eastAsia" w:asciiTheme="minorEastAsia" w:hAnsiTheme="minorEastAsia" w:eastAsiaTheme="minorEastAsia" w:cstheme="minorEastAsia"/>
          <w:bCs/>
          <w:color w:val="auto"/>
          <w:sz w:val="24"/>
          <w:szCs w:val="24"/>
          <w:highlight w:val="none"/>
        </w:rPr>
        <w:t>对</w:t>
      </w:r>
      <w:r>
        <w:rPr>
          <w:rFonts w:hint="eastAsia" w:asciiTheme="minorEastAsia" w:hAnsiTheme="minorEastAsia" w:eastAsiaTheme="minorEastAsia" w:cstheme="minorEastAsia"/>
          <w:bCs/>
          <w:color w:val="auto"/>
          <w:sz w:val="24"/>
          <w:szCs w:val="24"/>
          <w:highlight w:val="none"/>
          <w:lang w:eastAsia="zh-CN"/>
        </w:rPr>
        <w:t>乙方施工</w:t>
      </w:r>
      <w:r>
        <w:rPr>
          <w:rFonts w:hint="eastAsia" w:asciiTheme="minorEastAsia" w:hAnsiTheme="minorEastAsia" w:eastAsiaTheme="minorEastAsia" w:cstheme="minorEastAsia"/>
          <w:bCs/>
          <w:color w:val="auto"/>
          <w:sz w:val="24"/>
          <w:szCs w:val="24"/>
          <w:highlight w:val="none"/>
        </w:rPr>
        <w:t>安全具有监督、检查和指导的权利。</w:t>
      </w:r>
    </w:p>
    <w:bookmarkEnd w:id="55"/>
    <w:p w14:paraId="3E3514B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w:t>
      </w:r>
      <w:bookmarkStart w:id="56" w:name="bookmark1869"/>
      <w:bookmarkEnd w:id="56"/>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职责</w:t>
      </w:r>
    </w:p>
    <w:p w14:paraId="52ABE18B">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要严格执行国家已发布的有关法律法规和地方政府有关安全管理的规定，严格各项安全生产的规章制度和方案。</w:t>
      </w:r>
    </w:p>
    <w:p w14:paraId="362F961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lang w:val="en-US" w:eastAsia="zh-CN"/>
        </w:rPr>
        <w:t>在开工前，</w:t>
      </w:r>
      <w:r>
        <w:rPr>
          <w:rFonts w:hint="eastAsia" w:asciiTheme="minorEastAsia" w:hAnsiTheme="minorEastAsia" w:eastAsiaTheme="minorEastAsia" w:cstheme="minorEastAsia"/>
          <w:b w:val="0"/>
          <w:bCs/>
          <w:color w:val="auto"/>
          <w:kern w:val="2"/>
          <w:sz w:val="24"/>
          <w:szCs w:val="24"/>
          <w:highlight w:val="none"/>
          <w:lang w:val="en-US" w:eastAsia="zh-CN" w:bidi="ar-SA"/>
        </w:rPr>
        <w:t>必须</w:t>
      </w:r>
      <w:r>
        <w:rPr>
          <w:rFonts w:hint="eastAsia" w:asciiTheme="minorEastAsia" w:hAnsiTheme="minorEastAsia" w:eastAsiaTheme="minorEastAsia" w:cstheme="minorEastAsia"/>
          <w:b/>
          <w:bCs/>
          <w:color w:val="FF0000"/>
          <w:sz w:val="24"/>
          <w:szCs w:val="24"/>
          <w:highlight w:val="none"/>
          <w:lang w:val="en-US" w:eastAsia="zh-CN"/>
        </w:rPr>
        <w:t>进行安全技术交底，落实施工过程中所有安全技术措施和人身防护用品，未经落实的不得进行施工。</w:t>
      </w:r>
      <w:r>
        <w:rPr>
          <w:rFonts w:hint="eastAsia" w:asciiTheme="minorEastAsia" w:hAnsiTheme="minorEastAsia" w:eastAsiaTheme="minorEastAsia" w:cstheme="minorEastAsia"/>
          <w:b w:val="0"/>
          <w:bCs/>
          <w:color w:val="auto"/>
          <w:kern w:val="2"/>
          <w:sz w:val="24"/>
          <w:szCs w:val="24"/>
          <w:highlight w:val="none"/>
          <w:lang w:val="en-US" w:eastAsia="zh-CN" w:bidi="ar-SA"/>
        </w:rPr>
        <w:t>明确各级人员的安全生产责任，</w:t>
      </w:r>
      <w:r>
        <w:rPr>
          <w:rFonts w:hint="eastAsia" w:asciiTheme="minorEastAsia" w:hAnsiTheme="minorEastAsia" w:eastAsiaTheme="minorEastAsia" w:cstheme="minorEastAsia"/>
          <w:color w:val="auto"/>
          <w:sz w:val="24"/>
          <w:szCs w:val="24"/>
          <w:highlight w:val="none"/>
        </w:rPr>
        <w:t>对所有参与现场</w:t>
      </w:r>
      <w:r>
        <w:rPr>
          <w:rFonts w:hint="eastAsia" w:asciiTheme="minorEastAsia" w:hAnsiTheme="minorEastAsia" w:eastAsiaTheme="minorEastAsia" w:cstheme="minorEastAsia"/>
          <w:color w:val="auto"/>
          <w:sz w:val="24"/>
          <w:szCs w:val="24"/>
          <w:highlight w:val="none"/>
          <w:lang w:val="en-US" w:eastAsia="zh-CN"/>
        </w:rPr>
        <w:t>作业</w:t>
      </w:r>
      <w:r>
        <w:rPr>
          <w:rFonts w:hint="eastAsia" w:asciiTheme="minorEastAsia" w:hAnsiTheme="minorEastAsia" w:eastAsiaTheme="minorEastAsia" w:cstheme="minorEastAsia"/>
          <w:color w:val="auto"/>
          <w:sz w:val="24"/>
          <w:szCs w:val="24"/>
          <w:highlight w:val="none"/>
        </w:rPr>
        <w:t>的人员进行安全教育，使其具备安全意识和应对突发情况的能力。临水临空等安全风险较大的作业应有现场安全监督人员现场监督，并通知管理单位技术人员到场。</w:t>
      </w:r>
    </w:p>
    <w:p w14:paraId="635991A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等特殊工种的人员，并将特种作业人员名单和特种作业证上报</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审查，无证人员禁止从事特种作业；施工现场如出现特种作业无证操作现象时，</w:t>
      </w:r>
      <w:r>
        <w:rPr>
          <w:rFonts w:hint="eastAsia" w:asciiTheme="minorEastAsia" w:hAnsiTheme="minorEastAsia" w:eastAsiaTheme="minorEastAsia" w:cstheme="minorEastAsia"/>
          <w:color w:val="auto"/>
          <w:sz w:val="24"/>
          <w:szCs w:val="24"/>
          <w:highlight w:val="none"/>
          <w:lang w:eastAsia="zh-CN"/>
        </w:rPr>
        <w:t>项目负责人</w:t>
      </w:r>
      <w:r>
        <w:rPr>
          <w:rFonts w:hint="eastAsia" w:asciiTheme="minorEastAsia" w:hAnsiTheme="minorEastAsia" w:eastAsiaTheme="minorEastAsia" w:cstheme="minorEastAsia"/>
          <w:color w:val="auto"/>
          <w:sz w:val="24"/>
          <w:szCs w:val="24"/>
          <w:highlight w:val="none"/>
        </w:rPr>
        <w:t>必须承担管理责任。</w:t>
      </w:r>
    </w:p>
    <w:p w14:paraId="4BB68521">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乙方现场临时用电，严格执行国家相关标准规定。清洁电气设备时停电作业，电源箱或开关握柄挂“有人操作，严禁合闸”的警示牌，并设专人看管，现场临时架设的线路，严禁搭在钢筋、脚手架上，必须安设绝缘支承物。</w:t>
      </w:r>
    </w:p>
    <w:p w14:paraId="259E5EF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高空作业时，禁止穿硬底和带钉易滑的鞋，患有心脏病、高血压、精神病、癫痫病</w:t>
      </w:r>
      <w:r>
        <w:rPr>
          <w:rFonts w:hint="eastAsia" w:asciiTheme="minorEastAsia" w:hAnsiTheme="minorEastAsia" w:eastAsiaTheme="minorEastAsia" w:cstheme="minorEastAsia"/>
          <w:color w:val="auto"/>
          <w:sz w:val="24"/>
          <w:szCs w:val="24"/>
          <w:highlight w:val="none"/>
          <w:lang w:eastAsia="zh-CN"/>
        </w:rPr>
        <w:t>患者</w:t>
      </w:r>
      <w:r>
        <w:rPr>
          <w:rFonts w:hint="eastAsia" w:asciiTheme="minorEastAsia" w:hAnsiTheme="minorEastAsia" w:eastAsiaTheme="minorEastAsia" w:cstheme="minorEastAsia"/>
          <w:color w:val="auto"/>
          <w:sz w:val="24"/>
          <w:szCs w:val="24"/>
          <w:highlight w:val="none"/>
        </w:rPr>
        <w:t>禁止从事高空操作，高空作业操作人员要系安全带，并且安全带要固定牢靠。</w:t>
      </w:r>
    </w:p>
    <w:p w14:paraId="7597551B">
      <w:pPr>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攀爬作业人员，必须经过专业技术培训，持证上岗，并定期进行身体检查。非作业人员不准在高处作业面上。</w:t>
      </w:r>
    </w:p>
    <w:p w14:paraId="66C18973">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遇高温天气，应结合天气、</w:t>
      </w:r>
      <w:r>
        <w:rPr>
          <w:rFonts w:hint="eastAsia" w:asciiTheme="minorEastAsia" w:hAnsiTheme="minorEastAsia" w:eastAsiaTheme="minorEastAsia" w:cstheme="minorEastAsia"/>
          <w:color w:val="auto"/>
          <w:sz w:val="24"/>
          <w:szCs w:val="24"/>
          <w:highlight w:val="none"/>
          <w:lang w:val="en-US" w:eastAsia="zh-CN"/>
        </w:rPr>
        <w:t>施工</w:t>
      </w:r>
      <w:r>
        <w:rPr>
          <w:rFonts w:hint="eastAsia" w:asciiTheme="minorEastAsia" w:hAnsiTheme="minorEastAsia" w:eastAsiaTheme="minorEastAsia" w:cstheme="minorEastAsia"/>
          <w:color w:val="auto"/>
          <w:sz w:val="24"/>
          <w:szCs w:val="24"/>
          <w:highlight w:val="none"/>
        </w:rPr>
        <w:t>进度等实际情况，加强作业人员身心关怀，合理安排作业时间，及时安排休息避暑，并配备防暑降温等</w:t>
      </w:r>
      <w:r>
        <w:rPr>
          <w:rFonts w:hint="eastAsia" w:asciiTheme="minorEastAsia" w:hAnsiTheme="minorEastAsia" w:eastAsiaTheme="minorEastAsia" w:cstheme="minorEastAsia"/>
          <w:color w:val="auto"/>
          <w:sz w:val="24"/>
          <w:szCs w:val="24"/>
          <w:highlight w:val="none"/>
          <w:lang w:eastAsia="zh-CN"/>
        </w:rPr>
        <w:t>必需的</w:t>
      </w:r>
      <w:r>
        <w:rPr>
          <w:rFonts w:hint="eastAsia" w:asciiTheme="minorEastAsia" w:hAnsiTheme="minorEastAsia" w:eastAsiaTheme="minorEastAsia" w:cstheme="minorEastAsia"/>
          <w:color w:val="auto"/>
          <w:sz w:val="24"/>
          <w:szCs w:val="24"/>
          <w:highlight w:val="none"/>
        </w:rPr>
        <w:t>应急药品、物品，避免人员中暑、疲劳作业等情况。</w:t>
      </w:r>
    </w:p>
    <w:p w14:paraId="3DCB562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操作人员上岗，必须按规定穿戴防护用品。施工负责人和安全检查员应随时检查劳动防护用品的穿戴情况，不按规定穿戴防护用品的人员不得上岗。</w:t>
      </w:r>
    </w:p>
    <w:p w14:paraId="4942AB18">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应根据工程特点，合理安排身体素质、技术水平高、安全责任心强的人员上岗，施工过程中职业健康、环境保护、劳动卫生、安全生产等有关工作，做到安全文明施工，坚决防范各类安全事故发生</w:t>
      </w:r>
      <w:r>
        <w:rPr>
          <w:rFonts w:hint="eastAsia" w:asciiTheme="minorEastAsia" w:hAnsiTheme="minorEastAsia" w:eastAsiaTheme="minorEastAsia" w:cstheme="minorEastAsia"/>
          <w:color w:val="auto"/>
          <w:sz w:val="24"/>
          <w:szCs w:val="24"/>
          <w:highlight w:val="none"/>
          <w:lang w:eastAsia="zh-CN"/>
        </w:rPr>
        <w:t>。</w:t>
      </w:r>
    </w:p>
    <w:p w14:paraId="243C6C2D">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安全生产费用专款专用、据实支付，由</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严格按照《企业安全生产费用提取和使用管理办法》规定的支出范围使用，</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在申请办理工程开工安全生产措施备案时，保证安全生产的措施方案应包含安全生产费用使用计划。</w:t>
      </w:r>
    </w:p>
    <w:p w14:paraId="6C0198E4">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eastAsia="zh-CN"/>
        </w:rPr>
        <w:t>乙方</w:t>
      </w:r>
      <w:r>
        <w:rPr>
          <w:rFonts w:hint="eastAsia" w:asciiTheme="minorEastAsia" w:hAnsiTheme="minorEastAsia" w:eastAsiaTheme="minorEastAsia" w:cstheme="minorEastAsia"/>
          <w:b/>
          <w:bCs/>
          <w:color w:val="auto"/>
          <w:sz w:val="24"/>
          <w:szCs w:val="24"/>
          <w:highlight w:val="none"/>
        </w:rPr>
        <w:t>不得违章指挥或强令作业人员冒险作业，也不能强迫作业人员超体能连续工作。作业过程中，应加强人员管理，确保人员工作安全，防范安全生产事故，</w:t>
      </w:r>
      <w:r>
        <w:rPr>
          <w:rFonts w:hint="eastAsia" w:asciiTheme="minorEastAsia" w:hAnsiTheme="minorEastAsia" w:eastAsiaTheme="minorEastAsia" w:cstheme="minorEastAsia"/>
          <w:b/>
          <w:bCs/>
          <w:color w:val="auto"/>
          <w:sz w:val="24"/>
          <w:szCs w:val="24"/>
          <w:highlight w:val="none"/>
          <w:lang w:val="en-US" w:eastAsia="zh-CN"/>
        </w:rPr>
        <w:t>乙方在履行本合同过程中发生的任何工伤或意外伤亡等，均由乙方负责处理并承担全部费用；若因此给甲方或第三方造成损失，由乙方予以全额赔偿。</w:t>
      </w:r>
    </w:p>
    <w:p w14:paraId="4EBDD071">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11.项目实施前，本项目所有从业人员购买以下保险（三者任选其一）：</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cs="宋体"/>
          <w:b/>
          <w:bCs/>
          <w:color w:val="auto"/>
          <w:sz w:val="24"/>
          <w:szCs w:val="24"/>
          <w:highlight w:val="none"/>
          <w:u w:val="single"/>
          <w:lang w:val="en-US" w:eastAsia="zh-CN"/>
        </w:rPr>
        <w:t>或安全生产责任险</w:t>
      </w:r>
      <w:r>
        <w:rPr>
          <w:rFonts w:hint="eastAsia" w:asciiTheme="minorEastAsia" w:hAnsiTheme="minorEastAsia" w:eastAsiaTheme="minorEastAsia" w:cstheme="minorEastAsia"/>
          <w:b/>
          <w:bCs/>
          <w:color w:val="auto"/>
          <w:sz w:val="24"/>
          <w:szCs w:val="24"/>
          <w:highlight w:val="none"/>
          <w:lang w:val="en-US" w:eastAsia="zh-CN"/>
        </w:rPr>
        <w:t>，其保险费已包含在签约合同价中。</w:t>
      </w:r>
    </w:p>
    <w:p w14:paraId="09F1F33D">
      <w:pPr>
        <w:spacing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12.</w:t>
      </w:r>
      <w:r>
        <w:rPr>
          <w:rFonts w:hint="eastAsia" w:cs="宋体"/>
          <w:b/>
          <w:bCs/>
          <w:color w:val="auto"/>
          <w:sz w:val="24"/>
          <w:szCs w:val="24"/>
          <w:highlight w:val="none"/>
        </w:rPr>
        <w:t>乙方承诺，作业过程中如出现作业人员未有效佩戴现场安全防护</w:t>
      </w:r>
      <w:r>
        <w:rPr>
          <w:rFonts w:hint="eastAsia" w:cs="宋体"/>
          <w:b/>
          <w:bCs/>
          <w:color w:val="auto"/>
          <w:sz w:val="24"/>
          <w:szCs w:val="24"/>
          <w:highlight w:val="none"/>
          <w:lang w:eastAsia="zh-CN"/>
        </w:rPr>
        <w:t>必需的</w:t>
      </w:r>
      <w:r>
        <w:rPr>
          <w:rFonts w:hint="eastAsia" w:cs="宋体"/>
          <w:b/>
          <w:bCs/>
          <w:color w:val="auto"/>
          <w:sz w:val="24"/>
          <w:szCs w:val="24"/>
          <w:highlight w:val="none"/>
        </w:rPr>
        <w:t>安全帽、安全绳、救生衣以及其他</w:t>
      </w:r>
      <w:r>
        <w:rPr>
          <w:rFonts w:hint="eastAsia" w:cs="宋体"/>
          <w:b/>
          <w:bCs/>
          <w:color w:val="auto"/>
          <w:sz w:val="24"/>
          <w:szCs w:val="24"/>
          <w:highlight w:val="none"/>
          <w:lang w:eastAsia="zh-CN"/>
        </w:rPr>
        <w:t>必需的</w:t>
      </w:r>
      <w:r>
        <w:rPr>
          <w:rFonts w:hint="eastAsia" w:cs="宋体"/>
          <w:b/>
          <w:bCs/>
          <w:color w:val="auto"/>
          <w:sz w:val="24"/>
          <w:szCs w:val="24"/>
          <w:highlight w:val="none"/>
          <w:lang w:val="en-US" w:eastAsia="zh-CN"/>
        </w:rPr>
        <w:t>作业</w:t>
      </w:r>
      <w:r>
        <w:rPr>
          <w:rFonts w:hint="eastAsia" w:cs="宋体"/>
          <w:b/>
          <w:bCs/>
          <w:color w:val="auto"/>
          <w:sz w:val="24"/>
          <w:szCs w:val="24"/>
          <w:highlight w:val="none"/>
        </w:rPr>
        <w:t>防护等安全防护用品，发生不安全行为的，每出现一次，从</w:t>
      </w:r>
      <w:r>
        <w:rPr>
          <w:rFonts w:hint="eastAsia" w:cs="宋体"/>
          <w:b/>
          <w:bCs/>
          <w:color w:val="auto"/>
          <w:sz w:val="24"/>
          <w:szCs w:val="24"/>
          <w:highlight w:val="none"/>
          <w:lang w:val="en-US" w:eastAsia="zh-CN"/>
        </w:rPr>
        <w:t>合同</w:t>
      </w:r>
      <w:r>
        <w:rPr>
          <w:rFonts w:hint="eastAsia" w:cs="宋体"/>
          <w:b/>
          <w:bCs/>
          <w:color w:val="auto"/>
          <w:sz w:val="24"/>
          <w:szCs w:val="24"/>
          <w:highlight w:val="none"/>
        </w:rPr>
        <w:t>结算价中自愿核减1000元，减完为止。</w:t>
      </w:r>
    </w:p>
    <w:p w14:paraId="55129BF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本合同由双方法定代表人或其授权的代理人签署并加盖单位章后生效，全部工程</w:t>
      </w:r>
      <w:r>
        <w:rPr>
          <w:rFonts w:hint="eastAsia" w:asciiTheme="minorEastAsia" w:hAnsiTheme="minorEastAsia" w:eastAsiaTheme="minorEastAsia" w:cstheme="minorEastAsia"/>
          <w:color w:val="auto"/>
          <w:sz w:val="24"/>
          <w:szCs w:val="24"/>
          <w:highlight w:val="none"/>
          <w:lang w:eastAsia="zh-CN"/>
        </w:rPr>
        <w:t>完工</w:t>
      </w:r>
      <w:r>
        <w:rPr>
          <w:rFonts w:hint="eastAsia" w:asciiTheme="minorEastAsia" w:hAnsiTheme="minorEastAsia" w:eastAsiaTheme="minorEastAsia" w:cstheme="minorEastAsia"/>
          <w:color w:val="auto"/>
          <w:sz w:val="24"/>
          <w:szCs w:val="24"/>
          <w:highlight w:val="none"/>
        </w:rPr>
        <w:t>验收后失效。</w:t>
      </w:r>
    </w:p>
    <w:p w14:paraId="32B4796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本合同正本—式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份，合同双方各执正本—份，副本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份，当正本与副本的内容不一致时，以正本为准。</w:t>
      </w:r>
    </w:p>
    <w:p w14:paraId="00971F19">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（盖单位章）          </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14:paraId="00A61983">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  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w:t>
      </w:r>
    </w:p>
    <w:p w14:paraId="2B65C1CF">
      <w:pPr>
        <w:spacing w:line="360" w:lineRule="auto"/>
        <w:ind w:firstLine="840"/>
        <w:rPr>
          <w:color w:val="auto"/>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日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0941BED2">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462164B8">
      <w:pPr>
        <w:spacing w:before="312" w:beforeLines="100" w:after="312" w:afterLines="100"/>
        <w:outlineLvl w:val="2"/>
        <w:rPr>
          <w:rFonts w:hint="eastAsia" w:ascii="Times New Roman" w:hAnsi="宋体" w:eastAsia="黑体" w:cs="宋体"/>
          <w:color w:val="auto"/>
          <w:sz w:val="24"/>
          <w:szCs w:val="24"/>
          <w:highlight w:val="none"/>
          <w:lang w:val="en-US" w:eastAsia="zh-CN"/>
        </w:rPr>
      </w:pPr>
      <w:r>
        <w:rPr>
          <w:rFonts w:hint="eastAsia" w:ascii="Times New Roman" w:hAnsi="宋体" w:eastAsia="黑体" w:cs="宋体"/>
          <w:color w:val="auto"/>
          <w:sz w:val="24"/>
          <w:szCs w:val="24"/>
          <w:highlight w:val="none"/>
          <w:lang w:val="en-US" w:eastAsia="zh-CN"/>
        </w:rPr>
        <w:t>附件3：工程质量保修书</w:t>
      </w:r>
    </w:p>
    <w:p w14:paraId="1B696EAD">
      <w:pPr>
        <w:adjustRightInd w:val="0"/>
        <w:snapToGrid w:val="0"/>
        <w:spacing w:line="360" w:lineRule="auto"/>
        <w:jc w:val="center"/>
        <w:rPr>
          <w:rFonts w:cs="宋体"/>
          <w:color w:val="auto"/>
          <w:sz w:val="24"/>
          <w:szCs w:val="24"/>
          <w:highlight w:val="none"/>
        </w:rPr>
      </w:pPr>
      <w:r>
        <w:rPr>
          <w:rFonts w:hint="eastAsia" w:cs="宋体"/>
          <w:color w:val="auto"/>
          <w:sz w:val="24"/>
          <w:szCs w:val="24"/>
          <w:highlight w:val="none"/>
        </w:rPr>
        <w:t>工程质量保修书</w:t>
      </w:r>
    </w:p>
    <w:p w14:paraId="6BC25927">
      <w:pPr>
        <w:adjustRightInd w:val="0"/>
        <w:snapToGrid w:val="0"/>
        <w:spacing w:line="360" w:lineRule="auto"/>
        <w:ind w:firstLine="480" w:firstLineChars="200"/>
        <w:rPr>
          <w:rFonts w:cs="宋体"/>
          <w:color w:val="auto"/>
          <w:position w:val="14"/>
          <w:sz w:val="24"/>
          <w:szCs w:val="24"/>
          <w:highlight w:val="none"/>
        </w:rPr>
      </w:pPr>
      <w:r>
        <w:rPr>
          <w:rFonts w:hint="eastAsia" w:cs="宋体"/>
          <w:bCs/>
          <w:color w:val="auto"/>
          <w:position w:val="14"/>
          <w:sz w:val="24"/>
          <w:szCs w:val="24"/>
          <w:highlight w:val="none"/>
          <w:lang w:eastAsia="zh-CN"/>
        </w:rPr>
        <w:t>甲方</w:t>
      </w:r>
      <w:r>
        <w:rPr>
          <w:rFonts w:hint="eastAsia" w:cs="宋体"/>
          <w:color w:val="auto"/>
          <w:position w:val="14"/>
          <w:sz w:val="24"/>
          <w:szCs w:val="24"/>
          <w:highlight w:val="none"/>
        </w:rPr>
        <w:t>：_______________________________</w:t>
      </w:r>
    </w:p>
    <w:p w14:paraId="08737B9A">
      <w:pPr>
        <w:widowControl/>
        <w:adjustRightInd w:val="0"/>
        <w:snapToGrid w:val="0"/>
        <w:spacing w:line="360" w:lineRule="auto"/>
        <w:ind w:firstLine="480" w:firstLineChars="200"/>
        <w:jc w:val="left"/>
        <w:rPr>
          <w:rFonts w:cs="宋体"/>
          <w:color w:val="auto"/>
          <w:position w:val="14"/>
          <w:sz w:val="24"/>
          <w:szCs w:val="24"/>
          <w:highlight w:val="none"/>
        </w:rPr>
      </w:pPr>
      <w:r>
        <w:rPr>
          <w:rFonts w:hint="eastAsia" w:cs="宋体"/>
          <w:bCs/>
          <w:color w:val="auto"/>
          <w:position w:val="14"/>
          <w:sz w:val="24"/>
          <w:szCs w:val="24"/>
          <w:highlight w:val="none"/>
          <w:lang w:eastAsia="zh-CN"/>
        </w:rPr>
        <w:t>乙方</w:t>
      </w:r>
      <w:r>
        <w:rPr>
          <w:rFonts w:hint="eastAsia" w:cs="宋体"/>
          <w:color w:val="auto"/>
          <w:position w:val="14"/>
          <w:sz w:val="24"/>
          <w:szCs w:val="24"/>
          <w:highlight w:val="none"/>
        </w:rPr>
        <w:t>：_______________________________</w:t>
      </w:r>
    </w:p>
    <w:p w14:paraId="275D6E1F">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根据《中华人民共和国建筑法》</w:t>
      </w:r>
      <w:r>
        <w:rPr>
          <w:rFonts w:hint="eastAsia" w:cs="宋体"/>
          <w:color w:val="auto"/>
          <w:position w:val="6"/>
          <w:sz w:val="24"/>
          <w:szCs w:val="24"/>
          <w:highlight w:val="none"/>
          <w:lang w:val="en-US" w:eastAsia="zh-CN"/>
        </w:rPr>
        <w:t>等</w:t>
      </w:r>
      <w:r>
        <w:rPr>
          <w:rFonts w:hint="eastAsia" w:cs="宋体"/>
          <w:color w:val="auto"/>
          <w:position w:val="6"/>
          <w:sz w:val="24"/>
          <w:szCs w:val="24"/>
          <w:highlight w:val="none"/>
        </w:rPr>
        <w:t>，经协商一致，对______________________工程签订工程质量保修书。</w:t>
      </w:r>
    </w:p>
    <w:p w14:paraId="196A64C2">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一、工程质量保修范围和内容</w:t>
      </w:r>
    </w:p>
    <w:p w14:paraId="7DDA79A5">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按照有关法律、法规、规章的管理规定，双方约定由施工单位在质量保修期内，承担本工程的质量保修责任。</w:t>
      </w:r>
    </w:p>
    <w:p w14:paraId="30424318">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质量保修范围和内容：______________________。</w:t>
      </w:r>
      <w:r>
        <w:rPr>
          <w:rFonts w:hint="eastAsia" w:cs="宋体"/>
          <w:bCs/>
          <w:color w:val="auto"/>
          <w:position w:val="6"/>
          <w:sz w:val="24"/>
          <w:szCs w:val="24"/>
          <w:highlight w:val="none"/>
        </w:rPr>
        <w:t>因不可抗力或使用不当造成的质量缺陷，不属保修范围。</w:t>
      </w:r>
    </w:p>
    <w:p w14:paraId="009FB037">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二、质量保修期</w:t>
      </w:r>
    </w:p>
    <w:p w14:paraId="410DD914">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双方按照有关法律、法规、规章的管理规定，约定本工程的质量保修期如下：</w:t>
      </w:r>
    </w:p>
    <w:p w14:paraId="6A4BF1B6">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1. 主体结构和基础工程，为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7A7FDBCB">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2. _____________工程，为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36E9836C">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3. _____________工程，为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56026C95">
      <w:pPr>
        <w:adjustRightInd w:val="0"/>
        <w:snapToGrid w:val="0"/>
        <w:spacing w:line="360" w:lineRule="auto"/>
        <w:ind w:left="342" w:leftChars="171" w:firstLine="120" w:firstLineChars="50"/>
        <w:rPr>
          <w:rFonts w:cs="宋体"/>
          <w:color w:val="auto"/>
          <w:position w:val="6"/>
          <w:sz w:val="24"/>
          <w:szCs w:val="24"/>
          <w:highlight w:val="none"/>
        </w:rPr>
      </w:pPr>
      <w:r>
        <w:rPr>
          <w:rFonts w:hint="eastAsia" w:cs="宋体"/>
          <w:color w:val="auto"/>
          <w:position w:val="6"/>
          <w:sz w:val="24"/>
          <w:szCs w:val="24"/>
          <w:highlight w:val="none"/>
        </w:rPr>
        <w:t xml:space="preserve">4. _____________工程，为 </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59A710A9">
      <w:pPr>
        <w:adjustRightInd w:val="0"/>
        <w:snapToGrid w:val="0"/>
        <w:spacing w:line="360" w:lineRule="auto"/>
        <w:ind w:left="342" w:leftChars="171" w:firstLine="120" w:firstLineChars="50"/>
        <w:rPr>
          <w:rFonts w:cs="宋体"/>
          <w:color w:val="auto"/>
          <w:position w:val="6"/>
          <w:sz w:val="24"/>
          <w:szCs w:val="24"/>
          <w:highlight w:val="none"/>
        </w:rPr>
      </w:pPr>
      <w:r>
        <w:rPr>
          <w:rFonts w:hint="eastAsia" w:cs="宋体"/>
          <w:color w:val="auto"/>
          <w:position w:val="6"/>
          <w:sz w:val="24"/>
          <w:szCs w:val="24"/>
          <w:highlight w:val="none"/>
        </w:rPr>
        <w:t>质量保修期自工程</w:t>
      </w:r>
      <w:r>
        <w:rPr>
          <w:rFonts w:hint="eastAsia" w:cs="宋体"/>
          <w:color w:val="auto"/>
          <w:position w:val="6"/>
          <w:sz w:val="24"/>
          <w:szCs w:val="24"/>
          <w:highlight w:val="none"/>
          <w:lang w:eastAsia="zh-CN"/>
        </w:rPr>
        <w:t>完工</w:t>
      </w:r>
      <w:r>
        <w:rPr>
          <w:rFonts w:hint="eastAsia" w:cs="宋体"/>
          <w:color w:val="auto"/>
          <w:position w:val="6"/>
          <w:sz w:val="24"/>
          <w:szCs w:val="24"/>
          <w:highlight w:val="none"/>
        </w:rPr>
        <w:t>验收合格之日起计算。</w:t>
      </w:r>
    </w:p>
    <w:p w14:paraId="131009A2">
      <w:pPr>
        <w:adjustRightInd w:val="0"/>
        <w:snapToGrid w:val="0"/>
        <w:spacing w:line="360" w:lineRule="auto"/>
        <w:ind w:firstLine="482" w:firstLineChars="200"/>
        <w:rPr>
          <w:rFonts w:cs="宋体"/>
          <w:b/>
          <w:color w:val="auto"/>
          <w:sz w:val="24"/>
          <w:szCs w:val="24"/>
          <w:highlight w:val="none"/>
        </w:rPr>
      </w:pPr>
      <w:r>
        <w:rPr>
          <w:rFonts w:hint="eastAsia" w:cs="宋体"/>
          <w:b/>
          <w:color w:val="auto"/>
          <w:sz w:val="24"/>
          <w:szCs w:val="24"/>
          <w:highlight w:val="none"/>
        </w:rPr>
        <w:t>三、缺陷责任期</w:t>
      </w:r>
    </w:p>
    <w:p w14:paraId="5200249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工程缺陷责任期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12个月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，缺</w:t>
      </w:r>
      <w:r>
        <w:rPr>
          <w:rFonts w:hint="eastAsia" w:cs="宋体"/>
          <w:color w:val="auto"/>
          <w:sz w:val="24"/>
          <w:szCs w:val="24"/>
          <w:highlight w:val="none"/>
        </w:rPr>
        <w:t>陷责任期自工程</w:t>
      </w:r>
      <w:r>
        <w:rPr>
          <w:rFonts w:hint="eastAsia" w:cs="宋体"/>
          <w:color w:val="auto"/>
          <w:sz w:val="24"/>
          <w:szCs w:val="24"/>
          <w:highlight w:val="none"/>
          <w:lang w:eastAsia="zh-CN"/>
        </w:rPr>
        <w:t>完工</w:t>
      </w:r>
      <w:r>
        <w:rPr>
          <w:rFonts w:hint="eastAsia" w:cs="宋体"/>
          <w:color w:val="auto"/>
          <w:sz w:val="24"/>
          <w:szCs w:val="24"/>
          <w:highlight w:val="none"/>
        </w:rPr>
        <w:t>验收合格之日起计算。单位工程先于全部工程进行验收，单位工程缺陷责任期自单位工程验收合格之日起算。</w:t>
      </w:r>
    </w:p>
    <w:p w14:paraId="0D56FEF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缺陷责任期终止后，</w:t>
      </w:r>
      <w:r>
        <w:rPr>
          <w:rFonts w:hint="eastAsia" w:cs="宋体"/>
          <w:color w:val="auto"/>
          <w:sz w:val="24"/>
          <w:szCs w:val="24"/>
          <w:highlight w:val="none"/>
          <w:lang w:eastAsia="zh-CN"/>
        </w:rPr>
        <w:t>甲方</w:t>
      </w:r>
      <w:r>
        <w:rPr>
          <w:rFonts w:hint="eastAsia" w:cs="宋体"/>
          <w:color w:val="auto"/>
          <w:sz w:val="24"/>
          <w:szCs w:val="24"/>
          <w:highlight w:val="none"/>
        </w:rPr>
        <w:t>应退还剩余的质量保证金。</w:t>
      </w:r>
    </w:p>
    <w:p w14:paraId="414E998D">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color w:val="auto"/>
          <w:sz w:val="24"/>
          <w:szCs w:val="24"/>
          <w:highlight w:val="none"/>
        </w:rPr>
        <w:t>四、质量保修责任</w:t>
      </w:r>
    </w:p>
    <w:p w14:paraId="5C941096">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1. 属于保修范围、内容的项目，</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应当在接到保修通知之日起7天内派人保修。</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不在约定期限内派人保修的，</w:t>
      </w: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可以委托他人修理。</w:t>
      </w:r>
    </w:p>
    <w:p w14:paraId="5F7D61BB">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2. 发生紧急抢修事故的，</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在接到事故通知后，应当立即到达事故现场抢修。</w:t>
      </w:r>
    </w:p>
    <w:p w14:paraId="51C9C963">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3. 对于涉及结构安全的质量问题，应当立即向当地建设行政主管部门报告，采取安全防范措施；由原设计单位或者具有相应资质等级的设计单位提出保修方案，</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实施保修。</w:t>
      </w:r>
    </w:p>
    <w:p w14:paraId="353EFA11">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4. 质量保修完成后，由</w:t>
      </w: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组织验收。</w:t>
      </w:r>
    </w:p>
    <w:p w14:paraId="560F7AFE">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五、保修费用</w:t>
      </w:r>
    </w:p>
    <w:p w14:paraId="0830D286">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保修费用由造成质量缺陷的责任方承担。</w:t>
      </w:r>
    </w:p>
    <w:p w14:paraId="1A7EDA5C">
      <w:pPr>
        <w:widowControl/>
        <w:adjustRightInd w:val="0"/>
        <w:snapToGrid w:val="0"/>
        <w:spacing w:line="360" w:lineRule="auto"/>
        <w:ind w:firstLine="480" w:firstLineChars="200"/>
        <w:jc w:val="left"/>
        <w:rPr>
          <w:rFonts w:cs="宋体"/>
          <w:b/>
          <w:color w:val="auto"/>
          <w:sz w:val="24"/>
          <w:szCs w:val="24"/>
          <w:highlight w:val="none"/>
        </w:rPr>
      </w:pPr>
      <w:r>
        <w:rPr>
          <w:rFonts w:hint="eastAsia" w:cs="宋体"/>
          <w:bCs/>
          <w:color w:val="auto"/>
          <w:position w:val="6"/>
          <w:sz w:val="24"/>
          <w:szCs w:val="24"/>
          <w:highlight w:val="none"/>
        </w:rPr>
        <w:t>六、</w:t>
      </w:r>
      <w:r>
        <w:rPr>
          <w:rFonts w:hint="eastAsia" w:cs="宋体"/>
          <w:b/>
          <w:color w:val="auto"/>
          <w:sz w:val="24"/>
          <w:szCs w:val="24"/>
          <w:highlight w:val="none"/>
        </w:rPr>
        <w:t>双方约定的其他工程质量保修事项：</w:t>
      </w:r>
      <w:r>
        <w:rPr>
          <w:rFonts w:hint="eastAsia" w:cs="宋体"/>
          <w:b/>
          <w:color w:val="auto"/>
          <w:sz w:val="24"/>
          <w:szCs w:val="24"/>
          <w:highlight w:val="none"/>
          <w:u w:val="single"/>
        </w:rPr>
        <w:t xml:space="preserve">             </w:t>
      </w:r>
      <w:r>
        <w:rPr>
          <w:rFonts w:hint="eastAsia" w:cs="宋体"/>
          <w:b/>
          <w:color w:val="auto"/>
          <w:sz w:val="24"/>
          <w:szCs w:val="24"/>
          <w:highlight w:val="none"/>
        </w:rPr>
        <w:t>。</w:t>
      </w:r>
    </w:p>
    <w:p w14:paraId="3C171AC2">
      <w:pPr>
        <w:widowControl/>
        <w:adjustRightInd w:val="0"/>
        <w:snapToGrid w:val="0"/>
        <w:spacing w:line="360" w:lineRule="auto"/>
        <w:ind w:firstLine="480" w:firstLineChars="200"/>
        <w:jc w:val="left"/>
        <w:rPr>
          <w:rFonts w:cs="宋体"/>
          <w:bCs/>
          <w:color w:val="auto"/>
          <w:sz w:val="24"/>
          <w:szCs w:val="24"/>
          <w:highlight w:val="none"/>
        </w:rPr>
      </w:pPr>
      <w:r>
        <w:rPr>
          <w:rFonts w:hint="eastAsia" w:cs="宋体"/>
          <w:bCs/>
          <w:color w:val="auto"/>
          <w:position w:val="6"/>
          <w:sz w:val="24"/>
          <w:szCs w:val="24"/>
          <w:highlight w:val="none"/>
        </w:rPr>
        <w:t>本工程质量保修书，由施工合同</w:t>
      </w:r>
      <w:r>
        <w:rPr>
          <w:rFonts w:hint="eastAsia" w:cs="宋体"/>
          <w:bCs/>
          <w:color w:val="auto"/>
          <w:position w:val="6"/>
          <w:sz w:val="24"/>
          <w:szCs w:val="24"/>
          <w:highlight w:val="none"/>
          <w:lang w:eastAsia="zh-CN"/>
        </w:rPr>
        <w:t>甲方</w:t>
      </w:r>
      <w:r>
        <w:rPr>
          <w:rFonts w:hint="eastAsia" w:cs="宋体"/>
          <w:bCs/>
          <w:color w:val="auto"/>
          <w:position w:val="6"/>
          <w:sz w:val="24"/>
          <w:szCs w:val="24"/>
          <w:highlight w:val="none"/>
        </w:rPr>
        <w:t>、</w:t>
      </w:r>
      <w:r>
        <w:rPr>
          <w:rFonts w:hint="eastAsia" w:cs="宋体"/>
          <w:bCs/>
          <w:color w:val="auto"/>
          <w:position w:val="6"/>
          <w:sz w:val="24"/>
          <w:szCs w:val="24"/>
          <w:highlight w:val="none"/>
          <w:lang w:eastAsia="zh-CN"/>
        </w:rPr>
        <w:t>乙方</w:t>
      </w:r>
      <w:r>
        <w:rPr>
          <w:rFonts w:hint="eastAsia" w:cs="宋体"/>
          <w:bCs/>
          <w:color w:val="auto"/>
          <w:position w:val="6"/>
          <w:sz w:val="24"/>
          <w:szCs w:val="24"/>
          <w:highlight w:val="none"/>
        </w:rPr>
        <w:t>双方在</w:t>
      </w:r>
      <w:r>
        <w:rPr>
          <w:rFonts w:hint="eastAsia" w:cs="宋体"/>
          <w:bCs/>
          <w:color w:val="auto"/>
          <w:position w:val="6"/>
          <w:sz w:val="24"/>
          <w:szCs w:val="24"/>
          <w:highlight w:val="none"/>
          <w:lang w:eastAsia="zh-CN"/>
        </w:rPr>
        <w:t>完工</w:t>
      </w:r>
      <w:r>
        <w:rPr>
          <w:rFonts w:hint="eastAsia" w:cs="宋体"/>
          <w:bCs/>
          <w:color w:val="auto"/>
          <w:position w:val="6"/>
          <w:sz w:val="24"/>
          <w:szCs w:val="24"/>
          <w:highlight w:val="none"/>
        </w:rPr>
        <w:t>验收前共同签署，作为施工合同附件，其有效期限至保修期满。</w:t>
      </w:r>
    </w:p>
    <w:p w14:paraId="230658AE">
      <w:pPr>
        <w:adjustRightInd w:val="0"/>
        <w:snapToGrid w:val="0"/>
        <w:spacing w:line="360" w:lineRule="auto"/>
        <w:ind w:firstLine="420"/>
        <w:rPr>
          <w:rFonts w:cs="宋体"/>
          <w:color w:val="auto"/>
          <w:sz w:val="24"/>
          <w:szCs w:val="24"/>
          <w:highlight w:val="none"/>
        </w:rPr>
      </w:pPr>
    </w:p>
    <w:p w14:paraId="7289198D">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（公章）：</w:t>
      </w:r>
      <w:r>
        <w:rPr>
          <w:rFonts w:hint="eastAsia" w:cs="宋体"/>
          <w:color w:val="auto"/>
          <w:sz w:val="24"/>
          <w:szCs w:val="24"/>
          <w:highlight w:val="none"/>
          <w:u w:val="single"/>
        </w:rPr>
        <w:t xml:space="preserve">        </w:t>
      </w:r>
      <w:r>
        <w:rPr>
          <w:rFonts w:hint="eastAsia" w:cs="宋体"/>
          <w:color w:val="auto"/>
          <w:sz w:val="24"/>
          <w:szCs w:val="24"/>
          <w:highlight w:val="none"/>
        </w:rPr>
        <w:t xml:space="preserve">           </w:t>
      </w:r>
      <w:r>
        <w:rPr>
          <w:rFonts w:hint="eastAsia" w:cs="宋体"/>
          <w:color w:val="auto"/>
          <w:sz w:val="24"/>
          <w:szCs w:val="24"/>
          <w:highlight w:val="none"/>
          <w:lang w:eastAsia="zh-CN"/>
        </w:rPr>
        <w:t>乙方</w:t>
      </w:r>
      <w:r>
        <w:rPr>
          <w:rFonts w:hint="eastAsia" w:cs="宋体"/>
          <w:color w:val="auto"/>
          <w:sz w:val="24"/>
          <w:szCs w:val="24"/>
          <w:highlight w:val="none"/>
        </w:rPr>
        <w:t>（公章）：</w:t>
      </w:r>
      <w:r>
        <w:rPr>
          <w:rFonts w:hint="eastAsia" w:cs="宋体"/>
          <w:color w:val="auto"/>
          <w:sz w:val="24"/>
          <w:szCs w:val="24"/>
          <w:highlight w:val="none"/>
          <w:u w:val="single"/>
        </w:rPr>
        <w:t xml:space="preserve">        </w:t>
      </w:r>
    </w:p>
    <w:p w14:paraId="19EF1878">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地  址：</w:t>
      </w:r>
      <w:r>
        <w:rPr>
          <w:rFonts w:hint="eastAsia" w:cs="宋体"/>
          <w:color w:val="auto"/>
          <w:sz w:val="24"/>
          <w:szCs w:val="24"/>
          <w:highlight w:val="none"/>
          <w:u w:val="single"/>
        </w:rPr>
        <w:t xml:space="preserve">     </w:t>
      </w:r>
      <w:r>
        <w:rPr>
          <w:rFonts w:hint="eastAsia" w:cs="宋体"/>
          <w:color w:val="auto"/>
          <w:sz w:val="24"/>
          <w:szCs w:val="24"/>
          <w:highlight w:val="none"/>
        </w:rPr>
        <w:t xml:space="preserve">              地  址：</w:t>
      </w:r>
      <w:r>
        <w:rPr>
          <w:rFonts w:hint="eastAsia" w:cs="宋体"/>
          <w:color w:val="auto"/>
          <w:sz w:val="24"/>
          <w:szCs w:val="24"/>
          <w:highlight w:val="none"/>
          <w:u w:val="single"/>
        </w:rPr>
        <w:t xml:space="preserve">       </w:t>
      </w:r>
    </w:p>
    <w:p w14:paraId="0D8E2CED">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法定代表人（签字）：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法定代表人（签字）：</w:t>
      </w:r>
      <w:r>
        <w:rPr>
          <w:rFonts w:hint="eastAsia" w:cs="宋体"/>
          <w:color w:val="auto"/>
          <w:sz w:val="24"/>
          <w:szCs w:val="24"/>
          <w:highlight w:val="none"/>
          <w:u w:val="single"/>
        </w:rPr>
        <w:t xml:space="preserve">       </w:t>
      </w:r>
    </w:p>
    <w:p w14:paraId="62545202">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委托代理人（签字）：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委托代理人（签字）：</w:t>
      </w:r>
      <w:r>
        <w:rPr>
          <w:rFonts w:hint="eastAsia" w:cs="宋体"/>
          <w:color w:val="auto"/>
          <w:sz w:val="24"/>
          <w:szCs w:val="24"/>
          <w:highlight w:val="none"/>
          <w:u w:val="single"/>
        </w:rPr>
        <w:t xml:space="preserve">       </w:t>
      </w:r>
    </w:p>
    <w:p w14:paraId="307A523F">
      <w:pPr>
        <w:adjustRightInd w:val="0"/>
        <w:snapToGrid w:val="0"/>
        <w:spacing w:line="360" w:lineRule="auto"/>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r>
        <w:rPr>
          <w:rFonts w:hint="eastAsia" w:cs="宋体"/>
          <w:color w:val="auto"/>
          <w:sz w:val="24"/>
          <w:szCs w:val="24"/>
          <w:highlight w:val="none"/>
        </w:rPr>
        <w:t xml:space="preserve">              电  话：</w:t>
      </w:r>
      <w:r>
        <w:rPr>
          <w:rFonts w:hint="eastAsia" w:cs="宋体"/>
          <w:color w:val="auto"/>
          <w:sz w:val="24"/>
          <w:szCs w:val="24"/>
          <w:highlight w:val="none"/>
          <w:u w:val="single"/>
        </w:rPr>
        <w:t xml:space="preserve">     </w:t>
      </w:r>
    </w:p>
    <w:p w14:paraId="0DD782A9">
      <w:pPr>
        <w:adjustRightInd w:val="0"/>
        <w:snapToGrid w:val="0"/>
        <w:spacing w:line="360" w:lineRule="auto"/>
        <w:rPr>
          <w:rFonts w:cs="宋体"/>
          <w:color w:val="auto"/>
          <w:sz w:val="24"/>
          <w:szCs w:val="24"/>
          <w:highlight w:val="none"/>
        </w:rPr>
      </w:pPr>
      <w:r>
        <w:rPr>
          <w:rFonts w:hint="eastAsia" w:cs="宋体"/>
          <w:color w:val="auto"/>
          <w:sz w:val="24"/>
          <w:szCs w:val="24"/>
          <w:highlight w:val="none"/>
        </w:rPr>
        <w:t>传  真：</w:t>
      </w:r>
      <w:r>
        <w:rPr>
          <w:rFonts w:hint="eastAsia" w:cs="宋体"/>
          <w:color w:val="auto"/>
          <w:sz w:val="24"/>
          <w:szCs w:val="24"/>
          <w:highlight w:val="none"/>
          <w:u w:val="single"/>
        </w:rPr>
        <w:t xml:space="preserve">   </w:t>
      </w:r>
      <w:r>
        <w:rPr>
          <w:rFonts w:hint="eastAsia" w:cs="宋体"/>
          <w:color w:val="auto"/>
          <w:sz w:val="24"/>
          <w:szCs w:val="24"/>
          <w:highlight w:val="none"/>
        </w:rPr>
        <w:t xml:space="preserve">              传  真：</w:t>
      </w:r>
      <w:r>
        <w:rPr>
          <w:rFonts w:hint="eastAsia" w:cs="宋体"/>
          <w:color w:val="auto"/>
          <w:sz w:val="24"/>
          <w:szCs w:val="24"/>
          <w:highlight w:val="none"/>
          <w:u w:val="single"/>
        </w:rPr>
        <w:t xml:space="preserve">     </w:t>
      </w:r>
    </w:p>
    <w:p w14:paraId="32C3F9A5">
      <w:pPr>
        <w:adjustRightInd w:val="0"/>
        <w:snapToGrid w:val="0"/>
        <w:spacing w:line="360" w:lineRule="auto"/>
        <w:rPr>
          <w:rFonts w:cs="宋体"/>
          <w:color w:val="auto"/>
          <w:sz w:val="24"/>
          <w:szCs w:val="24"/>
          <w:highlight w:val="none"/>
        </w:rPr>
      </w:pPr>
      <w:r>
        <w:rPr>
          <w:rFonts w:hint="eastAsia" w:cs="宋体"/>
          <w:color w:val="auto"/>
          <w:sz w:val="24"/>
          <w:szCs w:val="24"/>
          <w:highlight w:val="none"/>
        </w:rPr>
        <w:t>开户银行：</w:t>
      </w:r>
      <w:r>
        <w:rPr>
          <w:rFonts w:hint="eastAsia" w:cs="宋体"/>
          <w:color w:val="auto"/>
          <w:sz w:val="24"/>
          <w:szCs w:val="24"/>
          <w:highlight w:val="none"/>
          <w:u w:val="single"/>
        </w:rPr>
        <w:t xml:space="preserve">   </w:t>
      </w:r>
      <w:r>
        <w:rPr>
          <w:rFonts w:hint="eastAsia" w:cs="宋体"/>
          <w:color w:val="auto"/>
          <w:sz w:val="24"/>
          <w:szCs w:val="24"/>
          <w:highlight w:val="none"/>
        </w:rPr>
        <w:t xml:space="preserve">              开户银行：</w:t>
      </w:r>
      <w:r>
        <w:rPr>
          <w:rFonts w:hint="eastAsia" w:cs="宋体"/>
          <w:color w:val="auto"/>
          <w:sz w:val="24"/>
          <w:szCs w:val="24"/>
          <w:highlight w:val="none"/>
          <w:u w:val="single"/>
        </w:rPr>
        <w:t xml:space="preserve">   </w:t>
      </w:r>
    </w:p>
    <w:p w14:paraId="72B5FC31">
      <w:pPr>
        <w:adjustRightInd w:val="0"/>
        <w:snapToGrid w:val="0"/>
        <w:spacing w:line="360" w:lineRule="auto"/>
        <w:rPr>
          <w:rFonts w:cs="宋体"/>
          <w:color w:val="auto"/>
          <w:sz w:val="24"/>
          <w:szCs w:val="24"/>
          <w:highlight w:val="none"/>
        </w:rPr>
      </w:pPr>
      <w:r>
        <w:rPr>
          <w:rFonts w:hint="eastAsia" w:cs="宋体"/>
          <w:color w:val="auto"/>
          <w:sz w:val="24"/>
          <w:szCs w:val="24"/>
          <w:highlight w:val="none"/>
        </w:rPr>
        <w:t>账  号：</w:t>
      </w:r>
      <w:r>
        <w:rPr>
          <w:rFonts w:hint="eastAsia" w:cs="宋体"/>
          <w:color w:val="auto"/>
          <w:sz w:val="24"/>
          <w:szCs w:val="24"/>
          <w:highlight w:val="none"/>
          <w:u w:val="single"/>
        </w:rPr>
        <w:t xml:space="preserve">       </w:t>
      </w:r>
      <w:r>
        <w:rPr>
          <w:rFonts w:hint="eastAsia" w:cs="宋体"/>
          <w:color w:val="auto"/>
          <w:sz w:val="24"/>
          <w:szCs w:val="24"/>
          <w:highlight w:val="none"/>
        </w:rPr>
        <w:t xml:space="preserve">              账  号：</w:t>
      </w:r>
      <w:r>
        <w:rPr>
          <w:rFonts w:hint="eastAsia" w:cs="宋体"/>
          <w:color w:val="auto"/>
          <w:sz w:val="24"/>
          <w:szCs w:val="24"/>
          <w:highlight w:val="none"/>
          <w:u w:val="single"/>
        </w:rPr>
        <w:t xml:space="preserve">     </w:t>
      </w:r>
    </w:p>
    <w:p w14:paraId="12CD13C3">
      <w:pPr>
        <w:adjustRightInd w:val="0"/>
        <w:snapToGrid w:val="0"/>
        <w:spacing w:line="360" w:lineRule="auto"/>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    </w:t>
      </w:r>
      <w:r>
        <w:rPr>
          <w:rFonts w:hint="eastAsia" w:cs="宋体"/>
          <w:color w:val="auto"/>
          <w:sz w:val="24"/>
          <w:szCs w:val="24"/>
          <w:highlight w:val="none"/>
        </w:rPr>
        <w:t xml:space="preserve">              邮政编码：</w:t>
      </w:r>
      <w:r>
        <w:rPr>
          <w:rFonts w:hint="eastAsia" w:cs="宋体"/>
          <w:color w:val="auto"/>
          <w:sz w:val="24"/>
          <w:szCs w:val="24"/>
          <w:highlight w:val="none"/>
          <w:u w:val="single"/>
        </w:rPr>
        <w:t xml:space="preserve">   </w:t>
      </w:r>
    </w:p>
    <w:p w14:paraId="34160D9B">
      <w:pPr>
        <w:spacing w:before="312" w:beforeLines="100" w:after="312" w:afterLines="100"/>
        <w:outlineLvl w:val="2"/>
        <w:rPr>
          <w:rFonts w:ascii="Times New Roman" w:eastAsia="黑体"/>
          <w:color w:val="auto"/>
          <w:sz w:val="24"/>
          <w:szCs w:val="24"/>
          <w:highlight w:val="none"/>
        </w:rPr>
      </w:pPr>
      <w:r>
        <w:rPr>
          <w:rFonts w:ascii="Times New Roman" w:eastAsia="黑体"/>
          <w:b/>
          <w:bCs/>
          <w:color w:val="auto"/>
          <w:sz w:val="24"/>
          <w:szCs w:val="24"/>
          <w:highlight w:val="none"/>
        </w:rPr>
        <w:br w:type="page"/>
      </w:r>
      <w:r>
        <w:rPr>
          <w:rFonts w:hint="eastAsia" w:ascii="Times New Roman" w:hAnsi="宋体" w:eastAsia="黑体" w:cs="宋体"/>
          <w:color w:val="auto"/>
          <w:sz w:val="24"/>
          <w:szCs w:val="24"/>
          <w:highlight w:val="none"/>
          <w:lang w:val="en-US" w:eastAsia="zh-CN" w:bidi="ar-SA"/>
        </w:rPr>
        <w:t>附件4：</w:t>
      </w:r>
      <w:r>
        <w:rPr>
          <w:rFonts w:hint="eastAsia" w:ascii="Times New Roman" w:eastAsia="黑体"/>
          <w:color w:val="auto"/>
          <w:sz w:val="24"/>
          <w:szCs w:val="24"/>
          <w:highlight w:val="none"/>
        </w:rPr>
        <w:t>项目经理质量终身责任制承诺</w:t>
      </w:r>
    </w:p>
    <w:p w14:paraId="04546FE4">
      <w:pPr>
        <w:spacing w:before="156" w:beforeLines="50" w:after="156" w:afterLines="50" w:line="360" w:lineRule="auto"/>
        <w:jc w:val="center"/>
        <w:rPr>
          <w:rFonts w:cs="宋体"/>
          <w:b/>
          <w:color w:val="auto"/>
          <w:sz w:val="24"/>
          <w:szCs w:val="24"/>
          <w:highlight w:val="none"/>
        </w:rPr>
      </w:pPr>
      <w:r>
        <w:rPr>
          <w:rFonts w:hint="eastAsia" w:cs="宋体"/>
          <w:b/>
          <w:color w:val="auto"/>
          <w:sz w:val="24"/>
          <w:szCs w:val="24"/>
          <w:highlight w:val="none"/>
        </w:rPr>
        <w:t>项目经理质量终身责任制承诺</w:t>
      </w:r>
    </w:p>
    <w:p w14:paraId="099DD115">
      <w:pPr>
        <w:spacing w:line="360" w:lineRule="auto"/>
        <w:rPr>
          <w:rFonts w:cs="宋体"/>
          <w:bCs/>
          <w:color w:val="auto"/>
          <w:sz w:val="24"/>
          <w:szCs w:val="24"/>
          <w:highlight w:val="none"/>
        </w:rPr>
      </w:pPr>
      <w:r>
        <w:rPr>
          <w:rFonts w:hint="eastAsia" w:cs="宋体"/>
          <w:bCs/>
          <w:color w:val="auto"/>
          <w:sz w:val="24"/>
          <w:szCs w:val="24"/>
          <w:highlight w:val="none"/>
        </w:rPr>
        <w:t>致：</w:t>
      </w:r>
      <w:r>
        <w:rPr>
          <w:rFonts w:hint="eastAsia" w:cs="宋体"/>
          <w:bCs/>
          <w:color w:val="auto"/>
          <w:sz w:val="24"/>
          <w:szCs w:val="24"/>
          <w:highlight w:val="none"/>
          <w:u w:val="single"/>
        </w:rPr>
        <w:t>（采购人）</w:t>
      </w:r>
    </w:p>
    <w:p w14:paraId="2BFE3054">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本人作为施工项目经理，承担相关质量终身责任，现郑重承诺如下：</w:t>
      </w:r>
    </w:p>
    <w:p w14:paraId="10015A1F">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一、在取得施工许可证后进行施工。</w:t>
      </w:r>
    </w:p>
    <w:p w14:paraId="09824C50">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二、严格执行施工规范及标准。</w:t>
      </w:r>
    </w:p>
    <w:p w14:paraId="61C89EE2">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三、严格按规定配备施工项目部关键岗位人员，并确保所有人员到岗履职。</w:t>
      </w:r>
    </w:p>
    <w:p w14:paraId="579A4B86">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四、严格按照经施工图审查机构审查合格的工程设计文件及合同约定的质量标准精心组织施工。</w:t>
      </w:r>
    </w:p>
    <w:p w14:paraId="3D3B9CB9">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五、施工中采用合格的建筑材料、建筑构配件和设备等，并严格按规定执行见证取样制度。</w:t>
      </w:r>
    </w:p>
    <w:p w14:paraId="337F3FFC">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六、建立、健全质量检查、验收制度，严格工序管理，做好隐蔽工程质量的检查和记录。</w:t>
      </w:r>
    </w:p>
    <w:p w14:paraId="0902998B">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七、对施工中出现的质量问题，及时进行整改。严格依法依规履行义务。</w:t>
      </w:r>
    </w:p>
    <w:p w14:paraId="2428B080">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八、履行相关工程质量检查、验收及事故处理等职责。</w:t>
      </w:r>
    </w:p>
    <w:p w14:paraId="37F40CE3">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九、履行其他法律法规规定的职责。</w:t>
      </w:r>
    </w:p>
    <w:p w14:paraId="47ED6887">
      <w:pPr>
        <w:spacing w:line="360" w:lineRule="auto"/>
        <w:ind w:left="342" w:leftChars="171" w:firstLine="720" w:firstLineChars="300"/>
        <w:rPr>
          <w:rFonts w:cs="宋体"/>
          <w:bCs/>
          <w:color w:val="auto"/>
          <w:sz w:val="24"/>
          <w:szCs w:val="24"/>
          <w:highlight w:val="none"/>
        </w:rPr>
      </w:pPr>
    </w:p>
    <w:p w14:paraId="3F899953">
      <w:pPr>
        <w:spacing w:line="360" w:lineRule="auto"/>
        <w:ind w:left="342" w:leftChars="171" w:firstLine="720" w:firstLineChars="300"/>
        <w:rPr>
          <w:rFonts w:cs="宋体"/>
          <w:bCs/>
          <w:color w:val="auto"/>
          <w:sz w:val="24"/>
          <w:szCs w:val="24"/>
          <w:highlight w:val="none"/>
        </w:rPr>
      </w:pPr>
    </w:p>
    <w:p w14:paraId="2B9B7AD7">
      <w:pPr>
        <w:spacing w:line="360" w:lineRule="auto"/>
        <w:ind w:left="342" w:leftChars="171" w:firstLine="720" w:firstLineChars="300"/>
        <w:rPr>
          <w:rFonts w:cs="宋体"/>
          <w:bCs/>
          <w:color w:val="auto"/>
          <w:sz w:val="24"/>
          <w:szCs w:val="24"/>
          <w:highlight w:val="none"/>
        </w:rPr>
      </w:pPr>
      <w:r>
        <w:rPr>
          <w:rFonts w:hint="eastAsia" w:cs="宋体"/>
          <w:bCs/>
          <w:color w:val="auto"/>
          <w:sz w:val="24"/>
          <w:szCs w:val="24"/>
          <w:highlight w:val="none"/>
        </w:rPr>
        <w:t>项目经理：</w:t>
      </w:r>
      <w:r>
        <w:rPr>
          <w:rFonts w:hint="eastAsia" w:cs="宋体"/>
          <w:bCs/>
          <w:color w:val="auto"/>
          <w:sz w:val="24"/>
          <w:szCs w:val="24"/>
          <w:highlight w:val="none"/>
          <w:u w:val="single"/>
        </w:rPr>
        <w:t xml:space="preserve">                   </w:t>
      </w:r>
      <w:r>
        <w:rPr>
          <w:rFonts w:hint="eastAsia" w:cs="宋体"/>
          <w:bCs/>
          <w:color w:val="auto"/>
          <w:sz w:val="24"/>
          <w:szCs w:val="24"/>
          <w:highlight w:val="none"/>
        </w:rPr>
        <w:t>（签字）</w:t>
      </w:r>
    </w:p>
    <w:p w14:paraId="2F5CBBD8">
      <w:pPr>
        <w:spacing w:line="360" w:lineRule="auto"/>
        <w:ind w:left="342" w:leftChars="171" w:firstLine="720" w:firstLineChars="300"/>
        <w:rPr>
          <w:rFonts w:cs="宋体"/>
          <w:bCs/>
          <w:color w:val="auto"/>
          <w:sz w:val="24"/>
          <w:szCs w:val="24"/>
          <w:highlight w:val="none"/>
        </w:rPr>
      </w:pPr>
      <w:r>
        <w:rPr>
          <w:rFonts w:hint="eastAsia" w:cs="宋体"/>
          <w:bCs/>
          <w:color w:val="auto"/>
          <w:sz w:val="24"/>
          <w:szCs w:val="24"/>
          <w:highlight w:val="none"/>
        </w:rPr>
        <w:t>日期：_____年____月____日</w:t>
      </w:r>
    </w:p>
    <w:p w14:paraId="40A65135">
      <w:pPr>
        <w:pStyle w:val="19"/>
        <w:rPr>
          <w:rFonts w:ascii="宋体" w:hAnsi="宋体" w:eastAsia="宋体" w:cs="宋体"/>
          <w:bCs/>
          <w:color w:val="auto"/>
          <w:sz w:val="24"/>
          <w:szCs w:val="24"/>
          <w:highlight w:val="none"/>
        </w:rPr>
      </w:pPr>
    </w:p>
    <w:p w14:paraId="28F0CE95">
      <w:pPr>
        <w:pStyle w:val="272"/>
        <w:ind w:left="210" w:right="210" w:firstLine="210"/>
        <w:rPr>
          <w:rFonts w:hint="eastAsia" w:ascii="宋体" w:hAnsi="宋体" w:eastAsia="宋体" w:cs="宋体"/>
          <w:color w:val="auto"/>
          <w:sz w:val="24"/>
          <w:szCs w:val="24"/>
          <w:highlight w:val="none"/>
        </w:rPr>
        <w:sectPr>
          <w:headerReference r:id="rId5" w:type="default"/>
          <w:footerReference r:id="rId6" w:type="default"/>
          <w:pgSz w:w="11906" w:h="16838"/>
          <w:pgMar w:top="1361" w:right="1361" w:bottom="1361" w:left="1361" w:header="851" w:footer="992" w:gutter="0"/>
          <w:pgNumType w:fmt="decimal"/>
          <w:cols w:space="720" w:num="1"/>
          <w:docGrid w:type="lines" w:linePitch="312" w:charSpace="0"/>
        </w:sectPr>
      </w:pPr>
    </w:p>
    <w:p w14:paraId="53884F4C">
      <w:pPr>
        <w:spacing w:before="312" w:beforeLines="100" w:after="312" w:afterLines="100"/>
        <w:outlineLvl w:val="2"/>
        <w:rPr>
          <w:rFonts w:hint="eastAsia" w:ascii="Times New Roman" w:hAnsi="宋体" w:eastAsia="黑体" w:cs="宋体"/>
          <w:color w:val="auto"/>
          <w:sz w:val="24"/>
          <w:szCs w:val="24"/>
          <w:highlight w:val="none"/>
        </w:rPr>
      </w:pPr>
      <w:r>
        <w:rPr>
          <w:rFonts w:hint="eastAsia" w:ascii="Times New Roman" w:eastAsia="黑体"/>
          <w:color w:val="auto"/>
          <w:sz w:val="24"/>
          <w:szCs w:val="24"/>
          <w:highlight w:val="none"/>
        </w:rPr>
        <w:t>附件</w:t>
      </w:r>
      <w:r>
        <w:rPr>
          <w:rFonts w:hint="eastAsia" w:ascii="Times New Roman" w:hAnsi="宋体" w:eastAsia="黑体" w:cs="宋体"/>
          <w:color w:val="auto"/>
          <w:sz w:val="24"/>
          <w:szCs w:val="24"/>
          <w:highlight w:val="none"/>
          <w:lang w:val="en-US" w:eastAsia="zh-CN"/>
        </w:rPr>
        <w:t>5</w:t>
      </w:r>
      <w:r>
        <w:rPr>
          <w:rFonts w:hint="eastAsia" w:ascii="Times New Roman" w:hAnsi="宋体" w:eastAsia="黑体" w:cs="宋体"/>
          <w:color w:val="auto"/>
          <w:sz w:val="24"/>
          <w:szCs w:val="24"/>
          <w:highlight w:val="none"/>
        </w:rPr>
        <w:t>：</w:t>
      </w:r>
      <w:r>
        <w:rPr>
          <w:rFonts w:hint="eastAsia" w:ascii="Times New Roman" w:hAnsi="宋体" w:eastAsia="黑体" w:cs="宋体"/>
          <w:color w:val="auto"/>
          <w:sz w:val="24"/>
          <w:szCs w:val="24"/>
          <w:highlight w:val="none"/>
          <w:lang w:eastAsia="zh-CN"/>
        </w:rPr>
        <w:t>乙方</w:t>
      </w:r>
      <w:r>
        <w:rPr>
          <w:rFonts w:hint="eastAsia" w:ascii="Times New Roman" w:hAnsi="宋体" w:eastAsia="黑体" w:cs="宋体"/>
          <w:color w:val="auto"/>
          <w:sz w:val="24"/>
          <w:szCs w:val="24"/>
          <w:highlight w:val="none"/>
        </w:rPr>
        <w:t>主要施工管理人员表</w:t>
      </w:r>
    </w:p>
    <w:p w14:paraId="0374FADE">
      <w:pPr>
        <w:spacing w:line="360" w:lineRule="auto"/>
        <w:jc w:val="center"/>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24CA4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6EC45E7F">
            <w:pPr>
              <w:keepNext/>
              <w:spacing w:line="360" w:lineRule="auto"/>
              <w:jc w:val="center"/>
              <w:rPr>
                <w:rFonts w:cs="宋体"/>
                <w:color w:val="auto"/>
                <w:sz w:val="24"/>
                <w:szCs w:val="24"/>
                <w:highlight w:val="none"/>
              </w:rPr>
            </w:pPr>
            <w:r>
              <w:rPr>
                <w:rFonts w:hint="eastAsia" w:cs="宋体"/>
                <w:color w:val="auto"/>
                <w:sz w:val="24"/>
                <w:szCs w:val="24"/>
                <w:highlight w:val="none"/>
              </w:rPr>
              <w:t>名称</w:t>
            </w:r>
          </w:p>
        </w:tc>
        <w:tc>
          <w:tcPr>
            <w:tcW w:w="627" w:type="pct"/>
            <w:tcBorders>
              <w:top w:val="single" w:color="auto" w:sz="12" w:space="0"/>
              <w:bottom w:val="double" w:color="auto" w:sz="6" w:space="0"/>
            </w:tcBorders>
            <w:vAlign w:val="center"/>
          </w:tcPr>
          <w:p w14:paraId="25A61205">
            <w:pPr>
              <w:keepNext/>
              <w:spacing w:line="360" w:lineRule="auto"/>
              <w:jc w:val="center"/>
              <w:rPr>
                <w:rFonts w:cs="宋体"/>
                <w:color w:val="auto"/>
                <w:sz w:val="24"/>
                <w:szCs w:val="24"/>
                <w:highlight w:val="none"/>
              </w:rPr>
            </w:pPr>
            <w:r>
              <w:rPr>
                <w:rFonts w:hint="eastAsia" w:cs="宋体"/>
                <w:color w:val="auto"/>
                <w:sz w:val="24"/>
                <w:szCs w:val="24"/>
                <w:highlight w:val="none"/>
              </w:rPr>
              <w:t>姓名</w:t>
            </w:r>
          </w:p>
        </w:tc>
        <w:tc>
          <w:tcPr>
            <w:tcW w:w="502" w:type="pct"/>
            <w:tcBorders>
              <w:top w:val="single" w:color="auto" w:sz="12" w:space="0"/>
              <w:bottom w:val="double" w:color="auto" w:sz="6" w:space="0"/>
            </w:tcBorders>
            <w:vAlign w:val="center"/>
          </w:tcPr>
          <w:p w14:paraId="40D00F6A">
            <w:pPr>
              <w:keepNext/>
              <w:spacing w:line="360" w:lineRule="auto"/>
              <w:jc w:val="center"/>
              <w:rPr>
                <w:rFonts w:cs="宋体"/>
                <w:color w:val="auto"/>
                <w:sz w:val="24"/>
                <w:szCs w:val="24"/>
                <w:highlight w:val="none"/>
              </w:rPr>
            </w:pPr>
            <w:r>
              <w:rPr>
                <w:rFonts w:hint="eastAsia" w:cs="宋体"/>
                <w:color w:val="auto"/>
                <w:sz w:val="24"/>
                <w:szCs w:val="24"/>
                <w:highlight w:val="none"/>
              </w:rPr>
              <w:t>职务</w:t>
            </w:r>
          </w:p>
        </w:tc>
        <w:tc>
          <w:tcPr>
            <w:tcW w:w="502" w:type="pct"/>
            <w:tcBorders>
              <w:top w:val="single" w:color="auto" w:sz="12" w:space="0"/>
              <w:bottom w:val="double" w:color="auto" w:sz="6" w:space="0"/>
            </w:tcBorders>
            <w:vAlign w:val="center"/>
          </w:tcPr>
          <w:p w14:paraId="0F829E78">
            <w:pPr>
              <w:keepNext/>
              <w:spacing w:line="360" w:lineRule="auto"/>
              <w:jc w:val="center"/>
              <w:rPr>
                <w:rFonts w:cs="宋体"/>
                <w:color w:val="auto"/>
                <w:sz w:val="24"/>
                <w:szCs w:val="24"/>
                <w:highlight w:val="none"/>
              </w:rPr>
            </w:pPr>
            <w:r>
              <w:rPr>
                <w:rFonts w:hint="eastAsia" w:cs="宋体"/>
                <w:color w:val="auto"/>
                <w:sz w:val="24"/>
                <w:szCs w:val="24"/>
                <w:highlight w:val="none"/>
              </w:rPr>
              <w:t>职称</w:t>
            </w:r>
          </w:p>
        </w:tc>
        <w:tc>
          <w:tcPr>
            <w:tcW w:w="1281" w:type="pct"/>
            <w:tcBorders>
              <w:top w:val="single" w:color="auto" w:sz="12" w:space="0"/>
              <w:bottom w:val="double" w:color="auto" w:sz="6" w:space="0"/>
            </w:tcBorders>
            <w:vAlign w:val="center"/>
          </w:tcPr>
          <w:p w14:paraId="5BD6D119">
            <w:pPr>
              <w:keepNext/>
              <w:spacing w:line="360" w:lineRule="auto"/>
              <w:jc w:val="center"/>
              <w:rPr>
                <w:rFonts w:cs="宋体"/>
                <w:color w:val="auto"/>
                <w:sz w:val="24"/>
                <w:szCs w:val="24"/>
                <w:highlight w:val="none"/>
              </w:rPr>
            </w:pPr>
            <w:r>
              <w:rPr>
                <w:rFonts w:hint="eastAsia" w:cs="宋体"/>
                <w:color w:val="auto"/>
                <w:sz w:val="24"/>
                <w:szCs w:val="24"/>
                <w:highlight w:val="none"/>
              </w:rPr>
              <w:t>主要资历、经验及承担过的项目</w:t>
            </w:r>
          </w:p>
        </w:tc>
        <w:tc>
          <w:tcPr>
            <w:tcW w:w="1151" w:type="pct"/>
            <w:tcBorders>
              <w:top w:val="single" w:color="auto" w:sz="12" w:space="0"/>
              <w:bottom w:val="double" w:color="auto" w:sz="6" w:space="0"/>
            </w:tcBorders>
            <w:vAlign w:val="center"/>
          </w:tcPr>
          <w:p w14:paraId="7D0BF5EB">
            <w:pPr>
              <w:keepNext/>
              <w:spacing w:line="360" w:lineRule="auto"/>
              <w:jc w:val="center"/>
              <w:rPr>
                <w:rFonts w:cs="宋体"/>
                <w:color w:val="auto"/>
                <w:sz w:val="24"/>
                <w:szCs w:val="24"/>
                <w:highlight w:val="none"/>
              </w:rPr>
            </w:pPr>
            <w:r>
              <w:rPr>
                <w:rFonts w:hint="eastAsia" w:cs="宋体"/>
                <w:color w:val="auto"/>
                <w:sz w:val="24"/>
                <w:szCs w:val="24"/>
                <w:highlight w:val="none"/>
              </w:rPr>
              <w:t>身份证号码</w:t>
            </w:r>
          </w:p>
        </w:tc>
      </w:tr>
      <w:tr w14:paraId="52A0E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4C7FD408">
            <w:pPr>
              <w:keepNext/>
              <w:spacing w:line="360" w:lineRule="auto"/>
              <w:jc w:val="center"/>
              <w:rPr>
                <w:rFonts w:cs="宋体"/>
                <w:color w:val="auto"/>
                <w:sz w:val="24"/>
                <w:szCs w:val="24"/>
                <w:highlight w:val="none"/>
              </w:rPr>
            </w:pPr>
            <w:r>
              <w:rPr>
                <w:rFonts w:hint="eastAsia" w:cs="宋体"/>
                <w:color w:val="auto"/>
                <w:sz w:val="24"/>
                <w:szCs w:val="24"/>
                <w:highlight w:val="none"/>
              </w:rPr>
              <w:t>一、总部人员</w:t>
            </w:r>
          </w:p>
        </w:tc>
        <w:tc>
          <w:tcPr>
            <w:tcW w:w="1151" w:type="pct"/>
            <w:tcBorders>
              <w:top w:val="double" w:color="auto" w:sz="6" w:space="0"/>
            </w:tcBorders>
            <w:vAlign w:val="center"/>
          </w:tcPr>
          <w:p w14:paraId="64EAFE9E">
            <w:pPr>
              <w:keepNext/>
              <w:spacing w:line="360" w:lineRule="auto"/>
              <w:jc w:val="center"/>
              <w:rPr>
                <w:rFonts w:cs="宋体"/>
                <w:color w:val="auto"/>
                <w:sz w:val="24"/>
                <w:szCs w:val="24"/>
                <w:highlight w:val="none"/>
              </w:rPr>
            </w:pPr>
          </w:p>
        </w:tc>
      </w:tr>
      <w:tr w14:paraId="2F989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50DCC7FF">
            <w:pPr>
              <w:spacing w:line="360" w:lineRule="auto"/>
              <w:jc w:val="center"/>
              <w:rPr>
                <w:rFonts w:hint="eastAsia" w:eastAsia="宋体" w:cs="宋体"/>
                <w:color w:val="auto"/>
                <w:sz w:val="24"/>
                <w:szCs w:val="24"/>
                <w:highlight w:val="none"/>
                <w:lang w:val="en-US" w:eastAsia="zh-CN"/>
              </w:rPr>
            </w:pPr>
            <w:r>
              <w:rPr>
                <w:rFonts w:hint="eastAsia" w:cs="宋体"/>
                <w:color w:val="auto"/>
                <w:sz w:val="24"/>
                <w:szCs w:val="24"/>
                <w:highlight w:val="none"/>
              </w:rPr>
              <w:t>项目主管</w:t>
            </w:r>
            <w:r>
              <w:rPr>
                <w:rFonts w:hint="eastAsia" w:cs="宋体"/>
                <w:color w:val="auto"/>
                <w:sz w:val="24"/>
                <w:szCs w:val="24"/>
                <w:highlight w:val="none"/>
                <w:lang w:val="en-US" w:eastAsia="zh-CN"/>
              </w:rPr>
              <w:t>领导</w:t>
            </w:r>
          </w:p>
        </w:tc>
        <w:tc>
          <w:tcPr>
            <w:tcW w:w="627" w:type="pct"/>
            <w:tcBorders>
              <w:top w:val="nil"/>
            </w:tcBorders>
            <w:vAlign w:val="center"/>
          </w:tcPr>
          <w:p w14:paraId="7E04C308">
            <w:pPr>
              <w:keepNext/>
              <w:spacing w:line="360" w:lineRule="auto"/>
              <w:jc w:val="center"/>
              <w:rPr>
                <w:rFonts w:cs="宋体"/>
                <w:color w:val="auto"/>
                <w:sz w:val="24"/>
                <w:szCs w:val="24"/>
                <w:highlight w:val="none"/>
              </w:rPr>
            </w:pPr>
          </w:p>
        </w:tc>
        <w:tc>
          <w:tcPr>
            <w:tcW w:w="502" w:type="pct"/>
            <w:tcBorders>
              <w:top w:val="nil"/>
            </w:tcBorders>
            <w:vAlign w:val="center"/>
          </w:tcPr>
          <w:p w14:paraId="16C4730A">
            <w:pPr>
              <w:keepNext/>
              <w:spacing w:line="360" w:lineRule="auto"/>
              <w:jc w:val="center"/>
              <w:rPr>
                <w:rFonts w:cs="宋体"/>
                <w:color w:val="auto"/>
                <w:sz w:val="24"/>
                <w:szCs w:val="24"/>
                <w:highlight w:val="none"/>
              </w:rPr>
            </w:pPr>
          </w:p>
        </w:tc>
        <w:tc>
          <w:tcPr>
            <w:tcW w:w="502" w:type="pct"/>
            <w:tcBorders>
              <w:top w:val="nil"/>
            </w:tcBorders>
            <w:vAlign w:val="center"/>
          </w:tcPr>
          <w:p w14:paraId="2CAD33B1">
            <w:pPr>
              <w:keepNext/>
              <w:spacing w:line="360" w:lineRule="auto"/>
              <w:jc w:val="center"/>
              <w:rPr>
                <w:rFonts w:cs="宋体"/>
                <w:color w:val="auto"/>
                <w:sz w:val="24"/>
                <w:szCs w:val="24"/>
                <w:highlight w:val="none"/>
              </w:rPr>
            </w:pPr>
          </w:p>
        </w:tc>
        <w:tc>
          <w:tcPr>
            <w:tcW w:w="1281" w:type="pct"/>
            <w:tcBorders>
              <w:top w:val="nil"/>
            </w:tcBorders>
            <w:vAlign w:val="center"/>
          </w:tcPr>
          <w:p w14:paraId="26370760">
            <w:pPr>
              <w:keepNext/>
              <w:spacing w:line="360" w:lineRule="auto"/>
              <w:jc w:val="center"/>
              <w:rPr>
                <w:rFonts w:cs="宋体"/>
                <w:color w:val="auto"/>
                <w:sz w:val="24"/>
                <w:szCs w:val="24"/>
                <w:highlight w:val="none"/>
              </w:rPr>
            </w:pPr>
          </w:p>
        </w:tc>
        <w:tc>
          <w:tcPr>
            <w:tcW w:w="1151" w:type="pct"/>
            <w:tcBorders>
              <w:top w:val="nil"/>
            </w:tcBorders>
            <w:vAlign w:val="center"/>
          </w:tcPr>
          <w:p w14:paraId="2CE5A2E3">
            <w:pPr>
              <w:keepNext/>
              <w:spacing w:line="360" w:lineRule="auto"/>
              <w:jc w:val="center"/>
              <w:rPr>
                <w:rFonts w:cs="宋体"/>
                <w:color w:val="auto"/>
                <w:sz w:val="24"/>
                <w:szCs w:val="24"/>
                <w:highlight w:val="none"/>
              </w:rPr>
            </w:pPr>
          </w:p>
        </w:tc>
      </w:tr>
      <w:tr w14:paraId="60630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039479A6">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10EC0BE0">
            <w:pPr>
              <w:keepNext/>
              <w:spacing w:line="360" w:lineRule="auto"/>
              <w:jc w:val="center"/>
              <w:rPr>
                <w:rFonts w:cs="宋体"/>
                <w:color w:val="auto"/>
                <w:sz w:val="24"/>
                <w:szCs w:val="24"/>
                <w:highlight w:val="none"/>
              </w:rPr>
            </w:pPr>
          </w:p>
        </w:tc>
        <w:tc>
          <w:tcPr>
            <w:tcW w:w="502" w:type="pct"/>
            <w:vAlign w:val="center"/>
          </w:tcPr>
          <w:p w14:paraId="4834BB1C">
            <w:pPr>
              <w:keepNext/>
              <w:spacing w:line="360" w:lineRule="auto"/>
              <w:jc w:val="center"/>
              <w:rPr>
                <w:rFonts w:cs="宋体"/>
                <w:color w:val="auto"/>
                <w:sz w:val="24"/>
                <w:szCs w:val="24"/>
                <w:highlight w:val="none"/>
              </w:rPr>
            </w:pPr>
          </w:p>
        </w:tc>
        <w:tc>
          <w:tcPr>
            <w:tcW w:w="502" w:type="pct"/>
            <w:vAlign w:val="center"/>
          </w:tcPr>
          <w:p w14:paraId="376D782B">
            <w:pPr>
              <w:keepNext/>
              <w:spacing w:line="360" w:lineRule="auto"/>
              <w:jc w:val="center"/>
              <w:rPr>
                <w:rFonts w:cs="宋体"/>
                <w:color w:val="auto"/>
                <w:sz w:val="24"/>
                <w:szCs w:val="24"/>
                <w:highlight w:val="none"/>
              </w:rPr>
            </w:pPr>
          </w:p>
        </w:tc>
        <w:tc>
          <w:tcPr>
            <w:tcW w:w="1281" w:type="pct"/>
            <w:vAlign w:val="center"/>
          </w:tcPr>
          <w:p w14:paraId="376EB263">
            <w:pPr>
              <w:keepNext/>
              <w:spacing w:line="360" w:lineRule="auto"/>
              <w:jc w:val="center"/>
              <w:rPr>
                <w:rFonts w:cs="宋体"/>
                <w:color w:val="auto"/>
                <w:sz w:val="24"/>
                <w:szCs w:val="24"/>
                <w:highlight w:val="none"/>
              </w:rPr>
            </w:pPr>
          </w:p>
        </w:tc>
        <w:tc>
          <w:tcPr>
            <w:tcW w:w="1151" w:type="pct"/>
            <w:vAlign w:val="center"/>
          </w:tcPr>
          <w:p w14:paraId="329F72D2">
            <w:pPr>
              <w:keepNext/>
              <w:spacing w:line="360" w:lineRule="auto"/>
              <w:jc w:val="center"/>
              <w:rPr>
                <w:rFonts w:cs="宋体"/>
                <w:color w:val="auto"/>
                <w:sz w:val="24"/>
                <w:szCs w:val="24"/>
                <w:highlight w:val="none"/>
              </w:rPr>
            </w:pPr>
          </w:p>
        </w:tc>
      </w:tr>
      <w:tr w14:paraId="24658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2467F3B">
            <w:pPr>
              <w:spacing w:line="360" w:lineRule="auto"/>
              <w:jc w:val="center"/>
              <w:rPr>
                <w:rFonts w:cs="宋体"/>
                <w:color w:val="auto"/>
                <w:sz w:val="24"/>
                <w:szCs w:val="24"/>
                <w:highlight w:val="none"/>
              </w:rPr>
            </w:pPr>
          </w:p>
        </w:tc>
        <w:tc>
          <w:tcPr>
            <w:tcW w:w="627" w:type="pct"/>
            <w:vAlign w:val="center"/>
          </w:tcPr>
          <w:p w14:paraId="419E57BD">
            <w:pPr>
              <w:keepNext/>
              <w:spacing w:line="360" w:lineRule="auto"/>
              <w:jc w:val="center"/>
              <w:rPr>
                <w:rFonts w:cs="宋体"/>
                <w:color w:val="auto"/>
                <w:sz w:val="24"/>
                <w:szCs w:val="24"/>
                <w:highlight w:val="none"/>
              </w:rPr>
            </w:pPr>
          </w:p>
        </w:tc>
        <w:tc>
          <w:tcPr>
            <w:tcW w:w="502" w:type="pct"/>
            <w:vAlign w:val="center"/>
          </w:tcPr>
          <w:p w14:paraId="3BCBC8B9">
            <w:pPr>
              <w:keepNext/>
              <w:spacing w:line="360" w:lineRule="auto"/>
              <w:jc w:val="center"/>
              <w:rPr>
                <w:rFonts w:cs="宋体"/>
                <w:color w:val="auto"/>
                <w:sz w:val="24"/>
                <w:szCs w:val="24"/>
                <w:highlight w:val="none"/>
              </w:rPr>
            </w:pPr>
          </w:p>
        </w:tc>
        <w:tc>
          <w:tcPr>
            <w:tcW w:w="502" w:type="pct"/>
            <w:vAlign w:val="center"/>
          </w:tcPr>
          <w:p w14:paraId="15BDB4F6">
            <w:pPr>
              <w:keepNext/>
              <w:spacing w:line="360" w:lineRule="auto"/>
              <w:jc w:val="center"/>
              <w:rPr>
                <w:rFonts w:cs="宋体"/>
                <w:color w:val="auto"/>
                <w:sz w:val="24"/>
                <w:szCs w:val="24"/>
                <w:highlight w:val="none"/>
              </w:rPr>
            </w:pPr>
          </w:p>
        </w:tc>
        <w:tc>
          <w:tcPr>
            <w:tcW w:w="1281" w:type="pct"/>
            <w:vAlign w:val="center"/>
          </w:tcPr>
          <w:p w14:paraId="0EBB099A">
            <w:pPr>
              <w:keepNext/>
              <w:spacing w:line="360" w:lineRule="auto"/>
              <w:jc w:val="center"/>
              <w:rPr>
                <w:rFonts w:cs="宋体"/>
                <w:color w:val="auto"/>
                <w:sz w:val="24"/>
                <w:szCs w:val="24"/>
                <w:highlight w:val="none"/>
              </w:rPr>
            </w:pPr>
          </w:p>
        </w:tc>
        <w:tc>
          <w:tcPr>
            <w:tcW w:w="1151" w:type="pct"/>
            <w:vAlign w:val="center"/>
          </w:tcPr>
          <w:p w14:paraId="0A08FCB2">
            <w:pPr>
              <w:keepNext/>
              <w:spacing w:line="360" w:lineRule="auto"/>
              <w:jc w:val="center"/>
              <w:rPr>
                <w:rFonts w:cs="宋体"/>
                <w:color w:val="auto"/>
                <w:sz w:val="24"/>
                <w:szCs w:val="24"/>
                <w:highlight w:val="none"/>
              </w:rPr>
            </w:pPr>
          </w:p>
        </w:tc>
      </w:tr>
      <w:tr w14:paraId="51143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5BDA5668">
            <w:pPr>
              <w:spacing w:line="360" w:lineRule="auto"/>
              <w:jc w:val="center"/>
              <w:rPr>
                <w:rFonts w:cs="宋体"/>
                <w:color w:val="auto"/>
                <w:sz w:val="24"/>
                <w:szCs w:val="24"/>
                <w:highlight w:val="none"/>
              </w:rPr>
            </w:pPr>
          </w:p>
        </w:tc>
        <w:tc>
          <w:tcPr>
            <w:tcW w:w="627" w:type="pct"/>
            <w:vAlign w:val="center"/>
          </w:tcPr>
          <w:p w14:paraId="4DD7046C">
            <w:pPr>
              <w:keepNext/>
              <w:spacing w:line="360" w:lineRule="auto"/>
              <w:jc w:val="center"/>
              <w:rPr>
                <w:rFonts w:cs="宋体"/>
                <w:color w:val="auto"/>
                <w:sz w:val="24"/>
                <w:szCs w:val="24"/>
                <w:highlight w:val="none"/>
              </w:rPr>
            </w:pPr>
          </w:p>
        </w:tc>
        <w:tc>
          <w:tcPr>
            <w:tcW w:w="502" w:type="pct"/>
            <w:vAlign w:val="center"/>
          </w:tcPr>
          <w:p w14:paraId="52CED0A9">
            <w:pPr>
              <w:keepNext/>
              <w:spacing w:line="360" w:lineRule="auto"/>
              <w:jc w:val="center"/>
              <w:rPr>
                <w:rFonts w:cs="宋体"/>
                <w:color w:val="auto"/>
                <w:sz w:val="24"/>
                <w:szCs w:val="24"/>
                <w:highlight w:val="none"/>
              </w:rPr>
            </w:pPr>
          </w:p>
        </w:tc>
        <w:tc>
          <w:tcPr>
            <w:tcW w:w="502" w:type="pct"/>
            <w:vAlign w:val="center"/>
          </w:tcPr>
          <w:p w14:paraId="399E8408">
            <w:pPr>
              <w:keepNext/>
              <w:spacing w:line="360" w:lineRule="auto"/>
              <w:jc w:val="center"/>
              <w:rPr>
                <w:rFonts w:cs="宋体"/>
                <w:color w:val="auto"/>
                <w:sz w:val="24"/>
                <w:szCs w:val="24"/>
                <w:highlight w:val="none"/>
              </w:rPr>
            </w:pPr>
          </w:p>
        </w:tc>
        <w:tc>
          <w:tcPr>
            <w:tcW w:w="1281" w:type="pct"/>
            <w:vAlign w:val="center"/>
          </w:tcPr>
          <w:p w14:paraId="1C6C6852">
            <w:pPr>
              <w:keepNext/>
              <w:spacing w:line="360" w:lineRule="auto"/>
              <w:jc w:val="center"/>
              <w:rPr>
                <w:rFonts w:cs="宋体"/>
                <w:color w:val="auto"/>
                <w:sz w:val="24"/>
                <w:szCs w:val="24"/>
                <w:highlight w:val="none"/>
              </w:rPr>
            </w:pPr>
          </w:p>
        </w:tc>
        <w:tc>
          <w:tcPr>
            <w:tcW w:w="1151" w:type="pct"/>
            <w:vAlign w:val="center"/>
          </w:tcPr>
          <w:p w14:paraId="3BC50829">
            <w:pPr>
              <w:keepNext/>
              <w:spacing w:line="360" w:lineRule="auto"/>
              <w:jc w:val="center"/>
              <w:rPr>
                <w:rFonts w:cs="宋体"/>
                <w:color w:val="auto"/>
                <w:sz w:val="24"/>
                <w:szCs w:val="24"/>
                <w:highlight w:val="none"/>
              </w:rPr>
            </w:pPr>
          </w:p>
        </w:tc>
      </w:tr>
      <w:tr w14:paraId="77E83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1EF74CA5">
            <w:pPr>
              <w:keepNext/>
              <w:spacing w:line="360" w:lineRule="auto"/>
              <w:jc w:val="center"/>
              <w:rPr>
                <w:rFonts w:cs="宋体"/>
                <w:color w:val="auto"/>
                <w:sz w:val="24"/>
                <w:szCs w:val="24"/>
                <w:highlight w:val="none"/>
              </w:rPr>
            </w:pPr>
            <w:r>
              <w:rPr>
                <w:rFonts w:hint="eastAsia" w:cs="宋体"/>
                <w:color w:val="auto"/>
                <w:sz w:val="24"/>
                <w:szCs w:val="24"/>
                <w:highlight w:val="none"/>
              </w:rPr>
              <w:t>二、现场人员</w:t>
            </w:r>
          </w:p>
        </w:tc>
        <w:tc>
          <w:tcPr>
            <w:tcW w:w="1151" w:type="pct"/>
            <w:vAlign w:val="center"/>
          </w:tcPr>
          <w:p w14:paraId="497C7712">
            <w:pPr>
              <w:keepNext/>
              <w:spacing w:line="360" w:lineRule="auto"/>
              <w:jc w:val="center"/>
              <w:rPr>
                <w:rFonts w:cs="宋体"/>
                <w:color w:val="auto"/>
                <w:sz w:val="24"/>
                <w:szCs w:val="24"/>
                <w:highlight w:val="none"/>
              </w:rPr>
            </w:pPr>
          </w:p>
        </w:tc>
      </w:tr>
      <w:tr w14:paraId="65C46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2A09E47">
            <w:pPr>
              <w:spacing w:line="360" w:lineRule="auto"/>
              <w:jc w:val="center"/>
              <w:rPr>
                <w:rFonts w:cs="宋体"/>
                <w:color w:val="auto"/>
                <w:sz w:val="24"/>
                <w:szCs w:val="24"/>
                <w:highlight w:val="none"/>
              </w:rPr>
            </w:pPr>
            <w:r>
              <w:rPr>
                <w:rFonts w:hint="eastAsia" w:cs="宋体"/>
                <w:color w:val="auto"/>
                <w:sz w:val="24"/>
                <w:szCs w:val="24"/>
                <w:highlight w:val="none"/>
              </w:rPr>
              <w:t>项目经理</w:t>
            </w:r>
          </w:p>
        </w:tc>
        <w:tc>
          <w:tcPr>
            <w:tcW w:w="627" w:type="pct"/>
            <w:vAlign w:val="center"/>
          </w:tcPr>
          <w:p w14:paraId="2A281DD0">
            <w:pPr>
              <w:keepNext/>
              <w:spacing w:line="360" w:lineRule="auto"/>
              <w:jc w:val="center"/>
              <w:rPr>
                <w:rFonts w:cs="宋体"/>
                <w:color w:val="auto"/>
                <w:sz w:val="24"/>
                <w:szCs w:val="24"/>
                <w:highlight w:val="none"/>
              </w:rPr>
            </w:pPr>
          </w:p>
        </w:tc>
        <w:tc>
          <w:tcPr>
            <w:tcW w:w="502" w:type="pct"/>
            <w:vAlign w:val="center"/>
          </w:tcPr>
          <w:p w14:paraId="54B01E1C">
            <w:pPr>
              <w:keepNext/>
              <w:spacing w:line="360" w:lineRule="auto"/>
              <w:jc w:val="center"/>
              <w:rPr>
                <w:rFonts w:cs="宋体"/>
                <w:color w:val="auto"/>
                <w:sz w:val="24"/>
                <w:szCs w:val="24"/>
                <w:highlight w:val="none"/>
              </w:rPr>
            </w:pPr>
          </w:p>
        </w:tc>
        <w:tc>
          <w:tcPr>
            <w:tcW w:w="502" w:type="pct"/>
            <w:vAlign w:val="center"/>
          </w:tcPr>
          <w:p w14:paraId="4A540ACB">
            <w:pPr>
              <w:keepNext/>
              <w:spacing w:line="360" w:lineRule="auto"/>
              <w:jc w:val="center"/>
              <w:rPr>
                <w:rFonts w:cs="宋体"/>
                <w:color w:val="auto"/>
                <w:sz w:val="24"/>
                <w:szCs w:val="24"/>
                <w:highlight w:val="none"/>
              </w:rPr>
            </w:pPr>
          </w:p>
        </w:tc>
        <w:tc>
          <w:tcPr>
            <w:tcW w:w="1281" w:type="pct"/>
            <w:vAlign w:val="center"/>
          </w:tcPr>
          <w:p w14:paraId="18F0498C">
            <w:pPr>
              <w:keepNext/>
              <w:spacing w:line="360" w:lineRule="auto"/>
              <w:jc w:val="center"/>
              <w:rPr>
                <w:rFonts w:cs="宋体"/>
                <w:color w:val="auto"/>
                <w:sz w:val="24"/>
                <w:szCs w:val="24"/>
                <w:highlight w:val="none"/>
              </w:rPr>
            </w:pPr>
          </w:p>
        </w:tc>
        <w:tc>
          <w:tcPr>
            <w:tcW w:w="1151" w:type="pct"/>
            <w:vAlign w:val="center"/>
          </w:tcPr>
          <w:p w14:paraId="10468FDF">
            <w:pPr>
              <w:keepNext/>
              <w:spacing w:line="360" w:lineRule="auto"/>
              <w:jc w:val="center"/>
              <w:rPr>
                <w:rFonts w:cs="宋体"/>
                <w:color w:val="auto"/>
                <w:sz w:val="24"/>
                <w:szCs w:val="24"/>
                <w:highlight w:val="none"/>
              </w:rPr>
            </w:pPr>
          </w:p>
        </w:tc>
      </w:tr>
      <w:tr w14:paraId="5F4FF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3BA7FD7">
            <w:pPr>
              <w:spacing w:line="360" w:lineRule="auto"/>
              <w:jc w:val="center"/>
              <w:rPr>
                <w:rFonts w:cs="宋体"/>
                <w:color w:val="auto"/>
                <w:sz w:val="24"/>
                <w:szCs w:val="24"/>
                <w:highlight w:val="none"/>
              </w:rPr>
            </w:pPr>
            <w:r>
              <w:rPr>
                <w:rFonts w:hint="eastAsia" w:cs="宋体"/>
                <w:color w:val="auto"/>
                <w:sz w:val="24"/>
                <w:szCs w:val="24"/>
                <w:highlight w:val="none"/>
              </w:rPr>
              <w:t>项目副经理</w:t>
            </w:r>
          </w:p>
        </w:tc>
        <w:tc>
          <w:tcPr>
            <w:tcW w:w="627" w:type="pct"/>
            <w:vAlign w:val="center"/>
          </w:tcPr>
          <w:p w14:paraId="204890B9">
            <w:pPr>
              <w:keepNext/>
              <w:spacing w:line="360" w:lineRule="auto"/>
              <w:jc w:val="center"/>
              <w:rPr>
                <w:rFonts w:cs="宋体"/>
                <w:color w:val="auto"/>
                <w:sz w:val="24"/>
                <w:szCs w:val="24"/>
                <w:highlight w:val="none"/>
              </w:rPr>
            </w:pPr>
          </w:p>
        </w:tc>
        <w:tc>
          <w:tcPr>
            <w:tcW w:w="502" w:type="pct"/>
            <w:vAlign w:val="center"/>
          </w:tcPr>
          <w:p w14:paraId="6DEA1E19">
            <w:pPr>
              <w:keepNext/>
              <w:spacing w:line="360" w:lineRule="auto"/>
              <w:jc w:val="center"/>
              <w:rPr>
                <w:rFonts w:cs="宋体"/>
                <w:color w:val="auto"/>
                <w:sz w:val="24"/>
                <w:szCs w:val="24"/>
                <w:highlight w:val="none"/>
              </w:rPr>
            </w:pPr>
          </w:p>
        </w:tc>
        <w:tc>
          <w:tcPr>
            <w:tcW w:w="502" w:type="pct"/>
            <w:vAlign w:val="center"/>
          </w:tcPr>
          <w:p w14:paraId="66770BAA">
            <w:pPr>
              <w:keepNext/>
              <w:spacing w:line="360" w:lineRule="auto"/>
              <w:jc w:val="center"/>
              <w:rPr>
                <w:rFonts w:cs="宋体"/>
                <w:color w:val="auto"/>
                <w:sz w:val="24"/>
                <w:szCs w:val="24"/>
                <w:highlight w:val="none"/>
              </w:rPr>
            </w:pPr>
          </w:p>
        </w:tc>
        <w:tc>
          <w:tcPr>
            <w:tcW w:w="1281" w:type="pct"/>
            <w:vAlign w:val="center"/>
          </w:tcPr>
          <w:p w14:paraId="11F1E312">
            <w:pPr>
              <w:keepNext/>
              <w:spacing w:line="360" w:lineRule="auto"/>
              <w:jc w:val="center"/>
              <w:rPr>
                <w:rFonts w:cs="宋体"/>
                <w:color w:val="auto"/>
                <w:sz w:val="24"/>
                <w:szCs w:val="24"/>
                <w:highlight w:val="none"/>
              </w:rPr>
            </w:pPr>
          </w:p>
        </w:tc>
        <w:tc>
          <w:tcPr>
            <w:tcW w:w="1151" w:type="pct"/>
            <w:vAlign w:val="center"/>
          </w:tcPr>
          <w:p w14:paraId="5635AA54">
            <w:pPr>
              <w:keepNext/>
              <w:spacing w:line="360" w:lineRule="auto"/>
              <w:jc w:val="center"/>
              <w:rPr>
                <w:rFonts w:cs="宋体"/>
                <w:color w:val="auto"/>
                <w:sz w:val="24"/>
                <w:szCs w:val="24"/>
                <w:highlight w:val="none"/>
              </w:rPr>
            </w:pPr>
          </w:p>
        </w:tc>
      </w:tr>
      <w:tr w14:paraId="31544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3CA3E8A">
            <w:pPr>
              <w:spacing w:line="360" w:lineRule="auto"/>
              <w:jc w:val="center"/>
              <w:rPr>
                <w:rFonts w:cs="宋体"/>
                <w:color w:val="auto"/>
                <w:sz w:val="24"/>
                <w:szCs w:val="24"/>
                <w:highlight w:val="none"/>
              </w:rPr>
            </w:pPr>
            <w:r>
              <w:rPr>
                <w:rFonts w:hint="eastAsia" w:cs="宋体"/>
                <w:color w:val="auto"/>
                <w:sz w:val="24"/>
                <w:szCs w:val="24"/>
                <w:highlight w:val="none"/>
              </w:rPr>
              <w:t>项目技术负责人</w:t>
            </w:r>
          </w:p>
        </w:tc>
        <w:tc>
          <w:tcPr>
            <w:tcW w:w="627" w:type="pct"/>
            <w:vAlign w:val="center"/>
          </w:tcPr>
          <w:p w14:paraId="6E0AF690">
            <w:pPr>
              <w:keepNext/>
              <w:spacing w:line="360" w:lineRule="auto"/>
              <w:jc w:val="center"/>
              <w:rPr>
                <w:rFonts w:cs="宋体"/>
                <w:color w:val="auto"/>
                <w:sz w:val="24"/>
                <w:szCs w:val="24"/>
                <w:highlight w:val="none"/>
              </w:rPr>
            </w:pPr>
          </w:p>
        </w:tc>
        <w:tc>
          <w:tcPr>
            <w:tcW w:w="502" w:type="pct"/>
            <w:vAlign w:val="center"/>
          </w:tcPr>
          <w:p w14:paraId="4FF2A3D5">
            <w:pPr>
              <w:keepNext/>
              <w:spacing w:line="360" w:lineRule="auto"/>
              <w:jc w:val="center"/>
              <w:rPr>
                <w:rFonts w:cs="宋体"/>
                <w:color w:val="auto"/>
                <w:sz w:val="24"/>
                <w:szCs w:val="24"/>
                <w:highlight w:val="none"/>
              </w:rPr>
            </w:pPr>
          </w:p>
        </w:tc>
        <w:tc>
          <w:tcPr>
            <w:tcW w:w="502" w:type="pct"/>
            <w:vAlign w:val="center"/>
          </w:tcPr>
          <w:p w14:paraId="74B70E61">
            <w:pPr>
              <w:keepNext/>
              <w:spacing w:line="360" w:lineRule="auto"/>
              <w:jc w:val="center"/>
              <w:rPr>
                <w:rFonts w:cs="宋体"/>
                <w:color w:val="auto"/>
                <w:sz w:val="24"/>
                <w:szCs w:val="24"/>
                <w:highlight w:val="none"/>
              </w:rPr>
            </w:pPr>
          </w:p>
        </w:tc>
        <w:tc>
          <w:tcPr>
            <w:tcW w:w="1281" w:type="pct"/>
            <w:vAlign w:val="center"/>
          </w:tcPr>
          <w:p w14:paraId="416B14FD">
            <w:pPr>
              <w:keepNext/>
              <w:spacing w:line="360" w:lineRule="auto"/>
              <w:jc w:val="center"/>
              <w:rPr>
                <w:rFonts w:cs="宋体"/>
                <w:color w:val="auto"/>
                <w:sz w:val="24"/>
                <w:szCs w:val="24"/>
                <w:highlight w:val="none"/>
              </w:rPr>
            </w:pPr>
          </w:p>
        </w:tc>
        <w:tc>
          <w:tcPr>
            <w:tcW w:w="1151" w:type="pct"/>
            <w:vAlign w:val="center"/>
          </w:tcPr>
          <w:p w14:paraId="5631B5BF">
            <w:pPr>
              <w:keepNext/>
              <w:spacing w:line="360" w:lineRule="auto"/>
              <w:jc w:val="center"/>
              <w:rPr>
                <w:rFonts w:cs="宋体"/>
                <w:color w:val="auto"/>
                <w:sz w:val="24"/>
                <w:szCs w:val="24"/>
                <w:highlight w:val="none"/>
              </w:rPr>
            </w:pPr>
          </w:p>
        </w:tc>
      </w:tr>
      <w:tr w14:paraId="0D6BC3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38F62FC">
            <w:pPr>
              <w:spacing w:line="360" w:lineRule="auto"/>
              <w:jc w:val="center"/>
              <w:rPr>
                <w:rFonts w:cs="宋体"/>
                <w:color w:val="auto"/>
                <w:sz w:val="24"/>
                <w:szCs w:val="24"/>
                <w:highlight w:val="none"/>
              </w:rPr>
            </w:pPr>
            <w:r>
              <w:rPr>
                <w:rFonts w:hint="eastAsia" w:cs="宋体"/>
                <w:color w:val="auto"/>
                <w:sz w:val="24"/>
                <w:szCs w:val="24"/>
                <w:highlight w:val="none"/>
              </w:rPr>
              <w:t>施工员</w:t>
            </w:r>
          </w:p>
        </w:tc>
        <w:tc>
          <w:tcPr>
            <w:tcW w:w="627" w:type="pct"/>
            <w:vAlign w:val="center"/>
          </w:tcPr>
          <w:p w14:paraId="124C66EF">
            <w:pPr>
              <w:keepNext/>
              <w:spacing w:line="360" w:lineRule="auto"/>
              <w:jc w:val="center"/>
              <w:rPr>
                <w:rFonts w:cs="宋体"/>
                <w:color w:val="auto"/>
                <w:sz w:val="24"/>
                <w:szCs w:val="24"/>
                <w:highlight w:val="none"/>
              </w:rPr>
            </w:pPr>
          </w:p>
        </w:tc>
        <w:tc>
          <w:tcPr>
            <w:tcW w:w="502" w:type="pct"/>
            <w:vAlign w:val="center"/>
          </w:tcPr>
          <w:p w14:paraId="1E9DA62F">
            <w:pPr>
              <w:keepNext/>
              <w:spacing w:line="360" w:lineRule="auto"/>
              <w:jc w:val="center"/>
              <w:rPr>
                <w:rFonts w:cs="宋体"/>
                <w:color w:val="auto"/>
                <w:sz w:val="24"/>
                <w:szCs w:val="24"/>
                <w:highlight w:val="none"/>
              </w:rPr>
            </w:pPr>
          </w:p>
        </w:tc>
        <w:tc>
          <w:tcPr>
            <w:tcW w:w="502" w:type="pct"/>
            <w:vAlign w:val="center"/>
          </w:tcPr>
          <w:p w14:paraId="4EAEE03B">
            <w:pPr>
              <w:keepNext/>
              <w:spacing w:line="360" w:lineRule="auto"/>
              <w:jc w:val="center"/>
              <w:rPr>
                <w:rFonts w:cs="宋体"/>
                <w:color w:val="auto"/>
                <w:sz w:val="24"/>
                <w:szCs w:val="24"/>
                <w:highlight w:val="none"/>
              </w:rPr>
            </w:pPr>
          </w:p>
        </w:tc>
        <w:tc>
          <w:tcPr>
            <w:tcW w:w="1281" w:type="pct"/>
            <w:vAlign w:val="center"/>
          </w:tcPr>
          <w:p w14:paraId="3BF1B37D">
            <w:pPr>
              <w:keepNext/>
              <w:spacing w:line="360" w:lineRule="auto"/>
              <w:jc w:val="center"/>
              <w:rPr>
                <w:rFonts w:cs="宋体"/>
                <w:color w:val="auto"/>
                <w:sz w:val="24"/>
                <w:szCs w:val="24"/>
                <w:highlight w:val="none"/>
              </w:rPr>
            </w:pPr>
          </w:p>
        </w:tc>
        <w:tc>
          <w:tcPr>
            <w:tcW w:w="1151" w:type="pct"/>
            <w:vAlign w:val="center"/>
          </w:tcPr>
          <w:p w14:paraId="45044F76">
            <w:pPr>
              <w:keepNext/>
              <w:spacing w:line="360" w:lineRule="auto"/>
              <w:jc w:val="center"/>
              <w:rPr>
                <w:rFonts w:cs="宋体"/>
                <w:color w:val="auto"/>
                <w:sz w:val="24"/>
                <w:szCs w:val="24"/>
                <w:highlight w:val="none"/>
              </w:rPr>
            </w:pPr>
          </w:p>
        </w:tc>
      </w:tr>
      <w:tr w14:paraId="6178C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0FA5CFF">
            <w:pPr>
              <w:spacing w:line="360" w:lineRule="auto"/>
              <w:jc w:val="center"/>
              <w:rPr>
                <w:rFonts w:cs="宋体"/>
                <w:color w:val="auto"/>
                <w:sz w:val="24"/>
                <w:szCs w:val="24"/>
                <w:highlight w:val="none"/>
              </w:rPr>
            </w:pPr>
            <w:r>
              <w:rPr>
                <w:rFonts w:hint="eastAsia" w:cs="宋体"/>
                <w:color w:val="auto"/>
                <w:sz w:val="24"/>
                <w:szCs w:val="24"/>
                <w:highlight w:val="none"/>
              </w:rPr>
              <w:t>质检员（质量员）</w:t>
            </w:r>
          </w:p>
        </w:tc>
        <w:tc>
          <w:tcPr>
            <w:tcW w:w="627" w:type="pct"/>
            <w:vAlign w:val="center"/>
          </w:tcPr>
          <w:p w14:paraId="5A3B1B66">
            <w:pPr>
              <w:keepNext/>
              <w:spacing w:line="360" w:lineRule="auto"/>
              <w:jc w:val="center"/>
              <w:rPr>
                <w:rFonts w:cs="宋体"/>
                <w:color w:val="auto"/>
                <w:sz w:val="24"/>
                <w:szCs w:val="24"/>
                <w:highlight w:val="none"/>
              </w:rPr>
            </w:pPr>
          </w:p>
        </w:tc>
        <w:tc>
          <w:tcPr>
            <w:tcW w:w="502" w:type="pct"/>
            <w:vAlign w:val="center"/>
          </w:tcPr>
          <w:p w14:paraId="15EB8F2B">
            <w:pPr>
              <w:keepNext/>
              <w:spacing w:line="360" w:lineRule="auto"/>
              <w:jc w:val="center"/>
              <w:rPr>
                <w:rFonts w:cs="宋体"/>
                <w:color w:val="auto"/>
                <w:sz w:val="24"/>
                <w:szCs w:val="24"/>
                <w:highlight w:val="none"/>
              </w:rPr>
            </w:pPr>
          </w:p>
        </w:tc>
        <w:tc>
          <w:tcPr>
            <w:tcW w:w="502" w:type="pct"/>
            <w:vAlign w:val="center"/>
          </w:tcPr>
          <w:p w14:paraId="6B51888C">
            <w:pPr>
              <w:keepNext/>
              <w:spacing w:line="360" w:lineRule="auto"/>
              <w:jc w:val="center"/>
              <w:rPr>
                <w:rFonts w:cs="宋体"/>
                <w:color w:val="auto"/>
                <w:sz w:val="24"/>
                <w:szCs w:val="24"/>
                <w:highlight w:val="none"/>
              </w:rPr>
            </w:pPr>
          </w:p>
        </w:tc>
        <w:tc>
          <w:tcPr>
            <w:tcW w:w="1281" w:type="pct"/>
            <w:vAlign w:val="center"/>
          </w:tcPr>
          <w:p w14:paraId="0505645C">
            <w:pPr>
              <w:keepNext/>
              <w:spacing w:line="360" w:lineRule="auto"/>
              <w:jc w:val="center"/>
              <w:rPr>
                <w:rFonts w:cs="宋体"/>
                <w:color w:val="auto"/>
                <w:sz w:val="24"/>
                <w:szCs w:val="24"/>
                <w:highlight w:val="none"/>
              </w:rPr>
            </w:pPr>
          </w:p>
        </w:tc>
        <w:tc>
          <w:tcPr>
            <w:tcW w:w="1151" w:type="pct"/>
            <w:vAlign w:val="center"/>
          </w:tcPr>
          <w:p w14:paraId="0E9FCC6C">
            <w:pPr>
              <w:keepNext/>
              <w:spacing w:line="360" w:lineRule="auto"/>
              <w:jc w:val="center"/>
              <w:rPr>
                <w:rFonts w:cs="宋体"/>
                <w:color w:val="auto"/>
                <w:sz w:val="24"/>
                <w:szCs w:val="24"/>
                <w:highlight w:val="none"/>
              </w:rPr>
            </w:pPr>
          </w:p>
        </w:tc>
      </w:tr>
      <w:tr w14:paraId="2FB31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5DFE51D">
            <w:pPr>
              <w:spacing w:line="360" w:lineRule="auto"/>
              <w:jc w:val="center"/>
              <w:rPr>
                <w:rFonts w:cs="宋体"/>
                <w:color w:val="auto"/>
                <w:sz w:val="24"/>
                <w:szCs w:val="24"/>
                <w:highlight w:val="none"/>
              </w:rPr>
            </w:pPr>
            <w:r>
              <w:rPr>
                <w:rFonts w:hint="eastAsia" w:cs="宋体"/>
                <w:color w:val="auto"/>
                <w:sz w:val="24"/>
                <w:szCs w:val="24"/>
                <w:highlight w:val="none"/>
              </w:rPr>
              <w:t>安全员</w:t>
            </w:r>
          </w:p>
        </w:tc>
        <w:tc>
          <w:tcPr>
            <w:tcW w:w="627" w:type="pct"/>
            <w:vAlign w:val="center"/>
          </w:tcPr>
          <w:p w14:paraId="70872F34">
            <w:pPr>
              <w:keepNext/>
              <w:spacing w:line="360" w:lineRule="auto"/>
              <w:jc w:val="center"/>
              <w:rPr>
                <w:rFonts w:cs="宋体"/>
                <w:color w:val="auto"/>
                <w:sz w:val="24"/>
                <w:szCs w:val="24"/>
                <w:highlight w:val="none"/>
              </w:rPr>
            </w:pPr>
          </w:p>
        </w:tc>
        <w:tc>
          <w:tcPr>
            <w:tcW w:w="502" w:type="pct"/>
            <w:vAlign w:val="center"/>
          </w:tcPr>
          <w:p w14:paraId="097AE78D">
            <w:pPr>
              <w:keepNext/>
              <w:spacing w:line="360" w:lineRule="auto"/>
              <w:jc w:val="center"/>
              <w:rPr>
                <w:rFonts w:cs="宋体"/>
                <w:color w:val="auto"/>
                <w:sz w:val="24"/>
                <w:szCs w:val="24"/>
                <w:highlight w:val="none"/>
              </w:rPr>
            </w:pPr>
          </w:p>
        </w:tc>
        <w:tc>
          <w:tcPr>
            <w:tcW w:w="502" w:type="pct"/>
            <w:vAlign w:val="center"/>
          </w:tcPr>
          <w:p w14:paraId="02D4170E">
            <w:pPr>
              <w:keepNext/>
              <w:spacing w:line="360" w:lineRule="auto"/>
              <w:jc w:val="center"/>
              <w:rPr>
                <w:rFonts w:cs="宋体"/>
                <w:color w:val="auto"/>
                <w:sz w:val="24"/>
                <w:szCs w:val="24"/>
                <w:highlight w:val="none"/>
              </w:rPr>
            </w:pPr>
          </w:p>
        </w:tc>
        <w:tc>
          <w:tcPr>
            <w:tcW w:w="1281" w:type="pct"/>
            <w:vAlign w:val="center"/>
          </w:tcPr>
          <w:p w14:paraId="1E449DCF">
            <w:pPr>
              <w:keepNext/>
              <w:spacing w:line="360" w:lineRule="auto"/>
              <w:jc w:val="center"/>
              <w:rPr>
                <w:rFonts w:cs="宋体"/>
                <w:color w:val="auto"/>
                <w:sz w:val="24"/>
                <w:szCs w:val="24"/>
                <w:highlight w:val="none"/>
              </w:rPr>
            </w:pPr>
          </w:p>
        </w:tc>
        <w:tc>
          <w:tcPr>
            <w:tcW w:w="1151" w:type="pct"/>
            <w:vAlign w:val="center"/>
          </w:tcPr>
          <w:p w14:paraId="70C6004A">
            <w:pPr>
              <w:keepNext/>
              <w:spacing w:line="360" w:lineRule="auto"/>
              <w:jc w:val="center"/>
              <w:rPr>
                <w:rFonts w:cs="宋体"/>
                <w:color w:val="auto"/>
                <w:sz w:val="24"/>
                <w:szCs w:val="24"/>
                <w:highlight w:val="none"/>
              </w:rPr>
            </w:pPr>
          </w:p>
        </w:tc>
      </w:tr>
      <w:tr w14:paraId="1C380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7779A25">
            <w:pPr>
              <w:spacing w:line="360" w:lineRule="auto"/>
              <w:jc w:val="center"/>
              <w:rPr>
                <w:rFonts w:cs="宋体"/>
                <w:color w:val="auto"/>
                <w:sz w:val="24"/>
                <w:szCs w:val="24"/>
                <w:highlight w:val="none"/>
              </w:rPr>
            </w:pPr>
            <w:r>
              <w:rPr>
                <w:rFonts w:hint="eastAsia" w:cs="宋体"/>
                <w:color w:val="auto"/>
                <w:sz w:val="24"/>
                <w:szCs w:val="24"/>
                <w:highlight w:val="none"/>
              </w:rPr>
              <w:t>资料员</w:t>
            </w:r>
          </w:p>
        </w:tc>
        <w:tc>
          <w:tcPr>
            <w:tcW w:w="627" w:type="pct"/>
            <w:vAlign w:val="center"/>
          </w:tcPr>
          <w:p w14:paraId="69BE6CCA">
            <w:pPr>
              <w:keepNext/>
              <w:spacing w:line="360" w:lineRule="auto"/>
              <w:jc w:val="center"/>
              <w:rPr>
                <w:rFonts w:cs="宋体"/>
                <w:color w:val="auto"/>
                <w:sz w:val="24"/>
                <w:szCs w:val="24"/>
                <w:highlight w:val="none"/>
              </w:rPr>
            </w:pPr>
          </w:p>
        </w:tc>
        <w:tc>
          <w:tcPr>
            <w:tcW w:w="502" w:type="pct"/>
            <w:vAlign w:val="center"/>
          </w:tcPr>
          <w:p w14:paraId="46A19F24">
            <w:pPr>
              <w:keepNext/>
              <w:spacing w:line="360" w:lineRule="auto"/>
              <w:jc w:val="center"/>
              <w:rPr>
                <w:rFonts w:cs="宋体"/>
                <w:color w:val="auto"/>
                <w:sz w:val="24"/>
                <w:szCs w:val="24"/>
                <w:highlight w:val="none"/>
              </w:rPr>
            </w:pPr>
          </w:p>
        </w:tc>
        <w:tc>
          <w:tcPr>
            <w:tcW w:w="502" w:type="pct"/>
            <w:vAlign w:val="center"/>
          </w:tcPr>
          <w:p w14:paraId="2D092A48">
            <w:pPr>
              <w:keepNext/>
              <w:spacing w:line="360" w:lineRule="auto"/>
              <w:jc w:val="center"/>
              <w:rPr>
                <w:rFonts w:cs="宋体"/>
                <w:color w:val="auto"/>
                <w:sz w:val="24"/>
                <w:szCs w:val="24"/>
                <w:highlight w:val="none"/>
              </w:rPr>
            </w:pPr>
          </w:p>
        </w:tc>
        <w:tc>
          <w:tcPr>
            <w:tcW w:w="1281" w:type="pct"/>
            <w:vAlign w:val="center"/>
          </w:tcPr>
          <w:p w14:paraId="37767327">
            <w:pPr>
              <w:keepNext/>
              <w:spacing w:line="360" w:lineRule="auto"/>
              <w:jc w:val="center"/>
              <w:rPr>
                <w:rFonts w:cs="宋体"/>
                <w:color w:val="auto"/>
                <w:sz w:val="24"/>
                <w:szCs w:val="24"/>
                <w:highlight w:val="none"/>
              </w:rPr>
            </w:pPr>
          </w:p>
        </w:tc>
        <w:tc>
          <w:tcPr>
            <w:tcW w:w="1151" w:type="pct"/>
            <w:vAlign w:val="center"/>
          </w:tcPr>
          <w:p w14:paraId="76CD021A">
            <w:pPr>
              <w:keepNext/>
              <w:spacing w:line="360" w:lineRule="auto"/>
              <w:jc w:val="center"/>
              <w:rPr>
                <w:rFonts w:cs="宋体"/>
                <w:color w:val="auto"/>
                <w:sz w:val="24"/>
                <w:szCs w:val="24"/>
                <w:highlight w:val="none"/>
              </w:rPr>
            </w:pPr>
          </w:p>
        </w:tc>
      </w:tr>
      <w:tr w14:paraId="280CA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78752A4D">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4AF973A3">
            <w:pPr>
              <w:keepNext/>
              <w:spacing w:line="360" w:lineRule="auto"/>
              <w:jc w:val="center"/>
              <w:rPr>
                <w:rFonts w:cs="宋体"/>
                <w:color w:val="auto"/>
                <w:sz w:val="24"/>
                <w:szCs w:val="24"/>
                <w:highlight w:val="none"/>
              </w:rPr>
            </w:pPr>
          </w:p>
        </w:tc>
        <w:tc>
          <w:tcPr>
            <w:tcW w:w="502" w:type="pct"/>
            <w:vAlign w:val="center"/>
          </w:tcPr>
          <w:p w14:paraId="5C110839">
            <w:pPr>
              <w:keepNext/>
              <w:spacing w:line="360" w:lineRule="auto"/>
              <w:jc w:val="center"/>
              <w:rPr>
                <w:rFonts w:cs="宋体"/>
                <w:color w:val="auto"/>
                <w:sz w:val="24"/>
                <w:szCs w:val="24"/>
                <w:highlight w:val="none"/>
              </w:rPr>
            </w:pPr>
          </w:p>
        </w:tc>
        <w:tc>
          <w:tcPr>
            <w:tcW w:w="502" w:type="pct"/>
            <w:vAlign w:val="center"/>
          </w:tcPr>
          <w:p w14:paraId="7A6144FE">
            <w:pPr>
              <w:keepNext/>
              <w:spacing w:line="360" w:lineRule="auto"/>
              <w:jc w:val="center"/>
              <w:rPr>
                <w:rFonts w:cs="宋体"/>
                <w:color w:val="auto"/>
                <w:sz w:val="24"/>
                <w:szCs w:val="24"/>
                <w:highlight w:val="none"/>
              </w:rPr>
            </w:pPr>
          </w:p>
        </w:tc>
        <w:tc>
          <w:tcPr>
            <w:tcW w:w="1281" w:type="pct"/>
            <w:vAlign w:val="center"/>
          </w:tcPr>
          <w:p w14:paraId="62D97404">
            <w:pPr>
              <w:keepNext/>
              <w:spacing w:line="360" w:lineRule="auto"/>
              <w:jc w:val="center"/>
              <w:rPr>
                <w:rFonts w:cs="宋体"/>
                <w:color w:val="auto"/>
                <w:sz w:val="24"/>
                <w:szCs w:val="24"/>
                <w:highlight w:val="none"/>
              </w:rPr>
            </w:pPr>
          </w:p>
        </w:tc>
        <w:tc>
          <w:tcPr>
            <w:tcW w:w="1151" w:type="pct"/>
            <w:vAlign w:val="center"/>
          </w:tcPr>
          <w:p w14:paraId="47FFE593">
            <w:pPr>
              <w:keepNext/>
              <w:spacing w:line="360" w:lineRule="auto"/>
              <w:jc w:val="center"/>
              <w:rPr>
                <w:rFonts w:cs="宋体"/>
                <w:color w:val="auto"/>
                <w:sz w:val="24"/>
                <w:szCs w:val="24"/>
                <w:highlight w:val="none"/>
              </w:rPr>
            </w:pPr>
          </w:p>
        </w:tc>
      </w:tr>
      <w:tr w14:paraId="0FFD2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7F9B9D9">
            <w:pPr>
              <w:keepNext/>
              <w:spacing w:line="360" w:lineRule="auto"/>
              <w:jc w:val="center"/>
              <w:rPr>
                <w:rFonts w:cs="宋体"/>
                <w:color w:val="auto"/>
                <w:sz w:val="24"/>
                <w:szCs w:val="24"/>
                <w:highlight w:val="none"/>
              </w:rPr>
            </w:pPr>
          </w:p>
        </w:tc>
        <w:tc>
          <w:tcPr>
            <w:tcW w:w="627" w:type="pct"/>
            <w:tcBorders>
              <w:bottom w:val="nil"/>
            </w:tcBorders>
            <w:vAlign w:val="center"/>
          </w:tcPr>
          <w:p w14:paraId="76F0F866">
            <w:pPr>
              <w:keepNext/>
              <w:spacing w:line="360" w:lineRule="auto"/>
              <w:jc w:val="center"/>
              <w:rPr>
                <w:rFonts w:cs="宋体"/>
                <w:color w:val="auto"/>
                <w:sz w:val="24"/>
                <w:szCs w:val="24"/>
                <w:highlight w:val="none"/>
              </w:rPr>
            </w:pPr>
          </w:p>
        </w:tc>
        <w:tc>
          <w:tcPr>
            <w:tcW w:w="502" w:type="pct"/>
            <w:tcBorders>
              <w:bottom w:val="nil"/>
            </w:tcBorders>
            <w:vAlign w:val="center"/>
          </w:tcPr>
          <w:p w14:paraId="14A515F2">
            <w:pPr>
              <w:keepNext/>
              <w:spacing w:line="360" w:lineRule="auto"/>
              <w:jc w:val="center"/>
              <w:rPr>
                <w:rFonts w:cs="宋体"/>
                <w:color w:val="auto"/>
                <w:sz w:val="24"/>
                <w:szCs w:val="24"/>
                <w:highlight w:val="none"/>
              </w:rPr>
            </w:pPr>
          </w:p>
        </w:tc>
        <w:tc>
          <w:tcPr>
            <w:tcW w:w="502" w:type="pct"/>
            <w:tcBorders>
              <w:bottom w:val="nil"/>
            </w:tcBorders>
            <w:vAlign w:val="center"/>
          </w:tcPr>
          <w:p w14:paraId="65FB9DFB">
            <w:pPr>
              <w:keepNext/>
              <w:spacing w:line="360" w:lineRule="auto"/>
              <w:jc w:val="center"/>
              <w:rPr>
                <w:rFonts w:cs="宋体"/>
                <w:color w:val="auto"/>
                <w:sz w:val="24"/>
                <w:szCs w:val="24"/>
                <w:highlight w:val="none"/>
              </w:rPr>
            </w:pPr>
          </w:p>
        </w:tc>
        <w:tc>
          <w:tcPr>
            <w:tcW w:w="1281" w:type="pct"/>
            <w:tcBorders>
              <w:bottom w:val="nil"/>
            </w:tcBorders>
            <w:vAlign w:val="center"/>
          </w:tcPr>
          <w:p w14:paraId="29EC4B8B">
            <w:pPr>
              <w:keepNext/>
              <w:spacing w:line="360" w:lineRule="auto"/>
              <w:jc w:val="center"/>
              <w:rPr>
                <w:rFonts w:cs="宋体"/>
                <w:color w:val="auto"/>
                <w:sz w:val="24"/>
                <w:szCs w:val="24"/>
                <w:highlight w:val="none"/>
              </w:rPr>
            </w:pPr>
          </w:p>
        </w:tc>
        <w:tc>
          <w:tcPr>
            <w:tcW w:w="1151" w:type="pct"/>
            <w:tcBorders>
              <w:bottom w:val="nil"/>
            </w:tcBorders>
            <w:vAlign w:val="center"/>
          </w:tcPr>
          <w:p w14:paraId="1CDA3098">
            <w:pPr>
              <w:keepNext/>
              <w:spacing w:line="360" w:lineRule="auto"/>
              <w:jc w:val="center"/>
              <w:rPr>
                <w:rFonts w:cs="宋体"/>
                <w:color w:val="auto"/>
                <w:sz w:val="24"/>
                <w:szCs w:val="24"/>
                <w:highlight w:val="none"/>
              </w:rPr>
            </w:pPr>
          </w:p>
        </w:tc>
      </w:tr>
      <w:tr w14:paraId="4B856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631ACF6">
            <w:pPr>
              <w:keepNext/>
              <w:spacing w:line="360" w:lineRule="auto"/>
              <w:jc w:val="center"/>
              <w:rPr>
                <w:rFonts w:cs="宋体"/>
                <w:color w:val="auto"/>
                <w:sz w:val="24"/>
                <w:szCs w:val="24"/>
                <w:highlight w:val="none"/>
              </w:rPr>
            </w:pPr>
          </w:p>
        </w:tc>
        <w:tc>
          <w:tcPr>
            <w:tcW w:w="627" w:type="pct"/>
            <w:vAlign w:val="center"/>
          </w:tcPr>
          <w:p w14:paraId="31D71C4A">
            <w:pPr>
              <w:keepNext/>
              <w:spacing w:line="360" w:lineRule="auto"/>
              <w:jc w:val="center"/>
              <w:rPr>
                <w:rFonts w:cs="宋体"/>
                <w:color w:val="auto"/>
                <w:sz w:val="24"/>
                <w:szCs w:val="24"/>
                <w:highlight w:val="none"/>
              </w:rPr>
            </w:pPr>
          </w:p>
        </w:tc>
        <w:tc>
          <w:tcPr>
            <w:tcW w:w="502" w:type="pct"/>
            <w:vAlign w:val="center"/>
          </w:tcPr>
          <w:p w14:paraId="6895A115">
            <w:pPr>
              <w:keepNext/>
              <w:spacing w:line="360" w:lineRule="auto"/>
              <w:jc w:val="center"/>
              <w:rPr>
                <w:rFonts w:cs="宋体"/>
                <w:color w:val="auto"/>
                <w:sz w:val="24"/>
                <w:szCs w:val="24"/>
                <w:highlight w:val="none"/>
              </w:rPr>
            </w:pPr>
          </w:p>
        </w:tc>
        <w:tc>
          <w:tcPr>
            <w:tcW w:w="502" w:type="pct"/>
            <w:vAlign w:val="center"/>
          </w:tcPr>
          <w:p w14:paraId="5597519D">
            <w:pPr>
              <w:keepNext/>
              <w:spacing w:line="360" w:lineRule="auto"/>
              <w:jc w:val="center"/>
              <w:rPr>
                <w:rFonts w:cs="宋体"/>
                <w:color w:val="auto"/>
                <w:sz w:val="24"/>
                <w:szCs w:val="24"/>
                <w:highlight w:val="none"/>
              </w:rPr>
            </w:pPr>
          </w:p>
        </w:tc>
        <w:tc>
          <w:tcPr>
            <w:tcW w:w="1281" w:type="pct"/>
            <w:vAlign w:val="center"/>
          </w:tcPr>
          <w:p w14:paraId="7299263F">
            <w:pPr>
              <w:keepNext/>
              <w:spacing w:line="360" w:lineRule="auto"/>
              <w:jc w:val="center"/>
              <w:rPr>
                <w:rFonts w:cs="宋体"/>
                <w:color w:val="auto"/>
                <w:sz w:val="24"/>
                <w:szCs w:val="24"/>
                <w:highlight w:val="none"/>
              </w:rPr>
            </w:pPr>
          </w:p>
        </w:tc>
        <w:tc>
          <w:tcPr>
            <w:tcW w:w="1151" w:type="pct"/>
            <w:vAlign w:val="center"/>
          </w:tcPr>
          <w:p w14:paraId="2FA92384">
            <w:pPr>
              <w:keepNext/>
              <w:spacing w:line="360" w:lineRule="auto"/>
              <w:jc w:val="center"/>
              <w:rPr>
                <w:rFonts w:cs="宋体"/>
                <w:color w:val="auto"/>
                <w:sz w:val="24"/>
                <w:szCs w:val="24"/>
                <w:highlight w:val="none"/>
              </w:rPr>
            </w:pPr>
          </w:p>
        </w:tc>
      </w:tr>
      <w:tr w14:paraId="2327C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357C6B2">
            <w:pPr>
              <w:keepNext/>
              <w:spacing w:line="360" w:lineRule="auto"/>
              <w:jc w:val="center"/>
              <w:rPr>
                <w:rFonts w:cs="宋体"/>
                <w:color w:val="auto"/>
                <w:sz w:val="24"/>
                <w:szCs w:val="24"/>
                <w:highlight w:val="none"/>
              </w:rPr>
            </w:pPr>
          </w:p>
        </w:tc>
        <w:tc>
          <w:tcPr>
            <w:tcW w:w="627" w:type="pct"/>
            <w:vAlign w:val="center"/>
          </w:tcPr>
          <w:p w14:paraId="3FCD3DD8">
            <w:pPr>
              <w:keepNext/>
              <w:spacing w:line="360" w:lineRule="auto"/>
              <w:jc w:val="center"/>
              <w:rPr>
                <w:rFonts w:cs="宋体"/>
                <w:color w:val="auto"/>
                <w:sz w:val="24"/>
                <w:szCs w:val="24"/>
                <w:highlight w:val="none"/>
              </w:rPr>
            </w:pPr>
          </w:p>
        </w:tc>
        <w:tc>
          <w:tcPr>
            <w:tcW w:w="502" w:type="pct"/>
            <w:vAlign w:val="center"/>
          </w:tcPr>
          <w:p w14:paraId="314569AE">
            <w:pPr>
              <w:keepNext/>
              <w:spacing w:line="360" w:lineRule="auto"/>
              <w:jc w:val="center"/>
              <w:rPr>
                <w:rFonts w:cs="宋体"/>
                <w:color w:val="auto"/>
                <w:sz w:val="24"/>
                <w:szCs w:val="24"/>
                <w:highlight w:val="none"/>
              </w:rPr>
            </w:pPr>
          </w:p>
        </w:tc>
        <w:tc>
          <w:tcPr>
            <w:tcW w:w="502" w:type="pct"/>
            <w:vAlign w:val="center"/>
          </w:tcPr>
          <w:p w14:paraId="20B81D53">
            <w:pPr>
              <w:keepNext/>
              <w:spacing w:line="360" w:lineRule="auto"/>
              <w:jc w:val="center"/>
              <w:rPr>
                <w:rFonts w:cs="宋体"/>
                <w:color w:val="auto"/>
                <w:sz w:val="24"/>
                <w:szCs w:val="24"/>
                <w:highlight w:val="none"/>
              </w:rPr>
            </w:pPr>
          </w:p>
        </w:tc>
        <w:tc>
          <w:tcPr>
            <w:tcW w:w="1281" w:type="pct"/>
            <w:vAlign w:val="center"/>
          </w:tcPr>
          <w:p w14:paraId="063DB00E">
            <w:pPr>
              <w:keepNext/>
              <w:spacing w:line="360" w:lineRule="auto"/>
              <w:jc w:val="center"/>
              <w:rPr>
                <w:rFonts w:cs="宋体"/>
                <w:color w:val="auto"/>
                <w:sz w:val="24"/>
                <w:szCs w:val="24"/>
                <w:highlight w:val="none"/>
              </w:rPr>
            </w:pPr>
          </w:p>
        </w:tc>
        <w:tc>
          <w:tcPr>
            <w:tcW w:w="1151" w:type="pct"/>
            <w:vAlign w:val="center"/>
          </w:tcPr>
          <w:p w14:paraId="296659AD">
            <w:pPr>
              <w:keepNext/>
              <w:spacing w:line="360" w:lineRule="auto"/>
              <w:jc w:val="center"/>
              <w:rPr>
                <w:rFonts w:cs="宋体"/>
                <w:color w:val="auto"/>
                <w:sz w:val="24"/>
                <w:szCs w:val="24"/>
                <w:highlight w:val="none"/>
              </w:rPr>
            </w:pPr>
          </w:p>
        </w:tc>
      </w:tr>
      <w:tr w14:paraId="37133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456927F">
            <w:pPr>
              <w:keepNext/>
              <w:spacing w:line="360" w:lineRule="auto"/>
              <w:jc w:val="center"/>
              <w:rPr>
                <w:rFonts w:cs="宋体"/>
                <w:color w:val="auto"/>
                <w:sz w:val="24"/>
                <w:szCs w:val="24"/>
                <w:highlight w:val="none"/>
              </w:rPr>
            </w:pPr>
          </w:p>
        </w:tc>
        <w:tc>
          <w:tcPr>
            <w:tcW w:w="627" w:type="pct"/>
            <w:vAlign w:val="center"/>
          </w:tcPr>
          <w:p w14:paraId="4763E272">
            <w:pPr>
              <w:keepNext/>
              <w:spacing w:line="360" w:lineRule="auto"/>
              <w:jc w:val="center"/>
              <w:rPr>
                <w:rFonts w:cs="宋体"/>
                <w:color w:val="auto"/>
                <w:sz w:val="24"/>
                <w:szCs w:val="24"/>
                <w:highlight w:val="none"/>
              </w:rPr>
            </w:pPr>
          </w:p>
        </w:tc>
        <w:tc>
          <w:tcPr>
            <w:tcW w:w="502" w:type="pct"/>
            <w:vAlign w:val="center"/>
          </w:tcPr>
          <w:p w14:paraId="302A3032">
            <w:pPr>
              <w:keepNext/>
              <w:spacing w:line="360" w:lineRule="auto"/>
              <w:jc w:val="center"/>
              <w:rPr>
                <w:rFonts w:cs="宋体"/>
                <w:color w:val="auto"/>
                <w:sz w:val="24"/>
                <w:szCs w:val="24"/>
                <w:highlight w:val="none"/>
              </w:rPr>
            </w:pPr>
          </w:p>
        </w:tc>
        <w:tc>
          <w:tcPr>
            <w:tcW w:w="502" w:type="pct"/>
            <w:vAlign w:val="center"/>
          </w:tcPr>
          <w:p w14:paraId="6F1C86DA">
            <w:pPr>
              <w:keepNext/>
              <w:spacing w:line="360" w:lineRule="auto"/>
              <w:jc w:val="center"/>
              <w:rPr>
                <w:rFonts w:cs="宋体"/>
                <w:color w:val="auto"/>
                <w:sz w:val="24"/>
                <w:szCs w:val="24"/>
                <w:highlight w:val="none"/>
              </w:rPr>
            </w:pPr>
          </w:p>
        </w:tc>
        <w:tc>
          <w:tcPr>
            <w:tcW w:w="1281" w:type="pct"/>
            <w:vAlign w:val="center"/>
          </w:tcPr>
          <w:p w14:paraId="102A0016">
            <w:pPr>
              <w:keepNext/>
              <w:spacing w:line="360" w:lineRule="auto"/>
              <w:jc w:val="center"/>
              <w:rPr>
                <w:rFonts w:cs="宋体"/>
                <w:color w:val="auto"/>
                <w:sz w:val="24"/>
                <w:szCs w:val="24"/>
                <w:highlight w:val="none"/>
              </w:rPr>
            </w:pPr>
          </w:p>
        </w:tc>
        <w:tc>
          <w:tcPr>
            <w:tcW w:w="1151" w:type="pct"/>
            <w:vAlign w:val="center"/>
          </w:tcPr>
          <w:p w14:paraId="32E1ACC4">
            <w:pPr>
              <w:keepNext/>
              <w:spacing w:line="360" w:lineRule="auto"/>
              <w:jc w:val="center"/>
              <w:rPr>
                <w:rFonts w:cs="宋体"/>
                <w:color w:val="auto"/>
                <w:sz w:val="24"/>
                <w:szCs w:val="24"/>
                <w:highlight w:val="none"/>
              </w:rPr>
            </w:pPr>
          </w:p>
        </w:tc>
      </w:tr>
      <w:tr w14:paraId="1DA92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1DECADEB">
            <w:pPr>
              <w:keepNext/>
              <w:spacing w:line="360" w:lineRule="auto"/>
              <w:jc w:val="center"/>
              <w:rPr>
                <w:rFonts w:cs="宋体"/>
                <w:color w:val="auto"/>
                <w:sz w:val="24"/>
                <w:szCs w:val="24"/>
                <w:highlight w:val="none"/>
              </w:rPr>
            </w:pPr>
          </w:p>
        </w:tc>
        <w:tc>
          <w:tcPr>
            <w:tcW w:w="627" w:type="pct"/>
            <w:tcBorders>
              <w:bottom w:val="single" w:color="auto" w:sz="12" w:space="0"/>
            </w:tcBorders>
            <w:vAlign w:val="center"/>
          </w:tcPr>
          <w:p w14:paraId="0B864E5F">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11F571B4">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128719D7">
            <w:pPr>
              <w:keepNext/>
              <w:spacing w:line="360" w:lineRule="auto"/>
              <w:jc w:val="center"/>
              <w:rPr>
                <w:rFonts w:cs="宋体"/>
                <w:color w:val="auto"/>
                <w:sz w:val="24"/>
                <w:szCs w:val="24"/>
                <w:highlight w:val="none"/>
              </w:rPr>
            </w:pPr>
          </w:p>
        </w:tc>
        <w:tc>
          <w:tcPr>
            <w:tcW w:w="1281" w:type="pct"/>
            <w:tcBorders>
              <w:bottom w:val="single" w:color="auto" w:sz="12" w:space="0"/>
            </w:tcBorders>
            <w:vAlign w:val="center"/>
          </w:tcPr>
          <w:p w14:paraId="0D471DA3">
            <w:pPr>
              <w:keepNext/>
              <w:spacing w:line="360" w:lineRule="auto"/>
              <w:jc w:val="center"/>
              <w:rPr>
                <w:rFonts w:cs="宋体"/>
                <w:color w:val="auto"/>
                <w:sz w:val="24"/>
                <w:szCs w:val="24"/>
                <w:highlight w:val="none"/>
              </w:rPr>
            </w:pPr>
          </w:p>
        </w:tc>
        <w:tc>
          <w:tcPr>
            <w:tcW w:w="1151" w:type="pct"/>
            <w:tcBorders>
              <w:bottom w:val="single" w:color="auto" w:sz="12" w:space="0"/>
            </w:tcBorders>
            <w:vAlign w:val="center"/>
          </w:tcPr>
          <w:p w14:paraId="565F5CD0">
            <w:pPr>
              <w:keepNext/>
              <w:spacing w:line="360" w:lineRule="auto"/>
              <w:jc w:val="center"/>
              <w:rPr>
                <w:rFonts w:cs="宋体"/>
                <w:color w:val="auto"/>
                <w:sz w:val="24"/>
                <w:szCs w:val="24"/>
                <w:highlight w:val="none"/>
              </w:rPr>
            </w:pPr>
          </w:p>
        </w:tc>
      </w:tr>
    </w:tbl>
    <w:p w14:paraId="177B223F">
      <w:pPr>
        <w:spacing w:before="312" w:beforeLines="100" w:after="312" w:afterLines="100"/>
        <w:outlineLvl w:val="9"/>
        <w:rPr>
          <w:rFonts w:hint="eastAsia" w:ascii="Times New Roman" w:eastAsia="黑体"/>
          <w:color w:val="auto"/>
          <w:sz w:val="24"/>
          <w:szCs w:val="24"/>
          <w:highlight w:val="none"/>
        </w:rPr>
      </w:pPr>
    </w:p>
    <w:p w14:paraId="3F46EA38">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67A1F0A9">
      <w:pPr>
        <w:spacing w:before="312" w:beforeLines="100" w:after="312" w:afterLines="100"/>
        <w:outlineLvl w:val="2"/>
        <w:rPr>
          <w:rFonts w:hint="eastAsia" w:ascii="Times New Roman" w:eastAsia="黑体"/>
          <w:color w:val="auto"/>
          <w:sz w:val="24"/>
          <w:szCs w:val="24"/>
          <w:highlight w:val="none"/>
          <w:lang w:val="en-US" w:eastAsia="zh-CN"/>
        </w:rPr>
      </w:pP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6</w:t>
      </w:r>
      <w:r>
        <w:rPr>
          <w:rFonts w:hint="eastAsia" w:ascii="Times New Roman" w:eastAsia="黑体"/>
          <w:color w:val="auto"/>
          <w:sz w:val="24"/>
          <w:szCs w:val="24"/>
          <w:highlight w:val="none"/>
        </w:rPr>
        <w:t>：履约保证金</w:t>
      </w:r>
      <w:r>
        <w:rPr>
          <w:rFonts w:hint="eastAsia" w:ascii="Times New Roman" w:eastAsia="黑体"/>
          <w:color w:val="auto"/>
          <w:sz w:val="24"/>
          <w:szCs w:val="24"/>
          <w:highlight w:val="none"/>
          <w:lang w:val="en-US" w:eastAsia="zh-CN"/>
        </w:rPr>
        <w:t>格式</w:t>
      </w:r>
    </w:p>
    <w:p w14:paraId="1FF6E4DC">
      <w:pPr>
        <w:spacing w:line="360" w:lineRule="auto"/>
        <w:jc w:val="center"/>
        <w:rPr>
          <w:rFonts w:cs="宋体"/>
          <w:b/>
          <w:bCs/>
          <w:color w:val="auto"/>
          <w:sz w:val="24"/>
          <w:szCs w:val="24"/>
          <w:highlight w:val="none"/>
        </w:rPr>
      </w:pPr>
      <w:r>
        <w:rPr>
          <w:rFonts w:hint="eastAsia" w:cs="宋体"/>
          <w:b/>
          <w:bCs/>
          <w:color w:val="auto"/>
          <w:sz w:val="24"/>
          <w:szCs w:val="24"/>
          <w:highlight w:val="none"/>
        </w:rPr>
        <w:t>履约保函示范文本</w:t>
      </w:r>
    </w:p>
    <w:p w14:paraId="4A65EB7B">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5434F8A3">
      <w:pPr>
        <w:spacing w:line="360" w:lineRule="auto"/>
        <w:rPr>
          <w:rFonts w:ascii="Times New Roman"/>
          <w:color w:val="auto"/>
          <w:sz w:val="24"/>
          <w:szCs w:val="24"/>
          <w:highlight w:val="none"/>
        </w:rPr>
      </w:pPr>
    </w:p>
    <w:p w14:paraId="651A2E71">
      <w:pPr>
        <w:spacing w:line="360" w:lineRule="auto"/>
        <w:rPr>
          <w:rFonts w:cs="宋体"/>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p w14:paraId="750EE979">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（以下简称“基础合同”），开立人根据基础合同了解到申请人为基础合同项下之</w:t>
      </w:r>
      <w:r>
        <w:rPr>
          <w:rFonts w:hint="eastAsia" w:cs="宋体"/>
          <w:color w:val="auto"/>
          <w:sz w:val="24"/>
          <w:szCs w:val="24"/>
          <w:highlight w:val="none"/>
          <w:lang w:eastAsia="zh-CN"/>
        </w:rPr>
        <w:t>乙方</w:t>
      </w:r>
      <w:r>
        <w:rPr>
          <w:rFonts w:hint="eastAsia" w:cs="宋体"/>
          <w:color w:val="auto"/>
          <w:sz w:val="24"/>
          <w:szCs w:val="24"/>
          <w:highlight w:val="none"/>
        </w:rPr>
        <w:t>，受益人为基础合同项下之</w:t>
      </w:r>
      <w:r>
        <w:rPr>
          <w:rFonts w:hint="eastAsia" w:cs="宋体"/>
          <w:color w:val="auto"/>
          <w:sz w:val="24"/>
          <w:szCs w:val="24"/>
          <w:highlight w:val="none"/>
          <w:lang w:eastAsia="zh-CN"/>
        </w:rPr>
        <w:t>甲方</w:t>
      </w:r>
      <w:r>
        <w:rPr>
          <w:rFonts w:hint="eastAsia" w:cs="宋体"/>
          <w:color w:val="auto"/>
          <w:sz w:val="24"/>
          <w:szCs w:val="24"/>
          <w:highlight w:val="none"/>
        </w:rPr>
        <w:t xml:space="preserve">，基于申请人的请求，开立人同意就申请人履行与受益人签订的基础合同项下的义务，向受益人提供不可撤销、不可转让的独立保函（以下简称“本保函”）。 </w:t>
      </w:r>
    </w:p>
    <w:p w14:paraId="58E9B231">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w:t>
      </w:r>
      <w:r>
        <w:rPr>
          <w:rFonts w:hint="eastAsia" w:cs="宋体"/>
          <w:color w:val="auto"/>
          <w:sz w:val="24"/>
          <w:szCs w:val="24"/>
          <w:highlight w:val="none"/>
          <w:lang w:eastAsia="zh-CN"/>
        </w:rPr>
        <w:t>乙方</w:t>
      </w:r>
      <w:r>
        <w:rPr>
          <w:rFonts w:hint="eastAsia" w:cs="宋体"/>
          <w:color w:val="auto"/>
          <w:sz w:val="24"/>
          <w:szCs w:val="24"/>
          <w:highlight w:val="none"/>
        </w:rPr>
        <w:t>未按照基础合同的约定履行义务，应当向受益人承担的违约责任和赔偿因此造成的损失、利息、律师费、诉讼费用等实现债权的费用。</w:t>
      </w:r>
    </w:p>
    <w:p w14:paraId="07535532">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2A6155AE">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三、本保函有效期自开立之日起至基础合同约定的缺陷责任期满之日止。 </w:t>
      </w:r>
    </w:p>
    <w:p w14:paraId="31D609CD">
      <w:pPr>
        <w:spacing w:line="360" w:lineRule="auto"/>
        <w:ind w:firstLine="480"/>
        <w:rPr>
          <w:rFonts w:cs="宋体"/>
          <w:color w:val="auto"/>
          <w:sz w:val="24"/>
          <w:szCs w:val="24"/>
          <w:highlight w:val="none"/>
        </w:rPr>
      </w:pPr>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p w14:paraId="779C0943">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6884EC2E">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4064DA4F">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01938A4A">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62B19B57">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AF249FB">
      <w:pPr>
        <w:spacing w:line="360" w:lineRule="auto"/>
        <w:ind w:firstLine="480" w:firstLineChars="200"/>
        <w:rPr>
          <w:rFonts w:cs="宋体"/>
          <w:color w:val="auto"/>
          <w:sz w:val="24"/>
          <w:szCs w:val="24"/>
          <w:highlight w:val="none"/>
        </w:rPr>
      </w:pPr>
      <w:r>
        <w:rPr>
          <w:rFonts w:hint="eastAsia" w:cs="宋体"/>
          <w:color w:val="auto"/>
          <w:sz w:val="24"/>
          <w:szCs w:val="24"/>
          <w:highlight w:val="none"/>
        </w:rPr>
        <w:t>受益人发出的书面付款通知应由其法定代表人（负责人）或授权代理人签字并加盖公章。</w:t>
      </w:r>
    </w:p>
    <w:p w14:paraId="336627AF">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五、本保函项下的权利不得转让，不得设定担保。受益人未经我方书面同意转 让本保函或其项下任何权利，对我方不发生法律效力。 </w:t>
      </w:r>
    </w:p>
    <w:p w14:paraId="09AB1BC6">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六、与本保函有关的基础合同不成立、不生效、无效、被撤销、被解除，不影响本保函的独立有效。 </w:t>
      </w:r>
    </w:p>
    <w:p w14:paraId="181492C7">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七、本保函项下的义务和责任均在保函有效期到期后自动消灭。 </w:t>
      </w:r>
    </w:p>
    <w:p w14:paraId="6F3A7379">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八、本保函适用的法律为中华人民共和国法律，因本保函产生的纠纷案件，由受益人所在地人民法院管辖。 </w:t>
      </w:r>
    </w:p>
    <w:p w14:paraId="6148AEE9">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3047D98C">
      <w:pPr>
        <w:spacing w:line="360" w:lineRule="auto"/>
        <w:ind w:firstLine="480" w:firstLineChars="200"/>
        <w:rPr>
          <w:rFonts w:cs="宋体"/>
          <w:color w:val="auto"/>
          <w:sz w:val="24"/>
          <w:szCs w:val="24"/>
          <w:highlight w:val="none"/>
        </w:rPr>
      </w:pPr>
    </w:p>
    <w:p w14:paraId="4376B3D1">
      <w:pPr>
        <w:spacing w:line="360" w:lineRule="auto"/>
        <w:ind w:firstLine="480" w:firstLineChars="200"/>
        <w:rPr>
          <w:rFonts w:cs="宋体"/>
          <w:color w:val="auto"/>
          <w:sz w:val="24"/>
          <w:szCs w:val="24"/>
          <w:highlight w:val="none"/>
        </w:rPr>
      </w:pPr>
    </w:p>
    <w:p w14:paraId="2028960A">
      <w:pPr>
        <w:spacing w:line="360" w:lineRule="auto"/>
        <w:ind w:firstLine="480" w:firstLineChars="200"/>
        <w:rPr>
          <w:rFonts w:cs="宋体"/>
          <w:color w:val="auto"/>
          <w:sz w:val="24"/>
          <w:szCs w:val="24"/>
          <w:highlight w:val="none"/>
        </w:rPr>
      </w:pPr>
    </w:p>
    <w:p w14:paraId="3D82363C">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61224A5C">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0F44C666">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1401CEFA">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1A76A684">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58E4A570">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13152C5F">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04BD18D3">
      <w:pPr>
        <w:spacing w:before="312" w:beforeLines="100" w:after="312" w:afterLines="100"/>
        <w:outlineLvl w:val="2"/>
        <w:rPr>
          <w:rFonts w:hint="eastAsia" w:ascii="Times New Roman" w:eastAsia="黑体"/>
          <w:color w:val="auto"/>
          <w:sz w:val="24"/>
          <w:szCs w:val="24"/>
          <w:highlight w:val="none"/>
          <w:lang w:val="en-US" w:eastAsia="zh-CN"/>
        </w:rPr>
      </w:pPr>
      <w:r>
        <w:rPr>
          <w:rFonts w:ascii="Times New Roman" w:eastAsia="黑体"/>
          <w:bCs/>
          <w:color w:val="auto"/>
          <w:sz w:val="24"/>
          <w:szCs w:val="24"/>
          <w:highlight w:val="none"/>
        </w:rPr>
        <w:br w:type="page"/>
      </w: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7</w:t>
      </w:r>
      <w:r>
        <w:rPr>
          <w:rFonts w:hint="eastAsia" w:ascii="Times New Roman" w:eastAsia="黑体"/>
          <w:color w:val="auto"/>
          <w:sz w:val="24"/>
          <w:szCs w:val="24"/>
          <w:highlight w:val="none"/>
        </w:rPr>
        <w:t>：预付款担保</w:t>
      </w:r>
      <w:r>
        <w:rPr>
          <w:rFonts w:hint="eastAsia" w:ascii="Times New Roman" w:eastAsia="黑体"/>
          <w:color w:val="auto"/>
          <w:sz w:val="24"/>
          <w:szCs w:val="24"/>
          <w:highlight w:val="none"/>
          <w:lang w:val="en-US" w:eastAsia="zh-CN"/>
        </w:rPr>
        <w:t>格式</w:t>
      </w:r>
    </w:p>
    <w:p w14:paraId="25F32637">
      <w:pPr>
        <w:spacing w:line="360" w:lineRule="auto"/>
        <w:jc w:val="center"/>
        <w:rPr>
          <w:rFonts w:cs="宋体"/>
          <w:b/>
          <w:bCs/>
          <w:color w:val="auto"/>
          <w:sz w:val="24"/>
          <w:szCs w:val="24"/>
          <w:highlight w:val="none"/>
        </w:rPr>
      </w:pPr>
      <w:r>
        <w:rPr>
          <w:rFonts w:hint="eastAsia" w:cs="宋体"/>
          <w:b/>
          <w:bCs/>
          <w:color w:val="auto"/>
          <w:sz w:val="24"/>
          <w:szCs w:val="24"/>
          <w:highlight w:val="none"/>
        </w:rPr>
        <w:t>预付款保函示范文本</w:t>
      </w:r>
    </w:p>
    <w:p w14:paraId="794B9EC3">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32FB03D4">
      <w:pPr>
        <w:spacing w:line="360" w:lineRule="auto"/>
        <w:rPr>
          <w:rFonts w:ascii="Times New Roman"/>
          <w:color w:val="auto"/>
          <w:sz w:val="24"/>
          <w:szCs w:val="24"/>
          <w:highlight w:val="none"/>
        </w:rPr>
      </w:pPr>
    </w:p>
    <w:p w14:paraId="4BE452F4">
      <w:pPr>
        <w:spacing w:line="360" w:lineRule="auto"/>
        <w:rPr>
          <w:rFonts w:cs="宋体"/>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p w14:paraId="72C08DB9">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（以下简称“基础合同”），开立人根据主合同了解到申请人为主合同项下之</w:t>
      </w:r>
      <w:r>
        <w:rPr>
          <w:rFonts w:hint="eastAsia" w:cs="宋体"/>
          <w:color w:val="auto"/>
          <w:sz w:val="24"/>
          <w:szCs w:val="24"/>
          <w:highlight w:val="none"/>
          <w:lang w:eastAsia="zh-CN"/>
        </w:rPr>
        <w:t>乙方</w:t>
      </w:r>
      <w:r>
        <w:rPr>
          <w:rFonts w:hint="eastAsia" w:cs="宋体"/>
          <w:color w:val="auto"/>
          <w:sz w:val="24"/>
          <w:szCs w:val="24"/>
          <w:highlight w:val="none"/>
        </w:rPr>
        <w:t>，受益人为主合同项下之</w:t>
      </w:r>
      <w:r>
        <w:rPr>
          <w:rFonts w:hint="eastAsia" w:cs="宋体"/>
          <w:color w:val="auto"/>
          <w:sz w:val="24"/>
          <w:szCs w:val="24"/>
          <w:highlight w:val="none"/>
          <w:lang w:eastAsia="zh-CN"/>
        </w:rPr>
        <w:t>甲方</w:t>
      </w:r>
      <w:r>
        <w:rPr>
          <w:rFonts w:hint="eastAsia" w:cs="宋体"/>
          <w:color w:val="auto"/>
          <w:sz w:val="24"/>
          <w:szCs w:val="24"/>
          <w:highlight w:val="none"/>
        </w:rPr>
        <w:t xml:space="preserve">，基于申请人的请求，开立人同意就申请人按照合同约定正确和合理地为合同目的使用预付款，向受益人提供不可撤销、不可转让的独立保函（以下简称“本保函”）。 </w:t>
      </w:r>
    </w:p>
    <w:p w14:paraId="14221B65">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一、本保函担保范围：申请人未按照合同约定正确和合理地为合同目的使用预付款，应当向受益人承担的违约责任和赔偿因此造成的损失、利息、律师费、诉讼费用等实现债权的费用。</w:t>
      </w:r>
    </w:p>
    <w:p w14:paraId="1E779036">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0172F691">
      <w:pPr>
        <w:spacing w:line="360" w:lineRule="auto"/>
        <w:ind w:firstLine="480" w:firstLineChars="200"/>
        <w:rPr>
          <w:rFonts w:cs="宋体"/>
          <w:color w:val="auto"/>
          <w:sz w:val="24"/>
          <w:szCs w:val="24"/>
          <w:highlight w:val="none"/>
        </w:rPr>
      </w:pPr>
      <w:r>
        <w:rPr>
          <w:rFonts w:hint="eastAsia" w:cs="宋体"/>
          <w:color w:val="auto"/>
          <w:sz w:val="24"/>
          <w:szCs w:val="24"/>
          <w:highlight w:val="none"/>
        </w:rPr>
        <w:t>三、本保函有效期自开立之日起至</w:t>
      </w:r>
      <w:r>
        <w:rPr>
          <w:rFonts w:hint="eastAsia" w:cs="宋体"/>
          <w:color w:val="auto"/>
          <w:sz w:val="24"/>
          <w:szCs w:val="24"/>
          <w:highlight w:val="none"/>
          <w:lang w:eastAsia="zh-CN"/>
        </w:rPr>
        <w:t>甲方</w:t>
      </w:r>
      <w:r>
        <w:rPr>
          <w:rFonts w:hint="eastAsia" w:cs="宋体"/>
          <w:color w:val="auto"/>
          <w:sz w:val="24"/>
          <w:szCs w:val="24"/>
          <w:highlight w:val="none"/>
        </w:rPr>
        <w:t>全额扣回预付款之日止。</w:t>
      </w:r>
    </w:p>
    <w:p w14:paraId="6ECE675D">
      <w:pPr>
        <w:spacing w:line="400" w:lineRule="exact"/>
        <w:ind w:firstLine="480"/>
        <w:rPr>
          <w:rFonts w:cs="宋体"/>
          <w:color w:val="auto"/>
          <w:sz w:val="24"/>
          <w:szCs w:val="24"/>
          <w:highlight w:val="none"/>
        </w:rPr>
      </w:pPr>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p w14:paraId="719DDA22">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020FDE53">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5AE73373">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2E6858A9">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1AF7328B">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1F779C7">
      <w:pPr>
        <w:spacing w:line="400" w:lineRule="exact"/>
        <w:rPr>
          <w:rFonts w:cs="宋体"/>
          <w:color w:val="auto"/>
          <w:sz w:val="24"/>
          <w:szCs w:val="24"/>
          <w:highlight w:val="none"/>
        </w:rPr>
      </w:pPr>
      <w:r>
        <w:rPr>
          <w:rFonts w:hint="eastAsia" w:cs="宋体"/>
          <w:color w:val="auto"/>
          <w:sz w:val="24"/>
          <w:szCs w:val="24"/>
          <w:highlight w:val="none"/>
        </w:rPr>
        <w:t xml:space="preserve">    受益人发出的书面付款通知应由其法定代表人（负责人）或授权代理人签字并加盖公章。</w:t>
      </w:r>
    </w:p>
    <w:p w14:paraId="4453014A">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五、本保函项下的权利不得转让，不得设定担保。受益人未经开立人书面同意转让本保函或其项下任何权利，对开立人不发生法律效力。 </w:t>
      </w:r>
    </w:p>
    <w:p w14:paraId="6711411C">
      <w:pPr>
        <w:spacing w:line="400" w:lineRule="exact"/>
        <w:ind w:firstLine="480" w:firstLineChars="200"/>
        <w:rPr>
          <w:rStyle w:val="63"/>
          <w:rFonts w:cs="宋体"/>
          <w:color w:val="auto"/>
          <w:sz w:val="24"/>
          <w:szCs w:val="24"/>
          <w:highlight w:val="none"/>
        </w:rPr>
      </w:pPr>
      <w:r>
        <w:rPr>
          <w:rFonts w:hint="eastAsia" w:cs="宋体"/>
          <w:color w:val="auto"/>
          <w:sz w:val="24"/>
          <w:szCs w:val="24"/>
          <w:highlight w:val="none"/>
        </w:rPr>
        <w:t>六、本保函项下的基础交易不成立、不生效、无效、被撤销、被解除，不影响本保函的独立有效。</w:t>
      </w:r>
    </w:p>
    <w:p w14:paraId="76E29CBD">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七、本保函项下的义务和责任均在保函有效期到期后自动消灭。 </w:t>
      </w:r>
    </w:p>
    <w:p w14:paraId="5FAFE93F">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八、本保函适用的法律为中华人民共和国法律，因本保函产生的纠纷案件，由受益人所在地人民法院管辖。 </w:t>
      </w:r>
    </w:p>
    <w:p w14:paraId="3406CB45">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50C893E3">
      <w:pPr>
        <w:spacing w:line="360" w:lineRule="auto"/>
        <w:ind w:firstLine="480" w:firstLineChars="200"/>
        <w:rPr>
          <w:rFonts w:cs="宋体"/>
          <w:color w:val="auto"/>
          <w:sz w:val="24"/>
          <w:szCs w:val="24"/>
          <w:highlight w:val="none"/>
        </w:rPr>
      </w:pPr>
    </w:p>
    <w:p w14:paraId="7B69F6AF">
      <w:pPr>
        <w:spacing w:line="360" w:lineRule="auto"/>
        <w:ind w:firstLine="480" w:firstLineChars="200"/>
        <w:rPr>
          <w:rFonts w:cs="宋体"/>
          <w:color w:val="auto"/>
          <w:sz w:val="24"/>
          <w:szCs w:val="24"/>
          <w:highlight w:val="none"/>
        </w:rPr>
      </w:pPr>
    </w:p>
    <w:p w14:paraId="52E25BFA">
      <w:pPr>
        <w:spacing w:line="360" w:lineRule="auto"/>
        <w:ind w:firstLine="480" w:firstLineChars="200"/>
        <w:rPr>
          <w:rFonts w:cs="宋体"/>
          <w:color w:val="auto"/>
          <w:sz w:val="24"/>
          <w:szCs w:val="24"/>
          <w:highlight w:val="none"/>
        </w:rPr>
      </w:pPr>
    </w:p>
    <w:p w14:paraId="3235147B">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7F0B251F">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6CC91F5E">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61453CF3">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0D864887">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4F34DB24">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31C35331">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0C10550A">
      <w:pPr>
        <w:spacing w:before="312" w:beforeLines="100" w:after="312" w:afterLines="100"/>
        <w:outlineLvl w:val="2"/>
        <w:rPr>
          <w:rFonts w:hint="eastAsia" w:ascii="Times New Roman" w:eastAsia="黑体"/>
          <w:color w:val="auto"/>
          <w:sz w:val="24"/>
          <w:szCs w:val="24"/>
          <w:highlight w:val="none"/>
          <w:lang w:val="en-US" w:eastAsia="zh-CN"/>
        </w:rPr>
      </w:pPr>
      <w:r>
        <w:rPr>
          <w:rFonts w:ascii="Times New Roman" w:eastAsia="黑体"/>
          <w:b/>
          <w:bCs/>
          <w:color w:val="auto"/>
          <w:sz w:val="24"/>
          <w:szCs w:val="24"/>
          <w:highlight w:val="none"/>
        </w:rPr>
        <w:br w:type="page"/>
      </w: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8</w:t>
      </w:r>
      <w:r>
        <w:rPr>
          <w:rFonts w:hint="eastAsia" w:ascii="Times New Roman" w:eastAsia="黑体"/>
          <w:color w:val="auto"/>
          <w:sz w:val="24"/>
          <w:szCs w:val="24"/>
          <w:highlight w:val="none"/>
        </w:rPr>
        <w:t>：支付担保</w:t>
      </w:r>
      <w:r>
        <w:rPr>
          <w:rFonts w:hint="eastAsia" w:ascii="Times New Roman" w:eastAsia="黑体"/>
          <w:color w:val="auto"/>
          <w:sz w:val="24"/>
          <w:szCs w:val="24"/>
          <w:highlight w:val="none"/>
          <w:lang w:val="en-US" w:eastAsia="zh-CN"/>
        </w:rPr>
        <w:t>格式</w:t>
      </w:r>
    </w:p>
    <w:p w14:paraId="59611CD0">
      <w:pPr>
        <w:spacing w:line="360" w:lineRule="auto"/>
        <w:jc w:val="center"/>
        <w:rPr>
          <w:rFonts w:cs="宋体"/>
          <w:b/>
          <w:bCs/>
          <w:color w:val="auto"/>
          <w:sz w:val="24"/>
          <w:szCs w:val="24"/>
          <w:highlight w:val="none"/>
        </w:rPr>
      </w:pPr>
      <w:r>
        <w:rPr>
          <w:rFonts w:hint="eastAsia" w:cs="宋体"/>
          <w:b/>
          <w:bCs/>
          <w:color w:val="auto"/>
          <w:sz w:val="24"/>
          <w:szCs w:val="24"/>
          <w:highlight w:val="none"/>
        </w:rPr>
        <w:t>支付保函示范文本</w:t>
      </w:r>
    </w:p>
    <w:p w14:paraId="2644530D">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0A8C97E5">
      <w:pPr>
        <w:spacing w:line="360" w:lineRule="auto"/>
        <w:rPr>
          <w:rFonts w:ascii="Times New Roman"/>
          <w:color w:val="auto"/>
          <w:sz w:val="24"/>
          <w:szCs w:val="24"/>
          <w:highlight w:val="none"/>
        </w:rPr>
      </w:pPr>
    </w:p>
    <w:p w14:paraId="22BD80F6">
      <w:pPr>
        <w:spacing w:line="360" w:lineRule="auto"/>
        <w:rPr>
          <w:rFonts w:cs="宋体"/>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p w14:paraId="16687A55">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（以下简称基础合同”），开立人根据基础合同了解到申请人为基础合同项下之</w:t>
      </w:r>
      <w:r>
        <w:rPr>
          <w:rFonts w:hint="eastAsia" w:cs="宋体"/>
          <w:color w:val="auto"/>
          <w:sz w:val="24"/>
          <w:szCs w:val="24"/>
          <w:highlight w:val="none"/>
          <w:lang w:eastAsia="zh-CN"/>
        </w:rPr>
        <w:t>甲方</w:t>
      </w:r>
      <w:r>
        <w:rPr>
          <w:rFonts w:hint="eastAsia" w:cs="宋体"/>
          <w:color w:val="auto"/>
          <w:sz w:val="24"/>
          <w:szCs w:val="24"/>
          <w:highlight w:val="none"/>
        </w:rPr>
        <w:t>，受益人为基础合同项下之</w:t>
      </w:r>
      <w:r>
        <w:rPr>
          <w:rFonts w:hint="eastAsia" w:cs="宋体"/>
          <w:color w:val="auto"/>
          <w:sz w:val="24"/>
          <w:szCs w:val="24"/>
          <w:highlight w:val="none"/>
          <w:lang w:eastAsia="zh-CN"/>
        </w:rPr>
        <w:t>乙方</w:t>
      </w:r>
      <w:r>
        <w:rPr>
          <w:rFonts w:hint="eastAsia" w:cs="宋体"/>
          <w:color w:val="auto"/>
          <w:sz w:val="24"/>
          <w:szCs w:val="24"/>
          <w:highlight w:val="none"/>
        </w:rPr>
        <w:t xml:space="preserve">，基于申请人的请求，开立人同意就申请人履行与受益人签订的基础合同项下的工程款（指基础合同约定的除工程质量保修金以外的工程款）付款义务，向受益人提供不可撤销、不可转让的独立保函（以下简称“本保函”）。 </w:t>
      </w:r>
    </w:p>
    <w:p w14:paraId="660E3430">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一、本保函担保范围：申请人未履行基础合同约定的工程款支付义务，应当向受益人承担的违约责任和赔偿因此造成的损失、利息、律师费、诉讼费用等实现债权的费用。</w:t>
      </w:r>
    </w:p>
    <w:p w14:paraId="13D7CC7C">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698A45CD">
      <w:pPr>
        <w:spacing w:line="360" w:lineRule="auto"/>
        <w:ind w:firstLine="480" w:firstLineChars="200"/>
        <w:rPr>
          <w:rFonts w:cs="宋体"/>
          <w:color w:val="auto"/>
          <w:sz w:val="24"/>
          <w:szCs w:val="24"/>
          <w:highlight w:val="none"/>
        </w:rPr>
      </w:pPr>
      <w:r>
        <w:rPr>
          <w:rFonts w:hint="eastAsia" w:cs="宋体"/>
          <w:color w:val="auto"/>
          <w:sz w:val="24"/>
          <w:szCs w:val="24"/>
          <w:highlight w:val="none"/>
        </w:rPr>
        <w:t>三、本保函有效期自开立之日起至基础合同约定的除工程质量保修金以外的全部工程结算款项支付之日后</w:t>
      </w:r>
      <w:r>
        <w:rPr>
          <w:rFonts w:hint="eastAsia" w:cs="宋体"/>
          <w:color w:val="auto"/>
          <w:sz w:val="24"/>
          <w:szCs w:val="24"/>
          <w:highlight w:val="none"/>
          <w:u w:val="single"/>
        </w:rPr>
        <w:t xml:space="preserve">    </w:t>
      </w:r>
      <w:r>
        <w:rPr>
          <w:rFonts w:hint="eastAsia" w:cs="宋体"/>
          <w:color w:val="auto"/>
          <w:sz w:val="24"/>
          <w:szCs w:val="24"/>
          <w:highlight w:val="none"/>
        </w:rPr>
        <w:t xml:space="preserve">日止。 </w:t>
      </w:r>
    </w:p>
    <w:p w14:paraId="2A7AD649">
      <w:pPr>
        <w:spacing w:line="400" w:lineRule="exact"/>
        <w:ind w:firstLine="480"/>
        <w:rPr>
          <w:rFonts w:cs="宋体"/>
          <w:color w:val="auto"/>
          <w:sz w:val="24"/>
          <w:szCs w:val="24"/>
          <w:highlight w:val="none"/>
        </w:rPr>
      </w:pPr>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p w14:paraId="6E291E50">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486B82D7">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3905EAF3">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7E266599">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4311470C">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F9B2A97">
      <w:pPr>
        <w:spacing w:line="400" w:lineRule="exact"/>
        <w:rPr>
          <w:rFonts w:cs="宋体"/>
          <w:color w:val="auto"/>
          <w:sz w:val="24"/>
          <w:szCs w:val="24"/>
          <w:highlight w:val="none"/>
        </w:rPr>
      </w:pPr>
      <w:r>
        <w:rPr>
          <w:rFonts w:hint="eastAsia" w:cs="宋体"/>
          <w:color w:val="auto"/>
          <w:sz w:val="24"/>
          <w:szCs w:val="24"/>
          <w:highlight w:val="none"/>
        </w:rPr>
        <w:t xml:space="preserve">    受益人发出的书面付款通知应由其法定代表人（负责人）或授权代理人签字并加盖公章。</w:t>
      </w:r>
    </w:p>
    <w:p w14:paraId="58298140">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五、本保函项下的权利不得转让，不得设定担保。受益人未经开立人书面同意转让本保函或其项下任何权利，对开立人不发生法律效力。 </w:t>
      </w:r>
    </w:p>
    <w:p w14:paraId="13C0848B">
      <w:pPr>
        <w:spacing w:line="400" w:lineRule="exact"/>
        <w:ind w:firstLine="480" w:firstLineChars="200"/>
        <w:rPr>
          <w:rStyle w:val="63"/>
          <w:rFonts w:cs="宋体"/>
          <w:color w:val="auto"/>
          <w:sz w:val="24"/>
          <w:szCs w:val="24"/>
          <w:highlight w:val="none"/>
        </w:rPr>
      </w:pPr>
      <w:r>
        <w:rPr>
          <w:rFonts w:hint="eastAsia" w:cs="宋体"/>
          <w:color w:val="auto"/>
          <w:sz w:val="24"/>
          <w:szCs w:val="24"/>
          <w:highlight w:val="none"/>
        </w:rPr>
        <w:t>六、本保函项下的基础交易不成立、不生效、无效、被撤销、被解除，不影响本保函的独立有效。</w:t>
      </w:r>
    </w:p>
    <w:p w14:paraId="5C70E9FC">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七、本保函项下的义务和责任均在保函有效期到期后自动消灭。 </w:t>
      </w:r>
    </w:p>
    <w:p w14:paraId="3AF0CD6F">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八、本保函适用的法律为中华人民共和国法律，因本保函产生的纠纷案件，由申请人所在地人民法院管辖。 </w:t>
      </w:r>
    </w:p>
    <w:p w14:paraId="526B1B3A">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1ABF8DB2">
      <w:pPr>
        <w:spacing w:line="360" w:lineRule="auto"/>
        <w:ind w:firstLine="480" w:firstLineChars="200"/>
        <w:rPr>
          <w:rFonts w:cs="宋体"/>
          <w:color w:val="auto"/>
          <w:sz w:val="24"/>
          <w:szCs w:val="24"/>
          <w:highlight w:val="none"/>
        </w:rPr>
      </w:pPr>
    </w:p>
    <w:p w14:paraId="1FB6F575">
      <w:pPr>
        <w:spacing w:line="360" w:lineRule="auto"/>
        <w:ind w:firstLine="480" w:firstLineChars="200"/>
        <w:rPr>
          <w:rFonts w:cs="宋体"/>
          <w:color w:val="auto"/>
          <w:sz w:val="24"/>
          <w:szCs w:val="24"/>
          <w:highlight w:val="none"/>
        </w:rPr>
      </w:pPr>
    </w:p>
    <w:p w14:paraId="3E401839">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107B9E7F">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29AF9BC5">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72B55B4F">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5E347ED0">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46131B60">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4E197674">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5AA0B158">
      <w:pPr>
        <w:widowControl/>
        <w:jc w:val="left"/>
        <w:rPr>
          <w:b/>
          <w:color w:val="auto"/>
          <w:sz w:val="24"/>
          <w:highlight w:val="none"/>
        </w:rPr>
      </w:pPr>
    </w:p>
    <w:p w14:paraId="7E20A599">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1EFDC3E0">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p>
    <w:p w14:paraId="10A9C689">
      <w:pPr>
        <w:spacing w:line="900" w:lineRule="exact"/>
        <w:jc w:val="center"/>
        <w:rPr>
          <w:rFonts w:asciiTheme="minorEastAsia" w:hAnsiTheme="minorEastAsia" w:eastAsiaTheme="minorEastAsia"/>
          <w:b/>
          <w:color w:val="auto"/>
          <w:sz w:val="72"/>
          <w:highlight w:val="none"/>
        </w:rPr>
      </w:pPr>
    </w:p>
    <w:p w14:paraId="710B9A45">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5415C6C7">
      <w:pPr>
        <w:spacing w:line="900" w:lineRule="exact"/>
        <w:jc w:val="center"/>
        <w:outlineLvl w:val="9"/>
        <w:rPr>
          <w:rFonts w:asciiTheme="minorEastAsia" w:hAnsiTheme="minorEastAsia" w:eastAsiaTheme="minorEastAsia"/>
          <w:b/>
          <w:color w:val="auto"/>
          <w:sz w:val="72"/>
          <w:highlight w:val="none"/>
        </w:rPr>
      </w:pPr>
    </w:p>
    <w:p w14:paraId="7A503332">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15939596">
      <w:pPr>
        <w:spacing w:line="900" w:lineRule="exact"/>
        <w:jc w:val="center"/>
        <w:outlineLvl w:val="9"/>
        <w:rPr>
          <w:rFonts w:asciiTheme="minorEastAsia" w:hAnsiTheme="minorEastAsia" w:eastAsiaTheme="minorEastAsia"/>
          <w:b/>
          <w:color w:val="auto"/>
          <w:sz w:val="72"/>
          <w:highlight w:val="none"/>
        </w:rPr>
      </w:pPr>
    </w:p>
    <w:p w14:paraId="49EB1076">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1CE01770">
      <w:pPr>
        <w:spacing w:line="900" w:lineRule="exact"/>
        <w:jc w:val="center"/>
        <w:outlineLvl w:val="9"/>
        <w:rPr>
          <w:rFonts w:asciiTheme="minorEastAsia" w:hAnsiTheme="minorEastAsia" w:eastAsiaTheme="minorEastAsia"/>
          <w:b/>
          <w:color w:val="auto"/>
          <w:sz w:val="72"/>
          <w:highlight w:val="none"/>
        </w:rPr>
      </w:pPr>
    </w:p>
    <w:p w14:paraId="5D42CFB8">
      <w:pPr>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339DAA0E">
      <w:pPr>
        <w:spacing w:after="156" w:afterLines="50"/>
        <w:jc w:val="center"/>
        <w:outlineLvl w:val="9"/>
        <w:rPr>
          <w:rFonts w:asciiTheme="minorEastAsia" w:hAnsiTheme="minorEastAsia" w:eastAsiaTheme="minorEastAsia"/>
          <w:b/>
          <w:color w:val="auto"/>
          <w:sz w:val="72"/>
          <w:highlight w:val="none"/>
        </w:rPr>
      </w:pPr>
    </w:p>
    <w:p w14:paraId="3F64F14C">
      <w:pPr>
        <w:spacing w:before="156" w:beforeLines="50" w:after="156" w:afterLines="50"/>
        <w:jc w:val="center"/>
        <w:outlineLvl w:val="9"/>
        <w:rPr>
          <w:rFonts w:asciiTheme="minorEastAsia" w:hAnsiTheme="minorEastAsia" w:eastAsiaTheme="minorEastAsia"/>
          <w:b/>
          <w:color w:val="auto"/>
          <w:sz w:val="32"/>
          <w:szCs w:val="32"/>
          <w:highlight w:val="none"/>
        </w:rPr>
      </w:pPr>
      <w:bookmarkStart w:id="57" w:name="_Toc231"/>
      <w:bookmarkStart w:id="58" w:name="_Toc18747"/>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57"/>
      <w:bookmarkEnd w:id="58"/>
    </w:p>
    <w:p w14:paraId="58835D4A">
      <w:pPr>
        <w:spacing w:after="156" w:afterLines="50" w:line="500" w:lineRule="exact"/>
        <w:jc w:val="center"/>
        <w:outlineLvl w:val="9"/>
        <w:rPr>
          <w:rFonts w:asciiTheme="minorEastAsia" w:hAnsiTheme="minorEastAsia" w:eastAsiaTheme="minorEastAsia"/>
          <w:b/>
          <w:color w:val="auto"/>
          <w:sz w:val="28"/>
          <w:szCs w:val="28"/>
          <w:highlight w:val="none"/>
        </w:rPr>
      </w:pPr>
    </w:p>
    <w:p w14:paraId="7776EA76">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3230755">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D06BD7A">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9DDA1C0">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p>
    <w:p w14:paraId="5C28228D">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08741C76">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一、报价表格式</w:t>
      </w:r>
    </w:p>
    <w:p w14:paraId="0D91C2D8">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p w14:paraId="409587B7">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791A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358212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1DC3D5B9">
            <w:pPr>
              <w:rPr>
                <w:rFonts w:cs="宋体" w:asciiTheme="minorEastAsia" w:hAnsiTheme="minorEastAsia" w:eastAsiaTheme="minorEastAsia"/>
                <w:b/>
                <w:color w:val="auto"/>
                <w:kern w:val="2"/>
                <w:sz w:val="24"/>
                <w:szCs w:val="24"/>
                <w:highlight w:val="none"/>
              </w:rPr>
            </w:pPr>
          </w:p>
        </w:tc>
      </w:tr>
      <w:tr w14:paraId="38B0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E748294">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5FBBB997">
            <w:pPr>
              <w:widowControl/>
              <w:rPr>
                <w:rFonts w:hint="eastAsia" w:cs="宋体" w:asciiTheme="minorEastAsia" w:hAnsiTheme="minorEastAsia" w:eastAsiaTheme="minorEastAsia"/>
                <w:b/>
                <w:color w:val="auto"/>
                <w:kern w:val="2"/>
                <w:sz w:val="24"/>
                <w:szCs w:val="24"/>
                <w:highlight w:val="none"/>
                <w:lang w:eastAsia="zh-CN"/>
              </w:rPr>
            </w:pPr>
            <w:r>
              <w:rPr>
                <w:rFonts w:hint="eastAsia" w:cs="@仿宋_GB2312" w:asciiTheme="minorEastAsia" w:hAnsiTheme="minorEastAsia" w:eastAsiaTheme="minorEastAsia"/>
                <w:color w:val="auto"/>
                <w:kern w:val="2"/>
                <w:sz w:val="24"/>
                <w:szCs w:val="28"/>
                <w:highlight w:val="none"/>
                <w:lang w:val="en-US" w:eastAsia="zh-CN"/>
              </w:rPr>
              <w:t>全部</w:t>
            </w:r>
          </w:p>
        </w:tc>
      </w:tr>
      <w:tr w14:paraId="6DAF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71AEDE3">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40C03E7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56343F93">
            <w:pPr>
              <w:snapToGrid w:val="0"/>
              <w:rPr>
                <w:rFonts w:cs="宋体" w:asciiTheme="minorEastAsia" w:hAnsiTheme="minorEastAsia" w:eastAsiaTheme="minorEastAsia"/>
                <w:color w:val="auto"/>
                <w:kern w:val="2"/>
                <w:sz w:val="24"/>
                <w:szCs w:val="24"/>
                <w:highlight w:val="none"/>
              </w:rPr>
            </w:pPr>
          </w:p>
          <w:p w14:paraId="37748DE1">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45F46AC">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元）</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p w14:paraId="7FDAED14">
            <w:pPr>
              <w:snapToGrid w:val="0"/>
              <w:rPr>
                <w:rFonts w:cs="宋体" w:asciiTheme="minorEastAsia" w:hAnsiTheme="minorEastAsia" w:eastAsiaTheme="minorEastAsia"/>
                <w:b/>
                <w:color w:val="auto"/>
                <w:kern w:val="2"/>
                <w:sz w:val="24"/>
                <w:szCs w:val="24"/>
                <w:highlight w:val="none"/>
              </w:rPr>
            </w:pPr>
          </w:p>
        </w:tc>
      </w:tr>
      <w:tr w14:paraId="2F40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vAlign w:val="center"/>
          </w:tcPr>
          <w:p w14:paraId="5E55D023">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3F044F69">
            <w:pPr>
              <w:snapToGrid w:val="0"/>
              <w:rPr>
                <w:rFonts w:hint="eastAsia"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lang w:val="en-US" w:eastAsia="zh-CN"/>
              </w:rPr>
              <w:t>合格</w:t>
            </w:r>
          </w:p>
        </w:tc>
      </w:tr>
      <w:tr w14:paraId="39C3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vAlign w:val="center"/>
          </w:tcPr>
          <w:p w14:paraId="410DBFFF">
            <w:pPr>
              <w:snapToGrid w:val="0"/>
              <w:jc w:val="center"/>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bCs/>
                <w:color w:val="auto"/>
                <w:kern w:val="2"/>
                <w:sz w:val="24"/>
                <w:szCs w:val="24"/>
                <w:highlight w:val="none"/>
                <w:lang w:val="en-US" w:eastAsia="zh-CN"/>
              </w:rPr>
              <w:t>合同履行期限</w:t>
            </w:r>
          </w:p>
        </w:tc>
        <w:tc>
          <w:tcPr>
            <w:tcW w:w="3557" w:type="pct"/>
            <w:vAlign w:val="center"/>
          </w:tcPr>
          <w:p w14:paraId="592AE943">
            <w:pPr>
              <w:snapToGrid w:val="0"/>
              <w:rPr>
                <w:rFonts w:hint="default" w:cs="宋体" w:asciiTheme="minorEastAsia" w:hAnsiTheme="minorEastAsia" w:eastAsiaTheme="minorEastAsia"/>
                <w:b/>
                <w:color w:val="auto"/>
                <w:kern w:val="2"/>
                <w:sz w:val="24"/>
                <w:szCs w:val="24"/>
                <w:highlight w:val="none"/>
                <w:lang w:val="en-US" w:eastAsia="zh-CN"/>
              </w:rPr>
            </w:pPr>
            <w:r>
              <w:rPr>
                <w:rFonts w:hint="eastAsia" w:asciiTheme="minorEastAsia" w:hAnsiTheme="minorEastAsia" w:eastAsiaTheme="minorEastAsia"/>
                <w:color w:val="auto"/>
                <w:sz w:val="24"/>
                <w:highlight w:val="none"/>
                <w:u w:val="single"/>
                <w:lang w:val="en-US" w:eastAsia="zh-CN"/>
              </w:rPr>
              <w:t>符合磋商文件要求</w:t>
            </w:r>
          </w:p>
        </w:tc>
      </w:tr>
      <w:tr w14:paraId="102F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vAlign w:val="center"/>
          </w:tcPr>
          <w:p w14:paraId="04003EEB">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4EF2E7E7">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w:t>
            </w:r>
          </w:p>
        </w:tc>
      </w:tr>
      <w:tr w14:paraId="01AD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61D28AB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32ACB23E">
            <w:pPr>
              <w:rPr>
                <w:rFonts w:cs="宋体" w:asciiTheme="minorEastAsia" w:hAnsiTheme="minorEastAsia" w:eastAsiaTheme="minorEastAsia"/>
                <w:b/>
                <w:color w:val="auto"/>
                <w:kern w:val="2"/>
                <w:sz w:val="24"/>
                <w:szCs w:val="24"/>
                <w:highlight w:val="none"/>
              </w:rPr>
            </w:pPr>
          </w:p>
        </w:tc>
      </w:tr>
    </w:tbl>
    <w:p w14:paraId="04CE179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7E4426A8">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23ED5064">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3D4F4E72">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328A7567">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4EE5BE30">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4D450CF7">
      <w:pPr>
        <w:adjustRightInd w:val="0"/>
        <w:snapToGrid w:val="0"/>
        <w:spacing w:line="360" w:lineRule="auto"/>
        <w:rPr>
          <w:b/>
          <w:bCs/>
          <w:color w:val="auto"/>
          <w:sz w:val="24"/>
          <w:szCs w:val="28"/>
          <w:highlight w:val="none"/>
        </w:rPr>
      </w:pPr>
      <w:r>
        <w:rPr>
          <w:b/>
          <w:bCs/>
          <w:color w:val="auto"/>
          <w:sz w:val="24"/>
          <w:szCs w:val="28"/>
          <w:highlight w:val="none"/>
        </w:rPr>
        <w:br w:type="page"/>
      </w:r>
    </w:p>
    <w:p w14:paraId="0A660360">
      <w:pPr>
        <w:spacing w:line="360" w:lineRule="auto"/>
        <w:jc w:val="center"/>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最后承诺报价表</w:t>
      </w:r>
    </w:p>
    <w:p w14:paraId="1E062F84">
      <w:pPr>
        <w:spacing w:before="156" w:beforeLines="50" w:after="156" w:afterLines="50" w:line="360" w:lineRule="auto"/>
        <w:ind w:firstLine="236" w:firstLineChars="98"/>
        <w:jc w:val="center"/>
        <w:outlineLvl w:val="9"/>
        <w:rPr>
          <w:b/>
          <w:color w:val="auto"/>
          <w:sz w:val="24"/>
          <w:szCs w:val="28"/>
          <w:highlight w:val="none"/>
        </w:rPr>
      </w:pPr>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p>
    <w:p w14:paraId="3EAE6996">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01352DCB">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7820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A5B7925">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362FE558">
            <w:pPr>
              <w:rPr>
                <w:rFonts w:cs="宋体" w:asciiTheme="minorEastAsia" w:hAnsiTheme="minorEastAsia" w:eastAsiaTheme="minorEastAsia"/>
                <w:b/>
                <w:color w:val="auto"/>
                <w:kern w:val="2"/>
                <w:sz w:val="24"/>
                <w:szCs w:val="24"/>
                <w:highlight w:val="none"/>
              </w:rPr>
            </w:pPr>
          </w:p>
        </w:tc>
      </w:tr>
      <w:tr w14:paraId="3A95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982C19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69456AF1">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lang w:val="en-US" w:eastAsia="zh-CN"/>
              </w:rPr>
              <w:t>全部</w:t>
            </w:r>
          </w:p>
        </w:tc>
      </w:tr>
      <w:tr w14:paraId="23B7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23F9EADE">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162B7EC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07A17D2E">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B1B4D22">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C02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8A73002">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5950" w:type="dxa"/>
            <w:vAlign w:val="center"/>
          </w:tcPr>
          <w:p w14:paraId="4531B691">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val="en-US" w:eastAsia="zh-CN"/>
              </w:rPr>
              <w:t>合格</w:t>
            </w:r>
          </w:p>
        </w:tc>
      </w:tr>
      <w:tr w14:paraId="63BC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72" w:type="dxa"/>
            <w:tcBorders>
              <w:top w:val="single" w:color="auto" w:sz="4" w:space="0"/>
            </w:tcBorders>
            <w:vAlign w:val="center"/>
          </w:tcPr>
          <w:p w14:paraId="26FF5C48">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lang w:val="en-US" w:eastAsia="zh-CN"/>
              </w:rPr>
              <w:t>合同履行期限</w:t>
            </w:r>
          </w:p>
        </w:tc>
        <w:tc>
          <w:tcPr>
            <w:tcW w:w="5950" w:type="dxa"/>
            <w:vAlign w:val="center"/>
          </w:tcPr>
          <w:p w14:paraId="55BDB33D">
            <w:pPr>
              <w:snapToGrid w:val="0"/>
              <w:rPr>
                <w:rFonts w:hint="eastAsia" w:cs="宋体" w:asciiTheme="minorEastAsia" w:hAnsiTheme="minorEastAsia" w:eastAsiaTheme="minorEastAsia"/>
                <w:b/>
                <w:color w:val="auto"/>
                <w:kern w:val="2"/>
                <w:sz w:val="24"/>
                <w:szCs w:val="24"/>
                <w:highlight w:val="none"/>
                <w:lang w:eastAsia="zh-CN"/>
              </w:rPr>
            </w:pPr>
            <w:r>
              <w:rPr>
                <w:rFonts w:hint="eastAsia" w:asciiTheme="minorEastAsia" w:hAnsiTheme="minorEastAsia" w:eastAsiaTheme="minorEastAsia"/>
                <w:color w:val="auto"/>
                <w:sz w:val="24"/>
                <w:highlight w:val="none"/>
                <w:u w:val="single"/>
                <w:lang w:val="en-US" w:eastAsia="zh-CN"/>
              </w:rPr>
              <w:t>符合磋商文件要求</w:t>
            </w:r>
          </w:p>
        </w:tc>
      </w:tr>
      <w:tr w14:paraId="6855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E36BC86">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5950" w:type="dxa"/>
            <w:vAlign w:val="center"/>
          </w:tcPr>
          <w:p w14:paraId="1179077A">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w:t>
            </w:r>
          </w:p>
        </w:tc>
      </w:tr>
      <w:tr w14:paraId="2F81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4E56141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14FD40AB">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2324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9" w:type="pct"/>
            <w:vAlign w:val="center"/>
          </w:tcPr>
          <w:p w14:paraId="3D42E3B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C860FE9">
            <w:pPr>
              <w:rPr>
                <w:rFonts w:cs="宋体" w:asciiTheme="minorEastAsia" w:hAnsiTheme="minorEastAsia" w:eastAsiaTheme="minorEastAsia"/>
                <w:b/>
                <w:color w:val="auto"/>
                <w:kern w:val="2"/>
                <w:sz w:val="24"/>
                <w:szCs w:val="24"/>
                <w:highlight w:val="none"/>
              </w:rPr>
            </w:pPr>
          </w:p>
        </w:tc>
      </w:tr>
    </w:tbl>
    <w:p w14:paraId="56C90BA9">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FD97600">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0D146A0A">
      <w:pPr>
        <w:adjustRightInd w:val="0"/>
        <w:snapToGrid w:val="0"/>
        <w:spacing w:line="360" w:lineRule="auto"/>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注：</w:t>
      </w:r>
    </w:p>
    <w:p w14:paraId="224BC6AD">
      <w:pPr>
        <w:spacing w:line="360" w:lineRule="auto"/>
        <w:ind w:firstLine="422" w:firstLineChars="200"/>
        <w:jc w:val="left"/>
        <w:rPr>
          <w:rFonts w:hint="eastAsia"/>
          <w:b/>
          <w:bCs/>
          <w:color w:val="FF0000"/>
          <w:sz w:val="21"/>
          <w:szCs w:val="21"/>
          <w:highlight w:val="none"/>
          <w:lang w:val="en-US" w:eastAsia="zh-CN"/>
        </w:rPr>
      </w:pPr>
      <w:r>
        <w:rPr>
          <w:rFonts w:hint="eastAsia" w:ascii="宋体" w:hAnsi="宋体" w:eastAsia="宋体"/>
          <w:b/>
          <w:bCs/>
          <w:color w:val="auto"/>
          <w:sz w:val="21"/>
          <w:szCs w:val="21"/>
          <w:highlight w:val="none"/>
        </w:rPr>
        <w:t>1.本页《报价表》由供应商在接到报价通知后依据磋商情况填写,并在规定</w:t>
      </w:r>
      <w:r>
        <w:rPr>
          <w:rFonts w:hint="eastAsia"/>
          <w:b/>
          <w:bCs/>
          <w:color w:val="auto"/>
          <w:sz w:val="21"/>
          <w:szCs w:val="21"/>
          <w:highlight w:val="none"/>
          <w:lang w:val="en-US" w:eastAsia="zh-CN"/>
        </w:rPr>
        <w:t>30分钟</w:t>
      </w:r>
      <w:r>
        <w:rPr>
          <w:rFonts w:hint="eastAsia" w:ascii="宋体" w:hAnsi="宋体" w:eastAsia="宋体"/>
          <w:b/>
          <w:bCs/>
          <w:color w:val="auto"/>
          <w:sz w:val="21"/>
          <w:szCs w:val="21"/>
          <w:highlight w:val="none"/>
        </w:rPr>
        <w:t>内提交。考虑磋商报价的方便，供应商在填写最后承诺报价后，（第一次报价-最后承诺报价）除以第一次报价后得出的优惠率视同为</w:t>
      </w:r>
      <w:r>
        <w:rPr>
          <w:rFonts w:hint="eastAsia"/>
          <w:b/>
          <w:bCs/>
          <w:color w:val="auto"/>
          <w:sz w:val="21"/>
          <w:szCs w:val="21"/>
          <w:highlight w:val="none"/>
          <w:lang w:val="en-US" w:eastAsia="zh-CN"/>
        </w:rPr>
        <w:t>供应商第一次报价</w:t>
      </w:r>
      <w:r>
        <w:rPr>
          <w:rFonts w:hint="eastAsia" w:ascii="宋体" w:hAnsi="宋体" w:eastAsia="宋体"/>
          <w:b/>
          <w:bCs/>
          <w:color w:val="auto"/>
          <w:sz w:val="21"/>
          <w:szCs w:val="21"/>
          <w:highlight w:val="none"/>
        </w:rPr>
        <w:t>清单中全部分项工程量的优惠浮动值</w:t>
      </w:r>
      <w:r>
        <w:rPr>
          <w:rFonts w:hint="eastAsia"/>
          <w:b/>
          <w:bCs/>
          <w:color w:val="000000" w:themeColor="text1"/>
          <w:sz w:val="21"/>
          <w:szCs w:val="21"/>
          <w14:textFill>
            <w14:solidFill>
              <w14:schemeClr w14:val="tx1"/>
            </w14:solidFill>
          </w14:textFill>
        </w:rPr>
        <w:t>（计算结果保留小数点后两位，小数点后第三位“四舍五入”）。</w:t>
      </w:r>
      <w:r>
        <w:rPr>
          <w:rFonts w:hint="eastAsia" w:ascii="宋体" w:hAnsi="宋体" w:eastAsia="宋体"/>
          <w:b/>
          <w:bCs/>
          <w:color w:val="auto"/>
          <w:sz w:val="21"/>
          <w:szCs w:val="21"/>
          <w:highlight w:val="none"/>
        </w:rPr>
        <w:t>此优惠率调整原则适用于合同内价格的计算及项目增减、变更时价格的计算。</w:t>
      </w:r>
    </w:p>
    <w:p w14:paraId="177DF4FD">
      <w:pPr>
        <w:spacing w:line="360" w:lineRule="auto"/>
        <w:ind w:firstLine="422" w:firstLineChars="200"/>
        <w:jc w:val="left"/>
        <w:rPr>
          <w:rFonts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2.如按照上述原则存在部分分项报价无法取整，合同价格按照最终承诺报价不变双方协商后修正部分分项报价单价</w:t>
      </w:r>
      <w:r>
        <w:rPr>
          <w:rFonts w:hint="eastAsia" w:cs="宋体"/>
          <w:b/>
          <w:bCs/>
          <w:color w:val="FF0000"/>
          <w:sz w:val="21"/>
          <w:szCs w:val="21"/>
          <w:highlight w:val="none"/>
          <w:lang w:eastAsia="zh-CN"/>
        </w:rPr>
        <w:t>，</w:t>
      </w:r>
      <w:r>
        <w:rPr>
          <w:rFonts w:hint="eastAsia" w:cs="宋体"/>
          <w:b/>
          <w:bCs/>
          <w:color w:val="FF0000"/>
          <w:sz w:val="21"/>
          <w:szCs w:val="21"/>
          <w:highlight w:val="none"/>
          <w:lang w:val="en-US" w:eastAsia="zh-CN"/>
        </w:rPr>
        <w:t>并将调整后的分项单价作为结算依据</w:t>
      </w:r>
      <w:r>
        <w:rPr>
          <w:rFonts w:hint="eastAsia" w:ascii="宋体" w:hAnsi="宋体" w:eastAsia="宋体" w:cs="宋体"/>
          <w:b/>
          <w:bCs/>
          <w:color w:val="FF0000"/>
          <w:sz w:val="21"/>
          <w:szCs w:val="21"/>
          <w:highlight w:val="none"/>
        </w:rPr>
        <w:t>。</w:t>
      </w:r>
    </w:p>
    <w:p w14:paraId="6179A349">
      <w:pPr>
        <w:spacing w:line="360" w:lineRule="auto"/>
        <w:ind w:firstLine="422" w:firstLineChars="200"/>
        <w:jc w:val="left"/>
        <w:rPr>
          <w:bCs/>
          <w:color w:val="auto"/>
          <w:sz w:val="21"/>
          <w:szCs w:val="21"/>
          <w:highlight w:val="none"/>
        </w:rPr>
      </w:pPr>
      <w:r>
        <w:rPr>
          <w:rFonts w:hint="default" w:ascii="宋体" w:hAnsi="宋体" w:eastAsia="宋体" w:cs="宋体"/>
          <w:b/>
          <w:bCs/>
          <w:color w:val="auto"/>
          <w:sz w:val="21"/>
          <w:szCs w:val="21"/>
          <w:highlight w:val="none"/>
          <w:lang w:val="en-US"/>
        </w:rPr>
        <w:t>3</w:t>
      </w:r>
      <w:r>
        <w:rPr>
          <w:rFonts w:hint="eastAsia" w:ascii="宋体" w:hAnsi="宋体" w:eastAsia="宋体" w:cs="宋体"/>
          <w:b/>
          <w:bCs/>
          <w:color w:val="auto"/>
          <w:sz w:val="21"/>
          <w:szCs w:val="21"/>
          <w:highlight w:val="none"/>
        </w:rPr>
        <w:t>.表中大写金额与小写金额不一致的，以大写金额为准。</w:t>
      </w:r>
    </w:p>
    <w:p w14:paraId="512C21CC">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二</w:t>
      </w:r>
      <w:r>
        <w:rPr>
          <w:rFonts w:hint="eastAsia" w:cs="@仿宋_GB2312" w:asciiTheme="minorEastAsia" w:hAnsiTheme="minorEastAsia" w:eastAsiaTheme="minorEastAsia"/>
          <w:b/>
          <w:bCs/>
          <w:color w:val="auto"/>
          <w:kern w:val="2"/>
          <w:sz w:val="24"/>
          <w:szCs w:val="24"/>
          <w:highlight w:val="none"/>
        </w:rPr>
        <w:t>、供应商综合情况简介</w:t>
      </w:r>
    </w:p>
    <w:p w14:paraId="3F7EBAEF">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2BF58B4C">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60198A8">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、磋商响应函</w:t>
      </w:r>
    </w:p>
    <w:p w14:paraId="5E0A318A">
      <w:pPr>
        <w:spacing w:line="360" w:lineRule="auto"/>
        <w:rPr>
          <w:rFonts w:hint="default" w:cs="宋体" w:asciiTheme="minorEastAsia" w:hAnsiTheme="minorEastAsia" w:eastAsiaTheme="minorEastAsia"/>
          <w:b/>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val="en-US" w:eastAsia="zh-CN"/>
        </w:rPr>
        <w:t>安徽省淮河河道管理局</w:t>
      </w:r>
    </w:p>
    <w:p w14:paraId="22DB5BED">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4D4D8CB1">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w:t>
      </w:r>
      <w:r>
        <w:rPr>
          <w:rFonts w:hint="eastAsia" w:cs="宋体" w:asciiTheme="minorEastAsia" w:hAnsiTheme="minorEastAsia" w:eastAsiaTheme="minorEastAsia"/>
          <w:bCs/>
          <w:color w:val="auto"/>
          <w:kern w:val="2"/>
          <w:sz w:val="24"/>
          <w:szCs w:val="24"/>
          <w:highlight w:val="none"/>
          <w:lang w:eastAsia="zh-CN"/>
        </w:rPr>
        <w:t>完工</w:t>
      </w:r>
      <w:r>
        <w:rPr>
          <w:rFonts w:hint="eastAsia" w:cs="宋体" w:asciiTheme="minorEastAsia" w:hAnsiTheme="minorEastAsia" w:eastAsiaTheme="minorEastAsia"/>
          <w:bCs/>
          <w:color w:val="auto"/>
          <w:kern w:val="2"/>
          <w:sz w:val="24"/>
          <w:szCs w:val="24"/>
          <w:highlight w:val="none"/>
        </w:rPr>
        <w:t>，并承担任何质量缺陷保修责任。</w:t>
      </w:r>
    </w:p>
    <w:p w14:paraId="5C9C5D7F">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2B4EFFD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w:t>
      </w:r>
      <w:r>
        <w:rPr>
          <w:rFonts w:hint="eastAsia" w:cs="宋体"/>
          <w:color w:val="auto"/>
          <w:sz w:val="24"/>
          <w:szCs w:val="24"/>
          <w:highlight w:val="none"/>
          <w:lang w:eastAsia="zh-CN"/>
        </w:rPr>
        <w:t>完工</w:t>
      </w:r>
      <w:r>
        <w:rPr>
          <w:rFonts w:hint="eastAsia" w:ascii="宋体" w:hAnsi="宋体" w:eastAsia="宋体" w:cs="宋体"/>
          <w:color w:val="auto"/>
          <w:sz w:val="24"/>
          <w:szCs w:val="24"/>
          <w:highlight w:val="none"/>
        </w:rPr>
        <w:t>并移交整个工程。</w:t>
      </w:r>
    </w:p>
    <w:p w14:paraId="39E62A19">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6BB148A4">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01FC69AF">
      <w:pPr>
        <w:spacing w:line="360" w:lineRule="auto"/>
        <w:ind w:firstLine="435"/>
        <w:rPr>
          <w:rFonts w:hint="eastAsia" w:ascii="宋体" w:hAnsi="宋体" w:eastAsia="宋体"/>
          <w:b/>
          <w:bCs/>
          <w:color w:val="auto"/>
          <w:sz w:val="24"/>
          <w:szCs w:val="24"/>
          <w:highlight w:val="none"/>
          <w:lang w:val="en-US" w:eastAsia="zh-CN"/>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ascii="宋体" w:hAnsi="宋体" w:eastAsia="宋体" w:cs="宋体"/>
          <w:b/>
          <w:bCs/>
          <w:color w:val="auto"/>
          <w:sz w:val="24"/>
          <w:szCs w:val="24"/>
          <w:highlight w:val="none"/>
        </w:rPr>
        <w:t>我方</w:t>
      </w:r>
      <w:r>
        <w:rPr>
          <w:rFonts w:hint="eastAsia" w:ascii="宋体" w:hAnsi="宋体" w:eastAsia="宋体" w:cs="宋体"/>
          <w:b/>
          <w:bCs/>
          <w:color w:val="auto"/>
          <w:sz w:val="24"/>
          <w:szCs w:val="24"/>
          <w:highlight w:val="none"/>
          <w:lang w:val="en-US" w:eastAsia="zh-CN"/>
        </w:rPr>
        <w:t>承诺</w:t>
      </w:r>
      <w:r>
        <w:rPr>
          <w:rFonts w:ascii="宋体" w:hAnsi="宋体" w:eastAsia="宋体" w:cs="宋体"/>
          <w:b/>
          <w:bCs/>
          <w:color w:val="auto"/>
          <w:sz w:val="24"/>
          <w:szCs w:val="24"/>
          <w:highlight w:val="none"/>
        </w:rPr>
        <w:t>在本项目响应中提供的投标授权委托代理人，以及</w:t>
      </w:r>
      <w:r>
        <w:rPr>
          <w:rFonts w:hint="eastAsia" w:ascii="宋体" w:hAnsi="宋体" w:eastAsia="宋体" w:cs="宋体"/>
          <w:b/>
          <w:bCs/>
          <w:color w:val="auto"/>
          <w:sz w:val="24"/>
          <w:szCs w:val="24"/>
          <w:highlight w:val="none"/>
          <w:lang w:val="en-US" w:eastAsia="zh-CN"/>
        </w:rPr>
        <w:t>响应</w:t>
      </w:r>
      <w:r>
        <w:rPr>
          <w:rFonts w:ascii="宋体" w:hAnsi="宋体" w:eastAsia="宋体" w:cs="宋体"/>
          <w:b/>
          <w:bCs/>
          <w:color w:val="auto"/>
          <w:sz w:val="24"/>
          <w:szCs w:val="24"/>
          <w:highlight w:val="none"/>
        </w:rPr>
        <w:t>文件中确定的项目管理人员，均与我单位具有劳动合同关系、且已依法缴纳社会保险。</w:t>
      </w:r>
      <w:r>
        <w:rPr>
          <w:rFonts w:hint="eastAsia" w:ascii="宋体" w:hAnsi="宋体" w:eastAsia="宋体" w:cs="宋体"/>
          <w:b/>
          <w:bCs/>
          <w:color w:val="auto"/>
          <w:sz w:val="24"/>
          <w:szCs w:val="24"/>
          <w:highlight w:val="none"/>
          <w:lang w:val="en-US" w:eastAsia="zh-CN"/>
        </w:rPr>
        <w:t>成交后如发现有虚假承诺，</w:t>
      </w:r>
      <w:r>
        <w:rPr>
          <w:rFonts w:ascii="宋体" w:hAnsi="宋体" w:eastAsia="宋体" w:cs="宋体"/>
          <w:b/>
          <w:bCs/>
          <w:sz w:val="24"/>
          <w:szCs w:val="24"/>
          <w:highlight w:val="none"/>
        </w:rPr>
        <w:t>采购人有权解除合同，并追究违约责任，同时将相关违约行为报送监管部门，记不良行为记录，实施信用惩戒</w:t>
      </w:r>
      <w:r>
        <w:rPr>
          <w:rFonts w:hint="eastAsia" w:ascii="宋体" w:hAnsi="宋体" w:eastAsia="宋体" w:cs="宋体"/>
          <w:b/>
          <w:bCs/>
          <w:sz w:val="24"/>
          <w:szCs w:val="24"/>
          <w:highlight w:val="none"/>
          <w:lang w:eastAsia="zh-CN"/>
        </w:rPr>
        <w:t>。</w:t>
      </w:r>
    </w:p>
    <w:p w14:paraId="1691416C">
      <w:pPr>
        <w:pStyle w:val="53"/>
        <w:ind w:firstLine="200"/>
        <w:rPr>
          <w:color w:val="auto"/>
          <w:highlight w:val="none"/>
          <w:lang w:val="en-US"/>
        </w:rPr>
      </w:pPr>
    </w:p>
    <w:p w14:paraId="3DB4E68B">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207ED281">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15BC935F">
      <w:pPr>
        <w:widowControl/>
        <w:jc w:val="left"/>
        <w:rPr>
          <w:color w:val="auto"/>
          <w:sz w:val="24"/>
          <w:highlight w:val="none"/>
        </w:rPr>
      </w:pPr>
      <w:r>
        <w:rPr>
          <w:color w:val="auto"/>
          <w:sz w:val="24"/>
          <w:highlight w:val="none"/>
        </w:rPr>
        <w:br w:type="page"/>
      </w:r>
    </w:p>
    <w:p w14:paraId="335007B3">
      <w:pPr>
        <w:spacing w:line="360" w:lineRule="auto"/>
        <w:jc w:val="center"/>
        <w:outlineLvl w:val="1"/>
        <w:rPr>
          <w:b/>
          <w:i/>
          <w:color w:val="auto"/>
          <w:sz w:val="24"/>
          <w:highlight w:val="none"/>
        </w:rPr>
      </w:pPr>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 xml:space="preserve">供应商资格声明书 </w:t>
      </w:r>
    </w:p>
    <w:p w14:paraId="19D8B7AB">
      <w:pPr>
        <w:pStyle w:val="30"/>
        <w:spacing w:line="360" w:lineRule="auto"/>
        <w:rPr>
          <w:rFonts w:hint="default" w:eastAsia="宋体" w:asciiTheme="minorEastAsia" w:hAnsiTheme="minorEastAsia" w:cstheme="minorEastAsia"/>
          <w:sz w:val="24"/>
          <w:szCs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安徽省淮河河道管理局</w:t>
      </w:r>
    </w:p>
    <w:p w14:paraId="47D0DD4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7A5CE6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70C7E8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03D5E3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4C4F0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12EC7A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A8BC90B">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208E0DF1">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19FA01B8">
      <w:pPr>
        <w:spacing w:line="360" w:lineRule="auto"/>
        <w:rPr>
          <w:rFonts w:hint="eastAsia" w:ascii="宋体" w:hAnsi="宋体" w:eastAsia="宋体" w:cs="宋体"/>
          <w:b/>
          <w:bCs/>
          <w:color w:val="FF0000"/>
          <w:kern w:val="2"/>
          <w:sz w:val="24"/>
          <w:szCs w:val="24"/>
          <w:highlight w:val="none"/>
        </w:rPr>
      </w:pPr>
      <w:r>
        <w:rPr>
          <w:rFonts w:hint="eastAsia" w:cs="宋体"/>
          <w:b/>
          <w:bCs/>
          <w:color w:val="FF0000"/>
          <w:kern w:val="2"/>
          <w:sz w:val="24"/>
          <w:szCs w:val="24"/>
          <w:highlight w:val="none"/>
          <w:lang w:eastAsia="zh-CN"/>
        </w:rPr>
        <w:t>（</w:t>
      </w:r>
      <w:r>
        <w:rPr>
          <w:rFonts w:hint="eastAsia" w:cs="宋体"/>
          <w:b/>
          <w:bCs/>
          <w:color w:val="FF0000"/>
          <w:kern w:val="2"/>
          <w:sz w:val="24"/>
          <w:szCs w:val="24"/>
          <w:highlight w:val="none"/>
          <w:lang w:val="en-US" w:eastAsia="zh-CN"/>
        </w:rPr>
        <w:t>八）</w:t>
      </w:r>
      <w:r>
        <w:rPr>
          <w:rFonts w:hint="eastAsia" w:ascii="宋体" w:hAnsi="宋体" w:eastAsia="宋体" w:cs="宋体"/>
          <w:b/>
          <w:bCs/>
          <w:color w:val="FF0000"/>
          <w:kern w:val="2"/>
          <w:sz w:val="24"/>
          <w:szCs w:val="24"/>
          <w:highlight w:val="none"/>
        </w:rPr>
        <w:t>为保护农民工的合法权益，不拖欠农民工工资，</w:t>
      </w:r>
      <w:r>
        <w:rPr>
          <w:rFonts w:hint="eastAsia" w:cs="宋体"/>
          <w:b/>
          <w:bCs/>
          <w:color w:val="FF0000"/>
          <w:kern w:val="2"/>
          <w:sz w:val="24"/>
          <w:szCs w:val="24"/>
          <w:highlight w:val="none"/>
          <w:lang w:val="en-US" w:eastAsia="zh-CN"/>
        </w:rPr>
        <w:t>我单位</w:t>
      </w:r>
      <w:r>
        <w:rPr>
          <w:rFonts w:hint="eastAsia" w:ascii="宋体" w:hAnsi="宋体" w:eastAsia="宋体" w:cs="宋体"/>
          <w:b/>
          <w:bCs/>
          <w:color w:val="FF0000"/>
          <w:kern w:val="2"/>
          <w:sz w:val="24"/>
          <w:szCs w:val="24"/>
          <w:highlight w:val="none"/>
        </w:rPr>
        <w:t>中标</w:t>
      </w:r>
      <w:r>
        <w:rPr>
          <w:rFonts w:hint="eastAsia" w:cs="宋体"/>
          <w:b/>
          <w:bCs/>
          <w:color w:val="FF0000"/>
          <w:kern w:val="2"/>
          <w:sz w:val="24"/>
          <w:szCs w:val="24"/>
          <w:highlight w:val="none"/>
          <w:lang w:val="en-US" w:eastAsia="zh-CN"/>
        </w:rPr>
        <w:t>后</w:t>
      </w:r>
      <w:r>
        <w:rPr>
          <w:rFonts w:hint="eastAsia" w:ascii="宋体" w:hAnsi="宋体" w:eastAsia="宋体" w:cs="宋体"/>
          <w:b/>
          <w:bCs/>
          <w:color w:val="FF0000"/>
          <w:kern w:val="2"/>
          <w:sz w:val="24"/>
          <w:szCs w:val="24"/>
          <w:highlight w:val="none"/>
        </w:rPr>
        <w:t>承诺做到:</w:t>
      </w:r>
    </w:p>
    <w:p w14:paraId="110E2BF1">
      <w:pPr>
        <w:spacing w:line="360" w:lineRule="auto"/>
        <w:rPr>
          <w:rFonts w:hint="eastAsia" w:ascii="宋体" w:hAnsi="宋体" w:eastAsia="宋体" w:cs="宋体"/>
          <w:b/>
          <w:bCs/>
          <w:color w:val="FF0000"/>
          <w:kern w:val="2"/>
          <w:sz w:val="24"/>
          <w:szCs w:val="24"/>
          <w:highlight w:val="none"/>
        </w:rPr>
      </w:pPr>
      <w:r>
        <w:rPr>
          <w:rFonts w:hint="eastAsia" w:ascii="宋体" w:hAnsi="宋体" w:eastAsia="宋体" w:cs="宋体"/>
          <w:b/>
          <w:bCs/>
          <w:color w:val="FF0000"/>
          <w:kern w:val="2"/>
          <w:sz w:val="24"/>
          <w:szCs w:val="24"/>
          <w:highlight w:val="none"/>
        </w:rPr>
        <w:t xml:space="preserve">   </w:t>
      </w:r>
      <w:r>
        <w:rPr>
          <w:rFonts w:hint="eastAsia" w:cs="宋体"/>
          <w:b/>
          <w:bCs/>
          <w:color w:val="FF0000"/>
          <w:kern w:val="2"/>
          <w:sz w:val="24"/>
          <w:szCs w:val="24"/>
          <w:highlight w:val="none"/>
          <w:lang w:val="en-US" w:eastAsia="zh-CN"/>
        </w:rPr>
        <w:t>1.</w:t>
      </w:r>
      <w:r>
        <w:rPr>
          <w:rFonts w:hint="eastAsia" w:ascii="宋体" w:hAnsi="宋体" w:eastAsia="宋体" w:cs="宋体"/>
          <w:b/>
          <w:bCs/>
          <w:color w:val="FF0000"/>
          <w:kern w:val="2"/>
          <w:sz w:val="24"/>
          <w:szCs w:val="24"/>
          <w:highlight w:val="none"/>
        </w:rPr>
        <w:t>严格按照《中华人民共和国劳动法》规定，不克扣或者无故拖欠</w:t>
      </w:r>
      <w:r>
        <w:rPr>
          <w:rFonts w:hint="eastAsia" w:cs="宋体"/>
          <w:b/>
          <w:bCs/>
          <w:color w:val="FF0000"/>
          <w:kern w:val="2"/>
          <w:sz w:val="24"/>
          <w:szCs w:val="24"/>
          <w:highlight w:val="none"/>
          <w:lang w:val="en-US" w:eastAsia="zh-CN"/>
        </w:rPr>
        <w:t>本项目履约过程中</w:t>
      </w:r>
      <w:r>
        <w:rPr>
          <w:rFonts w:hint="eastAsia" w:ascii="宋体" w:hAnsi="宋体" w:eastAsia="宋体" w:cs="宋体"/>
          <w:b/>
          <w:bCs/>
          <w:color w:val="FF0000"/>
          <w:kern w:val="2"/>
          <w:sz w:val="24"/>
          <w:szCs w:val="24"/>
          <w:highlight w:val="none"/>
        </w:rPr>
        <w:t>劳动者的工资</w:t>
      </w:r>
      <w:r>
        <w:rPr>
          <w:rFonts w:hint="eastAsia" w:cs="宋体"/>
          <w:b/>
          <w:bCs/>
          <w:color w:val="FF0000"/>
          <w:kern w:val="2"/>
          <w:sz w:val="24"/>
          <w:szCs w:val="24"/>
          <w:highlight w:val="none"/>
          <w:lang w:val="en-US" w:eastAsia="zh-CN"/>
        </w:rPr>
        <w:t>及雇佣费用</w:t>
      </w:r>
      <w:r>
        <w:rPr>
          <w:rFonts w:hint="eastAsia" w:ascii="宋体" w:hAnsi="宋体" w:eastAsia="宋体" w:cs="宋体"/>
          <w:b/>
          <w:bCs/>
          <w:color w:val="FF0000"/>
          <w:kern w:val="2"/>
          <w:sz w:val="24"/>
          <w:szCs w:val="24"/>
          <w:highlight w:val="none"/>
        </w:rPr>
        <w:t>。</w:t>
      </w:r>
    </w:p>
    <w:p w14:paraId="34C63378">
      <w:pPr>
        <w:spacing w:line="360" w:lineRule="auto"/>
        <w:rPr>
          <w:rFonts w:hint="eastAsia" w:ascii="宋体" w:hAnsi="宋体" w:eastAsia="宋体" w:cs="宋体"/>
          <w:b/>
          <w:bCs/>
          <w:color w:val="FF0000"/>
          <w:kern w:val="2"/>
          <w:sz w:val="24"/>
          <w:szCs w:val="24"/>
          <w:highlight w:val="none"/>
        </w:rPr>
      </w:pPr>
      <w:r>
        <w:rPr>
          <w:rFonts w:hint="eastAsia" w:ascii="宋体" w:hAnsi="宋体" w:eastAsia="宋体" w:cs="宋体"/>
          <w:b/>
          <w:bCs/>
          <w:color w:val="FF0000"/>
          <w:kern w:val="2"/>
          <w:sz w:val="24"/>
          <w:szCs w:val="24"/>
          <w:highlight w:val="none"/>
        </w:rPr>
        <w:t xml:space="preserve">   </w:t>
      </w:r>
      <w:r>
        <w:rPr>
          <w:rFonts w:hint="eastAsia" w:cs="宋体"/>
          <w:b/>
          <w:bCs/>
          <w:color w:val="FF0000"/>
          <w:kern w:val="2"/>
          <w:sz w:val="24"/>
          <w:szCs w:val="24"/>
          <w:highlight w:val="none"/>
          <w:lang w:val="en-US" w:eastAsia="zh-CN"/>
        </w:rPr>
        <w:t>2.</w:t>
      </w:r>
      <w:r>
        <w:rPr>
          <w:rFonts w:hint="eastAsia" w:ascii="宋体" w:hAnsi="宋体" w:eastAsia="宋体" w:cs="宋体"/>
          <w:b/>
          <w:bCs/>
          <w:color w:val="FF0000"/>
          <w:kern w:val="2"/>
          <w:sz w:val="24"/>
          <w:szCs w:val="24"/>
          <w:highlight w:val="none"/>
        </w:rPr>
        <w:t>如果发生违反规定拖欠或克扣农民工工资行为，本</w:t>
      </w:r>
      <w:r>
        <w:rPr>
          <w:rFonts w:hint="eastAsia" w:cs="宋体"/>
          <w:b/>
          <w:bCs/>
          <w:color w:val="FF0000"/>
          <w:kern w:val="2"/>
          <w:sz w:val="24"/>
          <w:szCs w:val="24"/>
          <w:highlight w:val="none"/>
          <w:lang w:val="en-US" w:eastAsia="zh-CN"/>
        </w:rPr>
        <w:t>单位</w:t>
      </w:r>
      <w:r>
        <w:rPr>
          <w:rFonts w:hint="eastAsia" w:ascii="宋体" w:hAnsi="宋体" w:eastAsia="宋体" w:cs="宋体"/>
          <w:b/>
          <w:bCs/>
          <w:color w:val="FF0000"/>
          <w:kern w:val="2"/>
          <w:sz w:val="24"/>
          <w:szCs w:val="24"/>
          <w:highlight w:val="none"/>
        </w:rPr>
        <w:t>支持</w:t>
      </w:r>
      <w:r>
        <w:rPr>
          <w:rFonts w:hint="eastAsia" w:cs="宋体"/>
          <w:b/>
          <w:bCs/>
          <w:color w:val="FF0000"/>
          <w:kern w:val="2"/>
          <w:sz w:val="24"/>
          <w:szCs w:val="24"/>
          <w:highlight w:val="none"/>
          <w:lang w:val="en-US" w:eastAsia="zh-CN"/>
        </w:rPr>
        <w:t>甲方对我单位</w:t>
      </w:r>
      <w:r>
        <w:rPr>
          <w:rFonts w:hint="eastAsia" w:ascii="宋体" w:hAnsi="宋体" w:eastAsia="宋体" w:cs="宋体"/>
          <w:b/>
          <w:bCs/>
          <w:color w:val="FF0000"/>
          <w:kern w:val="2"/>
          <w:sz w:val="24"/>
          <w:szCs w:val="24"/>
          <w:highlight w:val="none"/>
        </w:rPr>
        <w:t>作出的</w:t>
      </w:r>
      <w:r>
        <w:rPr>
          <w:rFonts w:hint="eastAsia" w:cs="宋体"/>
          <w:b/>
          <w:bCs/>
          <w:color w:val="FF0000"/>
          <w:kern w:val="2"/>
          <w:sz w:val="24"/>
          <w:szCs w:val="24"/>
          <w:highlight w:val="none"/>
          <w:lang w:val="en-US" w:eastAsia="zh-CN"/>
        </w:rPr>
        <w:t>任何措施（包括但不限于从履约保证金或工程进度款等款项中支付拖欠的农民工工资）</w:t>
      </w:r>
      <w:r>
        <w:rPr>
          <w:rFonts w:hint="eastAsia" w:ascii="宋体" w:hAnsi="宋体" w:eastAsia="宋体" w:cs="宋体"/>
          <w:b/>
          <w:bCs/>
          <w:color w:val="FF0000"/>
          <w:kern w:val="2"/>
          <w:sz w:val="24"/>
          <w:szCs w:val="24"/>
          <w:highlight w:val="none"/>
        </w:rPr>
        <w:t>。</w:t>
      </w:r>
    </w:p>
    <w:p w14:paraId="2A6E9D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（九）我单位不存在为采购项目提供整体设计、规范编制或者项目管理、监理、检测等服务后，再参加该采购项目的其他采购活动的情形（单一来源采购项目除外）；</w:t>
      </w:r>
    </w:p>
    <w:p w14:paraId="3B38EF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FF0000"/>
          <w:kern w:val="0"/>
          <w:sz w:val="24"/>
          <w:szCs w:val="24"/>
          <w:highlight w:val="no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E3E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847F203">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序号</w:t>
            </w:r>
          </w:p>
        </w:tc>
        <w:tc>
          <w:tcPr>
            <w:tcW w:w="2841" w:type="dxa"/>
          </w:tcPr>
          <w:p w14:paraId="25710248">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单位名称</w:t>
            </w:r>
          </w:p>
        </w:tc>
        <w:tc>
          <w:tcPr>
            <w:tcW w:w="2841" w:type="dxa"/>
          </w:tcPr>
          <w:p w14:paraId="3A3DC573">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相互关系</w:t>
            </w:r>
          </w:p>
        </w:tc>
      </w:tr>
      <w:tr w14:paraId="57B0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3E346FF">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vertAlign w:val="baseline"/>
                <w:lang w:val="en-US" w:eastAsia="zh-CN" w:bidi="ar"/>
              </w:rPr>
              <w:t>1</w:t>
            </w:r>
          </w:p>
        </w:tc>
        <w:tc>
          <w:tcPr>
            <w:tcW w:w="2841" w:type="dxa"/>
          </w:tcPr>
          <w:p w14:paraId="14CFF61D">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c>
          <w:tcPr>
            <w:tcW w:w="2841" w:type="dxa"/>
          </w:tcPr>
          <w:p w14:paraId="4CD7B6A1">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r>
      <w:tr w14:paraId="35C0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639B892">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vertAlign w:val="baseline"/>
                <w:lang w:val="en-US" w:eastAsia="zh-CN" w:bidi="ar"/>
              </w:rPr>
              <w:t>2</w:t>
            </w:r>
          </w:p>
        </w:tc>
        <w:tc>
          <w:tcPr>
            <w:tcW w:w="2841" w:type="dxa"/>
          </w:tcPr>
          <w:p w14:paraId="4D80CD20">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c>
          <w:tcPr>
            <w:tcW w:w="2841" w:type="dxa"/>
          </w:tcPr>
          <w:p w14:paraId="294E0FDA">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r>
    </w:tbl>
    <w:p w14:paraId="783FC6F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3265FA9">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BBA7B25">
      <w:pPr>
        <w:spacing w:line="360" w:lineRule="auto"/>
        <w:jc w:val="center"/>
        <w:outlineLvl w:val="9"/>
        <w:rPr>
          <w:rFonts w:hint="eastAsia" w:asciiTheme="minorEastAsia" w:hAnsiTheme="minorEastAsia" w:eastAsiaTheme="minorEastAsia"/>
          <w:b/>
          <w:color w:val="auto"/>
          <w:sz w:val="24"/>
          <w:highlight w:val="none"/>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p w14:paraId="48AED45A">
      <w:pPr>
        <w:widowControl/>
        <w:jc w:val="center"/>
        <w:outlineLvl w:val="1"/>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五</w:t>
      </w:r>
      <w:r>
        <w:rPr>
          <w:rFonts w:hint="eastAsia" w:asciiTheme="minorEastAsia" w:hAnsiTheme="minorEastAsia" w:eastAsiaTheme="minorEastAsia"/>
          <w:b/>
          <w:color w:val="auto"/>
          <w:sz w:val="24"/>
          <w:highlight w:val="none"/>
          <w:u w:val="none"/>
        </w:rPr>
        <w:t>、授权书</w:t>
      </w:r>
    </w:p>
    <w:p w14:paraId="7E57488F">
      <w:pPr>
        <w:spacing w:line="360" w:lineRule="auto"/>
        <w:jc w:val="center"/>
        <w:rPr>
          <w:rFonts w:asciiTheme="minorEastAsia" w:hAnsiTheme="minorEastAsia" w:eastAsiaTheme="minorEastAsia"/>
          <w:b/>
          <w:color w:val="auto"/>
          <w:sz w:val="24"/>
          <w:highlight w:val="none"/>
        </w:rPr>
      </w:pPr>
    </w:p>
    <w:p w14:paraId="00B721FC">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36AF5E7D">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EF8F075">
      <w:pPr>
        <w:pStyle w:val="2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6320F603">
      <w:pPr>
        <w:pStyle w:val="28"/>
        <w:snapToGrid w:val="0"/>
        <w:spacing w:line="360" w:lineRule="auto"/>
        <w:ind w:firstLine="480" w:firstLineChars="200"/>
        <w:jc w:val="left"/>
        <w:rPr>
          <w:rFonts w:hAnsi="宋体" w:eastAsia="宋体"/>
          <w:color w:val="auto"/>
          <w:sz w:val="24"/>
          <w:highlight w:val="none"/>
        </w:rPr>
      </w:pPr>
    </w:p>
    <w:p w14:paraId="133C6A57">
      <w:pPr>
        <w:pStyle w:val="28"/>
        <w:snapToGrid w:val="0"/>
        <w:spacing w:line="360" w:lineRule="auto"/>
        <w:ind w:firstLine="480" w:firstLineChars="200"/>
        <w:jc w:val="left"/>
        <w:rPr>
          <w:rFonts w:hAnsi="宋体" w:eastAsia="宋体"/>
          <w:color w:val="auto"/>
          <w:sz w:val="24"/>
          <w:highlight w:val="none"/>
        </w:rPr>
      </w:pPr>
    </w:p>
    <w:p w14:paraId="667008A5">
      <w:pPr>
        <w:pStyle w:val="28"/>
        <w:snapToGrid w:val="0"/>
        <w:spacing w:line="360" w:lineRule="auto"/>
        <w:ind w:firstLine="480" w:firstLineChars="200"/>
        <w:jc w:val="left"/>
        <w:rPr>
          <w:rFonts w:hAnsi="宋体" w:eastAsia="宋体"/>
          <w:color w:val="auto"/>
          <w:sz w:val="24"/>
          <w:highlight w:val="none"/>
        </w:rPr>
      </w:pPr>
    </w:p>
    <w:p w14:paraId="2D6D450B">
      <w:pPr>
        <w:pStyle w:val="28"/>
        <w:snapToGrid w:val="0"/>
        <w:spacing w:line="360" w:lineRule="auto"/>
        <w:ind w:firstLine="480" w:firstLineChars="200"/>
        <w:jc w:val="left"/>
        <w:rPr>
          <w:rFonts w:hAnsi="宋体" w:eastAsia="宋体"/>
          <w:color w:val="auto"/>
          <w:sz w:val="24"/>
          <w:highlight w:val="none"/>
        </w:rPr>
      </w:pPr>
    </w:p>
    <w:p w14:paraId="0044E71C">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C3105A6">
      <w:pPr>
        <w:pStyle w:val="28"/>
        <w:snapToGrid w:val="0"/>
        <w:spacing w:line="360" w:lineRule="auto"/>
        <w:ind w:firstLine="480" w:firstLineChars="200"/>
        <w:jc w:val="left"/>
        <w:rPr>
          <w:rFonts w:hAnsi="宋体" w:eastAsia="宋体"/>
          <w:color w:val="auto"/>
          <w:sz w:val="24"/>
          <w:szCs w:val="28"/>
          <w:highlight w:val="none"/>
        </w:rPr>
      </w:pPr>
    </w:p>
    <w:p w14:paraId="4AD50627">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879135D">
      <w:pPr>
        <w:spacing w:line="360" w:lineRule="auto"/>
        <w:rPr>
          <w:color w:val="auto"/>
          <w:sz w:val="24"/>
          <w:szCs w:val="28"/>
          <w:highlight w:val="none"/>
        </w:rPr>
      </w:pPr>
    </w:p>
    <w:p w14:paraId="6000D93B">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3CFEF90C">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61BBD9EF">
      <w:pPr>
        <w:spacing w:line="360" w:lineRule="auto"/>
        <w:rPr>
          <w:color w:val="auto"/>
          <w:sz w:val="24"/>
          <w:szCs w:val="28"/>
          <w:highlight w:val="none"/>
        </w:rPr>
      </w:pPr>
    </w:p>
    <w:p w14:paraId="1D9CDBD0">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32301F34">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41D7BFE2">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2F340AA9">
      <w:pPr>
        <w:widowControl/>
        <w:jc w:val="left"/>
        <w:rPr>
          <w:color w:val="auto"/>
          <w:sz w:val="24"/>
          <w:highlight w:val="none"/>
        </w:rPr>
      </w:pPr>
      <w:r>
        <w:rPr>
          <w:color w:val="auto"/>
          <w:sz w:val="24"/>
          <w:highlight w:val="none"/>
        </w:rPr>
        <w:br w:type="page"/>
      </w:r>
    </w:p>
    <w:p w14:paraId="74ECF8BC">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六</w:t>
      </w:r>
      <w:r>
        <w:rPr>
          <w:rFonts w:hint="eastAsia" w:cs="@仿宋_GB2312" w:asciiTheme="minorEastAsia" w:hAnsiTheme="minorEastAsia" w:eastAsiaTheme="minorEastAsia"/>
          <w:b/>
          <w:bCs/>
          <w:color w:val="auto"/>
          <w:kern w:val="2"/>
          <w:sz w:val="24"/>
          <w:szCs w:val="24"/>
          <w:highlight w:val="none"/>
        </w:rPr>
        <w:t>、法定代表人身份证明书</w:t>
      </w:r>
    </w:p>
    <w:p w14:paraId="4A19D7A5">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137B1184">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255AAB00">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46B378A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FCE0CF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2664A72E">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52AFD39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4034E50D">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A25286E">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5B31C4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256423CC">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662DCEB8">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73ABD429">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6BDB0B53">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4A5C350C">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766D3BEC">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732BE17">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01289F0C">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00467F1D">
      <w:pPr>
        <w:keepNext/>
        <w:keepLines/>
        <w:spacing w:before="260" w:after="260" w:line="416" w:lineRule="auto"/>
        <w:jc w:val="center"/>
        <w:outlineLvl w:val="1"/>
        <w:rPr>
          <w:rFonts w:hint="default" w:cs="@仿宋_GB2312" w:asciiTheme="minorEastAsia" w:hAnsiTheme="minorEastAsia" w:eastAsiaTheme="minorEastAsia"/>
          <w:b/>
          <w:bCs/>
          <w:color w:val="auto"/>
          <w:kern w:val="2"/>
          <w:sz w:val="24"/>
          <w:szCs w:val="24"/>
          <w:highlight w:val="none"/>
          <w:lang w:val="en-US" w:eastAsia="zh-CN"/>
        </w:rPr>
      </w:pPr>
      <w:r>
        <w:rPr>
          <w:rFonts w:hint="eastAsia" w:cs="@仿宋_GB2312" w:asciiTheme="minorEastAsia" w:hAnsiTheme="minorEastAsia" w:eastAsiaTheme="minorEastAsia"/>
          <w:b/>
          <w:bCs/>
          <w:color w:val="auto"/>
          <w:kern w:val="2"/>
          <w:sz w:val="24"/>
          <w:szCs w:val="24"/>
          <w:highlight w:val="none"/>
          <w:lang w:val="en-US" w:eastAsia="zh-CN"/>
        </w:rPr>
        <w:t>七</w:t>
      </w:r>
      <w:r>
        <w:rPr>
          <w:rFonts w:hint="eastAsia" w:cs="@仿宋_GB2312" w:asciiTheme="minorEastAsia" w:hAnsiTheme="minorEastAsia" w:eastAsiaTheme="minorEastAsia"/>
          <w:b/>
          <w:bCs/>
          <w:color w:val="auto"/>
          <w:kern w:val="2"/>
          <w:sz w:val="24"/>
          <w:szCs w:val="24"/>
          <w:highlight w:val="none"/>
        </w:rPr>
        <w:t>、</w:t>
      </w:r>
      <w:r>
        <w:rPr>
          <w:rFonts w:hint="eastAsia" w:cs="@仿宋_GB2312" w:asciiTheme="minorEastAsia" w:hAnsiTheme="minorEastAsia" w:eastAsiaTheme="minorEastAsia"/>
          <w:b/>
          <w:bCs/>
          <w:color w:val="auto"/>
          <w:kern w:val="2"/>
          <w:sz w:val="24"/>
          <w:szCs w:val="24"/>
          <w:highlight w:val="none"/>
          <w:lang w:val="en-US" w:eastAsia="zh-CN"/>
        </w:rPr>
        <w:t>服务方案</w:t>
      </w:r>
    </w:p>
    <w:p w14:paraId="6C15CECB">
      <w:pPr>
        <w:autoSpaceDE w:val="0"/>
        <w:autoSpaceDN w:val="0"/>
        <w:adjustRightInd w:val="0"/>
        <w:spacing w:line="360" w:lineRule="auto"/>
        <w:jc w:val="center"/>
        <w:rPr>
          <w:rFonts w:ascii="@仿宋_GB2312" w:eastAsia="@仿宋_GB2312" w:cs="宋体"/>
          <w:color w:val="auto"/>
          <w:kern w:val="2"/>
          <w:sz w:val="24"/>
          <w:szCs w:val="24"/>
          <w:highlight w:val="none"/>
          <w:lang w:val="zh-CN"/>
        </w:rPr>
      </w:pPr>
      <w:r>
        <w:rPr>
          <w:rFonts w:hint="eastAsia" w:ascii="@仿宋_GB2312" w:eastAsia="@仿宋_GB2312" w:cs="宋体"/>
          <w:b/>
          <w:color w:val="auto"/>
          <w:kern w:val="2"/>
          <w:sz w:val="24"/>
          <w:szCs w:val="24"/>
          <w:highlight w:val="none"/>
        </w:rPr>
        <w:br w:type="page"/>
      </w:r>
    </w:p>
    <w:p w14:paraId="351CFE8E">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、中小企业声明函</w:t>
      </w:r>
    </w:p>
    <w:p w14:paraId="349D5CA7">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en-US" w:eastAsia="zh-CN"/>
        </w:rPr>
        <w:t>安徽省淮河河道管理局</w:t>
      </w:r>
      <w:r>
        <w:rPr>
          <w:rFonts w:hint="eastAsia" w:cs="@仿宋_GB2312"/>
          <w:color w:val="auto"/>
          <w:kern w:val="2"/>
          <w:sz w:val="24"/>
          <w:szCs w:val="24"/>
          <w:highlight w:val="none"/>
          <w:lang w:val="zh-CN"/>
        </w:rPr>
        <w:t>的</w:t>
      </w:r>
      <w:r>
        <w:rPr>
          <w:rFonts w:hint="eastAsia" w:cs="@仿宋_GB2312"/>
          <w:color w:val="auto"/>
          <w:kern w:val="2"/>
          <w:sz w:val="24"/>
          <w:szCs w:val="24"/>
          <w:highlight w:val="none"/>
          <w:lang w:val="en-US" w:eastAsia="zh-CN"/>
        </w:rPr>
        <w:t xml:space="preserve">        </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4AC7C0FB">
      <w:pPr>
        <w:spacing w:line="360" w:lineRule="auto"/>
        <w:ind w:firstLine="435"/>
        <w:rPr>
          <w:rFonts w:cs="@仿宋_GB2312"/>
          <w:color w:val="auto"/>
          <w:kern w:val="2"/>
          <w:sz w:val="24"/>
          <w:szCs w:val="24"/>
          <w:highlight w:val="none"/>
          <w:lang w:val="zh-CN"/>
        </w:rPr>
      </w:pPr>
      <w:r>
        <w:rPr>
          <w:rFonts w:hint="eastAsia" w:cs="@仿宋_GB2312"/>
          <w:b/>
          <w:bCs/>
          <w:color w:val="auto"/>
          <w:kern w:val="2"/>
          <w:sz w:val="24"/>
          <w:szCs w:val="24"/>
          <w:highlight w:val="none"/>
          <w:u w:val="single"/>
          <w:lang w:val="en-US" w:eastAsia="zh-CN"/>
        </w:rPr>
        <w:t xml:space="preserve">          </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en-US" w:eastAsia="zh-CN"/>
        </w:rPr>
        <w:t>建筑业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6E7A0FF8">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0E80EBA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5566E52C">
      <w:pPr>
        <w:spacing w:line="360" w:lineRule="auto"/>
        <w:ind w:firstLine="435"/>
        <w:rPr>
          <w:rFonts w:cs="@仿宋_GB2312" w:asciiTheme="minorEastAsia" w:hAnsiTheme="minorEastAsia" w:eastAsiaTheme="minorEastAsia"/>
          <w:color w:val="auto"/>
          <w:kern w:val="2"/>
          <w:sz w:val="24"/>
          <w:szCs w:val="24"/>
          <w:highlight w:val="none"/>
        </w:rPr>
      </w:pPr>
    </w:p>
    <w:p w14:paraId="794DFA8E">
      <w:pPr>
        <w:spacing w:line="360" w:lineRule="auto"/>
        <w:ind w:firstLine="435"/>
        <w:rPr>
          <w:rFonts w:cs="@仿宋_GB2312" w:asciiTheme="minorEastAsia" w:hAnsiTheme="minorEastAsia" w:eastAsiaTheme="minorEastAsia"/>
          <w:color w:val="auto"/>
          <w:kern w:val="2"/>
          <w:sz w:val="24"/>
          <w:szCs w:val="24"/>
          <w:highlight w:val="none"/>
        </w:rPr>
      </w:pPr>
    </w:p>
    <w:p w14:paraId="269B5E18">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0D1B24A5">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06DD9133">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11F3E129">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1EDE7C30">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32CF1469">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5E6D1C94">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6A3CC719">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4574EB9D">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行业；承接企业为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63D302E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DF7C912">
      <w:pPr>
        <w:spacing w:line="360" w:lineRule="auto"/>
        <w:jc w:val="center"/>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残疾人福利性单位声明函</w:t>
      </w:r>
    </w:p>
    <w:p w14:paraId="701162BA">
      <w:pPr>
        <w:pStyle w:val="1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27E367E0">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7CD62D2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218ED1D8">
      <w:pPr>
        <w:spacing w:line="360" w:lineRule="auto"/>
        <w:ind w:firstLine="4228" w:firstLineChars="1762"/>
        <w:rPr>
          <w:rFonts w:cs="Times New Roman"/>
          <w:color w:val="auto"/>
          <w:kern w:val="2"/>
          <w:sz w:val="24"/>
          <w:szCs w:val="24"/>
          <w:highlight w:val="none"/>
        </w:rPr>
      </w:pPr>
    </w:p>
    <w:p w14:paraId="3C001FBB">
      <w:pPr>
        <w:spacing w:line="360" w:lineRule="auto"/>
        <w:ind w:firstLine="4228" w:firstLineChars="1762"/>
        <w:rPr>
          <w:rFonts w:cs="Times New Roman"/>
          <w:color w:val="auto"/>
          <w:kern w:val="2"/>
          <w:sz w:val="24"/>
          <w:szCs w:val="24"/>
          <w:highlight w:val="none"/>
        </w:rPr>
      </w:pPr>
    </w:p>
    <w:p w14:paraId="6DEBFFD8">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24C25B0F">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00AB81F5">
      <w:pPr>
        <w:spacing w:line="360" w:lineRule="auto"/>
        <w:jc w:val="center"/>
        <w:outlineLvl w:val="1"/>
        <w:rPr>
          <w:rFonts w:hint="eastAsia" w:eastAsia="宋体" w:cs="宋体"/>
          <w:b/>
          <w:bCs w:val="0"/>
          <w:color w:val="FF0000"/>
          <w:sz w:val="24"/>
          <w:szCs w:val="24"/>
          <w:highlight w:val="none"/>
          <w:u w:val="single"/>
          <w:lang w:eastAsia="zh-CN"/>
        </w:rPr>
      </w:pPr>
      <w:r>
        <w:rPr>
          <w:rFonts w:asciiTheme="minorEastAsia" w:hAnsiTheme="minorEastAsia" w:eastAsiaTheme="minorEastAsia"/>
          <w:color w:val="auto"/>
          <w:sz w:val="24"/>
          <w:highlight w:val="none"/>
        </w:rPr>
        <w:br w:type="page"/>
      </w:r>
      <w:r>
        <w:rPr>
          <w:rFonts w:hint="eastAsia" w:asciiTheme="minorEastAsia" w:hAnsiTheme="minorEastAsia" w:eastAsiaTheme="minorEastAsia"/>
          <w:b/>
          <w:bCs w:val="0"/>
          <w:color w:val="auto"/>
          <w:sz w:val="24"/>
          <w:highlight w:val="none"/>
          <w:lang w:val="en-US" w:eastAsia="zh-CN"/>
        </w:rPr>
        <w:t>九、</w:t>
      </w:r>
      <w:r>
        <w:rPr>
          <w:rFonts w:hint="eastAsia" w:cs="宋体"/>
          <w:b/>
          <w:bCs w:val="0"/>
          <w:color w:val="auto"/>
          <w:sz w:val="24"/>
          <w:szCs w:val="24"/>
          <w:highlight w:val="none"/>
          <w:lang w:val="en-US" w:eastAsia="zh-CN"/>
        </w:rPr>
        <w:t>投标人</w:t>
      </w:r>
      <w:r>
        <w:rPr>
          <w:rFonts w:hint="eastAsia" w:cs="宋体"/>
          <w:b/>
          <w:bCs w:val="0"/>
          <w:color w:val="auto"/>
          <w:sz w:val="24"/>
          <w:szCs w:val="24"/>
          <w:highlight w:val="none"/>
        </w:rPr>
        <w:t>主要施工管理人员表</w:t>
      </w:r>
      <w:r>
        <w:rPr>
          <w:rFonts w:hint="eastAsia" w:cs="宋体"/>
          <w:b/>
          <w:bCs w:val="0"/>
          <w:color w:val="FF0000"/>
          <w:sz w:val="24"/>
          <w:szCs w:val="24"/>
          <w:highlight w:val="none"/>
          <w:u w:val="single"/>
          <w:lang w:eastAsia="zh-CN"/>
        </w:rPr>
        <w:t>（格式可自拟）</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087CD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775F211D">
            <w:pPr>
              <w:keepNext/>
              <w:spacing w:line="360" w:lineRule="auto"/>
              <w:jc w:val="center"/>
              <w:rPr>
                <w:rFonts w:cs="宋体"/>
                <w:color w:val="auto"/>
                <w:sz w:val="24"/>
                <w:szCs w:val="24"/>
                <w:highlight w:val="none"/>
              </w:rPr>
            </w:pPr>
            <w:r>
              <w:rPr>
                <w:rFonts w:hint="eastAsia" w:cs="宋体"/>
                <w:color w:val="auto"/>
                <w:sz w:val="24"/>
                <w:szCs w:val="24"/>
                <w:highlight w:val="none"/>
              </w:rPr>
              <w:t>名称</w:t>
            </w:r>
          </w:p>
        </w:tc>
        <w:tc>
          <w:tcPr>
            <w:tcW w:w="627" w:type="pct"/>
            <w:tcBorders>
              <w:top w:val="single" w:color="auto" w:sz="12" w:space="0"/>
              <w:bottom w:val="double" w:color="auto" w:sz="6" w:space="0"/>
            </w:tcBorders>
            <w:vAlign w:val="center"/>
          </w:tcPr>
          <w:p w14:paraId="3B84447D">
            <w:pPr>
              <w:keepNext/>
              <w:spacing w:line="360" w:lineRule="auto"/>
              <w:jc w:val="center"/>
              <w:rPr>
                <w:rFonts w:cs="宋体"/>
                <w:color w:val="auto"/>
                <w:sz w:val="24"/>
                <w:szCs w:val="24"/>
                <w:highlight w:val="none"/>
              </w:rPr>
            </w:pPr>
            <w:r>
              <w:rPr>
                <w:rFonts w:hint="eastAsia" w:cs="宋体"/>
                <w:color w:val="auto"/>
                <w:sz w:val="24"/>
                <w:szCs w:val="24"/>
                <w:highlight w:val="none"/>
              </w:rPr>
              <w:t>姓名</w:t>
            </w:r>
          </w:p>
        </w:tc>
        <w:tc>
          <w:tcPr>
            <w:tcW w:w="502" w:type="pct"/>
            <w:tcBorders>
              <w:top w:val="single" w:color="auto" w:sz="12" w:space="0"/>
              <w:bottom w:val="double" w:color="auto" w:sz="6" w:space="0"/>
            </w:tcBorders>
            <w:vAlign w:val="center"/>
          </w:tcPr>
          <w:p w14:paraId="6C8E2900">
            <w:pPr>
              <w:keepNext/>
              <w:spacing w:line="360" w:lineRule="auto"/>
              <w:jc w:val="center"/>
              <w:rPr>
                <w:rFonts w:cs="宋体"/>
                <w:color w:val="auto"/>
                <w:sz w:val="24"/>
                <w:szCs w:val="24"/>
                <w:highlight w:val="none"/>
              </w:rPr>
            </w:pPr>
            <w:r>
              <w:rPr>
                <w:rFonts w:hint="eastAsia" w:cs="宋体"/>
                <w:color w:val="auto"/>
                <w:sz w:val="24"/>
                <w:szCs w:val="24"/>
                <w:highlight w:val="none"/>
              </w:rPr>
              <w:t>职务</w:t>
            </w:r>
          </w:p>
        </w:tc>
        <w:tc>
          <w:tcPr>
            <w:tcW w:w="502" w:type="pct"/>
            <w:tcBorders>
              <w:top w:val="single" w:color="auto" w:sz="12" w:space="0"/>
              <w:bottom w:val="double" w:color="auto" w:sz="6" w:space="0"/>
            </w:tcBorders>
            <w:vAlign w:val="center"/>
          </w:tcPr>
          <w:p w14:paraId="3C2327E2">
            <w:pPr>
              <w:keepNext/>
              <w:spacing w:line="360" w:lineRule="auto"/>
              <w:jc w:val="center"/>
              <w:rPr>
                <w:rFonts w:cs="宋体"/>
                <w:color w:val="auto"/>
                <w:sz w:val="24"/>
                <w:szCs w:val="24"/>
                <w:highlight w:val="none"/>
              </w:rPr>
            </w:pPr>
            <w:r>
              <w:rPr>
                <w:rFonts w:hint="eastAsia" w:cs="宋体"/>
                <w:color w:val="auto"/>
                <w:sz w:val="24"/>
                <w:szCs w:val="24"/>
                <w:highlight w:val="none"/>
              </w:rPr>
              <w:t>职称</w:t>
            </w:r>
          </w:p>
        </w:tc>
        <w:tc>
          <w:tcPr>
            <w:tcW w:w="1281" w:type="pct"/>
            <w:tcBorders>
              <w:top w:val="single" w:color="auto" w:sz="12" w:space="0"/>
              <w:bottom w:val="double" w:color="auto" w:sz="6" w:space="0"/>
            </w:tcBorders>
            <w:vAlign w:val="center"/>
          </w:tcPr>
          <w:p w14:paraId="44F6239F">
            <w:pPr>
              <w:keepNext/>
              <w:spacing w:line="360" w:lineRule="auto"/>
              <w:jc w:val="center"/>
              <w:rPr>
                <w:rFonts w:cs="宋体"/>
                <w:color w:val="auto"/>
                <w:sz w:val="24"/>
                <w:szCs w:val="24"/>
                <w:highlight w:val="none"/>
              </w:rPr>
            </w:pPr>
            <w:r>
              <w:rPr>
                <w:rFonts w:hint="eastAsia" w:cs="宋体"/>
                <w:color w:val="auto"/>
                <w:sz w:val="24"/>
                <w:szCs w:val="24"/>
                <w:highlight w:val="none"/>
              </w:rPr>
              <w:t>主要资历、经验及承担过的项目</w:t>
            </w:r>
          </w:p>
        </w:tc>
        <w:tc>
          <w:tcPr>
            <w:tcW w:w="1151" w:type="pct"/>
            <w:tcBorders>
              <w:top w:val="single" w:color="auto" w:sz="12" w:space="0"/>
              <w:bottom w:val="double" w:color="auto" w:sz="6" w:space="0"/>
            </w:tcBorders>
            <w:vAlign w:val="center"/>
          </w:tcPr>
          <w:p w14:paraId="21A0DA90">
            <w:pPr>
              <w:keepNext/>
              <w:spacing w:line="360" w:lineRule="auto"/>
              <w:jc w:val="center"/>
              <w:rPr>
                <w:rFonts w:cs="宋体"/>
                <w:color w:val="auto"/>
                <w:sz w:val="24"/>
                <w:szCs w:val="24"/>
                <w:highlight w:val="none"/>
              </w:rPr>
            </w:pPr>
            <w:r>
              <w:rPr>
                <w:rFonts w:hint="eastAsia" w:cs="宋体"/>
                <w:color w:val="auto"/>
                <w:sz w:val="24"/>
                <w:szCs w:val="24"/>
                <w:highlight w:val="none"/>
              </w:rPr>
              <w:t>身份证号码</w:t>
            </w:r>
          </w:p>
        </w:tc>
      </w:tr>
      <w:tr w14:paraId="48F0E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5C4454E6">
            <w:pPr>
              <w:keepNext/>
              <w:spacing w:line="360" w:lineRule="auto"/>
              <w:jc w:val="center"/>
              <w:rPr>
                <w:rFonts w:cs="宋体"/>
                <w:color w:val="auto"/>
                <w:sz w:val="24"/>
                <w:szCs w:val="24"/>
                <w:highlight w:val="none"/>
              </w:rPr>
            </w:pPr>
            <w:r>
              <w:rPr>
                <w:rFonts w:hint="eastAsia" w:cs="宋体"/>
                <w:color w:val="auto"/>
                <w:sz w:val="24"/>
                <w:szCs w:val="24"/>
                <w:highlight w:val="none"/>
              </w:rPr>
              <w:t>一、总部人员</w:t>
            </w:r>
          </w:p>
        </w:tc>
        <w:tc>
          <w:tcPr>
            <w:tcW w:w="1151" w:type="pct"/>
            <w:tcBorders>
              <w:top w:val="double" w:color="auto" w:sz="6" w:space="0"/>
            </w:tcBorders>
            <w:vAlign w:val="center"/>
          </w:tcPr>
          <w:p w14:paraId="261881F4">
            <w:pPr>
              <w:keepNext/>
              <w:spacing w:line="360" w:lineRule="auto"/>
              <w:jc w:val="center"/>
              <w:rPr>
                <w:rFonts w:cs="宋体"/>
                <w:color w:val="auto"/>
                <w:sz w:val="24"/>
                <w:szCs w:val="24"/>
                <w:highlight w:val="none"/>
              </w:rPr>
            </w:pPr>
          </w:p>
        </w:tc>
      </w:tr>
      <w:tr w14:paraId="39442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1959F728">
            <w:pPr>
              <w:spacing w:line="360" w:lineRule="auto"/>
              <w:jc w:val="center"/>
              <w:rPr>
                <w:rFonts w:hint="eastAsia" w:eastAsia="宋体" w:cs="宋体"/>
                <w:color w:val="auto"/>
                <w:sz w:val="24"/>
                <w:szCs w:val="24"/>
                <w:highlight w:val="none"/>
                <w:lang w:val="en-US" w:eastAsia="zh-CN"/>
              </w:rPr>
            </w:pPr>
            <w:r>
              <w:rPr>
                <w:rFonts w:hint="eastAsia" w:cs="宋体"/>
                <w:color w:val="auto"/>
                <w:sz w:val="24"/>
                <w:szCs w:val="24"/>
                <w:highlight w:val="none"/>
              </w:rPr>
              <w:t>项目主管</w:t>
            </w:r>
            <w:r>
              <w:rPr>
                <w:rFonts w:hint="eastAsia" w:cs="宋体"/>
                <w:color w:val="auto"/>
                <w:sz w:val="24"/>
                <w:szCs w:val="24"/>
                <w:highlight w:val="none"/>
                <w:lang w:val="en-US" w:eastAsia="zh-CN"/>
              </w:rPr>
              <w:t>领导</w:t>
            </w:r>
          </w:p>
        </w:tc>
        <w:tc>
          <w:tcPr>
            <w:tcW w:w="627" w:type="pct"/>
            <w:tcBorders>
              <w:top w:val="nil"/>
            </w:tcBorders>
            <w:vAlign w:val="center"/>
          </w:tcPr>
          <w:p w14:paraId="63BBDD4A">
            <w:pPr>
              <w:keepNext/>
              <w:spacing w:line="360" w:lineRule="auto"/>
              <w:jc w:val="center"/>
              <w:rPr>
                <w:rFonts w:cs="宋体"/>
                <w:color w:val="auto"/>
                <w:sz w:val="24"/>
                <w:szCs w:val="24"/>
                <w:highlight w:val="none"/>
              </w:rPr>
            </w:pPr>
          </w:p>
        </w:tc>
        <w:tc>
          <w:tcPr>
            <w:tcW w:w="502" w:type="pct"/>
            <w:tcBorders>
              <w:top w:val="nil"/>
            </w:tcBorders>
            <w:vAlign w:val="center"/>
          </w:tcPr>
          <w:p w14:paraId="2D58FBEC">
            <w:pPr>
              <w:keepNext/>
              <w:spacing w:line="360" w:lineRule="auto"/>
              <w:jc w:val="center"/>
              <w:rPr>
                <w:rFonts w:cs="宋体"/>
                <w:color w:val="auto"/>
                <w:sz w:val="24"/>
                <w:szCs w:val="24"/>
                <w:highlight w:val="none"/>
              </w:rPr>
            </w:pPr>
          </w:p>
        </w:tc>
        <w:tc>
          <w:tcPr>
            <w:tcW w:w="502" w:type="pct"/>
            <w:tcBorders>
              <w:top w:val="nil"/>
            </w:tcBorders>
            <w:vAlign w:val="center"/>
          </w:tcPr>
          <w:p w14:paraId="0209D794">
            <w:pPr>
              <w:keepNext/>
              <w:spacing w:line="360" w:lineRule="auto"/>
              <w:jc w:val="center"/>
              <w:rPr>
                <w:rFonts w:cs="宋体"/>
                <w:color w:val="auto"/>
                <w:sz w:val="24"/>
                <w:szCs w:val="24"/>
                <w:highlight w:val="none"/>
              </w:rPr>
            </w:pPr>
          </w:p>
        </w:tc>
        <w:tc>
          <w:tcPr>
            <w:tcW w:w="1281" w:type="pct"/>
            <w:tcBorders>
              <w:top w:val="nil"/>
            </w:tcBorders>
            <w:vAlign w:val="center"/>
          </w:tcPr>
          <w:p w14:paraId="2F550C11">
            <w:pPr>
              <w:keepNext/>
              <w:spacing w:line="360" w:lineRule="auto"/>
              <w:jc w:val="center"/>
              <w:rPr>
                <w:rFonts w:cs="宋体"/>
                <w:color w:val="auto"/>
                <w:sz w:val="24"/>
                <w:szCs w:val="24"/>
                <w:highlight w:val="none"/>
              </w:rPr>
            </w:pPr>
          </w:p>
        </w:tc>
        <w:tc>
          <w:tcPr>
            <w:tcW w:w="1151" w:type="pct"/>
            <w:tcBorders>
              <w:top w:val="nil"/>
            </w:tcBorders>
            <w:vAlign w:val="center"/>
          </w:tcPr>
          <w:p w14:paraId="106AF22F">
            <w:pPr>
              <w:keepNext/>
              <w:spacing w:line="360" w:lineRule="auto"/>
              <w:jc w:val="center"/>
              <w:rPr>
                <w:rFonts w:cs="宋体"/>
                <w:color w:val="auto"/>
                <w:sz w:val="24"/>
                <w:szCs w:val="24"/>
                <w:highlight w:val="none"/>
              </w:rPr>
            </w:pPr>
          </w:p>
        </w:tc>
      </w:tr>
      <w:tr w14:paraId="3F6D2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1FE6AABC">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2B2A74AA">
            <w:pPr>
              <w:keepNext/>
              <w:spacing w:line="360" w:lineRule="auto"/>
              <w:jc w:val="center"/>
              <w:rPr>
                <w:rFonts w:cs="宋体"/>
                <w:color w:val="auto"/>
                <w:sz w:val="24"/>
                <w:szCs w:val="24"/>
                <w:highlight w:val="none"/>
              </w:rPr>
            </w:pPr>
          </w:p>
        </w:tc>
        <w:tc>
          <w:tcPr>
            <w:tcW w:w="502" w:type="pct"/>
            <w:vAlign w:val="center"/>
          </w:tcPr>
          <w:p w14:paraId="63D084AA">
            <w:pPr>
              <w:keepNext/>
              <w:spacing w:line="360" w:lineRule="auto"/>
              <w:jc w:val="center"/>
              <w:rPr>
                <w:rFonts w:cs="宋体"/>
                <w:color w:val="auto"/>
                <w:sz w:val="24"/>
                <w:szCs w:val="24"/>
                <w:highlight w:val="none"/>
              </w:rPr>
            </w:pPr>
          </w:p>
        </w:tc>
        <w:tc>
          <w:tcPr>
            <w:tcW w:w="502" w:type="pct"/>
            <w:vAlign w:val="center"/>
          </w:tcPr>
          <w:p w14:paraId="5348542C">
            <w:pPr>
              <w:keepNext/>
              <w:spacing w:line="360" w:lineRule="auto"/>
              <w:jc w:val="center"/>
              <w:rPr>
                <w:rFonts w:cs="宋体"/>
                <w:color w:val="auto"/>
                <w:sz w:val="24"/>
                <w:szCs w:val="24"/>
                <w:highlight w:val="none"/>
              </w:rPr>
            </w:pPr>
          </w:p>
        </w:tc>
        <w:tc>
          <w:tcPr>
            <w:tcW w:w="1281" w:type="pct"/>
            <w:vAlign w:val="center"/>
          </w:tcPr>
          <w:p w14:paraId="3EC20A43">
            <w:pPr>
              <w:keepNext/>
              <w:spacing w:line="360" w:lineRule="auto"/>
              <w:jc w:val="center"/>
              <w:rPr>
                <w:rFonts w:cs="宋体"/>
                <w:color w:val="auto"/>
                <w:sz w:val="24"/>
                <w:szCs w:val="24"/>
                <w:highlight w:val="none"/>
              </w:rPr>
            </w:pPr>
          </w:p>
        </w:tc>
        <w:tc>
          <w:tcPr>
            <w:tcW w:w="1151" w:type="pct"/>
            <w:vAlign w:val="center"/>
          </w:tcPr>
          <w:p w14:paraId="2A4AC825">
            <w:pPr>
              <w:keepNext/>
              <w:spacing w:line="360" w:lineRule="auto"/>
              <w:jc w:val="center"/>
              <w:rPr>
                <w:rFonts w:cs="宋体"/>
                <w:color w:val="auto"/>
                <w:sz w:val="24"/>
                <w:szCs w:val="24"/>
                <w:highlight w:val="none"/>
              </w:rPr>
            </w:pPr>
          </w:p>
        </w:tc>
      </w:tr>
      <w:tr w14:paraId="13C98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76666B1B">
            <w:pPr>
              <w:spacing w:line="360" w:lineRule="auto"/>
              <w:jc w:val="center"/>
              <w:rPr>
                <w:rFonts w:cs="宋体"/>
                <w:color w:val="auto"/>
                <w:sz w:val="24"/>
                <w:szCs w:val="24"/>
                <w:highlight w:val="none"/>
              </w:rPr>
            </w:pPr>
          </w:p>
        </w:tc>
        <w:tc>
          <w:tcPr>
            <w:tcW w:w="627" w:type="pct"/>
            <w:vAlign w:val="center"/>
          </w:tcPr>
          <w:p w14:paraId="5C3C7C2B">
            <w:pPr>
              <w:keepNext/>
              <w:spacing w:line="360" w:lineRule="auto"/>
              <w:jc w:val="center"/>
              <w:rPr>
                <w:rFonts w:cs="宋体"/>
                <w:color w:val="auto"/>
                <w:sz w:val="24"/>
                <w:szCs w:val="24"/>
                <w:highlight w:val="none"/>
              </w:rPr>
            </w:pPr>
          </w:p>
        </w:tc>
        <w:tc>
          <w:tcPr>
            <w:tcW w:w="502" w:type="pct"/>
            <w:vAlign w:val="center"/>
          </w:tcPr>
          <w:p w14:paraId="48206DFC">
            <w:pPr>
              <w:keepNext/>
              <w:spacing w:line="360" w:lineRule="auto"/>
              <w:jc w:val="center"/>
              <w:rPr>
                <w:rFonts w:cs="宋体"/>
                <w:color w:val="auto"/>
                <w:sz w:val="24"/>
                <w:szCs w:val="24"/>
                <w:highlight w:val="none"/>
              </w:rPr>
            </w:pPr>
          </w:p>
        </w:tc>
        <w:tc>
          <w:tcPr>
            <w:tcW w:w="502" w:type="pct"/>
            <w:vAlign w:val="center"/>
          </w:tcPr>
          <w:p w14:paraId="1980E730">
            <w:pPr>
              <w:keepNext/>
              <w:spacing w:line="360" w:lineRule="auto"/>
              <w:jc w:val="center"/>
              <w:rPr>
                <w:rFonts w:cs="宋体"/>
                <w:color w:val="auto"/>
                <w:sz w:val="24"/>
                <w:szCs w:val="24"/>
                <w:highlight w:val="none"/>
              </w:rPr>
            </w:pPr>
          </w:p>
        </w:tc>
        <w:tc>
          <w:tcPr>
            <w:tcW w:w="1281" w:type="pct"/>
            <w:vAlign w:val="center"/>
          </w:tcPr>
          <w:p w14:paraId="05905BE1">
            <w:pPr>
              <w:keepNext/>
              <w:spacing w:line="360" w:lineRule="auto"/>
              <w:jc w:val="center"/>
              <w:rPr>
                <w:rFonts w:cs="宋体"/>
                <w:color w:val="auto"/>
                <w:sz w:val="24"/>
                <w:szCs w:val="24"/>
                <w:highlight w:val="none"/>
              </w:rPr>
            </w:pPr>
          </w:p>
        </w:tc>
        <w:tc>
          <w:tcPr>
            <w:tcW w:w="1151" w:type="pct"/>
            <w:vAlign w:val="center"/>
          </w:tcPr>
          <w:p w14:paraId="2C766076">
            <w:pPr>
              <w:keepNext/>
              <w:spacing w:line="360" w:lineRule="auto"/>
              <w:jc w:val="center"/>
              <w:rPr>
                <w:rFonts w:cs="宋体"/>
                <w:color w:val="auto"/>
                <w:sz w:val="24"/>
                <w:szCs w:val="24"/>
                <w:highlight w:val="none"/>
              </w:rPr>
            </w:pPr>
          </w:p>
        </w:tc>
      </w:tr>
      <w:tr w14:paraId="74A2E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2CC47B79">
            <w:pPr>
              <w:spacing w:line="360" w:lineRule="auto"/>
              <w:jc w:val="center"/>
              <w:rPr>
                <w:rFonts w:cs="宋体"/>
                <w:color w:val="auto"/>
                <w:sz w:val="24"/>
                <w:szCs w:val="24"/>
                <w:highlight w:val="none"/>
              </w:rPr>
            </w:pPr>
          </w:p>
        </w:tc>
        <w:tc>
          <w:tcPr>
            <w:tcW w:w="627" w:type="pct"/>
            <w:vAlign w:val="center"/>
          </w:tcPr>
          <w:p w14:paraId="7E27B226">
            <w:pPr>
              <w:keepNext/>
              <w:spacing w:line="360" w:lineRule="auto"/>
              <w:jc w:val="center"/>
              <w:rPr>
                <w:rFonts w:cs="宋体"/>
                <w:color w:val="auto"/>
                <w:sz w:val="24"/>
                <w:szCs w:val="24"/>
                <w:highlight w:val="none"/>
              </w:rPr>
            </w:pPr>
          </w:p>
        </w:tc>
        <w:tc>
          <w:tcPr>
            <w:tcW w:w="502" w:type="pct"/>
            <w:vAlign w:val="center"/>
          </w:tcPr>
          <w:p w14:paraId="5AE23D9F">
            <w:pPr>
              <w:keepNext/>
              <w:spacing w:line="360" w:lineRule="auto"/>
              <w:jc w:val="center"/>
              <w:rPr>
                <w:rFonts w:cs="宋体"/>
                <w:color w:val="auto"/>
                <w:sz w:val="24"/>
                <w:szCs w:val="24"/>
                <w:highlight w:val="none"/>
              </w:rPr>
            </w:pPr>
          </w:p>
        </w:tc>
        <w:tc>
          <w:tcPr>
            <w:tcW w:w="502" w:type="pct"/>
            <w:vAlign w:val="center"/>
          </w:tcPr>
          <w:p w14:paraId="22893554">
            <w:pPr>
              <w:keepNext/>
              <w:spacing w:line="360" w:lineRule="auto"/>
              <w:jc w:val="center"/>
              <w:rPr>
                <w:rFonts w:cs="宋体"/>
                <w:color w:val="auto"/>
                <w:sz w:val="24"/>
                <w:szCs w:val="24"/>
                <w:highlight w:val="none"/>
              </w:rPr>
            </w:pPr>
          </w:p>
        </w:tc>
        <w:tc>
          <w:tcPr>
            <w:tcW w:w="1281" w:type="pct"/>
            <w:vAlign w:val="center"/>
          </w:tcPr>
          <w:p w14:paraId="6CEFC914">
            <w:pPr>
              <w:keepNext/>
              <w:spacing w:line="360" w:lineRule="auto"/>
              <w:jc w:val="center"/>
              <w:rPr>
                <w:rFonts w:cs="宋体"/>
                <w:color w:val="auto"/>
                <w:sz w:val="24"/>
                <w:szCs w:val="24"/>
                <w:highlight w:val="none"/>
              </w:rPr>
            </w:pPr>
          </w:p>
        </w:tc>
        <w:tc>
          <w:tcPr>
            <w:tcW w:w="1151" w:type="pct"/>
            <w:vAlign w:val="center"/>
          </w:tcPr>
          <w:p w14:paraId="5872B840">
            <w:pPr>
              <w:keepNext/>
              <w:spacing w:line="360" w:lineRule="auto"/>
              <w:jc w:val="center"/>
              <w:rPr>
                <w:rFonts w:cs="宋体"/>
                <w:color w:val="auto"/>
                <w:sz w:val="24"/>
                <w:szCs w:val="24"/>
                <w:highlight w:val="none"/>
              </w:rPr>
            </w:pPr>
          </w:p>
        </w:tc>
      </w:tr>
      <w:tr w14:paraId="58BB9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26EE0718">
            <w:pPr>
              <w:keepNext/>
              <w:spacing w:line="360" w:lineRule="auto"/>
              <w:jc w:val="center"/>
              <w:rPr>
                <w:rFonts w:cs="宋体"/>
                <w:color w:val="auto"/>
                <w:sz w:val="24"/>
                <w:szCs w:val="24"/>
                <w:highlight w:val="none"/>
              </w:rPr>
            </w:pPr>
            <w:r>
              <w:rPr>
                <w:rFonts w:hint="eastAsia" w:cs="宋体"/>
                <w:color w:val="auto"/>
                <w:sz w:val="24"/>
                <w:szCs w:val="24"/>
                <w:highlight w:val="none"/>
              </w:rPr>
              <w:t>二、现场人员</w:t>
            </w:r>
          </w:p>
        </w:tc>
        <w:tc>
          <w:tcPr>
            <w:tcW w:w="1151" w:type="pct"/>
            <w:vAlign w:val="center"/>
          </w:tcPr>
          <w:p w14:paraId="75D3E807">
            <w:pPr>
              <w:keepNext/>
              <w:spacing w:line="360" w:lineRule="auto"/>
              <w:jc w:val="center"/>
              <w:rPr>
                <w:rFonts w:cs="宋体"/>
                <w:color w:val="auto"/>
                <w:sz w:val="24"/>
                <w:szCs w:val="24"/>
                <w:highlight w:val="none"/>
              </w:rPr>
            </w:pPr>
          </w:p>
        </w:tc>
      </w:tr>
      <w:tr w14:paraId="38FED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70A0E18">
            <w:pPr>
              <w:spacing w:line="360" w:lineRule="auto"/>
              <w:jc w:val="center"/>
              <w:rPr>
                <w:rFonts w:cs="宋体"/>
                <w:color w:val="auto"/>
                <w:sz w:val="24"/>
                <w:szCs w:val="24"/>
                <w:highlight w:val="none"/>
              </w:rPr>
            </w:pPr>
            <w:r>
              <w:rPr>
                <w:rFonts w:hint="eastAsia" w:cs="宋体"/>
                <w:color w:val="auto"/>
                <w:sz w:val="24"/>
                <w:szCs w:val="24"/>
                <w:highlight w:val="none"/>
              </w:rPr>
              <w:t>项目经理</w:t>
            </w:r>
          </w:p>
        </w:tc>
        <w:tc>
          <w:tcPr>
            <w:tcW w:w="627" w:type="pct"/>
            <w:vAlign w:val="center"/>
          </w:tcPr>
          <w:p w14:paraId="1A355C22">
            <w:pPr>
              <w:keepNext/>
              <w:spacing w:line="360" w:lineRule="auto"/>
              <w:jc w:val="center"/>
              <w:rPr>
                <w:rFonts w:cs="宋体"/>
                <w:color w:val="auto"/>
                <w:sz w:val="24"/>
                <w:szCs w:val="24"/>
                <w:highlight w:val="none"/>
              </w:rPr>
            </w:pPr>
          </w:p>
        </w:tc>
        <w:tc>
          <w:tcPr>
            <w:tcW w:w="502" w:type="pct"/>
            <w:vAlign w:val="center"/>
          </w:tcPr>
          <w:p w14:paraId="4690546B">
            <w:pPr>
              <w:keepNext/>
              <w:spacing w:line="360" w:lineRule="auto"/>
              <w:jc w:val="center"/>
              <w:rPr>
                <w:rFonts w:cs="宋体"/>
                <w:color w:val="auto"/>
                <w:sz w:val="24"/>
                <w:szCs w:val="24"/>
                <w:highlight w:val="none"/>
              </w:rPr>
            </w:pPr>
          </w:p>
        </w:tc>
        <w:tc>
          <w:tcPr>
            <w:tcW w:w="502" w:type="pct"/>
            <w:vAlign w:val="center"/>
          </w:tcPr>
          <w:p w14:paraId="10043249">
            <w:pPr>
              <w:keepNext/>
              <w:spacing w:line="360" w:lineRule="auto"/>
              <w:jc w:val="center"/>
              <w:rPr>
                <w:rFonts w:cs="宋体"/>
                <w:color w:val="auto"/>
                <w:sz w:val="24"/>
                <w:szCs w:val="24"/>
                <w:highlight w:val="none"/>
              </w:rPr>
            </w:pPr>
          </w:p>
        </w:tc>
        <w:tc>
          <w:tcPr>
            <w:tcW w:w="1281" w:type="pct"/>
            <w:vAlign w:val="center"/>
          </w:tcPr>
          <w:p w14:paraId="0F7CEBC5">
            <w:pPr>
              <w:keepNext/>
              <w:spacing w:line="360" w:lineRule="auto"/>
              <w:jc w:val="center"/>
              <w:rPr>
                <w:rFonts w:cs="宋体"/>
                <w:color w:val="auto"/>
                <w:sz w:val="24"/>
                <w:szCs w:val="24"/>
                <w:highlight w:val="none"/>
              </w:rPr>
            </w:pPr>
          </w:p>
        </w:tc>
        <w:tc>
          <w:tcPr>
            <w:tcW w:w="1151" w:type="pct"/>
            <w:vAlign w:val="center"/>
          </w:tcPr>
          <w:p w14:paraId="76DB05A9">
            <w:pPr>
              <w:keepNext/>
              <w:spacing w:line="360" w:lineRule="auto"/>
              <w:jc w:val="center"/>
              <w:rPr>
                <w:rFonts w:cs="宋体"/>
                <w:color w:val="auto"/>
                <w:sz w:val="24"/>
                <w:szCs w:val="24"/>
                <w:highlight w:val="none"/>
              </w:rPr>
            </w:pPr>
          </w:p>
        </w:tc>
      </w:tr>
      <w:tr w14:paraId="27B13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B7A1085">
            <w:pPr>
              <w:spacing w:line="360" w:lineRule="auto"/>
              <w:jc w:val="center"/>
              <w:rPr>
                <w:rFonts w:cs="宋体"/>
                <w:color w:val="auto"/>
                <w:sz w:val="24"/>
                <w:szCs w:val="24"/>
                <w:highlight w:val="none"/>
              </w:rPr>
            </w:pPr>
            <w:r>
              <w:rPr>
                <w:rFonts w:hint="eastAsia" w:cs="宋体"/>
                <w:color w:val="auto"/>
                <w:sz w:val="24"/>
                <w:szCs w:val="24"/>
                <w:highlight w:val="none"/>
              </w:rPr>
              <w:t>项目副经理</w:t>
            </w:r>
          </w:p>
        </w:tc>
        <w:tc>
          <w:tcPr>
            <w:tcW w:w="627" w:type="pct"/>
            <w:vAlign w:val="center"/>
          </w:tcPr>
          <w:p w14:paraId="761AE453">
            <w:pPr>
              <w:keepNext/>
              <w:spacing w:line="360" w:lineRule="auto"/>
              <w:jc w:val="center"/>
              <w:rPr>
                <w:rFonts w:cs="宋体"/>
                <w:color w:val="auto"/>
                <w:sz w:val="24"/>
                <w:szCs w:val="24"/>
                <w:highlight w:val="none"/>
              </w:rPr>
            </w:pPr>
          </w:p>
        </w:tc>
        <w:tc>
          <w:tcPr>
            <w:tcW w:w="502" w:type="pct"/>
            <w:vAlign w:val="center"/>
          </w:tcPr>
          <w:p w14:paraId="771269FC">
            <w:pPr>
              <w:keepNext/>
              <w:spacing w:line="360" w:lineRule="auto"/>
              <w:jc w:val="center"/>
              <w:rPr>
                <w:rFonts w:cs="宋体"/>
                <w:color w:val="auto"/>
                <w:sz w:val="24"/>
                <w:szCs w:val="24"/>
                <w:highlight w:val="none"/>
              </w:rPr>
            </w:pPr>
          </w:p>
        </w:tc>
        <w:tc>
          <w:tcPr>
            <w:tcW w:w="502" w:type="pct"/>
            <w:vAlign w:val="center"/>
          </w:tcPr>
          <w:p w14:paraId="39057797">
            <w:pPr>
              <w:keepNext/>
              <w:spacing w:line="360" w:lineRule="auto"/>
              <w:jc w:val="center"/>
              <w:rPr>
                <w:rFonts w:cs="宋体"/>
                <w:color w:val="auto"/>
                <w:sz w:val="24"/>
                <w:szCs w:val="24"/>
                <w:highlight w:val="none"/>
              </w:rPr>
            </w:pPr>
          </w:p>
        </w:tc>
        <w:tc>
          <w:tcPr>
            <w:tcW w:w="1281" w:type="pct"/>
            <w:vAlign w:val="center"/>
          </w:tcPr>
          <w:p w14:paraId="3C5E97CF">
            <w:pPr>
              <w:keepNext/>
              <w:spacing w:line="360" w:lineRule="auto"/>
              <w:jc w:val="center"/>
              <w:rPr>
                <w:rFonts w:cs="宋体"/>
                <w:color w:val="auto"/>
                <w:sz w:val="24"/>
                <w:szCs w:val="24"/>
                <w:highlight w:val="none"/>
              </w:rPr>
            </w:pPr>
          </w:p>
        </w:tc>
        <w:tc>
          <w:tcPr>
            <w:tcW w:w="1151" w:type="pct"/>
            <w:vAlign w:val="center"/>
          </w:tcPr>
          <w:p w14:paraId="439C7213">
            <w:pPr>
              <w:keepNext/>
              <w:spacing w:line="360" w:lineRule="auto"/>
              <w:jc w:val="center"/>
              <w:rPr>
                <w:rFonts w:cs="宋体"/>
                <w:color w:val="auto"/>
                <w:sz w:val="24"/>
                <w:szCs w:val="24"/>
                <w:highlight w:val="none"/>
              </w:rPr>
            </w:pPr>
          </w:p>
        </w:tc>
      </w:tr>
      <w:tr w14:paraId="01313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0B656F0">
            <w:pPr>
              <w:spacing w:line="360" w:lineRule="auto"/>
              <w:jc w:val="center"/>
              <w:rPr>
                <w:rFonts w:cs="宋体"/>
                <w:color w:val="auto"/>
                <w:sz w:val="24"/>
                <w:szCs w:val="24"/>
                <w:highlight w:val="none"/>
              </w:rPr>
            </w:pPr>
            <w:r>
              <w:rPr>
                <w:rFonts w:hint="eastAsia" w:cs="宋体"/>
                <w:color w:val="auto"/>
                <w:sz w:val="24"/>
                <w:szCs w:val="24"/>
                <w:highlight w:val="none"/>
              </w:rPr>
              <w:t>项目技术负责人</w:t>
            </w:r>
          </w:p>
        </w:tc>
        <w:tc>
          <w:tcPr>
            <w:tcW w:w="627" w:type="pct"/>
            <w:vAlign w:val="center"/>
          </w:tcPr>
          <w:p w14:paraId="28545C5F">
            <w:pPr>
              <w:keepNext/>
              <w:spacing w:line="360" w:lineRule="auto"/>
              <w:jc w:val="center"/>
              <w:rPr>
                <w:rFonts w:cs="宋体"/>
                <w:color w:val="auto"/>
                <w:sz w:val="24"/>
                <w:szCs w:val="24"/>
                <w:highlight w:val="none"/>
              </w:rPr>
            </w:pPr>
          </w:p>
        </w:tc>
        <w:tc>
          <w:tcPr>
            <w:tcW w:w="502" w:type="pct"/>
            <w:vAlign w:val="center"/>
          </w:tcPr>
          <w:p w14:paraId="70690BE5">
            <w:pPr>
              <w:keepNext/>
              <w:spacing w:line="360" w:lineRule="auto"/>
              <w:jc w:val="center"/>
              <w:rPr>
                <w:rFonts w:cs="宋体"/>
                <w:color w:val="auto"/>
                <w:sz w:val="24"/>
                <w:szCs w:val="24"/>
                <w:highlight w:val="none"/>
              </w:rPr>
            </w:pPr>
          </w:p>
        </w:tc>
        <w:tc>
          <w:tcPr>
            <w:tcW w:w="502" w:type="pct"/>
            <w:vAlign w:val="center"/>
          </w:tcPr>
          <w:p w14:paraId="05BE59B8">
            <w:pPr>
              <w:keepNext/>
              <w:spacing w:line="360" w:lineRule="auto"/>
              <w:jc w:val="center"/>
              <w:rPr>
                <w:rFonts w:cs="宋体"/>
                <w:color w:val="auto"/>
                <w:sz w:val="24"/>
                <w:szCs w:val="24"/>
                <w:highlight w:val="none"/>
              </w:rPr>
            </w:pPr>
          </w:p>
        </w:tc>
        <w:tc>
          <w:tcPr>
            <w:tcW w:w="1281" w:type="pct"/>
            <w:vAlign w:val="center"/>
          </w:tcPr>
          <w:p w14:paraId="19A48ACE">
            <w:pPr>
              <w:keepNext/>
              <w:spacing w:line="360" w:lineRule="auto"/>
              <w:jc w:val="center"/>
              <w:rPr>
                <w:rFonts w:cs="宋体"/>
                <w:color w:val="auto"/>
                <w:sz w:val="24"/>
                <w:szCs w:val="24"/>
                <w:highlight w:val="none"/>
              </w:rPr>
            </w:pPr>
          </w:p>
        </w:tc>
        <w:tc>
          <w:tcPr>
            <w:tcW w:w="1151" w:type="pct"/>
            <w:vAlign w:val="center"/>
          </w:tcPr>
          <w:p w14:paraId="5E781FCB">
            <w:pPr>
              <w:keepNext/>
              <w:spacing w:line="360" w:lineRule="auto"/>
              <w:jc w:val="center"/>
              <w:rPr>
                <w:rFonts w:cs="宋体"/>
                <w:color w:val="auto"/>
                <w:sz w:val="24"/>
                <w:szCs w:val="24"/>
                <w:highlight w:val="none"/>
              </w:rPr>
            </w:pPr>
          </w:p>
        </w:tc>
      </w:tr>
      <w:tr w14:paraId="7E667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91EB303">
            <w:pPr>
              <w:spacing w:line="360" w:lineRule="auto"/>
              <w:jc w:val="center"/>
              <w:rPr>
                <w:rFonts w:cs="宋体"/>
                <w:color w:val="auto"/>
                <w:sz w:val="24"/>
                <w:szCs w:val="24"/>
                <w:highlight w:val="none"/>
              </w:rPr>
            </w:pPr>
            <w:r>
              <w:rPr>
                <w:rFonts w:hint="eastAsia" w:cs="宋体"/>
                <w:color w:val="auto"/>
                <w:sz w:val="24"/>
                <w:szCs w:val="24"/>
                <w:highlight w:val="none"/>
              </w:rPr>
              <w:t>施工员</w:t>
            </w:r>
          </w:p>
        </w:tc>
        <w:tc>
          <w:tcPr>
            <w:tcW w:w="627" w:type="pct"/>
            <w:vAlign w:val="center"/>
          </w:tcPr>
          <w:p w14:paraId="2181C9EA">
            <w:pPr>
              <w:keepNext/>
              <w:spacing w:line="360" w:lineRule="auto"/>
              <w:jc w:val="center"/>
              <w:rPr>
                <w:rFonts w:cs="宋体"/>
                <w:color w:val="auto"/>
                <w:sz w:val="24"/>
                <w:szCs w:val="24"/>
                <w:highlight w:val="none"/>
              </w:rPr>
            </w:pPr>
          </w:p>
        </w:tc>
        <w:tc>
          <w:tcPr>
            <w:tcW w:w="502" w:type="pct"/>
            <w:vAlign w:val="center"/>
          </w:tcPr>
          <w:p w14:paraId="0A425D61">
            <w:pPr>
              <w:keepNext/>
              <w:spacing w:line="360" w:lineRule="auto"/>
              <w:jc w:val="center"/>
              <w:rPr>
                <w:rFonts w:cs="宋体"/>
                <w:color w:val="auto"/>
                <w:sz w:val="24"/>
                <w:szCs w:val="24"/>
                <w:highlight w:val="none"/>
              </w:rPr>
            </w:pPr>
          </w:p>
        </w:tc>
        <w:tc>
          <w:tcPr>
            <w:tcW w:w="502" w:type="pct"/>
            <w:vAlign w:val="center"/>
          </w:tcPr>
          <w:p w14:paraId="4853D384">
            <w:pPr>
              <w:keepNext/>
              <w:spacing w:line="360" w:lineRule="auto"/>
              <w:jc w:val="center"/>
              <w:rPr>
                <w:rFonts w:cs="宋体"/>
                <w:color w:val="auto"/>
                <w:sz w:val="24"/>
                <w:szCs w:val="24"/>
                <w:highlight w:val="none"/>
              </w:rPr>
            </w:pPr>
          </w:p>
        </w:tc>
        <w:tc>
          <w:tcPr>
            <w:tcW w:w="1281" w:type="pct"/>
            <w:vAlign w:val="center"/>
          </w:tcPr>
          <w:p w14:paraId="790F89BD">
            <w:pPr>
              <w:keepNext/>
              <w:spacing w:line="360" w:lineRule="auto"/>
              <w:jc w:val="center"/>
              <w:rPr>
                <w:rFonts w:cs="宋体"/>
                <w:color w:val="auto"/>
                <w:sz w:val="24"/>
                <w:szCs w:val="24"/>
                <w:highlight w:val="none"/>
              </w:rPr>
            </w:pPr>
          </w:p>
        </w:tc>
        <w:tc>
          <w:tcPr>
            <w:tcW w:w="1151" w:type="pct"/>
            <w:vAlign w:val="center"/>
          </w:tcPr>
          <w:p w14:paraId="132AFEEA">
            <w:pPr>
              <w:keepNext/>
              <w:spacing w:line="360" w:lineRule="auto"/>
              <w:jc w:val="center"/>
              <w:rPr>
                <w:rFonts w:cs="宋体"/>
                <w:color w:val="auto"/>
                <w:sz w:val="24"/>
                <w:szCs w:val="24"/>
                <w:highlight w:val="none"/>
              </w:rPr>
            </w:pPr>
          </w:p>
        </w:tc>
      </w:tr>
      <w:tr w14:paraId="5A1D1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1AA57F4">
            <w:pPr>
              <w:spacing w:line="360" w:lineRule="auto"/>
              <w:jc w:val="center"/>
              <w:rPr>
                <w:rFonts w:cs="宋体"/>
                <w:color w:val="auto"/>
                <w:sz w:val="24"/>
                <w:szCs w:val="24"/>
                <w:highlight w:val="none"/>
              </w:rPr>
            </w:pPr>
            <w:r>
              <w:rPr>
                <w:rFonts w:hint="eastAsia" w:cs="宋体"/>
                <w:color w:val="auto"/>
                <w:sz w:val="24"/>
                <w:szCs w:val="24"/>
                <w:highlight w:val="none"/>
              </w:rPr>
              <w:t>质检员（质量员）</w:t>
            </w:r>
          </w:p>
        </w:tc>
        <w:tc>
          <w:tcPr>
            <w:tcW w:w="627" w:type="pct"/>
            <w:vAlign w:val="center"/>
          </w:tcPr>
          <w:p w14:paraId="065710DC">
            <w:pPr>
              <w:keepNext/>
              <w:spacing w:line="360" w:lineRule="auto"/>
              <w:jc w:val="center"/>
              <w:rPr>
                <w:rFonts w:cs="宋体"/>
                <w:color w:val="auto"/>
                <w:sz w:val="24"/>
                <w:szCs w:val="24"/>
                <w:highlight w:val="none"/>
              </w:rPr>
            </w:pPr>
          </w:p>
        </w:tc>
        <w:tc>
          <w:tcPr>
            <w:tcW w:w="502" w:type="pct"/>
            <w:vAlign w:val="center"/>
          </w:tcPr>
          <w:p w14:paraId="778D49F6">
            <w:pPr>
              <w:keepNext/>
              <w:spacing w:line="360" w:lineRule="auto"/>
              <w:jc w:val="center"/>
              <w:rPr>
                <w:rFonts w:cs="宋体"/>
                <w:color w:val="auto"/>
                <w:sz w:val="24"/>
                <w:szCs w:val="24"/>
                <w:highlight w:val="none"/>
              </w:rPr>
            </w:pPr>
          </w:p>
        </w:tc>
        <w:tc>
          <w:tcPr>
            <w:tcW w:w="502" w:type="pct"/>
            <w:vAlign w:val="center"/>
          </w:tcPr>
          <w:p w14:paraId="15C523B5">
            <w:pPr>
              <w:keepNext/>
              <w:spacing w:line="360" w:lineRule="auto"/>
              <w:jc w:val="center"/>
              <w:rPr>
                <w:rFonts w:cs="宋体"/>
                <w:color w:val="auto"/>
                <w:sz w:val="24"/>
                <w:szCs w:val="24"/>
                <w:highlight w:val="none"/>
              </w:rPr>
            </w:pPr>
          </w:p>
        </w:tc>
        <w:tc>
          <w:tcPr>
            <w:tcW w:w="1281" w:type="pct"/>
            <w:vAlign w:val="center"/>
          </w:tcPr>
          <w:p w14:paraId="30205195">
            <w:pPr>
              <w:keepNext/>
              <w:spacing w:line="360" w:lineRule="auto"/>
              <w:jc w:val="center"/>
              <w:rPr>
                <w:rFonts w:cs="宋体"/>
                <w:color w:val="auto"/>
                <w:sz w:val="24"/>
                <w:szCs w:val="24"/>
                <w:highlight w:val="none"/>
              </w:rPr>
            </w:pPr>
          </w:p>
        </w:tc>
        <w:tc>
          <w:tcPr>
            <w:tcW w:w="1151" w:type="pct"/>
            <w:vAlign w:val="center"/>
          </w:tcPr>
          <w:p w14:paraId="42634925">
            <w:pPr>
              <w:keepNext/>
              <w:spacing w:line="360" w:lineRule="auto"/>
              <w:jc w:val="center"/>
              <w:rPr>
                <w:rFonts w:cs="宋体"/>
                <w:color w:val="auto"/>
                <w:sz w:val="24"/>
                <w:szCs w:val="24"/>
                <w:highlight w:val="none"/>
              </w:rPr>
            </w:pPr>
          </w:p>
        </w:tc>
      </w:tr>
      <w:tr w14:paraId="69697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FB0C959">
            <w:pPr>
              <w:spacing w:line="360" w:lineRule="auto"/>
              <w:jc w:val="center"/>
              <w:rPr>
                <w:rFonts w:cs="宋体"/>
                <w:color w:val="auto"/>
                <w:sz w:val="24"/>
                <w:szCs w:val="24"/>
                <w:highlight w:val="none"/>
              </w:rPr>
            </w:pPr>
            <w:r>
              <w:rPr>
                <w:rFonts w:hint="eastAsia" w:cs="宋体"/>
                <w:color w:val="auto"/>
                <w:sz w:val="24"/>
                <w:szCs w:val="24"/>
                <w:highlight w:val="none"/>
              </w:rPr>
              <w:t>安全员</w:t>
            </w:r>
          </w:p>
        </w:tc>
        <w:tc>
          <w:tcPr>
            <w:tcW w:w="627" w:type="pct"/>
            <w:vAlign w:val="center"/>
          </w:tcPr>
          <w:p w14:paraId="1F61CAB2">
            <w:pPr>
              <w:keepNext/>
              <w:spacing w:line="360" w:lineRule="auto"/>
              <w:jc w:val="center"/>
              <w:rPr>
                <w:rFonts w:cs="宋体"/>
                <w:color w:val="auto"/>
                <w:sz w:val="24"/>
                <w:szCs w:val="24"/>
                <w:highlight w:val="none"/>
              </w:rPr>
            </w:pPr>
          </w:p>
        </w:tc>
        <w:tc>
          <w:tcPr>
            <w:tcW w:w="502" w:type="pct"/>
            <w:vAlign w:val="center"/>
          </w:tcPr>
          <w:p w14:paraId="5C083611">
            <w:pPr>
              <w:keepNext/>
              <w:spacing w:line="360" w:lineRule="auto"/>
              <w:jc w:val="center"/>
              <w:rPr>
                <w:rFonts w:cs="宋体"/>
                <w:color w:val="auto"/>
                <w:sz w:val="24"/>
                <w:szCs w:val="24"/>
                <w:highlight w:val="none"/>
              </w:rPr>
            </w:pPr>
          </w:p>
        </w:tc>
        <w:tc>
          <w:tcPr>
            <w:tcW w:w="502" w:type="pct"/>
            <w:vAlign w:val="center"/>
          </w:tcPr>
          <w:p w14:paraId="01C1FCC7">
            <w:pPr>
              <w:keepNext/>
              <w:spacing w:line="360" w:lineRule="auto"/>
              <w:jc w:val="center"/>
              <w:rPr>
                <w:rFonts w:cs="宋体"/>
                <w:color w:val="auto"/>
                <w:sz w:val="24"/>
                <w:szCs w:val="24"/>
                <w:highlight w:val="none"/>
              </w:rPr>
            </w:pPr>
          </w:p>
        </w:tc>
        <w:tc>
          <w:tcPr>
            <w:tcW w:w="1281" w:type="pct"/>
            <w:vAlign w:val="center"/>
          </w:tcPr>
          <w:p w14:paraId="676FB5D2">
            <w:pPr>
              <w:keepNext/>
              <w:spacing w:line="360" w:lineRule="auto"/>
              <w:jc w:val="center"/>
              <w:rPr>
                <w:rFonts w:cs="宋体"/>
                <w:color w:val="auto"/>
                <w:sz w:val="24"/>
                <w:szCs w:val="24"/>
                <w:highlight w:val="none"/>
              </w:rPr>
            </w:pPr>
          </w:p>
        </w:tc>
        <w:tc>
          <w:tcPr>
            <w:tcW w:w="1151" w:type="pct"/>
            <w:vAlign w:val="center"/>
          </w:tcPr>
          <w:p w14:paraId="0953CDF9">
            <w:pPr>
              <w:keepNext/>
              <w:spacing w:line="360" w:lineRule="auto"/>
              <w:jc w:val="center"/>
              <w:rPr>
                <w:rFonts w:cs="宋体"/>
                <w:color w:val="auto"/>
                <w:sz w:val="24"/>
                <w:szCs w:val="24"/>
                <w:highlight w:val="none"/>
              </w:rPr>
            </w:pPr>
          </w:p>
        </w:tc>
      </w:tr>
      <w:tr w14:paraId="7AE9D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734D4D8">
            <w:pPr>
              <w:spacing w:line="360" w:lineRule="auto"/>
              <w:jc w:val="center"/>
              <w:rPr>
                <w:rFonts w:cs="宋体"/>
                <w:color w:val="auto"/>
                <w:sz w:val="24"/>
                <w:szCs w:val="24"/>
                <w:highlight w:val="none"/>
              </w:rPr>
            </w:pPr>
            <w:r>
              <w:rPr>
                <w:rFonts w:hint="eastAsia" w:cs="宋体"/>
                <w:color w:val="auto"/>
                <w:sz w:val="24"/>
                <w:szCs w:val="24"/>
                <w:highlight w:val="none"/>
              </w:rPr>
              <w:t>资料员</w:t>
            </w:r>
          </w:p>
        </w:tc>
        <w:tc>
          <w:tcPr>
            <w:tcW w:w="627" w:type="pct"/>
            <w:vAlign w:val="center"/>
          </w:tcPr>
          <w:p w14:paraId="14E94CFB">
            <w:pPr>
              <w:keepNext/>
              <w:spacing w:line="360" w:lineRule="auto"/>
              <w:jc w:val="center"/>
              <w:rPr>
                <w:rFonts w:cs="宋体"/>
                <w:color w:val="auto"/>
                <w:sz w:val="24"/>
                <w:szCs w:val="24"/>
                <w:highlight w:val="none"/>
              </w:rPr>
            </w:pPr>
          </w:p>
        </w:tc>
        <w:tc>
          <w:tcPr>
            <w:tcW w:w="502" w:type="pct"/>
            <w:vAlign w:val="center"/>
          </w:tcPr>
          <w:p w14:paraId="4C3B7794">
            <w:pPr>
              <w:keepNext/>
              <w:spacing w:line="360" w:lineRule="auto"/>
              <w:jc w:val="center"/>
              <w:rPr>
                <w:rFonts w:cs="宋体"/>
                <w:color w:val="auto"/>
                <w:sz w:val="24"/>
                <w:szCs w:val="24"/>
                <w:highlight w:val="none"/>
              </w:rPr>
            </w:pPr>
          </w:p>
        </w:tc>
        <w:tc>
          <w:tcPr>
            <w:tcW w:w="502" w:type="pct"/>
            <w:vAlign w:val="center"/>
          </w:tcPr>
          <w:p w14:paraId="395C44C0">
            <w:pPr>
              <w:keepNext/>
              <w:spacing w:line="360" w:lineRule="auto"/>
              <w:jc w:val="center"/>
              <w:rPr>
                <w:rFonts w:cs="宋体"/>
                <w:color w:val="auto"/>
                <w:sz w:val="24"/>
                <w:szCs w:val="24"/>
                <w:highlight w:val="none"/>
              </w:rPr>
            </w:pPr>
          </w:p>
        </w:tc>
        <w:tc>
          <w:tcPr>
            <w:tcW w:w="1281" w:type="pct"/>
            <w:vAlign w:val="center"/>
          </w:tcPr>
          <w:p w14:paraId="20238AFF">
            <w:pPr>
              <w:keepNext/>
              <w:spacing w:line="360" w:lineRule="auto"/>
              <w:jc w:val="center"/>
              <w:rPr>
                <w:rFonts w:cs="宋体"/>
                <w:color w:val="auto"/>
                <w:sz w:val="24"/>
                <w:szCs w:val="24"/>
                <w:highlight w:val="none"/>
              </w:rPr>
            </w:pPr>
          </w:p>
        </w:tc>
        <w:tc>
          <w:tcPr>
            <w:tcW w:w="1151" w:type="pct"/>
            <w:vAlign w:val="center"/>
          </w:tcPr>
          <w:p w14:paraId="6A53C7B9">
            <w:pPr>
              <w:keepNext/>
              <w:spacing w:line="360" w:lineRule="auto"/>
              <w:jc w:val="center"/>
              <w:rPr>
                <w:rFonts w:cs="宋体"/>
                <w:color w:val="auto"/>
                <w:sz w:val="24"/>
                <w:szCs w:val="24"/>
                <w:highlight w:val="none"/>
              </w:rPr>
            </w:pPr>
          </w:p>
        </w:tc>
      </w:tr>
      <w:tr w14:paraId="3CD29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134813A2">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7AB35C8E">
            <w:pPr>
              <w:keepNext/>
              <w:spacing w:line="360" w:lineRule="auto"/>
              <w:jc w:val="center"/>
              <w:rPr>
                <w:rFonts w:cs="宋体"/>
                <w:color w:val="auto"/>
                <w:sz w:val="24"/>
                <w:szCs w:val="24"/>
                <w:highlight w:val="none"/>
              </w:rPr>
            </w:pPr>
          </w:p>
        </w:tc>
        <w:tc>
          <w:tcPr>
            <w:tcW w:w="502" w:type="pct"/>
            <w:vAlign w:val="center"/>
          </w:tcPr>
          <w:p w14:paraId="025C109E">
            <w:pPr>
              <w:keepNext/>
              <w:spacing w:line="360" w:lineRule="auto"/>
              <w:jc w:val="center"/>
              <w:rPr>
                <w:rFonts w:cs="宋体"/>
                <w:color w:val="auto"/>
                <w:sz w:val="24"/>
                <w:szCs w:val="24"/>
                <w:highlight w:val="none"/>
              </w:rPr>
            </w:pPr>
          </w:p>
        </w:tc>
        <w:tc>
          <w:tcPr>
            <w:tcW w:w="502" w:type="pct"/>
            <w:vAlign w:val="center"/>
          </w:tcPr>
          <w:p w14:paraId="6761F958">
            <w:pPr>
              <w:keepNext/>
              <w:spacing w:line="360" w:lineRule="auto"/>
              <w:jc w:val="center"/>
              <w:rPr>
                <w:rFonts w:cs="宋体"/>
                <w:color w:val="auto"/>
                <w:sz w:val="24"/>
                <w:szCs w:val="24"/>
                <w:highlight w:val="none"/>
              </w:rPr>
            </w:pPr>
          </w:p>
        </w:tc>
        <w:tc>
          <w:tcPr>
            <w:tcW w:w="1281" w:type="pct"/>
            <w:vAlign w:val="center"/>
          </w:tcPr>
          <w:p w14:paraId="0656E569">
            <w:pPr>
              <w:keepNext/>
              <w:spacing w:line="360" w:lineRule="auto"/>
              <w:jc w:val="center"/>
              <w:rPr>
                <w:rFonts w:cs="宋体"/>
                <w:color w:val="auto"/>
                <w:sz w:val="24"/>
                <w:szCs w:val="24"/>
                <w:highlight w:val="none"/>
              </w:rPr>
            </w:pPr>
          </w:p>
        </w:tc>
        <w:tc>
          <w:tcPr>
            <w:tcW w:w="1151" w:type="pct"/>
            <w:vAlign w:val="center"/>
          </w:tcPr>
          <w:p w14:paraId="67A71EA1">
            <w:pPr>
              <w:keepNext/>
              <w:spacing w:line="360" w:lineRule="auto"/>
              <w:jc w:val="center"/>
              <w:rPr>
                <w:rFonts w:cs="宋体"/>
                <w:color w:val="auto"/>
                <w:sz w:val="24"/>
                <w:szCs w:val="24"/>
                <w:highlight w:val="none"/>
              </w:rPr>
            </w:pPr>
          </w:p>
        </w:tc>
      </w:tr>
      <w:tr w14:paraId="28AE5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4D299B8">
            <w:pPr>
              <w:keepNext/>
              <w:spacing w:line="360" w:lineRule="auto"/>
              <w:jc w:val="center"/>
              <w:rPr>
                <w:rFonts w:cs="宋体"/>
                <w:color w:val="auto"/>
                <w:sz w:val="24"/>
                <w:szCs w:val="24"/>
                <w:highlight w:val="none"/>
              </w:rPr>
            </w:pPr>
          </w:p>
        </w:tc>
        <w:tc>
          <w:tcPr>
            <w:tcW w:w="627" w:type="pct"/>
            <w:tcBorders>
              <w:bottom w:val="nil"/>
            </w:tcBorders>
            <w:vAlign w:val="center"/>
          </w:tcPr>
          <w:p w14:paraId="228349C7">
            <w:pPr>
              <w:keepNext/>
              <w:spacing w:line="360" w:lineRule="auto"/>
              <w:jc w:val="center"/>
              <w:rPr>
                <w:rFonts w:cs="宋体"/>
                <w:color w:val="auto"/>
                <w:sz w:val="24"/>
                <w:szCs w:val="24"/>
                <w:highlight w:val="none"/>
              </w:rPr>
            </w:pPr>
          </w:p>
        </w:tc>
        <w:tc>
          <w:tcPr>
            <w:tcW w:w="502" w:type="pct"/>
            <w:tcBorders>
              <w:bottom w:val="nil"/>
            </w:tcBorders>
            <w:vAlign w:val="center"/>
          </w:tcPr>
          <w:p w14:paraId="6A537BDE">
            <w:pPr>
              <w:keepNext/>
              <w:spacing w:line="360" w:lineRule="auto"/>
              <w:jc w:val="center"/>
              <w:rPr>
                <w:rFonts w:cs="宋体"/>
                <w:color w:val="auto"/>
                <w:sz w:val="24"/>
                <w:szCs w:val="24"/>
                <w:highlight w:val="none"/>
              </w:rPr>
            </w:pPr>
          </w:p>
        </w:tc>
        <w:tc>
          <w:tcPr>
            <w:tcW w:w="502" w:type="pct"/>
            <w:tcBorders>
              <w:bottom w:val="nil"/>
            </w:tcBorders>
            <w:vAlign w:val="center"/>
          </w:tcPr>
          <w:p w14:paraId="414B45D4">
            <w:pPr>
              <w:keepNext/>
              <w:spacing w:line="360" w:lineRule="auto"/>
              <w:jc w:val="center"/>
              <w:rPr>
                <w:rFonts w:cs="宋体"/>
                <w:color w:val="auto"/>
                <w:sz w:val="24"/>
                <w:szCs w:val="24"/>
                <w:highlight w:val="none"/>
              </w:rPr>
            </w:pPr>
          </w:p>
        </w:tc>
        <w:tc>
          <w:tcPr>
            <w:tcW w:w="1281" w:type="pct"/>
            <w:tcBorders>
              <w:bottom w:val="nil"/>
            </w:tcBorders>
            <w:vAlign w:val="center"/>
          </w:tcPr>
          <w:p w14:paraId="2AFA36C8">
            <w:pPr>
              <w:keepNext/>
              <w:spacing w:line="360" w:lineRule="auto"/>
              <w:jc w:val="center"/>
              <w:rPr>
                <w:rFonts w:cs="宋体"/>
                <w:color w:val="auto"/>
                <w:sz w:val="24"/>
                <w:szCs w:val="24"/>
                <w:highlight w:val="none"/>
              </w:rPr>
            </w:pPr>
          </w:p>
        </w:tc>
        <w:tc>
          <w:tcPr>
            <w:tcW w:w="1151" w:type="pct"/>
            <w:tcBorders>
              <w:bottom w:val="nil"/>
            </w:tcBorders>
            <w:vAlign w:val="center"/>
          </w:tcPr>
          <w:p w14:paraId="77BB84BD">
            <w:pPr>
              <w:keepNext/>
              <w:spacing w:line="360" w:lineRule="auto"/>
              <w:jc w:val="center"/>
              <w:rPr>
                <w:rFonts w:cs="宋体"/>
                <w:color w:val="auto"/>
                <w:sz w:val="24"/>
                <w:szCs w:val="24"/>
                <w:highlight w:val="none"/>
              </w:rPr>
            </w:pPr>
          </w:p>
        </w:tc>
      </w:tr>
      <w:tr w14:paraId="03382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290DE11">
            <w:pPr>
              <w:keepNext/>
              <w:spacing w:line="360" w:lineRule="auto"/>
              <w:jc w:val="center"/>
              <w:rPr>
                <w:rFonts w:cs="宋体"/>
                <w:color w:val="auto"/>
                <w:sz w:val="24"/>
                <w:szCs w:val="24"/>
                <w:highlight w:val="none"/>
              </w:rPr>
            </w:pPr>
          </w:p>
        </w:tc>
        <w:tc>
          <w:tcPr>
            <w:tcW w:w="627" w:type="pct"/>
            <w:vAlign w:val="center"/>
          </w:tcPr>
          <w:p w14:paraId="62801DD6">
            <w:pPr>
              <w:keepNext/>
              <w:spacing w:line="360" w:lineRule="auto"/>
              <w:jc w:val="center"/>
              <w:rPr>
                <w:rFonts w:cs="宋体"/>
                <w:color w:val="auto"/>
                <w:sz w:val="24"/>
                <w:szCs w:val="24"/>
                <w:highlight w:val="none"/>
              </w:rPr>
            </w:pPr>
          </w:p>
        </w:tc>
        <w:tc>
          <w:tcPr>
            <w:tcW w:w="502" w:type="pct"/>
            <w:vAlign w:val="center"/>
          </w:tcPr>
          <w:p w14:paraId="3B567F71">
            <w:pPr>
              <w:keepNext/>
              <w:spacing w:line="360" w:lineRule="auto"/>
              <w:jc w:val="center"/>
              <w:rPr>
                <w:rFonts w:cs="宋体"/>
                <w:color w:val="auto"/>
                <w:sz w:val="24"/>
                <w:szCs w:val="24"/>
                <w:highlight w:val="none"/>
              </w:rPr>
            </w:pPr>
          </w:p>
        </w:tc>
        <w:tc>
          <w:tcPr>
            <w:tcW w:w="502" w:type="pct"/>
            <w:vAlign w:val="center"/>
          </w:tcPr>
          <w:p w14:paraId="7082330D">
            <w:pPr>
              <w:keepNext/>
              <w:spacing w:line="360" w:lineRule="auto"/>
              <w:jc w:val="center"/>
              <w:rPr>
                <w:rFonts w:cs="宋体"/>
                <w:color w:val="auto"/>
                <w:sz w:val="24"/>
                <w:szCs w:val="24"/>
                <w:highlight w:val="none"/>
              </w:rPr>
            </w:pPr>
          </w:p>
        </w:tc>
        <w:tc>
          <w:tcPr>
            <w:tcW w:w="1281" w:type="pct"/>
            <w:vAlign w:val="center"/>
          </w:tcPr>
          <w:p w14:paraId="389A3F40">
            <w:pPr>
              <w:keepNext/>
              <w:spacing w:line="360" w:lineRule="auto"/>
              <w:jc w:val="center"/>
              <w:rPr>
                <w:rFonts w:cs="宋体"/>
                <w:color w:val="auto"/>
                <w:sz w:val="24"/>
                <w:szCs w:val="24"/>
                <w:highlight w:val="none"/>
              </w:rPr>
            </w:pPr>
          </w:p>
        </w:tc>
        <w:tc>
          <w:tcPr>
            <w:tcW w:w="1151" w:type="pct"/>
            <w:vAlign w:val="center"/>
          </w:tcPr>
          <w:p w14:paraId="43FACB71">
            <w:pPr>
              <w:keepNext/>
              <w:spacing w:line="360" w:lineRule="auto"/>
              <w:jc w:val="center"/>
              <w:rPr>
                <w:rFonts w:cs="宋体"/>
                <w:color w:val="auto"/>
                <w:sz w:val="24"/>
                <w:szCs w:val="24"/>
                <w:highlight w:val="none"/>
              </w:rPr>
            </w:pPr>
          </w:p>
        </w:tc>
      </w:tr>
      <w:tr w14:paraId="58BB94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075BB65">
            <w:pPr>
              <w:keepNext/>
              <w:spacing w:line="360" w:lineRule="auto"/>
              <w:jc w:val="center"/>
              <w:rPr>
                <w:rFonts w:cs="宋体"/>
                <w:color w:val="auto"/>
                <w:sz w:val="24"/>
                <w:szCs w:val="24"/>
                <w:highlight w:val="none"/>
              </w:rPr>
            </w:pPr>
          </w:p>
        </w:tc>
        <w:tc>
          <w:tcPr>
            <w:tcW w:w="627" w:type="pct"/>
            <w:vAlign w:val="center"/>
          </w:tcPr>
          <w:p w14:paraId="7733A54F">
            <w:pPr>
              <w:keepNext/>
              <w:spacing w:line="360" w:lineRule="auto"/>
              <w:jc w:val="center"/>
              <w:rPr>
                <w:rFonts w:cs="宋体"/>
                <w:color w:val="auto"/>
                <w:sz w:val="24"/>
                <w:szCs w:val="24"/>
                <w:highlight w:val="none"/>
              </w:rPr>
            </w:pPr>
          </w:p>
        </w:tc>
        <w:tc>
          <w:tcPr>
            <w:tcW w:w="502" w:type="pct"/>
            <w:vAlign w:val="center"/>
          </w:tcPr>
          <w:p w14:paraId="4C541B96">
            <w:pPr>
              <w:keepNext/>
              <w:spacing w:line="360" w:lineRule="auto"/>
              <w:jc w:val="center"/>
              <w:rPr>
                <w:rFonts w:cs="宋体"/>
                <w:color w:val="auto"/>
                <w:sz w:val="24"/>
                <w:szCs w:val="24"/>
                <w:highlight w:val="none"/>
              </w:rPr>
            </w:pPr>
          </w:p>
        </w:tc>
        <w:tc>
          <w:tcPr>
            <w:tcW w:w="502" w:type="pct"/>
            <w:vAlign w:val="center"/>
          </w:tcPr>
          <w:p w14:paraId="38F4C8CD">
            <w:pPr>
              <w:keepNext/>
              <w:spacing w:line="360" w:lineRule="auto"/>
              <w:jc w:val="center"/>
              <w:rPr>
                <w:rFonts w:cs="宋体"/>
                <w:color w:val="auto"/>
                <w:sz w:val="24"/>
                <w:szCs w:val="24"/>
                <w:highlight w:val="none"/>
              </w:rPr>
            </w:pPr>
          </w:p>
        </w:tc>
        <w:tc>
          <w:tcPr>
            <w:tcW w:w="1281" w:type="pct"/>
            <w:vAlign w:val="center"/>
          </w:tcPr>
          <w:p w14:paraId="5A9435B5">
            <w:pPr>
              <w:keepNext/>
              <w:spacing w:line="360" w:lineRule="auto"/>
              <w:jc w:val="center"/>
              <w:rPr>
                <w:rFonts w:cs="宋体"/>
                <w:color w:val="auto"/>
                <w:sz w:val="24"/>
                <w:szCs w:val="24"/>
                <w:highlight w:val="none"/>
              </w:rPr>
            </w:pPr>
          </w:p>
        </w:tc>
        <w:tc>
          <w:tcPr>
            <w:tcW w:w="1151" w:type="pct"/>
            <w:vAlign w:val="center"/>
          </w:tcPr>
          <w:p w14:paraId="23D97DDD">
            <w:pPr>
              <w:keepNext/>
              <w:spacing w:line="360" w:lineRule="auto"/>
              <w:jc w:val="center"/>
              <w:rPr>
                <w:rFonts w:cs="宋体"/>
                <w:color w:val="auto"/>
                <w:sz w:val="24"/>
                <w:szCs w:val="24"/>
                <w:highlight w:val="none"/>
              </w:rPr>
            </w:pPr>
          </w:p>
        </w:tc>
      </w:tr>
      <w:tr w14:paraId="12BD7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9C2FB1C">
            <w:pPr>
              <w:keepNext/>
              <w:spacing w:line="360" w:lineRule="auto"/>
              <w:jc w:val="center"/>
              <w:rPr>
                <w:rFonts w:cs="宋体"/>
                <w:color w:val="auto"/>
                <w:sz w:val="24"/>
                <w:szCs w:val="24"/>
                <w:highlight w:val="none"/>
              </w:rPr>
            </w:pPr>
          </w:p>
        </w:tc>
        <w:tc>
          <w:tcPr>
            <w:tcW w:w="627" w:type="pct"/>
            <w:vAlign w:val="center"/>
          </w:tcPr>
          <w:p w14:paraId="5B9678CB">
            <w:pPr>
              <w:keepNext/>
              <w:spacing w:line="360" w:lineRule="auto"/>
              <w:jc w:val="center"/>
              <w:rPr>
                <w:rFonts w:cs="宋体"/>
                <w:color w:val="auto"/>
                <w:sz w:val="24"/>
                <w:szCs w:val="24"/>
                <w:highlight w:val="none"/>
              </w:rPr>
            </w:pPr>
          </w:p>
        </w:tc>
        <w:tc>
          <w:tcPr>
            <w:tcW w:w="502" w:type="pct"/>
            <w:vAlign w:val="center"/>
          </w:tcPr>
          <w:p w14:paraId="5122B6CF">
            <w:pPr>
              <w:keepNext/>
              <w:spacing w:line="360" w:lineRule="auto"/>
              <w:jc w:val="center"/>
              <w:rPr>
                <w:rFonts w:cs="宋体"/>
                <w:color w:val="auto"/>
                <w:sz w:val="24"/>
                <w:szCs w:val="24"/>
                <w:highlight w:val="none"/>
              </w:rPr>
            </w:pPr>
          </w:p>
        </w:tc>
        <w:tc>
          <w:tcPr>
            <w:tcW w:w="502" w:type="pct"/>
            <w:vAlign w:val="center"/>
          </w:tcPr>
          <w:p w14:paraId="4E2490EA">
            <w:pPr>
              <w:keepNext/>
              <w:spacing w:line="360" w:lineRule="auto"/>
              <w:jc w:val="center"/>
              <w:rPr>
                <w:rFonts w:cs="宋体"/>
                <w:color w:val="auto"/>
                <w:sz w:val="24"/>
                <w:szCs w:val="24"/>
                <w:highlight w:val="none"/>
              </w:rPr>
            </w:pPr>
          </w:p>
        </w:tc>
        <w:tc>
          <w:tcPr>
            <w:tcW w:w="1281" w:type="pct"/>
            <w:vAlign w:val="center"/>
          </w:tcPr>
          <w:p w14:paraId="00CB4D32">
            <w:pPr>
              <w:keepNext/>
              <w:spacing w:line="360" w:lineRule="auto"/>
              <w:jc w:val="center"/>
              <w:rPr>
                <w:rFonts w:cs="宋体"/>
                <w:color w:val="auto"/>
                <w:sz w:val="24"/>
                <w:szCs w:val="24"/>
                <w:highlight w:val="none"/>
              </w:rPr>
            </w:pPr>
          </w:p>
        </w:tc>
        <w:tc>
          <w:tcPr>
            <w:tcW w:w="1151" w:type="pct"/>
            <w:vAlign w:val="center"/>
          </w:tcPr>
          <w:p w14:paraId="37CBA753">
            <w:pPr>
              <w:keepNext/>
              <w:spacing w:line="360" w:lineRule="auto"/>
              <w:jc w:val="center"/>
              <w:rPr>
                <w:rFonts w:cs="宋体"/>
                <w:color w:val="auto"/>
                <w:sz w:val="24"/>
                <w:szCs w:val="24"/>
                <w:highlight w:val="none"/>
              </w:rPr>
            </w:pPr>
          </w:p>
        </w:tc>
      </w:tr>
      <w:tr w14:paraId="57FD0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1055499F">
            <w:pPr>
              <w:keepNext/>
              <w:spacing w:line="360" w:lineRule="auto"/>
              <w:jc w:val="center"/>
              <w:rPr>
                <w:rFonts w:cs="宋体"/>
                <w:color w:val="auto"/>
                <w:sz w:val="24"/>
                <w:szCs w:val="24"/>
                <w:highlight w:val="none"/>
              </w:rPr>
            </w:pPr>
          </w:p>
        </w:tc>
        <w:tc>
          <w:tcPr>
            <w:tcW w:w="627" w:type="pct"/>
            <w:tcBorders>
              <w:bottom w:val="single" w:color="auto" w:sz="12" w:space="0"/>
            </w:tcBorders>
            <w:vAlign w:val="center"/>
          </w:tcPr>
          <w:p w14:paraId="1D180365">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6C823EDC">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717D7426">
            <w:pPr>
              <w:keepNext/>
              <w:spacing w:line="360" w:lineRule="auto"/>
              <w:jc w:val="center"/>
              <w:rPr>
                <w:rFonts w:cs="宋体"/>
                <w:color w:val="auto"/>
                <w:sz w:val="24"/>
                <w:szCs w:val="24"/>
                <w:highlight w:val="none"/>
              </w:rPr>
            </w:pPr>
          </w:p>
        </w:tc>
        <w:tc>
          <w:tcPr>
            <w:tcW w:w="1281" w:type="pct"/>
            <w:tcBorders>
              <w:bottom w:val="single" w:color="auto" w:sz="12" w:space="0"/>
            </w:tcBorders>
            <w:vAlign w:val="center"/>
          </w:tcPr>
          <w:p w14:paraId="28F98DB8">
            <w:pPr>
              <w:keepNext/>
              <w:spacing w:line="360" w:lineRule="auto"/>
              <w:jc w:val="center"/>
              <w:rPr>
                <w:rFonts w:cs="宋体"/>
                <w:color w:val="auto"/>
                <w:sz w:val="24"/>
                <w:szCs w:val="24"/>
                <w:highlight w:val="none"/>
              </w:rPr>
            </w:pPr>
          </w:p>
        </w:tc>
        <w:tc>
          <w:tcPr>
            <w:tcW w:w="1151" w:type="pct"/>
            <w:tcBorders>
              <w:bottom w:val="single" w:color="auto" w:sz="12" w:space="0"/>
            </w:tcBorders>
            <w:vAlign w:val="center"/>
          </w:tcPr>
          <w:p w14:paraId="3B7C19D7">
            <w:pPr>
              <w:keepNext/>
              <w:spacing w:line="360" w:lineRule="auto"/>
              <w:jc w:val="center"/>
              <w:rPr>
                <w:rFonts w:cs="宋体"/>
                <w:color w:val="auto"/>
                <w:sz w:val="24"/>
                <w:szCs w:val="24"/>
                <w:highlight w:val="none"/>
              </w:rPr>
            </w:pPr>
          </w:p>
        </w:tc>
      </w:tr>
    </w:tbl>
    <w:p w14:paraId="0A7681A3">
      <w:pPr>
        <w:spacing w:before="312" w:beforeLines="100" w:after="312" w:afterLines="100"/>
        <w:outlineLvl w:val="9"/>
        <w:rPr>
          <w:rFonts w:hint="eastAsia" w:ascii="Times New Roman" w:eastAsia="黑体"/>
          <w:color w:val="auto"/>
          <w:sz w:val="24"/>
          <w:szCs w:val="24"/>
          <w:highlight w:val="none"/>
        </w:rPr>
      </w:pPr>
    </w:p>
    <w:p w14:paraId="758B2D7B">
      <w:pPr>
        <w:widowControl/>
        <w:jc w:val="left"/>
        <w:rPr>
          <w:rFonts w:asciiTheme="minorEastAsia" w:hAnsiTheme="minorEastAsia" w:eastAsiaTheme="minorEastAsia"/>
          <w:color w:val="auto"/>
          <w:sz w:val="24"/>
          <w:highlight w:val="none"/>
        </w:rPr>
      </w:pPr>
    </w:p>
    <w:p w14:paraId="0420B21D">
      <w:pPr>
        <w:rPr>
          <w:rFonts w:hint="eastAsia" w:asciiTheme="minorEastAsia" w:hAnsiTheme="minorEastAsia" w:eastAsiaTheme="minorEastAsia"/>
          <w:b/>
          <w:color w:val="auto"/>
          <w:sz w:val="24"/>
          <w:highlight w:val="none"/>
          <w:lang w:val="en-US" w:eastAsia="zh-CN"/>
        </w:rPr>
      </w:pPr>
      <w:bookmarkStart w:id="59" w:name="_Toc20592"/>
      <w:bookmarkStart w:id="60" w:name="_Toc2278"/>
      <w:r>
        <w:rPr>
          <w:rFonts w:hint="eastAsia" w:asciiTheme="minorEastAsia" w:hAnsiTheme="minorEastAsia" w:eastAsiaTheme="minorEastAsia"/>
          <w:b/>
          <w:color w:val="auto"/>
          <w:sz w:val="24"/>
          <w:highlight w:val="none"/>
          <w:lang w:val="en-US" w:eastAsia="zh-CN"/>
        </w:rPr>
        <w:br w:type="page"/>
      </w:r>
    </w:p>
    <w:p w14:paraId="2DEEE9EE">
      <w:pPr>
        <w:spacing w:line="360" w:lineRule="auto"/>
        <w:jc w:val="center"/>
        <w:outlineLvl w:val="1"/>
        <w:rPr>
          <w:rFonts w:asciiTheme="minorEastAsia" w:hAnsiTheme="minorEastAsia" w:eastAsiaTheme="minorEastAsia"/>
          <w:b/>
          <w:bCs/>
          <w:color w:val="auto"/>
          <w:sz w:val="24"/>
          <w:highlight w:val="none"/>
        </w:rPr>
      </w:pPr>
      <w:r>
        <w:rPr>
          <w:rFonts w:hint="eastAsia" w:asciiTheme="minorEastAsia" w:hAnsiTheme="minorEastAsia" w:eastAsiaTheme="minorEastAsia"/>
          <w:b/>
          <w:color w:val="auto"/>
          <w:sz w:val="24"/>
          <w:highlight w:val="none"/>
          <w:lang w:val="en-US" w:eastAsia="zh-CN"/>
        </w:rPr>
        <w:t>十</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供应商</w:t>
      </w:r>
      <w:r>
        <w:rPr>
          <w:rFonts w:hint="eastAsia" w:asciiTheme="minorEastAsia" w:hAnsiTheme="minorEastAsia" w:eastAsiaTheme="minorEastAsia"/>
          <w:b/>
          <w:color w:val="auto"/>
          <w:sz w:val="24"/>
          <w:highlight w:val="none"/>
        </w:rPr>
        <w:t>诚信履约承诺函</w:t>
      </w:r>
      <w:bookmarkEnd w:id="59"/>
      <w:bookmarkEnd w:id="60"/>
    </w:p>
    <w:p w14:paraId="75D7C468">
      <w:pPr>
        <w:spacing w:line="360" w:lineRule="auto"/>
        <w:rPr>
          <w:rFonts w:hint="default"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u w:val="single"/>
        </w:rPr>
        <w:t>致：</w:t>
      </w:r>
      <w:r>
        <w:rPr>
          <w:rFonts w:hint="eastAsia" w:asciiTheme="minorEastAsia" w:hAnsiTheme="minorEastAsia" w:eastAsiaTheme="minorEastAsia"/>
          <w:b/>
          <w:bCs/>
          <w:color w:val="auto"/>
          <w:sz w:val="24"/>
          <w:highlight w:val="none"/>
          <w:u w:val="single"/>
          <w:lang w:val="en-US" w:eastAsia="zh-CN"/>
        </w:rPr>
        <w:t>安徽省淮河河道管理局</w:t>
      </w:r>
    </w:p>
    <w:p w14:paraId="17A4C070">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若</w:t>
      </w:r>
      <w:r>
        <w:rPr>
          <w:rFonts w:hint="eastAsia" w:asciiTheme="minorEastAsia" w:hAnsiTheme="minorEastAsia" w:eastAsiaTheme="minorEastAsia"/>
          <w:bCs/>
          <w:color w:val="auto"/>
          <w:sz w:val="24"/>
          <w:highlight w:val="none"/>
        </w:rPr>
        <w:t>我单位被确定为本项目成交供应商，我单位承诺在合同签订及履约过程中将严格执行《中华人民共和国政府采购法》、《中华人民共和国政府采购法实施条例》及本项目采购文件</w:t>
      </w:r>
      <w:r>
        <w:rPr>
          <w:rFonts w:hint="eastAsia" w:asciiTheme="minorEastAsia" w:hAnsiTheme="minorEastAsia" w:eastAsiaTheme="minorEastAsia"/>
          <w:bCs/>
          <w:color w:val="auto"/>
          <w:sz w:val="24"/>
          <w:highlight w:val="none"/>
          <w:lang w:val="en-US" w:eastAsia="zh-CN"/>
        </w:rPr>
        <w:t>的</w:t>
      </w:r>
      <w:r>
        <w:rPr>
          <w:rFonts w:hint="eastAsia" w:asciiTheme="minorEastAsia" w:hAnsiTheme="minorEastAsia" w:eastAsiaTheme="minorEastAsia"/>
          <w:bCs/>
          <w:color w:val="auto"/>
          <w:sz w:val="24"/>
          <w:highlight w:val="none"/>
        </w:rPr>
        <w:t>相关规定，</w:t>
      </w:r>
      <w:r>
        <w:rPr>
          <w:rFonts w:hint="eastAsia" w:asciiTheme="minorEastAsia" w:hAnsiTheme="minorEastAsia" w:eastAsiaTheme="minorEastAsia"/>
          <w:bCs/>
          <w:color w:val="auto"/>
          <w:sz w:val="24"/>
          <w:highlight w:val="none"/>
          <w:lang w:val="en-US" w:eastAsia="zh-CN"/>
        </w:rPr>
        <w:t>并郑重承诺如下</w:t>
      </w:r>
      <w:r>
        <w:rPr>
          <w:rFonts w:hint="eastAsia" w:asciiTheme="minorEastAsia" w:hAnsiTheme="minorEastAsia" w:eastAsiaTheme="minorEastAsia"/>
          <w:bCs/>
          <w:color w:val="auto"/>
          <w:sz w:val="24"/>
          <w:highlight w:val="none"/>
        </w:rPr>
        <w:t>：</w:t>
      </w:r>
    </w:p>
    <w:p w14:paraId="3D49C8D3">
      <w:pPr>
        <w:numPr>
          <w:ilvl w:val="0"/>
          <w:numId w:val="0"/>
        </w:numPr>
        <w:spacing w:line="360" w:lineRule="auto"/>
        <w:ind w:firstLine="480" w:firstLineChars="200"/>
        <w:rPr>
          <w:rFonts w:hint="default" w:cs="@仿宋_GB2312" w:asciiTheme="minorEastAsia" w:hAnsiTheme="minorEastAsia" w:eastAsiaTheme="minorEastAsia"/>
          <w:bCs/>
          <w:color w:val="auto"/>
          <w:kern w:val="2"/>
          <w:sz w:val="24"/>
          <w:highlight w:val="none"/>
          <w:lang w:val="en-US" w:eastAsia="zh-CN" w:bidi="ar-SA"/>
        </w:rPr>
      </w:pPr>
      <w:r>
        <w:rPr>
          <w:rFonts w:hint="eastAsia" w:cs="@仿宋_GB2312" w:asciiTheme="minorEastAsia" w:hAnsiTheme="minorEastAsia" w:eastAsiaTheme="minorEastAsia"/>
          <w:bCs/>
          <w:color w:val="auto"/>
          <w:kern w:val="2"/>
          <w:sz w:val="24"/>
          <w:highlight w:val="none"/>
          <w:lang w:val="en-US" w:eastAsia="zh-CN" w:bidi="ar-SA"/>
        </w:rPr>
        <w:t>（1）我单位响应文件全部为真实、有效，若存在虚假响应，一经查实，无条件同意采购人取消我单位成交资格或合同甲方解除合同，同时愿意承担因此造成的一切损失和处罚，包括但不限于信用惩戒、限制响应资格等。</w:t>
      </w:r>
    </w:p>
    <w:p w14:paraId="492221A4">
      <w:pPr>
        <w:numPr>
          <w:ilvl w:val="0"/>
          <w:numId w:val="0"/>
        </w:numPr>
        <w:spacing w:line="360" w:lineRule="auto"/>
        <w:ind w:firstLine="480" w:firstLineChars="200"/>
        <w:rPr>
          <w:rFonts w:hint="eastAsia" w:asciiTheme="minorEastAsia" w:hAnsiTheme="minorEastAsia" w:eastAsiaTheme="minorEastAsia"/>
          <w:bCs/>
          <w:color w:val="auto"/>
          <w:sz w:val="24"/>
          <w:highlight w:val="none"/>
          <w:lang w:val="en-US" w:eastAsia="zh-CN"/>
        </w:rPr>
      </w:pPr>
      <w:r>
        <w:rPr>
          <w:rFonts w:hint="eastAsia" w:cs="@仿宋_GB2312" w:asciiTheme="minorEastAsia" w:hAnsiTheme="minorEastAsia" w:eastAsiaTheme="minorEastAsia"/>
          <w:bCs/>
          <w:color w:val="auto"/>
          <w:kern w:val="2"/>
          <w:sz w:val="24"/>
          <w:highlight w:val="none"/>
          <w:lang w:val="en-US" w:eastAsia="zh-CN" w:bidi="ar-SA"/>
        </w:rPr>
        <w:t>（2）</w:t>
      </w:r>
      <w:r>
        <w:rPr>
          <w:rFonts w:hint="eastAsia" w:asciiTheme="minorEastAsia" w:hAnsiTheme="minorEastAsia" w:eastAsiaTheme="minorEastAsia"/>
          <w:b/>
          <w:bCs w:val="0"/>
          <w:color w:val="auto"/>
          <w:sz w:val="24"/>
          <w:highlight w:val="none"/>
          <w:lang w:val="en-US" w:eastAsia="zh-CN"/>
        </w:rPr>
        <w:t>成交通知书发送之日起10日历天内，</w:t>
      </w:r>
      <w:r>
        <w:rPr>
          <w:rFonts w:hint="eastAsia" w:asciiTheme="minorEastAsia" w:hAnsiTheme="minorEastAsia" w:eastAsiaTheme="minorEastAsia"/>
          <w:bCs/>
          <w:color w:val="auto"/>
          <w:sz w:val="24"/>
          <w:highlight w:val="none"/>
          <w:lang w:val="en-US" w:eastAsia="zh-CN"/>
        </w:rPr>
        <w:t>按照响应文件提供自备机械设备、项目组成员，并为所有项目人员购买</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cs="宋体"/>
          <w:b/>
          <w:bCs/>
          <w:color w:val="auto"/>
          <w:sz w:val="24"/>
          <w:szCs w:val="24"/>
          <w:highlight w:val="none"/>
          <w:u w:val="single"/>
          <w:lang w:val="en-US" w:eastAsia="zh-CN"/>
        </w:rPr>
        <w:t>或安全生产责任险</w:t>
      </w:r>
      <w:r>
        <w:rPr>
          <w:rFonts w:hint="eastAsia" w:asciiTheme="minorEastAsia" w:hAnsiTheme="minorEastAsia" w:eastAsiaTheme="minorEastAsia"/>
          <w:bCs/>
          <w:color w:val="auto"/>
          <w:sz w:val="24"/>
          <w:highlight w:val="none"/>
          <w:lang w:val="en-US" w:eastAsia="zh-CN"/>
        </w:rPr>
        <w:t>，进场作业前由甲方验证，若不能按时提供，无条件同意采购人取消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lang w:val="en-US" w:eastAsia="zh-CN"/>
        </w:rPr>
        <w:t>成交资格或合同甲方解除合同，同时愿意承担因此造成的一切损失和处罚，包括但不限于信用惩戒、限制响应资格等。</w:t>
      </w:r>
    </w:p>
    <w:p w14:paraId="1A5DC799">
      <w:pPr>
        <w:numPr>
          <w:ilvl w:val="0"/>
          <w:numId w:val="0"/>
        </w:numPr>
        <w:spacing w:line="360" w:lineRule="auto"/>
        <w:ind w:left="0" w:leftChars="0" w:firstLine="480" w:firstLineChars="200"/>
        <w:rPr>
          <w:rFonts w:hint="eastAsia" w:asciiTheme="minorEastAsia" w:hAnsiTheme="minorEastAsia" w:eastAsiaTheme="minorEastAsia"/>
          <w:bCs/>
          <w:color w:val="auto"/>
          <w:sz w:val="24"/>
          <w:highlight w:val="none"/>
          <w:lang w:val="en-US" w:eastAsia="zh-CN"/>
        </w:rPr>
      </w:pPr>
      <w:r>
        <w:rPr>
          <w:rFonts w:hint="eastAsia" w:cs="@仿宋_GB2312" w:asciiTheme="minorEastAsia" w:hAnsiTheme="minorEastAsia" w:eastAsiaTheme="minorEastAsia"/>
          <w:bCs/>
          <w:color w:val="auto"/>
          <w:kern w:val="2"/>
          <w:sz w:val="24"/>
          <w:highlight w:val="none"/>
          <w:lang w:val="en-US" w:eastAsia="zh-CN" w:bidi="ar-SA"/>
        </w:rPr>
        <w:t>（3）</w:t>
      </w:r>
      <w:r>
        <w:rPr>
          <w:rFonts w:hint="eastAsia" w:asciiTheme="minorEastAsia" w:hAnsiTheme="minorEastAsia" w:eastAsiaTheme="minorEastAsia"/>
          <w:bCs/>
          <w:color w:val="auto"/>
          <w:sz w:val="24"/>
          <w:highlight w:val="none"/>
          <w:lang w:val="en-US" w:eastAsia="zh-CN"/>
        </w:rPr>
        <w:t>项目履约过程中，质量、进度及安全严格按照采购文件要求执行，并自愿服从合同甲方监管，若出现不服从现场监管，无条件同意采购人取消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lang w:val="en-US" w:eastAsia="zh-CN"/>
        </w:rPr>
        <w:t>成交资格或合同甲方解除合同，并愿意承担因此造成的一切损失和处罚，包括但不限于信用惩戒、限制响应资格等。</w:t>
      </w:r>
    </w:p>
    <w:p w14:paraId="46BC0026">
      <w:pPr>
        <w:spacing w:line="360" w:lineRule="auto"/>
        <w:ind w:firstLine="480" w:firstLineChars="200"/>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lang w:val="en-US" w:eastAsia="zh-CN"/>
        </w:rPr>
        <w:t>4</w:t>
      </w:r>
      <w:r>
        <w:rPr>
          <w:rFonts w:hint="eastAsia" w:asciiTheme="minorEastAsia" w:hAnsiTheme="minorEastAsia" w:eastAsiaTheme="minorEastAsia"/>
          <w:bCs/>
          <w:color w:val="auto"/>
          <w:sz w:val="24"/>
          <w:highlight w:val="none"/>
          <w:lang w:eastAsia="zh-CN"/>
        </w:rPr>
        <w:t>）作业过程中如出现作业人员未有效佩戴现场安全防护必需的安全帽、安全绳、救生衣以及其他必需的作业防护等安全防护用品，发生不安全行为的，每出现一次，从</w:t>
      </w:r>
      <w:r>
        <w:rPr>
          <w:rFonts w:hint="eastAsia" w:asciiTheme="minorEastAsia" w:hAnsiTheme="minorEastAsia" w:eastAsiaTheme="minorEastAsia"/>
          <w:bCs/>
          <w:color w:val="auto"/>
          <w:sz w:val="24"/>
          <w:highlight w:val="none"/>
          <w:lang w:val="en-US" w:eastAsia="zh-CN"/>
        </w:rPr>
        <w:t>项目</w:t>
      </w:r>
      <w:r>
        <w:rPr>
          <w:rFonts w:hint="eastAsia" w:asciiTheme="minorEastAsia" w:hAnsiTheme="minorEastAsia" w:eastAsiaTheme="minorEastAsia"/>
          <w:bCs/>
          <w:color w:val="auto"/>
          <w:sz w:val="24"/>
          <w:highlight w:val="none"/>
          <w:lang w:eastAsia="zh-CN"/>
        </w:rPr>
        <w:t>结算价中自愿核减1000元，减完为止。</w:t>
      </w:r>
    </w:p>
    <w:p w14:paraId="214BD3DB">
      <w:pPr>
        <w:spacing w:line="360" w:lineRule="auto"/>
        <w:ind w:firstLine="480" w:firstLineChars="200"/>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lang w:val="en-US" w:eastAsia="zh-CN"/>
        </w:rPr>
        <w:t>5</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合同履约期间，</w:t>
      </w:r>
      <w:r>
        <w:rPr>
          <w:rFonts w:hint="eastAsia" w:asciiTheme="minorEastAsia" w:hAnsiTheme="minorEastAsia" w:eastAsiaTheme="minorEastAsia"/>
          <w:bCs/>
          <w:color w:val="auto"/>
          <w:sz w:val="24"/>
          <w:highlight w:val="none"/>
          <w:lang w:val="en-US" w:eastAsia="zh-CN"/>
        </w:rPr>
        <w:t>所有项目</w:t>
      </w:r>
      <w:r>
        <w:rPr>
          <w:rFonts w:hint="eastAsia" w:asciiTheme="minorEastAsia" w:hAnsiTheme="minorEastAsia" w:eastAsiaTheme="minorEastAsia"/>
          <w:bCs/>
          <w:color w:val="auto"/>
          <w:sz w:val="24"/>
          <w:highlight w:val="none"/>
        </w:rPr>
        <w:t>人员突发疾病、意外等造成的人员伤亡及财产损失均由</w:t>
      </w:r>
      <w:r>
        <w:rPr>
          <w:rFonts w:hint="eastAsia" w:asciiTheme="minorEastAsia" w:hAnsiTheme="minorEastAsia" w:eastAsiaTheme="minorEastAsia"/>
          <w:bCs/>
          <w:color w:val="auto"/>
          <w:sz w:val="24"/>
          <w:highlight w:val="none"/>
          <w:lang w:val="en-US" w:eastAsia="zh-CN"/>
        </w:rPr>
        <w:t>我单位</w:t>
      </w:r>
      <w:r>
        <w:rPr>
          <w:rFonts w:hint="eastAsia" w:asciiTheme="minorEastAsia" w:hAnsiTheme="minorEastAsia" w:eastAsiaTheme="minorEastAsia"/>
          <w:bCs/>
          <w:color w:val="auto"/>
          <w:sz w:val="24"/>
          <w:highlight w:val="none"/>
        </w:rPr>
        <w:t>负责</w:t>
      </w:r>
      <w:r>
        <w:rPr>
          <w:rFonts w:hint="eastAsia" w:asciiTheme="minorEastAsia" w:hAnsiTheme="minorEastAsia" w:eastAsiaTheme="minorEastAsia"/>
          <w:bCs/>
          <w:color w:val="auto"/>
          <w:sz w:val="24"/>
          <w:highlight w:val="none"/>
          <w:lang w:val="en-US" w:eastAsia="zh-CN"/>
        </w:rPr>
        <w:t>承担，并全额赔偿因此给采购人或第三方造成的损失。</w:t>
      </w:r>
    </w:p>
    <w:p w14:paraId="4AE3DFBD">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val="en-US" w:eastAsia="zh-CN"/>
        </w:rPr>
        <w:t>6</w:t>
      </w:r>
      <w:r>
        <w:rPr>
          <w:rFonts w:hint="eastAsia" w:asciiTheme="minorEastAsia" w:hAnsiTheme="minorEastAsia" w:eastAsiaTheme="minorEastAsia"/>
          <w:bCs/>
          <w:color w:val="auto"/>
          <w:sz w:val="24"/>
          <w:highlight w:val="none"/>
        </w:rPr>
        <w:t>）在项目发生投诉、信访举报案件、履约存在争议时，拒绝协助配合调查的，无条件同意采购人取消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rPr>
        <w:t>成交资格或</w:t>
      </w:r>
      <w:r>
        <w:rPr>
          <w:rFonts w:hint="eastAsia" w:asciiTheme="minorEastAsia" w:hAnsiTheme="minorEastAsia" w:eastAsiaTheme="minorEastAsia"/>
          <w:bCs/>
          <w:color w:val="auto"/>
          <w:sz w:val="24"/>
          <w:highlight w:val="none"/>
          <w:lang w:eastAsia="zh-CN"/>
        </w:rPr>
        <w:t>合同甲方解除合同</w:t>
      </w:r>
      <w:r>
        <w:rPr>
          <w:rFonts w:hint="eastAsia" w:asciiTheme="minorEastAsia" w:hAnsiTheme="minorEastAsia" w:eastAsiaTheme="minorEastAsia"/>
          <w:bCs/>
          <w:color w:val="auto"/>
          <w:sz w:val="24"/>
          <w:highlight w:val="none"/>
        </w:rPr>
        <w:t>，并愿意承担因此造成的一切损失和处罚，包括但不限于信用惩戒、限制响应资格等。</w:t>
      </w:r>
    </w:p>
    <w:p w14:paraId="4188126E">
      <w:pPr>
        <w:spacing w:line="360" w:lineRule="auto"/>
        <w:rPr>
          <w:rFonts w:asciiTheme="minorEastAsia" w:hAnsiTheme="minorEastAsia" w:eastAsiaTheme="minorEastAsia"/>
          <w:bCs/>
          <w:color w:val="auto"/>
          <w:sz w:val="24"/>
          <w:highlight w:val="none"/>
        </w:rPr>
      </w:pPr>
    </w:p>
    <w:p w14:paraId="384BD249">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41939620">
      <w:pPr>
        <w:spacing w:line="360" w:lineRule="auto"/>
        <w:ind w:firstLine="4320" w:firstLineChars="1800"/>
        <w:rPr>
          <w:rFonts w:asciiTheme="minorEastAsia" w:hAnsiTheme="minorEastAsia" w:eastAsiaTheme="minorEastAsia"/>
          <w:b/>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64073A2">
      <w:pPr>
        <w:rPr>
          <w:color w:val="auto"/>
          <w:highlight w:val="none"/>
        </w:rPr>
      </w:pPr>
    </w:p>
    <w:p w14:paraId="5DBA7AE6">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A4C13A5">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十一、</w:t>
      </w:r>
      <w:r>
        <w:rPr>
          <w:rFonts w:hint="eastAsia" w:asciiTheme="minorEastAsia" w:hAnsiTheme="minorEastAsia" w:eastAsiaTheme="minorEastAsia"/>
          <w:b/>
          <w:color w:val="auto"/>
          <w:sz w:val="24"/>
          <w:highlight w:val="none"/>
        </w:rPr>
        <w:t>其他相关证明材料</w:t>
      </w:r>
    </w:p>
    <w:p w14:paraId="702FA3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56F2DCD1">
      <w:pPr>
        <w:spacing w:line="360" w:lineRule="auto"/>
        <w:ind w:firstLine="480" w:firstLineChars="200"/>
        <w:rPr>
          <w:rFonts w:asciiTheme="minorEastAsia" w:hAnsiTheme="minorEastAsia" w:eastAsiaTheme="minorEastAsia"/>
          <w:color w:val="auto"/>
          <w:sz w:val="24"/>
          <w:highlight w:val="none"/>
        </w:rPr>
      </w:pPr>
    </w:p>
    <w:p w14:paraId="2B2321A6">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2A8333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6D2A2B93">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4A62C672">
      <w:pPr>
        <w:rPr>
          <w:rFonts w:hint="eastAsia" w:asciiTheme="minorEastAsia" w:hAnsiTheme="minorEastAsia" w:eastAsiaTheme="minorEastAsia"/>
          <w:b/>
          <w:color w:val="auto"/>
          <w:sz w:val="24"/>
          <w:highlight w:val="none"/>
          <w:lang w:val="en-US" w:eastAsia="zh-CN"/>
        </w:rPr>
      </w:pPr>
    </w:p>
    <w:p w14:paraId="2CA0D47A">
      <w:pPr>
        <w:widowControl/>
        <w:jc w:val="center"/>
        <w:outlineLvl w:val="0"/>
        <w:rPr>
          <w:b/>
          <w:bCs/>
          <w:color w:val="auto"/>
          <w:sz w:val="28"/>
          <w:highlight w:val="none"/>
        </w:rPr>
      </w:pPr>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p>
    <w:p w14:paraId="44C77BAD">
      <w:pPr>
        <w:spacing w:line="360" w:lineRule="auto"/>
        <w:jc w:val="center"/>
        <w:outlineLvl w:val="1"/>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询问函范本</w:t>
      </w:r>
    </w:p>
    <w:p w14:paraId="51666AB5">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7304BDC3">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689CB49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0025FF4F">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一、(事项一)</w:t>
      </w:r>
    </w:p>
    <w:p w14:paraId="62C6341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95382A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FD079E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4F5A86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二、(事项二)</w:t>
      </w:r>
    </w:p>
    <w:p w14:paraId="6C7A902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F5F116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D7DEFA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4A48E14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CE89F5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F9B03D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3D088345">
      <w:pPr>
        <w:jc w:val="center"/>
        <w:outlineLvl w:val="1"/>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2654128C">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一、质疑供应商基本信息</w:t>
      </w:r>
    </w:p>
    <w:p w14:paraId="01AAFC2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F359ED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2C1BE4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D461DF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EB8538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31A946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1DD5F10">
      <w:pPr>
        <w:adjustRightInd w:val="0"/>
        <w:snapToGrid w:val="0"/>
        <w:spacing w:line="360" w:lineRule="auto"/>
        <w:outlineLvl w:val="1"/>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二、质疑项目基本情况</w:t>
      </w:r>
    </w:p>
    <w:p w14:paraId="10FDC62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51C10C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24E404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D377A7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69B5D6">
      <w:pPr>
        <w:adjustRightInd w:val="0"/>
        <w:snapToGrid w:val="0"/>
        <w:spacing w:line="360" w:lineRule="auto"/>
        <w:outlineLvl w:val="1"/>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三、质疑事项具体内容</w:t>
      </w:r>
    </w:p>
    <w:p w14:paraId="79B2C1A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B7F36F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14E362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49270C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722AFB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5F0BBE9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3B4472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5CE4DC6">
      <w:pPr>
        <w:adjustRightInd w:val="0"/>
        <w:snapToGrid w:val="0"/>
        <w:spacing w:line="360" w:lineRule="auto"/>
        <w:outlineLvl w:val="1"/>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四、与质疑事项相关的质疑请求</w:t>
      </w:r>
    </w:p>
    <w:p w14:paraId="3D38583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644C5A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8268B9F">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2ABF33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68CBD1D">
      <w:pPr>
        <w:outlineLvl w:val="0"/>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105961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4D276E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FD064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714B7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8B6E6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C79A6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1928B8F9">
      <w:pPr>
        <w:spacing w:line="360" w:lineRule="auto"/>
        <w:ind w:firstLine="435"/>
        <w:rPr>
          <w:rFonts w:asciiTheme="minorEastAsia" w:hAnsiTheme="minorEastAsia" w:eastAsiaTheme="minorEastAsia"/>
          <w:color w:val="auto"/>
          <w:sz w:val="24"/>
          <w:highlight w:val="none"/>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B9AE0">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BA593">
    <w:pPr>
      <w:pStyle w:val="3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E8FE1">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519E8FE1">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B4021">
    <w:pPr>
      <w:pStyle w:val="33"/>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13355">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C213355">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47464276"/>
    </w:sdtPr>
    <w:sdtEndPr>
      <w:rPr>
        <w:rFonts w:asciiTheme="minorEastAsia" w:hAnsiTheme="minorEastAsia" w:eastAsiaTheme="minorEastAsia"/>
        <w:sz w:val="21"/>
        <w:szCs w:val="21"/>
      </w:rPr>
    </w:sdtEndPr>
    <w:sdtContent>
      <w:sdt>
        <w:sdtPr>
          <w:rPr>
            <w:sz w:val="21"/>
            <w:szCs w:val="21"/>
          </w:rPr>
          <w:id w:val="147470583"/>
        </w:sdtPr>
        <w:sdtEndPr>
          <w:rPr>
            <w:rFonts w:asciiTheme="minorEastAsia" w:hAnsiTheme="minorEastAsia" w:eastAsiaTheme="minorEastAsia"/>
            <w:sz w:val="21"/>
            <w:szCs w:val="21"/>
          </w:rPr>
        </w:sdtEndPr>
        <w:sdtContent>
          <w:p w14:paraId="5966EA09">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108</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106</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F5C67">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04D8">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FA39">
    <w:pPr>
      <w:pStyle w:val="34"/>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lang w:val="en-US" w:eastAsia="zh-CN"/>
      </w:rPr>
      <w:t>磋商</w:t>
    </w:r>
    <w:r>
      <w:rPr>
        <w:rFonts w:hint="eastAsia" w:ascii="宋体" w:hAnsi="宋体" w:eastAsia="宋体"/>
      </w:rPr>
      <w:t>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34C2">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999C7130"/>
    <w:multiLevelType w:val="singleLevel"/>
    <w:tmpl w:val="999C7130"/>
    <w:lvl w:ilvl="0" w:tentative="0">
      <w:start w:val="3"/>
      <w:numFmt w:val="chineseCounting"/>
      <w:suff w:val="nothing"/>
      <w:lvlText w:val="%1、"/>
      <w:lvlJc w:val="left"/>
      <w:rPr>
        <w:rFonts w:hint="eastAsia"/>
      </w:rPr>
    </w:lvl>
  </w:abstractNum>
  <w:abstractNum w:abstractNumId="2">
    <w:nsid w:val="9E1E5754"/>
    <w:multiLevelType w:val="singleLevel"/>
    <w:tmpl w:val="9E1E5754"/>
    <w:lvl w:ilvl="0" w:tentative="0">
      <w:start w:val="1"/>
      <w:numFmt w:val="decimal"/>
      <w:suff w:val="nothing"/>
      <w:lvlText w:val="（%1）"/>
      <w:lvlJc w:val="left"/>
    </w:lvl>
  </w:abstractNum>
  <w:abstractNum w:abstractNumId="3">
    <w:nsid w:val="AC20A842"/>
    <w:multiLevelType w:val="singleLevel"/>
    <w:tmpl w:val="AC20A842"/>
    <w:lvl w:ilvl="0" w:tentative="0">
      <w:start w:val="1"/>
      <w:numFmt w:val="lowerLetter"/>
      <w:suff w:val="space"/>
      <w:lvlText w:val="%1."/>
      <w:lvlJc w:val="left"/>
    </w:lvl>
  </w:abstractNum>
  <w:abstractNum w:abstractNumId="4">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5">
    <w:nsid w:val="DB3D6BB4"/>
    <w:multiLevelType w:val="singleLevel"/>
    <w:tmpl w:val="DB3D6BB4"/>
    <w:lvl w:ilvl="0" w:tentative="0">
      <w:start w:val="1"/>
      <w:numFmt w:val="decimal"/>
      <w:suff w:val="nothing"/>
      <w:lvlText w:val="（%1）"/>
      <w:lvlJc w:val="left"/>
    </w:lvl>
  </w:abstractNum>
  <w:abstractNum w:abstractNumId="6">
    <w:nsid w:val="06AB4A91"/>
    <w:multiLevelType w:val="singleLevel"/>
    <w:tmpl w:val="06AB4A91"/>
    <w:lvl w:ilvl="0" w:tentative="0">
      <w:start w:val="1"/>
      <w:numFmt w:val="decimal"/>
      <w:lvlText w:val="%1."/>
      <w:lvlJc w:val="left"/>
      <w:pPr>
        <w:tabs>
          <w:tab w:val="left" w:pos="312"/>
        </w:tabs>
      </w:pPr>
    </w:lvl>
  </w:abstractNum>
  <w:abstractNum w:abstractNumId="7">
    <w:nsid w:val="7F7E5238"/>
    <w:multiLevelType w:val="multilevel"/>
    <w:tmpl w:val="7F7E5238"/>
    <w:lvl w:ilvl="0" w:tentative="0">
      <w:start w:val="1"/>
      <w:numFmt w:val="none"/>
      <w:pStyle w:val="17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2"/>
      <w:lvlText w:val="           "/>
      <w:lvlJc w:val="left"/>
      <w:pPr>
        <w:tabs>
          <w:tab w:val="left" w:pos="1440"/>
        </w:tabs>
        <w:ind w:left="1152" w:hanging="1152"/>
      </w:pPr>
      <w:rPr>
        <w:rFonts w:hint="eastAsia"/>
      </w:rPr>
    </w:lvl>
    <w:lvl w:ilvl="6" w:tentative="0">
      <w:start w:val="1"/>
      <w:numFmt w:val="decimal"/>
      <w:pStyle w:val="174"/>
      <w:lvlText w:val="%1.%2.%3.%4.%5.%6.%7"/>
      <w:lvlJc w:val="left"/>
      <w:pPr>
        <w:tabs>
          <w:tab w:val="left" w:pos="2520"/>
        </w:tabs>
        <w:ind w:left="1296" w:hanging="1296"/>
      </w:pPr>
      <w:rPr>
        <w:rFonts w:hint="eastAsia"/>
      </w:rPr>
    </w:lvl>
    <w:lvl w:ilvl="7" w:tentative="0">
      <w:start w:val="1"/>
      <w:numFmt w:val="decimal"/>
      <w:pStyle w:val="176"/>
      <w:lvlText w:val="%1.%2.%3.%4.%5.%6.%7.%8"/>
      <w:lvlJc w:val="left"/>
      <w:pPr>
        <w:tabs>
          <w:tab w:val="left" w:pos="1440"/>
        </w:tabs>
        <w:ind w:left="1440" w:hanging="1440"/>
      </w:pPr>
      <w:rPr>
        <w:rFonts w:hint="eastAsia"/>
      </w:rPr>
    </w:lvl>
    <w:lvl w:ilvl="8" w:tentative="0">
      <w:start w:val="1"/>
      <w:numFmt w:val="decimal"/>
      <w:pStyle w:val="178"/>
      <w:lvlText w:val="%1.%2.%3.%4.%5.%6.%7.%8.%9"/>
      <w:lvlJc w:val="left"/>
      <w:pPr>
        <w:tabs>
          <w:tab w:val="left" w:pos="1584"/>
        </w:tabs>
        <w:ind w:left="1584" w:hanging="1584"/>
      </w:pPr>
      <w:rPr>
        <w:rFonts w:hint="eastAsia"/>
      </w:rPr>
    </w:lvl>
  </w:abstractNum>
  <w:num w:numId="1">
    <w:abstractNumId w:val="7"/>
  </w:num>
  <w:num w:numId="2">
    <w:abstractNumId w:val="2"/>
  </w:num>
  <w:num w:numId="3">
    <w:abstractNumId w:val="5"/>
  </w:num>
  <w:num w:numId="4">
    <w:abstractNumId w:val="1"/>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29B0EFD"/>
    <w:rsid w:val="060D5ED0"/>
    <w:rsid w:val="06EE74DB"/>
    <w:rsid w:val="072015CC"/>
    <w:rsid w:val="08617CF0"/>
    <w:rsid w:val="093E5132"/>
    <w:rsid w:val="099C3247"/>
    <w:rsid w:val="0AAA0610"/>
    <w:rsid w:val="0B34273F"/>
    <w:rsid w:val="0B5759D8"/>
    <w:rsid w:val="0B584B6B"/>
    <w:rsid w:val="0B9A6428"/>
    <w:rsid w:val="0BC76A6E"/>
    <w:rsid w:val="0BD069A1"/>
    <w:rsid w:val="0C0B76AE"/>
    <w:rsid w:val="0C695EBF"/>
    <w:rsid w:val="0C764D16"/>
    <w:rsid w:val="0D3E7892"/>
    <w:rsid w:val="0DB72352"/>
    <w:rsid w:val="0DFC12FE"/>
    <w:rsid w:val="0DFF1A91"/>
    <w:rsid w:val="0E30091C"/>
    <w:rsid w:val="0EB116DF"/>
    <w:rsid w:val="0EB9796D"/>
    <w:rsid w:val="0ED93BBF"/>
    <w:rsid w:val="0FC76BB7"/>
    <w:rsid w:val="10404E6E"/>
    <w:rsid w:val="10D5689C"/>
    <w:rsid w:val="10F935A7"/>
    <w:rsid w:val="12E83133"/>
    <w:rsid w:val="12EC2E92"/>
    <w:rsid w:val="13607801"/>
    <w:rsid w:val="1375778E"/>
    <w:rsid w:val="14E43199"/>
    <w:rsid w:val="16F15C51"/>
    <w:rsid w:val="17146EEB"/>
    <w:rsid w:val="18A85F98"/>
    <w:rsid w:val="19F67930"/>
    <w:rsid w:val="1B291D20"/>
    <w:rsid w:val="1B76339A"/>
    <w:rsid w:val="1D015171"/>
    <w:rsid w:val="1D191BE5"/>
    <w:rsid w:val="1D3B78BE"/>
    <w:rsid w:val="1DEC70E9"/>
    <w:rsid w:val="1E0B00F8"/>
    <w:rsid w:val="1E112FC8"/>
    <w:rsid w:val="1F2E6A6D"/>
    <w:rsid w:val="1FAD74BF"/>
    <w:rsid w:val="21326E5F"/>
    <w:rsid w:val="21A12912"/>
    <w:rsid w:val="231F42AE"/>
    <w:rsid w:val="237C1D35"/>
    <w:rsid w:val="241D3932"/>
    <w:rsid w:val="247E2DFD"/>
    <w:rsid w:val="265B0373"/>
    <w:rsid w:val="274D5052"/>
    <w:rsid w:val="27E85AF1"/>
    <w:rsid w:val="27F46626"/>
    <w:rsid w:val="288E11CC"/>
    <w:rsid w:val="28A96E2F"/>
    <w:rsid w:val="2A1534D2"/>
    <w:rsid w:val="2B5044AE"/>
    <w:rsid w:val="2B89414F"/>
    <w:rsid w:val="2D1633EB"/>
    <w:rsid w:val="2D611D48"/>
    <w:rsid w:val="2E3502DE"/>
    <w:rsid w:val="2E992065"/>
    <w:rsid w:val="2EB60132"/>
    <w:rsid w:val="2F850E2A"/>
    <w:rsid w:val="2F8779B7"/>
    <w:rsid w:val="31966FB2"/>
    <w:rsid w:val="3215051D"/>
    <w:rsid w:val="334D687B"/>
    <w:rsid w:val="33705A3F"/>
    <w:rsid w:val="34152599"/>
    <w:rsid w:val="341806E5"/>
    <w:rsid w:val="3544508A"/>
    <w:rsid w:val="36AD04C3"/>
    <w:rsid w:val="36E71BB0"/>
    <w:rsid w:val="385414FE"/>
    <w:rsid w:val="38BB6BEB"/>
    <w:rsid w:val="38CD4FE1"/>
    <w:rsid w:val="3AC35ED3"/>
    <w:rsid w:val="3B5006E0"/>
    <w:rsid w:val="3C2546B9"/>
    <w:rsid w:val="3C9227B9"/>
    <w:rsid w:val="3CE86D74"/>
    <w:rsid w:val="3DAF651E"/>
    <w:rsid w:val="3E1715D2"/>
    <w:rsid w:val="3E820B75"/>
    <w:rsid w:val="3F081602"/>
    <w:rsid w:val="408D59ED"/>
    <w:rsid w:val="40B54BA9"/>
    <w:rsid w:val="43337AAD"/>
    <w:rsid w:val="43406525"/>
    <w:rsid w:val="43776D56"/>
    <w:rsid w:val="44CC5046"/>
    <w:rsid w:val="44F243AD"/>
    <w:rsid w:val="45B649C6"/>
    <w:rsid w:val="46431172"/>
    <w:rsid w:val="46BD45D2"/>
    <w:rsid w:val="46D629D1"/>
    <w:rsid w:val="47C27D6C"/>
    <w:rsid w:val="4838270D"/>
    <w:rsid w:val="48EC3373"/>
    <w:rsid w:val="48F007C1"/>
    <w:rsid w:val="493B64BB"/>
    <w:rsid w:val="495E0E6D"/>
    <w:rsid w:val="49CD7090"/>
    <w:rsid w:val="49D55251"/>
    <w:rsid w:val="4B093EC0"/>
    <w:rsid w:val="4BE87A98"/>
    <w:rsid w:val="4C1743E7"/>
    <w:rsid w:val="4C2E43AC"/>
    <w:rsid w:val="4E616C92"/>
    <w:rsid w:val="4E6F2E5D"/>
    <w:rsid w:val="4F6E3391"/>
    <w:rsid w:val="4F9B25B3"/>
    <w:rsid w:val="502B1AD6"/>
    <w:rsid w:val="508A5A0C"/>
    <w:rsid w:val="50B13DEA"/>
    <w:rsid w:val="51DC432F"/>
    <w:rsid w:val="53DF3594"/>
    <w:rsid w:val="5407371F"/>
    <w:rsid w:val="54B75204"/>
    <w:rsid w:val="55076EDB"/>
    <w:rsid w:val="55220A2B"/>
    <w:rsid w:val="557F62EE"/>
    <w:rsid w:val="56143C4D"/>
    <w:rsid w:val="565019E7"/>
    <w:rsid w:val="56861129"/>
    <w:rsid w:val="569861B6"/>
    <w:rsid w:val="56B6493F"/>
    <w:rsid w:val="56D26221"/>
    <w:rsid w:val="5809250B"/>
    <w:rsid w:val="58946959"/>
    <w:rsid w:val="589E1721"/>
    <w:rsid w:val="58DF4BF5"/>
    <w:rsid w:val="594C70A2"/>
    <w:rsid w:val="5A5113C2"/>
    <w:rsid w:val="5C8F7148"/>
    <w:rsid w:val="5D5B355A"/>
    <w:rsid w:val="5D8C4430"/>
    <w:rsid w:val="5DAE37CB"/>
    <w:rsid w:val="5F6103C2"/>
    <w:rsid w:val="5FCD130C"/>
    <w:rsid w:val="5FD07FE9"/>
    <w:rsid w:val="60613CC2"/>
    <w:rsid w:val="61737CE0"/>
    <w:rsid w:val="617A62BB"/>
    <w:rsid w:val="62450E0A"/>
    <w:rsid w:val="6270505E"/>
    <w:rsid w:val="62A2790D"/>
    <w:rsid w:val="62EB49FC"/>
    <w:rsid w:val="632B05B6"/>
    <w:rsid w:val="63D905AD"/>
    <w:rsid w:val="63DE1259"/>
    <w:rsid w:val="640B0BB1"/>
    <w:rsid w:val="645F3309"/>
    <w:rsid w:val="647A03AB"/>
    <w:rsid w:val="652674EA"/>
    <w:rsid w:val="65844F4F"/>
    <w:rsid w:val="65B46500"/>
    <w:rsid w:val="66E2747D"/>
    <w:rsid w:val="66F7550A"/>
    <w:rsid w:val="673047EC"/>
    <w:rsid w:val="6833421D"/>
    <w:rsid w:val="683B31A6"/>
    <w:rsid w:val="6A4B69A3"/>
    <w:rsid w:val="6A9874AE"/>
    <w:rsid w:val="6AAD1A41"/>
    <w:rsid w:val="6B9C347D"/>
    <w:rsid w:val="6BAC18E9"/>
    <w:rsid w:val="6C0E5B8B"/>
    <w:rsid w:val="6D2F1B21"/>
    <w:rsid w:val="6E5F172B"/>
    <w:rsid w:val="6F5D0B2F"/>
    <w:rsid w:val="6F6117F5"/>
    <w:rsid w:val="6F84274A"/>
    <w:rsid w:val="6FBE314B"/>
    <w:rsid w:val="6FDC216E"/>
    <w:rsid w:val="70217AAF"/>
    <w:rsid w:val="70A0444C"/>
    <w:rsid w:val="71D70BE1"/>
    <w:rsid w:val="71E7396A"/>
    <w:rsid w:val="72282413"/>
    <w:rsid w:val="74FC2405"/>
    <w:rsid w:val="78373BAC"/>
    <w:rsid w:val="78D4376C"/>
    <w:rsid w:val="78D83818"/>
    <w:rsid w:val="79775D93"/>
    <w:rsid w:val="797E3090"/>
    <w:rsid w:val="799B26EC"/>
    <w:rsid w:val="79DA107C"/>
    <w:rsid w:val="7B853EC3"/>
    <w:rsid w:val="7BF92826"/>
    <w:rsid w:val="7CAE2B9E"/>
    <w:rsid w:val="7CB00C40"/>
    <w:rsid w:val="7D18299B"/>
    <w:rsid w:val="7E2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7"/>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3"/>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8"/>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qFormat/>
    <w:uiPriority w:val="0"/>
    <w:pPr>
      <w:snapToGrid w:val="0"/>
    </w:pPr>
    <w:rPr>
      <w:rFonts w:ascii="Arial" w:hAnsi="Arial" w:cs="Arial"/>
    </w:rPr>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3"/>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0"/>
    <w:autoRedefine/>
    <w:qFormat/>
    <w:uiPriority w:val="0"/>
    <w:rPr>
      <w:rFonts w:ascii="Arial" w:hAnsi="Arial" w:cs="Arial"/>
      <w:b/>
      <w:sz w:val="28"/>
    </w:rPr>
  </w:style>
  <w:style w:type="paragraph" w:styleId="31">
    <w:name w:val="Body Text Indent 2"/>
    <w:basedOn w:val="1"/>
    <w:link w:val="129"/>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7"/>
    <w:autoRedefine/>
    <w:unhideWhenUsed/>
    <w:qFormat/>
    <w:uiPriority w:val="0"/>
    <w:rPr>
      <w:sz w:val="18"/>
      <w:szCs w:val="18"/>
    </w:rPr>
  </w:style>
  <w:style w:type="paragraph" w:styleId="33">
    <w:name w:val="footer"/>
    <w:basedOn w:val="1"/>
    <w:link w:val="72"/>
    <w:autoRedefine/>
    <w:unhideWhenUsed/>
    <w:qFormat/>
    <w:uiPriority w:val="99"/>
    <w:pPr>
      <w:tabs>
        <w:tab w:val="center" w:pos="4153"/>
        <w:tab w:val="right" w:pos="8306"/>
      </w:tabs>
      <w:snapToGrid w:val="0"/>
      <w:jc w:val="left"/>
    </w:pPr>
    <w:rPr>
      <w:sz w:val="18"/>
      <w:szCs w:val="18"/>
    </w:rPr>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1"/>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8"/>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2"/>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3"/>
    <w:next w:val="1"/>
    <w:link w:val="136"/>
    <w:autoRedefine/>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5"/>
    <w:autoRedefine/>
    <w:unhideWhenUsed/>
    <w:qFormat/>
    <w:uiPriority w:val="0"/>
    <w:rPr>
      <w:rFonts w:ascii="宋体" w:hAnsi="宋体" w:eastAsia="宋体" w:cstheme="minorBidi"/>
      <w:b/>
      <w:bCs/>
    </w:rPr>
  </w:style>
  <w:style w:type="paragraph" w:styleId="53">
    <w:name w:val="Body Text First Indent"/>
    <w:basedOn w:val="19"/>
    <w:next w:val="54"/>
    <w:autoRedefine/>
    <w:semiHidden/>
    <w:unhideWhenUsed/>
    <w:qFormat/>
    <w:uiPriority w:val="99"/>
    <w:pPr>
      <w:ind w:firstLine="420" w:firstLineChars="100"/>
    </w:pPr>
  </w:style>
  <w:style w:type="paragraph" w:styleId="54">
    <w:name w:val="Body Text First Indent 2"/>
    <w:basedOn w:val="20"/>
    <w:next w:val="1"/>
    <w:qFormat/>
    <w:uiPriority w:val="0"/>
    <w:pPr>
      <w:spacing w:after="120" w:line="240" w:lineRule="auto"/>
      <w:ind w:left="420" w:leftChars="200" w:firstLine="420"/>
    </w:pPr>
    <w:rPr>
      <w:sz w:val="21"/>
    </w:r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yperlink"/>
    <w:basedOn w:val="57"/>
    <w:autoRedefine/>
    <w:unhideWhenUsed/>
    <w:qFormat/>
    <w:uiPriority w:val="99"/>
    <w:rPr>
      <w:color w:val="0000FF" w:themeColor="hyperlink"/>
      <w:u w:val="single"/>
      <w14:textFill>
        <w14:solidFill>
          <w14:schemeClr w14:val="hlink"/>
        </w14:solidFill>
      </w14:textFill>
    </w:rPr>
  </w:style>
  <w:style w:type="character" w:styleId="63">
    <w:name w:val="annotation reference"/>
    <w:basedOn w:val="57"/>
    <w:autoRedefine/>
    <w:unhideWhenUsed/>
    <w:qFormat/>
    <w:uiPriority w:val="0"/>
    <w:rPr>
      <w:sz w:val="21"/>
      <w:szCs w:val="21"/>
    </w:rPr>
  </w:style>
  <w:style w:type="character" w:styleId="64">
    <w:name w:val="footnote reference"/>
    <w:autoRedefine/>
    <w:unhideWhenUsed/>
    <w:qFormat/>
    <w:uiPriority w:val="0"/>
    <w:rPr>
      <w:vertAlign w:val="superscript"/>
    </w:rPr>
  </w:style>
  <w:style w:type="character" w:styleId="65">
    <w:name w:val="HTML Sample"/>
    <w:autoRedefine/>
    <w:qFormat/>
    <w:uiPriority w:val="0"/>
    <w:rPr>
      <w:rFonts w:hint="default" w:ascii="monospace" w:hAnsi="monospace" w:eastAsia="monospace" w:cs="monospace"/>
      <w:sz w:val="21"/>
      <w:szCs w:val="21"/>
    </w:rPr>
  </w:style>
  <w:style w:type="paragraph" w:customStyle="1" w:styleId="6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67">
    <w:name w:val="批注框文本 Char"/>
    <w:basedOn w:val="57"/>
    <w:link w:val="32"/>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Char"/>
    <w:basedOn w:val="57"/>
    <w:link w:val="34"/>
    <w:autoRedefine/>
    <w:qFormat/>
    <w:uiPriority w:val="99"/>
    <w:rPr>
      <w:rFonts w:ascii="@仿宋_GB2312" w:hAnsi="@仿宋_GB2312" w:eastAsia="@仿宋_GB2312" w:cs="@仿宋_GB2312"/>
      <w:sz w:val="18"/>
      <w:szCs w:val="18"/>
    </w:rPr>
  </w:style>
  <w:style w:type="character" w:customStyle="1" w:styleId="72">
    <w:name w:val="页脚 Char"/>
    <w:basedOn w:val="57"/>
    <w:link w:val="33"/>
    <w:autoRedefine/>
    <w:qFormat/>
    <w:uiPriority w:val="99"/>
    <w:rPr>
      <w:rFonts w:ascii="@仿宋_GB2312" w:hAnsi="@仿宋_GB2312" w:eastAsia="@仿宋_GB2312" w:cs="@仿宋_GB2312"/>
      <w:sz w:val="18"/>
      <w:szCs w:val="18"/>
    </w:rPr>
  </w:style>
  <w:style w:type="character" w:customStyle="1" w:styleId="73">
    <w:name w:val="纯文本 Char"/>
    <w:link w:val="28"/>
    <w:autoRedefine/>
    <w:qFormat/>
    <w:uiPriority w:val="0"/>
    <w:rPr>
      <w:rFonts w:ascii="宋体" w:hAnsi="Courier New"/>
    </w:rPr>
  </w:style>
  <w:style w:type="character" w:customStyle="1" w:styleId="74">
    <w:name w:val="纯文本 字符1"/>
    <w:basedOn w:val="57"/>
    <w:autoRedefine/>
    <w:semiHidden/>
    <w:qFormat/>
    <w:uiPriority w:val="99"/>
    <w:rPr>
      <w:rFonts w:hAnsi="Courier New" w:cs="Courier New" w:asciiTheme="minorEastAsia"/>
      <w:szCs w:val="20"/>
    </w:rPr>
  </w:style>
  <w:style w:type="character" w:customStyle="1" w:styleId="75">
    <w:name w:val="未处理的提及1"/>
    <w:basedOn w:val="57"/>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7"/>
    <w:autoRedefine/>
    <w:semiHidden/>
    <w:qFormat/>
    <w:uiPriority w:val="99"/>
    <w:rPr>
      <w:rFonts w:ascii="@仿宋_GB2312" w:hAnsi="@仿宋_GB2312" w:eastAsia="@仿宋_GB2312" w:cs="@仿宋_GB2312"/>
      <w:szCs w:val="20"/>
    </w:rPr>
  </w:style>
  <w:style w:type="character" w:customStyle="1" w:styleId="80">
    <w:name w:val="日期 Char"/>
    <w:link w:val="30"/>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7"/>
    <w:autoRedefine/>
    <w:qFormat/>
    <w:uiPriority w:val="0"/>
    <w:rPr>
      <w:rFonts w:ascii="@仿宋_GB2312" w:hAnsi="@仿宋_GB2312" w:eastAsia="@仿宋_GB2312" w:cs="@仿宋_GB2312"/>
      <w:szCs w:val="20"/>
    </w:rPr>
  </w:style>
  <w:style w:type="character" w:customStyle="1" w:styleId="84">
    <w:name w:val="批注文字 Char1"/>
    <w:link w:val="16"/>
    <w:autoRedefine/>
    <w:qFormat/>
    <w:uiPriority w:val="99"/>
    <w:rPr>
      <w:rFonts w:ascii="Arial" w:hAnsi="Arial" w:eastAsia="黑体" w:cs="Arial"/>
      <w:szCs w:val="20"/>
    </w:rPr>
  </w:style>
  <w:style w:type="character" w:customStyle="1" w:styleId="85">
    <w:name w:val="标题 1 Char"/>
    <w:basedOn w:val="57"/>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Char"/>
    <w:basedOn w:val="57"/>
    <w:link w:val="4"/>
    <w:autoRedefine/>
    <w:qFormat/>
    <w:uiPriority w:val="0"/>
    <w:rPr>
      <w:rFonts w:ascii="@仿宋_GB2312" w:hAnsi="@仿宋_GB2312" w:eastAsia="@仿宋_GB2312" w:cs="@仿宋_GB2312"/>
      <w:b/>
      <w:bCs/>
      <w:sz w:val="32"/>
      <w:szCs w:val="32"/>
    </w:rPr>
  </w:style>
  <w:style w:type="character" w:customStyle="1" w:styleId="88">
    <w:name w:val="fontstyle01"/>
    <w:basedOn w:val="57"/>
    <w:autoRedefine/>
    <w:qFormat/>
    <w:uiPriority w:val="0"/>
    <w:rPr>
      <w:rFonts w:hint="eastAsia" w:ascii="宋体" w:hAnsi="宋体" w:eastAsia="宋体"/>
      <w:color w:val="000000"/>
      <w:sz w:val="22"/>
      <w:szCs w:val="22"/>
    </w:rPr>
  </w:style>
  <w:style w:type="character" w:customStyle="1" w:styleId="89">
    <w:name w:val="fontstyle21"/>
    <w:basedOn w:val="57"/>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2">
    <w:name w:val="标题 4 Char"/>
    <w:link w:val="5"/>
    <w:autoRedefine/>
    <w:qFormat/>
    <w:uiPriority w:val="0"/>
    <w:rPr>
      <w:rFonts w:ascii="@仿宋_GB2312" w:hAnsi="@仿宋_GB2312" w:eastAsia="@仿宋_GB2312" w:cs="@仿宋_GB2312"/>
      <w:b/>
      <w:bCs/>
      <w:sz w:val="28"/>
      <w:szCs w:val="28"/>
    </w:rPr>
  </w:style>
  <w:style w:type="character" w:customStyle="1" w:styleId="93">
    <w:name w:val="正文文本 Char"/>
    <w:basedOn w:val="57"/>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5">
    <w:name w:val="批注主题 Char"/>
    <w:basedOn w:val="84"/>
    <w:link w:val="52"/>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8">
    <w:name w:val="标题 2 Char"/>
    <w:basedOn w:val="57"/>
    <w:link w:val="3"/>
    <w:autoRedefine/>
    <w:qFormat/>
    <w:uiPriority w:val="0"/>
    <w:rPr>
      <w:rFonts w:ascii="Cambria" w:hAnsi="Cambria" w:cs="Times New Roman"/>
      <w:b/>
      <w:bCs/>
      <w:kern w:val="2"/>
      <w:sz w:val="32"/>
      <w:szCs w:val="32"/>
      <w:lang w:val="zh-CN" w:eastAsia="zh-CN"/>
    </w:rPr>
  </w:style>
  <w:style w:type="character" w:customStyle="1" w:styleId="99">
    <w:name w:val="标题 5 Char"/>
    <w:basedOn w:val="57"/>
    <w:link w:val="6"/>
    <w:autoRedefine/>
    <w:qFormat/>
    <w:uiPriority w:val="0"/>
    <w:rPr>
      <w:rFonts w:ascii="Calibri" w:hAnsi="Calibri" w:cs="Times New Roman"/>
      <w:b/>
      <w:bCs/>
      <w:kern w:val="2"/>
      <w:sz w:val="28"/>
      <w:szCs w:val="28"/>
      <w:lang w:val="zh-CN" w:eastAsia="zh-CN"/>
    </w:rPr>
  </w:style>
  <w:style w:type="character" w:customStyle="1" w:styleId="100">
    <w:name w:val="标题 6 Char"/>
    <w:basedOn w:val="57"/>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Char"/>
    <w:basedOn w:val="57"/>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Char"/>
    <w:basedOn w:val="57"/>
    <w:link w:val="9"/>
    <w:autoRedefine/>
    <w:qFormat/>
    <w:uiPriority w:val="0"/>
    <w:rPr>
      <w:rFonts w:eastAsia="黑体" w:cs="Times New Roman"/>
      <w:kern w:val="2"/>
      <w:sz w:val="32"/>
      <w:szCs w:val="32"/>
      <w:lang w:val="zh-CN" w:eastAsia="zh-CN"/>
    </w:rPr>
  </w:style>
  <w:style w:type="character" w:customStyle="1" w:styleId="103">
    <w:name w:val="标题 9 Char"/>
    <w:basedOn w:val="57"/>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Char"/>
    <w:basedOn w:val="57"/>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Char"/>
    <w:basedOn w:val="57"/>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Char"/>
    <w:basedOn w:val="57"/>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26">
    <w:name w:val="tdrownotice1"/>
    <w:autoRedefine/>
    <w:qFormat/>
    <w:uiPriority w:val="0"/>
    <w:rPr>
      <w:sz w:val="22"/>
    </w:rPr>
  </w:style>
  <w:style w:type="paragraph" w:customStyle="1" w:styleId="127">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8">
    <w:name w:val="正文文本缩进 3 Char"/>
    <w:basedOn w:val="57"/>
    <w:link w:val="44"/>
    <w:autoRedefine/>
    <w:qFormat/>
    <w:uiPriority w:val="0"/>
    <w:rPr>
      <w:rFonts w:hAnsi="MS Sans Serif" w:cs="Times New Roman"/>
      <w:bCs/>
      <w:color w:val="000000"/>
      <w:sz w:val="24"/>
      <w:lang w:val="zh-CN" w:eastAsia="zh-CN"/>
    </w:rPr>
  </w:style>
  <w:style w:type="character" w:customStyle="1" w:styleId="129">
    <w:name w:val="正文文本缩进 2 Char"/>
    <w:basedOn w:val="57"/>
    <w:link w:val="31"/>
    <w:autoRedefine/>
    <w:qFormat/>
    <w:uiPriority w:val="0"/>
    <w:rPr>
      <w:rFonts w:hAnsi="MS Sans Serif" w:cs="Times New Roman"/>
      <w:bCs/>
      <w:spacing w:val="12"/>
      <w:sz w:val="24"/>
      <w:lang w:val="zh-CN" w:eastAsia="zh-CN"/>
    </w:rPr>
  </w:style>
  <w:style w:type="paragraph" w:customStyle="1" w:styleId="130">
    <w:name w:val="目录"/>
    <w:basedOn w:val="1"/>
    <w:autoRedefine/>
    <w:qFormat/>
    <w:uiPriority w:val="0"/>
    <w:pPr>
      <w:widowControl/>
      <w:jc w:val="center"/>
    </w:pPr>
    <w:rPr>
      <w:rFonts w:hAnsi="Calibri" w:cs="Times New Roman"/>
      <w:b/>
      <w:sz w:val="36"/>
    </w:rPr>
  </w:style>
  <w:style w:type="paragraph" w:customStyle="1" w:styleId="131">
    <w:name w:val="目录文字"/>
    <w:basedOn w:val="1"/>
    <w:autoRedefine/>
    <w:qFormat/>
    <w:uiPriority w:val="0"/>
    <w:pPr>
      <w:widowControl/>
      <w:spacing w:line="480" w:lineRule="auto"/>
      <w:jc w:val="left"/>
    </w:pPr>
    <w:rPr>
      <w:rFonts w:cs="Times New Roman"/>
      <w:sz w:val="24"/>
    </w:rPr>
  </w:style>
  <w:style w:type="character" w:customStyle="1" w:styleId="132">
    <w:name w:val="正文文本 2 Char"/>
    <w:basedOn w:val="57"/>
    <w:link w:val="47"/>
    <w:autoRedefine/>
    <w:qFormat/>
    <w:uiPriority w:val="0"/>
    <w:rPr>
      <w:rFonts w:hAnsi="Times New Roman" w:cs="Times New Roman"/>
      <w:spacing w:val="-20"/>
      <w:kern w:val="2"/>
      <w:sz w:val="28"/>
      <w:lang w:val="zh-CN" w:eastAsia="zh-CN"/>
    </w:rPr>
  </w:style>
  <w:style w:type="character" w:customStyle="1" w:styleId="133">
    <w:name w:val="正文文本 3 Char"/>
    <w:basedOn w:val="57"/>
    <w:link w:val="18"/>
    <w:autoRedefine/>
    <w:qFormat/>
    <w:uiPriority w:val="0"/>
    <w:rPr>
      <w:rFonts w:ascii="仿宋_GB2312" w:eastAsia="仿宋_GB2312" w:cs="Times New Roman"/>
      <w:bCs/>
      <w:color w:val="000000"/>
      <w:kern w:val="2"/>
      <w:sz w:val="24"/>
      <w:szCs w:val="32"/>
      <w:lang w:val="zh-CN" w:eastAsia="zh-CN"/>
    </w:rPr>
  </w:style>
  <w:style w:type="paragraph" w:customStyle="1" w:styleId="13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5">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6">
    <w:name w:val="标题 Char"/>
    <w:basedOn w:val="57"/>
    <w:link w:val="51"/>
    <w:autoRedefine/>
    <w:qFormat/>
    <w:uiPriority w:val="0"/>
    <w:rPr>
      <w:rFonts w:eastAsia="黑体" w:cs="Times New Roman"/>
      <w:b/>
      <w:smallCaps/>
      <w:snapToGrid w:val="0"/>
      <w:kern w:val="2"/>
      <w:sz w:val="44"/>
      <w:szCs w:val="24"/>
      <w:lang w:val="zh-CN" w:eastAsia="zh-CN"/>
    </w:rPr>
  </w:style>
  <w:style w:type="paragraph" w:customStyle="1" w:styleId="137">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8">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9">
    <w:name w:val="简单回函地址"/>
    <w:basedOn w:val="1"/>
    <w:autoRedefine/>
    <w:qFormat/>
    <w:uiPriority w:val="0"/>
    <w:rPr>
      <w:rFonts w:ascii="Calibri" w:hAnsi="Calibri" w:cs="Times New Roman"/>
      <w:kern w:val="2"/>
      <w:sz w:val="21"/>
      <w:szCs w:val="22"/>
    </w:rPr>
  </w:style>
  <w:style w:type="paragraph" w:customStyle="1" w:styleId="140">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1">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2">
    <w:name w:val="t_tag"/>
    <w:basedOn w:val="57"/>
    <w:autoRedefine/>
    <w:qFormat/>
    <w:uiPriority w:val="0"/>
  </w:style>
  <w:style w:type="table" w:customStyle="1" w:styleId="143">
    <w:name w:val="网格型11"/>
    <w:basedOn w:val="55"/>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4">
    <w:name w:val="批注框文本 Char1"/>
    <w:basedOn w:val="57"/>
    <w:autoRedefine/>
    <w:qFormat/>
    <w:uiPriority w:val="0"/>
    <w:rPr>
      <w:rFonts w:ascii="Times New Roman" w:hAnsi="Times New Roman" w:eastAsia="宋体" w:cs="Times New Roman"/>
      <w:sz w:val="18"/>
      <w:szCs w:val="18"/>
    </w:rPr>
  </w:style>
  <w:style w:type="character" w:customStyle="1" w:styleId="145">
    <w:name w:val="批注主题 Char1"/>
    <w:basedOn w:val="84"/>
    <w:autoRedefine/>
    <w:qFormat/>
    <w:uiPriority w:val="0"/>
    <w:rPr>
      <w:rFonts w:ascii="@仿宋_GB2312" w:hAnsi="@仿宋_GB2312" w:eastAsia="@仿宋_GB2312" w:cs="@仿宋_GB2312"/>
      <w:b/>
      <w:bCs/>
      <w:szCs w:val="20"/>
    </w:rPr>
  </w:style>
  <w:style w:type="paragraph" w:customStyle="1" w:styleId="146">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7">
    <w:name w:val="文档结构图 Char"/>
    <w:basedOn w:val="57"/>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8">
    <w:name w:val="标题 1 Char1"/>
    <w:autoRedefine/>
    <w:qFormat/>
    <w:uiPriority w:val="0"/>
    <w:rPr>
      <w:rFonts w:ascii="Calibri" w:hAnsi="Calibri" w:eastAsia="宋体"/>
      <w:b/>
      <w:kern w:val="44"/>
      <w:sz w:val="44"/>
      <w:szCs w:val="44"/>
    </w:rPr>
  </w:style>
  <w:style w:type="character" w:customStyle="1" w:styleId="149">
    <w:name w:val="标题 3 Char1"/>
    <w:autoRedefine/>
    <w:semiHidden/>
    <w:qFormat/>
    <w:uiPriority w:val="0"/>
    <w:rPr>
      <w:rFonts w:ascii="Calibri" w:hAnsi="Calibri" w:eastAsia="宋体"/>
      <w:b/>
      <w:kern w:val="2"/>
      <w:sz w:val="32"/>
    </w:rPr>
  </w:style>
  <w:style w:type="character" w:customStyle="1" w:styleId="150">
    <w:name w:val="标题 4 Char1"/>
    <w:autoRedefine/>
    <w:semiHidden/>
    <w:qFormat/>
    <w:uiPriority w:val="0"/>
    <w:rPr>
      <w:rFonts w:ascii="Cambria" w:hAnsi="Cambria" w:eastAsia="宋体"/>
      <w:b/>
      <w:kern w:val="2"/>
      <w:sz w:val="28"/>
      <w:szCs w:val="28"/>
    </w:rPr>
  </w:style>
  <w:style w:type="character" w:customStyle="1" w:styleId="151">
    <w:name w:val="标题 5 Char1"/>
    <w:autoRedefine/>
    <w:semiHidden/>
    <w:qFormat/>
    <w:uiPriority w:val="0"/>
    <w:rPr>
      <w:rFonts w:ascii="Calibri" w:hAnsi="Calibri" w:eastAsia="宋体"/>
      <w:b/>
      <w:kern w:val="2"/>
      <w:sz w:val="28"/>
      <w:szCs w:val="28"/>
    </w:rPr>
  </w:style>
  <w:style w:type="character" w:customStyle="1" w:styleId="152">
    <w:name w:val="标题 6 Char1"/>
    <w:autoRedefine/>
    <w:semiHidden/>
    <w:qFormat/>
    <w:uiPriority w:val="0"/>
    <w:rPr>
      <w:rFonts w:ascii="Cambria" w:hAnsi="Cambria" w:eastAsia="宋体"/>
      <w:b/>
      <w:kern w:val="2"/>
      <w:sz w:val="24"/>
      <w:szCs w:val="24"/>
    </w:rPr>
  </w:style>
  <w:style w:type="character" w:customStyle="1" w:styleId="153">
    <w:name w:val="标题 7 Char1"/>
    <w:autoRedefine/>
    <w:semiHidden/>
    <w:qFormat/>
    <w:uiPriority w:val="0"/>
    <w:rPr>
      <w:rFonts w:ascii="Calibri" w:hAnsi="Calibri" w:eastAsia="宋体"/>
      <w:b/>
      <w:kern w:val="2"/>
      <w:sz w:val="24"/>
      <w:szCs w:val="24"/>
    </w:rPr>
  </w:style>
  <w:style w:type="character" w:customStyle="1" w:styleId="154">
    <w:name w:val="标题 8 Char1"/>
    <w:autoRedefine/>
    <w:semiHidden/>
    <w:qFormat/>
    <w:uiPriority w:val="0"/>
    <w:rPr>
      <w:rFonts w:ascii="Cambria" w:hAnsi="Cambria" w:eastAsia="宋体"/>
      <w:kern w:val="2"/>
      <w:sz w:val="24"/>
      <w:szCs w:val="24"/>
    </w:rPr>
  </w:style>
  <w:style w:type="character" w:customStyle="1" w:styleId="155">
    <w:name w:val="标题 9 Char1"/>
    <w:autoRedefine/>
    <w:semiHidden/>
    <w:qFormat/>
    <w:uiPriority w:val="0"/>
    <w:rPr>
      <w:rFonts w:ascii="Cambria" w:hAnsi="Cambria" w:eastAsia="宋体"/>
      <w:kern w:val="2"/>
      <w:sz w:val="21"/>
      <w:szCs w:val="21"/>
    </w:rPr>
  </w:style>
  <w:style w:type="paragraph" w:customStyle="1" w:styleId="156">
    <w:name w:val="MsoNormal"/>
    <w:basedOn w:val="157"/>
    <w:autoRedefine/>
    <w:qFormat/>
    <w:uiPriority w:val="0"/>
    <w:rPr>
      <w:rFonts w:ascii="Calibri" w:hAnsi="Calibri" w:eastAsia="Calibri"/>
      <w:sz w:val="21"/>
    </w:rPr>
  </w:style>
  <w:style w:type="paragraph" w:customStyle="1" w:styleId="157">
    <w:name w:val="Normal_0"/>
    <w:autoRedefine/>
    <w:qFormat/>
    <w:uiPriority w:val="0"/>
    <w:rPr>
      <w:rFonts w:ascii="Times New Roman" w:hAnsi="Times New Roman" w:eastAsia="宋体" w:cs="Times New Roman"/>
      <w:sz w:val="24"/>
      <w:szCs w:val="24"/>
      <w:lang w:val="en-US" w:eastAsia="zh-CN" w:bidi="ar-SA"/>
    </w:rPr>
  </w:style>
  <w:style w:type="paragraph" w:customStyle="1" w:styleId="158">
    <w:name w:val="标题 2_0"/>
    <w:basedOn w:val="159"/>
    <w:next w:val="160"/>
    <w:link w:val="161"/>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9">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1">
    <w:name w:val="标题 2 Char_0"/>
    <w:link w:val="158"/>
    <w:autoRedefine/>
    <w:qFormat/>
    <w:uiPriority w:val="0"/>
    <w:rPr>
      <w:rFonts w:ascii="黑体" w:eastAsia="黑体" w:cs="Times New Roman"/>
      <w:b/>
      <w:smallCaps/>
      <w:snapToGrid w:val="0"/>
      <w:sz w:val="36"/>
      <w:szCs w:val="24"/>
      <w:lang w:val="zh-CN" w:eastAsia="zh-CN"/>
    </w:rPr>
  </w:style>
  <w:style w:type="paragraph" w:customStyle="1" w:styleId="162">
    <w:name w:val="纯文本_0"/>
    <w:basedOn w:val="160"/>
    <w:link w:val="163"/>
    <w:autoRedefine/>
    <w:qFormat/>
    <w:uiPriority w:val="99"/>
    <w:rPr>
      <w:rFonts w:ascii="宋体" w:hAnsi="Courier New"/>
      <w:szCs w:val="21"/>
    </w:rPr>
  </w:style>
  <w:style w:type="character" w:customStyle="1" w:styleId="163">
    <w:name w:val="Texte Char1"/>
    <w:link w:val="162"/>
    <w:autoRedefine/>
    <w:qFormat/>
    <w:uiPriority w:val="99"/>
    <w:rPr>
      <w:rFonts w:hAnsi="Courier New" w:cs="Times New Roman"/>
      <w:kern w:val="2"/>
      <w:sz w:val="21"/>
      <w:szCs w:val="21"/>
    </w:rPr>
  </w:style>
  <w:style w:type="paragraph" w:customStyle="1" w:styleId="164">
    <w:name w:val="纯文本_1"/>
    <w:basedOn w:val="165"/>
    <w:link w:val="166"/>
    <w:autoRedefine/>
    <w:qFormat/>
    <w:uiPriority w:val="0"/>
    <w:rPr>
      <w:rFonts w:ascii="宋体" w:hAnsi="Courier New"/>
      <w:szCs w:val="21"/>
      <w:lang w:val="zh-CN"/>
    </w:rPr>
  </w:style>
  <w:style w:type="paragraph" w:customStyle="1" w:styleId="16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纯文本 Char1_0"/>
    <w:link w:val="164"/>
    <w:autoRedefine/>
    <w:qFormat/>
    <w:uiPriority w:val="0"/>
    <w:rPr>
      <w:rFonts w:hAnsi="Courier New" w:cs="Times New Roman"/>
      <w:kern w:val="2"/>
      <w:sz w:val="21"/>
      <w:szCs w:val="21"/>
      <w:lang w:val="zh-CN" w:eastAsia="zh-CN"/>
    </w:rPr>
  </w:style>
  <w:style w:type="paragraph" w:customStyle="1" w:styleId="167">
    <w:name w:val="标题 3_0"/>
    <w:basedOn w:val="168"/>
    <w:next w:val="169"/>
    <w:link w:val="180"/>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8">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正文缩进_0"/>
    <w:basedOn w:val="168"/>
    <w:autoRedefine/>
    <w:unhideWhenUsed/>
    <w:qFormat/>
    <w:uiPriority w:val="0"/>
    <w:pPr>
      <w:ind w:firstLine="420" w:firstLineChars="200"/>
    </w:pPr>
    <w:rPr>
      <w:rFonts w:ascii="Calibri" w:hAnsi="Calibri"/>
      <w:bCs/>
      <w:szCs w:val="32"/>
    </w:rPr>
  </w:style>
  <w:style w:type="paragraph" w:customStyle="1" w:styleId="170">
    <w:name w:val="标题 1_0"/>
    <w:basedOn w:val="168"/>
    <w:next w:val="168"/>
    <w:link w:val="171"/>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1">
    <w:name w:val="标题 1 Char_0"/>
    <w:link w:val="170"/>
    <w:autoRedefine/>
    <w:qFormat/>
    <w:uiPriority w:val="0"/>
    <w:rPr>
      <w:rFonts w:ascii="黑体" w:hAnsi="Times New Roman" w:eastAsia="黑体" w:cs="Times New Roman"/>
      <w:sz w:val="52"/>
      <w:lang w:val="zh-CN" w:eastAsia="zh-CN"/>
    </w:rPr>
  </w:style>
  <w:style w:type="paragraph" w:customStyle="1" w:styleId="172">
    <w:name w:val="标题 6_0"/>
    <w:basedOn w:val="168"/>
    <w:next w:val="168"/>
    <w:link w:val="173"/>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3">
    <w:name w:val="标题 6 Char_0"/>
    <w:link w:val="172"/>
    <w:autoRedefine/>
    <w:qFormat/>
    <w:uiPriority w:val="0"/>
    <w:rPr>
      <w:rFonts w:ascii="Arial" w:hAnsi="Arial" w:eastAsia="黑体" w:cs="Times New Roman"/>
      <w:b/>
      <w:bCs/>
      <w:sz w:val="24"/>
      <w:szCs w:val="24"/>
      <w:lang w:val="zh-CN" w:eastAsia="zh-CN"/>
    </w:rPr>
  </w:style>
  <w:style w:type="paragraph" w:customStyle="1" w:styleId="174">
    <w:name w:val="标题 7_0"/>
    <w:basedOn w:val="168"/>
    <w:next w:val="168"/>
    <w:link w:val="175"/>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5">
    <w:name w:val="标题 7 Char_0"/>
    <w:link w:val="174"/>
    <w:autoRedefine/>
    <w:qFormat/>
    <w:uiPriority w:val="0"/>
    <w:rPr>
      <w:rFonts w:ascii="Times New Roman" w:hAnsi="Times New Roman" w:cs="Times New Roman"/>
      <w:b/>
      <w:bCs/>
      <w:sz w:val="24"/>
      <w:szCs w:val="24"/>
      <w:lang w:val="zh-CN" w:eastAsia="zh-CN"/>
    </w:rPr>
  </w:style>
  <w:style w:type="paragraph" w:customStyle="1" w:styleId="176">
    <w:name w:val="标题 8_0"/>
    <w:basedOn w:val="168"/>
    <w:next w:val="168"/>
    <w:link w:val="177"/>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7">
    <w:name w:val="标题 8 Char_0"/>
    <w:link w:val="176"/>
    <w:autoRedefine/>
    <w:qFormat/>
    <w:uiPriority w:val="0"/>
    <w:rPr>
      <w:rFonts w:ascii="Arial" w:hAnsi="Arial" w:eastAsia="黑体" w:cs="Times New Roman"/>
      <w:sz w:val="24"/>
      <w:szCs w:val="24"/>
      <w:lang w:val="zh-CN" w:eastAsia="zh-CN"/>
    </w:rPr>
  </w:style>
  <w:style w:type="paragraph" w:customStyle="1" w:styleId="178">
    <w:name w:val="标题 9_0"/>
    <w:basedOn w:val="168"/>
    <w:next w:val="168"/>
    <w:link w:val="179"/>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9">
    <w:name w:val="标题 9 Char_0"/>
    <w:link w:val="178"/>
    <w:autoRedefine/>
    <w:qFormat/>
    <w:uiPriority w:val="0"/>
    <w:rPr>
      <w:rFonts w:ascii="Arial" w:hAnsi="Arial" w:eastAsia="黑体" w:cs="Times New Roman"/>
      <w:sz w:val="21"/>
      <w:szCs w:val="21"/>
      <w:lang w:val="zh-CN" w:eastAsia="zh-CN"/>
    </w:rPr>
  </w:style>
  <w:style w:type="character" w:customStyle="1" w:styleId="180">
    <w:name w:val="标题 3 Char_0"/>
    <w:link w:val="167"/>
    <w:autoRedefine/>
    <w:qFormat/>
    <w:uiPriority w:val="0"/>
    <w:rPr>
      <w:rFonts w:ascii="Times New Roman" w:hAnsi="Times New Roman" w:cs="Times New Roman"/>
      <w:b/>
      <w:sz w:val="32"/>
      <w:lang w:val="zh-CN" w:eastAsia="zh-CN"/>
    </w:rPr>
  </w:style>
  <w:style w:type="paragraph" w:customStyle="1" w:styleId="181">
    <w:name w:val="Blockquote_0"/>
    <w:basedOn w:val="168"/>
    <w:link w:val="182"/>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2">
    <w:name w:val="Blockquote Char_0"/>
    <w:link w:val="181"/>
    <w:autoRedefine/>
    <w:qFormat/>
    <w:locked/>
    <w:uiPriority w:val="0"/>
    <w:rPr>
      <w:rFonts w:ascii="Times New Roman" w:hAnsi="Times New Roman" w:cs="Times New Roman"/>
      <w:sz w:val="24"/>
      <w:lang w:val="zh-CN" w:eastAsia="zh-CN"/>
    </w:rPr>
  </w:style>
  <w:style w:type="paragraph" w:customStyle="1" w:styleId="183">
    <w:name w:val="标题 4_0"/>
    <w:basedOn w:val="168"/>
    <w:next w:val="168"/>
    <w:link w:val="184"/>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4">
    <w:name w:val="标题 4 Char_0"/>
    <w:link w:val="183"/>
    <w:autoRedefine/>
    <w:qFormat/>
    <w:uiPriority w:val="0"/>
    <w:rPr>
      <w:rFonts w:ascii="Arial" w:hAnsi="Arial" w:eastAsia="黑体" w:cs="Times New Roman"/>
      <w:sz w:val="28"/>
      <w:lang w:val="zh-CN" w:eastAsia="zh-CN"/>
    </w:rPr>
  </w:style>
  <w:style w:type="paragraph" w:customStyle="1" w:styleId="185">
    <w:name w:val="纯文本_2"/>
    <w:basedOn w:val="168"/>
    <w:link w:val="186"/>
    <w:autoRedefine/>
    <w:qFormat/>
    <w:uiPriority w:val="0"/>
    <w:rPr>
      <w:rFonts w:ascii="宋体" w:hAnsi="Courier New"/>
      <w:szCs w:val="21"/>
      <w:lang w:val="zh-CN"/>
    </w:rPr>
  </w:style>
  <w:style w:type="character" w:customStyle="1" w:styleId="186">
    <w:name w:val="纯文本 Char1_1"/>
    <w:link w:val="185"/>
    <w:autoRedefine/>
    <w:qFormat/>
    <w:uiPriority w:val="0"/>
    <w:rPr>
      <w:rFonts w:hAnsi="Courier New" w:cs="Times New Roman"/>
      <w:kern w:val="2"/>
      <w:sz w:val="21"/>
      <w:szCs w:val="21"/>
      <w:lang w:val="zh-CN" w:eastAsia="zh-CN"/>
    </w:rPr>
  </w:style>
  <w:style w:type="paragraph" w:customStyle="1" w:styleId="187">
    <w:name w:val="Blockquote_0_1"/>
    <w:basedOn w:val="188"/>
    <w:link w:val="189"/>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9">
    <w:name w:val="Blockquote Char_0_1"/>
    <w:link w:val="187"/>
    <w:autoRedefine/>
    <w:qFormat/>
    <w:locked/>
    <w:uiPriority w:val="0"/>
    <w:rPr>
      <w:rFonts w:ascii="Times New Roman" w:hAnsi="Times New Roman" w:cs="Times New Roman"/>
      <w:sz w:val="24"/>
      <w:lang w:val="zh-CN" w:eastAsia="zh-CN"/>
    </w:rPr>
  </w:style>
  <w:style w:type="paragraph" w:customStyle="1" w:styleId="190">
    <w:name w:val="正文文本_0"/>
    <w:basedOn w:val="168"/>
    <w:link w:val="191"/>
    <w:autoRedefine/>
    <w:qFormat/>
    <w:uiPriority w:val="0"/>
    <w:pPr>
      <w:spacing w:after="120"/>
    </w:pPr>
    <w:rPr>
      <w:lang w:val="zh-CN"/>
    </w:rPr>
  </w:style>
  <w:style w:type="character" w:customStyle="1" w:styleId="191">
    <w:name w:val="正文文本 Char_0"/>
    <w:link w:val="190"/>
    <w:autoRedefine/>
    <w:qFormat/>
    <w:uiPriority w:val="0"/>
    <w:rPr>
      <w:rFonts w:ascii="Times New Roman" w:hAnsi="Times New Roman" w:cs="Times New Roman"/>
      <w:kern w:val="2"/>
      <w:sz w:val="21"/>
      <w:szCs w:val="24"/>
      <w:lang w:val="zh-CN" w:eastAsia="zh-CN"/>
    </w:rPr>
  </w:style>
  <w:style w:type="paragraph" w:customStyle="1" w:styleId="192">
    <w:name w:val="普通(网站)_0"/>
    <w:basedOn w:val="168"/>
    <w:autoRedefine/>
    <w:qFormat/>
    <w:uiPriority w:val="0"/>
    <w:pPr>
      <w:widowControl/>
      <w:spacing w:before="100" w:beforeAutospacing="1" w:after="100" w:afterAutospacing="1"/>
      <w:jc w:val="left"/>
    </w:pPr>
    <w:rPr>
      <w:rFonts w:ascii="宋体" w:hAnsi="宋体"/>
      <w:kern w:val="0"/>
      <w:sz w:val="24"/>
    </w:rPr>
  </w:style>
  <w:style w:type="paragraph" w:customStyle="1" w:styleId="19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脚注文本_0"/>
    <w:basedOn w:val="117"/>
    <w:link w:val="196"/>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6">
    <w:name w:val="脚注文本 Char_0"/>
    <w:link w:val="195"/>
    <w:autoRedefine/>
    <w:qFormat/>
    <w:uiPriority w:val="0"/>
    <w:rPr>
      <w:rFonts w:ascii="Times New Roman" w:hAnsi="Times New Roman" w:cs="Times New Roman"/>
      <w:sz w:val="18"/>
      <w:lang w:val="zh-CN" w:eastAsia="zh-CN"/>
    </w:rPr>
  </w:style>
  <w:style w:type="paragraph" w:customStyle="1" w:styleId="197">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3">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8">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9">
    <w:name w:val="Char Char Char Char Char"/>
    <w:basedOn w:val="1"/>
    <w:autoRedefine/>
    <w:qFormat/>
    <w:uiPriority w:val="0"/>
    <w:rPr>
      <w:rFonts w:ascii="Tahoma" w:hAnsi="Tahoma" w:cs="Times New Roman"/>
      <w:kern w:val="2"/>
      <w:sz w:val="24"/>
    </w:rPr>
  </w:style>
  <w:style w:type="paragraph" w:customStyle="1" w:styleId="220">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1">
    <w:name w:val="副标题 Char"/>
    <w:basedOn w:val="57"/>
    <w:link w:val="40"/>
    <w:autoRedefine/>
    <w:qFormat/>
    <w:uiPriority w:val="0"/>
    <w:rPr>
      <w:rFonts w:ascii="Arial" w:hAnsi="Arial" w:cs="Times New Roman"/>
      <w:b/>
      <w:bCs/>
      <w:kern w:val="28"/>
      <w:sz w:val="32"/>
      <w:szCs w:val="32"/>
      <w:lang w:val="zh-CN" w:eastAsia="zh-CN"/>
    </w:rPr>
  </w:style>
  <w:style w:type="character" w:customStyle="1" w:styleId="222">
    <w:name w:val="Char Char"/>
    <w:autoRedefine/>
    <w:qFormat/>
    <w:uiPriority w:val="0"/>
    <w:rPr>
      <w:rFonts w:ascii="宋体" w:hAnsi="Courier New" w:eastAsia="宋体" w:cs="Courier New"/>
      <w:kern w:val="2"/>
      <w:sz w:val="21"/>
      <w:szCs w:val="21"/>
      <w:lang w:val="en-US" w:eastAsia="zh-CN" w:bidi="ar-SA"/>
    </w:rPr>
  </w:style>
  <w:style w:type="character" w:customStyle="1" w:styleId="223">
    <w:name w:val="标题4 Char Char"/>
    <w:link w:val="224"/>
    <w:autoRedefine/>
    <w:qFormat/>
    <w:uiPriority w:val="0"/>
    <w:rPr>
      <w:rFonts w:ascii="Arial" w:hAnsi="Arial"/>
      <w:b/>
      <w:bCs/>
      <w:sz w:val="24"/>
      <w:szCs w:val="32"/>
    </w:rPr>
  </w:style>
  <w:style w:type="paragraph" w:customStyle="1" w:styleId="224">
    <w:name w:val="标题4"/>
    <w:basedOn w:val="3"/>
    <w:next w:val="25"/>
    <w:link w:val="223"/>
    <w:autoRedefine/>
    <w:qFormat/>
    <w:uiPriority w:val="0"/>
    <w:pPr>
      <w:spacing w:before="0" w:after="0" w:line="413" w:lineRule="auto"/>
    </w:pPr>
    <w:rPr>
      <w:rFonts w:ascii="Arial" w:hAnsi="Arial" w:cstheme="minorBidi"/>
      <w:kern w:val="0"/>
      <w:sz w:val="24"/>
      <w:lang w:val="en-US"/>
    </w:rPr>
  </w:style>
  <w:style w:type="character" w:customStyle="1" w:styleId="225">
    <w:name w:val="明显引用 Char"/>
    <w:link w:val="226"/>
    <w:autoRedefine/>
    <w:qFormat/>
    <w:uiPriority w:val="0"/>
    <w:rPr>
      <w:b/>
      <w:bCs/>
      <w:i/>
      <w:iCs/>
      <w:color w:val="4F81BD"/>
    </w:rPr>
  </w:style>
  <w:style w:type="paragraph" w:styleId="226">
    <w:name w:val="Intense Quote"/>
    <w:basedOn w:val="1"/>
    <w:next w:val="1"/>
    <w:link w:val="225"/>
    <w:autoRedefine/>
    <w:qFormat/>
    <w:uiPriority w:val="0"/>
    <w:pPr>
      <w:pBdr>
        <w:bottom w:val="single" w:color="4F81BD" w:themeColor="accent1" w:sz="4" w:space="4"/>
      </w:pBdr>
      <w:spacing w:before="200" w:after="280"/>
      <w:ind w:left="936" w:right="936"/>
    </w:pPr>
    <w:rPr>
      <w:b/>
      <w:bCs/>
      <w:i/>
      <w:iCs/>
      <w:color w:val="4F81BD"/>
    </w:rPr>
  </w:style>
  <w:style w:type="paragraph" w:customStyle="1" w:styleId="227">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8">
    <w:name w:val="明显引用 Char1"/>
    <w:basedOn w:val="57"/>
    <w:autoRedefine/>
    <w:qFormat/>
    <w:uiPriority w:val="30"/>
    <w:rPr>
      <w:rFonts w:ascii="Times New Roman" w:hAnsi="Times New Roman" w:eastAsia="宋体" w:cs="Times New Roman"/>
      <w:i/>
      <w:iCs/>
      <w:color w:val="5B9BD5"/>
      <w:szCs w:val="24"/>
    </w:rPr>
  </w:style>
  <w:style w:type="character" w:customStyle="1" w:styleId="229">
    <w:name w:val="标题5 Char Char"/>
    <w:link w:val="230"/>
    <w:autoRedefine/>
    <w:qFormat/>
    <w:uiPriority w:val="0"/>
    <w:rPr>
      <w:rFonts w:ascii="Arial" w:hAnsi="Arial"/>
      <w:b/>
      <w:bCs/>
      <w:sz w:val="24"/>
      <w:szCs w:val="32"/>
    </w:rPr>
  </w:style>
  <w:style w:type="paragraph" w:customStyle="1" w:styleId="230">
    <w:name w:val="标题5"/>
    <w:basedOn w:val="4"/>
    <w:link w:val="229"/>
    <w:autoRedefine/>
    <w:qFormat/>
    <w:uiPriority w:val="0"/>
    <w:pPr>
      <w:spacing w:line="413" w:lineRule="auto"/>
      <w:jc w:val="left"/>
    </w:pPr>
    <w:rPr>
      <w:rFonts w:ascii="Arial" w:hAnsi="Arial"/>
      <w:sz w:val="24"/>
    </w:rPr>
  </w:style>
  <w:style w:type="character" w:customStyle="1" w:styleId="231">
    <w:name w:val="引用 Char"/>
    <w:link w:val="232"/>
    <w:autoRedefine/>
    <w:qFormat/>
    <w:uiPriority w:val="0"/>
    <w:rPr>
      <w:i/>
      <w:iCs/>
      <w:color w:val="000000"/>
    </w:rPr>
  </w:style>
  <w:style w:type="paragraph" w:styleId="232">
    <w:name w:val="Quote"/>
    <w:basedOn w:val="1"/>
    <w:next w:val="1"/>
    <w:link w:val="231"/>
    <w:autoRedefine/>
    <w:qFormat/>
    <w:uiPriority w:val="0"/>
    <w:rPr>
      <w:i/>
      <w:iCs/>
      <w:color w:val="000000"/>
    </w:rPr>
  </w:style>
  <w:style w:type="paragraph" w:customStyle="1" w:styleId="233">
    <w:name w:val="引用1"/>
    <w:basedOn w:val="1"/>
    <w:next w:val="1"/>
    <w:autoRedefine/>
    <w:qFormat/>
    <w:uiPriority w:val="0"/>
    <w:rPr>
      <w:rFonts w:ascii="Calibri" w:hAnsi="Calibri" w:cs="Times New Roman"/>
      <w:i/>
      <w:iCs/>
      <w:color w:val="000000"/>
      <w:kern w:val="2"/>
      <w:sz w:val="21"/>
      <w:szCs w:val="22"/>
    </w:rPr>
  </w:style>
  <w:style w:type="character" w:customStyle="1" w:styleId="234">
    <w:name w:val="引用 Char1"/>
    <w:basedOn w:val="57"/>
    <w:autoRedefine/>
    <w:qFormat/>
    <w:uiPriority w:val="29"/>
    <w:rPr>
      <w:rFonts w:ascii="Times New Roman" w:hAnsi="Times New Roman" w:eastAsia="宋体" w:cs="Times New Roman"/>
      <w:i/>
      <w:iCs/>
      <w:color w:val="404040"/>
      <w:szCs w:val="24"/>
    </w:rPr>
  </w:style>
  <w:style w:type="character" w:customStyle="1" w:styleId="235">
    <w:name w:val="ask-title2"/>
    <w:autoRedefine/>
    <w:qFormat/>
    <w:uiPriority w:val="0"/>
  </w:style>
  <w:style w:type="character" w:customStyle="1" w:styleId="236">
    <w:name w:val="正文文本 Char1"/>
    <w:autoRedefine/>
    <w:qFormat/>
    <w:uiPriority w:val="0"/>
    <w:rPr>
      <w:kern w:val="2"/>
      <w:sz w:val="21"/>
      <w:szCs w:val="22"/>
    </w:rPr>
  </w:style>
  <w:style w:type="character" w:customStyle="1" w:styleId="237">
    <w:name w:val="不明显强调1"/>
    <w:autoRedefine/>
    <w:qFormat/>
    <w:uiPriority w:val="0"/>
    <w:rPr>
      <w:i/>
      <w:iCs/>
      <w:color w:val="808080"/>
    </w:rPr>
  </w:style>
  <w:style w:type="character" w:customStyle="1" w:styleId="238">
    <w:name w:val="明显参考1"/>
    <w:autoRedefine/>
    <w:qFormat/>
    <w:uiPriority w:val="0"/>
    <w:rPr>
      <w:b/>
      <w:bCs/>
      <w:smallCaps/>
      <w:color w:val="C0504D"/>
      <w:spacing w:val="5"/>
      <w:u w:val="single"/>
    </w:rPr>
  </w:style>
  <w:style w:type="character" w:customStyle="1" w:styleId="239">
    <w:name w:val="书籍标题1"/>
    <w:autoRedefine/>
    <w:qFormat/>
    <w:uiPriority w:val="0"/>
    <w:rPr>
      <w:b/>
      <w:bCs/>
      <w:smallCaps/>
      <w:spacing w:val="5"/>
    </w:rPr>
  </w:style>
  <w:style w:type="character" w:customStyle="1" w:styleId="240">
    <w:name w:val="日期 Char1"/>
    <w:autoRedefine/>
    <w:qFormat/>
    <w:uiPriority w:val="0"/>
    <w:rPr>
      <w:kern w:val="2"/>
      <w:sz w:val="21"/>
      <w:szCs w:val="22"/>
    </w:rPr>
  </w:style>
  <w:style w:type="character" w:customStyle="1" w:styleId="241">
    <w:name w:val="明显强调1"/>
    <w:autoRedefine/>
    <w:qFormat/>
    <w:uiPriority w:val="0"/>
    <w:rPr>
      <w:b/>
      <w:bCs/>
      <w:i/>
      <w:iCs/>
      <w:color w:val="4F81BD"/>
    </w:rPr>
  </w:style>
  <w:style w:type="character" w:customStyle="1" w:styleId="242">
    <w:name w:val="textcontents"/>
    <w:autoRedefine/>
    <w:qFormat/>
    <w:uiPriority w:val="0"/>
    <w:rPr>
      <w:rFonts w:cs="Times New Roman"/>
    </w:rPr>
  </w:style>
  <w:style w:type="character" w:customStyle="1" w:styleId="243">
    <w:name w:val="不明显参考1"/>
    <w:autoRedefine/>
    <w:qFormat/>
    <w:uiPriority w:val="0"/>
    <w:rPr>
      <w:smallCaps/>
      <w:color w:val="C0504D"/>
      <w:u w:val="single"/>
    </w:rPr>
  </w:style>
  <w:style w:type="character" w:customStyle="1" w:styleId="244">
    <w:name w:val="批注文字 Char Char"/>
    <w:autoRedefine/>
    <w:qFormat/>
    <w:uiPriority w:val="0"/>
    <w:rPr>
      <w:rFonts w:ascii="宋体" w:hAnsi="Times New Roman" w:eastAsia="宋体" w:cs="Times New Roman"/>
      <w:sz w:val="28"/>
      <w:szCs w:val="20"/>
    </w:rPr>
  </w:style>
  <w:style w:type="character" w:customStyle="1" w:styleId="245">
    <w:name w:val="文档结构图 Char1"/>
    <w:autoRedefine/>
    <w:qFormat/>
    <w:uiPriority w:val="0"/>
    <w:rPr>
      <w:rFonts w:ascii="宋体"/>
      <w:kern w:val="2"/>
      <w:sz w:val="18"/>
      <w:szCs w:val="18"/>
    </w:rPr>
  </w:style>
  <w:style w:type="paragraph" w:customStyle="1" w:styleId="246">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7">
    <w:name w:val="页脚 Char1"/>
    <w:autoRedefine/>
    <w:semiHidden/>
    <w:qFormat/>
    <w:uiPriority w:val="99"/>
    <w:rPr>
      <w:kern w:val="2"/>
      <w:sz w:val="18"/>
      <w:szCs w:val="18"/>
    </w:rPr>
  </w:style>
  <w:style w:type="character" w:customStyle="1" w:styleId="248">
    <w:name w:val="批注框文本 Char2"/>
    <w:autoRedefine/>
    <w:semiHidden/>
    <w:qFormat/>
    <w:uiPriority w:val="99"/>
    <w:rPr>
      <w:kern w:val="2"/>
      <w:sz w:val="18"/>
      <w:szCs w:val="18"/>
    </w:rPr>
  </w:style>
  <w:style w:type="character" w:customStyle="1" w:styleId="249">
    <w:name w:val="批注主题 Char2"/>
    <w:autoRedefine/>
    <w:semiHidden/>
    <w:qFormat/>
    <w:uiPriority w:val="99"/>
    <w:rPr>
      <w:b/>
      <w:bCs/>
      <w:kern w:val="2"/>
      <w:sz w:val="21"/>
      <w:szCs w:val="22"/>
    </w:rPr>
  </w:style>
  <w:style w:type="character" w:customStyle="1" w:styleId="250">
    <w:name w:val="文档结构图 Char2"/>
    <w:autoRedefine/>
    <w:semiHidden/>
    <w:qFormat/>
    <w:uiPriority w:val="99"/>
    <w:rPr>
      <w:rFonts w:ascii="宋体"/>
      <w:kern w:val="2"/>
      <w:sz w:val="18"/>
      <w:szCs w:val="18"/>
    </w:rPr>
  </w:style>
  <w:style w:type="character" w:customStyle="1" w:styleId="251">
    <w:name w:val="页眉 Char1"/>
    <w:autoRedefine/>
    <w:semiHidden/>
    <w:qFormat/>
    <w:uiPriority w:val="99"/>
    <w:rPr>
      <w:kern w:val="2"/>
      <w:sz w:val="18"/>
      <w:szCs w:val="18"/>
    </w:rPr>
  </w:style>
  <w:style w:type="character" w:customStyle="1" w:styleId="252">
    <w:name w:val="日期 Char2"/>
    <w:autoRedefine/>
    <w:semiHidden/>
    <w:qFormat/>
    <w:uiPriority w:val="99"/>
    <w:rPr>
      <w:kern w:val="2"/>
      <w:sz w:val="21"/>
      <w:szCs w:val="22"/>
    </w:rPr>
  </w:style>
  <w:style w:type="character" w:customStyle="1" w:styleId="253">
    <w:name w:val="正文文本 Char2"/>
    <w:autoRedefine/>
    <w:semiHidden/>
    <w:qFormat/>
    <w:uiPriority w:val="99"/>
    <w:rPr>
      <w:kern w:val="2"/>
      <w:sz w:val="21"/>
      <w:szCs w:val="22"/>
    </w:rPr>
  </w:style>
  <w:style w:type="character" w:customStyle="1" w:styleId="254">
    <w:name w:val="标题 Char1"/>
    <w:autoRedefine/>
    <w:qFormat/>
    <w:uiPriority w:val="10"/>
    <w:rPr>
      <w:rFonts w:ascii="Cambria" w:hAnsi="Cambria" w:cs="Times New Roman"/>
      <w:b/>
      <w:bCs/>
      <w:kern w:val="2"/>
      <w:sz w:val="32"/>
      <w:szCs w:val="32"/>
    </w:rPr>
  </w:style>
  <w:style w:type="character" w:customStyle="1" w:styleId="255">
    <w:name w:val="副标题 Char1"/>
    <w:autoRedefine/>
    <w:qFormat/>
    <w:uiPriority w:val="11"/>
    <w:rPr>
      <w:rFonts w:ascii="Cambria" w:hAnsi="Cambria" w:cs="Times New Roman"/>
      <w:b/>
      <w:bCs/>
      <w:kern w:val="28"/>
      <w:sz w:val="32"/>
      <w:szCs w:val="32"/>
    </w:rPr>
  </w:style>
  <w:style w:type="paragraph" w:customStyle="1" w:styleId="256">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7">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9">
    <w:name w:val="正文2 Char"/>
    <w:link w:val="260"/>
    <w:autoRedefine/>
    <w:qFormat/>
    <w:uiPriority w:val="0"/>
    <w:rPr>
      <w:rFonts w:ascii="楷体" w:eastAsia="楷体"/>
      <w:b/>
      <w:color w:val="0000FF"/>
    </w:rPr>
  </w:style>
  <w:style w:type="paragraph" w:customStyle="1" w:styleId="260">
    <w:name w:val="正文2"/>
    <w:link w:val="259"/>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1">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2">
    <w:name w:val="正文文本 (2)_"/>
    <w:link w:val="263"/>
    <w:autoRedefine/>
    <w:qFormat/>
    <w:locked/>
    <w:uiPriority w:val="99"/>
    <w:rPr>
      <w:rFonts w:ascii="MingLiU" w:eastAsia="MingLiU" w:cs="MingLiU"/>
      <w:spacing w:val="20"/>
      <w:sz w:val="22"/>
      <w:shd w:val="clear" w:color="auto" w:fill="FFFFFF"/>
    </w:rPr>
  </w:style>
  <w:style w:type="paragraph" w:customStyle="1" w:styleId="263">
    <w:name w:val="正文文本 (2)1"/>
    <w:basedOn w:val="1"/>
    <w:link w:val="262"/>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4">
    <w:name w:val="正文文本 (2) + 间距 0 pt5"/>
    <w:autoRedefine/>
    <w:qFormat/>
    <w:uiPriority w:val="99"/>
    <w:rPr>
      <w:rFonts w:ascii="MingLiU" w:eastAsia="MingLiU" w:cs="MingLiU"/>
      <w:spacing w:val="0"/>
      <w:sz w:val="22"/>
      <w:shd w:val="clear" w:color="auto" w:fill="FFFFFF"/>
    </w:rPr>
  </w:style>
  <w:style w:type="character" w:customStyle="1" w:styleId="265">
    <w:name w:val="访问过的超链接1"/>
    <w:basedOn w:val="57"/>
    <w:autoRedefine/>
    <w:semiHidden/>
    <w:unhideWhenUsed/>
    <w:qFormat/>
    <w:uiPriority w:val="99"/>
    <w:rPr>
      <w:color w:val="954F72"/>
      <w:u w:val="single"/>
    </w:rPr>
  </w:style>
  <w:style w:type="character" w:customStyle="1" w:styleId="266">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67">
    <w:name w:val="引用 Char2"/>
    <w:basedOn w:val="57"/>
    <w:autoRedefine/>
    <w:qFormat/>
    <w:uiPriority w:val="29"/>
    <w:rPr>
      <w:i/>
      <w:iCs/>
      <w:color w:val="000000" w:themeColor="text1"/>
      <w14:textFill>
        <w14:solidFill>
          <w14:schemeClr w14:val="tx1"/>
        </w14:solidFill>
      </w14:textFill>
    </w:rPr>
  </w:style>
  <w:style w:type="table" w:customStyle="1" w:styleId="268">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9">
    <w:name w:val="Table Normal"/>
    <w:autoRedefine/>
    <w:semiHidden/>
    <w:unhideWhenUsed/>
    <w:qFormat/>
    <w:uiPriority w:val="0"/>
    <w:tblPr>
      <w:tblCellMar>
        <w:top w:w="0" w:type="dxa"/>
        <w:left w:w="0" w:type="dxa"/>
        <w:bottom w:w="0" w:type="dxa"/>
        <w:right w:w="0" w:type="dxa"/>
      </w:tblCellMar>
    </w:tblPr>
  </w:style>
  <w:style w:type="paragraph" w:customStyle="1" w:styleId="270">
    <w:name w:val="Table Text"/>
    <w:basedOn w:val="1"/>
    <w:autoRedefine/>
    <w:semiHidden/>
    <w:qFormat/>
    <w:uiPriority w:val="0"/>
    <w:rPr>
      <w:rFonts w:ascii="Arial" w:hAnsi="Arial" w:eastAsia="Arial" w:cs="Arial"/>
      <w:sz w:val="21"/>
      <w:szCs w:val="21"/>
      <w:lang w:val="en-US" w:eastAsia="en-US" w:bidi="ar-SA"/>
    </w:rPr>
  </w:style>
  <w:style w:type="character" w:customStyle="1" w:styleId="271">
    <w:name w:val="NormalCharacter"/>
    <w:qFormat/>
    <w:uiPriority w:val="99"/>
  </w:style>
  <w:style w:type="paragraph" w:customStyle="1" w:styleId="272">
    <w:name w:val="样式 样式 正文文本缩进正文文字缩进 + 首行缩进:  2 字符2 + 首行缩进:  2 字符"/>
    <w:basedOn w:val="1"/>
    <w:qFormat/>
    <w:uiPriority w:val="0"/>
    <w:pPr>
      <w:ind w:left="100" w:leftChars="100" w:right="100" w:rightChars="100" w:firstLine="200" w:firstLineChars="100"/>
    </w:pPr>
    <w:rPr>
      <w:rFonts w:hAnsi="Arial"/>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104</Pages>
  <Words>1866</Words>
  <Characters>2162</Characters>
  <Lines>451</Lines>
  <Paragraphs>127</Paragraphs>
  <TotalTime>152</TotalTime>
  <ScaleCrop>false</ScaleCrop>
  <LinksUpToDate>false</LinksUpToDate>
  <CharactersWithSpaces>2203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XL</cp:lastModifiedBy>
  <cp:lastPrinted>2019-12-07T15:20:00Z</cp:lastPrinted>
  <dcterms:modified xsi:type="dcterms:W3CDTF">2026-04-10T06:03:25Z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456A8E0987814F0689620C34DD97C5FE_12</vt:lpwstr>
  </property>
  <property fmtid="{D5CDD505-2E9C-101B-9397-08002B2CF9AE}" pid="4" name="KSOTemplateDocerSaveRecord">
    <vt:lpwstr>eyJoZGlkIjoiNjVjMjdmY2NkODdkMWY1ZDA0ZDQ1NDczOTM5MzNlMjkiLCJ1c2VySWQiOiIxMzQ4MTEzOTE4In0=</vt:lpwstr>
  </property>
</Properties>
</file>