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859E8">
      <w:pPr>
        <w:tabs>
          <w:tab w:val="left" w:pos="315"/>
          <w:tab w:val="left" w:pos="8820"/>
        </w:tabs>
        <w:spacing w:before="240" w:beforeLines="100" w:after="120" w:afterLines="50" w:line="500" w:lineRule="exact"/>
        <w:ind w:right="254" w:rightChars="127"/>
        <w:jc w:val="center"/>
        <w:rPr>
          <w:b/>
          <w:bCs/>
          <w:color w:val="000000" w:themeColor="text1"/>
          <w:sz w:val="52"/>
          <w:szCs w:val="52"/>
          <w:highlight w:val="none"/>
          <w:vertAlign w:val="superscript"/>
          <w14:textFill>
            <w14:solidFill>
              <w14:schemeClr w14:val="tx1"/>
            </w14:solidFill>
          </w14:textFill>
        </w:rPr>
      </w:pPr>
    </w:p>
    <w:p w14:paraId="576DEE06">
      <w:pPr>
        <w:tabs>
          <w:tab w:val="left" w:pos="315"/>
          <w:tab w:val="left" w:pos="8820"/>
        </w:tabs>
        <w:spacing w:before="240" w:beforeLines="100" w:after="120" w:afterLines="50" w:line="500" w:lineRule="exact"/>
        <w:ind w:right="254" w:rightChars="127"/>
        <w:jc w:val="center"/>
        <w:rPr>
          <w:b/>
          <w:bCs/>
          <w:color w:val="000000" w:themeColor="text1"/>
          <w:sz w:val="52"/>
          <w:szCs w:val="52"/>
          <w:highlight w:val="none"/>
          <w14:textFill>
            <w14:solidFill>
              <w14:schemeClr w14:val="tx1"/>
            </w14:solidFill>
          </w14:textFill>
        </w:rPr>
      </w:pPr>
    </w:p>
    <w:p w14:paraId="2F5146BB">
      <w:pPr>
        <w:tabs>
          <w:tab w:val="left" w:pos="315"/>
          <w:tab w:val="left" w:pos="8820"/>
        </w:tabs>
        <w:spacing w:before="240" w:beforeLines="100" w:after="120" w:afterLines="50" w:line="500" w:lineRule="exact"/>
        <w:ind w:right="254" w:rightChars="127"/>
        <w:jc w:val="center"/>
        <w:rPr>
          <w:b/>
          <w:bCs/>
          <w:color w:val="000000" w:themeColor="text1"/>
          <w:sz w:val="52"/>
          <w:szCs w:val="52"/>
          <w:highlight w:val="none"/>
          <w14:textFill>
            <w14:solidFill>
              <w14:schemeClr w14:val="tx1"/>
            </w14:solidFill>
          </w14:textFill>
        </w:rPr>
      </w:pPr>
      <w:bookmarkStart w:id="0" w:name="_Hlk9544796"/>
      <w:r>
        <w:rPr>
          <w:rFonts w:hint="eastAsia"/>
          <w:b/>
          <w:bCs/>
          <w:color w:val="000000" w:themeColor="text1"/>
          <w:sz w:val="52"/>
          <w:szCs w:val="52"/>
          <w:highlight w:val="none"/>
          <w14:textFill>
            <w14:solidFill>
              <w14:schemeClr w14:val="tx1"/>
            </w14:solidFill>
          </w14:textFill>
        </w:rPr>
        <w:t>安徽省政府采购项目</w:t>
      </w:r>
    </w:p>
    <w:p w14:paraId="5C1332A6">
      <w:pPr>
        <w:tabs>
          <w:tab w:val="left" w:pos="315"/>
          <w:tab w:val="left" w:pos="8820"/>
        </w:tabs>
        <w:spacing w:before="240" w:beforeLines="100" w:after="120" w:afterLines="50" w:line="500" w:lineRule="exact"/>
        <w:ind w:right="254" w:rightChars="127"/>
        <w:jc w:val="center"/>
        <w:rPr>
          <w:b/>
          <w:bCs/>
          <w:color w:val="000000" w:themeColor="text1"/>
          <w:sz w:val="52"/>
          <w:szCs w:val="52"/>
          <w:highlight w:val="none"/>
          <w14:textFill>
            <w14:solidFill>
              <w14:schemeClr w14:val="tx1"/>
            </w14:solidFill>
          </w14:textFill>
        </w:rPr>
      </w:pPr>
      <w:r>
        <w:rPr>
          <w:rFonts w:hint="eastAsia"/>
          <w:b/>
          <w:bCs/>
          <w:color w:val="000000" w:themeColor="text1"/>
          <w:sz w:val="52"/>
          <w:szCs w:val="52"/>
          <w:highlight w:val="none"/>
          <w14:textFill>
            <w14:solidFill>
              <w14:schemeClr w14:val="tx1"/>
            </w14:solidFill>
          </w14:textFill>
        </w:rPr>
        <w:t>竞争性磋商文件示范文本（工程类）</w:t>
      </w:r>
    </w:p>
    <w:p w14:paraId="678AE56A">
      <w:pPr>
        <w:tabs>
          <w:tab w:val="left" w:pos="315"/>
          <w:tab w:val="left" w:pos="8820"/>
        </w:tabs>
        <w:spacing w:before="240" w:beforeLines="100" w:after="120" w:afterLines="50" w:line="500" w:lineRule="exact"/>
        <w:ind w:right="254" w:rightChars="127"/>
        <w:jc w:val="center"/>
        <w:rPr>
          <w:b/>
          <w:bCs/>
          <w:color w:val="000000" w:themeColor="text1"/>
          <w:sz w:val="52"/>
          <w:szCs w:val="52"/>
          <w:highlight w:val="none"/>
          <w14:textFill>
            <w14:solidFill>
              <w14:schemeClr w14:val="tx1"/>
            </w14:solidFill>
          </w14:textFill>
        </w:rPr>
      </w:pPr>
      <w:r>
        <w:rPr>
          <w:rFonts w:hint="eastAsia"/>
          <w:b/>
          <w:bCs/>
          <w:color w:val="000000" w:themeColor="text1"/>
          <w:sz w:val="52"/>
          <w:szCs w:val="52"/>
          <w:highlight w:val="none"/>
          <w14:textFill>
            <w14:solidFill>
              <w14:schemeClr w14:val="tx1"/>
            </w14:solidFill>
          </w14:textFill>
        </w:rPr>
        <w:t>（2026版本）</w:t>
      </w:r>
    </w:p>
    <w:bookmarkEnd w:id="0"/>
    <w:p w14:paraId="56900EEA">
      <w:pPr>
        <w:tabs>
          <w:tab w:val="left" w:pos="315"/>
          <w:tab w:val="left" w:pos="8820"/>
        </w:tabs>
        <w:spacing w:before="240" w:beforeLines="100" w:after="120" w:afterLines="50" w:line="500" w:lineRule="exact"/>
        <w:ind w:right="254" w:rightChars="127"/>
        <w:jc w:val="center"/>
        <w:rPr>
          <w:bCs/>
          <w:color w:val="000000" w:themeColor="text1"/>
          <w:sz w:val="44"/>
          <w:szCs w:val="44"/>
          <w:highlight w:val="none"/>
          <w14:textFill>
            <w14:solidFill>
              <w14:schemeClr w14:val="tx1"/>
            </w14:solidFill>
          </w14:textFill>
        </w:rPr>
      </w:pPr>
    </w:p>
    <w:p w14:paraId="6F990710">
      <w:pPr>
        <w:tabs>
          <w:tab w:val="left" w:pos="315"/>
          <w:tab w:val="left" w:pos="8820"/>
        </w:tabs>
        <w:spacing w:before="240" w:beforeLines="100" w:after="120" w:afterLines="50" w:line="500" w:lineRule="exact"/>
        <w:ind w:right="254" w:rightChars="127"/>
        <w:jc w:val="center"/>
        <w:rPr>
          <w:b/>
          <w:bCs/>
          <w:color w:val="000000" w:themeColor="text1"/>
          <w:sz w:val="44"/>
          <w:szCs w:val="44"/>
          <w:highlight w:val="none"/>
          <w14:textFill>
            <w14:solidFill>
              <w14:schemeClr w14:val="tx1"/>
            </w14:solidFill>
          </w14:textFill>
        </w:rPr>
      </w:pPr>
    </w:p>
    <w:p w14:paraId="5CB0EBC5">
      <w:pPr>
        <w:tabs>
          <w:tab w:val="left" w:pos="315"/>
          <w:tab w:val="left" w:pos="8820"/>
        </w:tabs>
        <w:spacing w:before="240" w:beforeLines="100" w:after="120" w:afterLines="50" w:line="500" w:lineRule="exact"/>
        <w:ind w:right="254" w:rightChars="127"/>
        <w:jc w:val="center"/>
        <w:rPr>
          <w:b/>
          <w:bCs/>
          <w:color w:val="000000" w:themeColor="text1"/>
          <w:sz w:val="44"/>
          <w:szCs w:val="44"/>
          <w:highlight w:val="none"/>
          <w14:textFill>
            <w14:solidFill>
              <w14:schemeClr w14:val="tx1"/>
            </w14:solidFill>
          </w14:textFill>
        </w:rPr>
      </w:pPr>
    </w:p>
    <w:p w14:paraId="0A51C142">
      <w:pPr>
        <w:tabs>
          <w:tab w:val="left" w:pos="315"/>
          <w:tab w:val="left" w:pos="8820"/>
        </w:tabs>
        <w:spacing w:before="240" w:beforeLines="100" w:after="120" w:afterLines="50" w:line="500" w:lineRule="exact"/>
        <w:ind w:right="254" w:rightChars="127"/>
        <w:jc w:val="center"/>
        <w:rPr>
          <w:b/>
          <w:bCs/>
          <w:color w:val="000000" w:themeColor="text1"/>
          <w:sz w:val="44"/>
          <w:szCs w:val="44"/>
          <w:highlight w:val="none"/>
          <w14:textFill>
            <w14:solidFill>
              <w14:schemeClr w14:val="tx1"/>
            </w14:solidFill>
          </w14:textFill>
        </w:rPr>
      </w:pPr>
    </w:p>
    <w:p w14:paraId="7D6FA889">
      <w:pPr>
        <w:tabs>
          <w:tab w:val="left" w:pos="315"/>
          <w:tab w:val="left" w:pos="8820"/>
        </w:tabs>
        <w:spacing w:before="240" w:beforeLines="100" w:after="120" w:afterLines="50" w:line="500" w:lineRule="exact"/>
        <w:ind w:right="254" w:rightChars="127"/>
        <w:jc w:val="center"/>
        <w:rPr>
          <w:b/>
          <w:bCs/>
          <w:color w:val="000000" w:themeColor="text1"/>
          <w:sz w:val="44"/>
          <w:szCs w:val="44"/>
          <w:highlight w:val="none"/>
          <w14:textFill>
            <w14:solidFill>
              <w14:schemeClr w14:val="tx1"/>
            </w14:solidFill>
          </w14:textFill>
        </w:rPr>
      </w:pPr>
    </w:p>
    <w:p w14:paraId="3FA18C60">
      <w:pPr>
        <w:tabs>
          <w:tab w:val="left" w:pos="315"/>
          <w:tab w:val="left" w:pos="8820"/>
        </w:tabs>
        <w:spacing w:before="240" w:beforeLines="100" w:after="120" w:afterLines="50" w:line="500" w:lineRule="exact"/>
        <w:ind w:right="254" w:rightChars="127"/>
        <w:jc w:val="center"/>
        <w:rPr>
          <w:b/>
          <w:bCs/>
          <w:color w:val="000000" w:themeColor="text1"/>
          <w:sz w:val="44"/>
          <w:szCs w:val="44"/>
          <w:highlight w:val="none"/>
          <w14:textFill>
            <w14:solidFill>
              <w14:schemeClr w14:val="tx1"/>
            </w14:solidFill>
          </w14:textFill>
        </w:rPr>
      </w:pPr>
    </w:p>
    <w:p w14:paraId="33931B6A">
      <w:pPr>
        <w:tabs>
          <w:tab w:val="left" w:pos="2410"/>
        </w:tabs>
        <w:autoSpaceDE w:val="0"/>
        <w:autoSpaceDN w:val="0"/>
        <w:adjustRightInd w:val="0"/>
        <w:snapToGrid w:val="0"/>
        <w:spacing w:line="360" w:lineRule="auto"/>
        <w:rPr>
          <w:rFonts w:hint="default" w:eastAsia="宋体"/>
          <w:b/>
          <w:color w:val="000000" w:themeColor="text1"/>
          <w:spacing w:val="20"/>
          <w:sz w:val="32"/>
          <w:szCs w:val="32"/>
          <w:highlight w:val="none"/>
          <w:lang w:val="en-US" w:eastAsia="zh-CN"/>
          <w14:textFill>
            <w14:solidFill>
              <w14:schemeClr w14:val="tx1"/>
            </w14:solidFill>
          </w14:textFill>
        </w:rPr>
      </w:pPr>
      <w:r>
        <w:rPr>
          <w:rFonts w:hint="eastAsia"/>
          <w:b/>
          <w:color w:val="000000" w:themeColor="text1"/>
          <w:spacing w:val="20"/>
          <w:sz w:val="32"/>
          <w:szCs w:val="32"/>
          <w:highlight w:val="none"/>
          <w14:textFill>
            <w14:solidFill>
              <w14:schemeClr w14:val="tx1"/>
            </w14:solidFill>
          </w14:textFill>
        </w:rPr>
        <w:t>项目名称：</w:t>
      </w:r>
      <w:r>
        <w:rPr>
          <w:rFonts w:hint="eastAsia"/>
          <w:b/>
          <w:color w:val="000000" w:themeColor="text1"/>
          <w:spacing w:val="20"/>
          <w:sz w:val="32"/>
          <w:szCs w:val="32"/>
          <w:highlight w:val="none"/>
          <w:u w:val="single"/>
          <w:lang w:eastAsia="zh-CN"/>
          <w14:textFill>
            <w14:solidFill>
              <w14:schemeClr w14:val="tx1"/>
            </w14:solidFill>
          </w14:textFill>
        </w:rPr>
        <w:t>2026年省淮河局、省临淮岗局水闸自动化运行维护等（第4包）</w:t>
      </w:r>
    </w:p>
    <w:p w14:paraId="2D8F717F">
      <w:pPr>
        <w:tabs>
          <w:tab w:val="left" w:pos="2410"/>
        </w:tabs>
        <w:autoSpaceDE w:val="0"/>
        <w:autoSpaceDN w:val="0"/>
        <w:adjustRightInd w:val="0"/>
        <w:snapToGrid w:val="0"/>
        <w:spacing w:line="360" w:lineRule="auto"/>
        <w:rPr>
          <w:rFonts w:hint="eastAsia" w:eastAsia="宋体"/>
          <w:b/>
          <w:color w:val="000000" w:themeColor="text1"/>
          <w:spacing w:val="20"/>
          <w:sz w:val="32"/>
          <w:szCs w:val="32"/>
          <w:highlight w:val="none"/>
          <w:u w:val="single"/>
          <w:lang w:eastAsia="zh-CN"/>
          <w14:textFill>
            <w14:solidFill>
              <w14:schemeClr w14:val="tx1"/>
            </w14:solidFill>
          </w14:textFill>
        </w:rPr>
      </w:pPr>
      <w:r>
        <w:rPr>
          <w:rFonts w:hint="eastAsia"/>
          <w:b/>
          <w:color w:val="000000" w:themeColor="text1"/>
          <w:spacing w:val="20"/>
          <w:sz w:val="32"/>
          <w:szCs w:val="32"/>
          <w:highlight w:val="none"/>
          <w14:textFill>
            <w14:solidFill>
              <w14:schemeClr w14:val="tx1"/>
            </w14:solidFill>
          </w14:textFill>
        </w:rPr>
        <w:t>项目编号：</w:t>
      </w:r>
      <w:r>
        <w:rPr>
          <w:rFonts w:hint="eastAsia"/>
          <w:b/>
          <w:color w:val="000000" w:themeColor="text1"/>
          <w:spacing w:val="20"/>
          <w:sz w:val="32"/>
          <w:szCs w:val="32"/>
          <w:highlight w:val="none"/>
          <w:u w:val="single"/>
          <w:lang w:eastAsia="zh-CN"/>
          <w14:textFill>
            <w14:solidFill>
              <w14:schemeClr w14:val="tx1"/>
            </w14:solidFill>
          </w14:textFill>
        </w:rPr>
        <w:t>FSSD34000120261695号</w:t>
      </w:r>
    </w:p>
    <w:p w14:paraId="7301F39E">
      <w:pPr>
        <w:tabs>
          <w:tab w:val="left" w:pos="2410"/>
        </w:tabs>
        <w:autoSpaceDE w:val="0"/>
        <w:autoSpaceDN w:val="0"/>
        <w:adjustRightInd w:val="0"/>
        <w:snapToGrid w:val="0"/>
        <w:spacing w:line="360" w:lineRule="auto"/>
        <w:rPr>
          <w:b/>
          <w:color w:val="000000" w:themeColor="text1"/>
          <w:spacing w:val="20"/>
          <w:sz w:val="32"/>
          <w:szCs w:val="32"/>
          <w:highlight w:val="none"/>
          <w14:textFill>
            <w14:solidFill>
              <w14:schemeClr w14:val="tx1"/>
            </w14:solidFill>
          </w14:textFill>
        </w:rPr>
      </w:pPr>
      <w:r>
        <w:rPr>
          <w:rFonts w:hint="eastAsia"/>
          <w:b/>
          <w:color w:val="000000" w:themeColor="text1"/>
          <w:spacing w:val="20"/>
          <w:sz w:val="32"/>
          <w:szCs w:val="32"/>
          <w:highlight w:val="none"/>
          <w14:textFill>
            <w14:solidFill>
              <w14:schemeClr w14:val="tx1"/>
            </w14:solidFill>
          </w14:textFill>
        </w:rPr>
        <w:t>采 购 人：</w:t>
      </w:r>
      <w:r>
        <w:rPr>
          <w:rFonts w:hint="eastAsia"/>
          <w:b/>
          <w:color w:val="000000" w:themeColor="text1"/>
          <w:spacing w:val="20"/>
          <w:sz w:val="32"/>
          <w:szCs w:val="32"/>
          <w:highlight w:val="none"/>
          <w:u w:val="single"/>
          <w14:textFill>
            <w14:solidFill>
              <w14:schemeClr w14:val="tx1"/>
            </w14:solidFill>
          </w14:textFill>
        </w:rPr>
        <w:t>安徽省淮河河道管理局</w:t>
      </w:r>
    </w:p>
    <w:p w14:paraId="2CEBF67A">
      <w:pPr>
        <w:tabs>
          <w:tab w:val="left" w:pos="2410"/>
        </w:tabs>
        <w:autoSpaceDE w:val="0"/>
        <w:autoSpaceDN w:val="0"/>
        <w:adjustRightInd w:val="0"/>
        <w:snapToGrid w:val="0"/>
        <w:spacing w:line="360" w:lineRule="auto"/>
        <w:rPr>
          <w:rFonts w:hint="default" w:eastAsia="宋体"/>
          <w:b/>
          <w:color w:val="000000" w:themeColor="text1"/>
          <w:spacing w:val="20"/>
          <w:sz w:val="32"/>
          <w:szCs w:val="32"/>
          <w:highlight w:val="none"/>
          <w:lang w:val="en-US" w:eastAsia="zh-CN"/>
          <w14:textFill>
            <w14:solidFill>
              <w14:schemeClr w14:val="tx1"/>
            </w14:solidFill>
          </w14:textFill>
        </w:rPr>
      </w:pPr>
      <w:r>
        <w:rPr>
          <w:rFonts w:hint="eastAsia"/>
          <w:b/>
          <w:color w:val="000000" w:themeColor="text1"/>
          <w:spacing w:val="20"/>
          <w:sz w:val="32"/>
          <w:szCs w:val="32"/>
          <w:highlight w:val="none"/>
          <w14:textFill>
            <w14:solidFill>
              <w14:schemeClr w14:val="tx1"/>
            </w14:solidFill>
          </w14:textFill>
        </w:rPr>
        <w:t>采购代理机构：</w:t>
      </w:r>
      <w:r>
        <w:rPr>
          <w:rFonts w:hint="eastAsia"/>
          <w:b/>
          <w:color w:val="000000" w:themeColor="text1"/>
          <w:spacing w:val="20"/>
          <w:sz w:val="32"/>
          <w:szCs w:val="32"/>
          <w:highlight w:val="none"/>
          <w:u w:val="single"/>
          <w:lang w:val="en-US" w:eastAsia="zh-CN"/>
          <w14:textFill>
            <w14:solidFill>
              <w14:schemeClr w14:val="tx1"/>
            </w14:solidFill>
          </w14:textFill>
        </w:rPr>
        <w:t>安徽安兆工程技术咨询服务有限公司</w:t>
      </w:r>
    </w:p>
    <w:p w14:paraId="735B6662">
      <w:pPr>
        <w:tabs>
          <w:tab w:val="left" w:pos="315"/>
          <w:tab w:val="left" w:pos="8820"/>
        </w:tabs>
        <w:spacing w:before="240" w:beforeLines="100" w:after="120" w:afterLines="50" w:line="500" w:lineRule="exact"/>
        <w:ind w:right="254" w:rightChars="127"/>
        <w:jc w:val="center"/>
        <w:rPr>
          <w:b/>
          <w:bCs/>
          <w:color w:val="000000" w:themeColor="text1"/>
          <w:sz w:val="44"/>
          <w:szCs w:val="44"/>
          <w:highlight w:val="none"/>
          <w14:textFill>
            <w14:solidFill>
              <w14:schemeClr w14:val="tx1"/>
            </w14:solidFill>
          </w14:textFill>
        </w:rPr>
      </w:pPr>
    </w:p>
    <w:p w14:paraId="1473A30F">
      <w:pPr>
        <w:tabs>
          <w:tab w:val="left" w:pos="2410"/>
        </w:tabs>
        <w:autoSpaceDE w:val="0"/>
        <w:autoSpaceDN w:val="0"/>
        <w:adjustRightInd w:val="0"/>
        <w:snapToGrid w:val="0"/>
        <w:spacing w:line="360" w:lineRule="auto"/>
        <w:jc w:val="center"/>
        <w:rPr>
          <w:b/>
          <w:color w:val="000000" w:themeColor="text1"/>
          <w:sz w:val="36"/>
          <w:highlight w:val="none"/>
          <w14:textFill>
            <w14:solidFill>
              <w14:schemeClr w14:val="tx1"/>
            </w14:solidFill>
          </w14:textFill>
        </w:rPr>
      </w:pPr>
    </w:p>
    <w:p w14:paraId="334327D4">
      <w:pPr>
        <w:tabs>
          <w:tab w:val="left" w:pos="2410"/>
        </w:tabs>
        <w:autoSpaceDE w:val="0"/>
        <w:autoSpaceDN w:val="0"/>
        <w:adjustRightInd w:val="0"/>
        <w:snapToGrid w:val="0"/>
        <w:spacing w:line="360" w:lineRule="auto"/>
        <w:jc w:val="center"/>
        <w:rPr>
          <w:b/>
          <w:color w:val="000000" w:themeColor="text1"/>
          <w:sz w:val="36"/>
          <w:highlight w:val="none"/>
          <w14:textFill>
            <w14:solidFill>
              <w14:schemeClr w14:val="tx1"/>
            </w14:solidFill>
          </w14:textFill>
        </w:rPr>
      </w:pPr>
      <w:r>
        <w:rPr>
          <w:rFonts w:hint="eastAsia"/>
          <w:b/>
          <w:color w:val="000000" w:themeColor="text1"/>
          <w:sz w:val="36"/>
          <w:highlight w:val="none"/>
          <w:u w:val="single"/>
          <w14:textFill>
            <w14:solidFill>
              <w14:schemeClr w14:val="tx1"/>
            </w14:solidFill>
          </w14:textFill>
        </w:rPr>
        <w:t>2026年</w:t>
      </w:r>
      <w:r>
        <w:rPr>
          <w:rFonts w:hint="eastAsia"/>
          <w:b/>
          <w:color w:val="000000" w:themeColor="text1"/>
          <w:sz w:val="36"/>
          <w:highlight w:val="none"/>
          <w:u w:val="single"/>
          <w:lang w:val="en-US" w:eastAsia="zh-CN"/>
          <w14:textFill>
            <w14:solidFill>
              <w14:schemeClr w14:val="tx1"/>
            </w14:solidFill>
          </w14:textFill>
        </w:rPr>
        <w:t>9</w:t>
      </w:r>
      <w:r>
        <w:rPr>
          <w:rFonts w:hint="eastAsia"/>
          <w:b/>
          <w:color w:val="000000" w:themeColor="text1"/>
          <w:sz w:val="36"/>
          <w:highlight w:val="none"/>
          <w:u w:val="single"/>
          <w14:textFill>
            <w14:solidFill>
              <w14:schemeClr w14:val="tx1"/>
            </w14:solidFill>
          </w14:textFill>
        </w:rPr>
        <w:t>月</w:t>
      </w:r>
      <w:r>
        <w:rPr>
          <w:b/>
          <w:color w:val="000000" w:themeColor="text1"/>
          <w:sz w:val="36"/>
          <w:highlight w:val="none"/>
          <w14:textFill>
            <w14:solidFill>
              <w14:schemeClr w14:val="tx1"/>
            </w14:solidFill>
          </w14:textFill>
        </w:rPr>
        <w:br w:type="page"/>
      </w:r>
    </w:p>
    <w:p w14:paraId="325BBE64">
      <w:pPr>
        <w:tabs>
          <w:tab w:val="left" w:pos="2410"/>
        </w:tabs>
        <w:autoSpaceDE w:val="0"/>
        <w:autoSpaceDN w:val="0"/>
        <w:adjustRightInd w:val="0"/>
        <w:snapToGrid w:val="0"/>
        <w:spacing w:line="360" w:lineRule="auto"/>
        <w:jc w:val="center"/>
        <w:rPr>
          <w:b/>
          <w:color w:val="000000" w:themeColor="text1"/>
          <w:sz w:val="28"/>
          <w:highlight w:val="none"/>
          <w14:textFill>
            <w14:solidFill>
              <w14:schemeClr w14:val="tx1"/>
            </w14:solidFill>
          </w14:textFill>
        </w:rPr>
      </w:pPr>
      <w:r>
        <w:rPr>
          <w:rFonts w:hint="eastAsia"/>
          <w:b/>
          <w:color w:val="000000" w:themeColor="text1"/>
          <w:sz w:val="28"/>
          <w:highlight w:val="none"/>
          <w14:textFill>
            <w14:solidFill>
              <w14:schemeClr w14:val="tx1"/>
            </w14:solidFill>
          </w14:textFill>
        </w:rPr>
        <w:t>目  录</w:t>
      </w:r>
    </w:p>
    <w:p w14:paraId="04A3DC05">
      <w:pPr>
        <w:tabs>
          <w:tab w:val="left" w:pos="2410"/>
        </w:tabs>
        <w:autoSpaceDE w:val="0"/>
        <w:autoSpaceDN w:val="0"/>
        <w:adjustRightInd w:val="0"/>
        <w:snapToGrid w:val="0"/>
        <w:spacing w:line="360" w:lineRule="auto"/>
        <w:jc w:val="center"/>
        <w:rPr>
          <w:b/>
          <w:color w:val="000000" w:themeColor="text1"/>
          <w:sz w:val="28"/>
          <w:highlight w:val="none"/>
          <w14:textFill>
            <w14:solidFill>
              <w14:schemeClr w14:val="tx1"/>
            </w14:solidFill>
          </w14:textFill>
        </w:rPr>
      </w:pPr>
    </w:p>
    <w:p w14:paraId="1D3C6F8E">
      <w:pPr>
        <w:pStyle w:val="34"/>
        <w:tabs>
          <w:tab w:val="right" w:leader="dot" w:pos="8279"/>
        </w:tabs>
        <w:rPr>
          <w:color w:val="000000" w:themeColor="text1"/>
          <w:highlight w:val="none"/>
          <w14:textFill>
            <w14:solidFill>
              <w14:schemeClr w14:val="tx1"/>
            </w14:solidFill>
          </w14:textFill>
        </w:rPr>
      </w:pPr>
      <w:r>
        <w:rPr>
          <w:rFonts w:asciiTheme="minorEastAsia" w:hAnsiTheme="minorEastAsia"/>
          <w:b/>
          <w:color w:val="000000" w:themeColor="text1"/>
          <w:sz w:val="24"/>
          <w:szCs w:val="24"/>
          <w:highlight w:val="none"/>
          <w14:textFill>
            <w14:solidFill>
              <w14:schemeClr w14:val="tx1"/>
            </w14:solidFill>
          </w14:textFill>
        </w:rPr>
        <w:fldChar w:fldCharType="begin"/>
      </w:r>
      <w:r>
        <w:rPr>
          <w:rFonts w:asciiTheme="minorEastAsia" w:hAnsiTheme="minorEastAsia"/>
          <w:b/>
          <w:color w:val="000000" w:themeColor="text1"/>
          <w:sz w:val="24"/>
          <w:szCs w:val="24"/>
          <w:highlight w:val="none"/>
          <w14:textFill>
            <w14:solidFill>
              <w14:schemeClr w14:val="tx1"/>
            </w14:solidFill>
          </w14:textFill>
        </w:rPr>
        <w:instrText xml:space="preserve"> </w:instrText>
      </w:r>
      <w:r>
        <w:rPr>
          <w:rFonts w:hint="eastAsia" w:asciiTheme="minorEastAsia" w:hAnsiTheme="minorEastAsia"/>
          <w:b/>
          <w:color w:val="000000" w:themeColor="text1"/>
          <w:sz w:val="24"/>
          <w:szCs w:val="24"/>
          <w:highlight w:val="none"/>
          <w14:textFill>
            <w14:solidFill>
              <w14:schemeClr w14:val="tx1"/>
            </w14:solidFill>
          </w14:textFill>
        </w:rPr>
        <w:instrText xml:space="preserve">TOC \o "1-2" \h \z \u</w:instrText>
      </w:r>
      <w:r>
        <w:rPr>
          <w:rFonts w:asciiTheme="minorEastAsia" w:hAnsiTheme="minorEastAsia"/>
          <w:b/>
          <w:color w:val="000000" w:themeColor="text1"/>
          <w:sz w:val="24"/>
          <w:szCs w:val="24"/>
          <w:highlight w:val="none"/>
          <w14:textFill>
            <w14:solidFill>
              <w14:schemeClr w14:val="tx1"/>
            </w14:solidFill>
          </w14:textFill>
        </w:rPr>
        <w:instrText xml:space="preserve"> </w:instrText>
      </w:r>
      <w:r>
        <w:rPr>
          <w:rFonts w:asciiTheme="minorEastAsia" w:hAnsiTheme="minorEastAsia"/>
          <w:b/>
          <w:color w:val="000000" w:themeColor="text1"/>
          <w:sz w:val="24"/>
          <w:szCs w:val="24"/>
          <w:highlight w:val="none"/>
          <w14:textFill>
            <w14:solidFill>
              <w14:schemeClr w14:val="tx1"/>
            </w14:solidFill>
          </w14:textFill>
        </w:rPr>
        <w:fldChar w:fldCharType="separate"/>
      </w:r>
      <w:r>
        <w:rPr>
          <w:highlight w:val="none"/>
        </w:rPr>
        <w:fldChar w:fldCharType="begin"/>
      </w:r>
      <w:r>
        <w:rPr>
          <w:highlight w:val="none"/>
        </w:rPr>
        <w:instrText xml:space="preserve"> HYPERLINK \l "_Toc11403" </w:instrText>
      </w:r>
      <w:r>
        <w:rPr>
          <w:highlight w:val="none"/>
        </w:rPr>
        <w:fldChar w:fldCharType="separate"/>
      </w:r>
      <w:r>
        <w:rPr>
          <w:rFonts w:hint="eastAsia" w:asciiTheme="minorEastAsia" w:hAnsiTheme="minorEastAsia"/>
          <w:color w:val="000000" w:themeColor="text1"/>
          <w:highlight w:val="none"/>
          <w14:textFill>
            <w14:solidFill>
              <w14:schemeClr w14:val="tx1"/>
            </w14:solidFill>
          </w14:textFill>
        </w:rPr>
        <w:t xml:space="preserve">第一章 </w:t>
      </w:r>
      <w:r>
        <w:rPr>
          <w:rFonts w:asciiTheme="minorEastAsia" w:hAnsiTheme="minorEastAsia"/>
          <w:color w:val="000000" w:themeColor="text1"/>
          <w:highlight w:val="none"/>
          <w14:textFill>
            <w14:solidFill>
              <w14:schemeClr w14:val="tx1"/>
            </w14:solidFill>
          </w14:textFill>
        </w:rPr>
        <w:t xml:space="preserve"> </w:t>
      </w:r>
      <w:r>
        <w:rPr>
          <w:rFonts w:hint="eastAsia" w:asciiTheme="minorEastAsia" w:hAnsiTheme="minorEastAsia"/>
          <w:color w:val="000000" w:themeColor="text1"/>
          <w:highlight w:val="none"/>
          <w14:textFill>
            <w14:solidFill>
              <w14:schemeClr w14:val="tx1"/>
            </w14:solidFill>
          </w14:textFill>
        </w:rPr>
        <w:t>磋商邀请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9055DB">
      <w:pPr>
        <w:pStyle w:val="34"/>
        <w:tabs>
          <w:tab w:val="right" w:leader="dot" w:pos="8279"/>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"_Toc28080" </w:instrText>
      </w:r>
      <w:r>
        <w:rPr>
          <w:highlight w:val="none"/>
        </w:rPr>
        <w:fldChar w:fldCharType="separate"/>
      </w:r>
      <w:r>
        <w:rPr>
          <w:rFonts w:hint="eastAsia" w:asciiTheme="minorEastAsia" w:hAnsiTheme="minorEastAsia"/>
          <w:color w:val="000000" w:themeColor="text1"/>
          <w:highlight w:val="none"/>
          <w14:textFill>
            <w14:solidFill>
              <w14:schemeClr w14:val="tx1"/>
            </w14:solidFill>
          </w14:textFill>
        </w:rPr>
        <w:t>第二章</w:t>
      </w:r>
      <w:r>
        <w:rPr>
          <w:rFonts w:asciiTheme="minorEastAsia" w:hAnsiTheme="minorEastAsia"/>
          <w:color w:val="000000" w:themeColor="text1"/>
          <w:highlight w:val="none"/>
          <w14:textFill>
            <w14:solidFill>
              <w14:schemeClr w14:val="tx1"/>
            </w14:solidFill>
          </w14:textFill>
        </w:rPr>
        <w:t xml:space="preserve"> </w:t>
      </w:r>
      <w:r>
        <w:rPr>
          <w:rFonts w:hint="eastAsia" w:asciiTheme="minorEastAsia" w:hAnsiTheme="minorEastAsia"/>
          <w:color w:val="000000" w:themeColor="text1"/>
          <w:highlight w:val="none"/>
          <w14:textFill>
            <w14:solidFill>
              <w14:schemeClr w14:val="tx1"/>
            </w14:solidFill>
          </w14:textFill>
        </w:rPr>
        <w:t xml:space="preserve"> 供应商</w:t>
      </w:r>
      <w:r>
        <w:rPr>
          <w:rFonts w:asciiTheme="minorEastAsia" w:hAnsiTheme="minorEastAsia"/>
          <w:color w:val="000000" w:themeColor="text1"/>
          <w:highlight w:val="none"/>
          <w14:textFill>
            <w14:solidFill>
              <w14:schemeClr w14:val="tx1"/>
            </w14:solidFill>
          </w14:textFill>
        </w:rPr>
        <w:t>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3A8008">
      <w:pPr>
        <w:pStyle w:val="34"/>
        <w:tabs>
          <w:tab w:val="right" w:leader="dot" w:pos="8279"/>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"_Toc30873" </w:instrText>
      </w:r>
      <w:r>
        <w:rPr>
          <w:highlight w:val="none"/>
        </w:rPr>
        <w:fldChar w:fldCharType="separate"/>
      </w:r>
      <w:r>
        <w:rPr>
          <w:rFonts w:hint="eastAsia" w:asciiTheme="minorEastAsia" w:hAnsiTheme="minorEastAsia"/>
          <w:color w:val="000000" w:themeColor="text1"/>
          <w:highlight w:val="none"/>
          <w14:textFill>
            <w14:solidFill>
              <w14:schemeClr w14:val="tx1"/>
            </w14:solidFill>
          </w14:textFill>
        </w:rPr>
        <w:t>第三章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_Toc30873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D4EAC10">
      <w:pPr>
        <w:pStyle w:val="34"/>
        <w:tabs>
          <w:tab w:val="right" w:leader="dot" w:pos="8279"/>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"_Toc11353" </w:instrText>
      </w:r>
      <w:r>
        <w:rPr>
          <w:highlight w:val="none"/>
        </w:rPr>
        <w:fldChar w:fldCharType="separate"/>
      </w:r>
      <w:r>
        <w:rPr>
          <w:rFonts w:hint="eastAsia" w:asciiTheme="minorEastAsia" w:hAnsiTheme="minorEastAsia"/>
          <w:color w:val="000000" w:themeColor="text1"/>
          <w:highlight w:val="none"/>
          <w14:textFill>
            <w14:solidFill>
              <w14:schemeClr w14:val="tx1"/>
            </w14:solidFill>
          </w14:textFill>
        </w:rPr>
        <w:t>第四章  评审方法和标准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E2BD6FF">
      <w:pPr>
        <w:pStyle w:val="34"/>
        <w:tabs>
          <w:tab w:val="right" w:leader="dot" w:pos="8279"/>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"_Toc31277" </w:instrText>
      </w:r>
      <w:r>
        <w:rPr>
          <w:highlight w:val="none"/>
        </w:rPr>
        <w:fldChar w:fldCharType="separate"/>
      </w:r>
      <w:r>
        <w:rPr>
          <w:rFonts w:hint="eastAsia" w:asciiTheme="minorEastAsia" w:hAnsiTheme="minorEastAsia"/>
          <w:color w:val="000000" w:themeColor="text1"/>
          <w:highlight w:val="none"/>
          <w14:textFill>
            <w14:solidFill>
              <w14:schemeClr w14:val="tx1"/>
            </w14:solidFill>
          </w14:textFill>
        </w:rPr>
        <w:t xml:space="preserve">第五章  </w:t>
      </w:r>
      <w:r>
        <w:rPr>
          <w:rFonts w:asciiTheme="minorEastAsia" w:hAnsiTheme="minorEastAsia"/>
          <w:color w:val="000000" w:themeColor="text1"/>
          <w:highlight w:val="none"/>
          <w14:textFill>
            <w14:solidFill>
              <w14:schemeClr w14:val="tx1"/>
            </w14:solidFill>
          </w14:textFill>
        </w:rPr>
        <w:t>政府采购合同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_Toc31277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2E3F822">
      <w:pPr>
        <w:pStyle w:val="34"/>
        <w:tabs>
          <w:tab w:val="right" w:leader="dot" w:pos="8279"/>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"_Toc22734" </w:instrText>
      </w:r>
      <w:r>
        <w:rPr>
          <w:highlight w:val="none"/>
        </w:rPr>
        <w:fldChar w:fldCharType="separate"/>
      </w:r>
      <w:r>
        <w:rPr>
          <w:rFonts w:hint="eastAsia" w:asciiTheme="minorEastAsia" w:hAnsiTheme="minorEastAsia"/>
          <w:color w:val="000000" w:themeColor="text1"/>
          <w:highlight w:val="none"/>
          <w14:textFill>
            <w14:solidFill>
              <w14:schemeClr w14:val="tx1"/>
            </w14:solidFill>
          </w14:textFill>
        </w:rPr>
        <w:t>第六章  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B3282A">
      <w:pPr>
        <w:pStyle w:val="34"/>
        <w:tabs>
          <w:tab w:val="right" w:leader="dot" w:pos="8279"/>
        </w:tabs>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"_Toc24879" </w:instrText>
      </w:r>
      <w:r>
        <w:rPr>
          <w:highlight w:val="none"/>
        </w:rPr>
        <w:fldChar w:fldCharType="separate"/>
      </w:r>
      <w:r>
        <w:rPr>
          <w:rFonts w:hint="eastAsia"/>
          <w:bCs/>
          <w:color w:val="000000" w:themeColor="text1"/>
          <w:highlight w:val="none"/>
          <w14:textFill>
            <w14:solidFill>
              <w14:schemeClr w14:val="tx1"/>
            </w14:solidFill>
          </w14:textFill>
        </w:rPr>
        <w:t>第七章  政府采购</w:t>
      </w:r>
      <w:r>
        <w:rPr>
          <w:rFonts w:hint="eastAsia" w:asciiTheme="minorEastAsia" w:hAnsiTheme="minorEastAsia"/>
          <w:color w:val="000000" w:themeColor="text1"/>
          <w:highlight w:val="none"/>
          <w14:textFill>
            <w14:solidFill>
              <w14:schemeClr w14:val="tx1"/>
            </w14:solidFill>
          </w14:textFill>
        </w:rPr>
        <w:t>供应</w:t>
      </w:r>
      <w:r>
        <w:rPr>
          <w:rFonts w:hint="eastAsia"/>
          <w:bCs/>
          <w:color w:val="000000" w:themeColor="text1"/>
          <w:highlight w:val="none"/>
          <w14:textFill>
            <w14:solidFill>
              <w14:schemeClr w14:val="tx1"/>
            </w14:solidFill>
          </w14:textFill>
        </w:rPr>
        <w:t>商询问函和质疑函范本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_Toc24879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1897D2">
      <w:pPr>
        <w:pStyle w:val="44"/>
        <w:tabs>
          <w:tab w:val="right" w:leader="dot" w:pos="8296"/>
        </w:tabs>
        <w:rPr>
          <w:rFonts w:asciiTheme="minorEastAsia" w:hAnsiTheme="minorEastAsia"/>
          <w:b/>
          <w:color w:val="000000" w:themeColor="text1"/>
          <w:szCs w:val="24"/>
          <w:highlight w:val="none"/>
          <w14:textFill>
            <w14:solidFill>
              <w14:schemeClr w14:val="tx1"/>
            </w14:solidFill>
          </w14:textFill>
        </w:rPr>
      </w:pPr>
      <w:r>
        <w:rPr>
          <w:rFonts w:asciiTheme="minorEastAsia" w:hAnsiTheme="minorEastAsia"/>
          <w:color w:val="000000" w:themeColor="text1"/>
          <w:szCs w:val="24"/>
          <w:highlight w:val="none"/>
          <w14:textFill>
            <w14:solidFill>
              <w14:schemeClr w14:val="tx1"/>
            </w14:solidFill>
          </w14:textFill>
        </w:rPr>
        <w:fldChar w:fldCharType="end"/>
      </w:r>
    </w:p>
    <w:p w14:paraId="0C850E7C">
      <w:pPr>
        <w:pStyle w:val="4"/>
        <w:rPr>
          <w:color w:val="000000" w:themeColor="text1"/>
          <w:highlight w:val="none"/>
          <w14:textFill>
            <w14:solidFill>
              <w14:schemeClr w14:val="tx1"/>
            </w14:solidFill>
          </w14:textFill>
        </w:rPr>
        <w:sectPr>
          <w:headerReference r:id="rId5" w:type="default"/>
          <w:footerReference r:id="rId6" w:type="default"/>
          <w:pgSz w:w="11907" w:h="16840"/>
          <w:pgMar w:top="1474" w:right="1814" w:bottom="1474" w:left="1814" w:header="851" w:footer="992" w:gutter="0"/>
          <w:cols w:space="720" w:num="1"/>
          <w:docGrid w:linePitch="462" w:charSpace="0"/>
        </w:sectPr>
      </w:pPr>
    </w:p>
    <w:p w14:paraId="6789718D">
      <w:pPr>
        <w:spacing w:line="360" w:lineRule="auto"/>
        <w:jc w:val="center"/>
        <w:outlineLvl w:val="0"/>
        <w:rPr>
          <w:rFonts w:asciiTheme="minorEastAsia" w:hAnsiTheme="minorEastAsia" w:eastAsiaTheme="minorEastAsia"/>
          <w:b/>
          <w:color w:val="000000" w:themeColor="text1"/>
          <w:sz w:val="28"/>
          <w:highlight w:val="none"/>
          <w14:textFill>
            <w14:solidFill>
              <w14:schemeClr w14:val="tx1"/>
            </w14:solidFill>
          </w14:textFill>
        </w:rPr>
      </w:pPr>
      <w:bookmarkStart w:id="1" w:name="_Toc11403"/>
      <w:r>
        <w:rPr>
          <w:rFonts w:hint="eastAsia" w:asciiTheme="minorEastAsia" w:hAnsiTheme="minorEastAsia" w:eastAsiaTheme="minorEastAsia"/>
          <w:b/>
          <w:color w:val="000000" w:themeColor="text1"/>
          <w:sz w:val="28"/>
          <w:highlight w:val="none"/>
          <w14:textFill>
            <w14:solidFill>
              <w14:schemeClr w14:val="tx1"/>
            </w14:solidFill>
          </w14:textFill>
        </w:rPr>
        <w:t xml:space="preserve">第一章 </w:t>
      </w:r>
      <w:r>
        <w:rPr>
          <w:rFonts w:asciiTheme="minorEastAsia" w:hAnsiTheme="minorEastAsia" w:eastAsiaTheme="minorEastAsia"/>
          <w:b/>
          <w:color w:val="000000" w:themeColor="text1"/>
          <w:sz w:val="28"/>
          <w:highlight w:val="none"/>
          <w14:textFill>
            <w14:solidFill>
              <w14:schemeClr w14:val="tx1"/>
            </w14:solidFill>
          </w14:textFill>
        </w:rPr>
        <w:t xml:space="preserve"> </w:t>
      </w:r>
      <w:r>
        <w:rPr>
          <w:rFonts w:hint="eastAsia" w:asciiTheme="minorEastAsia" w:hAnsiTheme="minorEastAsia" w:eastAsiaTheme="minorEastAsia"/>
          <w:b/>
          <w:color w:val="000000" w:themeColor="text1"/>
          <w:sz w:val="28"/>
          <w:highlight w:val="none"/>
          <w14:textFill>
            <w14:solidFill>
              <w14:schemeClr w14:val="tx1"/>
            </w14:solidFill>
          </w14:textFill>
        </w:rPr>
        <w:t>磋商邀请</w:t>
      </w:r>
      <w:bookmarkEnd w:id="1"/>
    </w:p>
    <w:p w14:paraId="1ED62B81">
      <w:pPr>
        <w:spacing w:line="360" w:lineRule="auto"/>
        <w:ind w:firstLine="435"/>
        <w:outlineLvl w:val="1"/>
        <w:rPr>
          <w:b/>
          <w:bCs/>
          <w:color w:val="000000" w:themeColor="text1"/>
          <w:sz w:val="24"/>
          <w:szCs w:val="18"/>
          <w:highlight w:val="none"/>
          <w14:textFill>
            <w14:solidFill>
              <w14:schemeClr w14:val="tx1"/>
            </w14:solidFill>
          </w14:textFill>
        </w:rPr>
      </w:pPr>
      <w:bookmarkStart w:id="2" w:name="_Toc8770"/>
      <w:bookmarkStart w:id="3" w:name="_Toc18492"/>
      <w:r>
        <w:rPr>
          <w:rFonts w:hint="eastAsia"/>
          <w:b/>
          <w:bCs/>
          <w:color w:val="000000" w:themeColor="text1"/>
          <w:sz w:val="24"/>
          <w:szCs w:val="18"/>
          <w:highlight w:val="none"/>
          <w14:textFill>
            <w14:solidFill>
              <w14:schemeClr w14:val="tx1"/>
            </w14:solidFill>
          </w14:textFill>
        </w:rPr>
        <w:t>一、</w:t>
      </w:r>
      <w:bookmarkEnd w:id="2"/>
      <w:r>
        <w:rPr>
          <w:rFonts w:hint="eastAsia"/>
          <w:b/>
          <w:bCs/>
          <w:color w:val="000000" w:themeColor="text1"/>
          <w:sz w:val="24"/>
          <w:szCs w:val="18"/>
          <w:highlight w:val="none"/>
          <w14:textFill>
            <w14:solidFill>
              <w14:schemeClr w14:val="tx1"/>
            </w14:solidFill>
          </w14:textFill>
        </w:rPr>
        <w:t>项目基本情况</w:t>
      </w:r>
      <w:bookmarkEnd w:id="3"/>
    </w:p>
    <w:p w14:paraId="194FC251">
      <w:pPr>
        <w:spacing w:line="360" w:lineRule="auto"/>
        <w:ind w:firstLine="435"/>
        <w:rPr>
          <w:rFonts w:hint="eastAsia" w:asciiTheme="minorEastAsia" w:hAnsiTheme="minorEastAsia" w:eastAsiaTheme="minorEastAsia"/>
          <w:color w:val="000000" w:themeColor="text1"/>
          <w:sz w:val="24"/>
          <w:highlight w:val="none"/>
          <w:lang w:eastAsia="zh-CN"/>
          <w14:textFill>
            <w14:solidFill>
              <w14:schemeClr w14:val="tx1"/>
            </w14:solidFill>
          </w14:textFill>
        </w:rPr>
      </w:pPr>
      <w:bookmarkStart w:id="4" w:name="_Toc26628"/>
      <w:r>
        <w:rPr>
          <w:rFonts w:hint="eastAsia" w:asciiTheme="minorEastAsia" w:hAnsiTheme="minorEastAsia" w:eastAsiaTheme="minorEastAsia"/>
          <w:color w:val="000000" w:themeColor="text1"/>
          <w:sz w:val="24"/>
          <w:highlight w:val="none"/>
          <w14:textFill>
            <w14:solidFill>
              <w14:schemeClr w14:val="tx1"/>
            </w14:solidFill>
          </w14:textFill>
        </w:rPr>
        <w:t>1.项目编号：</w:t>
      </w:r>
      <w:r>
        <w:rPr>
          <w:rFonts w:hint="eastAsia" w:asciiTheme="minorEastAsia" w:hAnsiTheme="minorEastAsia" w:eastAsiaTheme="minorEastAsia"/>
          <w:color w:val="000000" w:themeColor="text1"/>
          <w:sz w:val="24"/>
          <w:highlight w:val="none"/>
          <w:u w:val="single"/>
          <w:lang w:eastAsia="zh-CN"/>
          <w14:textFill>
            <w14:solidFill>
              <w14:schemeClr w14:val="tx1"/>
            </w14:solidFill>
          </w14:textFill>
        </w:rPr>
        <w:t>FSSD34000120261695号</w:t>
      </w:r>
    </w:p>
    <w:p w14:paraId="12BF0DCA">
      <w:pPr>
        <w:spacing w:line="360" w:lineRule="auto"/>
        <w:ind w:firstLine="435"/>
        <w:rPr>
          <w:rFonts w:hint="eastAsia" w:asciiTheme="minorEastAsia" w:hAnsiTheme="minorEastAsia" w:eastAsiaTheme="minorEastAsia"/>
          <w:color w:val="000000" w:themeColor="text1"/>
          <w:sz w:val="24"/>
          <w:highlight w:val="none"/>
          <w:u w:val="singl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2.项目名称：</w:t>
      </w:r>
      <w:r>
        <w:rPr>
          <w:rFonts w:hint="eastAsia" w:asciiTheme="minorEastAsia" w:hAnsiTheme="minorEastAsia" w:eastAsiaTheme="minorEastAsia"/>
          <w:color w:val="000000" w:themeColor="text1"/>
          <w:sz w:val="24"/>
          <w:highlight w:val="none"/>
          <w:u w:val="single"/>
          <w:lang w:eastAsia="zh-CN"/>
          <w14:textFill>
            <w14:solidFill>
              <w14:schemeClr w14:val="tx1"/>
            </w14:solidFill>
          </w14:textFill>
        </w:rPr>
        <w:t>2026年省淮河局、省临淮岗局水闸自动化运行维护等（第4包）</w:t>
      </w:r>
    </w:p>
    <w:p w14:paraId="23D813D3">
      <w:pPr>
        <w:spacing w:line="360" w:lineRule="auto"/>
        <w:ind w:firstLine="435"/>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3.预算金额：</w:t>
      </w:r>
      <w:r>
        <w:rPr>
          <w:rFonts w:hint="eastAsia" w:eastAsiaTheme="minorEastAsia"/>
          <w:color w:val="000000" w:themeColor="text1"/>
          <w:sz w:val="24"/>
          <w:szCs w:val="18"/>
          <w:highlight w:val="none"/>
          <w:u w:val="single"/>
          <w:lang w:eastAsia="zh-CN"/>
          <w14:textFill>
            <w14:solidFill>
              <w14:schemeClr w14:val="tx1"/>
            </w14:solidFill>
          </w14:textFill>
        </w:rPr>
        <w:t>62万元</w:t>
      </w:r>
    </w:p>
    <w:p w14:paraId="337D414C">
      <w:pPr>
        <w:spacing w:line="360" w:lineRule="auto"/>
        <w:ind w:firstLine="480" w:firstLineChars="200"/>
        <w:rPr>
          <w:rFonts w:hint="eastAsia" w:eastAsiaTheme="minorEastAsia"/>
          <w:color w:val="000000" w:themeColor="text1"/>
          <w:sz w:val="24"/>
          <w:szCs w:val="18"/>
          <w:highlight w:val="none"/>
          <w:u w:val="singl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4.最高限价：</w:t>
      </w:r>
      <w:r>
        <w:rPr>
          <w:rFonts w:hint="eastAsia" w:eastAsiaTheme="minorEastAsia"/>
          <w:color w:val="000000" w:themeColor="text1"/>
          <w:sz w:val="24"/>
          <w:szCs w:val="18"/>
          <w:highlight w:val="none"/>
          <w:u w:val="single"/>
          <w:lang w:eastAsia="zh-CN"/>
          <w14:textFill>
            <w14:solidFill>
              <w14:schemeClr w14:val="tx1"/>
            </w14:solidFill>
          </w14:textFill>
        </w:rPr>
        <w:t>62万元</w:t>
      </w:r>
    </w:p>
    <w:p w14:paraId="76F6CF97">
      <w:pPr>
        <w:spacing w:line="360" w:lineRule="auto"/>
        <w:ind w:firstLine="435"/>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5.采购需求：</w:t>
      </w:r>
      <w:r>
        <w:rPr>
          <w:rFonts w:hint="eastAsia" w:cs="宋体"/>
          <w:bCs/>
          <w:color w:val="auto"/>
          <w:sz w:val="24"/>
          <w:szCs w:val="24"/>
          <w:highlight w:val="none"/>
          <w:u w:val="single"/>
          <w:lang w:eastAsia="zh-CN"/>
        </w:rPr>
        <w:t>安徽省淮河河道管理局水闸自动化控制、视频监视、网络通讯等设施汛后维修改造等内容</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000000" w:themeColor="text1"/>
          <w:sz w:val="24"/>
          <w:highlight w:val="none"/>
          <w14:textFill>
            <w14:solidFill>
              <w14:schemeClr w14:val="tx1"/>
            </w14:solidFill>
          </w14:textFill>
        </w:rPr>
        <w:t>具体详见工程量清单。</w:t>
      </w:r>
    </w:p>
    <w:p w14:paraId="0A4FFCF0">
      <w:pPr>
        <w:spacing w:line="360" w:lineRule="auto"/>
        <w:ind w:firstLine="435"/>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6.合同履行期限：</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60日历天</w:t>
      </w:r>
    </w:p>
    <w:p w14:paraId="39A73983">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7.本项目（否）接受联合体。</w:t>
      </w:r>
    </w:p>
    <w:p w14:paraId="5F562484">
      <w:pPr>
        <w:spacing w:line="360" w:lineRule="auto"/>
        <w:ind w:firstLine="435"/>
        <w:outlineLvl w:val="1"/>
        <w:rPr>
          <w:b/>
          <w:bCs/>
          <w:color w:val="000000" w:themeColor="text1"/>
          <w:sz w:val="24"/>
          <w:szCs w:val="18"/>
          <w:highlight w:val="none"/>
          <w14:textFill>
            <w14:solidFill>
              <w14:schemeClr w14:val="tx1"/>
            </w14:solidFill>
          </w14:textFill>
        </w:rPr>
      </w:pPr>
      <w:bookmarkStart w:id="5" w:name="_Toc27595"/>
      <w:r>
        <w:rPr>
          <w:rFonts w:hint="eastAsia"/>
          <w:b/>
          <w:bCs/>
          <w:color w:val="000000" w:themeColor="text1"/>
          <w:sz w:val="24"/>
          <w:szCs w:val="18"/>
          <w:highlight w:val="none"/>
          <w14:textFill>
            <w14:solidFill>
              <w14:schemeClr w14:val="tx1"/>
            </w14:solidFill>
          </w14:textFill>
        </w:rPr>
        <w:t>二</w:t>
      </w:r>
      <w:r>
        <w:rPr>
          <w:rFonts w:hint="eastAsia" w:asciiTheme="minorEastAsia" w:hAnsiTheme="minorEastAsia" w:eastAsiaTheme="minorEastAsia"/>
          <w:b/>
          <w:color w:val="000000" w:themeColor="text1"/>
          <w:sz w:val="24"/>
          <w:highlight w:val="none"/>
          <w14:textFill>
            <w14:solidFill>
              <w14:schemeClr w14:val="tx1"/>
            </w14:solidFill>
          </w14:textFill>
        </w:rPr>
        <w:t>、申请人的</w:t>
      </w:r>
      <w:r>
        <w:rPr>
          <w:rFonts w:hint="eastAsia"/>
          <w:b/>
          <w:bCs/>
          <w:color w:val="000000" w:themeColor="text1"/>
          <w:sz w:val="24"/>
          <w:szCs w:val="18"/>
          <w:highlight w:val="none"/>
          <w14:textFill>
            <w14:solidFill>
              <w14:schemeClr w14:val="tx1"/>
            </w14:solidFill>
          </w14:textFill>
        </w:rPr>
        <w:t>资格</w:t>
      </w:r>
      <w:bookmarkEnd w:id="4"/>
      <w:r>
        <w:rPr>
          <w:rFonts w:hint="eastAsia"/>
          <w:b/>
          <w:bCs/>
          <w:color w:val="000000" w:themeColor="text1"/>
          <w:sz w:val="24"/>
          <w:szCs w:val="18"/>
          <w:highlight w:val="none"/>
          <w14:textFill>
            <w14:solidFill>
              <w14:schemeClr w14:val="tx1"/>
            </w14:solidFill>
          </w14:textFill>
        </w:rPr>
        <w:t>要求</w:t>
      </w:r>
      <w:bookmarkEnd w:id="5"/>
    </w:p>
    <w:p w14:paraId="06C3B233">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bookmarkStart w:id="6" w:name="_Toc4065"/>
      <w:r>
        <w:rPr>
          <w:rFonts w:hint="eastAsia" w:asciiTheme="minorEastAsia" w:hAnsiTheme="minorEastAsia" w:eastAsiaTheme="minorEastAsia"/>
          <w:color w:val="000000" w:themeColor="text1"/>
          <w:sz w:val="24"/>
          <w:highlight w:val="none"/>
          <w14:textFill>
            <w14:solidFill>
              <w14:schemeClr w14:val="tx1"/>
            </w14:solidFill>
          </w14:textFill>
        </w:rPr>
        <w:t>1.满足《中华人民共和国政府采购法》第二十二条规定；</w:t>
      </w:r>
    </w:p>
    <w:p w14:paraId="1C9804A1">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2.落实政府采购政策需满足的资格要求：</w:t>
      </w:r>
    </w:p>
    <w:p w14:paraId="0EF64D83">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2.1中小企业政策</w:t>
      </w:r>
    </w:p>
    <w:p w14:paraId="1A0856D6">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2.1.1□本项目不专门面向中小企业预留采购份额。</w:t>
      </w:r>
    </w:p>
    <w:p w14:paraId="4CF804B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2.1.2☑本项目专门面向</w:t>
      </w:r>
      <w:r>
        <w:rPr>
          <w:rFonts w:hint="eastAsia" w:asciiTheme="minorEastAsia" w:hAnsiTheme="minorEastAsia" w:eastAsiaTheme="minorEastAsia"/>
          <w:color w:val="000000" w:themeColor="text1"/>
          <w:sz w:val="24"/>
          <w:highlight w:val="none"/>
          <w:u w:val="single"/>
          <w14:textFill>
            <w14:solidFill>
              <w14:schemeClr w14:val="tx1"/>
            </w14:solidFill>
          </w14:textFill>
        </w:rPr>
        <w:t xml:space="preserve"> 中小企业 </w:t>
      </w:r>
      <w:r>
        <w:rPr>
          <w:rFonts w:hint="eastAsia" w:asciiTheme="minorEastAsia" w:hAnsiTheme="minorEastAsia" w:eastAsiaTheme="minorEastAsia"/>
          <w:color w:val="000000" w:themeColor="text1"/>
          <w:sz w:val="24"/>
          <w:highlight w:val="none"/>
          <w14:textFill>
            <w14:solidFill>
              <w14:schemeClr w14:val="tx1"/>
            </w14:solidFill>
          </w14:textFill>
        </w:rPr>
        <w:t>采购。</w:t>
      </w:r>
    </w:p>
    <w:p w14:paraId="61D9CA6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2.1.3□本项目预留部分采购项目预算专门面向中小企业采购。对于预留份额，提供的工程由符合政策要求的中小企业承建。预留份额通过以下措施进行：/。</w:t>
      </w:r>
    </w:p>
    <w:p w14:paraId="7B37B1A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2.2</w:t>
      </w:r>
      <w:r>
        <w:rPr>
          <w:rFonts w:hint="eastAsia" w:asciiTheme="minorEastAsia" w:hAnsiTheme="minorEastAsia" w:eastAsiaTheme="minorEastAsia"/>
          <w:color w:val="000000" w:themeColor="text1"/>
          <w:sz w:val="24"/>
          <w:highlight w:val="none"/>
          <w14:textFill>
            <w14:solidFill>
              <w14:schemeClr w14:val="tx1"/>
            </w14:solidFill>
          </w14:textFill>
        </w:rPr>
        <w:t>其它落实政府采购政策的资格要求（如有）：/。</w:t>
      </w:r>
    </w:p>
    <w:p w14:paraId="22A74FC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3.本项目的特定资格要求：</w:t>
      </w:r>
    </w:p>
    <w:p w14:paraId="7D4DF09B">
      <w:pPr>
        <w:spacing w:line="360" w:lineRule="auto"/>
        <w:ind w:firstLine="435"/>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（1）具有有效的电子与智能化工程专业承包二级及以上资质；</w:t>
      </w:r>
    </w:p>
    <w:p w14:paraId="6673B3CB">
      <w:pPr>
        <w:spacing w:line="360" w:lineRule="auto"/>
        <w:ind w:firstLine="435"/>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（2）具有有效的安全生产许可证；</w:t>
      </w:r>
    </w:p>
    <w:p w14:paraId="1C5FDBCE">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（3）项目经理</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须</w:t>
      </w:r>
      <w:r>
        <w:rPr>
          <w:rFonts w:hint="eastAsia" w:asciiTheme="minorEastAsia" w:hAnsiTheme="minorEastAsia" w:eastAsiaTheme="minorEastAsia"/>
          <w:color w:val="000000" w:themeColor="text1"/>
          <w:sz w:val="24"/>
          <w:highlight w:val="none"/>
          <w14:textFill>
            <w14:solidFill>
              <w14:schemeClr w14:val="tx1"/>
            </w14:solidFill>
          </w14:textFill>
        </w:rPr>
        <w:t>具有有效的机电工程专业二级及以上注册建造师注册证书，且持有行政主管部门颁发的B类安全生产考核合格证书。</w:t>
      </w:r>
    </w:p>
    <w:p w14:paraId="24803B77">
      <w:pPr>
        <w:spacing w:line="360" w:lineRule="auto"/>
        <w:ind w:firstLine="435"/>
        <w:outlineLvl w:val="1"/>
        <w:rPr>
          <w:b/>
          <w:bCs/>
          <w:color w:val="000000" w:themeColor="text1"/>
          <w:sz w:val="24"/>
          <w:highlight w:val="none"/>
          <w14:textFill>
            <w14:solidFill>
              <w14:schemeClr w14:val="tx1"/>
            </w14:solidFill>
          </w14:textFill>
        </w:rPr>
      </w:pPr>
      <w:bookmarkStart w:id="7" w:name="_Toc2855"/>
      <w:r>
        <w:rPr>
          <w:rFonts w:hint="eastAsia"/>
          <w:b/>
          <w:bCs/>
          <w:color w:val="000000" w:themeColor="text1"/>
          <w:sz w:val="24"/>
          <w:highlight w:val="none"/>
          <w14:textFill>
            <w14:solidFill>
              <w14:schemeClr w14:val="tx1"/>
            </w14:solidFill>
          </w14:textFill>
        </w:rPr>
        <w:t>三、</w:t>
      </w:r>
      <w:bookmarkEnd w:id="6"/>
      <w:r>
        <w:rPr>
          <w:rFonts w:hint="eastAsia"/>
          <w:b/>
          <w:bCs/>
          <w:color w:val="000000" w:themeColor="text1"/>
          <w:sz w:val="24"/>
          <w:highlight w:val="none"/>
          <w14:textFill>
            <w14:solidFill>
              <w14:schemeClr w14:val="tx1"/>
            </w14:solidFill>
          </w14:textFill>
        </w:rPr>
        <w:t>获取采购文件</w:t>
      </w:r>
      <w:bookmarkEnd w:id="7"/>
    </w:p>
    <w:p w14:paraId="6675FE99">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bookmarkStart w:id="8" w:name="_Toc16910"/>
      <w:bookmarkStart w:id="9" w:name="_Toc1322"/>
      <w:r>
        <w:rPr>
          <w:rFonts w:hint="eastAsia" w:cs="宋体"/>
          <w:color w:val="000000" w:themeColor="text1"/>
          <w:sz w:val="24"/>
          <w:szCs w:val="24"/>
          <w:highlight w:val="none"/>
          <w14:textFill>
            <w14:solidFill>
              <w14:schemeClr w14:val="tx1"/>
            </w14:solidFill>
          </w14:textFill>
        </w:rPr>
        <w:t>时间：</w:t>
      </w:r>
      <w:r>
        <w:rPr>
          <w:rFonts w:hint="eastAsia" w:cs="宋体"/>
          <w:color w:val="000000" w:themeColor="text1"/>
          <w:sz w:val="24"/>
          <w:szCs w:val="24"/>
          <w:highlight w:val="none"/>
          <w:u w:val="single"/>
          <w14:textFill>
            <w14:solidFill>
              <w14:schemeClr w14:val="tx1"/>
            </w14:solidFill>
          </w14:textFill>
        </w:rPr>
        <w:t>2026年</w:t>
      </w:r>
      <w:r>
        <w:rPr>
          <w:rFonts w:hint="eastAsia" w:cs="宋体"/>
          <w:color w:val="000000" w:themeColor="text1"/>
          <w:sz w:val="24"/>
          <w:szCs w:val="24"/>
          <w:highlight w:val="none"/>
          <w:u w:val="single"/>
          <w:lang w:val="en-US" w:eastAsia="zh-CN"/>
          <w14:textFill>
            <w14:solidFill>
              <w14:schemeClr w14:val="tx1"/>
            </w14:solidFill>
          </w14:textFill>
        </w:rPr>
        <w:t>9</w:t>
      </w:r>
      <w:r>
        <w:rPr>
          <w:rFonts w:hint="eastAsia" w:cs="宋体"/>
          <w:color w:val="000000" w:themeColor="text1"/>
          <w:sz w:val="24"/>
          <w:szCs w:val="24"/>
          <w:highlight w:val="none"/>
          <w:u w:val="single"/>
          <w14:textFill>
            <w14:solidFill>
              <w14:schemeClr w14:val="tx1"/>
            </w14:solidFill>
          </w14:textFill>
        </w:rPr>
        <w:t>月</w:t>
      </w:r>
      <w:r>
        <w:rPr>
          <w:rFonts w:hint="eastAsia" w:cs="宋体"/>
          <w:color w:val="000000" w:themeColor="text1"/>
          <w:sz w:val="24"/>
          <w:szCs w:val="24"/>
          <w:highlight w:val="none"/>
          <w:u w:val="single"/>
          <w:lang w:val="en-US" w:eastAsia="zh-CN"/>
          <w14:textFill>
            <w14:solidFill>
              <w14:schemeClr w14:val="tx1"/>
            </w14:solidFill>
          </w14:textFill>
        </w:rPr>
        <w:t>15</w:t>
      </w:r>
      <w:r>
        <w:rPr>
          <w:rFonts w:hint="eastAsia" w:cs="宋体"/>
          <w:color w:val="000000" w:themeColor="text1"/>
          <w:sz w:val="24"/>
          <w:szCs w:val="24"/>
          <w:highlight w:val="none"/>
          <w:u w:val="single"/>
          <w14:textFill>
            <w14:solidFill>
              <w14:schemeClr w14:val="tx1"/>
            </w14:solidFill>
          </w14:textFill>
        </w:rPr>
        <w:t>日至2026年</w:t>
      </w:r>
      <w:r>
        <w:rPr>
          <w:rFonts w:hint="eastAsia" w:cs="宋体"/>
          <w:color w:val="000000" w:themeColor="text1"/>
          <w:sz w:val="24"/>
          <w:szCs w:val="24"/>
          <w:highlight w:val="none"/>
          <w:u w:val="single"/>
          <w:lang w:val="en-US" w:eastAsia="zh-CN"/>
          <w14:textFill>
            <w14:solidFill>
              <w14:schemeClr w14:val="tx1"/>
            </w14:solidFill>
          </w14:textFill>
        </w:rPr>
        <w:t>9</w:t>
      </w:r>
      <w:r>
        <w:rPr>
          <w:rFonts w:hint="eastAsia" w:cs="宋体"/>
          <w:color w:val="000000" w:themeColor="text1"/>
          <w:sz w:val="24"/>
          <w:szCs w:val="24"/>
          <w:highlight w:val="none"/>
          <w:u w:val="single"/>
          <w14:textFill>
            <w14:solidFill>
              <w14:schemeClr w14:val="tx1"/>
            </w14:solidFill>
          </w14:textFill>
        </w:rPr>
        <w:t>月</w:t>
      </w:r>
      <w:r>
        <w:rPr>
          <w:rFonts w:hint="eastAsia" w:cs="宋体"/>
          <w:color w:val="000000" w:themeColor="text1"/>
          <w:sz w:val="24"/>
          <w:szCs w:val="24"/>
          <w:highlight w:val="none"/>
          <w:u w:val="single"/>
          <w:lang w:val="en-US" w:eastAsia="zh-CN"/>
          <w14:textFill>
            <w14:solidFill>
              <w14:schemeClr w14:val="tx1"/>
            </w14:solidFill>
          </w14:textFill>
        </w:rPr>
        <w:t>29</w:t>
      </w:r>
      <w:r>
        <w:rPr>
          <w:rFonts w:hint="eastAsia" w:cs="宋体"/>
          <w:color w:val="000000" w:themeColor="text1"/>
          <w:sz w:val="24"/>
          <w:szCs w:val="24"/>
          <w:highlight w:val="none"/>
          <w:u w:val="single"/>
          <w14:textFill>
            <w14:solidFill>
              <w14:schemeClr w14:val="tx1"/>
            </w14:solidFill>
          </w14:textFill>
        </w:rPr>
        <w:t>日</w:t>
      </w:r>
      <w:r>
        <w:rPr>
          <w:rFonts w:hint="eastAsia" w:cs="宋体"/>
          <w:color w:val="000000" w:themeColor="text1"/>
          <w:sz w:val="24"/>
          <w:szCs w:val="24"/>
          <w:highlight w:val="none"/>
          <w14:textFill>
            <w14:solidFill>
              <w14:schemeClr w14:val="tx1"/>
            </w14:solidFill>
          </w14:textFill>
        </w:rPr>
        <w:t>，每天上午00:00至12:00，下午12:00至23:59（北京时间，法定节假日除外）</w:t>
      </w:r>
    </w:p>
    <w:p w14:paraId="57B52087">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地点：“徽采云”电子交易系统 </w:t>
      </w:r>
    </w:p>
    <w:p w14:paraId="5AADB8ED">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方式：供应商登录“徽采云”电子交易系统在线获取采购文件</w:t>
      </w:r>
    </w:p>
    <w:p w14:paraId="559C4CCA">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售价：0元</w:t>
      </w:r>
    </w:p>
    <w:bookmarkEnd w:id="8"/>
    <w:bookmarkEnd w:id="9"/>
    <w:p w14:paraId="683AC26A">
      <w:pPr>
        <w:adjustRightInd w:val="0"/>
        <w:snapToGrid w:val="0"/>
        <w:spacing w:line="560" w:lineRule="exact"/>
        <w:jc w:val="left"/>
        <w:rPr>
          <w:rFonts w:cs="宋体"/>
          <w:b/>
          <w:bCs/>
          <w:color w:val="000000" w:themeColor="text1"/>
          <w:sz w:val="24"/>
          <w:szCs w:val="24"/>
          <w:highlight w:val="none"/>
          <w14:textFill>
            <w14:solidFill>
              <w14:schemeClr w14:val="tx1"/>
            </w14:solidFill>
          </w14:textFill>
        </w:rPr>
      </w:pPr>
      <w:bookmarkStart w:id="10" w:name="_Toc35393795"/>
      <w:bookmarkStart w:id="11" w:name="_Toc35393626"/>
      <w:bookmarkStart w:id="12" w:name="_Toc22198"/>
      <w:bookmarkStart w:id="13" w:name="_Toc7722"/>
      <w:r>
        <w:rPr>
          <w:rFonts w:hint="eastAsia" w:cs="宋体"/>
          <w:b/>
          <w:bCs/>
          <w:color w:val="000000" w:themeColor="text1"/>
          <w:sz w:val="24"/>
          <w:szCs w:val="24"/>
          <w:highlight w:val="none"/>
          <w14:textFill>
            <w14:solidFill>
              <w14:schemeClr w14:val="tx1"/>
            </w14:solidFill>
          </w14:textFill>
        </w:rPr>
        <w:t>四、响应文件提交</w:t>
      </w:r>
    </w:p>
    <w:p w14:paraId="31413EF7">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bookmarkStart w:id="14" w:name="_Toc35393802"/>
      <w:bookmarkStart w:id="15" w:name="_Toc28359093"/>
      <w:bookmarkStart w:id="16" w:name="_Toc32658"/>
      <w:bookmarkStart w:id="17" w:name="_Toc28359016"/>
      <w:bookmarkStart w:id="18" w:name="_Toc35393633"/>
      <w:r>
        <w:rPr>
          <w:rFonts w:hint="eastAsia" w:cs="宋体"/>
          <w:color w:val="000000" w:themeColor="text1"/>
          <w:sz w:val="24"/>
          <w:szCs w:val="24"/>
          <w:highlight w:val="none"/>
          <w14:textFill>
            <w14:solidFill>
              <w14:schemeClr w14:val="tx1"/>
            </w14:solidFill>
          </w14:textFill>
        </w:rPr>
        <w:t>截止时间：</w:t>
      </w:r>
      <w:r>
        <w:rPr>
          <w:rFonts w:hint="eastAsia" w:cs="宋体"/>
          <w:color w:val="000000" w:themeColor="text1"/>
          <w:sz w:val="24"/>
          <w:szCs w:val="24"/>
          <w:highlight w:val="none"/>
          <w:u w:val="single"/>
          <w14:textFill>
            <w14:solidFill>
              <w14:schemeClr w14:val="tx1"/>
            </w14:solidFill>
          </w14:textFill>
        </w:rPr>
        <w:t>2026年</w:t>
      </w:r>
      <w:r>
        <w:rPr>
          <w:rFonts w:hint="eastAsia" w:cs="宋体"/>
          <w:color w:val="000000" w:themeColor="text1"/>
          <w:sz w:val="24"/>
          <w:szCs w:val="24"/>
          <w:highlight w:val="none"/>
          <w:u w:val="single"/>
          <w:lang w:val="en-US" w:eastAsia="zh-CN"/>
          <w14:textFill>
            <w14:solidFill>
              <w14:schemeClr w14:val="tx1"/>
            </w14:solidFill>
          </w14:textFill>
        </w:rPr>
        <w:t>9</w:t>
      </w:r>
      <w:r>
        <w:rPr>
          <w:rFonts w:hint="eastAsia" w:cs="宋体"/>
          <w:color w:val="000000" w:themeColor="text1"/>
          <w:sz w:val="24"/>
          <w:szCs w:val="24"/>
          <w:highlight w:val="none"/>
          <w:u w:val="single"/>
          <w14:textFill>
            <w14:solidFill>
              <w14:schemeClr w14:val="tx1"/>
            </w14:solidFill>
          </w14:textFill>
        </w:rPr>
        <w:t>月</w:t>
      </w:r>
      <w:r>
        <w:rPr>
          <w:rFonts w:hint="eastAsia" w:cs="宋体"/>
          <w:color w:val="000000" w:themeColor="text1"/>
          <w:sz w:val="24"/>
          <w:szCs w:val="24"/>
          <w:highlight w:val="none"/>
          <w:u w:val="single"/>
          <w:lang w:val="en-US" w:eastAsia="zh-CN"/>
          <w14:textFill>
            <w14:solidFill>
              <w14:schemeClr w14:val="tx1"/>
            </w14:solidFill>
          </w14:textFill>
        </w:rPr>
        <w:t>29</w:t>
      </w:r>
      <w:r>
        <w:rPr>
          <w:rFonts w:hint="eastAsia" w:cs="宋体"/>
          <w:color w:val="000000" w:themeColor="text1"/>
          <w:sz w:val="24"/>
          <w:szCs w:val="24"/>
          <w:highlight w:val="none"/>
          <w:u w:val="single"/>
          <w14:textFill>
            <w14:solidFill>
              <w14:schemeClr w14:val="tx1"/>
            </w14:solidFill>
          </w14:textFill>
        </w:rPr>
        <w:t>日</w:t>
      </w:r>
      <w:r>
        <w:rPr>
          <w:rFonts w:hint="eastAsia" w:cs="宋体"/>
          <w:color w:val="000000" w:themeColor="text1"/>
          <w:sz w:val="24"/>
          <w:szCs w:val="24"/>
          <w:highlight w:val="none"/>
          <w:u w:val="single"/>
          <w:lang w:val="en-US" w:eastAsia="zh-CN"/>
          <w14:textFill>
            <w14:solidFill>
              <w14:schemeClr w14:val="tx1"/>
            </w14:solidFill>
          </w14:textFill>
        </w:rPr>
        <w:t>15</w:t>
      </w:r>
      <w:r>
        <w:rPr>
          <w:rFonts w:hint="eastAsia" w:cs="宋体"/>
          <w:color w:val="000000" w:themeColor="text1"/>
          <w:sz w:val="24"/>
          <w:szCs w:val="24"/>
          <w:highlight w:val="none"/>
          <w:u w:val="single"/>
          <w14:textFill>
            <w14:solidFill>
              <w14:schemeClr w14:val="tx1"/>
            </w14:solidFill>
          </w14:textFill>
        </w:rPr>
        <w:t>点</w:t>
      </w:r>
      <w:r>
        <w:rPr>
          <w:rFonts w:hint="eastAsia" w:cs="宋体"/>
          <w:color w:val="000000" w:themeColor="text1"/>
          <w:sz w:val="24"/>
          <w:szCs w:val="24"/>
          <w:highlight w:val="none"/>
          <w:u w:val="single"/>
          <w:lang w:val="en-US" w:eastAsia="zh-CN"/>
          <w14:textFill>
            <w14:solidFill>
              <w14:schemeClr w14:val="tx1"/>
            </w14:solidFill>
          </w14:textFill>
        </w:rPr>
        <w:t>0</w:t>
      </w:r>
      <w:r>
        <w:rPr>
          <w:rFonts w:hint="eastAsia" w:cs="宋体"/>
          <w:color w:val="000000" w:themeColor="text1"/>
          <w:sz w:val="24"/>
          <w:szCs w:val="24"/>
          <w:highlight w:val="none"/>
          <w:u w:val="single"/>
          <w14:textFill>
            <w14:solidFill>
              <w14:schemeClr w14:val="tx1"/>
            </w14:solidFill>
          </w14:textFill>
        </w:rPr>
        <w:t>0分（北京时间）</w:t>
      </w:r>
    </w:p>
    <w:p w14:paraId="2F195722">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地点：“徽采云”电子交易系统</w:t>
      </w:r>
    </w:p>
    <w:p w14:paraId="7A307F2D">
      <w:pPr>
        <w:pStyle w:val="3"/>
        <w:pageBreakBefore w:val="0"/>
        <w:widowControl w:val="0"/>
        <w:kinsoku/>
        <w:wordWrap/>
        <w:overflowPunct/>
        <w:topLinePunct w:val="0"/>
        <w:autoSpaceDE/>
        <w:autoSpaceDN/>
        <w:bidi w:val="0"/>
        <w:adjustRightInd w:val="0"/>
        <w:snapToGrid w:val="0"/>
        <w:spacing w:before="0" w:after="0" w:line="560" w:lineRule="exact"/>
        <w:jc w:val="left"/>
        <w:textAlignment w:val="auto"/>
        <w:rPr>
          <w:rFonts w:ascii="宋体" w:hAnsi="宋体" w:cs="宋体"/>
          <w:bCs w:val="0"/>
          <w:color w:val="000000" w:themeColor="text1"/>
          <w:sz w:val="24"/>
          <w:szCs w:val="24"/>
          <w:highlight w:val="none"/>
          <w14:textFill>
            <w14:solidFill>
              <w14:schemeClr w14:val="tx1"/>
            </w14:solidFill>
          </w14:textFill>
        </w:rPr>
      </w:pPr>
      <w:r>
        <w:rPr>
          <w:rFonts w:hint="eastAsia" w:ascii="宋体" w:hAnsi="宋体" w:cs="宋体"/>
          <w:bCs w:val="0"/>
          <w:color w:val="000000" w:themeColor="text1"/>
          <w:sz w:val="24"/>
          <w:szCs w:val="24"/>
          <w:highlight w:val="none"/>
          <w14:textFill>
            <w14:solidFill>
              <w14:schemeClr w14:val="tx1"/>
            </w14:solidFill>
          </w14:textFill>
        </w:rPr>
        <w:t>五、开启</w:t>
      </w:r>
      <w:bookmarkEnd w:id="14"/>
      <w:bookmarkEnd w:id="15"/>
      <w:bookmarkEnd w:id="16"/>
      <w:bookmarkEnd w:id="17"/>
      <w:bookmarkEnd w:id="18"/>
    </w:p>
    <w:p w14:paraId="318BDAA8">
      <w:pPr>
        <w:pageBreakBefore w:val="0"/>
        <w:widowControl w:val="0"/>
        <w:kinsoku/>
        <w:wordWrap/>
        <w:overflowPunct/>
        <w:topLinePunct w:val="0"/>
        <w:autoSpaceDE/>
        <w:autoSpaceDN/>
        <w:bidi w:val="0"/>
        <w:adjustRightInd w:val="0"/>
        <w:snapToGrid w:val="0"/>
        <w:spacing w:line="560" w:lineRule="exact"/>
        <w:ind w:firstLine="480" w:firstLineChars="200"/>
        <w:jc w:val="left"/>
        <w:textAlignment w:val="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时间：</w:t>
      </w:r>
      <w:r>
        <w:rPr>
          <w:rFonts w:hint="eastAsia" w:cs="宋体"/>
          <w:color w:val="000000" w:themeColor="text1"/>
          <w:sz w:val="24"/>
          <w:szCs w:val="24"/>
          <w:highlight w:val="none"/>
          <w:u w:val="single"/>
          <w14:textFill>
            <w14:solidFill>
              <w14:schemeClr w14:val="tx1"/>
            </w14:solidFill>
          </w14:textFill>
        </w:rPr>
        <w:t>2026年</w:t>
      </w:r>
      <w:r>
        <w:rPr>
          <w:rFonts w:hint="eastAsia" w:cs="宋体"/>
          <w:color w:val="000000" w:themeColor="text1"/>
          <w:sz w:val="24"/>
          <w:szCs w:val="24"/>
          <w:highlight w:val="none"/>
          <w:u w:val="single"/>
          <w:lang w:val="en-US" w:eastAsia="zh-CN"/>
          <w14:textFill>
            <w14:solidFill>
              <w14:schemeClr w14:val="tx1"/>
            </w14:solidFill>
          </w14:textFill>
        </w:rPr>
        <w:t>9</w:t>
      </w:r>
      <w:r>
        <w:rPr>
          <w:rFonts w:hint="eastAsia" w:cs="宋体"/>
          <w:color w:val="000000" w:themeColor="text1"/>
          <w:sz w:val="24"/>
          <w:szCs w:val="24"/>
          <w:highlight w:val="none"/>
          <w:u w:val="single"/>
          <w14:textFill>
            <w14:solidFill>
              <w14:schemeClr w14:val="tx1"/>
            </w14:solidFill>
          </w14:textFill>
        </w:rPr>
        <w:t>月</w:t>
      </w:r>
      <w:r>
        <w:rPr>
          <w:rFonts w:hint="eastAsia" w:cs="宋体"/>
          <w:color w:val="000000" w:themeColor="text1"/>
          <w:sz w:val="24"/>
          <w:szCs w:val="24"/>
          <w:highlight w:val="none"/>
          <w:u w:val="single"/>
          <w:lang w:val="en-US" w:eastAsia="zh-CN"/>
          <w14:textFill>
            <w14:solidFill>
              <w14:schemeClr w14:val="tx1"/>
            </w14:solidFill>
          </w14:textFill>
        </w:rPr>
        <w:t>29</w:t>
      </w:r>
      <w:r>
        <w:rPr>
          <w:rFonts w:hint="eastAsia" w:cs="宋体"/>
          <w:color w:val="000000" w:themeColor="text1"/>
          <w:sz w:val="24"/>
          <w:szCs w:val="24"/>
          <w:highlight w:val="none"/>
          <w:u w:val="single"/>
          <w14:textFill>
            <w14:solidFill>
              <w14:schemeClr w14:val="tx1"/>
            </w14:solidFill>
          </w14:textFill>
        </w:rPr>
        <w:t>日</w:t>
      </w:r>
      <w:r>
        <w:rPr>
          <w:rFonts w:hint="eastAsia" w:cs="宋体"/>
          <w:color w:val="000000" w:themeColor="text1"/>
          <w:sz w:val="24"/>
          <w:szCs w:val="24"/>
          <w:highlight w:val="none"/>
          <w:u w:val="single"/>
          <w:lang w:val="en-US" w:eastAsia="zh-CN"/>
          <w14:textFill>
            <w14:solidFill>
              <w14:schemeClr w14:val="tx1"/>
            </w14:solidFill>
          </w14:textFill>
        </w:rPr>
        <w:t>15</w:t>
      </w:r>
      <w:r>
        <w:rPr>
          <w:rFonts w:hint="eastAsia" w:cs="宋体"/>
          <w:color w:val="000000" w:themeColor="text1"/>
          <w:sz w:val="24"/>
          <w:szCs w:val="24"/>
          <w:highlight w:val="none"/>
          <w:u w:val="single"/>
          <w14:textFill>
            <w14:solidFill>
              <w14:schemeClr w14:val="tx1"/>
            </w14:solidFill>
          </w14:textFill>
        </w:rPr>
        <w:t>点</w:t>
      </w:r>
      <w:r>
        <w:rPr>
          <w:rFonts w:hint="eastAsia" w:cs="宋体"/>
          <w:color w:val="000000" w:themeColor="text1"/>
          <w:sz w:val="24"/>
          <w:szCs w:val="24"/>
          <w:highlight w:val="none"/>
          <w:u w:val="single"/>
          <w:lang w:val="en-US" w:eastAsia="zh-CN"/>
          <w14:textFill>
            <w14:solidFill>
              <w14:schemeClr w14:val="tx1"/>
            </w14:solidFill>
          </w14:textFill>
        </w:rPr>
        <w:t>0</w:t>
      </w:r>
      <w:r>
        <w:rPr>
          <w:rFonts w:hint="eastAsia" w:cs="宋体"/>
          <w:color w:val="000000" w:themeColor="text1"/>
          <w:sz w:val="24"/>
          <w:szCs w:val="24"/>
          <w:highlight w:val="none"/>
          <w:u w:val="single"/>
          <w14:textFill>
            <w14:solidFill>
              <w14:schemeClr w14:val="tx1"/>
            </w14:solidFill>
          </w14:textFill>
        </w:rPr>
        <w:t>0分（北京时间）</w:t>
      </w:r>
    </w:p>
    <w:p w14:paraId="5D503BDE">
      <w:pPr>
        <w:pageBreakBefore w:val="0"/>
        <w:widowControl w:val="0"/>
        <w:kinsoku/>
        <w:wordWrap/>
        <w:overflowPunct/>
        <w:topLinePunct w:val="0"/>
        <w:autoSpaceDE/>
        <w:autoSpaceDN/>
        <w:bidi w:val="0"/>
        <w:adjustRightInd w:val="0"/>
        <w:snapToGrid w:val="0"/>
        <w:spacing w:line="560" w:lineRule="exact"/>
        <w:ind w:firstLine="480" w:firstLineChars="200"/>
        <w:jc w:val="left"/>
        <w:textAlignment w:val="auto"/>
        <w:rPr>
          <w:rFonts w:cs="宋体"/>
          <w:bCs/>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地点：“徽采云”电子交易系统</w:t>
      </w:r>
    </w:p>
    <w:p w14:paraId="6A158F82">
      <w:pPr>
        <w:pStyle w:val="3"/>
        <w:pageBreakBefore w:val="0"/>
        <w:widowControl w:val="0"/>
        <w:kinsoku/>
        <w:wordWrap/>
        <w:overflowPunct/>
        <w:topLinePunct w:val="0"/>
        <w:autoSpaceDE/>
        <w:autoSpaceDN/>
        <w:bidi w:val="0"/>
        <w:adjustRightInd w:val="0"/>
        <w:snapToGrid w:val="0"/>
        <w:spacing w:before="0" w:after="0" w:line="560" w:lineRule="exact"/>
        <w:jc w:val="left"/>
        <w:textAlignment w:val="auto"/>
        <w:rPr>
          <w:rFonts w:ascii="宋体" w:hAnsi="宋体" w:cs="宋体"/>
          <w:bCs w:val="0"/>
          <w:color w:val="000000" w:themeColor="text1"/>
          <w:sz w:val="24"/>
          <w:szCs w:val="24"/>
          <w:highlight w:val="none"/>
          <w14:textFill>
            <w14:solidFill>
              <w14:schemeClr w14:val="tx1"/>
            </w14:solidFill>
          </w14:textFill>
        </w:rPr>
      </w:pPr>
      <w:bookmarkStart w:id="19" w:name="_Toc6935"/>
      <w:bookmarkStart w:id="20" w:name="_Toc35393634"/>
      <w:bookmarkStart w:id="21" w:name="_Toc28359094"/>
      <w:bookmarkStart w:id="22" w:name="_Toc28359017"/>
      <w:bookmarkStart w:id="23" w:name="_Toc35393803"/>
      <w:r>
        <w:rPr>
          <w:rFonts w:hint="eastAsia" w:ascii="宋体" w:hAnsi="宋体" w:cs="宋体"/>
          <w:bCs w:val="0"/>
          <w:color w:val="000000" w:themeColor="text1"/>
          <w:sz w:val="24"/>
          <w:szCs w:val="24"/>
          <w:highlight w:val="none"/>
          <w14:textFill>
            <w14:solidFill>
              <w14:schemeClr w14:val="tx1"/>
            </w14:solidFill>
          </w14:textFill>
        </w:rPr>
        <w:t>六、公告期限</w:t>
      </w:r>
      <w:bookmarkEnd w:id="19"/>
      <w:bookmarkEnd w:id="20"/>
      <w:bookmarkEnd w:id="21"/>
      <w:bookmarkEnd w:id="22"/>
      <w:bookmarkEnd w:id="23"/>
    </w:p>
    <w:p w14:paraId="582F6297">
      <w:pPr>
        <w:pageBreakBefore w:val="0"/>
        <w:widowControl w:val="0"/>
        <w:kinsoku/>
        <w:wordWrap/>
        <w:overflowPunct/>
        <w:topLinePunct w:val="0"/>
        <w:autoSpaceDE/>
        <w:autoSpaceDN/>
        <w:bidi w:val="0"/>
        <w:adjustRightInd w:val="0"/>
        <w:snapToGrid w:val="0"/>
        <w:spacing w:line="560" w:lineRule="exact"/>
        <w:ind w:firstLine="480" w:firstLineChars="200"/>
        <w:jc w:val="left"/>
        <w:textAlignment w:val="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自本公告发布之日起3个工作日。</w:t>
      </w:r>
    </w:p>
    <w:p w14:paraId="2CE61811">
      <w:pPr>
        <w:pageBreakBefore w:val="0"/>
        <w:widowControl w:val="0"/>
        <w:kinsoku/>
        <w:wordWrap/>
        <w:overflowPunct/>
        <w:topLinePunct w:val="0"/>
        <w:autoSpaceDE/>
        <w:autoSpaceDN/>
        <w:bidi w:val="0"/>
        <w:adjustRightInd w:val="0"/>
        <w:snapToGrid w:val="0"/>
        <w:spacing w:line="560" w:lineRule="exact"/>
        <w:textAlignment w:val="auto"/>
        <w:outlineLvl w:val="1"/>
        <w:rPr>
          <w:b/>
          <w:bCs/>
          <w:color w:val="000000" w:themeColor="text1"/>
          <w:sz w:val="24"/>
          <w:szCs w:val="18"/>
          <w:highlight w:val="none"/>
          <w14:textFill>
            <w14:solidFill>
              <w14:schemeClr w14:val="tx1"/>
            </w14:solidFill>
          </w14:textFill>
        </w:rPr>
      </w:pPr>
      <w:r>
        <w:rPr>
          <w:rFonts w:hint="eastAsia"/>
          <w:b/>
          <w:bCs/>
          <w:color w:val="000000" w:themeColor="text1"/>
          <w:sz w:val="24"/>
          <w:szCs w:val="18"/>
          <w:highlight w:val="none"/>
          <w14:textFill>
            <w14:solidFill>
              <w14:schemeClr w14:val="tx1"/>
            </w14:solidFill>
          </w14:textFill>
        </w:rPr>
        <w:t>七、其他补充事宜</w:t>
      </w:r>
      <w:bookmarkEnd w:id="10"/>
      <w:bookmarkEnd w:id="11"/>
      <w:bookmarkEnd w:id="12"/>
    </w:p>
    <w:p w14:paraId="12361C85">
      <w:pPr>
        <w:pStyle w:val="19"/>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1.项目采用全流程电子化采购方式，相关操作说明如下：供应商登录“徽采云”电子交易系统（https://login.anhui.zcygov.cn/user-login/#/login）在线申请获取采购文件（进入“项目采购”应用，在获取采购文件菜单中选择项目，申请获取采购文件）。登录须持有电子交易系统兼容的数字证书，详情参见“安徽省政府采购网－徽采学院－电子交易系统学习专题－供应商－操作手册”。</w:t>
      </w:r>
    </w:p>
    <w:p w14:paraId="40F0D3B6">
      <w:pPr>
        <w:pStyle w:val="19"/>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2.本项目落实节能环保、中小微型企业扶持等相关政府采购政策。</w:t>
      </w:r>
    </w:p>
    <w:p w14:paraId="71F6CC33">
      <w:pPr>
        <w:pStyle w:val="19"/>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3.本次采购公告在安徽省政府采购网</w:t>
      </w:r>
      <w:r>
        <w:rPr>
          <w:rFonts w:hint="eastAsia" w:ascii="宋体" w:hAnsi="宋体" w:eastAsia="宋体" w:cs="宋体"/>
          <w:color w:val="000000" w:themeColor="text1"/>
          <w:sz w:val="24"/>
          <w:highlight w:val="none"/>
          <w:lang w:val="en-US" w:eastAsia="zh-CN"/>
          <w14:textFill>
            <w14:solidFill>
              <w14:schemeClr w14:val="tx1"/>
            </w14:solidFill>
          </w14:textFill>
        </w:rPr>
        <w:t>、安徽省淮河河道管理局网站</w:t>
      </w:r>
      <w:r>
        <w:rPr>
          <w:rFonts w:hint="eastAsia" w:ascii="宋体" w:hAnsi="宋体" w:eastAsia="宋体" w:cs="宋体"/>
          <w:color w:val="000000" w:themeColor="text1"/>
          <w:sz w:val="24"/>
          <w:highlight w:val="none"/>
          <w:lang w:val="en-US"/>
          <w14:textFill>
            <w14:solidFill>
              <w14:schemeClr w14:val="tx1"/>
            </w14:solidFill>
          </w14:textFill>
        </w:rPr>
        <w:t>上发布。</w:t>
      </w:r>
    </w:p>
    <w:p w14:paraId="2404ADA0">
      <w:pPr>
        <w:pStyle w:val="19"/>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4.潜在供应商应合理安排采购文件获取时间，特别是网络速度慢的地区防止在系统关闭前网络拥堵无法操作。如果因计算机及网络故障造成无法完成采购文件获取，责任自负。采购文件获取过程中有任何疑问，请在工作时间（09：00-17:30，节假日休息）拨打技术支持热线（非项目咨询）：95763。项目咨询请拨打代理机构项目联系人电话：0552-3092287。</w:t>
      </w:r>
    </w:p>
    <w:p w14:paraId="63F161BE">
      <w:pPr>
        <w:pStyle w:val="19"/>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5.按照财政部、工业和信息化部制定的《政府采购促进中小企业发展管理办法》，本项目为专门面向中小企业采购项目。企业划型标准按照《关于印发中小企业划型标准规定的通知》（工信部联企业〔2011〕300号）规定执行。响应文件中须提供中小企业声明函。</w:t>
      </w:r>
    </w:p>
    <w:p w14:paraId="51796BD5">
      <w:pPr>
        <w:pStyle w:val="19"/>
        <w:pageBreakBefore w:val="0"/>
        <w:widowControl w:val="0"/>
        <w:kinsoku/>
        <w:wordWrap/>
        <w:overflowPunct/>
        <w:topLinePunct w:val="0"/>
        <w:autoSpaceDE/>
        <w:autoSpaceDN/>
        <w:bidi w:val="0"/>
        <w:adjustRightInd w:val="0"/>
        <w:snapToGrid w:val="0"/>
        <w:spacing w:after="0" w:line="560" w:lineRule="exact"/>
        <w:ind w:firstLine="480" w:firstLineChars="200"/>
        <w:textAlignment w:val="auto"/>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6.</w:t>
      </w:r>
      <w:r>
        <w:rPr>
          <w:rFonts w:hint="eastAsia" w:ascii="宋体" w:hAnsi="宋体" w:eastAsia="宋体" w:cs="宋体"/>
          <w:color w:val="000000" w:themeColor="text1"/>
          <w:sz w:val="24"/>
          <w:highlight w:val="none"/>
          <w:lang w:val="en-US"/>
          <w14:textFill>
            <w14:solidFill>
              <w14:schemeClr w14:val="tx1"/>
            </w14:solidFill>
          </w14:textFill>
        </w:rPr>
        <w:t>单位负责人为同一人或者存在直接控股、管理关系的不同供应商，不得参加同一合同项下的政府采购活动。为</w:t>
      </w:r>
      <w:r>
        <w:rPr>
          <w:rFonts w:hint="eastAsia" w:ascii="宋体" w:hAnsi="宋体" w:eastAsia="宋体" w:cs="宋体"/>
          <w:color w:val="000000" w:themeColor="text1"/>
          <w:sz w:val="24"/>
          <w:highlight w:val="none"/>
          <w:lang w:val="en-US" w:eastAsia="zh-CN"/>
          <w14:textFill>
            <w14:solidFill>
              <w14:schemeClr w14:val="tx1"/>
            </w14:solidFill>
          </w14:textFill>
        </w:rPr>
        <w:t>本</w:t>
      </w:r>
      <w:r>
        <w:rPr>
          <w:rFonts w:hint="eastAsia" w:ascii="宋体" w:hAnsi="宋体" w:eastAsia="宋体" w:cs="宋体"/>
          <w:color w:val="000000" w:themeColor="text1"/>
          <w:sz w:val="24"/>
          <w:highlight w:val="none"/>
          <w:lang w:val="en-US"/>
          <w14:textFill>
            <w14:solidFill>
              <w14:schemeClr w14:val="tx1"/>
            </w14:solidFill>
          </w14:textFill>
        </w:rPr>
        <w:t>采购项目提供整体设计、规范编制或者项目管理、监理、检测等服务的供应商，不得再参加</w:t>
      </w:r>
      <w:r>
        <w:rPr>
          <w:rFonts w:hint="eastAsia" w:ascii="宋体" w:hAnsi="宋体" w:eastAsia="宋体" w:cs="宋体"/>
          <w:color w:val="000000" w:themeColor="text1"/>
          <w:sz w:val="24"/>
          <w:highlight w:val="none"/>
          <w:lang w:val="en-US" w:eastAsia="zh-CN"/>
          <w14:textFill>
            <w14:solidFill>
              <w14:schemeClr w14:val="tx1"/>
            </w14:solidFill>
          </w14:textFill>
        </w:rPr>
        <w:t>本</w:t>
      </w:r>
      <w:r>
        <w:rPr>
          <w:rFonts w:hint="eastAsia" w:ascii="宋体" w:hAnsi="宋体" w:eastAsia="宋体" w:cs="宋体"/>
          <w:color w:val="000000" w:themeColor="text1"/>
          <w:sz w:val="24"/>
          <w:highlight w:val="none"/>
          <w:lang w:val="en-US"/>
          <w14:textFill>
            <w14:solidFill>
              <w14:schemeClr w14:val="tx1"/>
            </w14:solidFill>
          </w14:textFill>
        </w:rPr>
        <w:t>采购项目的其他采购活动。</w:t>
      </w:r>
    </w:p>
    <w:p w14:paraId="185D6320">
      <w:pPr>
        <w:adjustRightInd w:val="0"/>
        <w:snapToGrid w:val="0"/>
        <w:spacing w:line="560" w:lineRule="exact"/>
        <w:ind w:firstLine="482" w:firstLineChars="200"/>
        <w:jc w:val="left"/>
        <w:rPr>
          <w:rFonts w:cs="宋体"/>
          <w:b/>
          <w:bCs/>
          <w:color w:val="000000" w:themeColor="text1"/>
          <w:sz w:val="24"/>
          <w:szCs w:val="24"/>
          <w:highlight w:val="none"/>
          <w14:textFill>
            <w14:solidFill>
              <w14:schemeClr w14:val="tx1"/>
            </w14:solidFill>
          </w14:textFill>
        </w:rPr>
      </w:pPr>
      <w:bookmarkStart w:id="24" w:name="_Toc25763"/>
      <w:r>
        <w:rPr>
          <w:rFonts w:hint="eastAsia" w:cs="宋体"/>
          <w:b/>
          <w:bCs/>
          <w:color w:val="000000" w:themeColor="text1"/>
          <w:sz w:val="24"/>
          <w:szCs w:val="24"/>
          <w:highlight w:val="none"/>
          <w14:textFill>
            <w14:solidFill>
              <w14:schemeClr w14:val="tx1"/>
            </w14:solidFill>
          </w14:textFill>
        </w:rPr>
        <w:t>八、</w:t>
      </w:r>
      <w:bookmarkEnd w:id="13"/>
      <w:r>
        <w:rPr>
          <w:rFonts w:hint="eastAsia" w:cs="宋体"/>
          <w:b/>
          <w:bCs/>
          <w:color w:val="000000" w:themeColor="text1"/>
          <w:sz w:val="24"/>
          <w:szCs w:val="24"/>
          <w:highlight w:val="none"/>
          <w14:textFill>
            <w14:solidFill>
              <w14:schemeClr w14:val="tx1"/>
            </w14:solidFill>
          </w14:textFill>
        </w:rPr>
        <w:t>对本次招标提出询问，请按以下方式联系</w:t>
      </w:r>
      <w:bookmarkEnd w:id="24"/>
    </w:p>
    <w:p w14:paraId="51B0725B">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bookmarkStart w:id="25" w:name="_Toc28359019"/>
      <w:bookmarkStart w:id="26" w:name="_Toc35393637"/>
      <w:bookmarkStart w:id="27" w:name="_Toc28359096"/>
      <w:bookmarkStart w:id="28" w:name="_Toc29915"/>
      <w:bookmarkStart w:id="29" w:name="_Toc35393806"/>
      <w:r>
        <w:rPr>
          <w:rFonts w:hint="eastAsia" w:cs="宋体"/>
          <w:color w:val="000000" w:themeColor="text1"/>
          <w:sz w:val="24"/>
          <w:szCs w:val="24"/>
          <w:highlight w:val="none"/>
          <w14:textFill>
            <w14:solidFill>
              <w14:schemeClr w14:val="tx1"/>
            </w14:solidFill>
          </w14:textFill>
        </w:rPr>
        <w:t>1.采购人信息</w:t>
      </w:r>
      <w:bookmarkEnd w:id="25"/>
      <w:bookmarkEnd w:id="26"/>
      <w:bookmarkEnd w:id="27"/>
      <w:bookmarkEnd w:id="28"/>
      <w:bookmarkEnd w:id="29"/>
    </w:p>
    <w:p w14:paraId="791FDB95">
      <w:pPr>
        <w:adjustRightInd w:val="0"/>
        <w:snapToGrid w:val="0"/>
        <w:spacing w:line="560" w:lineRule="exact"/>
        <w:ind w:firstLine="480" w:firstLineChars="200"/>
        <w:jc w:val="left"/>
        <w:rPr>
          <w:color w:val="000000" w:themeColor="text1"/>
          <w:sz w:val="24"/>
          <w:szCs w:val="24"/>
          <w:highlight w:val="none"/>
          <w14:textFill>
            <w14:solidFill>
              <w14:schemeClr w14:val="tx1"/>
            </w14:solidFill>
          </w14:textFill>
        </w:rPr>
      </w:pPr>
      <w:bookmarkStart w:id="30" w:name="_Toc35393807"/>
      <w:bookmarkStart w:id="31" w:name="_Toc35393638"/>
      <w:bookmarkStart w:id="32" w:name="_Toc28359097"/>
      <w:bookmarkStart w:id="33" w:name="_Toc28359020"/>
      <w:r>
        <w:rPr>
          <w:rFonts w:hint="eastAsia" w:cs="宋体"/>
          <w:color w:val="000000" w:themeColor="text1"/>
          <w:sz w:val="24"/>
          <w:szCs w:val="24"/>
          <w:highlight w:val="none"/>
          <w14:textFill>
            <w14:solidFill>
              <w14:schemeClr w14:val="tx1"/>
            </w14:solidFill>
          </w14:textFill>
        </w:rPr>
        <w:t>名  称</w:t>
      </w:r>
      <w:r>
        <w:rPr>
          <w:rFonts w:hint="eastAsia"/>
          <w:color w:val="000000" w:themeColor="text1"/>
          <w:sz w:val="24"/>
          <w:szCs w:val="24"/>
          <w:highlight w:val="none"/>
          <w14:textFill>
            <w14:solidFill>
              <w14:schemeClr w14:val="tx1"/>
            </w14:solidFill>
          </w14:textFill>
        </w:rPr>
        <w:t>：安徽省淮河河道管理局</w:t>
      </w:r>
    </w:p>
    <w:p w14:paraId="5637CAC1">
      <w:pPr>
        <w:adjustRightInd w:val="0"/>
        <w:snapToGrid w:val="0"/>
        <w:spacing w:line="560" w:lineRule="exact"/>
        <w:ind w:firstLine="480" w:firstLineChars="20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地 </w:t>
      </w:r>
      <w:r>
        <w:rPr>
          <w:color w:val="000000" w:themeColor="text1"/>
          <w:sz w:val="24"/>
          <w:szCs w:val="24"/>
          <w:highlight w:val="non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址：安徽省蚌埠市解放一路116号</w:t>
      </w:r>
    </w:p>
    <w:p w14:paraId="356A300C">
      <w:pPr>
        <w:adjustRightInd w:val="0"/>
        <w:snapToGrid w:val="0"/>
        <w:spacing w:line="560" w:lineRule="exact"/>
        <w:ind w:firstLine="480" w:firstLineChars="200"/>
        <w:jc w:val="left"/>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联系方式：</w:t>
      </w:r>
      <w:r>
        <w:rPr>
          <w:rFonts w:hint="eastAsia"/>
          <w:color w:val="000000" w:themeColor="text1"/>
          <w:sz w:val="24"/>
          <w:szCs w:val="24"/>
          <w:highlight w:val="none"/>
          <w:lang w:val="en-US" w:eastAsia="zh-CN"/>
          <w14:textFill>
            <w14:solidFill>
              <w14:schemeClr w14:val="tx1"/>
            </w14:solidFill>
          </w14:textFill>
        </w:rPr>
        <w:t>0552-3918061</w:t>
      </w:r>
    </w:p>
    <w:p w14:paraId="45C1FF58">
      <w:pPr>
        <w:adjustRightInd w:val="0"/>
        <w:snapToGrid w:val="0"/>
        <w:spacing w:line="560" w:lineRule="exact"/>
        <w:ind w:firstLine="480" w:firstLineChars="200"/>
        <w:jc w:val="left"/>
        <w:rPr>
          <w:rFonts w:cs="宋体"/>
          <w:color w:val="000000" w:themeColor="text1"/>
          <w:sz w:val="24"/>
          <w:szCs w:val="24"/>
          <w:highlight w:val="none"/>
          <w14:textFill>
            <w14:solidFill>
              <w14:schemeClr w14:val="tx1"/>
            </w14:solidFill>
          </w14:textFill>
        </w:rPr>
      </w:pPr>
      <w:bookmarkStart w:id="34" w:name="_Toc15577"/>
      <w:r>
        <w:rPr>
          <w:rFonts w:hint="eastAsia" w:cs="宋体"/>
          <w:color w:val="000000" w:themeColor="text1"/>
          <w:sz w:val="24"/>
          <w:szCs w:val="24"/>
          <w:highlight w:val="none"/>
          <w14:textFill>
            <w14:solidFill>
              <w14:schemeClr w14:val="tx1"/>
            </w14:solidFill>
          </w14:textFill>
        </w:rPr>
        <w:t>2.采购代理机构信息</w:t>
      </w:r>
      <w:bookmarkEnd w:id="30"/>
      <w:bookmarkEnd w:id="31"/>
      <w:bookmarkEnd w:id="32"/>
      <w:bookmarkEnd w:id="33"/>
      <w:bookmarkEnd w:id="34"/>
    </w:p>
    <w:p w14:paraId="3E6DBBA5">
      <w:pPr>
        <w:adjustRightInd w:val="0"/>
        <w:snapToGrid w:val="0"/>
        <w:spacing w:line="560" w:lineRule="exact"/>
        <w:ind w:firstLine="480" w:firstLineChars="200"/>
        <w:jc w:val="left"/>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名  称：</w:t>
      </w:r>
      <w:r>
        <w:rPr>
          <w:rFonts w:hint="eastAsia"/>
          <w:bCs/>
          <w:color w:val="000000" w:themeColor="text1"/>
          <w:sz w:val="24"/>
          <w:szCs w:val="24"/>
          <w:highlight w:val="none"/>
          <w:lang w:val="en-US" w:eastAsia="zh-CN"/>
          <w14:textFill>
            <w14:solidFill>
              <w14:schemeClr w14:val="tx1"/>
            </w14:solidFill>
          </w14:textFill>
        </w:rPr>
        <w:t>安徽安兆工程技术咨询服务有限公司</w:t>
      </w:r>
    </w:p>
    <w:p w14:paraId="40266B30">
      <w:pPr>
        <w:adjustRightInd w:val="0"/>
        <w:snapToGrid w:val="0"/>
        <w:spacing w:line="560" w:lineRule="exact"/>
        <w:ind w:firstLine="480" w:firstLineChars="200"/>
        <w:jc w:val="left"/>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地  址：安徽省合肥市包河区云谷路2588号/安徽省蚌埠市凤阳西路41号</w:t>
      </w:r>
    </w:p>
    <w:p w14:paraId="166CF4C1">
      <w:pPr>
        <w:adjustRightInd w:val="0"/>
        <w:snapToGrid w:val="0"/>
        <w:spacing w:line="560" w:lineRule="exact"/>
        <w:ind w:firstLine="480" w:firstLineChars="200"/>
        <w:jc w:val="left"/>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联系人：</w:t>
      </w:r>
      <w:r>
        <w:rPr>
          <w:rFonts w:hint="eastAsia"/>
          <w:bCs/>
          <w:color w:val="000000" w:themeColor="text1"/>
          <w:sz w:val="24"/>
          <w:szCs w:val="24"/>
          <w:highlight w:val="none"/>
          <w:lang w:val="en-US" w:eastAsia="zh-CN"/>
          <w14:textFill>
            <w14:solidFill>
              <w14:schemeClr w14:val="tx1"/>
            </w14:solidFill>
          </w14:textFill>
        </w:rPr>
        <w:t>薛一唯</w:t>
      </w:r>
    </w:p>
    <w:p w14:paraId="6CF65BCA">
      <w:pPr>
        <w:adjustRightInd w:val="0"/>
        <w:snapToGrid w:val="0"/>
        <w:spacing w:line="560" w:lineRule="exact"/>
        <w:ind w:firstLine="480" w:firstLineChars="200"/>
        <w:jc w:val="left"/>
        <w:rPr>
          <w:rFonts w:hint="default" w:eastAsia="宋体"/>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联系方式：</w:t>
      </w:r>
      <w:r>
        <w:rPr>
          <w:rFonts w:hint="eastAsia"/>
          <w:bCs/>
          <w:color w:val="000000" w:themeColor="text1"/>
          <w:sz w:val="24"/>
          <w:szCs w:val="24"/>
          <w:highlight w:val="none"/>
          <w:lang w:val="en-US" w:eastAsia="zh-CN"/>
          <w14:textFill>
            <w14:solidFill>
              <w14:schemeClr w14:val="tx1"/>
            </w14:solidFill>
          </w14:textFill>
        </w:rPr>
        <w:t>0552-3092287</w:t>
      </w:r>
    </w:p>
    <w:p w14:paraId="422C3FC1">
      <w:pPr>
        <w:adjustRightInd w:val="0"/>
        <w:snapToGrid w:val="0"/>
        <w:spacing w:line="560" w:lineRule="exact"/>
        <w:ind w:firstLine="480" w:firstLineChars="200"/>
        <w:jc w:val="left"/>
        <w:rPr>
          <w:b/>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3</w:t>
      </w:r>
      <w:r>
        <w:rPr>
          <w:rFonts w:hint="eastAsia"/>
          <w:b/>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政府采购监督管理部门信息</w:t>
      </w:r>
    </w:p>
    <w:p w14:paraId="3696B431">
      <w:pPr>
        <w:adjustRightInd w:val="0"/>
        <w:snapToGrid w:val="0"/>
        <w:spacing w:line="560" w:lineRule="exact"/>
        <w:ind w:firstLine="480" w:firstLineChars="20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名  称：安徽省财政厅</w:t>
      </w:r>
    </w:p>
    <w:p w14:paraId="4E8B96EA">
      <w:pPr>
        <w:adjustRightInd w:val="0"/>
        <w:snapToGrid w:val="0"/>
        <w:spacing w:line="560" w:lineRule="exact"/>
        <w:ind w:firstLine="480" w:firstLineChars="20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  址：合肥市阜南西路238号</w:t>
      </w:r>
    </w:p>
    <w:p w14:paraId="5C29640D">
      <w:pPr>
        <w:adjustRightInd w:val="0"/>
        <w:snapToGrid w:val="0"/>
        <w:spacing w:line="560" w:lineRule="exact"/>
        <w:ind w:firstLine="480" w:firstLineChars="20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联系方式：0551-68150413</w:t>
      </w:r>
    </w:p>
    <w:p w14:paraId="3AF026C8">
      <w:pPr>
        <w:spacing w:line="360" w:lineRule="auto"/>
        <w:ind w:firstLine="435"/>
        <w:rPr>
          <w:color w:val="000000" w:themeColor="text1"/>
          <w:sz w:val="24"/>
          <w:szCs w:val="18"/>
          <w:highlight w:val="none"/>
          <w14:textFill>
            <w14:solidFill>
              <w14:schemeClr w14:val="tx1"/>
            </w14:solidFill>
          </w14:textFill>
        </w:rPr>
      </w:pPr>
      <w:r>
        <w:rPr>
          <w:color w:val="000000" w:themeColor="text1"/>
          <w:sz w:val="24"/>
          <w:szCs w:val="18"/>
          <w:highlight w:val="none"/>
          <w14:textFill>
            <w14:solidFill>
              <w14:schemeClr w14:val="tx1"/>
            </w14:solidFill>
          </w14:textFill>
        </w:rPr>
        <w:br w:type="page"/>
      </w:r>
    </w:p>
    <w:p w14:paraId="2A0C9B41">
      <w:pPr>
        <w:spacing w:line="360" w:lineRule="auto"/>
        <w:jc w:val="center"/>
        <w:outlineLvl w:val="0"/>
        <w:rPr>
          <w:rFonts w:asciiTheme="minorEastAsia" w:hAnsiTheme="minorEastAsia" w:eastAsiaTheme="minorEastAsia"/>
          <w:b/>
          <w:color w:val="000000" w:themeColor="text1"/>
          <w:sz w:val="28"/>
          <w:highlight w:val="none"/>
          <w14:textFill>
            <w14:solidFill>
              <w14:schemeClr w14:val="tx1"/>
            </w14:solidFill>
          </w14:textFill>
        </w:rPr>
      </w:pPr>
      <w:bookmarkStart w:id="35" w:name="_Toc28080"/>
      <w:r>
        <w:rPr>
          <w:rFonts w:hint="eastAsia" w:asciiTheme="minorEastAsia" w:hAnsiTheme="minorEastAsia" w:eastAsiaTheme="minorEastAsia"/>
          <w:b/>
          <w:color w:val="000000" w:themeColor="text1"/>
          <w:sz w:val="28"/>
          <w:highlight w:val="none"/>
          <w14:textFill>
            <w14:solidFill>
              <w14:schemeClr w14:val="tx1"/>
            </w14:solidFill>
          </w14:textFill>
        </w:rPr>
        <w:t>第二章</w:t>
      </w:r>
      <w:r>
        <w:rPr>
          <w:rFonts w:asciiTheme="minorEastAsia" w:hAnsiTheme="minorEastAsia" w:eastAsiaTheme="minorEastAsia"/>
          <w:b/>
          <w:color w:val="000000" w:themeColor="text1"/>
          <w:sz w:val="28"/>
          <w:highlight w:val="none"/>
          <w14:textFill>
            <w14:solidFill>
              <w14:schemeClr w14:val="tx1"/>
            </w14:solidFill>
          </w14:textFill>
        </w:rPr>
        <w:t xml:space="preserve"> </w:t>
      </w:r>
      <w:r>
        <w:rPr>
          <w:rFonts w:hint="eastAsia" w:asciiTheme="minorEastAsia" w:hAnsiTheme="minorEastAsia" w:eastAsiaTheme="minorEastAsia"/>
          <w:b/>
          <w:color w:val="000000" w:themeColor="text1"/>
          <w:sz w:val="28"/>
          <w:highlight w:val="none"/>
          <w14:textFill>
            <w14:solidFill>
              <w14:schemeClr w14:val="tx1"/>
            </w14:solidFill>
          </w14:textFill>
        </w:rPr>
        <w:t xml:space="preserve"> 供应商</w:t>
      </w:r>
      <w:r>
        <w:rPr>
          <w:rFonts w:asciiTheme="minorEastAsia" w:hAnsiTheme="minorEastAsia" w:eastAsiaTheme="minorEastAsia"/>
          <w:b/>
          <w:color w:val="000000" w:themeColor="text1"/>
          <w:sz w:val="28"/>
          <w:highlight w:val="none"/>
          <w14:textFill>
            <w14:solidFill>
              <w14:schemeClr w14:val="tx1"/>
            </w14:solidFill>
          </w14:textFill>
        </w:rPr>
        <w:t>须知</w:t>
      </w:r>
      <w:bookmarkEnd w:id="35"/>
    </w:p>
    <w:p w14:paraId="40ACC2DD">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36" w:name="_Toc12027"/>
      <w:bookmarkStart w:id="37" w:name="_Toc18621"/>
      <w:r>
        <w:rPr>
          <w:rFonts w:hint="eastAsia" w:asciiTheme="minorEastAsia" w:hAnsiTheme="minorEastAsia" w:eastAsiaTheme="minorEastAsia"/>
          <w:b/>
          <w:color w:val="000000" w:themeColor="text1"/>
          <w:sz w:val="24"/>
          <w:highlight w:val="none"/>
          <w14:textFill>
            <w14:solidFill>
              <w14:schemeClr w14:val="tx1"/>
            </w14:solidFill>
          </w14:textFill>
        </w:rPr>
        <w:t>一、供应商</w:t>
      </w:r>
      <w:r>
        <w:rPr>
          <w:rFonts w:asciiTheme="minorEastAsia" w:hAnsiTheme="minorEastAsia" w:eastAsiaTheme="minorEastAsia"/>
          <w:b/>
          <w:color w:val="000000" w:themeColor="text1"/>
          <w:sz w:val="24"/>
          <w:highlight w:val="none"/>
          <w14:textFill>
            <w14:solidFill>
              <w14:schemeClr w14:val="tx1"/>
            </w14:solidFill>
          </w14:textFill>
        </w:rPr>
        <w:t>须知前附表</w:t>
      </w:r>
      <w:bookmarkEnd w:id="36"/>
      <w:bookmarkEnd w:id="37"/>
    </w:p>
    <w:p w14:paraId="3EBC5F3E">
      <w:pPr>
        <w:spacing w:line="360" w:lineRule="auto"/>
        <w:ind w:firstLine="435"/>
        <w:rPr>
          <w:color w:val="000000" w:themeColor="text1"/>
          <w:sz w:val="24"/>
          <w:szCs w:val="18"/>
          <w:highlight w:val="none"/>
          <w14:textFill>
            <w14:solidFill>
              <w14:schemeClr w14:val="tx1"/>
            </w14:solidFill>
          </w14:textFill>
        </w:rPr>
      </w:pPr>
      <w:r>
        <w:rPr>
          <w:rFonts w:hint="eastAsia"/>
          <w:b/>
          <w:bCs/>
          <w:color w:val="000000" w:themeColor="text1"/>
          <w:sz w:val="24"/>
          <w:szCs w:val="18"/>
          <w:highlight w:val="none"/>
          <w14:textFill>
            <w14:solidFill>
              <w14:schemeClr w14:val="tx1"/>
            </w14:solidFill>
          </w14:textFill>
        </w:rPr>
        <w:t>注：</w:t>
      </w:r>
      <w:r>
        <w:rPr>
          <w:rFonts w:hint="eastAsia"/>
          <w:color w:val="000000" w:themeColor="text1"/>
          <w:sz w:val="24"/>
          <w:szCs w:val="18"/>
          <w:highlight w:val="none"/>
          <w14:textFill>
            <w14:solidFill>
              <w14:schemeClr w14:val="tx1"/>
            </w14:solidFill>
          </w14:textFill>
        </w:rPr>
        <w:t>本表是本项目的具体要求，是对供应商须知的具体补充和修改，如有不一致，以本表为准。</w:t>
      </w:r>
    </w:p>
    <w:tbl>
      <w:tblPr>
        <w:tblStyle w:val="53"/>
        <w:tblW w:w="9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1772"/>
        <w:gridCol w:w="6549"/>
      </w:tblGrid>
      <w:tr w14:paraId="77C4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5B9EA7E3">
            <w:pPr>
              <w:pStyle w:val="67"/>
              <w:widowControl w:val="0"/>
              <w:spacing w:before="0" w:beforeAutospacing="0" w:after="0" w:afterAutospacing="0" w:line="360" w:lineRule="auto"/>
              <w:rPr>
                <w:bCs w:val="0"/>
                <w:color w:val="000000" w:themeColor="text1"/>
                <w:kern w:val="2"/>
                <w:sz w:val="24"/>
                <w:szCs w:val="20"/>
                <w:highlight w:val="none"/>
                <w14:textFill>
                  <w14:solidFill>
                    <w14:schemeClr w14:val="tx1"/>
                  </w14:solidFill>
                </w14:textFill>
              </w:rPr>
            </w:pPr>
            <w:r>
              <w:rPr>
                <w:rFonts w:hint="eastAsia"/>
                <w:bCs w:val="0"/>
                <w:color w:val="000000" w:themeColor="text1"/>
                <w:kern w:val="2"/>
                <w:sz w:val="24"/>
                <w:szCs w:val="20"/>
                <w:highlight w:val="none"/>
                <w14:textFill>
                  <w14:solidFill>
                    <w14:schemeClr w14:val="tx1"/>
                  </w14:solidFill>
                </w14:textFill>
              </w:rPr>
              <w:t>条款号</w:t>
            </w:r>
          </w:p>
        </w:tc>
        <w:tc>
          <w:tcPr>
            <w:tcW w:w="1772" w:type="dxa"/>
            <w:vAlign w:val="center"/>
          </w:tcPr>
          <w:p w14:paraId="709B8B8D">
            <w:pPr>
              <w:pStyle w:val="67"/>
              <w:widowControl w:val="0"/>
              <w:spacing w:before="0" w:beforeAutospacing="0" w:after="0" w:afterAutospacing="0" w:line="360" w:lineRule="auto"/>
              <w:rPr>
                <w:bCs w:val="0"/>
                <w:color w:val="000000" w:themeColor="text1"/>
                <w:kern w:val="2"/>
                <w:sz w:val="24"/>
                <w:szCs w:val="20"/>
                <w:highlight w:val="none"/>
                <w14:textFill>
                  <w14:solidFill>
                    <w14:schemeClr w14:val="tx1"/>
                  </w14:solidFill>
                </w14:textFill>
              </w:rPr>
            </w:pPr>
            <w:r>
              <w:rPr>
                <w:rFonts w:hint="eastAsia"/>
                <w:bCs w:val="0"/>
                <w:color w:val="000000" w:themeColor="text1"/>
                <w:kern w:val="2"/>
                <w:sz w:val="24"/>
                <w:szCs w:val="20"/>
                <w:highlight w:val="none"/>
                <w14:textFill>
                  <w14:solidFill>
                    <w14:schemeClr w14:val="tx1"/>
                  </w14:solidFill>
                </w14:textFill>
              </w:rPr>
              <w:t>条款名称</w:t>
            </w:r>
          </w:p>
        </w:tc>
        <w:tc>
          <w:tcPr>
            <w:tcW w:w="6549" w:type="dxa"/>
            <w:vAlign w:val="center"/>
          </w:tcPr>
          <w:p w14:paraId="1A458321">
            <w:pPr>
              <w:pStyle w:val="67"/>
              <w:widowControl w:val="0"/>
              <w:spacing w:before="0" w:beforeAutospacing="0" w:after="0" w:afterAutospacing="0" w:line="360" w:lineRule="auto"/>
              <w:rPr>
                <w:bCs w:val="0"/>
                <w:color w:val="000000" w:themeColor="text1"/>
                <w:kern w:val="2"/>
                <w:sz w:val="24"/>
                <w:szCs w:val="20"/>
                <w:highlight w:val="none"/>
                <w14:textFill>
                  <w14:solidFill>
                    <w14:schemeClr w14:val="tx1"/>
                  </w14:solidFill>
                </w14:textFill>
              </w:rPr>
            </w:pPr>
            <w:r>
              <w:rPr>
                <w:rFonts w:hint="eastAsia"/>
                <w:bCs w:val="0"/>
                <w:color w:val="000000" w:themeColor="text1"/>
                <w:kern w:val="2"/>
                <w:sz w:val="24"/>
                <w:szCs w:val="20"/>
                <w:highlight w:val="none"/>
                <w14:textFill>
                  <w14:solidFill>
                    <w14:schemeClr w14:val="tx1"/>
                  </w14:solidFill>
                </w14:textFill>
              </w:rPr>
              <w:t>内容、说明与要求</w:t>
            </w:r>
          </w:p>
        </w:tc>
      </w:tr>
      <w:tr w14:paraId="2384C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42B74035">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5</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2</w:t>
            </w:r>
          </w:p>
        </w:tc>
        <w:tc>
          <w:tcPr>
            <w:tcW w:w="1772" w:type="dxa"/>
            <w:vAlign w:val="center"/>
          </w:tcPr>
          <w:p w14:paraId="0B27069A">
            <w:pPr>
              <w:pStyle w:val="67"/>
              <w:widowControl w:val="0"/>
              <w:spacing w:before="0" w:beforeAutospacing="0" w:after="0" w:afterAutospacing="0" w:line="360" w:lineRule="auto"/>
              <w:jc w:val="left"/>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现场考察或标前答疑会</w:t>
            </w:r>
          </w:p>
        </w:tc>
        <w:tc>
          <w:tcPr>
            <w:tcW w:w="6549" w:type="dxa"/>
            <w:vAlign w:val="center"/>
          </w:tcPr>
          <w:p w14:paraId="7334F126">
            <w:pPr>
              <w:spacing w:line="360" w:lineRule="auto"/>
              <w:rPr>
                <w:bCs/>
                <w:color w:val="000000" w:themeColor="text1"/>
                <w:sz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不组织或不召开</w:t>
            </w:r>
          </w:p>
          <w:p w14:paraId="51142947">
            <w:pPr>
              <w:spacing w:line="360" w:lineRule="auto"/>
              <w:rPr>
                <w:bCs/>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统一组织或统一召开</w:t>
            </w:r>
          </w:p>
          <w:p w14:paraId="0D8066FB">
            <w:pPr>
              <w:spacing w:line="360" w:lineRule="auto"/>
              <w:rPr>
                <w:bCs/>
                <w:color w:val="000000" w:themeColor="text1"/>
                <w:sz w:val="24"/>
                <w:highlight w:val="none"/>
                <w:u w:val="single"/>
                <w14:textFill>
                  <w14:solidFill>
                    <w14:schemeClr w14:val="tx1"/>
                  </w14:solidFill>
                </w14:textFill>
              </w:rPr>
            </w:pPr>
            <w:r>
              <w:rPr>
                <w:rFonts w:hint="eastAsia"/>
                <w:bCs/>
                <w:color w:val="000000" w:themeColor="text1"/>
                <w:sz w:val="24"/>
                <w:highlight w:val="none"/>
                <w14:textFill>
                  <w14:solidFill>
                    <w14:schemeClr w14:val="tx1"/>
                  </w14:solidFill>
                </w14:textFill>
              </w:rPr>
              <w:t>时间：</w:t>
            </w:r>
            <w:r>
              <w:rPr>
                <w:rFonts w:hint="eastAsia"/>
                <w:bCs/>
                <w:color w:val="000000" w:themeColor="text1"/>
                <w:sz w:val="24"/>
                <w:highlight w:val="none"/>
                <w:u w:val="single"/>
                <w14:textFill>
                  <w14:solidFill>
                    <w14:schemeClr w14:val="tx1"/>
                  </w14:solidFill>
                </w14:textFill>
              </w:rPr>
              <w:t>/</w:t>
            </w:r>
          </w:p>
          <w:p w14:paraId="11FB6B07">
            <w:pPr>
              <w:spacing w:line="360" w:lineRule="auto"/>
              <w:rPr>
                <w:bCs/>
                <w:color w:val="000000" w:themeColor="text1"/>
                <w:sz w:val="24"/>
                <w:highlight w:val="none"/>
                <w:u w:val="single"/>
                <w14:textFill>
                  <w14:solidFill>
                    <w14:schemeClr w14:val="tx1"/>
                  </w14:solidFill>
                </w14:textFill>
              </w:rPr>
            </w:pPr>
            <w:r>
              <w:rPr>
                <w:rFonts w:hint="eastAsia"/>
                <w:bCs/>
                <w:color w:val="000000" w:themeColor="text1"/>
                <w:sz w:val="24"/>
                <w:highlight w:val="none"/>
                <w14:textFill>
                  <w14:solidFill>
                    <w14:schemeClr w14:val="tx1"/>
                  </w14:solidFill>
                </w14:textFill>
              </w:rPr>
              <w:t>地点：</w:t>
            </w:r>
            <w:r>
              <w:rPr>
                <w:rFonts w:hint="eastAsia"/>
                <w:bCs/>
                <w:color w:val="000000" w:themeColor="text1"/>
                <w:sz w:val="24"/>
                <w:highlight w:val="none"/>
                <w:u w:val="single"/>
                <w14:textFill>
                  <w14:solidFill>
                    <w14:schemeClr w14:val="tx1"/>
                  </w14:solidFill>
                </w14:textFill>
              </w:rPr>
              <w:t>/</w:t>
            </w:r>
          </w:p>
          <w:p w14:paraId="754595BA">
            <w:pPr>
              <w:spacing w:line="360" w:lineRule="auto"/>
              <w:rPr>
                <w:bCs/>
                <w:color w:val="000000" w:themeColor="text1"/>
                <w:sz w:val="24"/>
                <w:highlight w:val="none"/>
                <w:u w:val="single"/>
                <w14:textFill>
                  <w14:solidFill>
                    <w14:schemeClr w14:val="tx1"/>
                  </w14:solidFill>
                </w14:textFill>
              </w:rPr>
            </w:pPr>
            <w:r>
              <w:rPr>
                <w:rFonts w:hint="eastAsia"/>
                <w:bCs/>
                <w:color w:val="000000" w:themeColor="text1"/>
                <w:sz w:val="24"/>
                <w:highlight w:val="none"/>
                <w14:textFill>
                  <w14:solidFill>
                    <w14:schemeClr w14:val="tx1"/>
                  </w14:solidFill>
                </w14:textFill>
              </w:rPr>
              <w:t>联系人及联系电话：</w:t>
            </w:r>
            <w:r>
              <w:rPr>
                <w:rFonts w:hint="eastAsia"/>
                <w:bCs/>
                <w:color w:val="000000" w:themeColor="text1"/>
                <w:sz w:val="24"/>
                <w:highlight w:val="none"/>
                <w:u w:val="single"/>
                <w14:textFill>
                  <w14:solidFill>
                    <w14:schemeClr w14:val="tx1"/>
                  </w14:solidFill>
                </w14:textFill>
              </w:rPr>
              <w:t>/</w:t>
            </w:r>
          </w:p>
          <w:p w14:paraId="098DE487">
            <w:pPr>
              <w:pStyle w:val="67"/>
              <w:widowControl w:val="0"/>
              <w:spacing w:before="0" w:beforeAutospacing="0" w:after="0" w:afterAutospacing="0" w:line="360" w:lineRule="auto"/>
              <w:jc w:val="both"/>
              <w:rPr>
                <w:color w:val="000000" w:themeColor="text1"/>
                <w:sz w:val="24"/>
                <w:highlight w:val="none"/>
                <w14:textFill>
                  <w14:solidFill>
                    <w14:schemeClr w14:val="tx1"/>
                  </w14:solidFill>
                </w14:textFill>
              </w:rPr>
            </w:pPr>
            <w:r>
              <w:rPr>
                <w:rFonts w:hint="eastAsia"/>
                <w:bCs w:val="0"/>
                <w:color w:val="000000" w:themeColor="text1"/>
                <w:sz w:val="24"/>
                <w:highlight w:val="none"/>
                <w14:textFill>
                  <w14:solidFill>
                    <w14:schemeClr w14:val="tx1"/>
                  </w14:solidFill>
                </w14:textFill>
              </w:rPr>
              <w:t>注：如供应商未参加采购人统一组织的现场考察或采购人统一召开的标前答疑会，视同放弃现场考察或标前答疑会，由此引起的一切责任由供应商自行承担。</w:t>
            </w:r>
          </w:p>
        </w:tc>
      </w:tr>
      <w:tr w14:paraId="39A1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38F3254C">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6</w:t>
            </w:r>
            <w:r>
              <w:rPr>
                <w:bCs/>
                <w:color w:val="000000" w:themeColor="text1"/>
                <w:kern w:val="2"/>
                <w:highlight w:val="none"/>
                <w14:textFill>
                  <w14:solidFill>
                    <w14:schemeClr w14:val="tx1"/>
                  </w14:solidFill>
                </w14:textFill>
              </w:rPr>
              <w:t>.1</w:t>
            </w:r>
          </w:p>
        </w:tc>
        <w:tc>
          <w:tcPr>
            <w:tcW w:w="1772" w:type="dxa"/>
            <w:vAlign w:val="center"/>
          </w:tcPr>
          <w:p w14:paraId="62EAA6CE">
            <w:pPr>
              <w:pStyle w:val="67"/>
              <w:widowControl w:val="0"/>
              <w:spacing w:before="0" w:beforeAutospacing="0" w:after="0" w:afterAutospacing="0" w:line="360" w:lineRule="auto"/>
              <w:jc w:val="left"/>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网上询问截止时间</w:t>
            </w:r>
          </w:p>
        </w:tc>
        <w:tc>
          <w:tcPr>
            <w:tcW w:w="6549" w:type="dxa"/>
            <w:vAlign w:val="center"/>
          </w:tcPr>
          <w:p w14:paraId="5F0E10A4">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u w:val="single"/>
                <w14:textFill>
                  <w14:solidFill>
                    <w14:schemeClr w14:val="tx1"/>
                  </w14:solidFill>
                </w14:textFill>
              </w:rPr>
              <w:t>2026</w:t>
            </w:r>
            <w:r>
              <w:rPr>
                <w:b w:val="0"/>
                <w:color w:val="000000" w:themeColor="text1"/>
                <w:sz w:val="24"/>
                <w:highlight w:val="none"/>
                <w14:textFill>
                  <w14:solidFill>
                    <w14:schemeClr w14:val="tx1"/>
                  </w14:solidFill>
                </w14:textFill>
              </w:rPr>
              <w:t>年</w:t>
            </w:r>
            <w:r>
              <w:rPr>
                <w:rFonts w:hint="eastAsia"/>
                <w:b w:val="0"/>
                <w:color w:val="000000" w:themeColor="text1"/>
                <w:sz w:val="24"/>
                <w:highlight w:val="none"/>
                <w:u w:val="single"/>
                <w:lang w:val="en-US" w:eastAsia="zh-CN"/>
                <w14:textFill>
                  <w14:solidFill>
                    <w14:schemeClr w14:val="tx1"/>
                  </w14:solidFill>
                </w14:textFill>
              </w:rPr>
              <w:t>9</w:t>
            </w:r>
            <w:r>
              <w:rPr>
                <w:b w:val="0"/>
                <w:color w:val="000000" w:themeColor="text1"/>
                <w:sz w:val="24"/>
                <w:highlight w:val="none"/>
                <w14:textFill>
                  <w14:solidFill>
                    <w14:schemeClr w14:val="tx1"/>
                  </w14:solidFill>
                </w14:textFill>
              </w:rPr>
              <w:t>月</w:t>
            </w:r>
            <w:r>
              <w:rPr>
                <w:rFonts w:hint="eastAsia"/>
                <w:b w:val="0"/>
                <w:color w:val="000000" w:themeColor="text1"/>
                <w:sz w:val="24"/>
                <w:highlight w:val="none"/>
                <w:u w:val="single"/>
                <w:lang w:val="en-US" w:eastAsia="zh-CN"/>
                <w14:textFill>
                  <w14:solidFill>
                    <w14:schemeClr w14:val="tx1"/>
                  </w14:solidFill>
                </w14:textFill>
              </w:rPr>
              <w:t xml:space="preserve"> 18 </w:t>
            </w:r>
            <w:r>
              <w:rPr>
                <w:b w:val="0"/>
                <w:color w:val="000000" w:themeColor="text1"/>
                <w:sz w:val="24"/>
                <w:highlight w:val="none"/>
                <w14:textFill>
                  <w14:solidFill>
                    <w14:schemeClr w14:val="tx1"/>
                  </w14:solidFill>
                </w14:textFill>
              </w:rPr>
              <w:t>日</w:t>
            </w:r>
            <w:r>
              <w:rPr>
                <w:rFonts w:hint="eastAsia"/>
                <w:b w:val="0"/>
                <w:color w:val="000000" w:themeColor="text1"/>
                <w:sz w:val="24"/>
                <w:highlight w:val="none"/>
                <w:u w:val="single"/>
                <w14:textFill>
                  <w14:solidFill>
                    <w14:schemeClr w14:val="tx1"/>
                  </w14:solidFill>
                </w14:textFill>
              </w:rPr>
              <w:t>17</w:t>
            </w:r>
            <w:r>
              <w:rPr>
                <w:b w:val="0"/>
                <w:color w:val="000000" w:themeColor="text1"/>
                <w:sz w:val="24"/>
                <w:highlight w:val="none"/>
                <w14:textFill>
                  <w14:solidFill>
                    <w14:schemeClr w14:val="tx1"/>
                  </w14:solidFill>
                </w14:textFill>
              </w:rPr>
              <w:t>时</w:t>
            </w:r>
            <w:r>
              <w:rPr>
                <w:rFonts w:hint="eastAsia"/>
                <w:b w:val="0"/>
                <w:color w:val="000000" w:themeColor="text1"/>
                <w:sz w:val="24"/>
                <w:highlight w:val="none"/>
                <w:u w:val="single"/>
                <w:lang w:val="en-US" w:eastAsia="zh-CN"/>
                <w14:textFill>
                  <w14:solidFill>
                    <w14:schemeClr w14:val="tx1"/>
                  </w14:solidFill>
                </w14:textFill>
              </w:rPr>
              <w:t>3</w:t>
            </w:r>
            <w:r>
              <w:rPr>
                <w:rFonts w:hint="eastAsia"/>
                <w:b w:val="0"/>
                <w:color w:val="000000" w:themeColor="text1"/>
                <w:sz w:val="24"/>
                <w:highlight w:val="none"/>
                <w:u w:val="single"/>
                <w14:textFill>
                  <w14:solidFill>
                    <w14:schemeClr w14:val="tx1"/>
                  </w14:solidFill>
                </w14:textFill>
              </w:rPr>
              <w:t>0</w:t>
            </w:r>
            <w:r>
              <w:rPr>
                <w:rFonts w:hint="eastAsia"/>
                <w:b w:val="0"/>
                <w:color w:val="000000" w:themeColor="text1"/>
                <w:sz w:val="24"/>
                <w:highlight w:val="none"/>
                <w14:textFill>
                  <w14:solidFill>
                    <w14:schemeClr w14:val="tx1"/>
                  </w14:solidFill>
                </w14:textFill>
              </w:rPr>
              <w:t>分</w:t>
            </w:r>
          </w:p>
        </w:tc>
      </w:tr>
      <w:tr w14:paraId="0D90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936" w:type="dxa"/>
            <w:vAlign w:val="center"/>
          </w:tcPr>
          <w:p w14:paraId="796D8729">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7</w:t>
            </w:r>
            <w:r>
              <w:rPr>
                <w:bCs/>
                <w:color w:val="000000" w:themeColor="text1"/>
                <w:kern w:val="2"/>
                <w:highlight w:val="none"/>
                <w14:textFill>
                  <w14:solidFill>
                    <w14:schemeClr w14:val="tx1"/>
                  </w14:solidFill>
                </w14:textFill>
              </w:rPr>
              <w:t>.1</w:t>
            </w:r>
          </w:p>
        </w:tc>
        <w:tc>
          <w:tcPr>
            <w:tcW w:w="1772" w:type="dxa"/>
            <w:vAlign w:val="center"/>
          </w:tcPr>
          <w:p w14:paraId="79E72FF2">
            <w:pPr>
              <w:pStyle w:val="67"/>
              <w:widowControl w:val="0"/>
              <w:spacing w:before="0" w:beforeAutospacing="0" w:after="0" w:afterAutospacing="0" w:line="360" w:lineRule="auto"/>
              <w:jc w:val="left"/>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包别划分</w:t>
            </w:r>
          </w:p>
        </w:tc>
        <w:tc>
          <w:tcPr>
            <w:tcW w:w="6549" w:type="dxa"/>
            <w:vAlign w:val="center"/>
          </w:tcPr>
          <w:p w14:paraId="35274117">
            <w:pPr>
              <w:pStyle w:val="67"/>
              <w:widowControl w:val="0"/>
              <w:spacing w:before="0" w:beforeAutospacing="0" w:after="0" w:afterAutospacing="0" w:line="360" w:lineRule="auto"/>
              <w:jc w:val="both"/>
              <w:rPr>
                <w:rFonts w:hint="default" w:eastAsia="宋体"/>
                <w:bCs w:val="0"/>
                <w:color w:val="000000" w:themeColor="text1"/>
                <w:sz w:val="24"/>
                <w:highlight w:val="none"/>
                <w:lang w:val="en-US" w:eastAsia="zh-CN"/>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w:t>
            </w:r>
            <w:r>
              <w:rPr>
                <w:b w:val="0"/>
                <w:color w:val="000000" w:themeColor="text1"/>
                <w:sz w:val="24"/>
                <w:highlight w:val="none"/>
                <w14:textFill>
                  <w14:solidFill>
                    <w14:schemeClr w14:val="tx1"/>
                  </w14:solidFill>
                </w14:textFill>
              </w:rPr>
              <w:t xml:space="preserve">不分包    </w:t>
            </w:r>
            <w:r>
              <w:rPr>
                <w:bCs w:val="0"/>
                <w:color w:val="000000" w:themeColor="text1"/>
                <w:sz w:val="24"/>
                <w:highlight w:val="none"/>
                <w14:textFill>
                  <w14:solidFill>
                    <w14:schemeClr w14:val="tx1"/>
                  </w14:solidFill>
                </w14:textFill>
              </w:rPr>
              <w:t xml:space="preserve"> </w:t>
            </w:r>
            <w:r>
              <w:rPr>
                <w:rFonts w:hint="eastAsia"/>
                <w:bCs w:val="0"/>
                <w:color w:val="000000" w:themeColor="text1"/>
                <w:sz w:val="24"/>
                <w:highlight w:val="none"/>
                <w14:textFill>
                  <w14:solidFill>
                    <w14:schemeClr w14:val="tx1"/>
                  </w14:solidFill>
                </w14:textFill>
              </w:rPr>
              <w:t>☑</w:t>
            </w:r>
            <w:r>
              <w:rPr>
                <w:bCs w:val="0"/>
                <w:color w:val="000000" w:themeColor="text1"/>
                <w:sz w:val="24"/>
                <w:highlight w:val="none"/>
                <w14:textFill>
                  <w14:solidFill>
                    <w14:schemeClr w14:val="tx1"/>
                  </w14:solidFill>
                </w14:textFill>
              </w:rPr>
              <w:t>分为</w:t>
            </w:r>
            <w:r>
              <w:rPr>
                <w:rFonts w:hint="eastAsia"/>
                <w:bCs w:val="0"/>
                <w:color w:val="000000" w:themeColor="text1"/>
                <w:sz w:val="24"/>
                <w:highlight w:val="none"/>
                <w:lang w:val="en-US" w:eastAsia="zh-CN"/>
                <w14:textFill>
                  <w14:solidFill>
                    <w14:schemeClr w14:val="tx1"/>
                  </w14:solidFill>
                </w14:textFill>
              </w:rPr>
              <w:t>多</w:t>
            </w:r>
            <w:r>
              <w:rPr>
                <w:bCs w:val="0"/>
                <w:color w:val="000000" w:themeColor="text1"/>
                <w:sz w:val="24"/>
                <w:highlight w:val="none"/>
                <w14:textFill>
                  <w14:solidFill>
                    <w14:schemeClr w14:val="tx1"/>
                  </w14:solidFill>
                </w14:textFill>
              </w:rPr>
              <w:t>个包</w:t>
            </w:r>
            <w:r>
              <w:rPr>
                <w:rFonts w:hint="eastAsia"/>
                <w:bCs w:val="0"/>
                <w:color w:val="000000" w:themeColor="text1"/>
                <w:sz w:val="24"/>
                <w:highlight w:val="none"/>
                <w:lang w:eastAsia="zh-CN"/>
                <w14:textFill>
                  <w14:solidFill>
                    <w14:schemeClr w14:val="tx1"/>
                  </w14:solidFill>
                </w14:textFill>
              </w:rPr>
              <w:t>，</w:t>
            </w:r>
            <w:r>
              <w:rPr>
                <w:rFonts w:hint="eastAsia"/>
                <w:bCs w:val="0"/>
                <w:color w:val="000000" w:themeColor="text1"/>
                <w:sz w:val="24"/>
                <w:highlight w:val="none"/>
                <w:lang w:val="en-US" w:eastAsia="zh-CN"/>
                <w14:textFill>
                  <w14:solidFill>
                    <w14:schemeClr w14:val="tx1"/>
                  </w14:solidFill>
                </w14:textFill>
              </w:rPr>
              <w:t>本项目为第4包</w:t>
            </w:r>
          </w:p>
          <w:p w14:paraId="3DF8D1AB">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Cs w:val="0"/>
                <w:color w:val="000000" w:themeColor="text1"/>
                <w:sz w:val="24"/>
                <w:szCs w:val="24"/>
                <w:highlight w:val="none"/>
                <w14:textFill>
                  <w14:solidFill>
                    <w14:schemeClr w14:val="tx1"/>
                  </w14:solidFill>
                </w14:textFill>
              </w:rPr>
              <w:t>供应商参加多个包磋商的成交</w:t>
            </w:r>
            <w:r>
              <w:rPr>
                <w:bCs w:val="0"/>
                <w:color w:val="000000" w:themeColor="text1"/>
                <w:sz w:val="24"/>
                <w:szCs w:val="24"/>
                <w:highlight w:val="none"/>
                <w14:textFill>
                  <w14:solidFill>
                    <w14:schemeClr w14:val="tx1"/>
                  </w14:solidFill>
                </w14:textFill>
              </w:rPr>
              <w:t>包</w:t>
            </w:r>
            <w:r>
              <w:rPr>
                <w:rFonts w:hint="eastAsia"/>
                <w:bCs w:val="0"/>
                <w:color w:val="000000" w:themeColor="text1"/>
                <w:sz w:val="24"/>
                <w:szCs w:val="24"/>
                <w:highlight w:val="none"/>
                <w14:textFill>
                  <w14:solidFill>
                    <w14:schemeClr w14:val="tx1"/>
                  </w14:solidFill>
                </w14:textFill>
              </w:rPr>
              <w:t>数规定：</w:t>
            </w:r>
            <w:r>
              <w:rPr>
                <w:rFonts w:hint="eastAsia"/>
                <w:bCs w:val="0"/>
                <w:color w:val="000000" w:themeColor="text1"/>
                <w:sz w:val="24"/>
                <w:szCs w:val="18"/>
                <w:highlight w:val="none"/>
                <w:u w:val="single"/>
                <w14:textFill>
                  <w14:solidFill>
                    <w14:schemeClr w14:val="tx1"/>
                  </w14:solidFill>
                </w14:textFill>
              </w:rPr>
              <w:t xml:space="preserve"> </w:t>
            </w:r>
            <w:r>
              <w:rPr>
                <w:rFonts w:hint="eastAsia"/>
                <w:bCs w:val="0"/>
                <w:color w:val="000000" w:themeColor="text1"/>
                <w:sz w:val="24"/>
                <w:szCs w:val="18"/>
                <w:highlight w:val="none"/>
                <w:u w:val="single"/>
                <w:lang w:val="en-US" w:eastAsia="zh-CN"/>
                <w14:textFill>
                  <w14:solidFill>
                    <w14:schemeClr w14:val="tx1"/>
                  </w14:solidFill>
                </w14:textFill>
              </w:rPr>
              <w:t>/</w:t>
            </w:r>
            <w:r>
              <w:rPr>
                <w:b w:val="0"/>
                <w:bCs w:val="0"/>
                <w:color w:val="000000" w:themeColor="text1"/>
                <w:sz w:val="24"/>
                <w:szCs w:val="18"/>
                <w:highlight w:val="none"/>
                <w:u w:val="single"/>
                <w14:textFill>
                  <w14:solidFill>
                    <w14:schemeClr w14:val="tx1"/>
                  </w14:solidFill>
                </w14:textFill>
              </w:rPr>
              <w:t xml:space="preserve"> </w:t>
            </w:r>
          </w:p>
        </w:tc>
      </w:tr>
      <w:tr w14:paraId="5AAD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936" w:type="dxa"/>
            <w:vAlign w:val="center"/>
          </w:tcPr>
          <w:p w14:paraId="765DAD76">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
                <w:color w:val="000000" w:themeColor="text1"/>
                <w:kern w:val="2"/>
                <w:highlight w:val="none"/>
                <w14:textFill>
                  <w14:solidFill>
                    <w14:schemeClr w14:val="tx1"/>
                  </w14:solidFill>
                </w14:textFill>
              </w:rPr>
              <w:t>8.1</w:t>
            </w:r>
          </w:p>
        </w:tc>
        <w:tc>
          <w:tcPr>
            <w:tcW w:w="1772" w:type="dxa"/>
            <w:vAlign w:val="center"/>
          </w:tcPr>
          <w:p w14:paraId="02D479EA">
            <w:pPr>
              <w:pStyle w:val="67"/>
              <w:widowControl w:val="0"/>
              <w:spacing w:before="0" w:beforeAutospacing="0" w:after="0" w:afterAutospacing="0" w:line="360" w:lineRule="auto"/>
              <w:jc w:val="left"/>
              <w:rPr>
                <w:b w:val="0"/>
                <w:color w:val="000000" w:themeColor="text1"/>
                <w:sz w:val="24"/>
                <w:highlight w:val="none"/>
                <w14:textFill>
                  <w14:solidFill>
                    <w14:schemeClr w14:val="tx1"/>
                  </w14:solidFill>
                </w14:textFill>
              </w:rPr>
            </w:pPr>
            <w:r>
              <w:rPr>
                <w:rFonts w:hint="eastAsia"/>
                <w:bCs w:val="0"/>
                <w:color w:val="000000" w:themeColor="text1"/>
                <w:sz w:val="24"/>
                <w:highlight w:val="none"/>
                <w14:textFill>
                  <w14:solidFill>
                    <w14:schemeClr w14:val="tx1"/>
                  </w14:solidFill>
                </w14:textFill>
              </w:rPr>
              <w:t>响应文件要求</w:t>
            </w:r>
          </w:p>
        </w:tc>
        <w:tc>
          <w:tcPr>
            <w:tcW w:w="6549" w:type="dxa"/>
            <w:vAlign w:val="center"/>
          </w:tcPr>
          <w:p w14:paraId="6CA03F6A">
            <w:pPr>
              <w:pStyle w:val="67"/>
              <w:widowControl w:val="0"/>
              <w:spacing w:before="0" w:beforeAutospacing="0" w:after="0" w:afterAutospacing="0" w:line="360" w:lineRule="auto"/>
              <w:jc w:val="both"/>
              <w:rPr>
                <w:bCs w:val="0"/>
                <w:color w:val="000000" w:themeColor="text1"/>
                <w:sz w:val="24"/>
                <w:szCs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成交后成交人须向采购人提供2份纸质响应文件。</w:t>
            </w:r>
          </w:p>
        </w:tc>
      </w:tr>
      <w:tr w14:paraId="6892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936" w:type="dxa"/>
            <w:vAlign w:val="center"/>
          </w:tcPr>
          <w:p w14:paraId="5322BB5B">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9.1</w:t>
            </w:r>
          </w:p>
        </w:tc>
        <w:tc>
          <w:tcPr>
            <w:tcW w:w="1772" w:type="dxa"/>
            <w:vAlign w:val="center"/>
          </w:tcPr>
          <w:p w14:paraId="767A6B85">
            <w:pPr>
              <w:pStyle w:val="67"/>
              <w:widowControl w:val="0"/>
              <w:spacing w:before="0" w:beforeAutospacing="0" w:after="0" w:afterAutospacing="0" w:line="360" w:lineRule="auto"/>
              <w:jc w:val="left"/>
              <w:rPr>
                <w:rFonts w:hint="eastAsia" w:eastAsia="宋体"/>
                <w:b w:val="0"/>
                <w:color w:val="000000" w:themeColor="text1"/>
                <w:sz w:val="24"/>
                <w:highlight w:val="none"/>
                <w:lang w:eastAsia="zh-CN"/>
                <w14:textFill>
                  <w14:solidFill>
                    <w14:schemeClr w14:val="tx1"/>
                  </w14:solidFill>
                </w14:textFill>
              </w:rPr>
            </w:pPr>
            <w:r>
              <w:rPr>
                <w:rFonts w:hint="eastAsia"/>
                <w:b w:val="0"/>
                <w:color w:val="000000" w:themeColor="text1"/>
                <w:sz w:val="24"/>
                <w:highlight w:val="none"/>
                <w:lang w:eastAsia="zh-CN"/>
                <w14:textFill>
                  <w14:solidFill>
                    <w14:schemeClr w14:val="tx1"/>
                  </w14:solidFill>
                </w14:textFill>
              </w:rPr>
              <w:t>响应报价</w:t>
            </w:r>
          </w:p>
        </w:tc>
        <w:tc>
          <w:tcPr>
            <w:tcW w:w="6549" w:type="dxa"/>
            <w:vAlign w:val="center"/>
          </w:tcPr>
          <w:p w14:paraId="31A0F69B">
            <w:pPr>
              <w:numPr>
                <w:ilvl w:val="0"/>
                <w:numId w:val="0"/>
              </w:numPr>
              <w:spacing w:line="360" w:lineRule="auto"/>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pP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（1）响应报价采用总价报价方式，供应商响应时无需对工程量清单计价表进行分项报价。</w:t>
            </w:r>
          </w:p>
          <w:p w14:paraId="6F3F5827">
            <w:pPr>
              <w:numPr>
                <w:ilvl w:val="0"/>
                <w:numId w:val="0"/>
              </w:numPr>
              <w:spacing w:line="360" w:lineRule="auto"/>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pP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（2）如供应商响应文件中提供了分项报价，该分项报价不进行评审，以供应商响应报价的总价作为价格评审依据，最终合同金额以供应商最终报价的总价为准，供应商不得擅自调整。</w:t>
            </w:r>
          </w:p>
          <w:p w14:paraId="055764C6">
            <w:pPr>
              <w:numPr>
                <w:ilvl w:val="0"/>
                <w:numId w:val="0"/>
              </w:numPr>
              <w:spacing w:line="360" w:lineRule="auto"/>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pP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（3）最终签订合同的结算单价：结算单价=（1-供应商</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报价</w:t>
            </w: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下浮率）×采购人发布的</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工程量清单计价表的综合单价</w:t>
            </w: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w:t>
            </w:r>
          </w:p>
          <w:p w14:paraId="0491E1F5">
            <w:pPr>
              <w:numPr>
                <w:ilvl w:val="0"/>
                <w:numId w:val="0"/>
              </w:numPr>
              <w:spacing w:line="360" w:lineRule="auto"/>
              <w:rPr>
                <w:color w:val="000000" w:themeColor="text1"/>
                <w:highlight w:val="none"/>
                <w14:textFill>
                  <w14:solidFill>
                    <w14:schemeClr w14:val="tx1"/>
                  </w14:solidFill>
                </w14:textFill>
              </w:rPr>
            </w:pP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供应商</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报价</w:t>
            </w: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下浮率=（</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最高限价</w:t>
            </w: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-最后承诺报价）/</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最高限价</w:t>
            </w: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×100%，此下浮率调整原则适用于合同内价格的计算及项目增减、变更时价格的计算。</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注：</w:t>
            </w: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①以上</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最高限价</w:t>
            </w:r>
            <w:r>
              <w:rPr>
                <w:rFonts w:hint="eastAsia" w:ascii="宋体" w:hAnsi="宋体" w:eastAsiaTheme="minorEastAsia" w:cstheme="minorBidi"/>
                <w:b/>
                <w:bCs/>
                <w:color w:val="000000" w:themeColor="text1"/>
                <w:sz w:val="24"/>
                <w:szCs w:val="28"/>
                <w:highlight w:val="none"/>
                <w:lang w:val="en-US" w:eastAsia="zh-CN" w:bidi="ar-SA"/>
                <w14:textFill>
                  <w14:solidFill>
                    <w14:schemeClr w14:val="tx1"/>
                  </w14:solidFill>
                </w14:textFill>
              </w:rPr>
              <w:t>、最后承诺报价参与计算时均不含安全生产费；②计算结果保留小数点后两位，小数点后第三位“四舍五入”；③安全生产费为固定价格，不得修改、删减、二次报价不进行下浮</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w:t>
            </w:r>
          </w:p>
        </w:tc>
      </w:tr>
      <w:tr w14:paraId="19CC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936" w:type="dxa"/>
            <w:vAlign w:val="center"/>
          </w:tcPr>
          <w:p w14:paraId="498FC2AE">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9.2</w:t>
            </w:r>
          </w:p>
        </w:tc>
        <w:tc>
          <w:tcPr>
            <w:tcW w:w="1772" w:type="dxa"/>
            <w:vAlign w:val="center"/>
          </w:tcPr>
          <w:p w14:paraId="2B2C682D">
            <w:pPr>
              <w:pStyle w:val="67"/>
              <w:widowControl w:val="0"/>
              <w:spacing w:before="0" w:beforeAutospacing="0" w:after="0" w:afterAutospacing="0" w:line="360" w:lineRule="auto"/>
              <w:jc w:val="left"/>
              <w:rPr>
                <w:rFonts w:hint="default" w:eastAsia="宋体"/>
                <w:b w:val="0"/>
                <w:color w:val="FF0000"/>
                <w:sz w:val="24"/>
                <w:highlight w:val="none"/>
                <w:lang w:val="en-US" w:eastAsia="zh-CN"/>
              </w:rPr>
            </w:pPr>
            <w:r>
              <w:rPr>
                <w:rFonts w:hint="eastAsia"/>
                <w:b w:val="0"/>
                <w:color w:val="FF0000"/>
                <w:sz w:val="24"/>
                <w:szCs w:val="24"/>
                <w:highlight w:val="none"/>
              </w:rPr>
              <w:t>最高限价</w:t>
            </w:r>
          </w:p>
        </w:tc>
        <w:tc>
          <w:tcPr>
            <w:tcW w:w="6549" w:type="dxa"/>
            <w:vAlign w:val="center"/>
          </w:tcPr>
          <w:p w14:paraId="61A54D74">
            <w:pPr>
              <w:spacing w:line="360" w:lineRule="auto"/>
              <w:rPr>
                <w:rFonts w:hint="eastAsia"/>
                <w:b/>
                <w:bCs/>
                <w:color w:val="FF0000"/>
                <w:sz w:val="24"/>
                <w:szCs w:val="18"/>
                <w:highlight w:val="none"/>
                <w:u w:val="single"/>
                <w:lang w:eastAsia="zh-CN"/>
              </w:rPr>
            </w:pPr>
            <w:r>
              <w:rPr>
                <w:rFonts w:hint="eastAsia"/>
                <w:b/>
                <w:bCs/>
                <w:color w:val="FF0000"/>
                <w:sz w:val="24"/>
                <w:szCs w:val="18"/>
                <w:highlight w:val="none"/>
                <w:u w:val="single"/>
              </w:rPr>
              <w:t>最高限价为</w:t>
            </w:r>
            <w:r>
              <w:rPr>
                <w:rFonts w:hint="eastAsia"/>
                <w:b/>
                <w:bCs/>
                <w:color w:val="FF0000"/>
                <w:sz w:val="24"/>
                <w:szCs w:val="18"/>
                <w:highlight w:val="none"/>
                <w:u w:val="single"/>
                <w:lang w:eastAsia="zh-CN"/>
              </w:rPr>
              <w:t>62万元</w:t>
            </w:r>
            <w:r>
              <w:rPr>
                <w:rFonts w:hint="eastAsia"/>
                <w:b/>
                <w:bCs/>
                <w:color w:val="FF0000"/>
                <w:sz w:val="24"/>
                <w:szCs w:val="18"/>
                <w:highlight w:val="none"/>
                <w:u w:val="single"/>
              </w:rPr>
              <w:t>。</w:t>
            </w:r>
          </w:p>
          <w:p w14:paraId="12DBEAD6">
            <w:pPr>
              <w:spacing w:line="360" w:lineRule="auto"/>
              <w:ind w:firstLine="435"/>
              <w:rPr>
                <w:b/>
                <w:color w:val="FF0000"/>
                <w:sz w:val="24"/>
                <w:szCs w:val="24"/>
                <w:highlight w:val="none"/>
              </w:rPr>
            </w:pPr>
            <w:r>
              <w:rPr>
                <w:rFonts w:hint="eastAsia"/>
                <w:b/>
                <w:bCs/>
                <w:color w:val="FF0000"/>
                <w:sz w:val="24"/>
                <w:szCs w:val="24"/>
                <w:highlight w:val="none"/>
              </w:rPr>
              <w:t>供应商的</w:t>
            </w:r>
            <w:r>
              <w:rPr>
                <w:rFonts w:hint="eastAsia"/>
                <w:b/>
                <w:bCs/>
                <w:color w:val="FF0000"/>
                <w:sz w:val="24"/>
                <w:szCs w:val="24"/>
                <w:highlight w:val="none"/>
                <w:lang w:eastAsia="zh-CN"/>
              </w:rPr>
              <w:t>响应报价</w:t>
            </w:r>
            <w:r>
              <w:rPr>
                <w:rFonts w:hint="eastAsia"/>
                <w:b/>
                <w:bCs/>
                <w:color w:val="FF0000"/>
                <w:sz w:val="24"/>
                <w:szCs w:val="24"/>
                <w:highlight w:val="none"/>
              </w:rPr>
              <w:t>不得超过采购人公</w:t>
            </w:r>
            <w:r>
              <w:rPr>
                <w:b/>
                <w:bCs/>
                <w:color w:val="FF0000"/>
                <w:sz w:val="24"/>
                <w:szCs w:val="24"/>
                <w:highlight w:val="none"/>
              </w:rPr>
              <w:t>布的最高限价，否则其响应文件按照无效处理。</w:t>
            </w:r>
          </w:p>
        </w:tc>
      </w:tr>
      <w:tr w14:paraId="0820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36" w:type="dxa"/>
            <w:vAlign w:val="center"/>
          </w:tcPr>
          <w:p w14:paraId="5FE10291">
            <w:pPr>
              <w:pStyle w:val="68"/>
              <w:pBdr>
                <w:bottom w:val="none" w:color="auto" w:sz="0" w:space="0"/>
              </w:pBdr>
              <w:tabs>
                <w:tab w:val="clear" w:pos="4153"/>
                <w:tab w:val="clear" w:pos="8306"/>
              </w:tabs>
              <w:adjustRightInd/>
              <w:spacing w:line="24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10</w:t>
            </w:r>
            <w:r>
              <w:rPr>
                <w:bCs/>
                <w:color w:val="000000" w:themeColor="text1"/>
                <w:kern w:val="2"/>
                <w:highlight w:val="none"/>
                <w14:textFill>
                  <w14:solidFill>
                    <w14:schemeClr w14:val="tx1"/>
                  </w14:solidFill>
                </w14:textFill>
              </w:rPr>
              <w:t>.1</w:t>
            </w:r>
          </w:p>
        </w:tc>
        <w:tc>
          <w:tcPr>
            <w:tcW w:w="1772" w:type="dxa"/>
            <w:vAlign w:val="center"/>
          </w:tcPr>
          <w:p w14:paraId="562C5927">
            <w:pPr>
              <w:pStyle w:val="67"/>
              <w:widowControl w:val="0"/>
              <w:spacing w:before="0" w:beforeAutospacing="0" w:after="0" w:afterAutospacing="0" w:line="360" w:lineRule="auto"/>
              <w:jc w:val="left"/>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磋商保证金</w:t>
            </w:r>
          </w:p>
        </w:tc>
        <w:tc>
          <w:tcPr>
            <w:tcW w:w="6549" w:type="dxa"/>
            <w:vAlign w:val="center"/>
          </w:tcPr>
          <w:p w14:paraId="7E651D42">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不收取</w:t>
            </w:r>
          </w:p>
        </w:tc>
      </w:tr>
      <w:tr w14:paraId="5954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5D82610B">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11</w:t>
            </w:r>
            <w:r>
              <w:rPr>
                <w:bCs/>
                <w:color w:val="000000" w:themeColor="text1"/>
                <w:kern w:val="2"/>
                <w:highlight w:val="none"/>
                <w14:textFill>
                  <w14:solidFill>
                    <w14:schemeClr w14:val="tx1"/>
                  </w14:solidFill>
                </w14:textFill>
              </w:rPr>
              <w:t>.1</w:t>
            </w:r>
          </w:p>
        </w:tc>
        <w:tc>
          <w:tcPr>
            <w:tcW w:w="1772" w:type="dxa"/>
            <w:vAlign w:val="center"/>
          </w:tcPr>
          <w:p w14:paraId="6DD1DABB">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磋商有效期</w:t>
            </w:r>
          </w:p>
        </w:tc>
        <w:tc>
          <w:tcPr>
            <w:tcW w:w="6549" w:type="dxa"/>
            <w:vAlign w:val="center"/>
          </w:tcPr>
          <w:p w14:paraId="26C11BD1">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u w:val="single"/>
                <w14:textFill>
                  <w14:solidFill>
                    <w14:schemeClr w14:val="tx1"/>
                  </w14:solidFill>
                </w14:textFill>
              </w:rPr>
              <w:t>90</w:t>
            </w:r>
            <w:r>
              <w:rPr>
                <w:rFonts w:hint="eastAsia"/>
                <w:b w:val="0"/>
                <w:color w:val="000000" w:themeColor="text1"/>
                <w:sz w:val="24"/>
                <w:highlight w:val="none"/>
                <w14:textFill>
                  <w14:solidFill>
                    <w14:schemeClr w14:val="tx1"/>
                  </w14:solidFill>
                </w14:textFill>
              </w:rPr>
              <w:t>日历日</w:t>
            </w:r>
          </w:p>
        </w:tc>
      </w:tr>
      <w:tr w14:paraId="4DE2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722FC8E">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12</w:t>
            </w:r>
            <w:r>
              <w:rPr>
                <w:bCs/>
                <w:color w:val="000000" w:themeColor="text1"/>
                <w:kern w:val="2"/>
                <w:highlight w:val="none"/>
                <w14:textFill>
                  <w14:solidFill>
                    <w14:schemeClr w14:val="tx1"/>
                  </w14:solidFill>
                </w14:textFill>
              </w:rPr>
              <w:t>.3</w:t>
            </w:r>
          </w:p>
        </w:tc>
        <w:tc>
          <w:tcPr>
            <w:tcW w:w="1772" w:type="dxa"/>
            <w:vAlign w:val="center"/>
          </w:tcPr>
          <w:p w14:paraId="043FA988">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响应文件解密时间</w:t>
            </w:r>
          </w:p>
        </w:tc>
        <w:tc>
          <w:tcPr>
            <w:tcW w:w="6549" w:type="dxa"/>
            <w:vAlign w:val="center"/>
          </w:tcPr>
          <w:p w14:paraId="195786FF">
            <w:pPr>
              <w:pStyle w:val="67"/>
              <w:widowControl w:val="0"/>
              <w:spacing w:before="0" w:beforeAutospacing="0" w:after="0" w:afterAutospacing="0" w:line="360" w:lineRule="auto"/>
              <w:jc w:val="both"/>
              <w:rPr>
                <w:b w:val="0"/>
                <w:color w:val="000000" w:themeColor="text1"/>
                <w:sz w:val="24"/>
                <w:highlight w:val="none"/>
                <w:u w:val="single"/>
                <w14:textFill>
                  <w14:solidFill>
                    <w14:schemeClr w14:val="tx1"/>
                  </w14:solidFill>
                </w14:textFill>
              </w:rPr>
            </w:pPr>
            <w:r>
              <w:rPr>
                <w:rFonts w:hint="eastAsia"/>
                <w:b w:val="0"/>
                <w:color w:val="000000" w:themeColor="text1"/>
                <w:sz w:val="24"/>
                <w:highlight w:val="none"/>
                <w14:textFill>
                  <w14:solidFill>
                    <w14:schemeClr w14:val="tx1"/>
                  </w14:solidFill>
                </w14:textFill>
              </w:rPr>
              <w:t>响应文件提交截止时间后</w:t>
            </w:r>
            <w:r>
              <w:rPr>
                <w:rFonts w:hint="eastAsia"/>
                <w:b w:val="0"/>
                <w:color w:val="000000" w:themeColor="text1"/>
                <w:sz w:val="24"/>
                <w:highlight w:val="none"/>
                <w:u w:val="single"/>
                <w14:textFill>
                  <w14:solidFill>
                    <w14:schemeClr w14:val="tx1"/>
                  </w14:solidFill>
                </w14:textFill>
              </w:rPr>
              <w:t>60</w:t>
            </w:r>
            <w:r>
              <w:rPr>
                <w:rFonts w:hint="eastAsia"/>
                <w:b w:val="0"/>
                <w:color w:val="000000" w:themeColor="text1"/>
                <w:sz w:val="24"/>
                <w:highlight w:val="none"/>
                <w14:textFill>
                  <w14:solidFill>
                    <w14:schemeClr w14:val="tx1"/>
                  </w14:solidFill>
                </w14:textFill>
              </w:rPr>
              <w:t>分钟内</w:t>
            </w:r>
          </w:p>
        </w:tc>
      </w:tr>
      <w:tr w14:paraId="485D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0C3F7C30">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14.3</w:t>
            </w:r>
          </w:p>
        </w:tc>
        <w:tc>
          <w:tcPr>
            <w:tcW w:w="1772" w:type="dxa"/>
            <w:vAlign w:val="center"/>
          </w:tcPr>
          <w:p w14:paraId="7A8C007F">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评审方法</w:t>
            </w:r>
          </w:p>
        </w:tc>
        <w:tc>
          <w:tcPr>
            <w:tcW w:w="6549" w:type="dxa"/>
            <w:vAlign w:val="center"/>
          </w:tcPr>
          <w:p w14:paraId="67FBF7C7">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综合评分法</w:t>
            </w:r>
          </w:p>
        </w:tc>
      </w:tr>
      <w:tr w14:paraId="2C73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4604AA16">
            <w:pPr>
              <w:pStyle w:val="68"/>
              <w:pBdr>
                <w:bottom w:val="none" w:color="auto" w:sz="0" w:space="0"/>
              </w:pBdr>
              <w:tabs>
                <w:tab w:val="clear" w:pos="4153"/>
                <w:tab w:val="clear" w:pos="8306"/>
              </w:tabs>
              <w:adjustRightInd/>
              <w:snapToGrid w:val="0"/>
              <w:spacing w:line="360" w:lineRule="auto"/>
              <w:textAlignment w:val="auto"/>
              <w:rPr>
                <w:bCs/>
                <w:color w:val="000000" w:themeColor="text1"/>
                <w:szCs w:val="28"/>
                <w:highlight w:val="none"/>
                <w14:textFill>
                  <w14:solidFill>
                    <w14:schemeClr w14:val="tx1"/>
                  </w14:solidFill>
                </w14:textFill>
              </w:rPr>
            </w:pPr>
            <w:r>
              <w:rPr>
                <w:rFonts w:hint="eastAsia"/>
                <w:bCs/>
                <w:color w:val="000000" w:themeColor="text1"/>
                <w:szCs w:val="28"/>
                <w:highlight w:val="none"/>
                <w14:textFill>
                  <w14:solidFill>
                    <w14:schemeClr w14:val="tx1"/>
                  </w14:solidFill>
                </w14:textFill>
              </w:rPr>
              <w:t>14.4.3</w:t>
            </w:r>
          </w:p>
        </w:tc>
        <w:tc>
          <w:tcPr>
            <w:tcW w:w="1772" w:type="dxa"/>
            <w:vAlign w:val="center"/>
          </w:tcPr>
          <w:p w14:paraId="3BFDF445">
            <w:pPr>
              <w:pStyle w:val="67"/>
              <w:widowControl w:val="0"/>
              <w:snapToGrid w:val="0"/>
              <w:spacing w:before="0" w:beforeAutospacing="0" w:after="0" w:afterAutospacing="0"/>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异常低价审查</w:t>
            </w:r>
          </w:p>
        </w:tc>
        <w:tc>
          <w:tcPr>
            <w:tcW w:w="6549" w:type="dxa"/>
            <w:vAlign w:val="center"/>
          </w:tcPr>
          <w:p w14:paraId="1890D296">
            <w:pPr>
              <w:pStyle w:val="67"/>
              <w:widowControl w:val="0"/>
              <w:snapToGrid w:val="0"/>
              <w:spacing w:before="0" w:beforeAutospacing="0" w:after="0" w:afterAutospacing="0"/>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本项增加以下内容：</w:t>
            </w:r>
          </w:p>
          <w:p w14:paraId="06EB7DF7">
            <w:pPr>
              <w:pStyle w:val="49"/>
              <w:shd w:val="clear" w:color="auto" w:fill="FFFFFF"/>
              <w:snapToGrid w:val="0"/>
              <w:spacing w:before="0" w:beforeAutospacing="0" w:after="0" w:afterAutospacing="0"/>
              <w:ind w:firstLine="480" w:firstLineChars="200"/>
              <w:jc w:val="both"/>
              <w:rPr>
                <w:rFonts w:cstheme="minorBidi"/>
                <w:bCs/>
                <w:color w:val="000000" w:themeColor="text1"/>
                <w:szCs w:val="28"/>
                <w:highlight w:val="none"/>
                <w14:textFill>
                  <w14:solidFill>
                    <w14:schemeClr w14:val="tx1"/>
                  </w14:solidFill>
                </w14:textFill>
              </w:rPr>
            </w:pPr>
            <w:r>
              <w:rPr>
                <w:rFonts w:hint="eastAsia" w:cstheme="minorBidi"/>
                <w:bCs/>
                <w:color w:val="000000" w:themeColor="text1"/>
                <w:szCs w:val="28"/>
                <w:highlight w:val="none"/>
                <w14:textFill>
                  <w14:solidFill>
                    <w14:schemeClr w14:val="tx1"/>
                  </w14:solidFill>
                </w14:textFill>
              </w:rPr>
              <w:t>政府采购评审中出现下列情形之一的，评审委员会应当启动异常低价响应审查程序： </w:t>
            </w:r>
          </w:p>
          <w:p w14:paraId="134C2C6C">
            <w:pPr>
              <w:pStyle w:val="49"/>
              <w:shd w:val="clear" w:color="auto" w:fill="FFFFFF"/>
              <w:snapToGrid w:val="0"/>
              <w:spacing w:before="0" w:beforeAutospacing="0" w:after="0" w:afterAutospacing="0"/>
              <w:ind w:firstLine="480" w:firstLineChars="200"/>
              <w:jc w:val="both"/>
              <w:rPr>
                <w:rFonts w:cstheme="minorBidi"/>
                <w:bCs/>
                <w:color w:val="000000" w:themeColor="text1"/>
                <w:szCs w:val="28"/>
                <w:highlight w:val="none"/>
                <w14:textFill>
                  <w14:solidFill>
                    <w14:schemeClr w14:val="tx1"/>
                  </w14:solidFill>
                </w14:textFill>
              </w:rPr>
            </w:pPr>
            <w:r>
              <w:rPr>
                <w:rFonts w:hint="eastAsia" w:cstheme="minorBidi"/>
                <w:bCs/>
                <w:color w:val="000000" w:themeColor="text1"/>
                <w:szCs w:val="28"/>
                <w:highlight w:val="none"/>
                <w14:textFill>
                  <w14:solidFill>
                    <w14:schemeClr w14:val="tx1"/>
                  </w14:solidFill>
                </w14:textFill>
              </w:rPr>
              <w:t>1.报价低于全部通过符合性审查供应商报价平均值50%的，即报价&lt;全部通过符合性审查供应商报价平均值×50%； </w:t>
            </w:r>
          </w:p>
          <w:p w14:paraId="6C50EDD8">
            <w:pPr>
              <w:pStyle w:val="49"/>
              <w:shd w:val="clear" w:color="auto" w:fill="FFFFFF"/>
              <w:snapToGrid w:val="0"/>
              <w:spacing w:before="0" w:beforeAutospacing="0" w:after="0" w:afterAutospacing="0"/>
              <w:ind w:firstLine="480" w:firstLineChars="200"/>
              <w:jc w:val="both"/>
              <w:rPr>
                <w:rFonts w:cstheme="minorBidi"/>
                <w:bCs/>
                <w:color w:val="000000" w:themeColor="text1"/>
                <w:szCs w:val="28"/>
                <w:highlight w:val="none"/>
                <w14:textFill>
                  <w14:solidFill>
                    <w14:schemeClr w14:val="tx1"/>
                  </w14:solidFill>
                </w14:textFill>
              </w:rPr>
            </w:pPr>
            <w:r>
              <w:rPr>
                <w:rFonts w:hint="eastAsia" w:cstheme="minorBidi"/>
                <w:bCs/>
                <w:color w:val="000000" w:themeColor="text1"/>
                <w:szCs w:val="28"/>
                <w:highlight w:val="none"/>
                <w14:textFill>
                  <w14:solidFill>
                    <w14:schemeClr w14:val="tx1"/>
                  </w14:solidFill>
                </w14:textFill>
              </w:rPr>
              <w:t>2.报价低于通过符合性审查的次低报价供应商报价50%的，即报价&lt;通过符合性审查的次低报价供应商报价×50%； </w:t>
            </w:r>
          </w:p>
          <w:p w14:paraId="77C163AA">
            <w:pPr>
              <w:pStyle w:val="49"/>
              <w:shd w:val="clear" w:color="auto" w:fill="FFFFFF"/>
              <w:snapToGrid w:val="0"/>
              <w:spacing w:before="0" w:beforeAutospacing="0" w:after="0" w:afterAutospacing="0"/>
              <w:ind w:firstLine="480" w:firstLineChars="200"/>
              <w:jc w:val="both"/>
              <w:rPr>
                <w:rFonts w:cstheme="minorBidi"/>
                <w:bCs/>
                <w:color w:val="000000" w:themeColor="text1"/>
                <w:szCs w:val="28"/>
                <w:highlight w:val="none"/>
                <w14:textFill>
                  <w14:solidFill>
                    <w14:schemeClr w14:val="tx1"/>
                  </w14:solidFill>
                </w14:textFill>
              </w:rPr>
            </w:pPr>
            <w:r>
              <w:rPr>
                <w:rFonts w:hint="eastAsia" w:cstheme="minorBidi"/>
                <w:bCs/>
                <w:color w:val="000000" w:themeColor="text1"/>
                <w:szCs w:val="28"/>
                <w:highlight w:val="none"/>
                <w14:textFill>
                  <w14:solidFill>
                    <w14:schemeClr w14:val="tx1"/>
                  </w14:solidFill>
                </w14:textFill>
              </w:rPr>
              <w:t>3.报价低于采购项目最高限价45%的，即报价&lt;采购项目最高限价×45%； </w:t>
            </w:r>
          </w:p>
          <w:p w14:paraId="511955AF">
            <w:pPr>
              <w:pStyle w:val="49"/>
              <w:shd w:val="clear" w:color="auto" w:fill="FFFFFF"/>
              <w:snapToGrid w:val="0"/>
              <w:spacing w:before="0" w:beforeAutospacing="0" w:after="0" w:afterAutospacing="0"/>
              <w:ind w:firstLine="480" w:firstLineChars="200"/>
              <w:jc w:val="both"/>
              <w:rPr>
                <w:rFonts w:cstheme="minorBidi"/>
                <w:bCs/>
                <w:color w:val="000000" w:themeColor="text1"/>
                <w:szCs w:val="28"/>
                <w:highlight w:val="none"/>
                <w14:textFill>
                  <w14:solidFill>
                    <w14:schemeClr w14:val="tx1"/>
                  </w14:solidFill>
                </w14:textFill>
              </w:rPr>
            </w:pPr>
            <w:r>
              <w:rPr>
                <w:rFonts w:hint="eastAsia" w:cstheme="minorBidi"/>
                <w:bCs/>
                <w:color w:val="000000" w:themeColor="text1"/>
                <w:szCs w:val="28"/>
                <w:highlight w:val="none"/>
                <w14:textFill>
                  <w14:solidFill>
                    <w14:schemeClr w14:val="tx1"/>
                  </w14:solidFill>
                </w14:textFill>
              </w:rPr>
              <w:t>4.评审委员会基于专业判断，认为供应商报价过低，有可能影响产品质量或者不能诚信履约的其他情形。 </w:t>
            </w:r>
          </w:p>
          <w:p w14:paraId="53F90E30">
            <w:pPr>
              <w:pStyle w:val="49"/>
              <w:shd w:val="clear" w:color="auto" w:fill="FFFFFF"/>
              <w:snapToGrid w:val="0"/>
              <w:spacing w:before="0" w:beforeAutospacing="0" w:after="0" w:afterAutospacing="0"/>
              <w:ind w:firstLine="480" w:firstLineChars="200"/>
              <w:jc w:val="both"/>
              <w:rPr>
                <w:rFonts w:cstheme="minorBidi"/>
                <w:bCs/>
                <w:color w:val="000000" w:themeColor="text1"/>
                <w:szCs w:val="28"/>
                <w:highlight w:val="none"/>
                <w14:textFill>
                  <w14:solidFill>
                    <w14:schemeClr w14:val="tx1"/>
                  </w14:solidFill>
                </w14:textFill>
              </w:rPr>
            </w:pPr>
            <w:r>
              <w:rPr>
                <w:rFonts w:hint="eastAsia" w:cstheme="minorBidi"/>
                <w:bCs/>
                <w:color w:val="000000" w:themeColor="text1"/>
                <w:szCs w:val="28"/>
                <w:highlight w:val="none"/>
                <w14:textFill>
                  <w14:solidFill>
                    <w14:schemeClr w14:val="tx1"/>
                  </w14:solidFill>
                </w14:textFill>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w:t>
            </w:r>
          </w:p>
          <w:p w14:paraId="14A22BB2">
            <w:pPr>
              <w:pStyle w:val="49"/>
              <w:shd w:val="clear" w:color="auto" w:fill="FFFFFF"/>
              <w:snapToGrid w:val="0"/>
              <w:spacing w:before="0" w:beforeAutospacing="0" w:after="0" w:afterAutospacing="0"/>
              <w:ind w:firstLine="480" w:firstLineChars="200"/>
              <w:jc w:val="both"/>
              <w:rPr>
                <w:rFonts w:cstheme="minorBidi"/>
                <w:bCs/>
                <w:color w:val="000000" w:themeColor="text1"/>
                <w:szCs w:val="28"/>
                <w:highlight w:val="none"/>
                <w14:textFill>
                  <w14:solidFill>
                    <w14:schemeClr w14:val="tx1"/>
                  </w14:solidFill>
                </w14:textFill>
              </w:rPr>
            </w:pPr>
            <w:r>
              <w:rPr>
                <w:rFonts w:hint="eastAsia" w:cstheme="minorBidi"/>
                <w:bCs/>
                <w:color w:val="000000" w:themeColor="text1"/>
                <w:szCs w:val="28"/>
                <w:highlight w:val="none"/>
                <w14:textFill>
                  <w14:solidFill>
                    <w14:schemeClr w14:val="tx1"/>
                  </w14:solidFill>
                </w14:textFill>
              </w:rPr>
              <w:t>供应商不能提供书面说明、证明材料，或者提供的书面说明、证明材料不能证明其报价合理性的，评审委员会应当将其作为无效响应处理。</w:t>
            </w:r>
          </w:p>
        </w:tc>
      </w:tr>
      <w:tr w14:paraId="1C27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52E6976C">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17</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4</w:t>
            </w:r>
          </w:p>
        </w:tc>
        <w:tc>
          <w:tcPr>
            <w:tcW w:w="1772" w:type="dxa"/>
            <w:vAlign w:val="center"/>
          </w:tcPr>
          <w:p w14:paraId="734BE62B">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最后报价扣除</w:t>
            </w:r>
          </w:p>
          <w:p w14:paraId="41C9FAF4">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i/>
                <w:color w:val="000000" w:themeColor="text1"/>
                <w:sz w:val="24"/>
                <w:highlight w:val="none"/>
                <w14:textFill>
                  <w14:solidFill>
                    <w14:schemeClr w14:val="tx1"/>
                  </w14:solidFill>
                </w14:textFill>
              </w:rPr>
              <w:t>（非专门面向中小企业采购项目适用，本项目不适用）</w:t>
            </w:r>
          </w:p>
        </w:tc>
        <w:tc>
          <w:tcPr>
            <w:tcW w:w="6549" w:type="dxa"/>
            <w:vAlign w:val="center"/>
          </w:tcPr>
          <w:p w14:paraId="7CAD3BE0">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（1）</w:t>
            </w:r>
            <w:r>
              <w:rPr>
                <w:b w:val="0"/>
                <w:color w:val="000000" w:themeColor="text1"/>
                <w:sz w:val="24"/>
                <w:highlight w:val="none"/>
                <w14:textFill>
                  <w14:solidFill>
                    <w14:schemeClr w14:val="tx1"/>
                  </w14:solidFill>
                </w14:textFill>
              </w:rPr>
              <w:t>小型和微型</w:t>
            </w:r>
            <w:r>
              <w:rPr>
                <w:rFonts w:hint="eastAsia"/>
                <w:b w:val="0"/>
                <w:color w:val="000000" w:themeColor="text1"/>
                <w:sz w:val="24"/>
                <w:highlight w:val="none"/>
                <w14:textFill>
                  <w14:solidFill>
                    <w14:schemeClr w14:val="tx1"/>
                  </w14:solidFill>
                </w14:textFill>
              </w:rPr>
              <w:t>企业价格扣除：</w:t>
            </w:r>
            <w:r>
              <w:rPr>
                <w:rFonts w:hint="eastAsia"/>
                <w:b w:val="0"/>
                <w:color w:val="000000" w:themeColor="text1"/>
                <w:sz w:val="24"/>
                <w:highlight w:val="none"/>
                <w:u w:val="single"/>
                <w14:textFill>
                  <w14:solidFill>
                    <w14:schemeClr w14:val="tx1"/>
                  </w14:solidFill>
                </w14:textFill>
              </w:rPr>
              <w:t>/</w:t>
            </w:r>
            <w:r>
              <w:rPr>
                <w:rFonts w:hint="eastAsia"/>
                <w:b w:val="0"/>
                <w:color w:val="000000" w:themeColor="text1"/>
                <w:sz w:val="24"/>
                <w:highlight w:val="none"/>
                <w14:textFill>
                  <w14:solidFill>
                    <w14:schemeClr w14:val="tx1"/>
                  </w14:solidFill>
                </w14:textFill>
              </w:rPr>
              <w:t>。</w:t>
            </w:r>
          </w:p>
          <w:p w14:paraId="1CDF0D64">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（2）监狱企业价格扣除：同</w:t>
            </w:r>
            <w:r>
              <w:rPr>
                <w:b w:val="0"/>
                <w:color w:val="000000" w:themeColor="text1"/>
                <w:sz w:val="24"/>
                <w:highlight w:val="none"/>
                <w14:textFill>
                  <w14:solidFill>
                    <w14:schemeClr w14:val="tx1"/>
                  </w14:solidFill>
                </w14:textFill>
              </w:rPr>
              <w:t>小型和微型企业</w:t>
            </w:r>
            <w:r>
              <w:rPr>
                <w:rFonts w:hint="eastAsia"/>
                <w:b w:val="0"/>
                <w:color w:val="000000" w:themeColor="text1"/>
                <w:sz w:val="24"/>
                <w:highlight w:val="none"/>
                <w14:textFill>
                  <w14:solidFill>
                    <w14:schemeClr w14:val="tx1"/>
                  </w14:solidFill>
                </w14:textFill>
              </w:rPr>
              <w:t>。</w:t>
            </w:r>
          </w:p>
          <w:p w14:paraId="34118979">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（3）残疾人福利性单位价格扣除：同</w:t>
            </w:r>
            <w:r>
              <w:rPr>
                <w:b w:val="0"/>
                <w:color w:val="000000" w:themeColor="text1"/>
                <w:sz w:val="24"/>
                <w:highlight w:val="none"/>
                <w14:textFill>
                  <w14:solidFill>
                    <w14:schemeClr w14:val="tx1"/>
                  </w14:solidFill>
                </w14:textFill>
              </w:rPr>
              <w:t>小型和微型企业</w:t>
            </w:r>
            <w:r>
              <w:rPr>
                <w:rFonts w:hint="eastAsia"/>
                <w:b w:val="0"/>
                <w:color w:val="000000" w:themeColor="text1"/>
                <w:sz w:val="24"/>
                <w:highlight w:val="none"/>
                <w14:textFill>
                  <w14:solidFill>
                    <w14:schemeClr w14:val="tx1"/>
                  </w14:solidFill>
                </w14:textFill>
              </w:rPr>
              <w:t>。</w:t>
            </w:r>
          </w:p>
          <w:p w14:paraId="1FD3C020">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（4）符合条件的联合体价格扣除：</w:t>
            </w:r>
            <w:r>
              <w:rPr>
                <w:rFonts w:hint="eastAsia"/>
                <w:b w:val="0"/>
                <w:color w:val="000000" w:themeColor="text1"/>
                <w:sz w:val="24"/>
                <w:highlight w:val="none"/>
                <w:u w:val="single"/>
                <w14:textFill>
                  <w14:solidFill>
                    <w14:schemeClr w14:val="tx1"/>
                  </w14:solidFill>
                </w14:textFill>
              </w:rPr>
              <w:t>/</w:t>
            </w:r>
            <w:r>
              <w:rPr>
                <w:rFonts w:hint="eastAsia"/>
                <w:b w:val="0"/>
                <w:color w:val="000000" w:themeColor="text1"/>
                <w:sz w:val="24"/>
                <w:highlight w:val="none"/>
                <w14:textFill>
                  <w14:solidFill>
                    <w14:schemeClr w14:val="tx1"/>
                  </w14:solidFill>
                </w14:textFill>
              </w:rPr>
              <w:t>。</w:t>
            </w:r>
          </w:p>
          <w:p w14:paraId="197E44F3">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（5）符合条件的向小微企业分包的大中型企业价格扣除：</w:t>
            </w:r>
            <w:r>
              <w:rPr>
                <w:rFonts w:hint="eastAsia"/>
                <w:b w:val="0"/>
                <w:color w:val="000000" w:themeColor="text1"/>
                <w:sz w:val="24"/>
                <w:highlight w:val="none"/>
                <w:u w:val="single"/>
                <w14:textFill>
                  <w14:solidFill>
                    <w14:schemeClr w14:val="tx1"/>
                  </w14:solidFill>
                </w14:textFill>
              </w:rPr>
              <w:t>/</w:t>
            </w:r>
            <w:r>
              <w:rPr>
                <w:rFonts w:hint="eastAsia"/>
                <w:b w:val="0"/>
                <w:color w:val="000000" w:themeColor="text1"/>
                <w:sz w:val="24"/>
                <w:highlight w:val="none"/>
                <w14:textFill>
                  <w14:solidFill>
                    <w14:schemeClr w14:val="tx1"/>
                  </w14:solidFill>
                </w14:textFill>
              </w:rPr>
              <w:t>。</w:t>
            </w:r>
            <w:r>
              <w:rPr>
                <w:rFonts w:hint="eastAsia"/>
                <w:b w:val="0"/>
                <w:i/>
                <w:color w:val="000000" w:themeColor="text1"/>
                <w:sz w:val="24"/>
                <w:highlight w:val="none"/>
                <w14:textFill>
                  <w14:solidFill>
                    <w14:schemeClr w14:val="tx1"/>
                  </w14:solidFill>
                </w14:textFill>
              </w:rPr>
              <w:t>（允许大中型企业向小微企业分包的项目适用）</w:t>
            </w:r>
          </w:p>
        </w:tc>
      </w:tr>
      <w:tr w14:paraId="3D40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Merge w:val="restart"/>
            <w:vAlign w:val="center"/>
          </w:tcPr>
          <w:p w14:paraId="3E648DC3">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19</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1</w:t>
            </w:r>
          </w:p>
        </w:tc>
        <w:tc>
          <w:tcPr>
            <w:tcW w:w="1772" w:type="dxa"/>
            <w:vMerge w:val="restart"/>
            <w:vAlign w:val="center"/>
          </w:tcPr>
          <w:p w14:paraId="329F36ED">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asciiTheme="minorEastAsia" w:hAnsiTheme="minorEastAsia" w:eastAsiaTheme="minorEastAsia"/>
                <w:b w:val="0"/>
                <w:color w:val="000000" w:themeColor="text1"/>
                <w:sz w:val="24"/>
                <w:highlight w:val="none"/>
                <w14:textFill>
                  <w14:solidFill>
                    <w14:schemeClr w14:val="tx1"/>
                  </w14:solidFill>
                </w14:textFill>
              </w:rPr>
              <w:t>确定成交候选供应商和成交供应商</w:t>
            </w:r>
          </w:p>
        </w:tc>
        <w:tc>
          <w:tcPr>
            <w:tcW w:w="6549" w:type="dxa"/>
            <w:vAlign w:val="center"/>
          </w:tcPr>
          <w:p w14:paraId="210AE7B5">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磋商小组推荐成交</w:t>
            </w:r>
            <w:r>
              <w:rPr>
                <w:b w:val="0"/>
                <w:color w:val="000000" w:themeColor="text1"/>
                <w:sz w:val="24"/>
                <w:highlight w:val="none"/>
                <w14:textFill>
                  <w14:solidFill>
                    <w14:schemeClr w14:val="tx1"/>
                  </w14:solidFill>
                </w14:textFill>
              </w:rPr>
              <w:t>候选</w:t>
            </w:r>
            <w:r>
              <w:rPr>
                <w:rFonts w:hint="eastAsia"/>
                <w:b w:val="0"/>
                <w:color w:val="000000" w:themeColor="text1"/>
                <w:sz w:val="24"/>
                <w:highlight w:val="none"/>
                <w14:textFill>
                  <w14:solidFill>
                    <w14:schemeClr w14:val="tx1"/>
                  </w14:solidFill>
                </w14:textFill>
              </w:rPr>
              <w:t>供应商的</w:t>
            </w:r>
            <w:r>
              <w:rPr>
                <w:b w:val="0"/>
                <w:color w:val="000000" w:themeColor="text1"/>
                <w:sz w:val="24"/>
                <w:highlight w:val="none"/>
                <w14:textFill>
                  <w14:solidFill>
                    <w14:schemeClr w14:val="tx1"/>
                  </w14:solidFill>
                </w14:textFill>
              </w:rPr>
              <w:t>数量</w:t>
            </w:r>
            <w:r>
              <w:rPr>
                <w:rFonts w:hint="eastAsia"/>
                <w:b w:val="0"/>
                <w:color w:val="000000" w:themeColor="text1"/>
                <w:sz w:val="24"/>
                <w:highlight w:val="none"/>
                <w14:textFill>
                  <w14:solidFill>
                    <w14:schemeClr w14:val="tx1"/>
                  </w14:solidFill>
                </w14:textFill>
              </w:rPr>
              <w:t>：3家</w:t>
            </w:r>
            <w:r>
              <w:rPr>
                <w:rFonts w:hint="eastAsia"/>
                <w:b w:val="0"/>
                <w:color w:val="000000" w:themeColor="text1"/>
                <w:sz w:val="24"/>
                <w:highlight w:val="none"/>
                <w:lang w:val="en-US" w:eastAsia="zh-CN"/>
                <w14:textFill>
                  <w14:solidFill>
                    <w14:schemeClr w14:val="tx1"/>
                  </w14:solidFill>
                </w14:textFill>
              </w:rPr>
              <w:t>及</w:t>
            </w:r>
            <w:r>
              <w:rPr>
                <w:rFonts w:hint="eastAsia"/>
                <w:b w:val="0"/>
                <w:color w:val="000000" w:themeColor="text1"/>
                <w:sz w:val="24"/>
                <w:highlight w:val="none"/>
                <w14:textFill>
                  <w14:solidFill>
                    <w14:schemeClr w14:val="tx1"/>
                  </w14:solidFill>
                </w14:textFill>
              </w:rPr>
              <w:t>以上</w:t>
            </w:r>
          </w:p>
          <w:p w14:paraId="3A67DAC7">
            <w:pPr>
              <w:pStyle w:val="67"/>
              <w:widowControl w:val="0"/>
              <w:spacing w:before="0" w:beforeAutospacing="0" w:after="0" w:afterAutospacing="0" w:line="360" w:lineRule="auto"/>
              <w:jc w:val="both"/>
              <w:rPr>
                <w:b w:val="0"/>
                <w:color w:val="000000" w:themeColor="text1"/>
                <w:sz w:val="24"/>
                <w:highlight w:val="none"/>
                <w:u w:val="single"/>
                <w14:textFill>
                  <w14:solidFill>
                    <w14:schemeClr w14:val="tx1"/>
                  </w14:solidFill>
                </w14:textFill>
              </w:rPr>
            </w:pPr>
            <w:r>
              <w:rPr>
                <w:rFonts w:hint="eastAsia"/>
                <w:b w:val="0"/>
                <w:color w:val="000000" w:themeColor="text1"/>
                <w:sz w:val="24"/>
                <w:highlight w:val="none"/>
                <w14:textFill>
                  <w14:solidFill>
                    <w14:schemeClr w14:val="tx1"/>
                  </w14:solidFill>
                </w14:textFill>
              </w:rPr>
              <w:t>注：法律、法规另有规定的，从其规定</w:t>
            </w:r>
          </w:p>
        </w:tc>
      </w:tr>
      <w:tr w14:paraId="1F56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Merge w:val="continue"/>
            <w:vAlign w:val="center"/>
          </w:tcPr>
          <w:p w14:paraId="7C8B108A">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p>
        </w:tc>
        <w:tc>
          <w:tcPr>
            <w:tcW w:w="1772" w:type="dxa"/>
            <w:vMerge w:val="continue"/>
            <w:vAlign w:val="center"/>
          </w:tcPr>
          <w:p w14:paraId="7E066801">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p>
        </w:tc>
        <w:tc>
          <w:tcPr>
            <w:tcW w:w="6549" w:type="dxa"/>
            <w:vAlign w:val="center"/>
          </w:tcPr>
          <w:p w14:paraId="56D0E187">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确定成交供应商：</w:t>
            </w:r>
          </w:p>
          <w:p w14:paraId="2668D8ED">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asciiTheme="minorEastAsia" w:hAnsiTheme="minorEastAsia"/>
                <w:b w:val="0"/>
                <w:color w:val="000000" w:themeColor="text1"/>
                <w:sz w:val="24"/>
                <w:szCs w:val="24"/>
                <w:highlight w:val="none"/>
                <w14:textFill>
                  <w14:solidFill>
                    <w14:schemeClr w14:val="tx1"/>
                  </w14:solidFill>
                </w14:textFill>
              </w:rPr>
              <w:sym w:font="Wingdings" w:char="00A8"/>
            </w:r>
            <w:r>
              <w:rPr>
                <w:rFonts w:hint="eastAsia"/>
                <w:b w:val="0"/>
                <w:color w:val="000000" w:themeColor="text1"/>
                <w:sz w:val="24"/>
                <w:highlight w:val="none"/>
                <w14:textFill>
                  <w14:solidFill>
                    <w14:schemeClr w14:val="tx1"/>
                  </w14:solidFill>
                </w14:textFill>
              </w:rPr>
              <w:t xml:space="preserve">采购人委托磋商小组确定 </w:t>
            </w:r>
            <w:r>
              <w:rPr>
                <w:b w:val="0"/>
                <w:color w:val="000000" w:themeColor="text1"/>
                <w:sz w:val="24"/>
                <w:highlight w:val="none"/>
                <w14:textFill>
                  <w14:solidFill>
                    <w14:schemeClr w14:val="tx1"/>
                  </w14:solidFill>
                </w14:textFill>
              </w:rPr>
              <w:t xml:space="preserve">   </w:t>
            </w:r>
            <w:r>
              <w:rPr>
                <w:rFonts w:hint="eastAsia"/>
                <w:b w:val="0"/>
                <w:color w:val="000000" w:themeColor="text1"/>
                <w:sz w:val="24"/>
                <w:highlight w:val="none"/>
                <w14:textFill>
                  <w14:solidFill>
                    <w14:schemeClr w14:val="tx1"/>
                  </w14:solidFill>
                </w14:textFill>
              </w:rPr>
              <w:t xml:space="preserve"> ☑采购人确定</w:t>
            </w:r>
          </w:p>
        </w:tc>
      </w:tr>
      <w:tr w14:paraId="0C0F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608E130A">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2</w:t>
            </w:r>
            <w:r>
              <w:rPr>
                <w:rFonts w:hint="eastAsia"/>
                <w:bCs/>
                <w:color w:val="000000" w:themeColor="text1"/>
                <w:kern w:val="2"/>
                <w:highlight w:val="none"/>
                <w14:textFill>
                  <w14:solidFill>
                    <w14:schemeClr w14:val="tx1"/>
                  </w14:solidFill>
                </w14:textFill>
              </w:rPr>
              <w:t>2</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2</w:t>
            </w:r>
          </w:p>
        </w:tc>
        <w:tc>
          <w:tcPr>
            <w:tcW w:w="1772" w:type="dxa"/>
            <w:vAlign w:val="center"/>
          </w:tcPr>
          <w:p w14:paraId="457D5813">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随成交结果公告同时公告的内容</w:t>
            </w:r>
          </w:p>
        </w:tc>
        <w:tc>
          <w:tcPr>
            <w:tcW w:w="6549" w:type="dxa"/>
            <w:vAlign w:val="center"/>
          </w:tcPr>
          <w:p w14:paraId="74A8AAE3">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（1）中小企业声明函；</w:t>
            </w:r>
          </w:p>
          <w:p w14:paraId="05B0CC71">
            <w:pPr>
              <w:pStyle w:val="67"/>
              <w:widowControl w:val="0"/>
              <w:spacing w:before="0" w:beforeAutospacing="0" w:after="0" w:afterAutospacing="0" w:line="360" w:lineRule="auto"/>
              <w:jc w:val="both"/>
              <w:rPr>
                <w:b w:val="0"/>
                <w:i/>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（2）残疾人福利性单位声明函；</w:t>
            </w:r>
            <w:r>
              <w:rPr>
                <w:rFonts w:hint="eastAsia"/>
                <w:b w:val="0"/>
                <w:i/>
                <w:iCs/>
                <w:color w:val="000000" w:themeColor="text1"/>
                <w:sz w:val="24"/>
                <w:highlight w:val="none"/>
                <w14:textFill>
                  <w14:solidFill>
                    <w14:schemeClr w14:val="tx1"/>
                  </w14:solidFill>
                </w14:textFill>
              </w:rPr>
              <w:t>（如有）</w:t>
            </w:r>
          </w:p>
          <w:p w14:paraId="6A9FB5D5">
            <w:pPr>
              <w:pStyle w:val="67"/>
              <w:widowControl w:val="0"/>
              <w:spacing w:before="0" w:beforeAutospacing="0" w:after="0" w:afterAutospacing="0" w:line="360" w:lineRule="auto"/>
              <w:jc w:val="both"/>
              <w:rPr>
                <w:b w:val="0"/>
                <w:bCs w:val="0"/>
                <w:color w:val="000000" w:themeColor="text1"/>
                <w:sz w:val="24"/>
                <w:szCs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（3）中标（成交）供应商的评审总得分</w:t>
            </w:r>
          </w:p>
        </w:tc>
      </w:tr>
      <w:tr w14:paraId="5B96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4EBBD48D">
            <w:pPr>
              <w:pStyle w:val="68"/>
              <w:pBdr>
                <w:bottom w:val="none" w:color="auto" w:sz="0" w:space="0"/>
              </w:pBdr>
              <w:tabs>
                <w:tab w:val="clear" w:pos="4153"/>
                <w:tab w:val="clear" w:pos="8306"/>
              </w:tabs>
              <w:adjustRightInd/>
              <w:spacing w:line="24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23</w:t>
            </w:r>
            <w:r>
              <w:rPr>
                <w:bCs/>
                <w:color w:val="000000" w:themeColor="text1"/>
                <w:kern w:val="2"/>
                <w:highlight w:val="none"/>
                <w14:textFill>
                  <w14:solidFill>
                    <w14:schemeClr w14:val="tx1"/>
                  </w14:solidFill>
                </w14:textFill>
              </w:rPr>
              <w:t>.1</w:t>
            </w:r>
          </w:p>
        </w:tc>
        <w:tc>
          <w:tcPr>
            <w:tcW w:w="1772" w:type="dxa"/>
            <w:vAlign w:val="center"/>
          </w:tcPr>
          <w:p w14:paraId="16D614B8">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成交通知书发出的形式</w:t>
            </w:r>
          </w:p>
        </w:tc>
        <w:tc>
          <w:tcPr>
            <w:tcW w:w="6549" w:type="dxa"/>
            <w:vAlign w:val="center"/>
          </w:tcPr>
          <w:p w14:paraId="2DE5951C">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 xml:space="preserve">□书面 </w:t>
            </w:r>
            <w:r>
              <w:rPr>
                <w:b w:val="0"/>
                <w:color w:val="000000" w:themeColor="text1"/>
                <w:sz w:val="24"/>
                <w:highlight w:val="none"/>
                <w14:textFill>
                  <w14:solidFill>
                    <w14:schemeClr w14:val="tx1"/>
                  </w14:solidFill>
                </w14:textFill>
              </w:rPr>
              <w:t xml:space="preserve">    </w:t>
            </w:r>
            <w:r>
              <w:rPr>
                <w:rFonts w:hint="eastAsia"/>
                <w:b w:val="0"/>
                <w:bCs w:val="0"/>
                <w:color w:val="000000" w:themeColor="text1"/>
                <w:sz w:val="24"/>
                <w:szCs w:val="24"/>
                <w:highlight w:val="none"/>
                <w14:textFill>
                  <w14:solidFill>
                    <w14:schemeClr w14:val="tx1"/>
                  </w14:solidFill>
                </w14:textFill>
              </w:rPr>
              <w:sym w:font="Wingdings" w:char="00FE"/>
            </w:r>
            <w:r>
              <w:rPr>
                <w:rFonts w:hint="eastAsia"/>
                <w:b w:val="0"/>
                <w:color w:val="000000" w:themeColor="text1"/>
                <w:sz w:val="24"/>
                <w:highlight w:val="none"/>
                <w14:textFill>
                  <w14:solidFill>
                    <w14:schemeClr w14:val="tx1"/>
                  </w14:solidFill>
                </w14:textFill>
              </w:rPr>
              <w:t>数据电文</w:t>
            </w:r>
          </w:p>
        </w:tc>
      </w:tr>
      <w:tr w14:paraId="17E6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AF64184">
            <w:pPr>
              <w:pStyle w:val="68"/>
              <w:pBdr>
                <w:bottom w:val="none" w:color="auto" w:sz="0" w:space="0"/>
              </w:pBdr>
              <w:tabs>
                <w:tab w:val="clear" w:pos="4153"/>
                <w:tab w:val="clear" w:pos="8306"/>
              </w:tabs>
              <w:adjustRightInd/>
              <w:spacing w:line="240" w:lineRule="auto"/>
              <w:textAlignment w:val="auto"/>
              <w:rPr>
                <w:bCs/>
                <w:color w:val="000000" w:themeColor="text1"/>
                <w:kern w:val="2"/>
                <w:highlight w:val="none"/>
                <w14:textFill>
                  <w14:solidFill>
                    <w14:schemeClr w14:val="tx1"/>
                  </w14:solidFill>
                </w14:textFill>
              </w:rPr>
            </w:pPr>
            <w:r>
              <w:rPr>
                <w:rFonts w:hint="eastAsia" w:cs="宋体"/>
                <w:bCs/>
                <w:color w:val="000000" w:themeColor="text1"/>
                <w:szCs w:val="24"/>
                <w:highlight w:val="none"/>
                <w14:textFill>
                  <w14:solidFill>
                    <w14:schemeClr w14:val="tx1"/>
                  </w14:solidFill>
                </w14:textFill>
              </w:rPr>
              <w:t>24.1</w:t>
            </w:r>
          </w:p>
        </w:tc>
        <w:tc>
          <w:tcPr>
            <w:tcW w:w="1772" w:type="dxa"/>
            <w:vAlign w:val="center"/>
          </w:tcPr>
          <w:p w14:paraId="443C1C66">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告知磋商结果的形式</w:t>
            </w:r>
          </w:p>
        </w:tc>
        <w:tc>
          <w:tcPr>
            <w:tcW w:w="6549" w:type="dxa"/>
            <w:vAlign w:val="center"/>
          </w:tcPr>
          <w:p w14:paraId="511A5EC7">
            <w:pPr>
              <w:pStyle w:val="67"/>
              <w:widowControl w:val="0"/>
              <w:spacing w:before="0" w:beforeAutospacing="0" w:after="0" w:afterAutospacing="0" w:line="360" w:lineRule="auto"/>
              <w:jc w:val="both"/>
              <w:rPr>
                <w:b w:val="0"/>
                <w:bCs w:val="0"/>
                <w:color w:val="000000" w:themeColor="text1"/>
                <w:sz w:val="24"/>
                <w:szCs w:val="24"/>
                <w:highlight w:val="none"/>
                <w14:textFill>
                  <w14:solidFill>
                    <w14:schemeClr w14:val="tx1"/>
                  </w14:solidFill>
                </w14:textFill>
              </w:rPr>
            </w:pPr>
            <w:r>
              <w:rPr>
                <w:rFonts w:hint="eastAsia" w:asciiTheme="minorEastAsia" w:hAnsiTheme="minorEastAsia"/>
                <w:b w:val="0"/>
                <w:color w:val="000000" w:themeColor="text1"/>
                <w:sz w:val="24"/>
                <w:szCs w:val="24"/>
                <w:highlight w:val="none"/>
                <w14:textFill>
                  <w14:solidFill>
                    <w14:schemeClr w14:val="tx1"/>
                  </w14:solidFill>
                </w14:textFill>
              </w:rPr>
              <w:sym w:font="Wingdings" w:char="00FE"/>
            </w:r>
            <w:r>
              <w:rPr>
                <w:rFonts w:hint="eastAsia"/>
                <w:b w:val="0"/>
                <w:bCs w:val="0"/>
                <w:color w:val="000000" w:themeColor="text1"/>
                <w:sz w:val="24"/>
                <w:szCs w:val="24"/>
                <w:highlight w:val="none"/>
                <w14:textFill>
                  <w14:solidFill>
                    <w14:schemeClr w14:val="tx1"/>
                  </w14:solidFill>
                </w14:textFill>
              </w:rPr>
              <w:t>供应商自行登录电子</w:t>
            </w:r>
            <w:r>
              <w:rPr>
                <w:rFonts w:hint="eastAsia" w:cs="宋体"/>
                <w:b w:val="0"/>
                <w:bCs w:val="0"/>
                <w:color w:val="000000" w:themeColor="text1"/>
                <w:sz w:val="24"/>
                <w:szCs w:val="24"/>
                <w:highlight w:val="none"/>
                <w14:textFill>
                  <w14:solidFill>
                    <w14:schemeClr w14:val="tx1"/>
                  </w14:solidFill>
                </w14:textFill>
              </w:rPr>
              <w:t>交易</w:t>
            </w:r>
            <w:r>
              <w:rPr>
                <w:rFonts w:hint="eastAsia"/>
                <w:b w:val="0"/>
                <w:bCs w:val="0"/>
                <w:color w:val="000000" w:themeColor="text1"/>
                <w:sz w:val="24"/>
                <w:szCs w:val="24"/>
                <w:highlight w:val="none"/>
                <w14:textFill>
                  <w14:solidFill>
                    <w14:schemeClr w14:val="tx1"/>
                  </w14:solidFill>
                </w14:textFill>
              </w:rPr>
              <w:t>系统查看</w:t>
            </w:r>
          </w:p>
          <w:p w14:paraId="7BB2DD71">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□磋商现场告知</w:t>
            </w:r>
          </w:p>
        </w:tc>
      </w:tr>
      <w:tr w14:paraId="3833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77451922">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25</w:t>
            </w:r>
            <w:r>
              <w:rPr>
                <w:bCs/>
                <w:color w:val="000000" w:themeColor="text1"/>
                <w:kern w:val="2"/>
                <w:highlight w:val="none"/>
                <w14:textFill>
                  <w14:solidFill>
                    <w14:schemeClr w14:val="tx1"/>
                  </w14:solidFill>
                </w14:textFill>
              </w:rPr>
              <w:t>.1</w:t>
            </w:r>
          </w:p>
        </w:tc>
        <w:tc>
          <w:tcPr>
            <w:tcW w:w="1772" w:type="dxa"/>
            <w:vAlign w:val="center"/>
          </w:tcPr>
          <w:p w14:paraId="30E214C1">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履约保证金</w:t>
            </w:r>
          </w:p>
        </w:tc>
        <w:tc>
          <w:tcPr>
            <w:tcW w:w="6549" w:type="dxa"/>
          </w:tcPr>
          <w:p w14:paraId="6C42FD10">
            <w:pPr>
              <w:spacing w:line="360" w:lineRule="auto"/>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（1）金额：</w:t>
            </w:r>
          </w:p>
          <w:p w14:paraId="60F33D8E">
            <w:pPr>
              <w:spacing w:line="360" w:lineRule="auto"/>
              <w:rPr>
                <w:bCs/>
                <w:color w:val="000000" w:themeColor="text1"/>
                <w:sz w:val="24"/>
                <w:szCs w:val="28"/>
                <w:highlight w:val="none"/>
                <w14:textFill>
                  <w14:solidFill>
                    <w14:schemeClr w14:val="tx1"/>
                  </w14:solidFill>
                </w14:textFill>
              </w:rPr>
            </w:pPr>
            <w:r>
              <w:rPr>
                <w:bCs/>
                <w:color w:val="000000" w:themeColor="text1"/>
                <w:sz w:val="24"/>
                <w:szCs w:val="28"/>
                <w:highlight w:val="none"/>
                <w14:textFill>
                  <w14:solidFill>
                    <w14:schemeClr w14:val="tx1"/>
                  </w14:solidFill>
                </w14:textFill>
              </w:rPr>
              <w:t>□</w:t>
            </w:r>
            <w:r>
              <w:rPr>
                <w:rFonts w:hint="eastAsia"/>
                <w:bCs/>
                <w:color w:val="000000" w:themeColor="text1"/>
                <w:sz w:val="24"/>
                <w:szCs w:val="28"/>
                <w:highlight w:val="none"/>
                <w14:textFill>
                  <w14:solidFill>
                    <w14:schemeClr w14:val="tx1"/>
                  </w14:solidFill>
                </w14:textFill>
              </w:rPr>
              <w:t>免收</w:t>
            </w:r>
          </w:p>
          <w:p w14:paraId="6E8D5C68">
            <w:pPr>
              <w:spacing w:line="360" w:lineRule="auto"/>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☑合同价的</w:t>
            </w:r>
            <w:r>
              <w:rPr>
                <w:rFonts w:hint="eastAsia"/>
                <w:bCs/>
                <w:color w:val="000000" w:themeColor="text1"/>
                <w:sz w:val="24"/>
                <w:szCs w:val="28"/>
                <w:highlight w:val="none"/>
                <w:u w:val="single"/>
                <w14:textFill>
                  <w14:solidFill>
                    <w14:schemeClr w14:val="tx1"/>
                  </w14:solidFill>
                </w14:textFill>
              </w:rPr>
              <w:t>2.5</w:t>
            </w:r>
            <w:r>
              <w:rPr>
                <w:bCs/>
                <w:color w:val="000000" w:themeColor="text1"/>
                <w:sz w:val="24"/>
                <w:szCs w:val="28"/>
                <w:highlight w:val="none"/>
                <w14:textFill>
                  <w14:solidFill>
                    <w14:schemeClr w14:val="tx1"/>
                  </w14:solidFill>
                </w14:textFill>
              </w:rPr>
              <w:t>%</w:t>
            </w:r>
          </w:p>
          <w:p w14:paraId="401EEA3B">
            <w:pPr>
              <w:spacing w:line="360" w:lineRule="auto"/>
              <w:rPr>
                <w:bCs/>
                <w:color w:val="000000" w:themeColor="text1"/>
                <w:sz w:val="24"/>
                <w:szCs w:val="28"/>
                <w:highlight w:val="none"/>
                <w14:textFill>
                  <w14:solidFill>
                    <w14:schemeClr w14:val="tx1"/>
                  </w14:solidFill>
                </w14:textFill>
              </w:rPr>
            </w:pPr>
            <w:r>
              <w:rPr>
                <w:bCs/>
                <w:color w:val="000000" w:themeColor="text1"/>
                <w:sz w:val="24"/>
                <w:szCs w:val="28"/>
                <w:highlight w:val="none"/>
                <w14:textFill>
                  <w14:solidFill>
                    <w14:schemeClr w14:val="tx1"/>
                  </w14:solidFill>
                </w14:textFill>
              </w:rPr>
              <w:t>□</w:t>
            </w:r>
            <w:r>
              <w:rPr>
                <w:rFonts w:hint="eastAsia"/>
                <w:bCs/>
                <w:color w:val="000000" w:themeColor="text1"/>
                <w:sz w:val="24"/>
                <w:szCs w:val="28"/>
                <w:highlight w:val="none"/>
                <w14:textFill>
                  <w14:solidFill>
                    <w14:schemeClr w14:val="tx1"/>
                  </w14:solidFill>
                </w14:textFill>
              </w:rPr>
              <w:t>定额收取：人民币/元</w:t>
            </w:r>
          </w:p>
          <w:p w14:paraId="7D0CBB5D">
            <w:pPr>
              <w:spacing w:line="360" w:lineRule="auto"/>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（2）支付方式：</w:t>
            </w:r>
          </w:p>
          <w:p w14:paraId="6C7CC822">
            <w:pPr>
              <w:spacing w:line="360" w:lineRule="auto"/>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sym w:font="Wingdings" w:char="00FE"/>
            </w:r>
            <w:r>
              <w:rPr>
                <w:bCs/>
                <w:color w:val="000000" w:themeColor="text1"/>
                <w:sz w:val="24"/>
                <w:szCs w:val="28"/>
                <w:highlight w:val="none"/>
                <w14:textFill>
                  <w14:solidFill>
                    <w14:schemeClr w14:val="tx1"/>
                  </w14:solidFill>
                </w14:textFill>
              </w:rPr>
              <w:t>转账/电汇</w:t>
            </w:r>
            <w:r>
              <w:rPr>
                <w:rFonts w:hint="eastAsia"/>
                <w:bCs/>
                <w:color w:val="000000" w:themeColor="text1"/>
                <w:sz w:val="24"/>
                <w:szCs w:val="28"/>
                <w:highlight w:val="none"/>
                <w14:textFill>
                  <w14:solidFill>
                    <w14:schemeClr w14:val="tx1"/>
                  </w14:solidFill>
                </w14:textFill>
              </w:rPr>
              <w:t xml:space="preserve"> </w:t>
            </w:r>
            <w:r>
              <w:rPr>
                <w:rFonts w:hint="eastAsia"/>
                <w:bCs/>
                <w:color w:val="000000" w:themeColor="text1"/>
                <w:sz w:val="24"/>
                <w:szCs w:val="28"/>
                <w:highlight w:val="none"/>
                <w14:textFill>
                  <w14:solidFill>
                    <w14:schemeClr w14:val="tx1"/>
                  </w14:solidFill>
                </w14:textFill>
              </w:rPr>
              <w:sym w:font="Wingdings" w:char="00FE"/>
            </w:r>
            <w:r>
              <w:rPr>
                <w:bCs/>
                <w:color w:val="000000" w:themeColor="text1"/>
                <w:sz w:val="24"/>
                <w:szCs w:val="28"/>
                <w:highlight w:val="none"/>
                <w14:textFill>
                  <w14:solidFill>
                    <w14:schemeClr w14:val="tx1"/>
                  </w14:solidFill>
                </w14:textFill>
              </w:rPr>
              <w:t xml:space="preserve">支票 </w:t>
            </w:r>
            <w:r>
              <w:rPr>
                <w:rFonts w:hint="eastAsia"/>
                <w:bCs/>
                <w:color w:val="000000" w:themeColor="text1"/>
                <w:sz w:val="24"/>
                <w:szCs w:val="28"/>
                <w:highlight w:val="none"/>
                <w14:textFill>
                  <w14:solidFill>
                    <w14:schemeClr w14:val="tx1"/>
                  </w14:solidFill>
                </w14:textFill>
              </w:rPr>
              <w:sym w:font="Wingdings" w:char="00FE"/>
            </w:r>
            <w:r>
              <w:rPr>
                <w:bCs/>
                <w:color w:val="000000" w:themeColor="text1"/>
                <w:sz w:val="24"/>
                <w:szCs w:val="28"/>
                <w:highlight w:val="none"/>
                <w14:textFill>
                  <w14:solidFill>
                    <w14:schemeClr w14:val="tx1"/>
                  </w14:solidFill>
                </w14:textFill>
              </w:rPr>
              <w:t>汇票</w:t>
            </w:r>
            <w:r>
              <w:rPr>
                <w:rFonts w:hint="eastAsia"/>
                <w:bCs/>
                <w:color w:val="000000" w:themeColor="text1"/>
                <w:sz w:val="24"/>
                <w:szCs w:val="28"/>
                <w:highlight w:val="none"/>
                <w14:textFill>
                  <w14:solidFill>
                    <w14:schemeClr w14:val="tx1"/>
                  </w14:solidFill>
                </w14:textFill>
              </w:rPr>
              <w:t xml:space="preserve"> </w:t>
            </w:r>
            <w:r>
              <w:rPr>
                <w:rFonts w:hint="eastAsia"/>
                <w:bCs/>
                <w:color w:val="000000" w:themeColor="text1"/>
                <w:sz w:val="24"/>
                <w:szCs w:val="28"/>
                <w:highlight w:val="none"/>
                <w14:textFill>
                  <w14:solidFill>
                    <w14:schemeClr w14:val="tx1"/>
                  </w14:solidFill>
                </w14:textFill>
              </w:rPr>
              <w:sym w:font="Wingdings" w:char="00FE"/>
            </w:r>
            <w:r>
              <w:rPr>
                <w:rFonts w:hint="eastAsia"/>
                <w:bCs/>
                <w:color w:val="000000" w:themeColor="text1"/>
                <w:sz w:val="24"/>
                <w:szCs w:val="28"/>
                <w:highlight w:val="none"/>
                <w14:textFill>
                  <w14:solidFill>
                    <w14:schemeClr w14:val="tx1"/>
                  </w14:solidFill>
                </w14:textFill>
              </w:rPr>
              <w:t xml:space="preserve">本票 </w:t>
            </w:r>
            <w:r>
              <w:rPr>
                <w:rFonts w:hint="eastAsia"/>
                <w:bCs/>
                <w:color w:val="000000" w:themeColor="text1"/>
                <w:sz w:val="24"/>
                <w:szCs w:val="28"/>
                <w:highlight w:val="none"/>
                <w14:textFill>
                  <w14:solidFill>
                    <w14:schemeClr w14:val="tx1"/>
                  </w14:solidFill>
                </w14:textFill>
              </w:rPr>
              <w:sym w:font="Wingdings" w:char="00FE"/>
            </w:r>
            <w:r>
              <w:rPr>
                <w:bCs/>
                <w:color w:val="000000" w:themeColor="text1"/>
                <w:sz w:val="24"/>
                <w:szCs w:val="28"/>
                <w:highlight w:val="none"/>
                <w14:textFill>
                  <w14:solidFill>
                    <w14:schemeClr w14:val="tx1"/>
                  </w14:solidFill>
                </w14:textFill>
              </w:rPr>
              <w:t>保</w:t>
            </w:r>
            <w:r>
              <w:rPr>
                <w:rFonts w:hint="eastAsia"/>
                <w:bCs/>
                <w:color w:val="000000" w:themeColor="text1"/>
                <w:sz w:val="24"/>
                <w:szCs w:val="28"/>
                <w:highlight w:val="none"/>
                <w14:textFill>
                  <w14:solidFill>
                    <w14:schemeClr w14:val="tx1"/>
                  </w14:solidFill>
                </w14:textFill>
              </w:rPr>
              <w:t xml:space="preserve">险 </w:t>
            </w:r>
            <w:r>
              <w:rPr>
                <w:rFonts w:hint="eastAsia"/>
                <w:bCs/>
                <w:color w:val="000000" w:themeColor="text1"/>
                <w:sz w:val="24"/>
                <w:szCs w:val="28"/>
                <w:highlight w:val="none"/>
                <w14:textFill>
                  <w14:solidFill>
                    <w14:schemeClr w14:val="tx1"/>
                  </w14:solidFill>
                </w14:textFill>
              </w:rPr>
              <w:sym w:font="Wingdings" w:char="00FE"/>
            </w:r>
            <w:r>
              <w:rPr>
                <w:rFonts w:hint="eastAsia"/>
                <w:bCs/>
                <w:color w:val="000000" w:themeColor="text1"/>
                <w:sz w:val="24"/>
                <w:szCs w:val="28"/>
                <w:highlight w:val="none"/>
                <w14:textFill>
                  <w14:solidFill>
                    <w14:schemeClr w14:val="tx1"/>
                  </w14:solidFill>
                </w14:textFill>
              </w:rPr>
              <w:t>保</w:t>
            </w:r>
            <w:r>
              <w:rPr>
                <w:bCs/>
                <w:color w:val="000000" w:themeColor="text1"/>
                <w:sz w:val="24"/>
                <w:szCs w:val="28"/>
                <w:highlight w:val="none"/>
                <w14:textFill>
                  <w14:solidFill>
                    <w14:schemeClr w14:val="tx1"/>
                  </w14:solidFill>
                </w14:textFill>
              </w:rPr>
              <w:t>函</w:t>
            </w:r>
          </w:p>
          <w:p w14:paraId="0A16A92E">
            <w:pPr>
              <w:spacing w:line="360" w:lineRule="auto"/>
              <w:rPr>
                <w:b/>
                <w:color w:val="000000" w:themeColor="text1"/>
                <w:sz w:val="24"/>
                <w:szCs w:val="24"/>
                <w:highlight w:val="none"/>
                <w:u w:val="single"/>
                <w14:textFill>
                  <w14:solidFill>
                    <w14:schemeClr w14:val="tx1"/>
                  </w14:solidFill>
                </w14:textFill>
              </w:rPr>
            </w:pPr>
            <w:r>
              <w:rPr>
                <w:rFonts w:hint="eastAsia"/>
                <w:bCs/>
                <w:color w:val="000000" w:themeColor="text1"/>
                <w:sz w:val="24"/>
                <w:szCs w:val="24"/>
                <w:highlight w:val="none"/>
                <w14:textFill>
                  <w14:solidFill>
                    <w14:schemeClr w14:val="tx1"/>
                  </w14:solidFill>
                </w14:textFill>
              </w:rPr>
              <w:t>（3）收取单位：</w:t>
            </w:r>
            <w:r>
              <w:rPr>
                <w:rFonts w:hint="eastAsia" w:cs="宋体"/>
                <w:bCs/>
                <w:color w:val="000000" w:themeColor="text1"/>
                <w:kern w:val="2"/>
                <w:sz w:val="24"/>
                <w:szCs w:val="24"/>
                <w:highlight w:val="none"/>
                <w:u w:val="single"/>
                <w14:textFill>
                  <w14:solidFill>
                    <w14:schemeClr w14:val="tx1"/>
                  </w14:solidFill>
                </w14:textFill>
              </w:rPr>
              <w:t>合同甲方</w:t>
            </w:r>
          </w:p>
          <w:p w14:paraId="226501AF">
            <w:pPr>
              <w:spacing w:line="360" w:lineRule="auto"/>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（4）收取账号：</w:t>
            </w:r>
            <w:r>
              <w:rPr>
                <w:rFonts w:hint="eastAsia"/>
                <w:bCs/>
                <w:color w:val="000000" w:themeColor="text1"/>
                <w:sz w:val="24"/>
                <w:szCs w:val="24"/>
                <w:highlight w:val="none"/>
                <w:u w:val="single"/>
                <w14:textFill>
                  <w14:solidFill>
                    <w14:schemeClr w14:val="tx1"/>
                  </w14:solidFill>
                </w14:textFill>
              </w:rPr>
              <w:t>成交后提供</w:t>
            </w:r>
          </w:p>
          <w:p w14:paraId="17FE645A">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hint="eastAsia"/>
                <w:bCs/>
                <w:color w:val="000000" w:themeColor="text1"/>
                <w:sz w:val="24"/>
                <w:szCs w:val="24"/>
                <w:highlight w:val="none"/>
                <w14:textFill>
                  <w14:solidFill>
                    <w14:schemeClr w14:val="tx1"/>
                  </w14:solidFill>
                </w14:textFill>
              </w:rPr>
              <w:t>（5）</w:t>
            </w:r>
            <w:r>
              <w:rPr>
                <w:rFonts w:hint="eastAsia"/>
                <w:color w:val="000000" w:themeColor="text1"/>
                <w:sz w:val="24"/>
                <w:szCs w:val="24"/>
                <w:highlight w:val="none"/>
                <w14:textFill>
                  <w14:solidFill>
                    <w14:schemeClr w14:val="tx1"/>
                  </w14:solidFill>
                </w14:textFill>
              </w:rPr>
              <w:t>退还时间：</w:t>
            </w:r>
            <w:r>
              <w:rPr>
                <w:rFonts w:hint="eastAsia" w:ascii="Times New Roman" w:hAnsi="Times New Roman" w:cs="Times New Roman"/>
                <w:color w:val="000000" w:themeColor="text1"/>
                <w:sz w:val="24"/>
                <w:szCs w:val="24"/>
                <w:highlight w:val="none"/>
                <w:u w:val="single"/>
                <w14:textFill>
                  <w14:solidFill>
                    <w14:schemeClr w14:val="tx1"/>
                  </w14:solidFill>
                </w14:textFill>
              </w:rPr>
              <w:t>履约保证金在合同生效之日起至项目验收合格前一直有效，验收合格后经乙方申请，合同甲方确认后按相关法律法规的规定及时将履约保证金款项退还给乙方或者解除履约担保。</w:t>
            </w:r>
          </w:p>
          <w:p w14:paraId="155C9901">
            <w:pPr>
              <w:spacing w:line="360" w:lineRule="auto"/>
              <w:rPr>
                <w:color w:val="000000" w:themeColor="text1"/>
                <w:sz w:val="24"/>
                <w:szCs w:val="24"/>
                <w:highlight w:val="none"/>
                <w14:textFill>
                  <w14:solidFill>
                    <w14:schemeClr w14:val="tx1"/>
                  </w14:solidFill>
                </w14:textFill>
              </w:rPr>
            </w:pPr>
            <w:r>
              <w:rPr>
                <w:rFonts w:hint="eastAsia" w:cs="宋体"/>
                <w:b/>
                <w:color w:val="000000" w:themeColor="text1"/>
                <w:sz w:val="24"/>
                <w:szCs w:val="24"/>
                <w:highlight w:val="none"/>
                <w14:textFill>
                  <w14:solidFill>
                    <w14:schemeClr w14:val="tx1"/>
                  </w14:solidFill>
                </w14:textFill>
              </w:rPr>
              <w:t>如果乙方不履行合同，履约保证金不予退还；如果乙方未能按合同约定全面履行义务，合同甲方有权从履约保证金中取得补偿或赔偿，同时不影响甲方要求乙方承担合同约定的超过履约保证金的违约责任的权利。</w:t>
            </w:r>
          </w:p>
          <w:p w14:paraId="1C6679B5">
            <w:pPr>
              <w:spacing w:line="360" w:lineRule="auto"/>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注意事项：</w:t>
            </w:r>
          </w:p>
          <w:p w14:paraId="2257CD07">
            <w:pPr>
              <w:spacing w:line="360" w:lineRule="auto"/>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（1）以上各类机构出具的以担保函、保证保险承担责任的方式均须满足无条件见索即付条件。</w:t>
            </w:r>
          </w:p>
          <w:p w14:paraId="1D6148D5">
            <w:pPr>
              <w:pStyle w:val="67"/>
              <w:widowControl w:val="0"/>
              <w:spacing w:before="0" w:beforeAutospacing="0" w:after="0" w:afterAutospacing="0" w:line="360" w:lineRule="auto"/>
              <w:jc w:val="both"/>
              <w:rPr>
                <w:color w:val="000000" w:themeColor="text1"/>
                <w:sz w:val="24"/>
                <w:highlight w:val="none"/>
                <w14:textFill>
                  <w14:solidFill>
                    <w14:schemeClr w14:val="tx1"/>
                  </w14:solidFill>
                </w14:textFill>
              </w:rPr>
            </w:pPr>
            <w:r>
              <w:rPr>
                <w:rFonts w:hint="eastAsia"/>
                <w:bCs w:val="0"/>
                <w:color w:val="000000" w:themeColor="text1"/>
                <w:sz w:val="24"/>
                <w:szCs w:val="24"/>
                <w:highlight w:val="none"/>
                <w14:textFill>
                  <w14:solidFill>
                    <w14:schemeClr w14:val="tx1"/>
                  </w14:solidFill>
                </w14:textFill>
              </w:rPr>
              <w:t>（2）以担保函、保证保险形式缴纳履约保证金的，受益人和收取单位须为合同甲方。</w:t>
            </w:r>
          </w:p>
        </w:tc>
      </w:tr>
      <w:tr w14:paraId="2292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360749BB">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26.1</w:t>
            </w:r>
          </w:p>
        </w:tc>
        <w:tc>
          <w:tcPr>
            <w:tcW w:w="1772" w:type="dxa"/>
            <w:vAlign w:val="center"/>
          </w:tcPr>
          <w:p w14:paraId="50A45B7B">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代理费用</w:t>
            </w:r>
          </w:p>
        </w:tc>
        <w:tc>
          <w:tcPr>
            <w:tcW w:w="6549" w:type="dxa"/>
            <w:vAlign w:val="center"/>
          </w:tcPr>
          <w:p w14:paraId="4C5661A3">
            <w:pPr>
              <w:pStyle w:val="67"/>
              <w:widowControl w:val="0"/>
              <w:spacing w:before="0" w:beforeAutospacing="0" w:after="0" w:afterAutospacing="0" w:line="360" w:lineRule="auto"/>
              <w:jc w:val="both"/>
              <w:rPr>
                <w:b w:val="0"/>
                <w:bCs w:val="0"/>
                <w:color w:val="000000" w:themeColor="text1"/>
                <w:sz w:val="24"/>
                <w:highlight w:val="none"/>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（1）收费对象：成交供应商</w:t>
            </w:r>
          </w:p>
          <w:p w14:paraId="28EC8FE5">
            <w:pPr>
              <w:pStyle w:val="67"/>
              <w:widowControl w:val="0"/>
              <w:spacing w:before="0" w:beforeAutospacing="0" w:after="0" w:afterAutospacing="0" w:line="360" w:lineRule="auto"/>
              <w:jc w:val="both"/>
              <w:rPr>
                <w:b w:val="0"/>
                <w:bCs w:val="0"/>
                <w:color w:val="000000" w:themeColor="text1"/>
                <w:sz w:val="24"/>
                <w:highlight w:val="none"/>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（2）收取方式：转账/电汇</w:t>
            </w:r>
          </w:p>
          <w:p w14:paraId="70EDEC97">
            <w:pPr>
              <w:pStyle w:val="67"/>
              <w:widowControl w:val="0"/>
              <w:spacing w:before="0" w:beforeAutospacing="0" w:after="0" w:afterAutospacing="0" w:line="360" w:lineRule="auto"/>
              <w:jc w:val="both"/>
              <w:rPr>
                <w:b w:val="0"/>
                <w:bCs w:val="0"/>
                <w:color w:val="000000" w:themeColor="text1"/>
                <w:sz w:val="24"/>
                <w:highlight w:val="none"/>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（3）收费标准：项目代理费分包支付，</w:t>
            </w:r>
            <w:r>
              <w:rPr>
                <w:rFonts w:hint="eastAsia"/>
                <w:b w:val="0"/>
                <w:bCs w:val="0"/>
                <w:color w:val="000000" w:themeColor="text1"/>
                <w:sz w:val="24"/>
                <w:highlight w:val="none"/>
                <w:lang w:val="en-US" w:eastAsia="zh-CN"/>
                <w14:textFill>
                  <w14:solidFill>
                    <w14:schemeClr w14:val="tx1"/>
                  </w14:solidFill>
                </w14:textFill>
              </w:rPr>
              <w:t>4</w:t>
            </w:r>
            <w:r>
              <w:rPr>
                <w:rFonts w:hint="eastAsia"/>
                <w:b w:val="0"/>
                <w:bCs w:val="0"/>
                <w:color w:val="000000" w:themeColor="text1"/>
                <w:sz w:val="24"/>
                <w:highlight w:val="none"/>
                <w14:textFill>
                  <w14:solidFill>
                    <w14:schemeClr w14:val="tx1"/>
                  </w14:solidFill>
                </w14:textFill>
              </w:rPr>
              <w:t>包代理费为人民币</w:t>
            </w:r>
            <w:r>
              <w:rPr>
                <w:rFonts w:hint="eastAsia"/>
                <w:b w:val="0"/>
                <w:bCs w:val="0"/>
                <w:color w:val="000000" w:themeColor="text1"/>
                <w:sz w:val="24"/>
                <w:highlight w:val="none"/>
                <w:lang w:val="en-US" w:eastAsia="zh-CN"/>
                <w14:textFill>
                  <w14:solidFill>
                    <w14:schemeClr w14:val="tx1"/>
                  </w14:solidFill>
                </w14:textFill>
              </w:rPr>
              <w:t>陆仟贰佰</w:t>
            </w:r>
            <w:r>
              <w:rPr>
                <w:rFonts w:hint="eastAsia"/>
                <w:b w:val="0"/>
                <w:bCs w:val="0"/>
                <w:color w:val="000000" w:themeColor="text1"/>
                <w:sz w:val="24"/>
                <w:highlight w:val="none"/>
                <w14:textFill>
                  <w14:solidFill>
                    <w14:schemeClr w14:val="tx1"/>
                  </w14:solidFill>
                </w14:textFill>
              </w:rPr>
              <w:t>元整</w:t>
            </w:r>
            <w:r>
              <w:rPr>
                <w:rFonts w:hint="eastAsia"/>
                <w:b w:val="0"/>
                <w:bCs w:val="0"/>
                <w:color w:val="000000" w:themeColor="text1"/>
                <w:sz w:val="24"/>
                <w:highlight w:val="none"/>
                <w:lang w:eastAsia="zh-CN"/>
                <w14:textFill>
                  <w14:solidFill>
                    <w14:schemeClr w14:val="tx1"/>
                  </w14:solidFill>
                </w14:textFill>
              </w:rPr>
              <w:t>，</w:t>
            </w:r>
            <w:r>
              <w:rPr>
                <w:rFonts w:hint="eastAsia"/>
                <w:b w:val="0"/>
                <w:bCs w:val="0"/>
                <w:color w:val="000000" w:themeColor="text1"/>
                <w:sz w:val="24"/>
                <w:highlight w:val="none"/>
                <w14:textFill>
                  <w14:solidFill>
                    <w14:schemeClr w14:val="tx1"/>
                  </w14:solidFill>
                </w14:textFill>
              </w:rPr>
              <w:t>由成交供应商支付。</w:t>
            </w:r>
          </w:p>
          <w:p w14:paraId="702C0F7F">
            <w:pPr>
              <w:numPr>
                <w:ilvl w:val="0"/>
                <w:numId w:val="0"/>
              </w:numPr>
              <w:spacing w:line="360" w:lineRule="auto"/>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（4）支付时间：</w:t>
            </w:r>
            <w:r>
              <w:rPr>
                <w:rFonts w:hint="eastAsia" w:ascii="宋体" w:hAnsi="宋体" w:eastAsia="宋体" w:cs="宋体"/>
                <w:b w:val="0"/>
                <w:color w:val="auto"/>
                <w:sz w:val="24"/>
                <w:highlight w:val="none"/>
              </w:rPr>
              <w:t>成交供应商在中标（成交）通知书发出后5日内一次性支付</w:t>
            </w: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w:t>
            </w:r>
          </w:p>
          <w:p w14:paraId="3C821E4D">
            <w:pPr>
              <w:numPr>
                <w:ilvl w:val="0"/>
                <w:numId w:val="0"/>
              </w:numPr>
              <w:spacing w:line="360" w:lineRule="auto"/>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（5）收取单位：安徽安兆工程技术咨询服务有限公司纳税人识别号：913403007647962135</w:t>
            </w:r>
          </w:p>
          <w:p w14:paraId="5BA78299">
            <w:pPr>
              <w:numPr>
                <w:ilvl w:val="0"/>
                <w:numId w:val="2"/>
              </w:numPr>
              <w:spacing w:line="360" w:lineRule="auto"/>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缴费账号：合肥徽商银行成都路支行520819931701000002</w:t>
            </w:r>
          </w:p>
          <w:p w14:paraId="0EE55981">
            <w:pPr>
              <w:numPr>
                <w:ilvl w:val="0"/>
                <w:numId w:val="0"/>
              </w:numPr>
              <w:spacing w:line="360" w:lineRule="auto"/>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注：①代理费请公对公转帐，个人缴纳不予受理；</w:t>
            </w:r>
          </w:p>
          <w:p w14:paraId="7025A32B">
            <w:pPr>
              <w:pStyle w:val="67"/>
              <w:widowControl w:val="0"/>
              <w:spacing w:before="0" w:beforeAutospacing="0" w:after="0" w:afterAutospacing="0" w:line="360" w:lineRule="auto"/>
              <w:ind w:firstLine="0"/>
              <w:jc w:val="both"/>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t>②代理费转账截图发送至邮箱（</w:t>
            </w:r>
            <w:r>
              <w:rPr>
                <w:rFonts w:hint="eastAsia" w:asciiTheme="minorEastAsia" w:hAnsiTheme="minorEastAsia" w:eastAsiaTheme="minorEastAsia" w:cstheme="minorEastAsia"/>
                <w:b w:val="0"/>
                <w:color w:val="000000" w:themeColor="text1"/>
                <w:sz w:val="24"/>
                <w:szCs w:val="24"/>
                <w:highlight w:val="none"/>
                <w14:textFill>
                  <w14:solidFill>
                    <w14:schemeClr w14:val="tx1"/>
                  </w14:solidFill>
                </w14:textFill>
              </w:rPr>
              <w:t>ahaz888@163.com</w:t>
            </w:r>
            <w:r>
              <w:rPr>
                <w:rFonts w:hint="eastAsia" w:asciiTheme="minorEastAsia" w:hAnsiTheme="minorEastAsia" w:eastAsiaTheme="minorEastAsia" w:cstheme="minorEastAsia"/>
                <w:b w:val="0"/>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 w:val="0"/>
                <w:color w:val="000000" w:themeColor="text1"/>
                <w:sz w:val="24"/>
                <w:szCs w:val="24"/>
                <w:highlight w:val="none"/>
                <w14:textFill>
                  <w14:solidFill>
                    <w14:schemeClr w14:val="tx1"/>
                  </w14:solidFill>
                </w14:textFill>
              </w:rPr>
              <w:br w:type="textWrapping"/>
            </w:r>
            <w:r>
              <w:rPr>
                <w:rFonts w:hint="eastAsia" w:asciiTheme="minorEastAsia" w:hAnsiTheme="minorEastAsia" w:eastAsiaTheme="minorEastAsia" w:cstheme="minorEastAsia"/>
                <w:b w:val="0"/>
                <w:color w:val="000000" w:themeColor="text1"/>
                <w:sz w:val="24"/>
                <w:szCs w:val="24"/>
                <w:highlight w:val="none"/>
                <w:lang w:val="en-US" w:eastAsia="zh-CN"/>
                <w14:textFill>
                  <w14:solidFill>
                    <w14:schemeClr w14:val="tx1"/>
                  </w14:solidFill>
                </w14:textFill>
              </w:rPr>
              <w:t>后</w:t>
            </w:r>
            <w:r>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t>领取成交通知书电子版，截图请备注项目及包别名称。</w:t>
            </w:r>
          </w:p>
          <w:p w14:paraId="3D3F0F96">
            <w:pPr>
              <w:pStyle w:val="67"/>
              <w:widowControl w:val="0"/>
              <w:spacing w:before="0" w:beforeAutospacing="0" w:after="0" w:afterAutospacing="0" w:line="360" w:lineRule="auto"/>
              <w:ind w:firstLine="0"/>
              <w:jc w:val="both"/>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t>③成交通知书领取及代理费缴纳拨打0552-3092287</w:t>
            </w:r>
          </w:p>
          <w:p w14:paraId="1F801F92">
            <w:pPr>
              <w:pStyle w:val="67"/>
              <w:widowControl w:val="0"/>
              <w:spacing w:before="0" w:beforeAutospacing="0" w:after="0" w:afterAutospacing="0" w:line="360" w:lineRule="auto"/>
              <w:jc w:val="both"/>
              <w:rPr>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t>发票开具请拨打0551-65707977，0551-65707344。</w:t>
            </w:r>
          </w:p>
        </w:tc>
      </w:tr>
      <w:tr w14:paraId="02C2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6FF388FF">
            <w:pPr>
              <w:pStyle w:val="68"/>
              <w:pBdr>
                <w:bottom w:val="none" w:color="auto" w:sz="0" w:space="0"/>
              </w:pBdr>
              <w:tabs>
                <w:tab w:val="clear" w:pos="4153"/>
                <w:tab w:val="clear" w:pos="8306"/>
              </w:tabs>
              <w:adjustRightInd/>
              <w:spacing w:line="360" w:lineRule="auto"/>
              <w:textAlignment w:val="auto"/>
              <w:rPr>
                <w:rFonts w:cs="@仿宋_GB2312"/>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27.1</w:t>
            </w:r>
          </w:p>
        </w:tc>
        <w:tc>
          <w:tcPr>
            <w:tcW w:w="1772" w:type="dxa"/>
            <w:vAlign w:val="center"/>
          </w:tcPr>
          <w:p w14:paraId="6CDB99AB">
            <w:pPr>
              <w:pStyle w:val="67"/>
              <w:widowControl w:val="0"/>
              <w:spacing w:before="0" w:beforeAutospacing="0" w:after="0" w:afterAutospacing="0" w:line="360" w:lineRule="auto"/>
              <w:jc w:val="both"/>
              <w:rPr>
                <w:rFonts w:cs="@仿宋_GB2312"/>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签订合同和合同公告时间</w:t>
            </w:r>
          </w:p>
        </w:tc>
        <w:tc>
          <w:tcPr>
            <w:tcW w:w="6549" w:type="dxa"/>
            <w:vAlign w:val="center"/>
          </w:tcPr>
          <w:p w14:paraId="3FA318DA">
            <w:pPr>
              <w:pStyle w:val="49"/>
              <w:spacing w:before="0" w:beforeAutospacing="0" w:after="0" w:afterAutospacing="0"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（1）采购人与成交供应商应当自发出成交通知书之日起7个工作日内签订合同，采购合同签订之日起2个工作日内完成政府采购合同公开。</w:t>
            </w:r>
          </w:p>
          <w:p w14:paraId="6EFD340A">
            <w:pPr>
              <w:pStyle w:val="67"/>
              <w:widowControl w:val="0"/>
              <w:spacing w:before="0" w:beforeAutospacing="0" w:after="0" w:afterAutospacing="0" w:line="360" w:lineRule="auto"/>
              <w:jc w:val="both"/>
              <w:rPr>
                <w:rFonts w:cs="@仿宋_GB2312"/>
                <w:b w:val="0"/>
                <w:color w:val="000000" w:themeColor="text1"/>
                <w:sz w:val="24"/>
                <w:highlight w:val="none"/>
                <w14:textFill>
                  <w14:solidFill>
                    <w14:schemeClr w14:val="tx1"/>
                  </w14:solidFill>
                </w14:textFill>
              </w:rPr>
            </w:pPr>
            <w:r>
              <w:rPr>
                <w:rFonts w:hint="eastAsia" w:cs="宋体"/>
                <w:b w:val="0"/>
                <w:bCs w:val="0"/>
                <w:color w:val="000000" w:themeColor="text1"/>
                <w:sz w:val="24"/>
                <w:szCs w:val="24"/>
                <w:highlight w:val="none"/>
                <w14:textFill>
                  <w14:solidFill>
                    <w14:schemeClr w14:val="tx1"/>
                  </w14:solidFill>
                </w14:textFill>
              </w:rPr>
              <w:t>（2）采购人与成交供应商</w:t>
            </w:r>
            <w:r>
              <w:rPr>
                <w:rFonts w:cs="宋体"/>
                <w:b w:val="0"/>
                <w:bCs w:val="0"/>
                <w:color w:val="000000" w:themeColor="text1"/>
                <w:sz w:val="24"/>
                <w:szCs w:val="24"/>
                <w:highlight w:val="none"/>
                <w14:textFill>
                  <w14:solidFill>
                    <w14:schemeClr w14:val="tx1"/>
                  </w14:solidFill>
                </w14:textFill>
              </w:rPr>
              <w:t>不得擅自变更合同，依照政府采购法确需变更政府采购合同内容的，采购人应当自合同变更之日起2个工作日内</w:t>
            </w:r>
            <w:r>
              <w:rPr>
                <w:rFonts w:hint="eastAsia" w:cs="宋体"/>
                <w:b w:val="0"/>
                <w:bCs w:val="0"/>
                <w:color w:val="000000" w:themeColor="text1"/>
                <w:sz w:val="24"/>
                <w:szCs w:val="24"/>
                <w:highlight w:val="none"/>
                <w14:textFill>
                  <w14:solidFill>
                    <w14:schemeClr w14:val="tx1"/>
                  </w14:solidFill>
                </w14:textFill>
              </w:rPr>
              <w:t>在安徽省政府采购网</w:t>
            </w:r>
            <w:r>
              <w:rPr>
                <w:rFonts w:cs="宋体"/>
                <w:b w:val="0"/>
                <w:bCs w:val="0"/>
                <w:color w:val="000000" w:themeColor="text1"/>
                <w:sz w:val="24"/>
                <w:szCs w:val="24"/>
                <w:highlight w:val="none"/>
                <w14:textFill>
                  <w14:solidFill>
                    <w14:schemeClr w14:val="tx1"/>
                  </w14:solidFill>
                </w14:textFill>
              </w:rPr>
              <w:t>发布政府采购合同变更公告</w:t>
            </w:r>
            <w:r>
              <w:rPr>
                <w:rFonts w:hint="eastAsia" w:cs="宋体"/>
                <w:b w:val="0"/>
                <w:bCs w:val="0"/>
                <w:color w:val="000000" w:themeColor="text1"/>
                <w:sz w:val="24"/>
                <w:szCs w:val="24"/>
                <w:highlight w:val="none"/>
                <w14:textFill>
                  <w14:solidFill>
                    <w14:schemeClr w14:val="tx1"/>
                  </w14:solidFill>
                </w14:textFill>
              </w:rPr>
              <w:t>，</w:t>
            </w:r>
            <w:r>
              <w:rPr>
                <w:rFonts w:cs="宋体"/>
                <w:b w:val="0"/>
                <w:bCs w:val="0"/>
                <w:color w:val="000000" w:themeColor="text1"/>
                <w:sz w:val="24"/>
                <w:szCs w:val="24"/>
                <w:highlight w:val="none"/>
                <w14:textFill>
                  <w14:solidFill>
                    <w14:schemeClr w14:val="tx1"/>
                  </w14:solidFill>
                </w14:textFill>
              </w:rPr>
              <w:t>但涉及国家秘密、商业秘密的信息和其他依法不得公开的信息除外。</w:t>
            </w:r>
          </w:p>
        </w:tc>
      </w:tr>
      <w:tr w14:paraId="3A128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766E7B35">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29.3</w:t>
            </w:r>
          </w:p>
        </w:tc>
        <w:tc>
          <w:tcPr>
            <w:tcW w:w="1772" w:type="dxa"/>
            <w:vAlign w:val="center"/>
          </w:tcPr>
          <w:p w14:paraId="07799C31">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质疑函递交方式、接收部门、联系电话和通讯地址</w:t>
            </w:r>
          </w:p>
        </w:tc>
        <w:tc>
          <w:tcPr>
            <w:tcW w:w="6549" w:type="dxa"/>
            <w:vAlign w:val="center"/>
          </w:tcPr>
          <w:p w14:paraId="5F69B8A0">
            <w:pPr>
              <w:pStyle w:val="67"/>
              <w:widowControl w:val="0"/>
              <w:spacing w:before="0" w:beforeAutospacing="0" w:after="0" w:afterAutospacing="0" w:line="360" w:lineRule="auto"/>
              <w:jc w:val="both"/>
              <w:rPr>
                <w:b w:val="0"/>
                <w:color w:val="000000" w:themeColor="text1"/>
                <w:sz w:val="24"/>
                <w:szCs w:val="24"/>
                <w:highlight w:val="none"/>
                <w14:textFill>
                  <w14:solidFill>
                    <w14:schemeClr w14:val="tx1"/>
                  </w14:solidFill>
                </w14:textFill>
              </w:rPr>
            </w:pPr>
            <w:r>
              <w:rPr>
                <w:rFonts w:hint="eastAsia"/>
                <w:b w:val="0"/>
                <w:color w:val="000000" w:themeColor="text1"/>
                <w:sz w:val="24"/>
                <w:szCs w:val="24"/>
                <w:highlight w:val="none"/>
                <w14:textFill>
                  <w14:solidFill>
                    <w14:schemeClr w14:val="tx1"/>
                  </w14:solidFill>
                </w14:textFill>
              </w:rPr>
              <w:t>递交方式：“徽采云”电子交易系统</w:t>
            </w:r>
          </w:p>
          <w:p w14:paraId="75DCAE22">
            <w:pPr>
              <w:pStyle w:val="67"/>
              <w:widowControl w:val="0"/>
              <w:spacing w:before="0" w:beforeAutospacing="0" w:after="0" w:afterAutospacing="0" w:line="360" w:lineRule="auto"/>
              <w:jc w:val="both"/>
              <w:rPr>
                <w:b w:val="0"/>
                <w:color w:val="000000" w:themeColor="text1"/>
                <w:sz w:val="24"/>
                <w:szCs w:val="24"/>
                <w:highlight w:val="none"/>
                <w14:textFill>
                  <w14:solidFill>
                    <w14:schemeClr w14:val="tx1"/>
                  </w14:solidFill>
                </w14:textFill>
              </w:rPr>
            </w:pPr>
            <w:r>
              <w:rPr>
                <w:rFonts w:hint="eastAsia"/>
                <w:b w:val="0"/>
                <w:color w:val="000000" w:themeColor="text1"/>
                <w:sz w:val="24"/>
                <w:szCs w:val="24"/>
                <w:highlight w:val="none"/>
                <w14:textFill>
                  <w14:solidFill>
                    <w14:schemeClr w14:val="tx1"/>
                  </w14:solidFill>
                </w14:textFill>
              </w:rPr>
              <w:t>接收部门：安徽省淮河河道管理局</w:t>
            </w:r>
          </w:p>
          <w:p w14:paraId="2E1150A7">
            <w:pPr>
              <w:pStyle w:val="67"/>
              <w:widowControl w:val="0"/>
              <w:spacing w:before="0" w:beforeAutospacing="0" w:after="0" w:afterAutospacing="0" w:line="360" w:lineRule="auto"/>
              <w:jc w:val="both"/>
              <w:rPr>
                <w:rFonts w:hint="default" w:eastAsia="宋体"/>
                <w:b w:val="0"/>
                <w:color w:val="000000" w:themeColor="text1"/>
                <w:sz w:val="24"/>
                <w:szCs w:val="24"/>
                <w:highlight w:val="none"/>
                <w:lang w:val="en-US" w:eastAsia="zh-CN"/>
                <w14:textFill>
                  <w14:solidFill>
                    <w14:schemeClr w14:val="tx1"/>
                  </w14:solidFill>
                </w14:textFill>
              </w:rPr>
            </w:pPr>
            <w:r>
              <w:rPr>
                <w:b w:val="0"/>
                <w:color w:val="000000" w:themeColor="text1"/>
                <w:sz w:val="24"/>
                <w:szCs w:val="24"/>
                <w:highlight w:val="none"/>
                <w14:textFill>
                  <w14:solidFill>
                    <w14:schemeClr w14:val="tx1"/>
                  </w14:solidFill>
                </w14:textFill>
              </w:rPr>
              <w:t>联系电话：</w:t>
            </w:r>
            <w:r>
              <w:rPr>
                <w:rFonts w:hint="eastAsia"/>
                <w:b w:val="0"/>
                <w:color w:val="000000" w:themeColor="text1"/>
                <w:sz w:val="24"/>
                <w:szCs w:val="24"/>
                <w:highlight w:val="none"/>
                <w:lang w:val="en-US" w:eastAsia="zh-CN"/>
                <w14:textFill>
                  <w14:solidFill>
                    <w14:schemeClr w14:val="tx1"/>
                  </w14:solidFill>
                </w14:textFill>
              </w:rPr>
              <w:t>0552-3918061</w:t>
            </w:r>
          </w:p>
          <w:p w14:paraId="694FEBB6">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szCs w:val="24"/>
                <w:highlight w:val="none"/>
                <w14:textFill>
                  <w14:solidFill>
                    <w14:schemeClr w14:val="tx1"/>
                  </w14:solidFill>
                </w14:textFill>
              </w:rPr>
              <w:t>通讯地址：安徽省蚌埠市解放一路116号</w:t>
            </w:r>
          </w:p>
        </w:tc>
      </w:tr>
      <w:tr w14:paraId="71C8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738BE3F0">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30</w:t>
            </w:r>
          </w:p>
        </w:tc>
        <w:tc>
          <w:tcPr>
            <w:tcW w:w="1772" w:type="dxa"/>
            <w:vAlign w:val="center"/>
          </w:tcPr>
          <w:p w14:paraId="58B47129">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其他内容</w:t>
            </w:r>
          </w:p>
        </w:tc>
        <w:tc>
          <w:tcPr>
            <w:tcW w:w="6549" w:type="dxa"/>
            <w:vAlign w:val="center"/>
          </w:tcPr>
          <w:p w14:paraId="1D661F38">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p>
        </w:tc>
      </w:tr>
      <w:tr w14:paraId="315D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E651B0F">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1</w:t>
            </w:r>
          </w:p>
        </w:tc>
        <w:tc>
          <w:tcPr>
            <w:tcW w:w="1772" w:type="dxa"/>
            <w:vAlign w:val="center"/>
          </w:tcPr>
          <w:p w14:paraId="77CBCB10">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承包方式</w:t>
            </w:r>
          </w:p>
        </w:tc>
        <w:tc>
          <w:tcPr>
            <w:tcW w:w="6549" w:type="dxa"/>
            <w:vAlign w:val="center"/>
          </w:tcPr>
          <w:p w14:paraId="603A22FD">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lang w:eastAsia="zh-CN"/>
                <w14:textFill>
                  <w14:solidFill>
                    <w14:schemeClr w14:val="tx1"/>
                  </w14:solidFill>
                </w14:textFill>
              </w:rPr>
              <w:t>□</w:t>
            </w:r>
            <w:r>
              <w:rPr>
                <w:rFonts w:hint="eastAsia"/>
                <w:b w:val="0"/>
                <w:color w:val="000000" w:themeColor="text1"/>
                <w:sz w:val="24"/>
                <w:highlight w:val="none"/>
                <w14:textFill>
                  <w14:solidFill>
                    <w14:schemeClr w14:val="tx1"/>
                  </w14:solidFill>
                </w14:textFill>
              </w:rPr>
              <w:t xml:space="preserve">施工总承包  </w:t>
            </w:r>
            <w:r>
              <w:rPr>
                <w:rFonts w:hint="eastAsia"/>
                <w:b w:val="0"/>
                <w:color w:val="000000" w:themeColor="text1"/>
                <w:sz w:val="24"/>
                <w:highlight w:val="none"/>
                <w:lang w:eastAsia="zh-CN"/>
                <w14:textFill>
                  <w14:solidFill>
                    <w14:schemeClr w14:val="tx1"/>
                  </w14:solidFill>
                </w14:textFill>
              </w:rPr>
              <w:t>☑</w:t>
            </w:r>
            <w:r>
              <w:rPr>
                <w:rFonts w:hint="eastAsia"/>
                <w:b w:val="0"/>
                <w:color w:val="000000" w:themeColor="text1"/>
                <w:sz w:val="24"/>
                <w:highlight w:val="none"/>
                <w14:textFill>
                  <w14:solidFill>
                    <w14:schemeClr w14:val="tx1"/>
                  </w14:solidFill>
                </w14:textFill>
              </w:rPr>
              <w:t>专业承包</w:t>
            </w:r>
          </w:p>
        </w:tc>
      </w:tr>
      <w:tr w14:paraId="304E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615E65F7">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2</w:t>
            </w:r>
          </w:p>
        </w:tc>
        <w:tc>
          <w:tcPr>
            <w:tcW w:w="1772" w:type="dxa"/>
            <w:vAlign w:val="center"/>
          </w:tcPr>
          <w:p w14:paraId="7D7A9F33">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计价方式</w:t>
            </w:r>
          </w:p>
        </w:tc>
        <w:tc>
          <w:tcPr>
            <w:tcW w:w="6549" w:type="dxa"/>
            <w:vAlign w:val="center"/>
          </w:tcPr>
          <w:p w14:paraId="643A6C00">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w:t>
            </w:r>
          </w:p>
        </w:tc>
      </w:tr>
      <w:tr w14:paraId="3994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3F77A177">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3</w:t>
            </w:r>
          </w:p>
        </w:tc>
        <w:tc>
          <w:tcPr>
            <w:tcW w:w="1772" w:type="dxa"/>
            <w:vAlign w:val="center"/>
          </w:tcPr>
          <w:p w14:paraId="6B7A35CF">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计划</w:t>
            </w:r>
            <w:r>
              <w:rPr>
                <w:b w:val="0"/>
                <w:color w:val="000000" w:themeColor="text1"/>
                <w:sz w:val="24"/>
                <w:highlight w:val="none"/>
                <w14:textFill>
                  <w14:solidFill>
                    <w14:schemeClr w14:val="tx1"/>
                  </w14:solidFill>
                </w14:textFill>
              </w:rPr>
              <w:t>工期</w:t>
            </w:r>
          </w:p>
        </w:tc>
        <w:tc>
          <w:tcPr>
            <w:tcW w:w="6549" w:type="dxa"/>
            <w:vAlign w:val="center"/>
          </w:tcPr>
          <w:p w14:paraId="4A6F2F66">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计划</w:t>
            </w:r>
            <w:r>
              <w:rPr>
                <w:b w:val="0"/>
                <w:color w:val="000000" w:themeColor="text1"/>
                <w:sz w:val="24"/>
                <w:highlight w:val="none"/>
                <w14:textFill>
                  <w14:solidFill>
                    <w14:schemeClr w14:val="tx1"/>
                  </w14:solidFill>
                </w14:textFill>
              </w:rPr>
              <w:t>工期：</w:t>
            </w:r>
            <w:r>
              <w:rPr>
                <w:rFonts w:hint="eastAsia"/>
                <w:b w:val="0"/>
                <w:color w:val="000000" w:themeColor="text1"/>
                <w:sz w:val="24"/>
                <w:highlight w:val="none"/>
                <w:u w:val="single"/>
                <w14:textFill>
                  <w14:solidFill>
                    <w14:schemeClr w14:val="tx1"/>
                  </w14:solidFill>
                </w14:textFill>
              </w:rPr>
              <w:t>详见磋商公告</w:t>
            </w:r>
          </w:p>
          <w:p w14:paraId="267A36CB">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b w:val="0"/>
                <w:color w:val="000000" w:themeColor="text1"/>
                <w:sz w:val="24"/>
                <w:highlight w:val="none"/>
                <w14:textFill>
                  <w14:solidFill>
                    <w14:schemeClr w14:val="tx1"/>
                  </w14:solidFill>
                </w14:textFill>
              </w:rPr>
              <w:t>计划开工日期：</w:t>
            </w:r>
            <w:r>
              <w:rPr>
                <w:rFonts w:hint="eastAsia"/>
                <w:b w:val="0"/>
                <w:color w:val="000000" w:themeColor="text1"/>
                <w:sz w:val="24"/>
                <w:highlight w:val="none"/>
                <w:u w:val="single"/>
                <w14:textFill>
                  <w14:solidFill>
                    <w14:schemeClr w14:val="tx1"/>
                  </w14:solidFill>
                </w14:textFill>
              </w:rPr>
              <w:t>/</w:t>
            </w:r>
            <w:r>
              <w:rPr>
                <w:rFonts w:hint="eastAsia"/>
                <w:b w:val="0"/>
                <w:color w:val="000000" w:themeColor="text1"/>
                <w:sz w:val="24"/>
                <w:highlight w:val="none"/>
                <w14:textFill>
                  <w14:solidFill>
                    <w14:schemeClr w14:val="tx1"/>
                  </w14:solidFill>
                </w14:textFill>
              </w:rPr>
              <w:t>，</w:t>
            </w:r>
            <w:bookmarkStart w:id="38" w:name="EB2a2e1a22d449405a860670c095486ab8"/>
            <w:r>
              <w:rPr>
                <w:rFonts w:hint="eastAsia"/>
                <w:b w:val="0"/>
                <w:color w:val="000000" w:themeColor="text1"/>
                <w:sz w:val="24"/>
                <w:highlight w:val="none"/>
                <w14:textFill>
                  <w14:solidFill>
                    <w14:schemeClr w14:val="tx1"/>
                  </w14:solidFill>
                </w14:textFill>
              </w:rPr>
              <w:t>具体开工时间以开工令为准。</w:t>
            </w:r>
            <w:bookmarkEnd w:id="38"/>
          </w:p>
        </w:tc>
      </w:tr>
      <w:tr w14:paraId="6785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1FBAE55D">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4</w:t>
            </w:r>
          </w:p>
        </w:tc>
        <w:tc>
          <w:tcPr>
            <w:tcW w:w="1772" w:type="dxa"/>
            <w:vAlign w:val="center"/>
          </w:tcPr>
          <w:p w14:paraId="5FFDF381">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质量标准要求</w:t>
            </w:r>
          </w:p>
        </w:tc>
        <w:tc>
          <w:tcPr>
            <w:tcW w:w="6549" w:type="dxa"/>
            <w:vAlign w:val="center"/>
          </w:tcPr>
          <w:p w14:paraId="2C738A16">
            <w:pPr>
              <w:pStyle w:val="94"/>
              <w:tabs>
                <w:tab w:val="left" w:pos="1152"/>
              </w:tabs>
              <w:spacing w:before="0" w:beforeAutospacing="0" w:after="0" w:afterAutospacing="0" w:line="360" w:lineRule="auto"/>
              <w:rPr>
                <w:b/>
                <w:color w:val="000000" w:themeColor="text1"/>
                <w:highlight w:val="none"/>
                <w14:textFill>
                  <w14:solidFill>
                    <w14:schemeClr w14:val="tx1"/>
                  </w14:solidFill>
                </w14:textFill>
              </w:rPr>
            </w:pPr>
            <w:r>
              <w:rPr>
                <w:rFonts w:hint="eastAsia" w:cs="@仿宋_GB2312"/>
                <w:bCs/>
                <w:color w:val="000000" w:themeColor="text1"/>
                <w:szCs w:val="28"/>
                <w:highlight w:val="none"/>
                <w14:textFill>
                  <w14:solidFill>
                    <w14:schemeClr w14:val="tx1"/>
                  </w14:solidFill>
                </w14:textFill>
              </w:rPr>
              <w:t>质量标准：合格</w:t>
            </w:r>
          </w:p>
        </w:tc>
      </w:tr>
      <w:tr w14:paraId="6FAF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7A7E5D76">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5</w:t>
            </w:r>
          </w:p>
        </w:tc>
        <w:tc>
          <w:tcPr>
            <w:tcW w:w="1772" w:type="dxa"/>
            <w:vAlign w:val="center"/>
          </w:tcPr>
          <w:p w14:paraId="5CD45F44">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安全文明要求</w:t>
            </w:r>
          </w:p>
        </w:tc>
        <w:tc>
          <w:tcPr>
            <w:tcW w:w="6549" w:type="dxa"/>
            <w:vAlign w:val="center"/>
          </w:tcPr>
          <w:p w14:paraId="5A57A704">
            <w:pPr>
              <w:pStyle w:val="67"/>
              <w:widowControl w:val="0"/>
              <w:spacing w:before="0" w:beforeAutospacing="0" w:after="0" w:afterAutospacing="0" w:line="360" w:lineRule="auto"/>
              <w:jc w:val="both"/>
              <w:rPr>
                <w:b w:val="0"/>
                <w:bCs w:val="0"/>
                <w:color w:val="000000" w:themeColor="text1"/>
                <w:sz w:val="24"/>
                <w:highlight w:val="none"/>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必须确保安全文明施工，符合国家和项目所在地现行相关规定</w:t>
            </w:r>
          </w:p>
        </w:tc>
      </w:tr>
      <w:tr w14:paraId="4CA2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F4BF0D6">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6</w:t>
            </w:r>
          </w:p>
        </w:tc>
        <w:tc>
          <w:tcPr>
            <w:tcW w:w="1772" w:type="dxa"/>
            <w:vAlign w:val="center"/>
          </w:tcPr>
          <w:p w14:paraId="0F631C55">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总包及分包规定</w:t>
            </w:r>
          </w:p>
        </w:tc>
        <w:tc>
          <w:tcPr>
            <w:tcW w:w="6549" w:type="dxa"/>
            <w:vAlign w:val="center"/>
          </w:tcPr>
          <w:p w14:paraId="6842B381">
            <w:pPr>
              <w:spacing w:line="360" w:lineRule="auto"/>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供应商不得在成交后将工程转包给其它施工单位。</w:t>
            </w:r>
          </w:p>
          <w:p w14:paraId="61ED58C4">
            <w:pPr>
              <w:spacing w:line="360" w:lineRule="auto"/>
              <w:jc w:val="left"/>
              <w:rPr>
                <w:rFonts w:cs="Times New Roman"/>
                <w:color w:val="000000" w:themeColor="text1"/>
                <w:kern w:val="2"/>
                <w:sz w:val="24"/>
                <w:szCs w:val="22"/>
                <w:highlight w:val="none"/>
                <w14:textFill>
                  <w14:solidFill>
                    <w14:schemeClr w14:val="tx1"/>
                  </w14:solidFill>
                </w14:textFill>
              </w:rPr>
            </w:pPr>
            <w:r>
              <w:rPr>
                <w:rFonts w:hint="eastAsia" w:cs="Times New Roman"/>
                <w:color w:val="000000" w:themeColor="text1"/>
                <w:kern w:val="2"/>
                <w:sz w:val="24"/>
                <w:szCs w:val="22"/>
                <w:highlight w:val="none"/>
                <w14:textFill>
                  <w14:solidFill>
                    <w14:schemeClr w14:val="tx1"/>
                  </w14:solidFill>
                </w14:textFill>
              </w:rPr>
              <w:t>分包情况</w:t>
            </w:r>
          </w:p>
          <w:p w14:paraId="69734F89">
            <w:pPr>
              <w:spacing w:line="360" w:lineRule="auto"/>
              <w:jc w:val="left"/>
              <w:rPr>
                <w:rFonts w:cs="Times New Roman"/>
                <w:color w:val="000000" w:themeColor="text1"/>
                <w:kern w:val="2"/>
                <w:sz w:val="24"/>
                <w:szCs w:val="22"/>
                <w:highlight w:val="none"/>
                <w14:textFill>
                  <w14:solidFill>
                    <w14:schemeClr w14:val="tx1"/>
                  </w14:solidFill>
                </w14:textFill>
              </w:rPr>
            </w:pPr>
            <w:r>
              <w:rPr>
                <w:rFonts w:hint="eastAsia" w:cs="Times New Roman"/>
                <w:color w:val="000000" w:themeColor="text1"/>
                <w:kern w:val="2"/>
                <w:sz w:val="24"/>
                <w:szCs w:val="22"/>
                <w:highlight w:val="none"/>
                <w14:textFill>
                  <w14:solidFill>
                    <w14:schemeClr w14:val="tx1"/>
                  </w14:solidFill>
                </w14:textFill>
              </w:rPr>
              <w:t>□允许专业分包，</w:t>
            </w:r>
            <w:r>
              <w:rPr>
                <w:rFonts w:hint="eastAsia" w:ascii="Calibri" w:hAnsi="Calibri" w:cs="Times New Roman"/>
                <w:color w:val="000000" w:themeColor="text1"/>
                <w:kern w:val="2"/>
                <w:sz w:val="24"/>
                <w:szCs w:val="22"/>
                <w:highlight w:val="none"/>
                <w14:textFill>
                  <w14:solidFill>
                    <w14:schemeClr w14:val="tx1"/>
                  </w14:solidFill>
                </w14:textFill>
              </w:rPr>
              <w:t>分包项目、内容及分包商须经采购人及监理单位同意和认可</w:t>
            </w:r>
          </w:p>
          <w:p w14:paraId="07BF3009">
            <w:pPr>
              <w:pStyle w:val="67"/>
              <w:widowControl w:val="0"/>
              <w:spacing w:before="0" w:beforeAutospacing="0" w:after="0" w:afterAutospacing="0" w:line="360" w:lineRule="auto"/>
              <w:jc w:val="both"/>
              <w:rPr>
                <w:b w:val="0"/>
                <w:bCs w:val="0"/>
                <w:color w:val="000000" w:themeColor="text1"/>
                <w:sz w:val="24"/>
                <w:highlight w:val="none"/>
                <w14:textFill>
                  <w14:solidFill>
                    <w14:schemeClr w14:val="tx1"/>
                  </w14:solidFill>
                </w14:textFill>
              </w:rPr>
            </w:pPr>
            <w:r>
              <w:rPr>
                <w:rFonts w:hint="eastAsia" w:cs="Times New Roman"/>
                <w:b w:val="0"/>
                <w:bCs w:val="0"/>
                <w:color w:val="000000" w:themeColor="text1"/>
                <w:kern w:val="2"/>
                <w:sz w:val="24"/>
                <w:szCs w:val="22"/>
                <w:highlight w:val="none"/>
                <w14:textFill>
                  <w14:solidFill>
                    <w14:schemeClr w14:val="tx1"/>
                  </w14:solidFill>
                </w14:textFill>
              </w:rPr>
              <w:t>☑不允许</w:t>
            </w:r>
          </w:p>
        </w:tc>
      </w:tr>
      <w:tr w14:paraId="7CA0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12224B58">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7</w:t>
            </w:r>
          </w:p>
        </w:tc>
        <w:tc>
          <w:tcPr>
            <w:tcW w:w="1772" w:type="dxa"/>
            <w:vAlign w:val="center"/>
          </w:tcPr>
          <w:p w14:paraId="48B12CDC">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现场条件</w:t>
            </w:r>
          </w:p>
        </w:tc>
        <w:tc>
          <w:tcPr>
            <w:tcW w:w="6549" w:type="dxa"/>
            <w:vAlign w:val="center"/>
          </w:tcPr>
          <w:p w14:paraId="5012CF1C">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具备开工条件</w:t>
            </w:r>
          </w:p>
        </w:tc>
      </w:tr>
      <w:tr w14:paraId="2B1D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AF18403">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8</w:t>
            </w:r>
          </w:p>
        </w:tc>
        <w:tc>
          <w:tcPr>
            <w:tcW w:w="1772" w:type="dxa"/>
            <w:vAlign w:val="center"/>
          </w:tcPr>
          <w:p w14:paraId="0E623C23">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采购人提供的资料</w:t>
            </w:r>
          </w:p>
        </w:tc>
        <w:tc>
          <w:tcPr>
            <w:tcW w:w="6549" w:type="dxa"/>
            <w:vAlign w:val="center"/>
          </w:tcPr>
          <w:p w14:paraId="69A9C468">
            <w:pPr>
              <w:adjustRightInd w:val="0"/>
              <w:snapToGrid w:val="0"/>
              <w:spacing w:line="360" w:lineRule="auto"/>
              <w:jc w:val="left"/>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☑磋商文件</w:t>
            </w:r>
          </w:p>
          <w:p w14:paraId="30E0C4BD">
            <w:pPr>
              <w:adjustRightInd w:val="0"/>
              <w:snapToGrid w:val="0"/>
              <w:spacing w:line="360" w:lineRule="auto"/>
              <w:jc w:val="left"/>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□工程量清单</w:t>
            </w:r>
          </w:p>
          <w:p w14:paraId="39E86346">
            <w:pPr>
              <w:adjustRightInd w:val="0"/>
              <w:snapToGrid w:val="0"/>
              <w:spacing w:line="360" w:lineRule="auto"/>
              <w:jc w:val="left"/>
              <w:rPr>
                <w:rFonts w:hint="eastAsia" w:eastAsia="宋体"/>
                <w:bCs/>
                <w:color w:val="000000" w:themeColor="text1"/>
                <w:sz w:val="24"/>
                <w:szCs w:val="28"/>
                <w:highlight w:val="none"/>
                <w:lang w:eastAsia="zh-CN"/>
                <w14:textFill>
                  <w14:solidFill>
                    <w14:schemeClr w14:val="tx1"/>
                  </w14:solidFill>
                </w14:textFill>
              </w:rPr>
            </w:pPr>
            <w:r>
              <w:rPr>
                <w:rFonts w:hint="eastAsia"/>
                <w:bCs/>
                <w:color w:val="000000" w:themeColor="text1"/>
                <w:sz w:val="24"/>
                <w:szCs w:val="28"/>
                <w:highlight w:val="none"/>
                <w14:textFill>
                  <w14:solidFill>
                    <w14:schemeClr w14:val="tx1"/>
                  </w14:solidFill>
                </w14:textFill>
              </w:rPr>
              <w:t>☑</w:t>
            </w:r>
            <w:r>
              <w:rPr>
                <w:rFonts w:hint="eastAsia"/>
                <w:bCs/>
                <w:color w:val="000000" w:themeColor="text1"/>
                <w:sz w:val="24"/>
                <w:szCs w:val="28"/>
                <w:highlight w:val="none"/>
                <w:lang w:eastAsia="zh-CN"/>
                <w14:textFill>
                  <w14:solidFill>
                    <w14:schemeClr w14:val="tx1"/>
                  </w14:solidFill>
                </w14:textFill>
              </w:rPr>
              <w:t>最高限价</w:t>
            </w:r>
          </w:p>
          <w:p w14:paraId="23353B64">
            <w:pPr>
              <w:adjustRightInd w:val="0"/>
              <w:snapToGrid w:val="0"/>
              <w:spacing w:line="360" w:lineRule="auto"/>
              <w:jc w:val="left"/>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lang w:eastAsia="zh-CN"/>
                <w14:textFill>
                  <w14:solidFill>
                    <w14:schemeClr w14:val="tx1"/>
                  </w14:solidFill>
                </w14:textFill>
              </w:rPr>
              <w:t>□</w:t>
            </w:r>
            <w:r>
              <w:rPr>
                <w:rFonts w:hint="eastAsia"/>
                <w:bCs/>
                <w:color w:val="000000" w:themeColor="text1"/>
                <w:sz w:val="24"/>
                <w:szCs w:val="28"/>
                <w:highlight w:val="none"/>
                <w14:textFill>
                  <w14:solidFill>
                    <w14:schemeClr w14:val="tx1"/>
                  </w14:solidFill>
                </w14:textFill>
              </w:rPr>
              <w:t>电子版图纸</w:t>
            </w:r>
          </w:p>
          <w:p w14:paraId="4C341F54">
            <w:pPr>
              <w:adjustRightInd w:val="0"/>
              <w:snapToGrid w:val="0"/>
              <w:spacing w:line="360" w:lineRule="auto"/>
              <w:jc w:val="left"/>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获得方式：</w:t>
            </w:r>
          </w:p>
          <w:p w14:paraId="06A2B59B">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上述资料请供应商在获取磋商文件后，自行登录电子交易系统下载本项目附件。</w:t>
            </w:r>
          </w:p>
        </w:tc>
      </w:tr>
      <w:tr w14:paraId="1C3B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E22F70B">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30</w:t>
            </w:r>
            <w:r>
              <w:rPr>
                <w:bCs/>
                <w:color w:val="000000" w:themeColor="text1"/>
                <w:kern w:val="2"/>
                <w:highlight w:val="none"/>
                <w14:textFill>
                  <w14:solidFill>
                    <w14:schemeClr w14:val="tx1"/>
                  </w14:solidFill>
                </w14:textFill>
              </w:rPr>
              <w:t>.</w:t>
            </w:r>
            <w:r>
              <w:rPr>
                <w:rFonts w:hint="eastAsia"/>
                <w:bCs/>
                <w:color w:val="000000" w:themeColor="text1"/>
                <w:kern w:val="2"/>
                <w:highlight w:val="none"/>
                <w14:textFill>
                  <w14:solidFill>
                    <w14:schemeClr w14:val="tx1"/>
                  </w14:solidFill>
                </w14:textFill>
              </w:rPr>
              <w:t>9</w:t>
            </w:r>
          </w:p>
        </w:tc>
        <w:tc>
          <w:tcPr>
            <w:tcW w:w="1772" w:type="dxa"/>
            <w:vAlign w:val="center"/>
          </w:tcPr>
          <w:p w14:paraId="0E6C3A77">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bCs w:val="0"/>
                <w:color w:val="000000" w:themeColor="text1"/>
                <w:sz w:val="24"/>
                <w:highlight w:val="none"/>
                <w14:textFill>
                  <w14:solidFill>
                    <w14:schemeClr w14:val="tx1"/>
                  </w14:solidFill>
                </w14:textFill>
              </w:rPr>
              <w:t>工程量清单和</w:t>
            </w:r>
            <w:r>
              <w:rPr>
                <w:rFonts w:hint="eastAsia"/>
                <w:b w:val="0"/>
                <w:bCs w:val="0"/>
                <w:color w:val="000000" w:themeColor="text1"/>
                <w:sz w:val="24"/>
                <w:highlight w:val="none"/>
                <w:lang w:eastAsia="zh-CN"/>
                <w14:textFill>
                  <w14:solidFill>
                    <w14:schemeClr w14:val="tx1"/>
                  </w14:solidFill>
                </w14:textFill>
              </w:rPr>
              <w:t>最高限价</w:t>
            </w:r>
            <w:r>
              <w:rPr>
                <w:rFonts w:hint="eastAsia"/>
                <w:b w:val="0"/>
                <w:bCs w:val="0"/>
                <w:color w:val="000000" w:themeColor="text1"/>
                <w:sz w:val="24"/>
                <w:highlight w:val="none"/>
                <w14:textFill>
                  <w14:solidFill>
                    <w14:schemeClr w14:val="tx1"/>
                  </w14:solidFill>
                </w14:textFill>
              </w:rPr>
              <w:t>编制费</w:t>
            </w:r>
          </w:p>
        </w:tc>
        <w:tc>
          <w:tcPr>
            <w:tcW w:w="6549" w:type="dxa"/>
            <w:vAlign w:val="center"/>
          </w:tcPr>
          <w:p w14:paraId="690B960F">
            <w:pPr>
              <w:spacing w:line="360" w:lineRule="auto"/>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（1）</w:t>
            </w:r>
            <w:r>
              <w:rPr>
                <w:bCs/>
                <w:color w:val="000000" w:themeColor="text1"/>
                <w:sz w:val="24"/>
                <w:szCs w:val="24"/>
                <w:highlight w:val="none"/>
                <w14:textFill>
                  <w14:solidFill>
                    <w14:schemeClr w14:val="tx1"/>
                  </w14:solidFill>
                </w14:textFill>
              </w:rPr>
              <w:t>收费对象</w:t>
            </w:r>
            <w:r>
              <w:rPr>
                <w:rFonts w:hint="eastAsia"/>
                <w:bCs/>
                <w:color w:val="000000" w:themeColor="text1"/>
                <w:sz w:val="24"/>
                <w:szCs w:val="24"/>
                <w:highlight w:val="none"/>
                <w14:textFill>
                  <w14:solidFill>
                    <w14:schemeClr w14:val="tx1"/>
                  </w14:solidFill>
                </w14:textFill>
              </w:rPr>
              <w:t>：成交供应商</w:t>
            </w:r>
          </w:p>
          <w:p w14:paraId="7C88AB71">
            <w:pPr>
              <w:spacing w:line="360" w:lineRule="auto"/>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（2）</w:t>
            </w:r>
            <w:r>
              <w:rPr>
                <w:bCs/>
                <w:color w:val="000000" w:themeColor="text1"/>
                <w:sz w:val="24"/>
                <w:szCs w:val="24"/>
                <w:highlight w:val="none"/>
                <w14:textFill>
                  <w14:solidFill>
                    <w14:schemeClr w14:val="tx1"/>
                  </w14:solidFill>
                </w14:textFill>
              </w:rPr>
              <w:t>收取方式</w:t>
            </w:r>
            <w:r>
              <w:rPr>
                <w:rFonts w:hint="eastAsia"/>
                <w:bCs/>
                <w:color w:val="000000" w:themeColor="text1"/>
                <w:sz w:val="24"/>
                <w:szCs w:val="24"/>
                <w:highlight w:val="none"/>
                <w14:textFill>
                  <w14:solidFill>
                    <w14:schemeClr w14:val="tx1"/>
                  </w14:solidFill>
                </w14:textFill>
              </w:rPr>
              <w:t>：转账/电汇</w:t>
            </w:r>
          </w:p>
          <w:p w14:paraId="222600C5">
            <w:pPr>
              <w:spacing w:line="360" w:lineRule="auto"/>
              <w:rPr>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（3）</w:t>
            </w:r>
            <w:r>
              <w:rPr>
                <w:bCs/>
                <w:color w:val="000000" w:themeColor="text1"/>
                <w:sz w:val="24"/>
                <w:szCs w:val="24"/>
                <w:highlight w:val="none"/>
                <w14:textFill>
                  <w14:solidFill>
                    <w14:schemeClr w14:val="tx1"/>
                  </w14:solidFill>
                </w14:textFill>
              </w:rPr>
              <w:t>收费标准：</w:t>
            </w:r>
            <w:r>
              <w:rPr>
                <w:rFonts w:hint="eastAsia"/>
                <w:bCs/>
                <w:color w:val="000000" w:themeColor="text1"/>
                <w:sz w:val="24"/>
                <w:szCs w:val="24"/>
                <w:highlight w:val="none"/>
                <w14:textFill>
                  <w14:solidFill>
                    <w14:schemeClr w14:val="tx1"/>
                  </w14:solidFill>
                </w14:textFill>
              </w:rPr>
              <w:t>项目造价费分包支付，</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包</w:t>
            </w:r>
            <w:r>
              <w:rPr>
                <w:rFonts w:hint="eastAsia"/>
                <w:color w:val="000000" w:themeColor="text1"/>
                <w:sz w:val="24"/>
                <w:highlight w:val="none"/>
                <w:lang w:val="en-US" w:eastAsia="zh-CN"/>
                <w14:textFill>
                  <w14:solidFill>
                    <w14:schemeClr w14:val="tx1"/>
                  </w14:solidFill>
                </w14:textFill>
              </w:rPr>
              <w:t>造价费</w:t>
            </w:r>
            <w:r>
              <w:rPr>
                <w:rFonts w:hint="eastAsia"/>
                <w:color w:val="000000" w:themeColor="text1"/>
                <w:sz w:val="24"/>
                <w:highlight w:val="none"/>
                <w14:textFill>
                  <w14:solidFill>
                    <w14:schemeClr w14:val="tx1"/>
                  </w14:solidFill>
                </w14:textFill>
              </w:rPr>
              <w:t>为人民币</w:t>
            </w:r>
            <w:r>
              <w:rPr>
                <w:rFonts w:hint="eastAsia"/>
                <w:color w:val="000000" w:themeColor="text1"/>
                <w:sz w:val="24"/>
                <w:highlight w:val="none"/>
                <w:lang w:val="en-US" w:eastAsia="zh-CN"/>
                <w14:textFill>
                  <w14:solidFill>
                    <w14:schemeClr w14:val="tx1"/>
                  </w14:solidFill>
                </w14:textFill>
              </w:rPr>
              <w:t>肆仟贰佰</w:t>
            </w:r>
            <w:r>
              <w:rPr>
                <w:rFonts w:hint="eastAsia"/>
                <w:color w:val="000000" w:themeColor="text1"/>
                <w:sz w:val="24"/>
                <w:highlight w:val="none"/>
                <w14:textFill>
                  <w14:solidFill>
                    <w14:schemeClr w14:val="tx1"/>
                  </w14:solidFill>
                </w14:textFill>
              </w:rPr>
              <w:t>元整。</w:t>
            </w:r>
            <w:r>
              <w:rPr>
                <w:rFonts w:hint="eastAsia"/>
                <w:color w:val="000000" w:themeColor="text1"/>
                <w:sz w:val="24"/>
                <w:szCs w:val="28"/>
                <w:highlight w:val="none"/>
                <w14:textFill>
                  <w14:solidFill>
                    <w14:schemeClr w14:val="tx1"/>
                  </w14:solidFill>
                </w14:textFill>
              </w:rPr>
              <w:t>由成交供应商支付</w:t>
            </w:r>
            <w:r>
              <w:rPr>
                <w:rFonts w:hint="eastAsia"/>
                <w:bCs/>
                <w:color w:val="000000" w:themeColor="text1"/>
                <w:sz w:val="24"/>
                <w:szCs w:val="24"/>
                <w:highlight w:val="none"/>
                <w14:textFill>
                  <w14:solidFill>
                    <w14:schemeClr w14:val="tx1"/>
                  </w14:solidFill>
                </w14:textFill>
              </w:rPr>
              <w:t>。</w:t>
            </w:r>
          </w:p>
          <w:p w14:paraId="22AB0DA3">
            <w:pPr>
              <w:numPr>
                <w:ilvl w:val="0"/>
                <w:numId w:val="0"/>
              </w:numPr>
              <w:spacing w:line="360" w:lineRule="auto"/>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（4）支付时间：</w:t>
            </w:r>
            <w:r>
              <w:rPr>
                <w:rFonts w:hint="eastAsia" w:ascii="宋体" w:hAnsi="宋体" w:eastAsia="宋体" w:cs="宋体"/>
                <w:b w:val="0"/>
                <w:color w:val="auto"/>
                <w:sz w:val="24"/>
                <w:highlight w:val="none"/>
              </w:rPr>
              <w:t>成交供应商在中标（成交）通知书发出后5日内一次性支付</w:t>
            </w: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w:t>
            </w:r>
          </w:p>
          <w:p w14:paraId="41B56E10">
            <w:pPr>
              <w:numPr>
                <w:ilvl w:val="0"/>
                <w:numId w:val="0"/>
              </w:numPr>
              <w:spacing w:line="360" w:lineRule="auto"/>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（5）收取单位：安徽安兆工程技术咨询服务有限公司纳税人识别号：913403007647962135</w:t>
            </w:r>
          </w:p>
          <w:p w14:paraId="30554A57">
            <w:pPr>
              <w:numPr>
                <w:ilvl w:val="0"/>
                <w:numId w:val="2"/>
              </w:numPr>
              <w:spacing w:line="360" w:lineRule="auto"/>
              <w:rPr>
                <w:b w:val="0"/>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kern w:val="0"/>
                <w:sz w:val="24"/>
                <w:szCs w:val="24"/>
                <w:highlight w:val="none"/>
                <w:lang w:val="en-US" w:eastAsia="zh-CN"/>
                <w14:textFill>
                  <w14:solidFill>
                    <w14:schemeClr w14:val="tx1"/>
                  </w14:solidFill>
                </w14:textFill>
              </w:rPr>
              <w:t>缴费账号：合肥徽商银行成都路支行520819931701000002</w:t>
            </w:r>
          </w:p>
        </w:tc>
      </w:tr>
      <w:tr w14:paraId="00F0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43F5044">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bCs/>
                <w:color w:val="000000" w:themeColor="text1"/>
                <w:kern w:val="2"/>
                <w:highlight w:val="none"/>
                <w14:textFill>
                  <w14:solidFill>
                    <w14:schemeClr w14:val="tx1"/>
                  </w14:solidFill>
                </w14:textFill>
              </w:rPr>
              <w:t>3</w:t>
            </w:r>
            <w:r>
              <w:rPr>
                <w:rFonts w:hint="eastAsia"/>
                <w:bCs/>
                <w:color w:val="000000" w:themeColor="text1"/>
                <w:kern w:val="2"/>
                <w:highlight w:val="none"/>
                <w14:textFill>
                  <w14:solidFill>
                    <w14:schemeClr w14:val="tx1"/>
                  </w14:solidFill>
                </w14:textFill>
              </w:rPr>
              <w:t>0</w:t>
            </w:r>
            <w:r>
              <w:rPr>
                <w:bCs/>
                <w:color w:val="000000" w:themeColor="text1"/>
                <w:kern w:val="2"/>
                <w:highlight w:val="none"/>
                <w14:textFill>
                  <w14:solidFill>
                    <w14:schemeClr w14:val="tx1"/>
                  </w14:solidFill>
                </w14:textFill>
              </w:rPr>
              <w:t>.1</w:t>
            </w:r>
            <w:r>
              <w:rPr>
                <w:rFonts w:hint="eastAsia"/>
                <w:bCs/>
                <w:color w:val="000000" w:themeColor="text1"/>
                <w:kern w:val="2"/>
                <w:highlight w:val="none"/>
                <w14:textFill>
                  <w14:solidFill>
                    <w14:schemeClr w14:val="tx1"/>
                  </w14:solidFill>
                </w14:textFill>
              </w:rPr>
              <w:t>0</w:t>
            </w:r>
          </w:p>
        </w:tc>
        <w:tc>
          <w:tcPr>
            <w:tcW w:w="1772" w:type="dxa"/>
            <w:vAlign w:val="center"/>
          </w:tcPr>
          <w:p w14:paraId="2BF6FA8D">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其他补充说明</w:t>
            </w:r>
          </w:p>
        </w:tc>
        <w:tc>
          <w:tcPr>
            <w:tcW w:w="6549" w:type="dxa"/>
            <w:vAlign w:val="center"/>
          </w:tcPr>
          <w:p w14:paraId="3CF6AF64">
            <w:pPr>
              <w:spacing w:line="360" w:lineRule="auto"/>
              <w:rPr>
                <w:rFonts w:asciiTheme="minorEastAsia" w:hAnsiTheme="minorEastAsia" w:eastAsia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bCs/>
                <w:color w:val="000000" w:themeColor="text1"/>
                <w:sz w:val="24"/>
                <w:szCs w:val="24"/>
                <w:highlight w:val="none"/>
                <w14:textFill>
                  <w14:solidFill>
                    <w14:schemeClr w14:val="tx1"/>
                  </w14:solidFill>
                </w14:textFill>
              </w:rPr>
              <w:t>1、解释权：</w:t>
            </w:r>
          </w:p>
          <w:p w14:paraId="5EB363B2">
            <w:pPr>
              <w:spacing w:line="360" w:lineRule="auto"/>
              <w:rPr>
                <w:rFonts w:asciiTheme="minorEastAsia" w:hAnsiTheme="minorEastAsia" w:eastAsia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bCs/>
                <w:color w:val="000000" w:themeColor="text1"/>
                <w:sz w:val="24"/>
                <w:szCs w:val="24"/>
                <w:highlight w:val="none"/>
                <w14:textFill>
                  <w14:solidFill>
                    <w14:schemeClr w14:val="tx1"/>
                  </w14:solidFill>
                </w14:textFill>
              </w:rPr>
              <w:t>（1）</w:t>
            </w:r>
            <w:r>
              <w:rPr>
                <w:rFonts w:asciiTheme="minorEastAsia" w:hAnsiTheme="minorEastAsia" w:eastAsiaTheme="minorEastAsia"/>
                <w:bCs/>
                <w:color w:val="000000" w:themeColor="text1"/>
                <w:sz w:val="24"/>
                <w:szCs w:val="24"/>
                <w:highlight w:val="none"/>
                <w14:textFill>
                  <w14:solidFill>
                    <w14:schemeClr w14:val="tx1"/>
                  </w14:solidFill>
                </w14:textFill>
              </w:rPr>
              <w:t>构成本</w:t>
            </w:r>
            <w:r>
              <w:rPr>
                <w:rFonts w:hint="eastAsia" w:asciiTheme="minorEastAsia" w:hAnsiTheme="minorEastAsia" w:eastAsiaTheme="minorEastAsia"/>
                <w:bCs/>
                <w:color w:val="000000" w:themeColor="text1"/>
                <w:sz w:val="24"/>
                <w:szCs w:val="24"/>
                <w:highlight w:val="none"/>
                <w14:textFill>
                  <w14:solidFill>
                    <w14:schemeClr w14:val="tx1"/>
                  </w14:solidFill>
                </w14:textFill>
              </w:rPr>
              <w:t>磋商</w:t>
            </w:r>
            <w:r>
              <w:rPr>
                <w:rFonts w:asciiTheme="minorEastAsia" w:hAnsiTheme="minorEastAsia" w:eastAsiaTheme="minorEastAsia"/>
                <w:bCs/>
                <w:color w:val="000000" w:themeColor="text1"/>
                <w:sz w:val="24"/>
                <w:szCs w:val="24"/>
                <w:highlight w:val="none"/>
                <w14:textFill>
                  <w14:solidFill>
                    <w14:schemeClr w14:val="tx1"/>
                  </w14:solidFill>
                </w14:textFill>
              </w:rPr>
              <w:t>文件的各个组成文件应互为解释，互为说明；</w:t>
            </w:r>
          </w:p>
          <w:p w14:paraId="230491BC">
            <w:pPr>
              <w:spacing w:line="360" w:lineRule="auto"/>
              <w:rPr>
                <w:rFonts w:asciiTheme="minorEastAsia" w:hAnsiTheme="minorEastAsia" w:eastAsia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bCs/>
                <w:color w:val="000000" w:themeColor="text1"/>
                <w:sz w:val="24"/>
                <w:szCs w:val="24"/>
                <w:highlight w:val="none"/>
                <w14:textFill>
                  <w14:solidFill>
                    <w14:schemeClr w14:val="tx1"/>
                  </w14:solidFill>
                </w14:textFill>
              </w:rPr>
              <w:t>（2）</w:t>
            </w:r>
            <w:r>
              <w:rPr>
                <w:rFonts w:asciiTheme="minorEastAsia" w:hAnsiTheme="minorEastAsia" w:eastAsiaTheme="minorEastAsia"/>
                <w:bCs/>
                <w:color w:val="000000" w:themeColor="text1"/>
                <w:sz w:val="24"/>
                <w:szCs w:val="24"/>
                <w:highlight w:val="none"/>
                <w14:textFill>
                  <w14:solidFill>
                    <w14:schemeClr w14:val="tx1"/>
                  </w14:solidFill>
                </w14:textFill>
              </w:rPr>
              <w:t>同一组成文件中就同一事项的规定或约定不一致的，以编排顺序在后者为准；</w:t>
            </w:r>
          </w:p>
          <w:p w14:paraId="0157AC9F">
            <w:pPr>
              <w:spacing w:line="360" w:lineRule="auto"/>
              <w:rPr>
                <w:rFonts w:asciiTheme="minorEastAsia" w:hAnsiTheme="minorEastAsia" w:eastAsia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bCs/>
                <w:color w:val="000000" w:themeColor="text1"/>
                <w:sz w:val="24"/>
                <w:szCs w:val="24"/>
                <w:highlight w:val="none"/>
                <w14:textFill>
                  <w14:solidFill>
                    <w14:schemeClr w14:val="tx1"/>
                  </w14:solidFill>
                </w14:textFill>
              </w:rPr>
              <w:t>（3）</w:t>
            </w:r>
            <w:r>
              <w:rPr>
                <w:rFonts w:asciiTheme="minorEastAsia" w:hAnsiTheme="minorEastAsia" w:eastAsiaTheme="minorEastAsia"/>
                <w:bCs/>
                <w:color w:val="000000" w:themeColor="text1"/>
                <w:sz w:val="24"/>
                <w:szCs w:val="24"/>
                <w:highlight w:val="none"/>
                <w14:textFill>
                  <w14:solidFill>
                    <w14:schemeClr w14:val="tx1"/>
                  </w14:solidFill>
                </w14:textFill>
              </w:rPr>
              <w:t>如有不明确或不一致，构成合同文件组成内容的，以合同文件约定内容为准，且以专用合同条款约定的合同文件优先顺序解释；</w:t>
            </w:r>
          </w:p>
          <w:p w14:paraId="1B8602A4">
            <w:pPr>
              <w:spacing w:line="360" w:lineRule="auto"/>
              <w:rPr>
                <w:rFonts w:asciiTheme="minorEastAsia" w:hAnsiTheme="minorEastAsia" w:eastAsia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bCs/>
                <w:color w:val="000000" w:themeColor="text1"/>
                <w:sz w:val="24"/>
                <w:szCs w:val="24"/>
                <w:highlight w:val="none"/>
                <w14:textFill>
                  <w14:solidFill>
                    <w14:schemeClr w14:val="tx1"/>
                  </w14:solidFill>
                </w14:textFill>
              </w:rPr>
              <w:t>（4）</w:t>
            </w:r>
            <w:r>
              <w:rPr>
                <w:rFonts w:asciiTheme="minorEastAsia" w:hAnsiTheme="minorEastAsia" w:eastAsiaTheme="minorEastAsia"/>
                <w:bCs/>
                <w:color w:val="000000" w:themeColor="text1"/>
                <w:sz w:val="24"/>
                <w:szCs w:val="24"/>
                <w:highlight w:val="none"/>
                <w14:textFill>
                  <w14:solidFill>
                    <w14:schemeClr w14:val="tx1"/>
                  </w14:solidFill>
                </w14:textFill>
              </w:rPr>
              <w:t>除</w:t>
            </w:r>
            <w:r>
              <w:rPr>
                <w:rFonts w:hint="eastAsia" w:asciiTheme="minorEastAsia" w:hAnsiTheme="minorEastAsia" w:eastAsiaTheme="minorEastAsia"/>
                <w:bCs/>
                <w:color w:val="000000" w:themeColor="text1"/>
                <w:sz w:val="24"/>
                <w:szCs w:val="24"/>
                <w:highlight w:val="none"/>
                <w14:textFill>
                  <w14:solidFill>
                    <w14:schemeClr w14:val="tx1"/>
                  </w14:solidFill>
                </w14:textFill>
              </w:rPr>
              <w:t>磋商</w:t>
            </w:r>
            <w:r>
              <w:rPr>
                <w:rFonts w:asciiTheme="minorEastAsia" w:hAnsiTheme="minorEastAsia" w:eastAsiaTheme="minorEastAsia"/>
                <w:bCs/>
                <w:color w:val="000000" w:themeColor="text1"/>
                <w:sz w:val="24"/>
                <w:szCs w:val="24"/>
                <w:highlight w:val="none"/>
                <w14:textFill>
                  <w14:solidFill>
                    <w14:schemeClr w14:val="tx1"/>
                  </w14:solidFill>
                </w14:textFill>
              </w:rPr>
              <w:t>文件中有特别规定外，仅适用于</w:t>
            </w:r>
            <w:r>
              <w:rPr>
                <w:rFonts w:hint="eastAsia" w:asciiTheme="minorEastAsia" w:hAnsiTheme="minorEastAsia" w:eastAsiaTheme="minorEastAsia"/>
                <w:bCs/>
                <w:color w:val="000000" w:themeColor="text1"/>
                <w:sz w:val="24"/>
                <w:szCs w:val="24"/>
                <w:highlight w:val="none"/>
                <w14:textFill>
                  <w14:solidFill>
                    <w14:schemeClr w14:val="tx1"/>
                  </w14:solidFill>
                </w14:textFill>
              </w:rPr>
              <w:t>磋商及响应文件提交</w:t>
            </w:r>
            <w:r>
              <w:rPr>
                <w:rFonts w:asciiTheme="minorEastAsia" w:hAnsiTheme="minorEastAsia" w:eastAsiaTheme="minorEastAsia"/>
                <w:bCs/>
                <w:color w:val="000000" w:themeColor="text1"/>
                <w:sz w:val="24"/>
                <w:szCs w:val="24"/>
                <w:highlight w:val="none"/>
                <w14:textFill>
                  <w14:solidFill>
                    <w14:schemeClr w14:val="tx1"/>
                  </w14:solidFill>
                </w14:textFill>
              </w:rPr>
              <w:t>阶段的规定，按</w:t>
            </w:r>
            <w:r>
              <w:rPr>
                <w:rFonts w:hint="eastAsia" w:asciiTheme="minorEastAsia" w:hAnsiTheme="minorEastAsia" w:eastAsiaTheme="minorEastAsia"/>
                <w:bCs/>
                <w:color w:val="000000" w:themeColor="text1"/>
                <w:sz w:val="24"/>
                <w:szCs w:val="24"/>
                <w:highlight w:val="none"/>
                <w14:textFill>
                  <w14:solidFill>
                    <w14:schemeClr w14:val="tx1"/>
                  </w14:solidFill>
                </w14:textFill>
              </w:rPr>
              <w:t>竞争性磋商</w:t>
            </w:r>
            <w:r>
              <w:rPr>
                <w:rFonts w:asciiTheme="minorEastAsia" w:hAnsiTheme="minorEastAsia" w:eastAsiaTheme="minorEastAsia"/>
                <w:bCs/>
                <w:color w:val="000000" w:themeColor="text1"/>
                <w:sz w:val="24"/>
                <w:szCs w:val="24"/>
                <w:highlight w:val="none"/>
                <w14:textFill>
                  <w14:solidFill>
                    <w14:schemeClr w14:val="tx1"/>
                  </w14:solidFill>
                </w14:textFill>
              </w:rPr>
              <w:t>公告、</w:t>
            </w:r>
            <w:r>
              <w:rPr>
                <w:rFonts w:hint="eastAsia" w:asciiTheme="minorEastAsia" w:hAnsiTheme="minorEastAsia" w:eastAsiaTheme="minorEastAsia"/>
                <w:bCs/>
                <w:color w:val="000000" w:themeColor="text1"/>
                <w:sz w:val="24"/>
                <w:szCs w:val="24"/>
                <w:highlight w:val="none"/>
                <w14:textFill>
                  <w14:solidFill>
                    <w14:schemeClr w14:val="tx1"/>
                  </w14:solidFill>
                </w14:textFill>
              </w:rPr>
              <w:t>磋商邀请、供应商</w:t>
            </w:r>
            <w:r>
              <w:rPr>
                <w:rFonts w:asciiTheme="minorEastAsia" w:hAnsiTheme="minorEastAsia" w:eastAsiaTheme="minorEastAsia"/>
                <w:bCs/>
                <w:color w:val="000000" w:themeColor="text1"/>
                <w:sz w:val="24"/>
                <w:szCs w:val="24"/>
                <w:highlight w:val="none"/>
                <w14:textFill>
                  <w14:solidFill>
                    <w14:schemeClr w14:val="tx1"/>
                  </w14:solidFill>
                </w14:textFill>
              </w:rPr>
              <w:t>须知、评</w:t>
            </w:r>
            <w:r>
              <w:rPr>
                <w:rFonts w:hint="eastAsia" w:asciiTheme="minorEastAsia" w:hAnsiTheme="minorEastAsia" w:eastAsiaTheme="minorEastAsia"/>
                <w:bCs/>
                <w:color w:val="000000" w:themeColor="text1"/>
                <w:sz w:val="24"/>
                <w:szCs w:val="24"/>
                <w:highlight w:val="none"/>
                <w14:textFill>
                  <w14:solidFill>
                    <w14:schemeClr w14:val="tx1"/>
                  </w14:solidFill>
                </w14:textFill>
              </w:rPr>
              <w:t>审方</w:t>
            </w:r>
            <w:r>
              <w:rPr>
                <w:rFonts w:asciiTheme="minorEastAsia" w:hAnsiTheme="minorEastAsia" w:eastAsiaTheme="minorEastAsia"/>
                <w:bCs/>
                <w:color w:val="000000" w:themeColor="text1"/>
                <w:sz w:val="24"/>
                <w:szCs w:val="24"/>
                <w:highlight w:val="none"/>
                <w14:textFill>
                  <w14:solidFill>
                    <w14:schemeClr w14:val="tx1"/>
                  </w14:solidFill>
                </w14:textFill>
              </w:rPr>
              <w:t>法</w:t>
            </w:r>
            <w:r>
              <w:rPr>
                <w:rFonts w:hint="eastAsia" w:asciiTheme="minorEastAsia" w:hAnsiTheme="minorEastAsia" w:eastAsiaTheme="minorEastAsia"/>
                <w:bCs/>
                <w:color w:val="000000" w:themeColor="text1"/>
                <w:sz w:val="24"/>
                <w:szCs w:val="24"/>
                <w:highlight w:val="none"/>
                <w14:textFill>
                  <w14:solidFill>
                    <w14:schemeClr w14:val="tx1"/>
                  </w14:solidFill>
                </w14:textFill>
              </w:rPr>
              <w:t>和标准</w:t>
            </w:r>
            <w:r>
              <w:rPr>
                <w:rFonts w:asciiTheme="minorEastAsia" w:hAnsiTheme="minorEastAsia" w:eastAsiaTheme="minorEastAsia"/>
                <w:bCs/>
                <w:color w:val="000000" w:themeColor="text1"/>
                <w:sz w:val="24"/>
                <w:szCs w:val="24"/>
                <w:highlight w:val="none"/>
                <w14:textFill>
                  <w14:solidFill>
                    <w14:schemeClr w14:val="tx1"/>
                  </w14:solidFill>
                </w14:textFill>
              </w:rPr>
              <w:t>、</w:t>
            </w:r>
            <w:r>
              <w:rPr>
                <w:rFonts w:hint="eastAsia" w:asciiTheme="minorEastAsia" w:hAnsiTheme="minorEastAsia" w:eastAsiaTheme="minorEastAsia"/>
                <w:bCs/>
                <w:color w:val="000000" w:themeColor="text1"/>
                <w:sz w:val="24"/>
                <w:szCs w:val="24"/>
                <w:highlight w:val="none"/>
                <w14:textFill>
                  <w14:solidFill>
                    <w14:schemeClr w14:val="tx1"/>
                  </w14:solidFill>
                </w14:textFill>
              </w:rPr>
              <w:t>响应</w:t>
            </w:r>
            <w:r>
              <w:rPr>
                <w:rFonts w:asciiTheme="minorEastAsia" w:hAnsiTheme="minorEastAsia" w:eastAsiaTheme="minorEastAsia"/>
                <w:bCs/>
                <w:color w:val="000000" w:themeColor="text1"/>
                <w:sz w:val="24"/>
                <w:szCs w:val="24"/>
                <w:highlight w:val="none"/>
                <w14:textFill>
                  <w14:solidFill>
                    <w14:schemeClr w14:val="tx1"/>
                  </w14:solidFill>
                </w14:textFill>
              </w:rPr>
              <w:t>文件格式的先后顺序解释；</w:t>
            </w:r>
          </w:p>
          <w:p w14:paraId="7F200DDD">
            <w:pPr>
              <w:pStyle w:val="67"/>
              <w:widowControl w:val="0"/>
              <w:spacing w:before="0" w:beforeAutospacing="0" w:after="0" w:afterAutospacing="0" w:line="360" w:lineRule="auto"/>
              <w:jc w:val="both"/>
              <w:rPr>
                <w:rFonts w:asciiTheme="minorEastAsia" w:hAnsiTheme="minorEastAsia" w:eastAsiaTheme="minorEastAsia"/>
                <w:b w:val="0"/>
                <w:color w:val="000000" w:themeColor="text1"/>
                <w:sz w:val="24"/>
                <w:szCs w:val="24"/>
                <w:highlight w:val="none"/>
                <w14:textFill>
                  <w14:solidFill>
                    <w14:schemeClr w14:val="tx1"/>
                  </w14:solidFill>
                </w14:textFill>
              </w:rPr>
            </w:pPr>
            <w:r>
              <w:rPr>
                <w:rFonts w:hint="eastAsia" w:asciiTheme="minorEastAsia" w:hAnsiTheme="minorEastAsia" w:eastAsiaTheme="minorEastAsia"/>
                <w:b w:val="0"/>
                <w:color w:val="000000" w:themeColor="text1"/>
                <w:sz w:val="24"/>
                <w:szCs w:val="24"/>
                <w:highlight w:val="none"/>
                <w14:textFill>
                  <w14:solidFill>
                    <w14:schemeClr w14:val="tx1"/>
                  </w14:solidFill>
                </w14:textFill>
              </w:rPr>
              <w:t>（5）</w:t>
            </w:r>
            <w:r>
              <w:rPr>
                <w:rFonts w:asciiTheme="minorEastAsia" w:hAnsiTheme="minorEastAsia" w:eastAsiaTheme="minorEastAsia"/>
                <w:b w:val="0"/>
                <w:color w:val="000000" w:themeColor="text1"/>
                <w:sz w:val="24"/>
                <w:szCs w:val="24"/>
                <w:highlight w:val="none"/>
                <w14:textFill>
                  <w14:solidFill>
                    <w14:schemeClr w14:val="tx1"/>
                  </w14:solidFill>
                </w14:textFill>
              </w:rPr>
              <w:t>按本款前述规定仍不能形成结论的，由</w:t>
            </w:r>
            <w:r>
              <w:rPr>
                <w:rFonts w:hint="eastAsia" w:asciiTheme="minorEastAsia" w:hAnsiTheme="minorEastAsia" w:eastAsiaTheme="minorEastAsia"/>
                <w:b w:val="0"/>
                <w:color w:val="000000" w:themeColor="text1"/>
                <w:sz w:val="24"/>
                <w:szCs w:val="24"/>
                <w:highlight w:val="none"/>
                <w14:textFill>
                  <w14:solidFill>
                    <w14:schemeClr w14:val="tx1"/>
                  </w14:solidFill>
                </w14:textFill>
              </w:rPr>
              <w:t>采购</w:t>
            </w:r>
            <w:r>
              <w:rPr>
                <w:rFonts w:asciiTheme="minorEastAsia" w:hAnsiTheme="minorEastAsia" w:eastAsiaTheme="minorEastAsia"/>
                <w:b w:val="0"/>
                <w:color w:val="000000" w:themeColor="text1"/>
                <w:sz w:val="24"/>
                <w:szCs w:val="24"/>
                <w:highlight w:val="none"/>
                <w14:textFill>
                  <w14:solidFill>
                    <w14:schemeClr w14:val="tx1"/>
                  </w14:solidFill>
                </w14:textFill>
              </w:rPr>
              <w:t>人负责解释。</w:t>
            </w:r>
          </w:p>
          <w:p w14:paraId="0BC0DD26">
            <w:pPr>
              <w:pStyle w:val="67"/>
              <w:widowControl w:val="0"/>
              <w:spacing w:before="0" w:beforeAutospacing="0" w:after="0" w:afterAutospacing="0" w:line="360" w:lineRule="auto"/>
              <w:jc w:val="both"/>
              <w:rPr>
                <w:rFonts w:asciiTheme="minorEastAsia" w:hAnsiTheme="minorEastAsia" w:eastAsiaTheme="minorEastAsia"/>
                <w:b w:val="0"/>
                <w:color w:val="000000" w:themeColor="text1"/>
                <w:sz w:val="24"/>
                <w:szCs w:val="24"/>
                <w:highlight w:val="none"/>
                <w14:textFill>
                  <w14:solidFill>
                    <w14:schemeClr w14:val="tx1"/>
                  </w14:solidFill>
                </w14:textFill>
              </w:rPr>
            </w:pPr>
            <w:r>
              <w:rPr>
                <w:rFonts w:hint="eastAsia" w:asciiTheme="minorEastAsia" w:hAnsiTheme="minorEastAsia" w:eastAsiaTheme="minorEastAsia"/>
                <w:b w:val="0"/>
                <w:color w:val="000000" w:themeColor="text1"/>
                <w:sz w:val="24"/>
                <w:szCs w:val="24"/>
                <w:highlight w:val="none"/>
                <w14:textFill>
                  <w14:solidFill>
                    <w14:schemeClr w14:val="tx1"/>
                  </w14:solidFill>
                </w14:textFill>
              </w:rPr>
              <w:t>2、“政采贷”融资指引：有融资需求的供应商在取得政府采购中标或成交通知书后，可访问安徽省政府采购网“政采贷”栏目，查看和联系第三方平台或者金融机构，商洽融资事项，确定融资意向。供应商签署政府采购中标（成交）合同后，登录“徽采云”金融服务模块，选择意向产品进行申请，并填写相关信息，“徽采云”金融服务模块将中标人融资申请信息推送第三方平台、意向金融机构。</w:t>
            </w:r>
            <w:r>
              <w:rPr>
                <w:rFonts w:hint="eastAsia" w:asciiTheme="minorEastAsia" w:hAnsiTheme="minorEastAsia" w:eastAsiaTheme="minorEastAsia"/>
                <w:b w:val="0"/>
                <w:color w:val="000000" w:themeColor="text1"/>
                <w:sz w:val="24"/>
                <w:szCs w:val="24"/>
                <w:highlight w:val="none"/>
                <w14:textFill>
                  <w14:solidFill>
                    <w14:schemeClr w14:val="tx1"/>
                  </w14:solidFill>
                </w14:textFill>
              </w:rPr>
              <w:br w:type="textWrapping"/>
            </w:r>
            <w:r>
              <w:rPr>
                <w:rFonts w:hint="eastAsia" w:asciiTheme="minorEastAsia" w:hAnsiTheme="minorEastAsia" w:eastAsiaTheme="minorEastAsia"/>
                <w:b w:val="0"/>
                <w:color w:val="000000" w:themeColor="text1"/>
                <w:sz w:val="24"/>
                <w:szCs w:val="24"/>
                <w:highlight w:val="none"/>
                <w14:textFill>
                  <w14:solidFill>
                    <w14:schemeClr w14:val="tx1"/>
                  </w14:solidFill>
                </w14:textFill>
              </w:rPr>
              <w:t>3、电子保函指引：成交供应商可访问安徽省政府采购网“融资/保函”栏目，申请办理电子保函（包括：履约保函、预付款保函）。</w:t>
            </w:r>
          </w:p>
        </w:tc>
      </w:tr>
      <w:tr w14:paraId="1473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 w:type="dxa"/>
            <w:vAlign w:val="center"/>
          </w:tcPr>
          <w:p w14:paraId="2C609192">
            <w:pPr>
              <w:pStyle w:val="68"/>
              <w:pBdr>
                <w:bottom w:val="none" w:color="auto" w:sz="0" w:space="0"/>
              </w:pBdr>
              <w:tabs>
                <w:tab w:val="clear" w:pos="4153"/>
                <w:tab w:val="clear" w:pos="8306"/>
              </w:tabs>
              <w:adjustRightInd/>
              <w:spacing w:line="360" w:lineRule="auto"/>
              <w:textAlignment w:val="auto"/>
              <w:rPr>
                <w:bCs/>
                <w:color w:val="000000" w:themeColor="text1"/>
                <w:kern w:val="2"/>
                <w:highlight w:val="none"/>
                <w14:textFill>
                  <w14:solidFill>
                    <w14:schemeClr w14:val="tx1"/>
                  </w14:solidFill>
                </w14:textFill>
              </w:rPr>
            </w:pPr>
            <w:r>
              <w:rPr>
                <w:rFonts w:hint="eastAsia"/>
                <w:bCs/>
                <w:color w:val="000000" w:themeColor="text1"/>
                <w:kern w:val="2"/>
                <w:highlight w:val="none"/>
                <w14:textFill>
                  <w14:solidFill>
                    <w14:schemeClr w14:val="tx1"/>
                  </w14:solidFill>
                </w14:textFill>
              </w:rPr>
              <w:t>重要提醒</w:t>
            </w:r>
          </w:p>
        </w:tc>
        <w:tc>
          <w:tcPr>
            <w:tcW w:w="1772" w:type="dxa"/>
            <w:vAlign w:val="center"/>
          </w:tcPr>
          <w:p w14:paraId="0FBD5F31">
            <w:pPr>
              <w:pStyle w:val="67"/>
              <w:widowControl w:val="0"/>
              <w:spacing w:before="0" w:beforeAutospacing="0" w:after="0" w:afterAutospacing="0" w:line="360" w:lineRule="auto"/>
              <w:jc w:val="both"/>
              <w:rPr>
                <w:b w:val="0"/>
                <w:color w:val="000000" w:themeColor="text1"/>
                <w:sz w:val="24"/>
                <w:highlight w:val="none"/>
                <w14:textFill>
                  <w14:solidFill>
                    <w14:schemeClr w14:val="tx1"/>
                  </w14:solidFill>
                </w14:textFill>
              </w:rPr>
            </w:pPr>
            <w:r>
              <w:rPr>
                <w:rFonts w:hint="eastAsia"/>
                <w:b w:val="0"/>
                <w:color w:val="000000" w:themeColor="text1"/>
                <w:sz w:val="24"/>
                <w:highlight w:val="none"/>
                <w14:textFill>
                  <w14:solidFill>
                    <w14:schemeClr w14:val="tx1"/>
                  </w14:solidFill>
                </w14:textFill>
              </w:rPr>
              <w:t>30.11</w:t>
            </w:r>
          </w:p>
        </w:tc>
        <w:tc>
          <w:tcPr>
            <w:tcW w:w="6549" w:type="dxa"/>
            <w:vAlign w:val="center"/>
          </w:tcPr>
          <w:p w14:paraId="6EF98EE9">
            <w:pPr>
              <w:pStyle w:val="67"/>
              <w:widowControl w:val="0"/>
              <w:numPr>
                <w:ilvl w:val="0"/>
                <w:numId w:val="3"/>
              </w:numPr>
              <w:spacing w:before="0" w:beforeAutospacing="0" w:after="0" w:afterAutospacing="0" w:line="360" w:lineRule="auto"/>
              <w:jc w:val="both"/>
              <w:rPr>
                <w:rFonts w:cs="宋体"/>
                <w:color w:val="000000" w:themeColor="text1"/>
                <w:sz w:val="24"/>
                <w:szCs w:val="24"/>
                <w:highlight w:val="none"/>
                <w14:textFill>
                  <w14:solidFill>
                    <w14:schemeClr w14:val="tx1"/>
                  </w14:solidFill>
                </w14:textFill>
              </w:rPr>
            </w:pPr>
            <w:r>
              <w:rPr>
                <w:rFonts w:cs="宋体"/>
                <w:color w:val="000000" w:themeColor="text1"/>
                <w:sz w:val="24"/>
                <w:szCs w:val="24"/>
                <w:highlight w:val="none"/>
                <w14:textFill>
                  <w14:solidFill>
                    <w14:schemeClr w14:val="tx1"/>
                  </w14:solidFill>
                </w14:textFill>
              </w:rPr>
              <w:t>成交供应商应在规定期限内提交履约担保并与采购人签订合同，若成交供应商未能在规定期限内提交履约担保或签订合同，采购人有权取消成交供应商成交资格，并将相关违约行为报送监管部门，实施信用惩戒；</w:t>
            </w:r>
          </w:p>
          <w:p w14:paraId="76EC7A5D">
            <w:pPr>
              <w:pStyle w:val="67"/>
              <w:widowControl w:val="0"/>
              <w:numPr>
                <w:ilvl w:val="0"/>
                <w:numId w:val="3"/>
              </w:numPr>
              <w:spacing w:before="0" w:beforeAutospacing="0" w:after="0" w:afterAutospacing="0" w:line="360" w:lineRule="auto"/>
              <w:jc w:val="both"/>
              <w:rPr>
                <w:rFonts w:cs="宋体"/>
                <w:color w:val="000000" w:themeColor="text1"/>
                <w:sz w:val="24"/>
                <w:szCs w:val="24"/>
                <w:highlight w:val="none"/>
                <w14:textFill>
                  <w14:solidFill>
                    <w14:schemeClr w14:val="tx1"/>
                  </w14:solidFill>
                </w14:textFill>
              </w:rPr>
            </w:pPr>
            <w:r>
              <w:rPr>
                <w:rFonts w:cs="宋体"/>
                <w:color w:val="000000" w:themeColor="text1"/>
                <w:sz w:val="24"/>
                <w:szCs w:val="24"/>
                <w:highlight w:val="none"/>
                <w14:textFill>
                  <w14:solidFill>
                    <w14:schemeClr w14:val="tx1"/>
                  </w14:solidFill>
                </w14:textFill>
              </w:rPr>
              <w:t>合同签订后，成交供应商存在规定时间内不组织人员进场开工，不履行合同义务等情况，采购人有权解除合同，并追究违约责任，同时将相关违约行为报送监管部门，记不良行为记录，实施信用惩戒；</w:t>
            </w:r>
          </w:p>
          <w:p w14:paraId="691F31CD">
            <w:pPr>
              <w:pStyle w:val="67"/>
              <w:widowControl w:val="0"/>
              <w:numPr>
                <w:ilvl w:val="0"/>
                <w:numId w:val="3"/>
              </w:numPr>
              <w:spacing w:before="0" w:beforeAutospacing="0" w:after="0" w:afterAutospacing="0" w:line="360" w:lineRule="auto"/>
              <w:jc w:val="both"/>
              <w:rPr>
                <w:rFonts w:cs="宋体"/>
                <w:color w:val="000000" w:themeColor="text1"/>
                <w:sz w:val="24"/>
                <w:szCs w:val="24"/>
                <w:highlight w:val="none"/>
                <w14:textFill>
                  <w14:solidFill>
                    <w14:schemeClr w14:val="tx1"/>
                  </w14:solidFill>
                </w14:textFill>
              </w:rPr>
            </w:pPr>
            <w:r>
              <w:rPr>
                <w:rFonts w:cs="宋体"/>
                <w:color w:val="000000" w:themeColor="text1"/>
                <w:sz w:val="24"/>
                <w:szCs w:val="24"/>
                <w:highlight w:val="none"/>
                <w14:textFill>
                  <w14:solidFill>
                    <w14:schemeClr w14:val="tx1"/>
                  </w14:solidFill>
                </w14:textFill>
              </w:rPr>
              <w:t>成交供应商成交后被监管部门查实存在违法行为，不满足成交条件的，由采购人取消其成交资格，并做好项目后续工作；</w:t>
            </w:r>
          </w:p>
          <w:p w14:paraId="6CC67497">
            <w:pPr>
              <w:pStyle w:val="67"/>
              <w:widowControl w:val="0"/>
              <w:spacing w:before="0" w:beforeAutospacing="0" w:after="0" w:afterAutospacing="0" w:line="360" w:lineRule="auto"/>
              <w:jc w:val="both"/>
              <w:rPr>
                <w:rFonts w:asciiTheme="minorEastAsia" w:hAnsiTheme="minorEastAsia" w:eastAsiaTheme="minorEastAsia"/>
                <w:b w:val="0"/>
                <w:color w:val="000000" w:themeColor="text1"/>
                <w:sz w:val="24"/>
                <w:szCs w:val="24"/>
                <w:highlight w:val="none"/>
                <w14:textFill>
                  <w14:solidFill>
                    <w14:schemeClr w14:val="tx1"/>
                  </w14:solidFill>
                </w14:textFill>
              </w:rPr>
            </w:pPr>
            <w:r>
              <w:rPr>
                <w:rFonts w:cs="宋体"/>
                <w:color w:val="000000" w:themeColor="text1"/>
                <w:sz w:val="24"/>
                <w:szCs w:val="24"/>
                <w:highlight w:val="none"/>
                <w14:textFill>
                  <w14:solidFill>
                    <w14:schemeClr w14:val="tx1"/>
                  </w14:solidFill>
                </w14:textFill>
              </w:rPr>
              <w:t>（4）成交供应商在成交项目发生投诉、信访举报案件、履约存在争议时，拒绝协助配合执法部门调查案件的，采购人可以取消其成交资格或解除合同，并追究其违约责任。</w:t>
            </w:r>
          </w:p>
        </w:tc>
      </w:tr>
    </w:tbl>
    <w:p w14:paraId="34C0EBC9">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r>
        <w:rPr>
          <w:rFonts w:asciiTheme="minorEastAsia" w:hAnsiTheme="minorEastAsia" w:eastAsiaTheme="minorEastAsia"/>
          <w:b/>
          <w:color w:val="000000" w:themeColor="text1"/>
          <w:sz w:val="28"/>
          <w:highlight w:val="none"/>
          <w14:textFill>
            <w14:solidFill>
              <w14:schemeClr w14:val="tx1"/>
            </w14:solidFill>
          </w14:textFill>
        </w:rPr>
        <w:br w:type="page"/>
      </w:r>
      <w:bookmarkStart w:id="39" w:name="_Toc18784"/>
      <w:bookmarkStart w:id="40" w:name="_Toc26858"/>
      <w:r>
        <w:rPr>
          <w:rFonts w:hint="eastAsia" w:asciiTheme="minorEastAsia" w:hAnsiTheme="minorEastAsia" w:eastAsiaTheme="minorEastAsia"/>
          <w:b/>
          <w:color w:val="000000" w:themeColor="text1"/>
          <w:sz w:val="24"/>
          <w:highlight w:val="none"/>
          <w14:textFill>
            <w14:solidFill>
              <w14:schemeClr w14:val="tx1"/>
            </w14:solidFill>
          </w14:textFill>
        </w:rPr>
        <w:t>二、供应商</w:t>
      </w:r>
      <w:r>
        <w:rPr>
          <w:rFonts w:asciiTheme="minorEastAsia" w:hAnsiTheme="minorEastAsia" w:eastAsiaTheme="minorEastAsia"/>
          <w:b/>
          <w:color w:val="000000" w:themeColor="text1"/>
          <w:sz w:val="24"/>
          <w:highlight w:val="none"/>
          <w14:textFill>
            <w14:solidFill>
              <w14:schemeClr w14:val="tx1"/>
            </w14:solidFill>
          </w14:textFill>
        </w:rPr>
        <w:t>须知</w:t>
      </w:r>
      <w:r>
        <w:rPr>
          <w:rFonts w:hint="eastAsia" w:asciiTheme="minorEastAsia" w:hAnsiTheme="minorEastAsia" w:eastAsiaTheme="minorEastAsia"/>
          <w:b/>
          <w:color w:val="000000" w:themeColor="text1"/>
          <w:sz w:val="24"/>
          <w:highlight w:val="none"/>
          <w14:textFill>
            <w14:solidFill>
              <w14:schemeClr w14:val="tx1"/>
            </w14:solidFill>
          </w14:textFill>
        </w:rPr>
        <w:t>正文</w:t>
      </w:r>
      <w:bookmarkEnd w:id="39"/>
      <w:bookmarkEnd w:id="40"/>
    </w:p>
    <w:p w14:paraId="6822517D">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采购人、采购代理机构及供应商</w:t>
      </w:r>
    </w:p>
    <w:p w14:paraId="079D0F97">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.1采购人：是指依法开展政府采购活动的国家机关、事业单位、团体组织。</w:t>
      </w:r>
    </w:p>
    <w:p w14:paraId="2F6BCBE7">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.3政府采购监督管理部门：</w:t>
      </w:r>
      <w:r>
        <w:rPr>
          <w:rFonts w:hint="eastAsia"/>
          <w:color w:val="000000" w:themeColor="text1"/>
          <w:sz w:val="24"/>
          <w:highlight w:val="none"/>
          <w14:textFill>
            <w14:solidFill>
              <w14:schemeClr w14:val="tx1"/>
            </w14:solidFill>
          </w14:textFill>
        </w:rPr>
        <w:t>各级人民政府指定的有关部门依法履行与政府采购活动有关的监督管理职责。</w:t>
      </w:r>
    </w:p>
    <w:p w14:paraId="557A31A9">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供应商</w:t>
      </w:r>
      <w:r>
        <w:rPr>
          <w:color w:val="000000" w:themeColor="text1"/>
          <w:sz w:val="24"/>
          <w:highlight w:val="none"/>
          <w14:textFill>
            <w14:solidFill>
              <w14:schemeClr w14:val="tx1"/>
            </w14:solidFill>
          </w14:textFill>
        </w:rPr>
        <w:t>：是指向采购人提供货物、工程或者服务的法人、</w:t>
      </w:r>
      <w:r>
        <w:rPr>
          <w:rFonts w:hint="eastAsia"/>
          <w:color w:val="000000" w:themeColor="text1"/>
          <w:sz w:val="24"/>
          <w:highlight w:val="none"/>
          <w14:textFill>
            <w14:solidFill>
              <w14:schemeClr w14:val="tx1"/>
            </w14:solidFill>
          </w14:textFill>
        </w:rPr>
        <w:t>其他</w:t>
      </w:r>
      <w:r>
        <w:rPr>
          <w:color w:val="000000" w:themeColor="text1"/>
          <w:sz w:val="24"/>
          <w:highlight w:val="none"/>
          <w14:textFill>
            <w14:solidFill>
              <w14:schemeClr w14:val="tx1"/>
            </w14:solidFill>
          </w14:textFill>
        </w:rPr>
        <w:t>组织或者自然人。</w:t>
      </w:r>
      <w:r>
        <w:rPr>
          <w:rFonts w:hint="eastAsia"/>
          <w:color w:val="000000" w:themeColor="text1"/>
          <w:sz w:val="24"/>
          <w:highlight w:val="none"/>
          <w14:textFill>
            <w14:solidFill>
              <w14:schemeClr w14:val="tx1"/>
            </w14:solidFill>
          </w14:textFill>
        </w:rPr>
        <w:t>分支机构不得参加政府采购活动，但银行、保险、石油石化、电力、电信等特殊行业除外。</w:t>
      </w:r>
      <w:r>
        <w:rPr>
          <w:color w:val="000000" w:themeColor="text1"/>
          <w:sz w:val="24"/>
          <w:highlight w:val="none"/>
          <w14:textFill>
            <w14:solidFill>
              <w14:schemeClr w14:val="tx1"/>
            </w14:solidFill>
          </w14:textFill>
        </w:rPr>
        <w:t>本项目的</w:t>
      </w:r>
      <w:r>
        <w:rPr>
          <w:rFonts w:hint="eastAsia"/>
          <w:color w:val="000000" w:themeColor="text1"/>
          <w:sz w:val="24"/>
          <w:highlight w:val="none"/>
          <w14:textFill>
            <w14:solidFill>
              <w14:schemeClr w14:val="tx1"/>
            </w14:solidFill>
          </w14:textFill>
        </w:rPr>
        <w:t>供应商</w:t>
      </w:r>
      <w:r>
        <w:rPr>
          <w:color w:val="000000" w:themeColor="text1"/>
          <w:sz w:val="24"/>
          <w:highlight w:val="none"/>
          <w14:textFill>
            <w14:solidFill>
              <w14:schemeClr w14:val="tx1"/>
            </w14:solidFill>
          </w14:textFill>
        </w:rPr>
        <w:t>须满足以下条件：</w:t>
      </w:r>
    </w:p>
    <w:p w14:paraId="4BD00AF1">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具备《中华人民共和国政府采购法》第二十二条关于供应商条件的规定，遵守本项目采购人本级和上级财政部门政府采购的有关规定。</w:t>
      </w:r>
    </w:p>
    <w:p w14:paraId="0740A4A2">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以采购代理机构认可的方式获得了本项目的</w:t>
      </w:r>
      <w:r>
        <w:rPr>
          <w:rFonts w:hint="eastAsia"/>
          <w:color w:val="000000" w:themeColor="text1"/>
          <w:sz w:val="24"/>
          <w:highlight w:val="none"/>
          <w14:textFill>
            <w14:solidFill>
              <w14:schemeClr w14:val="tx1"/>
            </w14:solidFill>
          </w14:textFill>
        </w:rPr>
        <w:t>磋商</w:t>
      </w:r>
      <w:r>
        <w:rPr>
          <w:color w:val="000000" w:themeColor="text1"/>
          <w:sz w:val="24"/>
          <w:highlight w:val="none"/>
          <w14:textFill>
            <w14:solidFill>
              <w14:schemeClr w14:val="tx1"/>
            </w14:solidFill>
          </w14:textFill>
        </w:rPr>
        <w:t>文件。</w:t>
      </w:r>
    </w:p>
    <w:p w14:paraId="55F88F9A">
      <w:pPr>
        <w:spacing w:line="360" w:lineRule="auto"/>
        <w:ind w:firstLine="435"/>
        <w:rPr>
          <w:color w:val="000000" w:themeColor="text1"/>
          <w:sz w:val="24"/>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1</w:t>
      </w:r>
      <w:r>
        <w:rPr>
          <w:bCs/>
          <w:color w:val="000000" w:themeColor="text1"/>
          <w:sz w:val="24"/>
          <w:szCs w:val="28"/>
          <w:highlight w:val="none"/>
          <w14:textFill>
            <w14:solidFill>
              <w14:schemeClr w14:val="tx1"/>
            </w14:solidFill>
          </w14:textFill>
        </w:rPr>
        <w:t>.5</w:t>
      </w:r>
      <w:r>
        <w:rPr>
          <w:rFonts w:hint="eastAsia"/>
          <w:bCs/>
          <w:color w:val="000000" w:themeColor="text1"/>
          <w:sz w:val="24"/>
          <w:szCs w:val="28"/>
          <w:highlight w:val="none"/>
          <w14:textFill>
            <w14:solidFill>
              <w14:schemeClr w14:val="tx1"/>
            </w14:solidFill>
          </w14:textFill>
        </w:rPr>
        <w:t>若竞争性磋商公告</w:t>
      </w:r>
      <w:r>
        <w:rPr>
          <w:bCs/>
          <w:color w:val="000000" w:themeColor="text1"/>
          <w:sz w:val="24"/>
          <w:szCs w:val="28"/>
          <w:highlight w:val="none"/>
          <w14:textFill>
            <w14:solidFill>
              <w14:schemeClr w14:val="tx1"/>
            </w14:solidFill>
          </w14:textFill>
        </w:rPr>
        <w:t>中允许联合体</w:t>
      </w:r>
      <w:r>
        <w:rPr>
          <w:rFonts w:hint="eastAsia"/>
          <w:bCs/>
          <w:color w:val="000000" w:themeColor="text1"/>
          <w:sz w:val="24"/>
          <w:szCs w:val="28"/>
          <w:highlight w:val="none"/>
          <w14:textFill>
            <w14:solidFill>
              <w14:schemeClr w14:val="tx1"/>
            </w14:solidFill>
          </w14:textFill>
        </w:rPr>
        <w:t>参加磋商</w:t>
      </w:r>
      <w:r>
        <w:rPr>
          <w:bCs/>
          <w:color w:val="000000" w:themeColor="text1"/>
          <w:sz w:val="24"/>
          <w:szCs w:val="28"/>
          <w:highlight w:val="none"/>
          <w14:textFill>
            <w14:solidFill>
              <w14:schemeClr w14:val="tx1"/>
            </w14:solidFill>
          </w14:textFill>
        </w:rPr>
        <w:t>，对联合体规定如下：</w:t>
      </w:r>
    </w:p>
    <w:p w14:paraId="3BA9DBFD">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两个以上供应商可以组成一个磋商联合体，以一个供应商的身份磋商</w:t>
      </w:r>
      <w:r>
        <w:rPr>
          <w:color w:val="000000" w:themeColor="text1"/>
          <w:sz w:val="24"/>
          <w:highlight w:val="none"/>
          <w14:textFill>
            <w14:solidFill>
              <w14:schemeClr w14:val="tx1"/>
            </w14:solidFill>
          </w14:textFill>
        </w:rPr>
        <w:t>。联合体参加磋商的，</w:t>
      </w:r>
      <w:r>
        <w:rPr>
          <w:rFonts w:hint="eastAsia"/>
          <w:color w:val="000000" w:themeColor="text1"/>
          <w:sz w:val="24"/>
          <w:highlight w:val="none"/>
          <w14:textFill>
            <w14:solidFill>
              <w14:schemeClr w14:val="tx1"/>
            </w14:solidFill>
          </w14:textFill>
        </w:rPr>
        <w:t>磋商文件获取</w:t>
      </w:r>
      <w:r>
        <w:rPr>
          <w:color w:val="000000" w:themeColor="text1"/>
          <w:sz w:val="24"/>
          <w:highlight w:val="none"/>
          <w14:textFill>
            <w14:solidFill>
              <w14:schemeClr w14:val="tx1"/>
            </w14:solidFill>
          </w14:textFill>
        </w:rPr>
        <w:t>手续由联合体</w:t>
      </w:r>
      <w:r>
        <w:rPr>
          <w:rFonts w:hint="eastAsia"/>
          <w:color w:val="000000" w:themeColor="text1"/>
          <w:sz w:val="24"/>
          <w:highlight w:val="none"/>
          <w14:textFill>
            <w14:solidFill>
              <w14:schemeClr w14:val="tx1"/>
            </w14:solidFill>
          </w14:textFill>
        </w:rPr>
        <w:t>中</w:t>
      </w:r>
      <w:r>
        <w:rPr>
          <w:color w:val="000000" w:themeColor="text1"/>
          <w:sz w:val="24"/>
          <w:highlight w:val="none"/>
          <w14:textFill>
            <w14:solidFill>
              <w14:schemeClr w14:val="tx1"/>
            </w14:solidFill>
          </w14:textFill>
        </w:rPr>
        <w:t>任一</w:t>
      </w:r>
      <w:r>
        <w:rPr>
          <w:rFonts w:hint="eastAsia"/>
          <w:color w:val="000000" w:themeColor="text1"/>
          <w:sz w:val="24"/>
          <w:highlight w:val="none"/>
          <w14:textFill>
            <w14:solidFill>
              <w14:schemeClr w14:val="tx1"/>
            </w14:solidFill>
          </w14:textFill>
        </w:rPr>
        <w:t>成员单位</w:t>
      </w:r>
      <w:r>
        <w:rPr>
          <w:color w:val="000000" w:themeColor="text1"/>
          <w:sz w:val="24"/>
          <w:highlight w:val="none"/>
          <w14:textFill>
            <w14:solidFill>
              <w14:schemeClr w14:val="tx1"/>
            </w14:solidFill>
          </w14:textFill>
        </w:rPr>
        <w:t>办理均可。</w:t>
      </w:r>
    </w:p>
    <w:p w14:paraId="7E6958F7">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.2联合体各方均应符合《中华人民共和国政府采购法》第二十二条规定的条件。</w:t>
      </w:r>
    </w:p>
    <w:p w14:paraId="2A86F6B0">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.3采购人根据采购项目对</w:t>
      </w:r>
      <w:r>
        <w:rPr>
          <w:rFonts w:hint="eastAsia"/>
          <w:color w:val="000000" w:themeColor="text1"/>
          <w:sz w:val="24"/>
          <w:highlight w:val="none"/>
          <w14:textFill>
            <w14:solidFill>
              <w14:schemeClr w14:val="tx1"/>
            </w14:solidFill>
          </w14:textFill>
        </w:rPr>
        <w:t>供应商</w:t>
      </w:r>
      <w:r>
        <w:rPr>
          <w:color w:val="000000" w:themeColor="text1"/>
          <w:sz w:val="24"/>
          <w:highlight w:val="none"/>
          <w14:textFill>
            <w14:solidFill>
              <w14:schemeClr w14:val="tx1"/>
            </w14:solidFill>
          </w14:textFill>
        </w:rPr>
        <w:t>的特殊要求，联合体中至少应当有一方符合相关规定。</w:t>
      </w:r>
    </w:p>
    <w:p w14:paraId="16B29AA0">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.4联合体各方应签订</w:t>
      </w:r>
      <w:r>
        <w:rPr>
          <w:rFonts w:hint="eastAsia"/>
          <w:color w:val="000000" w:themeColor="text1"/>
          <w:sz w:val="24"/>
          <w:highlight w:val="none"/>
          <w14:textFill>
            <w14:solidFill>
              <w14:schemeClr w14:val="tx1"/>
            </w14:solidFill>
          </w14:textFill>
        </w:rPr>
        <w:t>联合协议</w:t>
      </w:r>
      <w:r>
        <w:rPr>
          <w:color w:val="000000" w:themeColor="text1"/>
          <w:sz w:val="24"/>
          <w:highlight w:val="none"/>
          <w14:textFill>
            <w14:solidFill>
              <w14:schemeClr w14:val="tx1"/>
            </w14:solidFill>
          </w14:textFill>
        </w:rPr>
        <w:t>，明确约定联合体各方承担的工作和相应的责任，并将</w:t>
      </w:r>
      <w:r>
        <w:rPr>
          <w:rFonts w:hint="eastAsia"/>
          <w:color w:val="000000" w:themeColor="text1"/>
          <w:sz w:val="24"/>
          <w:highlight w:val="none"/>
          <w14:textFill>
            <w14:solidFill>
              <w14:schemeClr w14:val="tx1"/>
            </w14:solidFill>
          </w14:textFill>
        </w:rPr>
        <w:t>联合协议</w:t>
      </w:r>
      <w:r>
        <w:rPr>
          <w:color w:val="000000" w:themeColor="text1"/>
          <w:sz w:val="24"/>
          <w:highlight w:val="none"/>
          <w14:textFill>
            <w14:solidFill>
              <w14:schemeClr w14:val="tx1"/>
            </w14:solidFill>
          </w14:textFill>
        </w:rPr>
        <w:t>作为</w:t>
      </w:r>
      <w:r>
        <w:rPr>
          <w:rFonts w:hint="eastAsia"/>
          <w:color w:val="000000" w:themeColor="text1"/>
          <w:sz w:val="24"/>
          <w:highlight w:val="none"/>
          <w14:textFill>
            <w14:solidFill>
              <w14:schemeClr w14:val="tx1"/>
            </w14:solidFill>
          </w14:textFill>
        </w:rPr>
        <w:t>响应</w:t>
      </w:r>
      <w:r>
        <w:rPr>
          <w:color w:val="000000" w:themeColor="text1"/>
          <w:sz w:val="24"/>
          <w:highlight w:val="none"/>
          <w14:textFill>
            <w14:solidFill>
              <w14:schemeClr w14:val="tx1"/>
            </w14:solidFill>
          </w14:textFill>
        </w:rPr>
        <w:t>文件</w:t>
      </w:r>
      <w:r>
        <w:rPr>
          <w:rFonts w:hint="eastAsia"/>
          <w:color w:val="000000" w:themeColor="text1"/>
          <w:sz w:val="24"/>
          <w:highlight w:val="none"/>
          <w14:textFill>
            <w14:solidFill>
              <w14:schemeClr w14:val="tx1"/>
            </w14:solidFill>
          </w14:textFill>
        </w:rPr>
        <w:t>的</w:t>
      </w:r>
      <w:r>
        <w:rPr>
          <w:color w:val="000000" w:themeColor="text1"/>
          <w:sz w:val="24"/>
          <w:highlight w:val="none"/>
          <w14:textFill>
            <w14:solidFill>
              <w14:schemeClr w14:val="tx1"/>
            </w14:solidFill>
          </w14:textFill>
        </w:rPr>
        <w:t>一部分提交。</w:t>
      </w:r>
    </w:p>
    <w:p w14:paraId="5CE2BA0D">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.5大中型企业、其他自然人、法人或者非法人组织与小型、微型企业组成联合体共同参加</w:t>
      </w:r>
      <w:r>
        <w:rPr>
          <w:rFonts w:hint="eastAsia"/>
          <w:color w:val="000000" w:themeColor="text1"/>
          <w:sz w:val="24"/>
          <w:highlight w:val="none"/>
          <w14:textFill>
            <w14:solidFill>
              <w14:schemeClr w14:val="tx1"/>
            </w14:solidFill>
          </w14:textFill>
        </w:rPr>
        <w:t>磋商</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联合协议中</w:t>
      </w:r>
      <w:r>
        <w:rPr>
          <w:color w:val="000000" w:themeColor="text1"/>
          <w:sz w:val="24"/>
          <w:highlight w:val="none"/>
          <w14:textFill>
            <w14:solidFill>
              <w14:schemeClr w14:val="tx1"/>
            </w14:solidFill>
          </w14:textFill>
        </w:rPr>
        <w:t>应写明小型、微型企业的协议合同金额占到</w:t>
      </w:r>
      <w:r>
        <w:rPr>
          <w:rFonts w:hint="eastAsia"/>
          <w:color w:val="000000" w:themeColor="text1"/>
          <w:sz w:val="24"/>
          <w:highlight w:val="none"/>
          <w14:textFill>
            <w14:solidFill>
              <w14:schemeClr w14:val="tx1"/>
            </w14:solidFill>
          </w14:textFill>
        </w:rPr>
        <w:t>联合协议合同</w:t>
      </w:r>
      <w:r>
        <w:rPr>
          <w:color w:val="000000" w:themeColor="text1"/>
          <w:sz w:val="24"/>
          <w:highlight w:val="none"/>
          <w14:textFill>
            <w14:solidFill>
              <w14:schemeClr w14:val="tx1"/>
            </w14:solidFill>
          </w14:textFill>
        </w:rPr>
        <w:t>总金额的比例。</w:t>
      </w:r>
    </w:p>
    <w:p w14:paraId="01085AF8">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.5.6</w:t>
      </w:r>
      <w:r>
        <w:rPr>
          <w:rFonts w:hint="eastAsia"/>
          <w:color w:val="000000" w:themeColor="text1"/>
          <w:sz w:val="24"/>
          <w:highlight w:val="none"/>
          <w14:textFill>
            <w14:solidFill>
              <w14:schemeClr w14:val="tx1"/>
            </w14:solidFill>
          </w14:textFill>
        </w:rPr>
        <w:t>联合体中有同类资质的供应商按照联合体分工承担相同工作的，</w:t>
      </w:r>
      <w:r>
        <w:rPr>
          <w:color w:val="000000" w:themeColor="text1"/>
          <w:sz w:val="24"/>
          <w:highlight w:val="none"/>
          <w14:textFill>
            <w14:solidFill>
              <w14:schemeClr w14:val="tx1"/>
            </w14:solidFill>
          </w14:textFill>
        </w:rPr>
        <w:t>应当按照</w:t>
      </w:r>
      <w:r>
        <w:rPr>
          <w:rFonts w:hint="eastAsia"/>
          <w:color w:val="000000" w:themeColor="text1"/>
          <w:sz w:val="24"/>
          <w:highlight w:val="none"/>
          <w14:textFill>
            <w14:solidFill>
              <w14:schemeClr w14:val="tx1"/>
            </w14:solidFill>
          </w14:textFill>
        </w:rPr>
        <w:t>资质等级较低的供应商确定资质等级。</w:t>
      </w:r>
    </w:p>
    <w:p w14:paraId="38969231">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.7以联合体形式参加政府采购活动的，联合体各方不得再单独参加或者与其他供应商另外组成联合体参加本项目</w:t>
      </w:r>
      <w:r>
        <w:rPr>
          <w:rFonts w:hint="eastAsia"/>
          <w:color w:val="000000" w:themeColor="text1"/>
          <w:sz w:val="24"/>
          <w:highlight w:val="none"/>
          <w14:textFill>
            <w14:solidFill>
              <w14:schemeClr w14:val="tx1"/>
            </w14:solidFill>
          </w14:textFill>
        </w:rPr>
        <w:t>磋商</w:t>
      </w:r>
      <w:r>
        <w:rPr>
          <w:color w:val="000000" w:themeColor="text1"/>
          <w:sz w:val="24"/>
          <w:highlight w:val="none"/>
          <w14:textFill>
            <w14:solidFill>
              <w14:schemeClr w14:val="tx1"/>
            </w14:solidFill>
          </w14:textFill>
        </w:rPr>
        <w:t>，否则相关</w:t>
      </w:r>
      <w:r>
        <w:rPr>
          <w:rFonts w:hint="eastAsia"/>
          <w:color w:val="000000" w:themeColor="text1"/>
          <w:sz w:val="24"/>
          <w:highlight w:val="none"/>
          <w14:textFill>
            <w14:solidFill>
              <w14:schemeClr w14:val="tx1"/>
            </w14:solidFill>
          </w14:textFill>
        </w:rPr>
        <w:t>响应文件将被认定为</w:t>
      </w:r>
      <w:r>
        <w:rPr>
          <w:rFonts w:hint="eastAsia"/>
          <w:b/>
          <w:color w:val="000000" w:themeColor="text1"/>
          <w:sz w:val="24"/>
          <w:highlight w:val="none"/>
          <w14:textFill>
            <w14:solidFill>
              <w14:schemeClr w14:val="tx1"/>
            </w14:solidFill>
          </w14:textFill>
        </w:rPr>
        <w:t>响应无效</w:t>
      </w:r>
      <w:r>
        <w:rPr>
          <w:color w:val="000000" w:themeColor="text1"/>
          <w:sz w:val="24"/>
          <w:highlight w:val="none"/>
          <w14:textFill>
            <w14:solidFill>
              <w14:schemeClr w14:val="tx1"/>
            </w14:solidFill>
          </w14:textFill>
        </w:rPr>
        <w:t>。</w:t>
      </w:r>
    </w:p>
    <w:p w14:paraId="03734131">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.8对联合体参加磋商的其他资格要求见</w:t>
      </w:r>
      <w:r>
        <w:rPr>
          <w:rFonts w:hint="eastAsia"/>
          <w:color w:val="000000" w:themeColor="text1"/>
          <w:sz w:val="24"/>
          <w:highlight w:val="none"/>
          <w14:textFill>
            <w14:solidFill>
              <w14:schemeClr w14:val="tx1"/>
            </w14:solidFill>
          </w14:textFill>
        </w:rPr>
        <w:t>申请人的资格要求</w:t>
      </w:r>
      <w:r>
        <w:rPr>
          <w:color w:val="000000" w:themeColor="text1"/>
          <w:sz w:val="24"/>
          <w:highlight w:val="none"/>
          <w14:textFill>
            <w14:solidFill>
              <w14:schemeClr w14:val="tx1"/>
            </w14:solidFill>
          </w14:textFill>
        </w:rPr>
        <w:t>。</w:t>
      </w:r>
    </w:p>
    <w:p w14:paraId="77989624">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2</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资金落实情况</w:t>
      </w:r>
    </w:p>
    <w:p w14:paraId="33C4DCC3">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.1本项目的采购人已获得足以支付本次磋商后所签订的合同项下的资金。</w:t>
      </w:r>
    </w:p>
    <w:p w14:paraId="2255FE15">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3</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磋商费用</w:t>
      </w:r>
    </w:p>
    <w:p w14:paraId="58012BEB">
      <w:pPr>
        <w:spacing w:line="360" w:lineRule="auto"/>
        <w:ind w:firstLine="43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不论磋商的结果如何，供应商应承担其所有与准备和参加磋商有关的费用。</w:t>
      </w:r>
    </w:p>
    <w:p w14:paraId="3FFEAA5E">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4</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适用法律</w:t>
      </w:r>
    </w:p>
    <w:p w14:paraId="27DAA361">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09BA81CE">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5</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磋商文件构成</w:t>
      </w:r>
    </w:p>
    <w:p w14:paraId="53126CD7">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5.1磋商文件包括下列内容：</w:t>
      </w:r>
    </w:p>
    <w:p w14:paraId="04E64602">
      <w:pPr>
        <w:spacing w:line="360" w:lineRule="auto"/>
        <w:ind w:firstLine="840" w:firstLineChars="350"/>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第一章</w:t>
      </w:r>
      <w:r>
        <w:rPr>
          <w:rFonts w:asciiTheme="minorEastAsia" w:hAnsiTheme="minorEastAsia" w:eastAsia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olor w:val="000000" w:themeColor="text1"/>
          <w:sz w:val="24"/>
          <w:highlight w:val="none"/>
          <w14:textFill>
            <w14:solidFill>
              <w14:schemeClr w14:val="tx1"/>
            </w14:solidFill>
          </w14:textFill>
        </w:rPr>
        <w:t>磋商邀请</w:t>
      </w:r>
    </w:p>
    <w:p w14:paraId="11185C4C">
      <w:pPr>
        <w:spacing w:line="360" w:lineRule="auto"/>
        <w:ind w:firstLine="840" w:firstLineChars="350"/>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第二章</w:t>
      </w:r>
      <w:r>
        <w:rPr>
          <w:rFonts w:asciiTheme="minorEastAsia" w:hAnsiTheme="minorEastAsia" w:eastAsia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olor w:val="000000" w:themeColor="text1"/>
          <w:sz w:val="24"/>
          <w:highlight w:val="none"/>
          <w14:textFill>
            <w14:solidFill>
              <w14:schemeClr w14:val="tx1"/>
            </w14:solidFill>
          </w14:textFill>
        </w:rPr>
        <w:t>供应商</w:t>
      </w:r>
      <w:r>
        <w:rPr>
          <w:rFonts w:asciiTheme="minorEastAsia" w:hAnsiTheme="minorEastAsia" w:eastAsiaTheme="minorEastAsia"/>
          <w:color w:val="000000" w:themeColor="text1"/>
          <w:sz w:val="24"/>
          <w:highlight w:val="none"/>
          <w14:textFill>
            <w14:solidFill>
              <w14:schemeClr w14:val="tx1"/>
            </w14:solidFill>
          </w14:textFill>
        </w:rPr>
        <w:t>须知</w:t>
      </w:r>
    </w:p>
    <w:p w14:paraId="6E999178">
      <w:pPr>
        <w:spacing w:line="360" w:lineRule="auto"/>
        <w:ind w:firstLine="840" w:firstLineChars="350"/>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第三章</w:t>
      </w:r>
      <w:r>
        <w:rPr>
          <w:rFonts w:asciiTheme="minorEastAsia" w:hAnsiTheme="minorEastAsia" w:eastAsiaTheme="minorEastAsia"/>
          <w:color w:val="000000" w:themeColor="text1"/>
          <w:sz w:val="24"/>
          <w:highlight w:val="none"/>
          <w14:textFill>
            <w14:solidFill>
              <w14:schemeClr w14:val="tx1"/>
            </w14:solidFill>
          </w14:textFill>
        </w:rPr>
        <w:t xml:space="preserve">  采购需求</w:t>
      </w:r>
    </w:p>
    <w:p w14:paraId="146E9BD6">
      <w:pPr>
        <w:spacing w:line="360" w:lineRule="auto"/>
        <w:ind w:firstLine="840" w:firstLineChars="350"/>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第四章</w:t>
      </w:r>
      <w:r>
        <w:rPr>
          <w:rFonts w:asciiTheme="minorEastAsia" w:hAnsiTheme="minorEastAsia" w:eastAsia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olor w:val="000000" w:themeColor="text1"/>
          <w:sz w:val="24"/>
          <w:highlight w:val="none"/>
          <w14:textFill>
            <w14:solidFill>
              <w14:schemeClr w14:val="tx1"/>
            </w14:solidFill>
          </w14:textFill>
        </w:rPr>
        <w:t>评审方法</w:t>
      </w:r>
      <w:r>
        <w:rPr>
          <w:rFonts w:asciiTheme="minorEastAsia" w:hAnsiTheme="minorEastAsia" w:eastAsiaTheme="minorEastAsia"/>
          <w:color w:val="000000" w:themeColor="text1"/>
          <w:sz w:val="24"/>
          <w:highlight w:val="none"/>
          <w14:textFill>
            <w14:solidFill>
              <w14:schemeClr w14:val="tx1"/>
            </w14:solidFill>
          </w14:textFill>
        </w:rPr>
        <w:t>和标准</w:t>
      </w:r>
    </w:p>
    <w:p w14:paraId="725D224D">
      <w:pPr>
        <w:spacing w:line="360" w:lineRule="auto"/>
        <w:ind w:firstLine="840" w:firstLineChars="350"/>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第五章</w:t>
      </w:r>
      <w:r>
        <w:rPr>
          <w:rFonts w:asciiTheme="minorEastAsia" w:hAnsiTheme="minorEastAsia" w:eastAsiaTheme="minorEastAsia"/>
          <w:color w:val="000000" w:themeColor="text1"/>
          <w:sz w:val="24"/>
          <w:highlight w:val="none"/>
          <w14:textFill>
            <w14:solidFill>
              <w14:schemeClr w14:val="tx1"/>
            </w14:solidFill>
          </w14:textFill>
        </w:rPr>
        <w:t xml:space="preserve">  政府采购合同</w:t>
      </w:r>
    </w:p>
    <w:p w14:paraId="79F9E1B3">
      <w:pPr>
        <w:spacing w:line="360" w:lineRule="auto"/>
        <w:ind w:firstLine="840" w:firstLineChars="350"/>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第六章</w:t>
      </w:r>
      <w:r>
        <w:rPr>
          <w:rFonts w:asciiTheme="minorEastAsia" w:hAnsiTheme="minorEastAsia" w:eastAsia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olor w:val="000000" w:themeColor="text1"/>
          <w:sz w:val="24"/>
          <w:highlight w:val="none"/>
          <w14:textFill>
            <w14:solidFill>
              <w14:schemeClr w14:val="tx1"/>
            </w14:solidFill>
          </w14:textFill>
        </w:rPr>
        <w:t>响应</w:t>
      </w:r>
      <w:r>
        <w:rPr>
          <w:rFonts w:asciiTheme="minorEastAsia" w:hAnsiTheme="minorEastAsia" w:eastAsiaTheme="minorEastAsia"/>
          <w:color w:val="000000" w:themeColor="text1"/>
          <w:sz w:val="24"/>
          <w:highlight w:val="none"/>
          <w14:textFill>
            <w14:solidFill>
              <w14:schemeClr w14:val="tx1"/>
            </w14:solidFill>
          </w14:textFill>
        </w:rPr>
        <w:t>文件格式</w:t>
      </w:r>
    </w:p>
    <w:p w14:paraId="02548871">
      <w:pPr>
        <w:spacing w:line="360" w:lineRule="auto"/>
        <w:ind w:firstLine="840" w:firstLineChars="350"/>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第七章</w:t>
      </w:r>
      <w:r>
        <w:rPr>
          <w:rFonts w:asciiTheme="minorEastAsia" w:hAnsiTheme="minorEastAsia" w:eastAsiaTheme="minorEastAsia"/>
          <w:color w:val="000000" w:themeColor="text1"/>
          <w:sz w:val="24"/>
          <w:highlight w:val="none"/>
          <w14:textFill>
            <w14:solidFill>
              <w14:schemeClr w14:val="tx1"/>
            </w14:solidFill>
          </w14:textFill>
        </w:rPr>
        <w:t xml:space="preserve">  政府采购供应商</w:t>
      </w:r>
      <w:r>
        <w:rPr>
          <w:rFonts w:hint="eastAsia" w:asciiTheme="minorEastAsia" w:hAnsiTheme="minorEastAsia" w:eastAsiaTheme="minorEastAsia"/>
          <w:color w:val="000000" w:themeColor="text1"/>
          <w:sz w:val="24"/>
          <w:highlight w:val="none"/>
          <w14:textFill>
            <w14:solidFill>
              <w14:schemeClr w14:val="tx1"/>
            </w14:solidFill>
          </w14:textFill>
        </w:rPr>
        <w:t>询问函和</w:t>
      </w:r>
      <w:r>
        <w:rPr>
          <w:rFonts w:asciiTheme="minorEastAsia" w:hAnsiTheme="minorEastAsia" w:eastAsiaTheme="minorEastAsia"/>
          <w:color w:val="000000" w:themeColor="text1"/>
          <w:sz w:val="24"/>
          <w:highlight w:val="none"/>
          <w14:textFill>
            <w14:solidFill>
              <w14:schemeClr w14:val="tx1"/>
            </w14:solidFill>
          </w14:textFill>
        </w:rPr>
        <w:t>质疑函范本</w:t>
      </w:r>
    </w:p>
    <w:p w14:paraId="000306A2">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现场</w:t>
      </w:r>
      <w:r>
        <w:rPr>
          <w:rFonts w:hint="eastAsia" w:asciiTheme="minorEastAsia" w:hAnsiTheme="minorEastAsia" w:eastAsiaTheme="minorEastAsia"/>
          <w:color w:val="000000" w:themeColor="text1"/>
          <w:sz w:val="24"/>
          <w:highlight w:val="none"/>
          <w14:textFill>
            <w14:solidFill>
              <w14:schemeClr w14:val="tx1"/>
            </w14:solidFill>
          </w14:textFill>
        </w:rPr>
        <w:t>考察（标前答疑会）</w:t>
      </w:r>
      <w:r>
        <w:rPr>
          <w:rFonts w:asciiTheme="minorEastAsia" w:hAnsiTheme="minorEastAsia" w:eastAsiaTheme="minorEastAsia"/>
          <w:color w:val="000000" w:themeColor="text1"/>
          <w:sz w:val="24"/>
          <w:highlight w:val="none"/>
          <w14:textFill>
            <w14:solidFill>
              <w14:schemeClr w14:val="tx1"/>
            </w14:solidFill>
          </w14:textFill>
        </w:rPr>
        <w:t>及相关事项见</w:t>
      </w:r>
      <w:r>
        <w:rPr>
          <w:rFonts w:asciiTheme="minorEastAsia" w:hAnsiTheme="minorEastAsia" w:eastAsiaTheme="minorEastAsia"/>
          <w:color w:val="000000" w:themeColor="text1"/>
          <w:sz w:val="24"/>
          <w:highlight w:val="none"/>
          <w:u w:val="single"/>
          <w14:textFill>
            <w14:solidFill>
              <w14:schemeClr w14:val="tx1"/>
            </w14:solidFill>
          </w14:textFill>
        </w:rPr>
        <w:t>供应商须知前附表</w:t>
      </w:r>
      <w:r>
        <w:rPr>
          <w:rFonts w:asciiTheme="minorEastAsia" w:hAnsiTheme="minorEastAsia" w:eastAsiaTheme="minorEastAsia"/>
          <w:color w:val="000000" w:themeColor="text1"/>
          <w:sz w:val="24"/>
          <w:highlight w:val="none"/>
          <w14:textFill>
            <w14:solidFill>
              <w14:schemeClr w14:val="tx1"/>
            </w14:solidFill>
          </w14:textFill>
        </w:rPr>
        <w:t>。</w:t>
      </w:r>
    </w:p>
    <w:p w14:paraId="0F223572">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3供应商</w:t>
      </w:r>
      <w:r>
        <w:rPr>
          <w:rFonts w:asciiTheme="minorEastAsia" w:hAnsiTheme="minorEastAsia" w:eastAsiaTheme="minorEastAsia"/>
          <w:color w:val="000000" w:themeColor="text1"/>
          <w:sz w:val="24"/>
          <w:highlight w:val="none"/>
          <w14:textFill>
            <w14:solidFill>
              <w14:schemeClr w14:val="tx1"/>
            </w14:solidFill>
          </w14:textFill>
        </w:rPr>
        <w:t>应认真阅读</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文件所有的事项、格式、条款和技术规范等。</w:t>
      </w:r>
    </w:p>
    <w:p w14:paraId="2E69108E">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6</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磋商文件的澄清与修改</w:t>
      </w:r>
    </w:p>
    <w:p w14:paraId="0FACDED9">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6</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1供应商</w:t>
      </w:r>
      <w:r>
        <w:rPr>
          <w:rFonts w:asciiTheme="minorEastAsia" w:hAnsiTheme="minorEastAsia" w:eastAsiaTheme="minorEastAsia"/>
          <w:color w:val="000000" w:themeColor="text1"/>
          <w:sz w:val="24"/>
          <w:highlight w:val="none"/>
          <w14:textFill>
            <w14:solidFill>
              <w14:schemeClr w14:val="tx1"/>
            </w14:solidFill>
          </w14:textFill>
        </w:rPr>
        <w:t>如对</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文件内容有疑问，必须在</w:t>
      </w:r>
      <w:r>
        <w:rPr>
          <w:color w:val="000000" w:themeColor="text1"/>
          <w:sz w:val="24"/>
          <w:highlight w:val="none"/>
          <w:u w:val="single"/>
          <w14:textFill>
            <w14:solidFill>
              <w14:schemeClr w14:val="tx1"/>
            </w14:solidFill>
          </w14:textFill>
        </w:rPr>
        <w:t>供应商须知前附表</w:t>
      </w:r>
      <w:r>
        <w:rPr>
          <w:rFonts w:asciiTheme="minorEastAsia" w:hAnsiTheme="minorEastAsia" w:eastAsiaTheme="minorEastAsia"/>
          <w:color w:val="000000" w:themeColor="text1"/>
          <w:sz w:val="24"/>
          <w:highlight w:val="none"/>
          <w14:textFill>
            <w14:solidFill>
              <w14:schemeClr w14:val="tx1"/>
            </w14:solidFill>
          </w14:textFill>
        </w:rPr>
        <w:t>规定的</w:t>
      </w:r>
      <w:r>
        <w:rPr>
          <w:rFonts w:hint="eastAsia" w:asciiTheme="minorEastAsia" w:hAnsiTheme="minorEastAsia" w:eastAsiaTheme="minorEastAsia"/>
          <w:color w:val="000000" w:themeColor="text1"/>
          <w:sz w:val="24"/>
          <w:highlight w:val="none"/>
          <w14:textFill>
            <w14:solidFill>
              <w14:schemeClr w14:val="tx1"/>
            </w14:solidFill>
          </w14:textFill>
        </w:rPr>
        <w:t>网上询问</w:t>
      </w:r>
      <w:r>
        <w:rPr>
          <w:rFonts w:asciiTheme="minorEastAsia" w:hAnsiTheme="minorEastAsia" w:eastAsiaTheme="minorEastAsia"/>
          <w:color w:val="000000" w:themeColor="text1"/>
          <w:sz w:val="24"/>
          <w:highlight w:val="none"/>
          <w14:textFill>
            <w14:solidFill>
              <w14:schemeClr w14:val="tx1"/>
            </w14:solidFill>
          </w14:textFill>
        </w:rPr>
        <w:t>截止时间前以网上提问形式</w:t>
      </w:r>
      <w:r>
        <w:rPr>
          <w:rFonts w:hint="eastAsia" w:asciiTheme="minorEastAsia" w:hAnsiTheme="minorEastAsia" w:eastAsiaTheme="minorEastAsia"/>
          <w:color w:val="000000" w:themeColor="text1"/>
          <w:sz w:val="24"/>
          <w:highlight w:val="none"/>
          <w14:textFill>
            <w14:solidFill>
              <w14:schemeClr w14:val="tx1"/>
            </w14:solidFill>
          </w14:textFill>
        </w:rPr>
        <w:t>（电子交易系统）</w:t>
      </w:r>
      <w:r>
        <w:rPr>
          <w:rFonts w:asciiTheme="minorEastAsia" w:hAnsiTheme="minorEastAsia" w:eastAsiaTheme="minorEastAsia"/>
          <w:color w:val="000000" w:themeColor="text1"/>
          <w:sz w:val="24"/>
          <w:highlight w:val="none"/>
          <w14:textFill>
            <w14:solidFill>
              <w14:schemeClr w14:val="tx1"/>
            </w14:solidFill>
          </w14:textFill>
        </w:rPr>
        <w:t>提交给采购代理机构。</w:t>
      </w:r>
    </w:p>
    <w:p w14:paraId="75EDD45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6</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2采购人可主动地或在答复供应商提出的询问时对磋商文件进行澄清与修改。</w:t>
      </w:r>
      <w:r>
        <w:rPr>
          <w:rFonts w:asciiTheme="minorEastAsia" w:hAnsiTheme="minorEastAsia" w:eastAsiaTheme="minorEastAsia"/>
          <w:color w:val="000000" w:themeColor="text1"/>
          <w:sz w:val="24"/>
          <w:highlight w:val="none"/>
          <w14:textFill>
            <w14:solidFill>
              <w14:schemeClr w14:val="tx1"/>
            </w14:solidFill>
          </w14:textFill>
        </w:rPr>
        <w:t>采购代理机构将</w:t>
      </w:r>
      <w:r>
        <w:rPr>
          <w:rFonts w:hint="eastAsia" w:asciiTheme="minorEastAsia" w:hAnsiTheme="minorEastAsia" w:eastAsiaTheme="minorEastAsia"/>
          <w:color w:val="000000" w:themeColor="text1"/>
          <w:sz w:val="24"/>
          <w:highlight w:val="none"/>
          <w14:textFill>
            <w14:solidFill>
              <w14:schemeClr w14:val="tx1"/>
            </w14:solidFill>
          </w14:textFill>
        </w:rPr>
        <w:t>在</w:t>
      </w:r>
      <w:bookmarkStart w:id="41" w:name="_Hlk16458572"/>
      <w:r>
        <w:rPr>
          <w:rFonts w:hint="eastAsia"/>
          <w:color w:val="000000" w:themeColor="text1"/>
          <w:sz w:val="24"/>
          <w:szCs w:val="18"/>
          <w:highlight w:val="none"/>
          <w14:textFill>
            <w14:solidFill>
              <w14:schemeClr w14:val="tx1"/>
            </w14:solidFill>
          </w14:textFill>
        </w:rPr>
        <w:t>安徽省政府采购网</w:t>
      </w:r>
      <w:bookmarkEnd w:id="41"/>
      <w:r>
        <w:rPr>
          <w:rFonts w:hint="eastAsia" w:asciiTheme="minorEastAsia" w:hAnsiTheme="minorEastAsia" w:eastAsiaTheme="minorEastAsia"/>
          <w:color w:val="000000" w:themeColor="text1"/>
          <w:sz w:val="24"/>
          <w:highlight w:val="none"/>
          <w14:textFill>
            <w14:solidFill>
              <w14:schemeClr w14:val="tx1"/>
            </w14:solidFill>
          </w14:textFill>
        </w:rPr>
        <w:t>发布更正公告的方式澄清或者修改磋商文件，更正公告的</w:t>
      </w:r>
      <w:r>
        <w:rPr>
          <w:rFonts w:asciiTheme="minorEastAsia" w:hAnsiTheme="minorEastAsia" w:eastAsiaTheme="minorEastAsia"/>
          <w:color w:val="000000" w:themeColor="text1"/>
          <w:sz w:val="24"/>
          <w:highlight w:val="none"/>
          <w14:textFill>
            <w14:solidFill>
              <w14:schemeClr w14:val="tx1"/>
            </w14:solidFill>
          </w14:textFill>
        </w:rPr>
        <w:t>内容</w:t>
      </w:r>
      <w:r>
        <w:rPr>
          <w:rFonts w:hint="eastAsia" w:asciiTheme="minorEastAsia" w:hAnsiTheme="minorEastAsia" w:eastAsiaTheme="minorEastAsia"/>
          <w:color w:val="000000" w:themeColor="text1"/>
          <w:sz w:val="24"/>
          <w:highlight w:val="none"/>
          <w14:textFill>
            <w14:solidFill>
              <w14:schemeClr w14:val="tx1"/>
            </w14:solidFill>
          </w14:textFill>
        </w:rPr>
        <w:t>作</w:t>
      </w:r>
      <w:r>
        <w:rPr>
          <w:rFonts w:asciiTheme="minorEastAsia" w:hAnsiTheme="minorEastAsia" w:eastAsiaTheme="minorEastAsia"/>
          <w:color w:val="000000" w:themeColor="text1"/>
          <w:sz w:val="24"/>
          <w:highlight w:val="none"/>
          <w14:textFill>
            <w14:solidFill>
              <w14:schemeClr w14:val="tx1"/>
            </w14:solidFill>
          </w14:textFill>
        </w:rPr>
        <w:t>为</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文件</w:t>
      </w:r>
      <w:r>
        <w:rPr>
          <w:rFonts w:hint="eastAsia" w:asciiTheme="minorEastAsia" w:hAnsiTheme="minorEastAsia" w:eastAsiaTheme="minorEastAsia"/>
          <w:color w:val="000000" w:themeColor="text1"/>
          <w:sz w:val="24"/>
          <w:highlight w:val="none"/>
          <w14:textFill>
            <w14:solidFill>
              <w14:schemeClr w14:val="tx1"/>
            </w14:solidFill>
          </w14:textFill>
        </w:rPr>
        <w:t>的</w:t>
      </w:r>
      <w:r>
        <w:rPr>
          <w:rFonts w:asciiTheme="minorEastAsia" w:hAnsiTheme="minorEastAsia" w:eastAsiaTheme="minorEastAsia"/>
          <w:color w:val="000000" w:themeColor="text1"/>
          <w:sz w:val="24"/>
          <w:highlight w:val="none"/>
          <w14:textFill>
            <w14:solidFill>
              <w14:schemeClr w14:val="tx1"/>
            </w14:solidFill>
          </w14:textFill>
        </w:rPr>
        <w:t>组成部分，对</w:t>
      </w:r>
      <w:r>
        <w:rPr>
          <w:rFonts w:hint="eastAsia" w:asciiTheme="minorEastAsia" w:hAnsiTheme="minorEastAsia" w:eastAsiaTheme="minorEastAsia"/>
          <w:color w:val="000000" w:themeColor="text1"/>
          <w:sz w:val="24"/>
          <w:highlight w:val="none"/>
          <w14:textFill>
            <w14:solidFill>
              <w14:schemeClr w14:val="tx1"/>
            </w14:solidFill>
          </w14:textFill>
        </w:rPr>
        <w:t>供应商</w:t>
      </w:r>
      <w:r>
        <w:rPr>
          <w:rFonts w:asciiTheme="minorEastAsia" w:hAnsiTheme="minorEastAsia" w:eastAsiaTheme="minorEastAsia"/>
          <w:color w:val="000000" w:themeColor="text1"/>
          <w:sz w:val="24"/>
          <w:highlight w:val="none"/>
          <w14:textFill>
            <w14:solidFill>
              <w14:schemeClr w14:val="tx1"/>
            </w14:solidFill>
          </w14:textFill>
        </w:rPr>
        <w:t>起约束作用</w:t>
      </w:r>
      <w:r>
        <w:rPr>
          <w:rFonts w:hint="eastAsia" w:asciiTheme="minorEastAsia" w:hAnsiTheme="minorEastAsia" w:eastAsiaTheme="minorEastAsia"/>
          <w:color w:val="000000" w:themeColor="text1"/>
          <w:sz w:val="24"/>
          <w:highlight w:val="none"/>
          <w14:textFill>
            <w14:solidFill>
              <w14:schemeClr w14:val="tx1"/>
            </w14:solidFill>
          </w14:textFill>
        </w:rPr>
        <w:t>。供应商应主动上网查询。采购代理机构不承担供应商未及时关注相关信息引发的相关责任。</w:t>
      </w:r>
    </w:p>
    <w:p w14:paraId="3FF7FF92">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28146885">
      <w:pPr>
        <w:spacing w:line="360" w:lineRule="auto"/>
        <w:ind w:firstLine="435"/>
        <w:rPr>
          <w:rFonts w:asciiTheme="minorEastAsia" w:hAnsiTheme="minorEastAsia" w:eastAsiaTheme="minorEastAsia"/>
          <w:iCs/>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6</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4</w:t>
      </w:r>
      <w:r>
        <w:rPr>
          <w:rFonts w:asciiTheme="minorEastAsia" w:hAnsiTheme="minorEastAsia" w:eastAsiaTheme="minorEastAsia"/>
          <w:color w:val="000000" w:themeColor="text1"/>
          <w:sz w:val="24"/>
          <w:highlight w:val="none"/>
          <w14:textFill>
            <w14:solidFill>
              <w14:schemeClr w14:val="tx1"/>
            </w14:solidFill>
          </w14:textFill>
        </w:rPr>
        <w:t>对于</w:t>
      </w:r>
      <w:r>
        <w:rPr>
          <w:color w:val="000000" w:themeColor="text1"/>
          <w:sz w:val="24"/>
          <w:highlight w:val="none"/>
          <w14:textFill>
            <w14:solidFill>
              <w14:schemeClr w14:val="tx1"/>
            </w14:solidFill>
          </w14:textFill>
        </w:rPr>
        <w:t>没有</w:t>
      </w:r>
      <w:r>
        <w:rPr>
          <w:rFonts w:asciiTheme="minorEastAsia" w:hAnsiTheme="minorEastAsia" w:eastAsiaTheme="minorEastAsia"/>
          <w:color w:val="000000" w:themeColor="text1"/>
          <w:sz w:val="24"/>
          <w:highlight w:val="none"/>
          <w14:textFill>
            <w14:solidFill>
              <w14:schemeClr w14:val="tx1"/>
            </w14:solidFill>
          </w14:textFill>
        </w:rPr>
        <w:t>提出</w:t>
      </w:r>
      <w:r>
        <w:rPr>
          <w:rFonts w:hint="eastAsia" w:asciiTheme="minorEastAsia" w:hAnsiTheme="minorEastAsia" w:eastAsiaTheme="minorEastAsia"/>
          <w:color w:val="000000" w:themeColor="text1"/>
          <w:sz w:val="24"/>
          <w:highlight w:val="none"/>
          <w14:textFill>
            <w14:solidFill>
              <w14:schemeClr w14:val="tx1"/>
            </w14:solidFill>
          </w14:textFill>
        </w:rPr>
        <w:t>询问</w:t>
      </w:r>
      <w:r>
        <w:rPr>
          <w:rFonts w:asciiTheme="minorEastAsia" w:hAnsiTheme="minorEastAsia" w:eastAsiaTheme="minorEastAsia"/>
          <w:color w:val="000000" w:themeColor="text1"/>
          <w:sz w:val="24"/>
          <w:highlight w:val="none"/>
          <w14:textFill>
            <w14:solidFill>
              <w14:schemeClr w14:val="tx1"/>
            </w14:solidFill>
          </w14:textFill>
        </w:rPr>
        <w:t>又参与了</w:t>
      </w:r>
      <w:r>
        <w:rPr>
          <w:rFonts w:hint="eastAsia" w:asciiTheme="minorEastAsia" w:hAnsiTheme="minorEastAsia" w:eastAsiaTheme="minorEastAsia"/>
          <w:color w:val="000000" w:themeColor="text1"/>
          <w:sz w:val="24"/>
          <w:highlight w:val="none"/>
          <w14:textFill>
            <w14:solidFill>
              <w14:schemeClr w14:val="tx1"/>
            </w14:solidFill>
          </w14:textFill>
        </w:rPr>
        <w:t>本</w:t>
      </w:r>
      <w:r>
        <w:rPr>
          <w:rFonts w:asciiTheme="minorEastAsia" w:hAnsiTheme="minorEastAsia" w:eastAsiaTheme="minorEastAsia"/>
          <w:color w:val="000000" w:themeColor="text1"/>
          <w:sz w:val="24"/>
          <w:highlight w:val="none"/>
          <w14:textFill>
            <w14:solidFill>
              <w14:schemeClr w14:val="tx1"/>
            </w14:solidFill>
          </w14:textFill>
        </w:rPr>
        <w:t>项目</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的</w:t>
      </w:r>
      <w:r>
        <w:rPr>
          <w:rFonts w:hint="eastAsia" w:asciiTheme="minorEastAsia" w:hAnsiTheme="minorEastAsia" w:eastAsiaTheme="minorEastAsia"/>
          <w:color w:val="000000" w:themeColor="text1"/>
          <w:sz w:val="24"/>
          <w:highlight w:val="none"/>
          <w14:textFill>
            <w14:solidFill>
              <w14:schemeClr w14:val="tx1"/>
            </w14:solidFill>
          </w14:textFill>
        </w:rPr>
        <w:t>供应商</w:t>
      </w:r>
      <w:r>
        <w:rPr>
          <w:rFonts w:asciiTheme="minorEastAsia" w:hAnsiTheme="minorEastAsia" w:eastAsiaTheme="minorEastAsia"/>
          <w:color w:val="000000" w:themeColor="text1"/>
          <w:sz w:val="24"/>
          <w:highlight w:val="none"/>
          <w14:textFill>
            <w14:solidFill>
              <w14:schemeClr w14:val="tx1"/>
            </w14:solidFill>
          </w14:textFill>
        </w:rPr>
        <w:t>将被视为完全认同</w:t>
      </w:r>
      <w:r>
        <w:rPr>
          <w:rFonts w:hint="eastAsia" w:asciiTheme="minorEastAsia" w:hAnsiTheme="minorEastAsia" w:eastAsiaTheme="minorEastAsia"/>
          <w:color w:val="000000" w:themeColor="text1"/>
          <w:sz w:val="24"/>
          <w:highlight w:val="none"/>
          <w14:textFill>
            <w14:solidFill>
              <w14:schemeClr w14:val="tx1"/>
            </w14:solidFill>
          </w14:textFill>
        </w:rPr>
        <w:t>本磋商</w:t>
      </w:r>
      <w:r>
        <w:rPr>
          <w:rFonts w:asciiTheme="minorEastAsia" w:hAnsiTheme="minorEastAsia" w:eastAsiaTheme="minorEastAsia"/>
          <w:color w:val="000000" w:themeColor="text1"/>
          <w:sz w:val="24"/>
          <w:highlight w:val="none"/>
          <w14:textFill>
            <w14:solidFill>
              <w14:schemeClr w14:val="tx1"/>
            </w14:solidFill>
          </w14:textFill>
        </w:rPr>
        <w:t>文件（含</w:t>
      </w:r>
      <w:r>
        <w:rPr>
          <w:rFonts w:hint="eastAsia" w:asciiTheme="minorEastAsia" w:hAnsiTheme="minorEastAsia" w:eastAsiaTheme="minorEastAsia"/>
          <w:color w:val="000000" w:themeColor="text1"/>
          <w:sz w:val="24"/>
          <w:highlight w:val="none"/>
          <w14:textFill>
            <w14:solidFill>
              <w14:schemeClr w14:val="tx1"/>
            </w14:solidFill>
          </w14:textFill>
        </w:rPr>
        <w:t>更正公告的</w:t>
      </w:r>
      <w:r>
        <w:rPr>
          <w:rFonts w:asciiTheme="minorEastAsia" w:hAnsiTheme="minorEastAsia" w:eastAsiaTheme="minorEastAsia"/>
          <w:color w:val="000000" w:themeColor="text1"/>
          <w:sz w:val="24"/>
          <w:highlight w:val="none"/>
          <w14:textFill>
            <w14:solidFill>
              <w14:schemeClr w14:val="tx1"/>
            </w14:solidFill>
          </w14:textFill>
        </w:rPr>
        <w:t>内容）</w:t>
      </w:r>
      <w:r>
        <w:rPr>
          <w:rFonts w:hint="eastAsia" w:asciiTheme="minorEastAsia" w:hAnsiTheme="minorEastAsia" w:eastAsiaTheme="minorEastAsia"/>
          <w:i/>
          <w:color w:val="000000" w:themeColor="text1"/>
          <w:sz w:val="24"/>
          <w:highlight w:val="none"/>
          <w14:textFill>
            <w14:solidFill>
              <w14:schemeClr w14:val="tx1"/>
            </w14:solidFill>
          </w14:textFill>
        </w:rPr>
        <w:t>。</w:t>
      </w:r>
    </w:p>
    <w:p w14:paraId="31FA800C">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7</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磋商范围及响应文件中标准和计量单位的使用</w:t>
      </w:r>
    </w:p>
    <w:p w14:paraId="720F1C01">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7</w:t>
      </w:r>
      <w:r>
        <w:rPr>
          <w:rFonts w:asciiTheme="minorEastAsia" w:hAnsiTheme="minorEastAsia" w:eastAsiaTheme="minorEastAsia"/>
          <w:color w:val="000000" w:themeColor="text1"/>
          <w:sz w:val="24"/>
          <w:highlight w:val="none"/>
          <w14:textFill>
            <w14:solidFill>
              <w14:schemeClr w14:val="tx1"/>
            </w14:solidFill>
          </w14:textFill>
        </w:rPr>
        <w:t>.1项目有分包的，供应商可</w:t>
      </w:r>
      <w:r>
        <w:rPr>
          <w:rFonts w:hint="eastAsia" w:asciiTheme="minorEastAsia" w:hAnsiTheme="minorEastAsia" w:eastAsiaTheme="minorEastAsia"/>
          <w:color w:val="000000" w:themeColor="text1"/>
          <w:sz w:val="24"/>
          <w:highlight w:val="none"/>
          <w14:textFill>
            <w14:solidFill>
              <w14:schemeClr w14:val="tx1"/>
            </w14:solidFill>
          </w14:textFill>
        </w:rPr>
        <w:t>参与</w:t>
      </w:r>
      <w:r>
        <w:rPr>
          <w:rFonts w:asciiTheme="minorEastAsia" w:hAnsiTheme="minorEastAsia" w:eastAsiaTheme="minorEastAsia"/>
          <w:color w:val="000000" w:themeColor="text1"/>
          <w:sz w:val="24"/>
          <w:highlight w:val="none"/>
          <w14:textFill>
            <w14:solidFill>
              <w14:schemeClr w14:val="tx1"/>
            </w14:solidFill>
          </w14:textFill>
        </w:rPr>
        <w:t>其中某一个或</w:t>
      </w:r>
      <w:r>
        <w:rPr>
          <w:rFonts w:hint="eastAsia" w:asciiTheme="minorEastAsia" w:hAnsiTheme="minorEastAsia" w:eastAsiaTheme="minorEastAsia"/>
          <w:color w:val="000000" w:themeColor="text1"/>
          <w:sz w:val="24"/>
          <w:highlight w:val="none"/>
          <w14:textFill>
            <w14:solidFill>
              <w14:schemeClr w14:val="tx1"/>
            </w14:solidFill>
          </w14:textFill>
        </w:rPr>
        <w:t>多</w:t>
      </w:r>
      <w:r>
        <w:rPr>
          <w:rFonts w:asciiTheme="minorEastAsia" w:hAnsiTheme="minorEastAsia" w:eastAsiaTheme="minorEastAsia"/>
          <w:color w:val="000000" w:themeColor="text1"/>
          <w:sz w:val="24"/>
          <w:highlight w:val="none"/>
          <w14:textFill>
            <w14:solidFill>
              <w14:schemeClr w14:val="tx1"/>
            </w14:solidFill>
          </w14:textFill>
        </w:rPr>
        <w:t>个分包</w:t>
      </w:r>
      <w:r>
        <w:rPr>
          <w:rFonts w:hint="eastAsia" w:asciiTheme="minorEastAsia" w:hAnsiTheme="minorEastAsia" w:eastAsiaTheme="minorEastAsia"/>
          <w:color w:val="000000" w:themeColor="text1"/>
          <w:sz w:val="24"/>
          <w:highlight w:val="none"/>
          <w14:textFill>
            <w14:solidFill>
              <w14:schemeClr w14:val="tx1"/>
            </w14:solidFill>
          </w14:textFill>
        </w:rPr>
        <w:t>的磋商</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成交包数详见</w:t>
      </w:r>
      <w:r>
        <w:rPr>
          <w:rFonts w:asciiTheme="minorEastAsia" w:hAnsiTheme="minorEastAsia" w:eastAsiaTheme="minorEastAsia"/>
          <w:color w:val="000000" w:themeColor="text1"/>
          <w:sz w:val="24"/>
          <w:highlight w:val="none"/>
          <w:u w:val="single"/>
          <w14:textFill>
            <w14:solidFill>
              <w14:schemeClr w14:val="tx1"/>
            </w14:solidFill>
          </w14:textFill>
        </w:rPr>
        <w:t>供应商须知前附表</w:t>
      </w:r>
      <w:r>
        <w:rPr>
          <w:rFonts w:asciiTheme="minorEastAsia" w:hAnsiTheme="minorEastAsia" w:eastAsiaTheme="minorEastAsia"/>
          <w:color w:val="000000" w:themeColor="text1"/>
          <w:sz w:val="24"/>
          <w:highlight w:val="none"/>
          <w14:textFill>
            <w14:solidFill>
              <w14:schemeClr w14:val="tx1"/>
            </w14:solidFill>
          </w14:textFill>
        </w:rPr>
        <w:t>中规定。</w:t>
      </w:r>
    </w:p>
    <w:p w14:paraId="48B255CA">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7</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无论磋商文件中是否要求，供应商所</w:t>
      </w:r>
      <w:r>
        <w:rPr>
          <w:rFonts w:hint="eastAsia" w:asciiTheme="minorEastAsia" w:hAnsiTheme="minorEastAsia" w:eastAsiaTheme="minorEastAsia"/>
          <w:color w:val="000000" w:themeColor="text1"/>
          <w:sz w:val="24"/>
          <w:highlight w:val="none"/>
          <w14:textFill>
            <w14:solidFill>
              <w14:schemeClr w14:val="tx1"/>
            </w14:solidFill>
          </w14:textFill>
        </w:rPr>
        <w:t>承担</w:t>
      </w:r>
      <w:r>
        <w:rPr>
          <w:rFonts w:asciiTheme="minorEastAsia" w:hAnsiTheme="minorEastAsia" w:eastAsiaTheme="minorEastAsia"/>
          <w:color w:val="000000" w:themeColor="text1"/>
          <w:sz w:val="24"/>
          <w:highlight w:val="none"/>
          <w14:textFill>
            <w14:solidFill>
              <w14:schemeClr w14:val="tx1"/>
            </w14:solidFill>
          </w14:textFill>
        </w:rPr>
        <w:t>工程及伴随的货物和</w:t>
      </w:r>
      <w:r>
        <w:rPr>
          <w:rFonts w:hint="eastAsia" w:asciiTheme="minorEastAsia" w:hAnsiTheme="minorEastAsia" w:eastAsiaTheme="minorEastAsia"/>
          <w:color w:val="000000" w:themeColor="text1"/>
          <w:sz w:val="24"/>
          <w:highlight w:val="none"/>
          <w14:textFill>
            <w14:solidFill>
              <w14:schemeClr w14:val="tx1"/>
            </w14:solidFill>
          </w14:textFill>
        </w:rPr>
        <w:t>服务</w:t>
      </w:r>
      <w:r>
        <w:rPr>
          <w:rFonts w:asciiTheme="minorEastAsia" w:hAnsiTheme="minorEastAsia" w:eastAsiaTheme="minorEastAsia"/>
          <w:color w:val="000000" w:themeColor="text1"/>
          <w:sz w:val="24"/>
          <w:highlight w:val="none"/>
          <w14:textFill>
            <w14:solidFill>
              <w14:schemeClr w14:val="tx1"/>
            </w14:solidFill>
          </w14:textFill>
        </w:rPr>
        <w:t>均应符合国家强制性标准。</w:t>
      </w:r>
    </w:p>
    <w:p w14:paraId="7C91F0EF">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7</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3</w:t>
      </w:r>
      <w:r>
        <w:rPr>
          <w:rFonts w:asciiTheme="minorEastAsia" w:hAnsiTheme="minorEastAsia" w:eastAsiaTheme="minorEastAsia"/>
          <w:color w:val="000000" w:themeColor="text1"/>
          <w:sz w:val="24"/>
          <w:highlight w:val="none"/>
          <w14:textFill>
            <w14:solidFill>
              <w14:schemeClr w14:val="tx1"/>
            </w14:solidFill>
          </w14:textFill>
        </w:rPr>
        <w:t>供应商与采购代理机构之间与磋商有关的所有往来通知、函件和响应文件均用中文表述。供应商随响应文件提供的证明文件和资料可以为其他语言，但必须附中文译文。翻译的中文资料与外文资料如果出现差异时，以中文为准。</w:t>
      </w:r>
    </w:p>
    <w:p w14:paraId="05D4F6C4">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7</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4</w:t>
      </w:r>
      <w:r>
        <w:rPr>
          <w:rFonts w:asciiTheme="minorEastAsia" w:hAnsiTheme="minorEastAsia" w:eastAsiaTheme="minorEastAsia"/>
          <w:color w:val="000000" w:themeColor="text1"/>
          <w:sz w:val="24"/>
          <w:highlight w:val="none"/>
          <w14:textFill>
            <w14:solidFill>
              <w14:schemeClr w14:val="tx1"/>
            </w14:solidFill>
          </w14:textFill>
        </w:rPr>
        <w:t>除磋商文件中有特殊要求外，响应文件中所使用的计量单位，应采用中华人民共和国法定计量单位。</w:t>
      </w:r>
    </w:p>
    <w:p w14:paraId="560B6D15">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8</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响应文件构成</w:t>
      </w:r>
    </w:p>
    <w:p w14:paraId="0F649B18">
      <w:pPr>
        <w:spacing w:line="360" w:lineRule="auto"/>
        <w:ind w:firstLine="437"/>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8</w:t>
      </w:r>
      <w:r>
        <w:rPr>
          <w:rFonts w:asciiTheme="minorEastAsia" w:hAnsiTheme="minorEastAsia" w:eastAsiaTheme="minorEastAsia"/>
          <w:color w:val="000000" w:themeColor="text1"/>
          <w:sz w:val="24"/>
          <w:highlight w:val="none"/>
          <w14:textFill>
            <w14:solidFill>
              <w14:schemeClr w14:val="tx1"/>
            </w14:solidFill>
          </w14:textFill>
        </w:rPr>
        <w:t>.1供应商应完整地按磋商文件提供的响应文件格式及要求编写响应文件，具体内容详见第六章响应文件格式的相关内容。</w:t>
      </w:r>
    </w:p>
    <w:p w14:paraId="219EA0BE">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8.2供应商应提交磋商文件要求的证明文件，证明其响应内容符合磋商文件规定。该证明文件是响应文件的一部分</w:t>
      </w:r>
      <w:r>
        <w:rPr>
          <w:rFonts w:asciiTheme="minorEastAsia" w:hAnsiTheme="minorEastAsia" w:eastAsiaTheme="minorEastAsia"/>
          <w:color w:val="000000" w:themeColor="text1"/>
          <w:sz w:val="24"/>
          <w:highlight w:val="none"/>
          <w14:textFill>
            <w14:solidFill>
              <w14:schemeClr w14:val="tx1"/>
            </w14:solidFill>
          </w14:textFill>
        </w:rPr>
        <w:t>。证明文件</w:t>
      </w:r>
      <w:r>
        <w:rPr>
          <w:rFonts w:hint="eastAsia" w:asciiTheme="minorEastAsia" w:hAnsiTheme="minorEastAsia" w:eastAsiaTheme="minorEastAsia"/>
          <w:color w:val="000000" w:themeColor="text1"/>
          <w:sz w:val="24"/>
          <w:highlight w:val="none"/>
          <w14:textFill>
            <w14:solidFill>
              <w14:schemeClr w14:val="tx1"/>
            </w14:solidFill>
          </w14:textFill>
        </w:rPr>
        <w:t>形式</w:t>
      </w:r>
      <w:r>
        <w:rPr>
          <w:rFonts w:asciiTheme="minorEastAsia" w:hAnsiTheme="minorEastAsia" w:eastAsiaTheme="minorEastAsia"/>
          <w:color w:val="000000" w:themeColor="text1"/>
          <w:sz w:val="24"/>
          <w:highlight w:val="none"/>
          <w14:textFill>
            <w14:solidFill>
              <w14:schemeClr w14:val="tx1"/>
            </w14:solidFill>
          </w14:textFill>
        </w:rPr>
        <w:t>可以是文字资料、图纸和数据</w:t>
      </w:r>
      <w:bookmarkStart w:id="42" w:name="_Hlk11703583"/>
      <w:r>
        <w:rPr>
          <w:rFonts w:hint="eastAsia" w:asciiTheme="minorEastAsia" w:hAnsiTheme="minorEastAsia" w:eastAsiaTheme="minorEastAsia"/>
          <w:color w:val="000000" w:themeColor="text1"/>
          <w:sz w:val="24"/>
          <w:highlight w:val="none"/>
          <w14:textFill>
            <w14:solidFill>
              <w14:schemeClr w14:val="tx1"/>
            </w14:solidFill>
          </w14:textFill>
        </w:rPr>
        <w:t>。</w:t>
      </w:r>
      <w:bookmarkEnd w:id="42"/>
    </w:p>
    <w:p w14:paraId="5D895544">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8</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3</w:t>
      </w:r>
      <w:r>
        <w:rPr>
          <w:rFonts w:asciiTheme="minorEastAsia" w:hAnsiTheme="minorEastAsia" w:eastAsiaTheme="minorEastAsia"/>
          <w:color w:val="000000" w:themeColor="text1"/>
          <w:sz w:val="24"/>
          <w:highlight w:val="none"/>
          <w14:textFill>
            <w14:solidFill>
              <w14:schemeClr w14:val="tx1"/>
            </w14:solidFill>
          </w14:textFill>
        </w:rPr>
        <w:t>为保证</w:t>
      </w:r>
      <w:r>
        <w:rPr>
          <w:color w:val="000000" w:themeColor="text1"/>
          <w:sz w:val="24"/>
          <w:highlight w:val="none"/>
          <w14:textFill>
            <w14:solidFill>
              <w14:schemeClr w14:val="tx1"/>
            </w14:solidFill>
          </w14:textFill>
        </w:rPr>
        <w:t>公平</w:t>
      </w:r>
      <w:r>
        <w:rPr>
          <w:rFonts w:asciiTheme="minorEastAsia" w:hAnsiTheme="minorEastAsia" w:eastAsiaTheme="minorEastAsia"/>
          <w:color w:val="000000" w:themeColor="text1"/>
          <w:sz w:val="24"/>
          <w:highlight w:val="none"/>
          <w14:textFill>
            <w14:solidFill>
              <w14:schemeClr w14:val="tx1"/>
            </w14:solidFill>
          </w14:textFill>
        </w:rPr>
        <w:t>公正，除非磋商文件另有规定或说明，</w:t>
      </w:r>
      <w:r>
        <w:rPr>
          <w:rFonts w:hint="eastAsia" w:asciiTheme="minorEastAsia" w:hAnsiTheme="minorEastAsia" w:eastAsiaTheme="minorEastAsia"/>
          <w:color w:val="000000" w:themeColor="text1"/>
          <w:sz w:val="24"/>
          <w:highlight w:val="none"/>
          <w14:textFill>
            <w14:solidFill>
              <w14:schemeClr w14:val="tx1"/>
            </w14:solidFill>
          </w14:textFill>
        </w:rPr>
        <w:t>供应商</w:t>
      </w:r>
      <w:r>
        <w:rPr>
          <w:rFonts w:asciiTheme="minorEastAsia" w:hAnsiTheme="minorEastAsia" w:eastAsiaTheme="minorEastAsia"/>
          <w:color w:val="000000" w:themeColor="text1"/>
          <w:sz w:val="24"/>
          <w:highlight w:val="none"/>
          <w14:textFill>
            <w14:solidFill>
              <w14:schemeClr w14:val="tx1"/>
            </w14:solidFill>
          </w14:textFill>
        </w:rPr>
        <w:t>对同一项目</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时，不得同时提供</w:t>
      </w:r>
      <w:r>
        <w:rPr>
          <w:rFonts w:hint="eastAsia" w:asciiTheme="minorEastAsia" w:hAnsiTheme="minorEastAsia" w:eastAsiaTheme="minorEastAsia"/>
          <w:color w:val="000000" w:themeColor="text1"/>
          <w:sz w:val="24"/>
          <w:highlight w:val="none"/>
          <w14:textFill>
            <w14:solidFill>
              <w14:schemeClr w14:val="tx1"/>
            </w14:solidFill>
          </w14:textFill>
        </w:rPr>
        <w:t>备选磋商</w:t>
      </w:r>
      <w:r>
        <w:rPr>
          <w:rFonts w:asciiTheme="minorEastAsia" w:hAnsiTheme="minorEastAsia" w:eastAsiaTheme="minorEastAsia"/>
          <w:color w:val="000000" w:themeColor="text1"/>
          <w:sz w:val="24"/>
          <w:highlight w:val="none"/>
          <w14:textFill>
            <w14:solidFill>
              <w14:schemeClr w14:val="tx1"/>
            </w14:solidFill>
          </w14:textFill>
        </w:rPr>
        <w:t>方案。</w:t>
      </w:r>
    </w:p>
    <w:p w14:paraId="7898ED0A">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9</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报价</w:t>
      </w:r>
    </w:p>
    <w:p w14:paraId="1DCA8295">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9</w:t>
      </w: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供应商</w:t>
      </w:r>
      <w:r>
        <w:rPr>
          <w:rFonts w:asciiTheme="minorEastAsia" w:hAnsiTheme="minorEastAsia" w:eastAsiaTheme="minorEastAsia"/>
          <w:color w:val="000000" w:themeColor="text1"/>
          <w:sz w:val="24"/>
          <w:highlight w:val="none"/>
          <w14:textFill>
            <w14:solidFill>
              <w14:schemeClr w14:val="tx1"/>
            </w14:solidFill>
          </w14:textFill>
        </w:rPr>
        <w:t>的报价应当包括满足本次</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全部</w:t>
      </w:r>
      <w:r>
        <w:rPr>
          <w:rFonts w:hint="eastAsia" w:asciiTheme="minorEastAsia" w:hAnsiTheme="minorEastAsia" w:eastAsiaTheme="minorEastAsia"/>
          <w:color w:val="000000" w:themeColor="text1"/>
          <w:sz w:val="24"/>
          <w:highlight w:val="none"/>
          <w14:textFill>
            <w14:solidFill>
              <w14:schemeClr w14:val="tx1"/>
            </w14:solidFill>
          </w14:textFill>
        </w:rPr>
        <w:t>内容。所有报价均应以人民币报价，供应商的磋商报价应遵守《中华人民共和国价格法》。</w:t>
      </w:r>
    </w:p>
    <w:p w14:paraId="7D0061F8">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9</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最后报价均不得高于磋商文件（公告）列明的项目预算</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最高限价</w:t>
      </w:r>
      <w:r>
        <w:rPr>
          <w:rFonts w:asciiTheme="minorEastAsia" w:hAnsiTheme="minorEastAsia" w:eastAsiaTheme="minorEastAsia"/>
          <w:color w:val="000000" w:themeColor="text1"/>
          <w:sz w:val="24"/>
          <w:highlight w:val="none"/>
          <w14:textFill>
            <w14:solidFill>
              <w14:schemeClr w14:val="tx1"/>
            </w14:solidFill>
          </w14:textFill>
        </w:rPr>
        <w:t>，否则其响应文件将被认定为</w:t>
      </w:r>
      <w:r>
        <w:rPr>
          <w:rFonts w:asciiTheme="minorEastAsia" w:hAnsiTheme="minorEastAsia" w:eastAsiaTheme="minorEastAsia"/>
          <w:b/>
          <w:color w:val="000000" w:themeColor="text1"/>
          <w:sz w:val="24"/>
          <w:highlight w:val="none"/>
          <w14:textFill>
            <w14:solidFill>
              <w14:schemeClr w14:val="tx1"/>
            </w14:solidFill>
          </w14:textFill>
        </w:rPr>
        <w:t>响应无效</w:t>
      </w:r>
      <w:r>
        <w:rPr>
          <w:rFonts w:asciiTheme="minorEastAsia" w:hAnsiTheme="minorEastAsia" w:eastAsiaTheme="minorEastAsia"/>
          <w:color w:val="000000" w:themeColor="text1"/>
          <w:sz w:val="24"/>
          <w:highlight w:val="none"/>
          <w14:textFill>
            <w14:solidFill>
              <w14:schemeClr w14:val="tx1"/>
            </w14:solidFill>
          </w14:textFill>
        </w:rPr>
        <w:t>。</w:t>
      </w:r>
    </w:p>
    <w:p w14:paraId="12BB711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9</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3报价</w:t>
      </w:r>
      <w:r>
        <w:rPr>
          <w:rFonts w:asciiTheme="minorEastAsia" w:hAnsiTheme="minorEastAsia" w:eastAsiaTheme="minorEastAsia"/>
          <w:color w:val="000000" w:themeColor="text1"/>
          <w:sz w:val="24"/>
          <w:highlight w:val="none"/>
          <w14:textFill>
            <w14:solidFill>
              <w14:schemeClr w14:val="tx1"/>
            </w14:solidFill>
          </w14:textFill>
        </w:rPr>
        <w:t>在合同履行过程中是固定不变的，不得以任何理由予以变更。任何包含价格调整要求的</w:t>
      </w:r>
      <w:r>
        <w:rPr>
          <w:rFonts w:hint="eastAsia" w:asciiTheme="minorEastAsia" w:hAnsiTheme="minorEastAsia" w:eastAsiaTheme="minorEastAsia"/>
          <w:color w:val="000000" w:themeColor="text1"/>
          <w:sz w:val="24"/>
          <w:highlight w:val="none"/>
          <w14:textFill>
            <w14:solidFill>
              <w14:schemeClr w14:val="tx1"/>
            </w14:solidFill>
          </w14:textFill>
        </w:rPr>
        <w:t>报价</w:t>
      </w:r>
      <w:r>
        <w:rPr>
          <w:rFonts w:asciiTheme="minorEastAsia" w:hAnsiTheme="minorEastAsia" w:eastAsiaTheme="minorEastAsia"/>
          <w:color w:val="000000" w:themeColor="text1"/>
          <w:sz w:val="24"/>
          <w:highlight w:val="none"/>
          <w14:textFill>
            <w14:solidFill>
              <w14:schemeClr w14:val="tx1"/>
            </w14:solidFill>
          </w14:textFill>
        </w:rPr>
        <w:t>，其</w:t>
      </w:r>
      <w:r>
        <w:rPr>
          <w:rFonts w:hint="eastAsia" w:asciiTheme="minorEastAsia" w:hAnsiTheme="minorEastAsia" w:eastAsiaTheme="minorEastAsia"/>
          <w:color w:val="000000" w:themeColor="text1"/>
          <w:sz w:val="24"/>
          <w:highlight w:val="none"/>
          <w14:textFill>
            <w14:solidFill>
              <w14:schemeClr w14:val="tx1"/>
            </w14:solidFill>
          </w14:textFill>
        </w:rPr>
        <w:t>响应文件将被认定为</w:t>
      </w:r>
      <w:r>
        <w:rPr>
          <w:rFonts w:hint="eastAsia" w:asciiTheme="minorEastAsia" w:hAnsiTheme="minorEastAsia" w:eastAsiaTheme="minorEastAsia"/>
          <w:b/>
          <w:color w:val="000000" w:themeColor="text1"/>
          <w:sz w:val="24"/>
          <w:highlight w:val="none"/>
          <w14:textFill>
            <w14:solidFill>
              <w14:schemeClr w14:val="tx1"/>
            </w14:solidFill>
          </w14:textFill>
        </w:rPr>
        <w:t>响应无效</w:t>
      </w:r>
      <w:r>
        <w:rPr>
          <w:rFonts w:asciiTheme="minorEastAsia" w:hAnsiTheme="minorEastAsia" w:eastAsiaTheme="minorEastAsia"/>
          <w:color w:val="000000" w:themeColor="text1"/>
          <w:sz w:val="24"/>
          <w:highlight w:val="none"/>
          <w14:textFill>
            <w14:solidFill>
              <w14:schemeClr w14:val="tx1"/>
            </w14:solidFill>
          </w14:textFill>
        </w:rPr>
        <w:t>。</w:t>
      </w:r>
    </w:p>
    <w:p w14:paraId="3BEF2F7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9</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4</w:t>
      </w:r>
      <w:r>
        <w:rPr>
          <w:rFonts w:asciiTheme="minorEastAsia" w:hAnsiTheme="minorEastAsia" w:eastAsiaTheme="minorEastAsia"/>
          <w:color w:val="000000" w:themeColor="text1"/>
          <w:sz w:val="24"/>
          <w:highlight w:val="none"/>
          <w14:textFill>
            <w14:solidFill>
              <w14:schemeClr w14:val="tx1"/>
            </w14:solidFill>
          </w14:textFill>
        </w:rPr>
        <w:t>采购人不接受具有附加条件的报价。</w:t>
      </w:r>
    </w:p>
    <w:p w14:paraId="61FDB2F6">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10</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磋商保证金</w:t>
      </w:r>
    </w:p>
    <w:p w14:paraId="5CC77E6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10</w:t>
      </w:r>
      <w:r>
        <w:rPr>
          <w:rFonts w:asciiTheme="minorEastAsia" w:hAnsiTheme="minorEastAsia" w:eastAsiaTheme="minorEastAsia"/>
          <w:color w:val="000000" w:themeColor="text1"/>
          <w:sz w:val="24"/>
          <w:highlight w:val="none"/>
          <w14:textFill>
            <w14:solidFill>
              <w14:schemeClr w14:val="tx1"/>
            </w14:solidFill>
          </w14:textFill>
        </w:rPr>
        <w:t>.1本项目不收取磋商保证金。</w:t>
      </w:r>
    </w:p>
    <w:p w14:paraId="6C4A0D7C">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11</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磋商有效期</w:t>
      </w:r>
    </w:p>
    <w:p w14:paraId="6FF451D8">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1</w:t>
      </w:r>
      <w:r>
        <w:rPr>
          <w:rFonts w:asciiTheme="minorEastAsia" w:hAnsiTheme="minorEastAsia" w:eastAsiaTheme="minorEastAsia"/>
          <w:color w:val="000000" w:themeColor="text1"/>
          <w:sz w:val="24"/>
          <w:highlight w:val="none"/>
          <w14:textFill>
            <w14:solidFill>
              <w14:schemeClr w14:val="tx1"/>
            </w14:solidFill>
          </w14:textFill>
        </w:rPr>
        <w:t>.1磋商有效期为从响应文件提交截止之日算起的日历天数，磋商有效期详见</w:t>
      </w:r>
      <w:r>
        <w:rPr>
          <w:rFonts w:asciiTheme="minorEastAsia" w:hAnsiTheme="minorEastAsia" w:eastAsiaTheme="minorEastAsia"/>
          <w:color w:val="000000" w:themeColor="text1"/>
          <w:sz w:val="24"/>
          <w:highlight w:val="none"/>
          <w:u w:val="single"/>
          <w14:textFill>
            <w14:solidFill>
              <w14:schemeClr w14:val="tx1"/>
            </w14:solidFill>
          </w14:textFill>
        </w:rPr>
        <w:t>供应商须知前附表</w:t>
      </w:r>
      <w:r>
        <w:rPr>
          <w:rFonts w:asciiTheme="minorEastAsia" w:hAnsiTheme="minorEastAsia" w:eastAsiaTheme="minorEastAsia"/>
          <w:color w:val="000000" w:themeColor="text1"/>
          <w:sz w:val="24"/>
          <w:highlight w:val="none"/>
          <w14:textFill>
            <w14:solidFill>
              <w14:schemeClr w14:val="tx1"/>
            </w14:solidFill>
          </w14:textFill>
        </w:rPr>
        <w:t>。</w:t>
      </w:r>
    </w:p>
    <w:p w14:paraId="0AF4B8CB">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1</w:t>
      </w:r>
      <w:r>
        <w:rPr>
          <w:rFonts w:asciiTheme="minorEastAsia" w:hAnsiTheme="minorEastAsia" w:eastAsiaTheme="minorEastAsia"/>
          <w:color w:val="000000" w:themeColor="text1"/>
          <w:sz w:val="24"/>
          <w:highlight w:val="none"/>
          <w14:textFill>
            <w14:solidFill>
              <w14:schemeClr w14:val="tx1"/>
            </w14:solidFill>
          </w14:textFill>
        </w:rPr>
        <w:t>.2在磋商有效期内，供应商的磋商保持有效，供应商不得要求撤销或修改其响应文件。磋商有效期不满足要求的响应，其响应文件将被认定为</w:t>
      </w:r>
      <w:r>
        <w:rPr>
          <w:rFonts w:asciiTheme="minorEastAsia" w:hAnsiTheme="minorEastAsia" w:eastAsiaTheme="minorEastAsia"/>
          <w:b/>
          <w:color w:val="000000" w:themeColor="text1"/>
          <w:sz w:val="24"/>
          <w:highlight w:val="none"/>
          <w14:textFill>
            <w14:solidFill>
              <w14:schemeClr w14:val="tx1"/>
            </w14:solidFill>
          </w14:textFill>
        </w:rPr>
        <w:t>响应无效</w:t>
      </w:r>
      <w:r>
        <w:rPr>
          <w:rFonts w:asciiTheme="minorEastAsia" w:hAnsiTheme="minorEastAsia" w:eastAsiaTheme="minorEastAsia"/>
          <w:color w:val="000000" w:themeColor="text1"/>
          <w:sz w:val="24"/>
          <w:highlight w:val="none"/>
          <w14:textFill>
            <w14:solidFill>
              <w14:schemeClr w14:val="tx1"/>
            </w14:solidFill>
          </w14:textFill>
        </w:rPr>
        <w:t>。</w:t>
      </w:r>
    </w:p>
    <w:p w14:paraId="6961F7D2">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1</w:t>
      </w:r>
      <w:r>
        <w:rPr>
          <w:rFonts w:asciiTheme="minorEastAsia" w:hAnsiTheme="minorEastAsia" w:eastAsiaTheme="minorEastAsia"/>
          <w:color w:val="000000" w:themeColor="text1"/>
          <w:sz w:val="24"/>
          <w:highlight w:val="none"/>
          <w14:textFill>
            <w14:solidFill>
              <w14:schemeClr w14:val="tx1"/>
            </w14:solidFill>
          </w14:textFill>
        </w:rPr>
        <w:t>.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6E6D1657">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12</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响应文件的提交、修改与撤回</w:t>
      </w:r>
    </w:p>
    <w:p w14:paraId="69FF0CC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2.1供应商应当在竞争性磋商公告规定的响应文件提交截止时间前</w:t>
      </w:r>
      <w:r>
        <w:rPr>
          <w:rFonts w:asciiTheme="minorEastAsia" w:hAnsiTheme="minorEastAsia" w:eastAsiaTheme="minorEastAsia"/>
          <w:color w:val="000000" w:themeColor="text1"/>
          <w:sz w:val="24"/>
          <w:highlight w:val="none"/>
          <w14:textFill>
            <w14:solidFill>
              <w14:schemeClr w14:val="tx1"/>
            </w14:solidFill>
          </w14:textFill>
        </w:rPr>
        <w:t>，将加密的</w:t>
      </w:r>
      <w:r>
        <w:rPr>
          <w:rFonts w:hint="eastAsia" w:asciiTheme="minorEastAsia" w:hAnsiTheme="minorEastAsia" w:eastAsiaTheme="minorEastAsia"/>
          <w:color w:val="000000" w:themeColor="text1"/>
          <w:sz w:val="24"/>
          <w:highlight w:val="none"/>
          <w14:textFill>
            <w14:solidFill>
              <w14:schemeClr w14:val="tx1"/>
            </w14:solidFill>
          </w14:textFill>
        </w:rPr>
        <w:t>响应</w:t>
      </w:r>
      <w:r>
        <w:rPr>
          <w:rFonts w:asciiTheme="minorEastAsia" w:hAnsiTheme="minorEastAsia" w:eastAsiaTheme="minorEastAsia"/>
          <w:color w:val="000000" w:themeColor="text1"/>
          <w:sz w:val="24"/>
          <w:highlight w:val="none"/>
          <w14:textFill>
            <w14:solidFill>
              <w14:schemeClr w14:val="tx1"/>
            </w14:solidFill>
          </w14:textFill>
        </w:rPr>
        <w:t>文件</w:t>
      </w:r>
      <w:r>
        <w:rPr>
          <w:rFonts w:hint="eastAsia" w:asciiTheme="minorEastAsia" w:hAnsiTheme="minorEastAsia" w:eastAsiaTheme="minorEastAsia"/>
          <w:color w:val="000000" w:themeColor="text1"/>
          <w:sz w:val="24"/>
          <w:highlight w:val="none"/>
          <w14:textFill>
            <w14:solidFill>
              <w14:schemeClr w14:val="tx1"/>
            </w14:solidFill>
          </w14:textFill>
        </w:rPr>
        <w:t>在电子交易系统</w:t>
      </w:r>
      <w:r>
        <w:rPr>
          <w:rFonts w:asciiTheme="minorEastAsia" w:hAnsiTheme="minorEastAsia" w:eastAsiaTheme="minorEastAsia"/>
          <w:color w:val="000000" w:themeColor="text1"/>
          <w:sz w:val="24"/>
          <w:highlight w:val="none"/>
          <w14:textFill>
            <w14:solidFill>
              <w14:schemeClr w14:val="tx1"/>
            </w14:solidFill>
          </w14:textFill>
        </w:rPr>
        <w:t>上传。</w:t>
      </w:r>
    </w:p>
    <w:p w14:paraId="78991968">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2.2供应商应当在响应文件提交截止时间前完成响应文件的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p>
    <w:p w14:paraId="2470AE0F">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olor w:val="000000" w:themeColor="text1"/>
          <w:sz w:val="24"/>
          <w:highlight w:val="none"/>
          <w14:textFill>
            <w14:solidFill>
              <w14:schemeClr w14:val="tx1"/>
            </w14:solidFill>
          </w14:textFill>
        </w:rPr>
        <w:t>供应商应在</w:t>
      </w:r>
      <w:r>
        <w:rPr>
          <w:rFonts w:hint="eastAsia" w:asciiTheme="minorEastAsia" w:hAnsiTheme="minorEastAsia" w:eastAsiaTheme="minorEastAsia"/>
          <w:color w:val="000000" w:themeColor="text1"/>
          <w:sz w:val="24"/>
          <w:highlight w:val="none"/>
          <w:u w:val="single"/>
          <w14:textFill>
            <w14:solidFill>
              <w14:schemeClr w14:val="tx1"/>
            </w14:solidFill>
          </w14:textFill>
        </w:rPr>
        <w:t>供应商须知前附表</w:t>
      </w:r>
      <w:r>
        <w:rPr>
          <w:rFonts w:hint="eastAsia" w:asciiTheme="minorEastAsia" w:hAnsiTheme="minorEastAsia" w:eastAsiaTheme="minorEastAsia"/>
          <w:color w:val="000000" w:themeColor="text1"/>
          <w:sz w:val="24"/>
          <w:highlight w:val="none"/>
          <w14:textFill>
            <w14:solidFill>
              <w14:schemeClr w14:val="tx1"/>
            </w14:solidFill>
          </w14:textFill>
        </w:rPr>
        <w:t>规定的解密时间前对其响应文件进行解密，</w:t>
      </w:r>
      <w:r>
        <w:rPr>
          <w:rFonts w:asciiTheme="minorEastAsia" w:hAnsiTheme="minorEastAsia" w:eastAsiaTheme="minorEastAsia"/>
          <w:color w:val="000000" w:themeColor="text1"/>
          <w:sz w:val="24"/>
          <w:highlight w:val="none"/>
          <w14:textFill>
            <w14:solidFill>
              <w14:schemeClr w14:val="tx1"/>
            </w14:solidFill>
          </w14:textFill>
        </w:rPr>
        <w:t>未在规定时间内进行解密的，</w:t>
      </w:r>
      <w:r>
        <w:rPr>
          <w:rFonts w:hint="eastAsia" w:asciiTheme="minorEastAsia" w:hAnsiTheme="minorEastAsia" w:eastAsiaTheme="minorEastAsia"/>
          <w:b/>
          <w:color w:val="000000" w:themeColor="text1"/>
          <w:sz w:val="24"/>
          <w:highlight w:val="none"/>
          <w14:textFill>
            <w14:solidFill>
              <w14:schemeClr w14:val="tx1"/>
            </w14:solidFill>
          </w14:textFill>
        </w:rPr>
        <w:t>响应无效。</w:t>
      </w:r>
    </w:p>
    <w:p w14:paraId="11D231EB">
      <w:pPr>
        <w:spacing w:line="360" w:lineRule="auto"/>
        <w:ind w:firstLine="435"/>
        <w:rPr>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12.4在响应文件提交截止时间之后，供应商不得对其响应文件做任何修改。</w:t>
      </w:r>
      <w:r>
        <w:rPr>
          <w:rFonts w:hint="eastAsia"/>
          <w:color w:val="000000" w:themeColor="text1"/>
          <w:sz w:val="24"/>
          <w:highlight w:val="none"/>
          <w14:textFill>
            <w14:solidFill>
              <w14:schemeClr w14:val="tx1"/>
            </w14:solidFill>
          </w14:textFill>
        </w:rPr>
        <w:t>但属于磋商小组在评审中发现的计算错误并进行核实的修改、按照磋商文件的变动情况和磋商小组的要求重新提交响应文件的，不在此列。</w:t>
      </w:r>
    </w:p>
    <w:p w14:paraId="47D1CE40">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13</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磋商小组</w:t>
      </w:r>
    </w:p>
    <w:p w14:paraId="56E24AD6">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13</w:t>
      </w:r>
      <w:r>
        <w:rPr>
          <w:rFonts w:asciiTheme="minorEastAsia" w:hAnsiTheme="minorEastAsia" w:eastAsiaTheme="minorEastAsia"/>
          <w:color w:val="000000" w:themeColor="text1"/>
          <w:sz w:val="24"/>
          <w:highlight w:val="none"/>
          <w14:textFill>
            <w14:solidFill>
              <w14:schemeClr w14:val="tx1"/>
            </w14:solidFill>
          </w14:textFill>
        </w:rPr>
        <w:t>.1本项目将依法组建磋商小组，磋商小组成员由3人以上单数组成，磋商小组及其成员应当依照政府采购的有关规定履行相关职责和义务。</w:t>
      </w:r>
    </w:p>
    <w:p w14:paraId="425DC89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13</w:t>
      </w:r>
      <w:r>
        <w:rPr>
          <w:rFonts w:asciiTheme="minorEastAsia" w:hAnsiTheme="minorEastAsia" w:eastAsiaTheme="minorEastAsia"/>
          <w:color w:val="000000" w:themeColor="text1"/>
          <w:sz w:val="24"/>
          <w:highlight w:val="none"/>
          <w14:textFill>
            <w14:solidFill>
              <w14:schemeClr w14:val="tx1"/>
            </w14:solidFill>
          </w14:textFill>
        </w:rPr>
        <w:t>.2磋商小组依法对响应文件进行评审，并根据磋商文件规定的程序、评定成交的标准等事项与实质性响应磋商文件要求的供应商进行磋商。</w:t>
      </w:r>
    </w:p>
    <w:p w14:paraId="22E40778">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13</w:t>
      </w:r>
      <w:r>
        <w:rPr>
          <w:rFonts w:asciiTheme="minorEastAsia" w:hAnsiTheme="minorEastAsia" w:eastAsiaTheme="minorEastAsia"/>
          <w:color w:val="000000" w:themeColor="text1"/>
          <w:sz w:val="24"/>
          <w:highlight w:val="none"/>
          <w14:textFill>
            <w14:solidFill>
              <w14:schemeClr w14:val="tx1"/>
            </w14:solidFill>
          </w14:textFill>
        </w:rPr>
        <w:t>.3磋商小组应当从质量和服务均能满足磋商文件实质性响应要求的供应商中，按照评审</w:t>
      </w:r>
      <w:r>
        <w:rPr>
          <w:rFonts w:hint="eastAsia" w:asciiTheme="minorEastAsia" w:hAnsiTheme="minorEastAsia" w:eastAsiaTheme="minorEastAsia"/>
          <w:color w:val="000000" w:themeColor="text1"/>
          <w:sz w:val="24"/>
          <w:highlight w:val="none"/>
          <w14:textFill>
            <w14:solidFill>
              <w14:schemeClr w14:val="tx1"/>
            </w14:solidFill>
          </w14:textFill>
        </w:rPr>
        <w:t>方</w:t>
      </w:r>
      <w:r>
        <w:rPr>
          <w:rFonts w:asciiTheme="minorEastAsia" w:hAnsiTheme="minorEastAsia" w:eastAsiaTheme="minorEastAsia"/>
          <w:color w:val="000000" w:themeColor="text1"/>
          <w:sz w:val="24"/>
          <w:highlight w:val="none"/>
          <w14:textFill>
            <w14:solidFill>
              <w14:schemeClr w14:val="tx1"/>
            </w14:solidFill>
          </w14:textFill>
        </w:rPr>
        <w:t>法</w:t>
      </w:r>
      <w:r>
        <w:rPr>
          <w:rFonts w:hint="eastAsia" w:asciiTheme="minorEastAsia" w:hAnsiTheme="minorEastAsia" w:eastAsiaTheme="minorEastAsia"/>
          <w:color w:val="000000" w:themeColor="text1"/>
          <w:sz w:val="24"/>
          <w:highlight w:val="none"/>
          <w14:textFill>
            <w14:solidFill>
              <w14:schemeClr w14:val="tx1"/>
            </w14:solidFill>
          </w14:textFill>
        </w:rPr>
        <w:t>和标准推荐</w:t>
      </w:r>
      <w:r>
        <w:rPr>
          <w:rFonts w:asciiTheme="minorEastAsia" w:hAnsiTheme="minorEastAsia" w:eastAsiaTheme="minorEastAsia"/>
          <w:color w:val="000000" w:themeColor="text1"/>
          <w:sz w:val="24"/>
          <w:highlight w:val="none"/>
          <w14:textFill>
            <w14:solidFill>
              <w14:schemeClr w14:val="tx1"/>
            </w14:solidFill>
          </w14:textFill>
        </w:rPr>
        <w:t>成交候选供应商，并编写</w:t>
      </w:r>
      <w:r>
        <w:rPr>
          <w:rFonts w:hint="eastAsia" w:asciiTheme="minorEastAsia" w:hAnsiTheme="minorEastAsia" w:eastAsiaTheme="minorEastAsia"/>
          <w:color w:val="000000" w:themeColor="text1"/>
          <w:sz w:val="24"/>
          <w:highlight w:val="none"/>
          <w14:textFill>
            <w14:solidFill>
              <w14:schemeClr w14:val="tx1"/>
            </w14:solidFill>
          </w14:textFill>
        </w:rPr>
        <w:t>评审</w:t>
      </w:r>
      <w:r>
        <w:rPr>
          <w:rFonts w:asciiTheme="minorEastAsia" w:hAnsiTheme="minorEastAsia" w:eastAsiaTheme="minorEastAsia"/>
          <w:color w:val="000000" w:themeColor="text1"/>
          <w:sz w:val="24"/>
          <w:highlight w:val="none"/>
          <w14:textFill>
            <w14:solidFill>
              <w14:schemeClr w14:val="tx1"/>
            </w14:solidFill>
          </w14:textFill>
        </w:rPr>
        <w:t>报告。</w:t>
      </w:r>
    </w:p>
    <w:p w14:paraId="20FF4131">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asciiTheme="minorEastAsia" w:hAnsiTheme="minorEastAsia" w:eastAsiaTheme="minorEastAsia"/>
          <w:b/>
          <w:color w:val="000000" w:themeColor="text1"/>
          <w:sz w:val="24"/>
          <w:highlight w:val="none"/>
          <w14:textFill>
            <w14:solidFill>
              <w14:schemeClr w14:val="tx1"/>
            </w14:solidFill>
          </w14:textFill>
        </w:rPr>
        <w:t>1</w:t>
      </w:r>
      <w:r>
        <w:rPr>
          <w:rFonts w:hint="eastAsia" w:asciiTheme="minorEastAsia" w:hAnsiTheme="minorEastAsia" w:eastAsiaTheme="minorEastAsia"/>
          <w:b/>
          <w:color w:val="000000" w:themeColor="text1"/>
          <w:sz w:val="24"/>
          <w:highlight w:val="none"/>
          <w14:textFill>
            <w14:solidFill>
              <w14:schemeClr w14:val="tx1"/>
            </w14:solidFill>
          </w14:textFill>
        </w:rPr>
        <w:t>4</w:t>
      </w:r>
      <w:r>
        <w:rPr>
          <w:rFonts w:asciiTheme="minorEastAsia" w:hAnsiTheme="minorEastAsia" w:eastAsiaTheme="minorEastAsia"/>
          <w:b/>
          <w:color w:val="000000" w:themeColor="text1"/>
          <w:sz w:val="24"/>
          <w:highlight w:val="none"/>
          <w14:textFill>
            <w14:solidFill>
              <w14:schemeClr w14:val="tx1"/>
            </w14:solidFill>
          </w14:textFill>
        </w:rPr>
        <w:t>.响应文件的评审与磋商</w:t>
      </w:r>
    </w:p>
    <w:p w14:paraId="7B74A9EC">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1采购人和采购代理机构将在</w:t>
      </w: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竞争性磋商公告</w:t>
      </w:r>
      <w:r>
        <w:rPr>
          <w:rFonts w:hint="eastAsia" w:asciiTheme="minorEastAsia" w:hAnsiTheme="minorEastAsia" w:eastAsiaTheme="minorEastAsia"/>
          <w:color w:val="000000" w:themeColor="text1"/>
          <w:sz w:val="24"/>
          <w:highlight w:val="none"/>
          <w14:textFill>
            <w14:solidFill>
              <w14:schemeClr w14:val="tx1"/>
            </w14:solidFill>
          </w14:textFill>
        </w:rPr>
        <w:t>规定的时间和地点组织磋商。</w:t>
      </w:r>
    </w:p>
    <w:p w14:paraId="45A7BA9F">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14.2竞争性磋商活动采用综合评分法评审。</w:t>
      </w:r>
    </w:p>
    <w:p w14:paraId="4EAF313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综合评分法，是指响应文件满足磋商文件全部实质性要求且按评审因素的量化指标评审得分最高的供应商为成交候选供应商的评审方法。</w:t>
      </w:r>
    </w:p>
    <w:p w14:paraId="31FFE173">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14.3磋商小组将按照磋商文件规定的</w:t>
      </w:r>
      <w:r>
        <w:rPr>
          <w:rFonts w:asciiTheme="minorEastAsia" w:hAnsiTheme="minorEastAsia" w:eastAsiaTheme="minorEastAsia"/>
          <w:color w:val="000000" w:themeColor="text1"/>
          <w:sz w:val="24"/>
          <w:highlight w:val="none"/>
          <w14:textFill>
            <w14:solidFill>
              <w14:schemeClr w14:val="tx1"/>
            </w14:solidFill>
          </w14:textFill>
        </w:rPr>
        <w:t>评审</w:t>
      </w:r>
      <w:r>
        <w:rPr>
          <w:rFonts w:hint="eastAsia" w:asciiTheme="minorEastAsia" w:hAnsiTheme="minorEastAsia" w:eastAsiaTheme="minorEastAsia"/>
          <w:color w:val="000000" w:themeColor="text1"/>
          <w:sz w:val="24"/>
          <w:highlight w:val="none"/>
          <w14:textFill>
            <w14:solidFill>
              <w14:schemeClr w14:val="tx1"/>
            </w14:solidFill>
          </w14:textFill>
        </w:rPr>
        <w:t>方</w:t>
      </w:r>
      <w:r>
        <w:rPr>
          <w:rFonts w:asciiTheme="minorEastAsia" w:hAnsiTheme="minorEastAsia" w:eastAsiaTheme="minorEastAsia"/>
          <w:color w:val="000000" w:themeColor="text1"/>
          <w:sz w:val="24"/>
          <w:highlight w:val="none"/>
          <w14:textFill>
            <w14:solidFill>
              <w14:schemeClr w14:val="tx1"/>
            </w14:solidFill>
          </w14:textFill>
        </w:rPr>
        <w:t>法</w:t>
      </w:r>
      <w:r>
        <w:rPr>
          <w:rFonts w:hint="eastAsia" w:asciiTheme="minorEastAsia" w:hAnsiTheme="minorEastAsia" w:eastAsiaTheme="minorEastAsia"/>
          <w:color w:val="000000" w:themeColor="text1"/>
          <w:sz w:val="24"/>
          <w:highlight w:val="none"/>
          <w14:textFill>
            <w14:solidFill>
              <w14:schemeClr w14:val="tx1"/>
            </w14:solidFill>
          </w14:textFill>
        </w:rPr>
        <w:t>和标准对供应商独立进行评审。评审程序如下：</w:t>
      </w:r>
    </w:p>
    <w:p w14:paraId="4078C3C8">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14.3.1</w:t>
      </w:r>
      <w:r>
        <w:rPr>
          <w:rFonts w:hint="eastAsia" w:asciiTheme="minorEastAsia" w:hAnsiTheme="minorEastAsia" w:eastAsiaTheme="minorEastAsia"/>
          <w:b/>
          <w:color w:val="000000" w:themeColor="text1"/>
          <w:sz w:val="24"/>
          <w:highlight w:val="none"/>
          <w14:textFill>
            <w14:solidFill>
              <w14:schemeClr w14:val="tx1"/>
            </w14:solidFill>
          </w14:textFill>
        </w:rPr>
        <w:t>初审</w:t>
      </w:r>
      <w:r>
        <w:rPr>
          <w:rFonts w:hint="eastAsia" w:asciiTheme="minorEastAsia" w:hAnsiTheme="minorEastAsia" w:eastAsiaTheme="minorEastAsia"/>
          <w:color w:val="000000" w:themeColor="text1"/>
          <w:sz w:val="24"/>
          <w:highlight w:val="none"/>
          <w14:textFill>
            <w14:solidFill>
              <w14:schemeClr w14:val="tx1"/>
            </w14:solidFill>
          </w14:textFill>
        </w:rPr>
        <w:t>。磋商小组对供应商必须满足和实质性响应的内容进行评审，供应商未实质性响应磋商文件要求导致响应无效的，磋商小组将以书面询标的方式告知有关供应商。</w:t>
      </w:r>
    </w:p>
    <w:p w14:paraId="73FBA2AD">
      <w:pPr>
        <w:spacing w:line="360" w:lineRule="auto"/>
        <w:ind w:firstLine="435"/>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cs="宋体"/>
          <w:b/>
          <w:color w:val="000000" w:themeColor="text1"/>
          <w:sz w:val="24"/>
          <w:szCs w:val="24"/>
          <w:highlight w:val="none"/>
          <w14:textFill>
            <w14:solidFill>
              <w14:schemeClr w14:val="tx1"/>
            </w14:solidFill>
          </w14:textFill>
        </w:rPr>
        <w:t>响应无效</w:t>
      </w:r>
      <w:r>
        <w:rPr>
          <w:rFonts w:hint="eastAsia" w:cs="宋体"/>
          <w:color w:val="000000" w:themeColor="text1"/>
          <w:sz w:val="24"/>
          <w:szCs w:val="24"/>
          <w:highlight w:val="none"/>
          <w14:textFill>
            <w14:solidFill>
              <w14:schemeClr w14:val="tx1"/>
            </w14:solidFill>
          </w14:textFill>
        </w:rPr>
        <w:t>。</w:t>
      </w:r>
    </w:p>
    <w:p w14:paraId="179CAA94">
      <w:pPr>
        <w:spacing w:line="360" w:lineRule="auto"/>
        <w:ind w:firstLine="435"/>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以联合体形式参加磋商的，联合体成员存在以上不良信用记录的，联合体磋商将被认定为</w:t>
      </w:r>
      <w:r>
        <w:rPr>
          <w:rFonts w:hint="eastAsia" w:cs="宋体"/>
          <w:b/>
          <w:color w:val="000000" w:themeColor="text1"/>
          <w:sz w:val="24"/>
          <w:szCs w:val="24"/>
          <w:highlight w:val="none"/>
          <w14:textFill>
            <w14:solidFill>
              <w14:schemeClr w14:val="tx1"/>
            </w14:solidFill>
          </w14:textFill>
        </w:rPr>
        <w:t>响应无效</w:t>
      </w:r>
      <w:r>
        <w:rPr>
          <w:rFonts w:hint="eastAsia" w:cs="宋体"/>
          <w:color w:val="000000" w:themeColor="text1"/>
          <w:sz w:val="24"/>
          <w:szCs w:val="24"/>
          <w:highlight w:val="none"/>
          <w14:textFill>
            <w14:solidFill>
              <w14:schemeClr w14:val="tx1"/>
            </w14:solidFill>
          </w14:textFill>
        </w:rPr>
        <w:t>。</w:t>
      </w:r>
    </w:p>
    <w:p w14:paraId="7048C09C">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3212208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14.3.2</w:t>
      </w:r>
      <w:r>
        <w:rPr>
          <w:rFonts w:hint="eastAsia" w:asciiTheme="minorEastAsia" w:hAnsiTheme="minorEastAsia" w:eastAsiaTheme="minorEastAsia"/>
          <w:b/>
          <w:color w:val="000000" w:themeColor="text1"/>
          <w:sz w:val="24"/>
          <w:highlight w:val="none"/>
          <w14:textFill>
            <w14:solidFill>
              <w14:schemeClr w14:val="tx1"/>
            </w14:solidFill>
          </w14:textFill>
        </w:rPr>
        <w:t>磋商</w:t>
      </w:r>
      <w:r>
        <w:rPr>
          <w:rFonts w:hint="eastAsia" w:asciiTheme="minorEastAsia" w:hAnsiTheme="minorEastAsia" w:eastAsiaTheme="minorEastAsia"/>
          <w:color w:val="000000" w:themeColor="text1"/>
          <w:sz w:val="24"/>
          <w:highlight w:val="none"/>
          <w14:textFill>
            <w14:solidFill>
              <w14:schemeClr w14:val="tx1"/>
            </w14:solidFill>
          </w14:textFill>
        </w:rPr>
        <w:t>。初审合格后，磋商小组将按网上加密电子响应文件提交顺序集中与单一供应商分别进行磋商，并给予所有参加磋商的供应商平等的磋商机会。</w:t>
      </w:r>
    </w:p>
    <w:p w14:paraId="7C75A3D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14.3.3</w:t>
      </w:r>
      <w:r>
        <w:rPr>
          <w:rFonts w:asciiTheme="minorEastAsia" w:hAnsiTheme="minorEastAsia" w:eastAsiaTheme="minorEastAsia"/>
          <w:b/>
          <w:color w:val="000000" w:themeColor="text1"/>
          <w:sz w:val="24"/>
          <w:highlight w:val="none"/>
          <w14:textFill>
            <w14:solidFill>
              <w14:schemeClr w14:val="tx1"/>
            </w14:solidFill>
          </w14:textFill>
        </w:rPr>
        <w:t>报价</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asciiTheme="minorEastAsia" w:hAnsiTheme="minorEastAsia" w:eastAsiaTheme="minorEastAsia"/>
          <w:color w:val="000000" w:themeColor="text1"/>
          <w:sz w:val="24"/>
          <w:highlight w:val="none"/>
          <w14:textFill>
            <w14:solidFill>
              <w14:schemeClr w14:val="tx1"/>
            </w14:solidFill>
          </w14:textFill>
        </w:rPr>
        <w:t>磋商结束后，磋商小组应当要求所有</w:t>
      </w:r>
      <w:r>
        <w:rPr>
          <w:rFonts w:hint="eastAsia" w:asciiTheme="minorEastAsia" w:hAnsiTheme="minorEastAsia" w:eastAsiaTheme="minorEastAsia"/>
          <w:color w:val="000000" w:themeColor="text1"/>
          <w:sz w:val="24"/>
          <w:highlight w:val="none"/>
          <w14:textFill>
            <w14:solidFill>
              <w14:schemeClr w14:val="tx1"/>
            </w14:solidFill>
          </w14:textFill>
        </w:rPr>
        <w:t>实质性响应</w:t>
      </w:r>
      <w:r>
        <w:rPr>
          <w:rFonts w:asciiTheme="minorEastAsia" w:hAnsiTheme="minorEastAsia" w:eastAsiaTheme="minorEastAsia"/>
          <w:color w:val="000000" w:themeColor="text1"/>
          <w:sz w:val="24"/>
          <w:highlight w:val="none"/>
          <w14:textFill>
            <w14:solidFill>
              <w14:schemeClr w14:val="tx1"/>
            </w14:solidFill>
          </w14:textFill>
        </w:rPr>
        <w:t>的供应商在规定时间内提交最后报价</w:t>
      </w:r>
      <w:r>
        <w:rPr>
          <w:rFonts w:hint="eastAsia"/>
          <w:color w:val="000000" w:themeColor="text1"/>
          <w:sz w:val="24"/>
          <w:highlight w:val="none"/>
          <w14:textFill>
            <w14:solidFill>
              <w14:schemeClr w14:val="tx1"/>
            </w14:solidFill>
          </w14:textFill>
        </w:rPr>
        <w:t>。</w:t>
      </w:r>
    </w:p>
    <w:p w14:paraId="481B6B09">
      <w:pPr>
        <w:spacing w:line="360" w:lineRule="auto"/>
        <w:ind w:firstLine="435"/>
        <w:rPr>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 xml:space="preserve">14.3.4 </w:t>
      </w:r>
      <w:r>
        <w:rPr>
          <w:rFonts w:hint="eastAsia" w:asciiTheme="minorEastAsia" w:hAnsiTheme="minorEastAsia" w:eastAsiaTheme="minorEastAsia"/>
          <w:b/>
          <w:bCs/>
          <w:color w:val="000000" w:themeColor="text1"/>
          <w:sz w:val="24"/>
          <w:highlight w:val="none"/>
          <w14:textFill>
            <w14:solidFill>
              <w14:schemeClr w14:val="tx1"/>
            </w14:solidFill>
          </w14:textFill>
        </w:rPr>
        <w:t>异常低价响应审查。</w:t>
      </w:r>
      <w:r>
        <w:rPr>
          <w:rFonts w:hint="eastAsia"/>
          <w:color w:val="000000" w:themeColor="text1"/>
          <w:sz w:val="24"/>
          <w:highlight w:val="none"/>
          <w14:textFill>
            <w14:solidFill>
              <w14:schemeClr w14:val="tx1"/>
            </w14:solidFill>
          </w14:textFill>
        </w:rPr>
        <w:t>根据《关于推进解决政府采购异常低价问题的通知》（财库〔</w:t>
      </w:r>
      <w:r>
        <w:rPr>
          <w:color w:val="000000" w:themeColor="text1"/>
          <w:sz w:val="24"/>
          <w:highlight w:val="none"/>
          <w14:textFill>
            <w14:solidFill>
              <w14:schemeClr w14:val="tx1"/>
            </w14:solidFill>
          </w14:textFill>
        </w:rPr>
        <w:t>202</w:t>
      </w: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号</w:t>
      </w:r>
      <w:r>
        <w:rPr>
          <w:rFonts w:hint="eastAsia"/>
          <w:color w:val="000000" w:themeColor="text1"/>
          <w:sz w:val="24"/>
          <w:highlight w:val="none"/>
          <w14:textFill>
            <w14:solidFill>
              <w14:schemeClr w14:val="tx1"/>
            </w14:solidFill>
          </w14:textFill>
        </w:rPr>
        <w:t>），磋商小组进行异常低价响应审查。</w:t>
      </w:r>
    </w:p>
    <w:p w14:paraId="5EE622E4">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14.3.5</w:t>
      </w:r>
      <w:r>
        <w:rPr>
          <w:rFonts w:hint="eastAsia" w:asciiTheme="minorEastAsia" w:hAnsiTheme="minorEastAsia" w:eastAsiaTheme="minorEastAsia"/>
          <w:b/>
          <w:color w:val="000000" w:themeColor="text1"/>
          <w:sz w:val="24"/>
          <w:highlight w:val="none"/>
          <w14:textFill>
            <w14:solidFill>
              <w14:schemeClr w14:val="tx1"/>
            </w14:solidFill>
          </w14:textFill>
        </w:rPr>
        <w:t>综合评分</w:t>
      </w:r>
      <w:r>
        <w:rPr>
          <w:rFonts w:hint="eastAsia" w:asciiTheme="minorEastAsia" w:hAnsiTheme="minorEastAsia" w:eastAsiaTheme="minorEastAsia"/>
          <w:color w:val="000000" w:themeColor="text1"/>
          <w:sz w:val="24"/>
          <w:highlight w:val="none"/>
          <w14:textFill>
            <w14:solidFill>
              <w14:schemeClr w14:val="tx1"/>
            </w14:solidFill>
          </w14:textFill>
        </w:rPr>
        <w:t>。磋商小组只对通过初审、</w:t>
      </w:r>
      <w:r>
        <w:rPr>
          <w:rFonts w:hint="eastAsia"/>
          <w:color w:val="000000" w:themeColor="text1"/>
          <w:sz w:val="24"/>
          <w:highlight w:val="none"/>
          <w14:textFill>
            <w14:solidFill>
              <w14:schemeClr w14:val="tx1"/>
            </w14:solidFill>
          </w14:textFill>
        </w:rPr>
        <w:t>异常低价响应审查</w:t>
      </w:r>
      <w:r>
        <w:rPr>
          <w:rFonts w:hint="eastAsia" w:asciiTheme="minorEastAsia" w:hAnsiTheme="minorEastAsia" w:eastAsiaTheme="minorEastAsia"/>
          <w:color w:val="000000" w:themeColor="text1"/>
          <w:sz w:val="24"/>
          <w:highlight w:val="none"/>
          <w14:textFill>
            <w14:solidFill>
              <w14:schemeClr w14:val="tx1"/>
            </w14:solidFill>
          </w14:textFill>
        </w:rPr>
        <w:t>，实质上响应磋商文件要求的响应文件进行综合评分。经磋商确定最终采购需求和提交最后报价的供应商后，由磋商小组采用综合评分法对提交最后报价的供应商的响应文件和最后报价进行综合评分。</w:t>
      </w:r>
    </w:p>
    <w:p w14:paraId="3DD570E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14.4相关说明。</w:t>
      </w:r>
    </w:p>
    <w:p w14:paraId="4058185E">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 xml:space="preserve">14.4.1为保证磋商活动顺利进行，供应商可派相关技术人员进行网上答疑； </w:t>
      </w:r>
    </w:p>
    <w:p w14:paraId="0EABA392">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14.4.2磋</w:t>
      </w:r>
      <w:r>
        <w:rPr>
          <w:rFonts w:asciiTheme="minorEastAsia" w:hAnsiTheme="minorEastAsia" w:eastAsiaTheme="minorEastAsia"/>
          <w:color w:val="000000" w:themeColor="text1"/>
          <w:sz w:val="24"/>
          <w:highlight w:val="none"/>
          <w14:textFill>
            <w14:solidFill>
              <w14:schemeClr w14:val="tx1"/>
            </w14:solidFill>
          </w14:textFill>
        </w:rPr>
        <w:t>商小组根据与</w:t>
      </w:r>
      <w:r>
        <w:rPr>
          <w:rFonts w:hint="eastAsia" w:asciiTheme="minorEastAsia" w:hAnsiTheme="minorEastAsia" w:eastAsiaTheme="minorEastAsia"/>
          <w:color w:val="000000" w:themeColor="text1"/>
          <w:sz w:val="24"/>
          <w:highlight w:val="none"/>
          <w14:textFill>
            <w14:solidFill>
              <w14:schemeClr w14:val="tx1"/>
            </w14:solidFill>
          </w14:textFill>
        </w:rPr>
        <w:t>供应商</w:t>
      </w:r>
      <w:r>
        <w:rPr>
          <w:rFonts w:asciiTheme="minorEastAsia" w:hAnsiTheme="minorEastAsia" w:eastAsiaTheme="minorEastAsia"/>
          <w:color w:val="000000" w:themeColor="text1"/>
          <w:sz w:val="24"/>
          <w:highlight w:val="none"/>
          <w14:textFill>
            <w14:solidFill>
              <w14:schemeClr w14:val="tx1"/>
            </w14:solidFill>
          </w14:textFill>
        </w:rPr>
        <w:t>磋商情况可能实质性变动</w:t>
      </w:r>
      <w:r>
        <w:rPr>
          <w:rFonts w:hint="eastAsia" w:asciiTheme="minorEastAsia" w:hAnsiTheme="minorEastAsia" w:eastAsiaTheme="minorEastAsia"/>
          <w:color w:val="000000" w:themeColor="text1"/>
          <w:sz w:val="24"/>
          <w:highlight w:val="none"/>
          <w14:textFill>
            <w14:solidFill>
              <w14:schemeClr w14:val="tx1"/>
            </w14:solidFill>
          </w14:textFill>
        </w:rPr>
        <w:t>磋商文件</w:t>
      </w:r>
      <w:r>
        <w:rPr>
          <w:rFonts w:asciiTheme="minorEastAsia" w:hAnsiTheme="minorEastAsia" w:eastAsiaTheme="minorEastAsia"/>
          <w:color w:val="000000" w:themeColor="text1"/>
          <w:sz w:val="24"/>
          <w:highlight w:val="none"/>
          <w14:textFill>
            <w14:solidFill>
              <w14:schemeClr w14:val="tx1"/>
            </w14:solidFill>
          </w14:textFill>
        </w:rPr>
        <w:t>的内容，包括采购需求中的技术、服务要求以及合同草案条款。磋商文件有实质性变动的，</w:t>
      </w:r>
      <w:r>
        <w:rPr>
          <w:rFonts w:hint="eastAsia" w:asciiTheme="minorEastAsia" w:hAnsiTheme="minorEastAsia" w:eastAsiaTheme="minorEastAsia"/>
          <w:color w:val="000000" w:themeColor="text1"/>
          <w:sz w:val="24"/>
          <w:highlight w:val="none"/>
          <w14:textFill>
            <w14:solidFill>
              <w14:schemeClr w14:val="tx1"/>
            </w14:solidFill>
          </w14:textFill>
        </w:rPr>
        <w:t>经采购人代表确认作为磋商文件的有效组成部分，</w:t>
      </w:r>
      <w:r>
        <w:rPr>
          <w:rFonts w:asciiTheme="minorEastAsia" w:hAnsiTheme="minorEastAsia" w:eastAsiaTheme="minorEastAsia"/>
          <w:color w:val="000000" w:themeColor="text1"/>
          <w:sz w:val="24"/>
          <w:highlight w:val="none"/>
          <w14:textFill>
            <w14:solidFill>
              <w14:schemeClr w14:val="tx1"/>
            </w14:solidFill>
          </w14:textFill>
        </w:rPr>
        <w:t>磋商小组</w:t>
      </w:r>
      <w:r>
        <w:rPr>
          <w:rFonts w:hint="eastAsia" w:asciiTheme="minorEastAsia" w:hAnsiTheme="minorEastAsia" w:eastAsiaTheme="minorEastAsia"/>
          <w:color w:val="000000" w:themeColor="text1"/>
          <w:sz w:val="24"/>
          <w:highlight w:val="none"/>
          <w14:textFill>
            <w14:solidFill>
              <w14:schemeClr w14:val="tx1"/>
            </w14:solidFill>
          </w14:textFill>
        </w:rPr>
        <w:t>将</w:t>
      </w:r>
      <w:r>
        <w:rPr>
          <w:rFonts w:asciiTheme="minorEastAsia" w:hAnsiTheme="minorEastAsia" w:eastAsiaTheme="minorEastAsia"/>
          <w:color w:val="000000" w:themeColor="text1"/>
          <w:sz w:val="24"/>
          <w:highlight w:val="none"/>
          <w14:textFill>
            <w14:solidFill>
              <w14:schemeClr w14:val="tx1"/>
            </w14:solidFill>
          </w14:textFill>
        </w:rPr>
        <w:t>以书面形式通知所有参加磋商的供应商。</w:t>
      </w:r>
    </w:p>
    <w:p w14:paraId="69AECE36">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14.4.3</w:t>
      </w:r>
      <w:r>
        <w:rPr>
          <w:rFonts w:asciiTheme="minorEastAsia" w:hAnsiTheme="minorEastAsia" w:eastAsiaTheme="minorEastAsia"/>
          <w:color w:val="000000" w:themeColor="text1"/>
          <w:sz w:val="24"/>
          <w:highlight w:val="none"/>
          <w14:textFill>
            <w14:solidFill>
              <w14:schemeClr w14:val="tx1"/>
            </w14:solidFill>
          </w14:textFill>
        </w:rPr>
        <w:t>无论何种原因，即使供应商</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时携带了证书材料的原件，但响应文件中未提供与之内容完全一致的</w:t>
      </w:r>
      <w:r>
        <w:rPr>
          <w:rFonts w:hint="eastAsia" w:asciiTheme="minorEastAsia" w:hAnsiTheme="minorEastAsia" w:eastAsiaTheme="minorEastAsia"/>
          <w:color w:val="000000" w:themeColor="text1"/>
          <w:sz w:val="24"/>
          <w:highlight w:val="none"/>
          <w14:textFill>
            <w14:solidFill>
              <w14:schemeClr w14:val="tx1"/>
            </w14:solidFill>
          </w14:textFill>
        </w:rPr>
        <w:t>扫描件</w:t>
      </w:r>
      <w:r>
        <w:rPr>
          <w:rFonts w:asciiTheme="minorEastAsia" w:hAnsiTheme="minorEastAsia" w:eastAsiaTheme="minorEastAsia"/>
          <w:color w:val="000000" w:themeColor="text1"/>
          <w:sz w:val="24"/>
          <w:highlight w:val="none"/>
          <w14:textFill>
            <w14:solidFill>
              <w14:schemeClr w14:val="tx1"/>
            </w14:solidFill>
          </w14:textFill>
        </w:rPr>
        <w:t>的，</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小组可以视同其未提供。</w:t>
      </w:r>
    </w:p>
    <w:p w14:paraId="7229D3F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14.4.4磋商</w:t>
      </w:r>
      <w:r>
        <w:rPr>
          <w:rFonts w:asciiTheme="minorEastAsia" w:hAnsiTheme="minorEastAsia" w:eastAsiaTheme="minorEastAsia"/>
          <w:color w:val="000000" w:themeColor="text1"/>
          <w:sz w:val="24"/>
          <w:highlight w:val="none"/>
          <w14:textFill>
            <w14:solidFill>
              <w14:schemeClr w14:val="tx1"/>
            </w14:solidFill>
          </w14:textFill>
        </w:rPr>
        <w:t>小组决定响应文件的响应性及符合性只根据响应文件本身的内容，而不寻求其他外部证据。</w:t>
      </w:r>
    </w:p>
    <w:p w14:paraId="49B5AF94">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14</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5</w:t>
      </w:r>
      <w:r>
        <w:rPr>
          <w:rFonts w:asciiTheme="minorEastAsia" w:hAnsiTheme="minorEastAsia" w:eastAsiaTheme="minorEastAsia"/>
          <w:color w:val="000000" w:themeColor="text1"/>
          <w:sz w:val="24"/>
          <w:highlight w:val="none"/>
          <w14:textFill>
            <w14:solidFill>
              <w14:schemeClr w14:val="tx1"/>
            </w14:solidFill>
          </w14:textFill>
        </w:rPr>
        <w:t>供应商</w:t>
      </w:r>
      <w:r>
        <w:rPr>
          <w:rFonts w:hint="eastAsia" w:asciiTheme="minorEastAsia" w:hAnsiTheme="minorEastAsia" w:eastAsiaTheme="minorEastAsia"/>
          <w:color w:val="000000" w:themeColor="text1"/>
          <w:sz w:val="24"/>
          <w:highlight w:val="none"/>
          <w14:textFill>
            <w14:solidFill>
              <w14:schemeClr w14:val="tx1"/>
            </w14:solidFill>
          </w14:textFill>
        </w:rPr>
        <w:t>授权</w:t>
      </w:r>
      <w:r>
        <w:rPr>
          <w:rFonts w:asciiTheme="minorEastAsia" w:hAnsiTheme="minorEastAsia" w:eastAsiaTheme="minorEastAsia"/>
          <w:color w:val="000000" w:themeColor="text1"/>
          <w:sz w:val="24"/>
          <w:highlight w:val="none"/>
          <w14:textFill>
            <w14:solidFill>
              <w14:schemeClr w14:val="tx1"/>
            </w14:solidFill>
          </w14:textFill>
        </w:rPr>
        <w:t>代表对</w:t>
      </w:r>
      <w:r>
        <w:rPr>
          <w:rFonts w:hint="eastAsia" w:asciiTheme="minorEastAsia" w:hAnsiTheme="minorEastAsia" w:eastAsiaTheme="minorEastAsia"/>
          <w:color w:val="000000" w:themeColor="text1"/>
          <w:sz w:val="24"/>
          <w:highlight w:val="none"/>
          <w14:textFill>
            <w14:solidFill>
              <w14:schemeClr w14:val="tx1"/>
            </w14:solidFill>
          </w14:textFill>
        </w:rPr>
        <w:t>磋商过程</w:t>
      </w:r>
      <w:r>
        <w:rPr>
          <w:rFonts w:asciiTheme="minorEastAsia" w:hAnsiTheme="minorEastAsia" w:eastAsiaTheme="minorEastAsia"/>
          <w:color w:val="000000" w:themeColor="text1"/>
          <w:sz w:val="24"/>
          <w:highlight w:val="none"/>
          <w14:textFill>
            <w14:solidFill>
              <w14:schemeClr w14:val="tx1"/>
            </w14:solidFill>
          </w14:textFill>
        </w:rPr>
        <w:t>有疑义，以及认为采购人、采购代理机构相关工作人员有需要回避的情形的，应当场提出询问或者回避申请</w:t>
      </w:r>
      <w:r>
        <w:rPr>
          <w:rFonts w:hint="eastAsia" w:asciiTheme="minorEastAsia" w:hAnsiTheme="minorEastAsia" w:eastAsiaTheme="minorEastAsia"/>
          <w:color w:val="000000" w:themeColor="text1"/>
          <w:sz w:val="24"/>
          <w:highlight w:val="none"/>
          <w14:textFill>
            <w14:solidFill>
              <w14:schemeClr w14:val="tx1"/>
            </w14:solidFill>
          </w14:textFill>
        </w:rPr>
        <w:t>，并说明理由。</w:t>
      </w:r>
      <w:r>
        <w:rPr>
          <w:rFonts w:asciiTheme="minorEastAsia" w:hAnsiTheme="minorEastAsia" w:eastAsiaTheme="minorEastAsia"/>
          <w:color w:val="000000" w:themeColor="text1"/>
          <w:sz w:val="24"/>
          <w:highlight w:val="none"/>
          <w14:textFill>
            <w14:solidFill>
              <w14:schemeClr w14:val="tx1"/>
            </w14:solidFill>
          </w14:textFill>
        </w:rPr>
        <w:t xml:space="preserve"> </w:t>
      </w:r>
    </w:p>
    <w:p w14:paraId="5A1D9C8D">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15</w:t>
      </w:r>
      <w:r>
        <w:rPr>
          <w:rFonts w:asciiTheme="minorEastAsia" w:hAnsiTheme="minorEastAsia" w:eastAsiaTheme="minorEastAsia"/>
          <w:b/>
          <w:color w:val="000000" w:themeColor="text1"/>
          <w:sz w:val="24"/>
          <w:highlight w:val="none"/>
          <w14:textFill>
            <w14:solidFill>
              <w14:schemeClr w14:val="tx1"/>
            </w14:solidFill>
          </w14:textFill>
        </w:rPr>
        <w:t>.终止竞争性磋商</w:t>
      </w:r>
    </w:p>
    <w:p w14:paraId="3D0BBA9E">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15.1出现下列情况之一时，采购人和采购代理机构有权宣布终止竞争性磋商采购，并将理由通知所有供应商：</w:t>
      </w:r>
    </w:p>
    <w:p w14:paraId="060320BC">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（1）有效供应商数量不足，导致本次磋商缺乏竞争的；</w:t>
      </w:r>
    </w:p>
    <w:p w14:paraId="410B7DE6">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（2）出现影响采购公正的违法、违规行为的；</w:t>
      </w:r>
    </w:p>
    <w:p w14:paraId="70E9C3D5">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（3）因重大变故，采购任务取消的；</w:t>
      </w:r>
    </w:p>
    <w:p w14:paraId="530AB611">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（4）政府采购法律法规规定的其他情形。</w:t>
      </w:r>
    </w:p>
    <w:p w14:paraId="5CF79566">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16</w:t>
      </w:r>
      <w:r>
        <w:rPr>
          <w:rFonts w:asciiTheme="minorEastAsia" w:hAnsiTheme="minorEastAsia" w:eastAsiaTheme="minorEastAsia"/>
          <w:b/>
          <w:color w:val="000000" w:themeColor="text1"/>
          <w:sz w:val="24"/>
          <w:highlight w:val="none"/>
          <w14:textFill>
            <w14:solidFill>
              <w14:schemeClr w14:val="tx1"/>
            </w14:solidFill>
          </w14:textFill>
        </w:rPr>
        <w:t>.响应文件的澄清、说明或</w:t>
      </w:r>
      <w:r>
        <w:rPr>
          <w:rFonts w:hint="eastAsia" w:asciiTheme="minorEastAsia" w:hAnsiTheme="minorEastAsia" w:eastAsiaTheme="minorEastAsia"/>
          <w:b/>
          <w:color w:val="000000" w:themeColor="text1"/>
          <w:sz w:val="24"/>
          <w:highlight w:val="none"/>
          <w14:textFill>
            <w14:solidFill>
              <w14:schemeClr w14:val="tx1"/>
            </w14:solidFill>
          </w14:textFill>
        </w:rPr>
        <w:t>更正</w:t>
      </w:r>
    </w:p>
    <w:p w14:paraId="212B4120">
      <w:pPr>
        <w:spacing w:line="360" w:lineRule="auto"/>
        <w:ind w:firstLine="470" w:firstLineChars="196"/>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16.1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136E1EA7">
      <w:pPr>
        <w:spacing w:line="360" w:lineRule="auto"/>
        <w:ind w:firstLine="470" w:firstLineChars="196"/>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16.2磋商小组要求供应商澄清、说明或者更正响应文件应当以书面形式（询标）作出。供应商的澄清、说明或者更正应当由法定代表人或其授权代表签字或者加盖公章（电子签章）。</w:t>
      </w:r>
    </w:p>
    <w:p w14:paraId="029A9EB9">
      <w:pPr>
        <w:spacing w:line="360" w:lineRule="auto"/>
        <w:ind w:firstLine="435"/>
        <w:rPr>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如有询标，授权代表（或法定代表人）可通过远程登录的方式接受网上询标，也可凭本人有效身份证明参加询标。因授权代表联系不上</w:t>
      </w:r>
      <w:r>
        <w:rPr>
          <w:rFonts w:hint="eastAsia"/>
          <w:b/>
          <w:bCs/>
          <w:color w:val="000000" w:themeColor="text1"/>
          <w:sz w:val="24"/>
          <w:highlight w:val="none"/>
          <w14:textFill>
            <w14:solidFill>
              <w14:schemeClr w14:val="tx1"/>
            </w14:solidFill>
          </w14:textFill>
        </w:rPr>
        <w:t>、没有及时登录系统等情形</w:t>
      </w:r>
      <w:r>
        <w:rPr>
          <w:rFonts w:hint="eastAsia"/>
          <w:b/>
          <w:color w:val="000000" w:themeColor="text1"/>
          <w:sz w:val="24"/>
          <w:highlight w:val="none"/>
          <w14:textFill>
            <w14:solidFill>
              <w14:schemeClr w14:val="tx1"/>
            </w14:solidFill>
          </w14:textFill>
        </w:rPr>
        <w:t>而无法接受磋商小组询标的，供应商自行承担相关风险。</w:t>
      </w:r>
    </w:p>
    <w:p w14:paraId="00C7DF93">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17</w:t>
      </w:r>
      <w:r>
        <w:rPr>
          <w:rFonts w:asciiTheme="minorEastAsia" w:hAnsiTheme="minorEastAsia" w:eastAsiaTheme="minorEastAsia"/>
          <w:b/>
          <w:color w:val="000000" w:themeColor="text1"/>
          <w:sz w:val="24"/>
          <w:highlight w:val="none"/>
          <w14:textFill>
            <w14:solidFill>
              <w14:schemeClr w14:val="tx1"/>
            </w14:solidFill>
          </w14:textFill>
        </w:rPr>
        <w:t>.最后报价</w:t>
      </w:r>
    </w:p>
    <w:p w14:paraId="0ED8BF02">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17.1</w:t>
      </w:r>
      <w:r>
        <w:rPr>
          <w:rFonts w:asciiTheme="minorEastAsia" w:hAnsiTheme="minorEastAsia" w:eastAsiaTheme="minorEastAsia"/>
          <w:color w:val="000000" w:themeColor="text1"/>
          <w:sz w:val="24"/>
          <w:highlight w:val="none"/>
          <w14:textFill>
            <w14:solidFill>
              <w14:schemeClr w14:val="tx1"/>
            </w14:solidFill>
          </w14:textFill>
        </w:rPr>
        <w:t>磋商并不限定只进行二轮报价，如果磋商小组认为有必要，可以要求供应商进行多轮报价。</w:t>
      </w:r>
    </w:p>
    <w:p w14:paraId="2C246778">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17.2</w:t>
      </w:r>
      <w:r>
        <w:rPr>
          <w:rFonts w:asciiTheme="minorEastAsia" w:hAnsiTheme="minorEastAsia" w:eastAsiaTheme="minorEastAsia"/>
          <w:color w:val="000000" w:themeColor="text1"/>
          <w:sz w:val="24"/>
          <w:highlight w:val="none"/>
          <w14:textFill>
            <w14:solidFill>
              <w14:schemeClr w14:val="tx1"/>
            </w14:solidFill>
          </w14:textFill>
        </w:rPr>
        <w:t>在磋商内容不做实质性变更或重大调整的前提下，供应商下轮报价不得高于上一轮报价</w:t>
      </w:r>
      <w:r>
        <w:rPr>
          <w:rFonts w:hint="eastAsia" w:asciiTheme="minorEastAsia" w:hAnsiTheme="minorEastAsia" w:eastAsiaTheme="minorEastAsia"/>
          <w:color w:val="000000" w:themeColor="text1"/>
          <w:sz w:val="24"/>
          <w:highlight w:val="none"/>
          <w14:textFill>
            <w14:solidFill>
              <w14:schemeClr w14:val="tx1"/>
            </w14:solidFill>
          </w14:textFill>
        </w:rPr>
        <w:t>。</w:t>
      </w:r>
    </w:p>
    <w:p w14:paraId="0BA232B5">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17.3</w:t>
      </w:r>
      <w:r>
        <w:rPr>
          <w:rFonts w:asciiTheme="minorEastAsia" w:hAnsiTheme="minorEastAsia" w:eastAsiaTheme="minorEastAsia"/>
          <w:color w:val="000000" w:themeColor="text1"/>
          <w:sz w:val="24"/>
          <w:highlight w:val="none"/>
          <w14:textFill>
            <w14:solidFill>
              <w14:schemeClr w14:val="tx1"/>
            </w14:solidFill>
          </w14:textFill>
        </w:rPr>
        <w:t>最后报价是供应商响应文件的有效组成部分，最后报价也是签订合同的依据。</w:t>
      </w:r>
    </w:p>
    <w:p w14:paraId="687FF3B6">
      <w:pPr>
        <w:spacing w:line="360" w:lineRule="auto"/>
        <w:ind w:firstLine="435"/>
        <w:rPr>
          <w:rFonts w:asciiTheme="majorEastAsia" w:hAnsiTheme="majorEastAsia" w:eastAsiaTheme="majorEastAsia"/>
          <w:color w:val="000000" w:themeColor="text1"/>
          <w:sz w:val="24"/>
          <w:highlight w:val="none"/>
          <w14:textFill>
            <w14:solidFill>
              <w14:schemeClr w14:val="tx1"/>
            </w14:solidFill>
          </w14:textFill>
        </w:rPr>
      </w:pPr>
      <w:bookmarkStart w:id="43" w:name="_Hlk60607655"/>
      <w:r>
        <w:rPr>
          <w:rFonts w:hint="eastAsia" w:asciiTheme="majorEastAsia" w:hAnsiTheme="majorEastAsia" w:eastAsiaTheme="majorEastAsia"/>
          <w:color w:val="000000" w:themeColor="text1"/>
          <w:sz w:val="24"/>
          <w:highlight w:val="none"/>
          <w14:textFill>
            <w14:solidFill>
              <w14:schemeClr w14:val="tx1"/>
            </w14:solidFill>
          </w14:textFill>
        </w:rPr>
        <w:t>17.</w:t>
      </w:r>
      <w:r>
        <w:rPr>
          <w:rFonts w:asciiTheme="majorEastAsia" w:hAnsiTheme="majorEastAsia" w:eastAsiaTheme="majorEastAsia"/>
          <w:color w:val="000000" w:themeColor="text1"/>
          <w:sz w:val="24"/>
          <w:highlight w:val="none"/>
          <w14:textFill>
            <w14:solidFill>
              <w14:schemeClr w14:val="tx1"/>
            </w14:solidFill>
          </w14:textFill>
        </w:rPr>
        <w:t>4</w:t>
      </w:r>
      <w:r>
        <w:rPr>
          <w:rFonts w:hint="eastAsia" w:asciiTheme="majorEastAsia" w:hAnsiTheme="majorEastAsia" w:eastAsiaTheme="majorEastAsia"/>
          <w:color w:val="000000" w:themeColor="text1"/>
          <w:sz w:val="24"/>
          <w:highlight w:val="none"/>
          <w14:textFill>
            <w14:solidFill>
              <w14:schemeClr w14:val="tx1"/>
            </w14:solidFill>
          </w14:textFill>
        </w:rPr>
        <w:t>根据《政府采购促进中小企业发展管理办法》（财库〔</w:t>
      </w:r>
      <w:r>
        <w:rPr>
          <w:rFonts w:asciiTheme="majorEastAsia" w:hAnsiTheme="majorEastAsia" w:eastAsiaTheme="majorEastAsia"/>
          <w:color w:val="000000" w:themeColor="text1"/>
          <w:sz w:val="24"/>
          <w:highlight w:val="none"/>
          <w14:textFill>
            <w14:solidFill>
              <w14:schemeClr w14:val="tx1"/>
            </w14:solidFill>
          </w14:textFill>
        </w:rPr>
        <w:t>2020〕46号</w:t>
      </w:r>
      <w:r>
        <w:rPr>
          <w:rFonts w:hint="eastAsia" w:asciiTheme="majorEastAsia" w:hAnsiTheme="majorEastAsia" w:eastAsiaTheme="majorEastAsia"/>
          <w:color w:val="000000" w:themeColor="text1"/>
          <w:sz w:val="24"/>
          <w:highlight w:val="none"/>
          <w14:textFill>
            <w14:solidFill>
              <w14:schemeClr w14:val="tx1"/>
            </w14:solidFill>
          </w14:textFill>
        </w:rPr>
        <w:t>）、《三部门联合发布关于促进残疾人就业政府采购政策的通知》（财库〔2017〕141号）和《</w:t>
      </w:r>
      <w:r>
        <w:rPr>
          <w:rFonts w:asciiTheme="majorEastAsia" w:hAnsiTheme="majorEastAsia" w:eastAsiaTheme="majorEastAsia"/>
          <w:color w:val="000000" w:themeColor="text1"/>
          <w:sz w:val="24"/>
          <w:highlight w:val="none"/>
          <w14:textFill>
            <w14:solidFill>
              <w14:schemeClr w14:val="tx1"/>
            </w14:solidFill>
          </w14:textFill>
        </w:rPr>
        <w:t>财政部司法部关于政府采购支持监狱企业发展有关问题的通知</w:t>
      </w:r>
      <w:r>
        <w:rPr>
          <w:rFonts w:hint="eastAsia" w:asciiTheme="majorEastAsia" w:hAnsiTheme="majorEastAsia" w:eastAsiaTheme="majorEastAsia"/>
          <w:color w:val="000000" w:themeColor="text1"/>
          <w:sz w:val="24"/>
          <w:highlight w:val="none"/>
          <w14:textFill>
            <w14:solidFill>
              <w14:schemeClr w14:val="tx1"/>
            </w14:solidFill>
          </w14:textFill>
        </w:rPr>
        <w:t>》（财库〔2014〕68号）的规定，对满足价格扣除条件且在响应文件中提交了</w:t>
      </w:r>
      <w:r>
        <w:rPr>
          <w:rFonts w:asciiTheme="majorEastAsia" w:hAnsiTheme="majorEastAsia" w:eastAsiaTheme="majorEastAsia"/>
          <w:color w:val="000000" w:themeColor="text1"/>
          <w:sz w:val="24"/>
          <w:highlight w:val="none"/>
          <w14:textFill>
            <w14:solidFill>
              <w14:schemeClr w14:val="tx1"/>
            </w14:solidFill>
          </w14:textFill>
        </w:rPr>
        <w:t>《中小企业声明函》</w:t>
      </w:r>
      <w:r>
        <w:rPr>
          <w:rFonts w:hint="eastAsia" w:asciiTheme="majorEastAsia" w:hAnsiTheme="majorEastAsia" w:eastAsiaTheme="majorEastAsia"/>
          <w:color w:val="000000" w:themeColor="text1"/>
          <w:sz w:val="24"/>
          <w:highlight w:val="none"/>
          <w14:textFill>
            <w14:solidFill>
              <w14:schemeClr w14:val="tx1"/>
            </w14:solidFill>
          </w14:textFill>
        </w:rPr>
        <w:t>、</w:t>
      </w:r>
      <w:r>
        <w:rPr>
          <w:rFonts w:asciiTheme="majorEastAsia" w:hAnsiTheme="majorEastAsia" w:eastAsiaTheme="majorEastAsia"/>
          <w:color w:val="000000" w:themeColor="text1"/>
          <w:sz w:val="24"/>
          <w:highlight w:val="none"/>
          <w14:textFill>
            <w14:solidFill>
              <w14:schemeClr w14:val="tx1"/>
            </w14:solidFill>
          </w14:textFill>
        </w:rPr>
        <w:t>《残疾人福利性单位声明函》</w:t>
      </w:r>
      <w:r>
        <w:rPr>
          <w:rFonts w:hint="eastAsia" w:asciiTheme="majorEastAsia" w:hAnsiTheme="majorEastAsia" w:eastAsiaTheme="majorEastAsia"/>
          <w:color w:val="000000" w:themeColor="text1"/>
          <w:sz w:val="24"/>
          <w:highlight w:val="none"/>
          <w14:textFill>
            <w14:solidFill>
              <w14:schemeClr w14:val="tx1"/>
            </w14:solidFill>
          </w14:textFill>
        </w:rPr>
        <w:t>或省级以上监狱管理局、戒毒管理局（含新疆生产建设兵团）出具的属于监狱企业的证明文件的供应商，其最后报价按照</w:t>
      </w:r>
      <w:r>
        <w:rPr>
          <w:rFonts w:hint="eastAsia" w:asciiTheme="majorEastAsia" w:hAnsiTheme="majorEastAsia" w:eastAsiaTheme="majorEastAsia"/>
          <w:color w:val="000000" w:themeColor="text1"/>
          <w:sz w:val="24"/>
          <w:highlight w:val="none"/>
          <w:u w:val="single"/>
          <w14:textFill>
            <w14:solidFill>
              <w14:schemeClr w14:val="tx1"/>
            </w14:solidFill>
          </w14:textFill>
        </w:rPr>
        <w:t>供应商须知前附表</w:t>
      </w:r>
      <w:r>
        <w:rPr>
          <w:rFonts w:hint="eastAsia" w:asciiTheme="majorEastAsia" w:hAnsiTheme="majorEastAsia" w:eastAsiaTheme="majorEastAsia"/>
          <w:color w:val="000000" w:themeColor="text1"/>
          <w:sz w:val="24"/>
          <w:highlight w:val="none"/>
          <w14:textFill>
            <w14:solidFill>
              <w14:schemeClr w14:val="tx1"/>
            </w14:solidFill>
          </w14:textFill>
        </w:rPr>
        <w:t>中规定的标准扣除后的价格参与评审。对于同时属于小微企业、监狱企业或残疾人福利性单位的，不重复进行最后报价扣除。</w:t>
      </w:r>
    </w:p>
    <w:p w14:paraId="0FB58288">
      <w:pPr>
        <w:spacing w:line="360" w:lineRule="auto"/>
        <w:ind w:firstLine="435"/>
        <w:rPr>
          <w:rFonts w:asciiTheme="majorEastAsia" w:hAnsiTheme="majorEastAsia" w:eastAsiaTheme="majorEastAsia"/>
          <w:color w:val="000000" w:themeColor="text1"/>
          <w:sz w:val="24"/>
          <w:highlight w:val="none"/>
          <w14:textFill>
            <w14:solidFill>
              <w14:schemeClr w14:val="tx1"/>
            </w14:solidFill>
          </w14:textFill>
        </w:rPr>
      </w:pPr>
      <w:r>
        <w:rPr>
          <w:rFonts w:hint="eastAsia" w:asciiTheme="majorEastAsia" w:hAnsiTheme="majorEastAsia" w:eastAsiaTheme="majorEastAsia"/>
          <w:color w:val="000000" w:themeColor="text1"/>
          <w:sz w:val="24"/>
          <w:highlight w:val="none"/>
          <w14:textFill>
            <w14:solidFill>
              <w14:schemeClr w14:val="tx1"/>
            </w14:solidFill>
          </w14:textFill>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000000" w:themeColor="text1"/>
          <w:sz w:val="24"/>
          <w:highlight w:val="none"/>
          <w14:textFill>
            <w14:solidFill>
              <w14:schemeClr w14:val="tx1"/>
            </w14:solidFill>
          </w14:textFill>
        </w:rPr>
        <w:t>30%以上的，可给予联合体或者大中型企业的</w:t>
      </w:r>
      <w:r>
        <w:rPr>
          <w:rFonts w:hint="eastAsia" w:asciiTheme="majorEastAsia" w:hAnsiTheme="majorEastAsia" w:eastAsiaTheme="majorEastAsia"/>
          <w:color w:val="000000" w:themeColor="text1"/>
          <w:sz w:val="24"/>
          <w:highlight w:val="none"/>
          <w14:textFill>
            <w14:solidFill>
              <w14:schemeClr w14:val="tx1"/>
            </w14:solidFill>
          </w14:textFill>
        </w:rPr>
        <w:t>最后报价按照</w:t>
      </w:r>
      <w:r>
        <w:rPr>
          <w:rFonts w:hint="eastAsia" w:asciiTheme="majorEastAsia" w:hAnsiTheme="majorEastAsia" w:eastAsiaTheme="majorEastAsia"/>
          <w:color w:val="000000" w:themeColor="text1"/>
          <w:sz w:val="24"/>
          <w:highlight w:val="none"/>
          <w:u w:val="single"/>
          <w14:textFill>
            <w14:solidFill>
              <w14:schemeClr w14:val="tx1"/>
            </w14:solidFill>
          </w14:textFill>
        </w:rPr>
        <w:t>供应商须知前附表</w:t>
      </w:r>
      <w:r>
        <w:rPr>
          <w:rFonts w:hint="eastAsia" w:asciiTheme="majorEastAsia" w:hAnsiTheme="majorEastAsia" w:eastAsiaTheme="majorEastAsia"/>
          <w:color w:val="000000" w:themeColor="text1"/>
          <w:sz w:val="24"/>
          <w:highlight w:val="none"/>
          <w14:textFill>
            <w14:solidFill>
              <w14:schemeClr w14:val="tx1"/>
            </w14:solidFill>
          </w14:textFill>
        </w:rPr>
        <w:t>中规定的标准扣除后的价格参与评审</w:t>
      </w:r>
      <w:r>
        <w:rPr>
          <w:rFonts w:asciiTheme="majorEastAsia" w:hAnsiTheme="majorEastAsia" w:eastAsiaTheme="majorEastAsia"/>
          <w:color w:val="000000" w:themeColor="text1"/>
          <w:sz w:val="24"/>
          <w:highlight w:val="none"/>
          <w14:textFill>
            <w14:solidFill>
              <w14:schemeClr w14:val="tx1"/>
            </w14:solidFill>
          </w14:textFill>
        </w:rPr>
        <w:t>。</w:t>
      </w:r>
      <w:r>
        <w:rPr>
          <w:rFonts w:hint="eastAsia" w:asciiTheme="majorEastAsia" w:hAnsiTheme="majorEastAsia" w:eastAsiaTheme="majorEastAsia"/>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415D6716">
      <w:pPr>
        <w:spacing w:line="360" w:lineRule="auto"/>
        <w:ind w:firstLine="435"/>
        <w:rPr>
          <w:rFonts w:asciiTheme="majorEastAsia" w:hAnsiTheme="majorEastAsia" w:eastAsiaTheme="majorEastAsia"/>
          <w:color w:val="000000" w:themeColor="text1"/>
          <w:sz w:val="24"/>
          <w:highlight w:val="none"/>
          <w14:textFill>
            <w14:solidFill>
              <w14:schemeClr w14:val="tx1"/>
            </w14:solidFill>
          </w14:textFill>
        </w:rPr>
      </w:pPr>
      <w:r>
        <w:rPr>
          <w:rFonts w:hint="eastAsia" w:asciiTheme="majorEastAsia" w:hAnsiTheme="majorEastAsia" w:eastAsiaTheme="majorEastAsia"/>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bookmarkEnd w:id="43"/>
    </w:p>
    <w:p w14:paraId="37487C01">
      <w:pPr>
        <w:spacing w:line="360" w:lineRule="auto"/>
        <w:ind w:firstLine="435"/>
        <w:rPr>
          <w:rFonts w:cs="@仿宋_GB2312"/>
          <w:color w:val="000000" w:themeColor="text1"/>
          <w:kern w:val="2"/>
          <w:sz w:val="24"/>
          <w:szCs w:val="22"/>
          <w:highlight w:val="none"/>
          <w14:textFill>
            <w14:solidFill>
              <w14:schemeClr w14:val="tx1"/>
            </w14:solidFill>
          </w14:textFill>
        </w:rPr>
      </w:pPr>
      <w:r>
        <w:rPr>
          <w:rFonts w:hint="eastAsia" w:cs="@仿宋_GB2312"/>
          <w:color w:val="000000" w:themeColor="text1"/>
          <w:kern w:val="2"/>
          <w:sz w:val="24"/>
          <w:szCs w:val="22"/>
          <w:highlight w:val="none"/>
          <w14:textFill>
            <w14:solidFill>
              <w14:schemeClr w14:val="tx1"/>
            </w14:solidFill>
          </w14:textFill>
        </w:rPr>
        <w:t>17.5供应商应当按照企业定额或项目所在地最新建设工程计价依据以及材料市场价格信息等，结合自身实力、施工经验、现场环境以及磋商文件的要求自主报价。</w:t>
      </w:r>
    </w:p>
    <w:p w14:paraId="72C9F100">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17.6除非采购人对磋商文件予以澄清、修改，否则供应商应按采购人提供的工程量清单中列出的工程项目和工程量逐项填报综合单价和合价。供应商不得在工程量清单中任意增删、修改清单项目与工程量及项目排列顺序。</w:t>
      </w:r>
    </w:p>
    <w:p w14:paraId="482F8782">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w:t>
      </w:r>
      <w:r>
        <w:rPr>
          <w:rFonts w:cs="@仿宋_GB2312" w:asciiTheme="minorEastAsia" w:hAnsiTheme="minorEastAsia" w:eastAsiaTheme="minorEastAsia"/>
          <w:color w:val="000000" w:themeColor="text1"/>
          <w:kern w:val="2"/>
          <w:sz w:val="24"/>
          <w:highlight w:val="none"/>
          <w14:textFill>
            <w14:solidFill>
              <w14:schemeClr w14:val="tx1"/>
            </w14:solidFill>
          </w14:textFill>
        </w:rPr>
        <w:t>.</w:t>
      </w: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7除非合同中另有规定，供应商在工程量清单报价书中所报的价格包括完成磋商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14:paraId="626E5F77">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17.8本项目的施工地点为本须知前附表所述，供应商可到施工现场踏勘以充分了解工地位置、情况、道路、储存空间、装卸限制及任何其它足以影响磋商报价的情况，任何因忽视或误解施工场地情况而导致的索赔或工期延长申请将不被批准。对于受施工现场场地限制，如需要另外寻找场地解决临时住宿、材料及设备堆放，由此所产生的费用应包含在磋商报价范围内，采购人不再承担该费用。</w:t>
      </w:r>
    </w:p>
    <w:p w14:paraId="3F513EE2">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17.9工程造价的确定与控制</w:t>
      </w:r>
    </w:p>
    <w:p w14:paraId="2AE63819">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17.9.1本工程确定成交供应商后，工程总造价在磋商范围内包定，除经批准的设计变更、经济签证外，其它工程造价增减均不予签证计价。</w:t>
      </w:r>
    </w:p>
    <w:p w14:paraId="5D02E24F">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17.9.2磋商前，供应商应认真对照施工设计图纸等文件核对采购人提供的工程量清单，发现工程量存在项目划分误差、计量单位误差、数量误差、遗漏项目的，必须在网上询问截止时间前向采购人提出疑问，否则采购人可不予答复。</w:t>
      </w:r>
    </w:p>
    <w:p w14:paraId="52B0D8A0">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17.9</w:t>
      </w:r>
      <w:r>
        <w:rPr>
          <w:rFonts w:cs="@仿宋_GB2312" w:asciiTheme="minorEastAsia" w:hAnsiTheme="minorEastAsia" w:eastAsiaTheme="minorEastAsia"/>
          <w:color w:val="000000" w:themeColor="text1"/>
          <w:kern w:val="2"/>
          <w:sz w:val="24"/>
          <w:highlight w:val="none"/>
          <w14:textFill>
            <w14:solidFill>
              <w14:schemeClr w14:val="tx1"/>
            </w14:solidFill>
          </w14:textFill>
        </w:rPr>
        <w:t>.</w:t>
      </w: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3</w:t>
      </w:r>
      <w:r>
        <w:rPr>
          <w:rFonts w:hint="eastAsia" w:cs="宋体"/>
          <w:color w:val="000000" w:themeColor="text1"/>
          <w:kern w:val="2"/>
          <w:sz w:val="24"/>
          <w:szCs w:val="24"/>
          <w:highlight w:val="none"/>
          <w14:textFill>
            <w14:solidFill>
              <w14:schemeClr w14:val="tx1"/>
            </w14:solidFill>
          </w14:textFill>
        </w:rPr>
        <w:t>采购人对疑问应进行核实，确认工程量单项子目误差在±3%（含±3%）以内的，采购人可不予调整工程量，供应商应将其误差考虑在综合单价内；若有遗漏项目或单项子目工程量误差超过±3%的，采购人应进行修正并重新公布准确的工程量清单。</w:t>
      </w:r>
    </w:p>
    <w:p w14:paraId="6573497D">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17.9</w:t>
      </w:r>
      <w:r>
        <w:rPr>
          <w:rFonts w:cs="@仿宋_GB2312" w:asciiTheme="minorEastAsia" w:hAnsiTheme="minorEastAsia" w:eastAsiaTheme="minorEastAsia"/>
          <w:color w:val="000000" w:themeColor="text1"/>
          <w:kern w:val="2"/>
          <w:sz w:val="24"/>
          <w:highlight w:val="none"/>
          <w14:textFill>
            <w14:solidFill>
              <w14:schemeClr w14:val="tx1"/>
            </w14:solidFill>
          </w14:textFill>
        </w:rPr>
        <w:t>.</w:t>
      </w: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4供应商在规定时间内未对工程量清单提出疑问的，成交后，采购人不再对工程量清单的项目和数量进行校对调整。供应商必须按其报价完成竞争性磋商文件规定范围内的设计图纸规定的所有工程项目。</w:t>
      </w:r>
    </w:p>
    <w:p w14:paraId="12D738AC">
      <w:pPr>
        <w:spacing w:line="360" w:lineRule="auto"/>
        <w:ind w:firstLine="435"/>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17.10成交供应商在工程量清单报价书中所报的综合单价一律不予调整。</w:t>
      </w:r>
    </w:p>
    <w:p w14:paraId="65A5E66A">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highlight w:val="none"/>
          <w14:textFill>
            <w14:solidFill>
              <w14:schemeClr w14:val="tx1"/>
            </w14:solidFill>
          </w14:textFill>
        </w:rPr>
        <w:t>17.11本工程不接受恶意不平衡报价，不保证最低价成交。</w:t>
      </w:r>
    </w:p>
    <w:p w14:paraId="288558BC">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18</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成交候选供应商的推荐原则及标准</w:t>
      </w:r>
    </w:p>
    <w:p w14:paraId="1EA9F12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18</w:t>
      </w: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磋商小组</w:t>
      </w:r>
      <w:r>
        <w:rPr>
          <w:rFonts w:asciiTheme="minorEastAsia" w:hAnsiTheme="minorEastAsia" w:eastAsiaTheme="minorEastAsia"/>
          <w:color w:val="000000" w:themeColor="text1"/>
          <w:sz w:val="24"/>
          <w:highlight w:val="none"/>
          <w14:textFill>
            <w14:solidFill>
              <w14:schemeClr w14:val="tx1"/>
            </w14:solidFill>
          </w14:textFill>
        </w:rPr>
        <w:t>依据本项目</w:t>
      </w:r>
      <w:r>
        <w:rPr>
          <w:rFonts w:hint="eastAsia" w:asciiTheme="minorEastAsia" w:hAnsiTheme="minorEastAsia" w:eastAsiaTheme="minorEastAsia"/>
          <w:color w:val="000000" w:themeColor="text1"/>
          <w:sz w:val="24"/>
          <w:highlight w:val="none"/>
          <w14:textFill>
            <w14:solidFill>
              <w14:schemeClr w14:val="tx1"/>
            </w14:solidFill>
          </w14:textFill>
        </w:rPr>
        <w:t>磋商</w:t>
      </w:r>
      <w:r>
        <w:rPr>
          <w:rFonts w:asciiTheme="minorEastAsia" w:hAnsiTheme="minorEastAsia" w:eastAsiaTheme="minorEastAsia"/>
          <w:color w:val="000000" w:themeColor="text1"/>
          <w:sz w:val="24"/>
          <w:highlight w:val="none"/>
          <w14:textFill>
            <w14:solidFill>
              <w14:schemeClr w14:val="tx1"/>
            </w14:solidFill>
          </w14:textFill>
        </w:rPr>
        <w:t>文件所约定的</w:t>
      </w:r>
      <w:r>
        <w:rPr>
          <w:rFonts w:hint="eastAsia" w:asciiTheme="minorEastAsia" w:hAnsiTheme="minorEastAsia" w:eastAsiaTheme="minorEastAsia"/>
          <w:color w:val="000000" w:themeColor="text1"/>
          <w:sz w:val="24"/>
          <w:highlight w:val="none"/>
          <w14:textFill>
            <w14:solidFill>
              <w14:schemeClr w14:val="tx1"/>
            </w14:solidFill>
          </w14:textFill>
        </w:rPr>
        <w:t>评审</w:t>
      </w:r>
      <w:r>
        <w:rPr>
          <w:rFonts w:asciiTheme="minorEastAsia" w:hAnsiTheme="minorEastAsia" w:eastAsiaTheme="minorEastAsia"/>
          <w:color w:val="000000" w:themeColor="text1"/>
          <w:sz w:val="24"/>
          <w:highlight w:val="none"/>
          <w14:textFill>
            <w14:solidFill>
              <w14:schemeClr w14:val="tx1"/>
            </w14:solidFill>
          </w14:textFill>
        </w:rPr>
        <w:t>方法</w:t>
      </w:r>
      <w:r>
        <w:rPr>
          <w:rFonts w:hint="eastAsia" w:asciiTheme="minorEastAsia" w:hAnsiTheme="minorEastAsia" w:eastAsiaTheme="minorEastAsia"/>
          <w:color w:val="000000" w:themeColor="text1"/>
          <w:sz w:val="24"/>
          <w:highlight w:val="none"/>
          <w14:textFill>
            <w14:solidFill>
              <w14:schemeClr w14:val="tx1"/>
            </w14:solidFill>
          </w14:textFill>
        </w:rPr>
        <w:t>和标准</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78960CC2">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19</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确定成交候选供应商和成交供应商</w:t>
      </w:r>
    </w:p>
    <w:p w14:paraId="2F745E45">
      <w:pPr>
        <w:spacing w:line="360" w:lineRule="auto"/>
        <w:ind w:firstLine="470" w:firstLineChars="196"/>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19.1磋商小组根据综合评分的结果和</w:t>
      </w:r>
      <w:r>
        <w:rPr>
          <w:rFonts w:hint="eastAsia" w:asciiTheme="minorEastAsia" w:hAnsiTheme="minorEastAsia" w:eastAsiaTheme="minorEastAsia"/>
          <w:color w:val="000000" w:themeColor="text1"/>
          <w:sz w:val="24"/>
          <w:highlight w:val="none"/>
          <w:u w:val="single"/>
          <w14:textFill>
            <w14:solidFill>
              <w14:schemeClr w14:val="tx1"/>
            </w14:solidFill>
          </w14:textFill>
        </w:rPr>
        <w:t>供应商</w:t>
      </w:r>
      <w:r>
        <w:rPr>
          <w:rFonts w:asciiTheme="minorEastAsia" w:hAnsiTheme="minorEastAsia" w:eastAsiaTheme="minorEastAsia"/>
          <w:color w:val="000000" w:themeColor="text1"/>
          <w:sz w:val="24"/>
          <w:highlight w:val="none"/>
          <w:u w:val="single"/>
          <w14:textFill>
            <w14:solidFill>
              <w14:schemeClr w14:val="tx1"/>
            </w14:solidFill>
          </w14:textFill>
        </w:rPr>
        <w:t>须知前附表</w:t>
      </w:r>
      <w:r>
        <w:rPr>
          <w:rFonts w:asciiTheme="minorEastAsia" w:hAnsiTheme="minorEastAsia" w:eastAsiaTheme="minorEastAsia"/>
          <w:color w:val="000000" w:themeColor="text1"/>
          <w:sz w:val="24"/>
          <w:highlight w:val="none"/>
          <w14:textFill>
            <w14:solidFill>
              <w14:schemeClr w14:val="tx1"/>
            </w14:solidFill>
          </w14:textFill>
        </w:rPr>
        <w:t>中规定</w:t>
      </w:r>
      <w:r>
        <w:rPr>
          <w:rFonts w:hint="eastAsia"/>
          <w:color w:val="000000" w:themeColor="text1"/>
          <w:sz w:val="24"/>
          <w:highlight w:val="none"/>
          <w14:textFill>
            <w14:solidFill>
              <w14:schemeClr w14:val="tx1"/>
            </w14:solidFill>
          </w14:textFill>
        </w:rPr>
        <w:t>确定成交候选供应商，并标明排列顺序。</w:t>
      </w:r>
      <w:r>
        <w:rPr>
          <w:rFonts w:hint="eastAsia" w:asciiTheme="minorEastAsia" w:hAnsiTheme="minorEastAsia" w:eastAsiaTheme="minorEastAsia"/>
          <w:color w:val="000000" w:themeColor="text1"/>
          <w:sz w:val="24"/>
          <w:highlight w:val="none"/>
          <w14:textFill>
            <w14:solidFill>
              <w14:schemeClr w14:val="tx1"/>
            </w14:solidFill>
          </w14:textFill>
        </w:rPr>
        <w:t>按</w:t>
      </w:r>
      <w:r>
        <w:rPr>
          <w:rFonts w:hint="eastAsia" w:asciiTheme="minorEastAsia" w:hAnsiTheme="minorEastAsia" w:eastAsiaTheme="minorEastAsia"/>
          <w:color w:val="000000" w:themeColor="text1"/>
          <w:sz w:val="24"/>
          <w:highlight w:val="none"/>
          <w:u w:val="single"/>
          <w14:textFill>
            <w14:solidFill>
              <w14:schemeClr w14:val="tx1"/>
            </w14:solidFill>
          </w14:textFill>
        </w:rPr>
        <w:t>供应商</w:t>
      </w:r>
      <w:r>
        <w:rPr>
          <w:rFonts w:asciiTheme="minorEastAsia" w:hAnsiTheme="minorEastAsia" w:eastAsiaTheme="minorEastAsia"/>
          <w:color w:val="000000" w:themeColor="text1"/>
          <w:sz w:val="24"/>
          <w:highlight w:val="none"/>
          <w:u w:val="single"/>
          <w14:textFill>
            <w14:solidFill>
              <w14:schemeClr w14:val="tx1"/>
            </w14:solidFill>
          </w14:textFill>
        </w:rPr>
        <w:t>须知前附表</w:t>
      </w:r>
      <w:r>
        <w:rPr>
          <w:rFonts w:hint="eastAsia" w:asciiTheme="minorEastAsia" w:hAnsiTheme="minorEastAsia" w:eastAsiaTheme="minorEastAsia"/>
          <w:color w:val="000000" w:themeColor="text1"/>
          <w:sz w:val="24"/>
          <w:highlight w:val="none"/>
          <w14:textFill>
            <w14:solidFill>
              <w14:schemeClr w14:val="tx1"/>
            </w14:solidFill>
          </w14:textFill>
        </w:rPr>
        <w:t>中规定，</w:t>
      </w:r>
      <w:r>
        <w:rPr>
          <w:rFonts w:asciiTheme="minorEastAsia" w:hAnsiTheme="minorEastAsia" w:eastAsiaTheme="minorEastAsia"/>
          <w:color w:val="000000" w:themeColor="text1"/>
          <w:sz w:val="24"/>
          <w:highlight w:val="none"/>
          <w14:textFill>
            <w14:solidFill>
              <w14:schemeClr w14:val="tx1"/>
            </w14:solidFill>
          </w14:textFill>
        </w:rPr>
        <w:t>由</w:t>
      </w:r>
      <w:r>
        <w:rPr>
          <w:rFonts w:hint="eastAsia" w:asciiTheme="minorEastAsia" w:hAnsiTheme="minorEastAsia" w:eastAsiaTheme="minorEastAsia"/>
          <w:color w:val="000000" w:themeColor="text1"/>
          <w:sz w:val="24"/>
          <w:highlight w:val="none"/>
          <w14:textFill>
            <w14:solidFill>
              <w14:schemeClr w14:val="tx1"/>
            </w14:solidFill>
          </w14:textFill>
        </w:rPr>
        <w:t>磋商小组</w:t>
      </w:r>
      <w:r>
        <w:rPr>
          <w:rFonts w:asciiTheme="minorEastAsia" w:hAnsiTheme="minorEastAsia" w:eastAsiaTheme="minorEastAsia"/>
          <w:color w:val="000000" w:themeColor="text1"/>
          <w:sz w:val="24"/>
          <w:highlight w:val="none"/>
          <w14:textFill>
            <w14:solidFill>
              <w14:schemeClr w14:val="tx1"/>
            </w14:solidFill>
          </w14:textFill>
        </w:rPr>
        <w:t>或采购人确定</w:t>
      </w:r>
      <w:r>
        <w:rPr>
          <w:rFonts w:hint="eastAsia" w:asciiTheme="minorEastAsia" w:hAnsiTheme="minorEastAsia" w:eastAsiaTheme="minorEastAsia"/>
          <w:color w:val="000000" w:themeColor="text1"/>
          <w:sz w:val="24"/>
          <w:highlight w:val="none"/>
          <w14:textFill>
            <w14:solidFill>
              <w14:schemeClr w14:val="tx1"/>
            </w14:solidFill>
          </w14:textFill>
        </w:rPr>
        <w:t>成交供应商</w:t>
      </w:r>
      <w:r>
        <w:rPr>
          <w:rFonts w:asciiTheme="minorEastAsia" w:hAnsiTheme="minorEastAsia" w:eastAsiaTheme="minorEastAsia"/>
          <w:color w:val="000000" w:themeColor="text1"/>
          <w:sz w:val="24"/>
          <w:highlight w:val="none"/>
          <w14:textFill>
            <w14:solidFill>
              <w14:schemeClr w14:val="tx1"/>
            </w14:solidFill>
          </w14:textFill>
        </w:rPr>
        <w:t>。</w:t>
      </w:r>
    </w:p>
    <w:p w14:paraId="1E515735">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20</w:t>
      </w:r>
      <w:r>
        <w:rPr>
          <w:rFonts w:asciiTheme="minorEastAsia" w:hAnsiTheme="minorEastAsia" w:eastAsiaTheme="minorEastAsia"/>
          <w:b/>
          <w:color w:val="000000" w:themeColor="text1"/>
          <w:sz w:val="24"/>
          <w:highlight w:val="none"/>
          <w14:textFill>
            <w14:solidFill>
              <w14:schemeClr w14:val="tx1"/>
            </w14:solidFill>
          </w14:textFill>
        </w:rPr>
        <w:t>.编写评审报告</w:t>
      </w:r>
    </w:p>
    <w:p w14:paraId="318B537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20.1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90CB898">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21</w:t>
      </w:r>
      <w:r>
        <w:rPr>
          <w:rFonts w:asciiTheme="minorEastAsia" w:hAnsiTheme="minorEastAsia" w:eastAsiaTheme="minorEastAsia"/>
          <w:b/>
          <w:color w:val="000000" w:themeColor="text1"/>
          <w:sz w:val="24"/>
          <w:highlight w:val="none"/>
          <w14:textFill>
            <w14:solidFill>
              <w14:schemeClr w14:val="tx1"/>
            </w14:solidFill>
          </w14:textFill>
        </w:rPr>
        <w:t>.</w:t>
      </w:r>
      <w:r>
        <w:rPr>
          <w:rFonts w:hint="eastAsia" w:asciiTheme="minorEastAsia" w:hAnsiTheme="minorEastAsia" w:eastAsiaTheme="minorEastAsia"/>
          <w:b/>
          <w:color w:val="000000" w:themeColor="text1"/>
          <w:sz w:val="24"/>
          <w:highlight w:val="none"/>
          <w14:textFill>
            <w14:solidFill>
              <w14:schemeClr w14:val="tx1"/>
            </w14:solidFill>
          </w14:textFill>
        </w:rPr>
        <w:t>保密要求</w:t>
      </w:r>
    </w:p>
    <w:p w14:paraId="08126EF2">
      <w:pPr>
        <w:spacing w:line="360" w:lineRule="auto"/>
        <w:ind w:firstLine="4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1.1评审将在严格保密的情况下进行。</w:t>
      </w:r>
    </w:p>
    <w:p w14:paraId="4636F794">
      <w:pPr>
        <w:spacing w:line="360" w:lineRule="auto"/>
        <w:ind w:firstLine="4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1.2有关人员</w:t>
      </w:r>
      <w:r>
        <w:rPr>
          <w:color w:val="000000" w:themeColor="text1"/>
          <w:sz w:val="24"/>
          <w:highlight w:val="none"/>
          <w14:textFill>
            <w14:solidFill>
              <w14:schemeClr w14:val="tx1"/>
            </w14:solidFill>
          </w14:textFill>
        </w:rPr>
        <w:t>应当</w:t>
      </w:r>
      <w:r>
        <w:rPr>
          <w:rFonts w:hint="eastAsia"/>
          <w:color w:val="000000" w:themeColor="text1"/>
          <w:sz w:val="24"/>
          <w:highlight w:val="none"/>
          <w14:textFill>
            <w14:solidFill>
              <w14:schemeClr w14:val="tx1"/>
            </w14:solidFill>
          </w14:textFill>
        </w:rPr>
        <w:t>遵</w:t>
      </w:r>
      <w:r>
        <w:rPr>
          <w:color w:val="000000" w:themeColor="text1"/>
          <w:sz w:val="24"/>
          <w:highlight w:val="none"/>
          <w14:textFill>
            <w14:solidFill>
              <w14:schemeClr w14:val="tx1"/>
            </w14:solidFill>
          </w14:textFill>
        </w:rPr>
        <w:t>守</w:t>
      </w:r>
      <w:r>
        <w:rPr>
          <w:rFonts w:hint="eastAsia"/>
          <w:color w:val="000000" w:themeColor="text1"/>
          <w:sz w:val="24"/>
          <w:highlight w:val="none"/>
          <w14:textFill>
            <w14:solidFill>
              <w14:schemeClr w14:val="tx1"/>
            </w14:solidFill>
          </w14:textFill>
        </w:rPr>
        <w:t>评审</w:t>
      </w:r>
      <w:r>
        <w:rPr>
          <w:color w:val="000000" w:themeColor="text1"/>
          <w:sz w:val="24"/>
          <w:highlight w:val="none"/>
          <w14:textFill>
            <w14:solidFill>
              <w14:schemeClr w14:val="tx1"/>
            </w14:solidFill>
          </w14:textFill>
        </w:rPr>
        <w:t>工作纪律，不得</w:t>
      </w:r>
      <w:r>
        <w:rPr>
          <w:rFonts w:hint="eastAsia"/>
          <w:color w:val="000000" w:themeColor="text1"/>
          <w:sz w:val="24"/>
          <w:highlight w:val="none"/>
          <w14:textFill>
            <w14:solidFill>
              <w14:schemeClr w14:val="tx1"/>
            </w14:solidFill>
          </w14:textFill>
        </w:rPr>
        <w:t>泄露评审文件</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评审</w:t>
      </w:r>
      <w:r>
        <w:rPr>
          <w:color w:val="000000" w:themeColor="text1"/>
          <w:sz w:val="24"/>
          <w:highlight w:val="none"/>
          <w14:textFill>
            <w14:solidFill>
              <w14:schemeClr w14:val="tx1"/>
            </w14:solidFill>
          </w14:textFill>
        </w:rPr>
        <w:t>情况和</w:t>
      </w:r>
      <w:r>
        <w:rPr>
          <w:rFonts w:hint="eastAsia"/>
          <w:color w:val="000000" w:themeColor="text1"/>
          <w:sz w:val="24"/>
          <w:highlight w:val="none"/>
          <w14:textFill>
            <w14:solidFill>
              <w14:schemeClr w14:val="tx1"/>
            </w14:solidFill>
          </w14:textFill>
        </w:rPr>
        <w:t>评审</w:t>
      </w:r>
      <w:r>
        <w:rPr>
          <w:color w:val="000000" w:themeColor="text1"/>
          <w:sz w:val="24"/>
          <w:highlight w:val="none"/>
          <w14:textFill>
            <w14:solidFill>
              <w14:schemeClr w14:val="tx1"/>
            </w14:solidFill>
          </w14:textFill>
        </w:rPr>
        <w:t>中获悉的</w:t>
      </w:r>
      <w:r>
        <w:rPr>
          <w:rFonts w:hint="eastAsia"/>
          <w:color w:val="000000" w:themeColor="text1"/>
          <w:sz w:val="24"/>
          <w:highlight w:val="none"/>
          <w14:textFill>
            <w14:solidFill>
              <w14:schemeClr w14:val="tx1"/>
            </w14:solidFill>
          </w14:textFill>
        </w:rPr>
        <w:t>国家秘密、</w:t>
      </w:r>
      <w:r>
        <w:rPr>
          <w:color w:val="000000" w:themeColor="text1"/>
          <w:sz w:val="24"/>
          <w:highlight w:val="none"/>
          <w14:textFill>
            <w14:solidFill>
              <w14:schemeClr w14:val="tx1"/>
            </w14:solidFill>
          </w14:textFill>
        </w:rPr>
        <w:t>商业秘密。</w:t>
      </w:r>
    </w:p>
    <w:p w14:paraId="45C4D569">
      <w:pPr>
        <w:spacing w:line="360" w:lineRule="auto"/>
        <w:ind w:firstLine="437"/>
        <w:outlineLvl w:val="2"/>
        <w:rPr>
          <w:rFonts w:asciiTheme="minorEastAsia" w:hAnsiTheme="minorEastAsia" w:eastAsiaTheme="minorEastAsia"/>
          <w:b/>
          <w:color w:val="000000" w:themeColor="text1"/>
          <w:sz w:val="24"/>
          <w:highlight w:val="none"/>
          <w14:textFill>
            <w14:solidFill>
              <w14:schemeClr w14:val="tx1"/>
            </w14:solidFill>
          </w14:textFill>
        </w:rPr>
      </w:pPr>
      <w:r>
        <w:rPr>
          <w:rFonts w:asciiTheme="minorEastAsia" w:hAnsiTheme="minorEastAsia" w:eastAsiaTheme="minorEastAsia"/>
          <w:b/>
          <w:color w:val="000000" w:themeColor="text1"/>
          <w:sz w:val="24"/>
          <w:highlight w:val="none"/>
          <w14:textFill>
            <w14:solidFill>
              <w14:schemeClr w14:val="tx1"/>
            </w14:solidFill>
          </w14:textFill>
        </w:rPr>
        <w:t>2</w:t>
      </w:r>
      <w:r>
        <w:rPr>
          <w:rFonts w:hint="eastAsia" w:asciiTheme="minorEastAsia" w:hAnsiTheme="minorEastAsia" w:eastAsiaTheme="minorEastAsia"/>
          <w:b/>
          <w:color w:val="000000" w:themeColor="text1"/>
          <w:sz w:val="24"/>
          <w:highlight w:val="none"/>
          <w14:textFill>
            <w14:solidFill>
              <w14:schemeClr w14:val="tx1"/>
            </w14:solidFill>
          </w14:textFill>
        </w:rPr>
        <w:t>2</w:t>
      </w:r>
      <w:r>
        <w:rPr>
          <w:rFonts w:asciiTheme="minorEastAsia" w:hAnsiTheme="minorEastAsia" w:eastAsiaTheme="minorEastAsia"/>
          <w:b/>
          <w:color w:val="000000" w:themeColor="text1"/>
          <w:sz w:val="24"/>
          <w:highlight w:val="none"/>
          <w14:textFill>
            <w14:solidFill>
              <w14:schemeClr w14:val="tx1"/>
            </w14:solidFill>
          </w14:textFill>
        </w:rPr>
        <w:t>.成交结果公告</w:t>
      </w:r>
    </w:p>
    <w:p w14:paraId="2B3C0585">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2</w:t>
      </w: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.1为体现“公开、公平、公正”的原则，磋商结束后，</w:t>
      </w:r>
      <w:r>
        <w:rPr>
          <w:rFonts w:hint="eastAsia" w:asciiTheme="minorEastAsia" w:hAnsiTheme="minorEastAsia" w:eastAsiaTheme="minorEastAsia"/>
          <w:color w:val="000000" w:themeColor="text1"/>
          <w:sz w:val="24"/>
          <w:highlight w:val="none"/>
          <w14:textFill>
            <w14:solidFill>
              <w14:schemeClr w14:val="tx1"/>
            </w14:solidFill>
          </w14:textFill>
        </w:rPr>
        <w:t>采购代理机构将</w:t>
      </w:r>
      <w:r>
        <w:rPr>
          <w:rFonts w:hint="eastAsia"/>
          <w:color w:val="000000" w:themeColor="text1"/>
          <w:sz w:val="24"/>
          <w:szCs w:val="18"/>
          <w:highlight w:val="none"/>
          <w14:textFill>
            <w14:solidFill>
              <w14:schemeClr w14:val="tx1"/>
            </w14:solidFill>
          </w14:textFill>
        </w:rPr>
        <w:t>在安徽省政府采购网（www.ccgp-anhui.gov.cn）上</w:t>
      </w:r>
      <w:r>
        <w:rPr>
          <w:rFonts w:asciiTheme="minorEastAsia" w:hAnsiTheme="minorEastAsia" w:eastAsiaTheme="minorEastAsia"/>
          <w:color w:val="000000" w:themeColor="text1"/>
          <w:sz w:val="24"/>
          <w:highlight w:val="none"/>
          <w14:textFill>
            <w14:solidFill>
              <w14:schemeClr w14:val="tx1"/>
            </w14:solidFill>
          </w14:textFill>
        </w:rPr>
        <w:t>发布成交结果公告。</w:t>
      </w:r>
    </w:p>
    <w:p w14:paraId="38AC9A21">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2</w:t>
      </w: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2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rFonts w:hint="eastAsia" w:asciiTheme="minorEastAsia" w:hAnsiTheme="minorEastAsia" w:eastAsiaTheme="minorEastAsia"/>
          <w:color w:val="000000" w:themeColor="text1"/>
          <w:sz w:val="24"/>
          <w:highlight w:val="none"/>
          <w:u w:val="single"/>
          <w14:textFill>
            <w14:solidFill>
              <w14:schemeClr w14:val="tx1"/>
            </w14:solidFill>
          </w14:textFill>
        </w:rPr>
        <w:t>供应商须知前附表</w:t>
      </w:r>
      <w:r>
        <w:rPr>
          <w:rFonts w:asciiTheme="minorEastAsia" w:hAnsiTheme="minorEastAsia" w:eastAsiaTheme="minorEastAsia"/>
          <w:color w:val="000000" w:themeColor="text1"/>
          <w:sz w:val="24"/>
          <w:highlight w:val="none"/>
          <w14:textFill>
            <w14:solidFill>
              <w14:schemeClr w14:val="tx1"/>
            </w14:solidFill>
          </w14:textFill>
        </w:rPr>
        <w:t>中约定进行公告的内容。</w:t>
      </w:r>
    </w:p>
    <w:p w14:paraId="50A1C385">
      <w:pPr>
        <w:spacing w:line="360" w:lineRule="auto"/>
        <w:ind w:firstLine="437"/>
        <w:outlineLvl w:val="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23</w:t>
      </w:r>
      <w:r>
        <w:rPr>
          <w:b/>
          <w:color w:val="000000" w:themeColor="text1"/>
          <w:sz w:val="24"/>
          <w:highlight w:val="none"/>
          <w14:textFill>
            <w14:solidFill>
              <w14:schemeClr w14:val="tx1"/>
            </w14:solidFill>
          </w14:textFill>
        </w:rPr>
        <w:t>.成交通知书</w:t>
      </w:r>
    </w:p>
    <w:p w14:paraId="68D6B5DB">
      <w:pPr>
        <w:spacing w:line="360" w:lineRule="auto"/>
        <w:ind w:firstLine="4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.1采购代理机构发布成交结果公告的同时</w:t>
      </w:r>
      <w:r>
        <w:rPr>
          <w:rFonts w:asciiTheme="minorEastAsia" w:hAnsiTheme="minorEastAsia" w:eastAsiaTheme="minorEastAsia"/>
          <w:color w:val="000000" w:themeColor="text1"/>
          <w:sz w:val="24"/>
          <w:highlight w:val="none"/>
          <w14:textFill>
            <w14:solidFill>
              <w14:schemeClr w14:val="tx1"/>
            </w14:solidFill>
          </w14:textFill>
        </w:rPr>
        <w:t>以</w:t>
      </w:r>
      <w:r>
        <w:rPr>
          <w:rFonts w:hint="eastAsia" w:asciiTheme="minorEastAsia" w:hAnsiTheme="minorEastAsia" w:eastAsiaTheme="minorEastAsia"/>
          <w:color w:val="000000" w:themeColor="text1"/>
          <w:sz w:val="24"/>
          <w:highlight w:val="none"/>
          <w:u w:val="single"/>
          <w14:textFill>
            <w14:solidFill>
              <w14:schemeClr w14:val="tx1"/>
            </w14:solidFill>
          </w14:textFill>
        </w:rPr>
        <w:t>供应商须知前附表</w:t>
      </w:r>
      <w:r>
        <w:rPr>
          <w:rFonts w:hint="eastAsia" w:asciiTheme="minorEastAsia" w:hAnsiTheme="minorEastAsia" w:eastAsiaTheme="minorEastAsia"/>
          <w:color w:val="000000" w:themeColor="text1"/>
          <w:sz w:val="24"/>
          <w:highlight w:val="none"/>
          <w14:textFill>
            <w14:solidFill>
              <w14:schemeClr w14:val="tx1"/>
            </w14:solidFill>
          </w14:textFill>
        </w:rPr>
        <w:t>规定的</w:t>
      </w:r>
      <w:r>
        <w:rPr>
          <w:rFonts w:asciiTheme="minorEastAsia" w:hAnsiTheme="minorEastAsia" w:eastAsiaTheme="minorEastAsia"/>
          <w:color w:val="000000" w:themeColor="text1"/>
          <w:sz w:val="24"/>
          <w:highlight w:val="none"/>
          <w14:textFill>
            <w14:solidFill>
              <w14:schemeClr w14:val="tx1"/>
            </w14:solidFill>
          </w14:textFill>
        </w:rPr>
        <w:t>形式</w:t>
      </w:r>
      <w:r>
        <w:rPr>
          <w:color w:val="000000" w:themeColor="text1"/>
          <w:sz w:val="24"/>
          <w:highlight w:val="none"/>
          <w14:textFill>
            <w14:solidFill>
              <w14:schemeClr w14:val="tx1"/>
            </w14:solidFill>
          </w14:textFill>
        </w:rPr>
        <w:t>向成交供应商发出成交通知书。</w:t>
      </w:r>
    </w:p>
    <w:p w14:paraId="100B8C05">
      <w:pPr>
        <w:spacing w:line="360" w:lineRule="auto"/>
        <w:ind w:firstLine="4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.2成交通知书对采购人和成交供应商具有同等法律效力。成交通知书发出以后，采购人改变成交结果或者成交供应商放弃成交资格，应当承担相应的法律责任。</w:t>
      </w:r>
    </w:p>
    <w:p w14:paraId="26076027">
      <w:pPr>
        <w:spacing w:line="360" w:lineRule="auto"/>
        <w:ind w:firstLine="4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.3成交通知书是合同的组成部分。</w:t>
      </w:r>
    </w:p>
    <w:p w14:paraId="040084D3">
      <w:pPr>
        <w:spacing w:line="360" w:lineRule="auto"/>
        <w:ind w:firstLine="437"/>
        <w:outlineLvl w:val="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24</w:t>
      </w:r>
      <w:r>
        <w:rPr>
          <w:b/>
          <w:color w:val="000000" w:themeColor="text1"/>
          <w:sz w:val="24"/>
          <w:highlight w:val="none"/>
          <w14:textFill>
            <w14:solidFill>
              <w14:schemeClr w14:val="tx1"/>
            </w14:solidFill>
          </w14:textFill>
        </w:rPr>
        <w:t>.告知</w:t>
      </w:r>
      <w:r>
        <w:rPr>
          <w:rFonts w:hint="eastAsia" w:asciiTheme="minorEastAsia" w:hAnsiTheme="minorEastAsia" w:eastAsiaTheme="minorEastAsia"/>
          <w:b/>
          <w:color w:val="000000" w:themeColor="text1"/>
          <w:sz w:val="24"/>
          <w:highlight w:val="none"/>
          <w14:textFill>
            <w14:solidFill>
              <w14:schemeClr w14:val="tx1"/>
            </w14:solidFill>
          </w14:textFill>
        </w:rPr>
        <w:t>磋商</w:t>
      </w:r>
      <w:r>
        <w:rPr>
          <w:b/>
          <w:color w:val="000000" w:themeColor="text1"/>
          <w:sz w:val="24"/>
          <w:highlight w:val="none"/>
          <w14:textFill>
            <w14:solidFill>
              <w14:schemeClr w14:val="tx1"/>
            </w14:solidFill>
          </w14:textFill>
        </w:rPr>
        <w:t>结果</w:t>
      </w:r>
    </w:p>
    <w:p w14:paraId="22F43F29">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24</w:t>
      </w:r>
      <w:r>
        <w:rPr>
          <w:color w:val="000000" w:themeColor="text1"/>
          <w:sz w:val="24"/>
          <w:highlight w:val="none"/>
          <w14:textFill>
            <w14:solidFill>
              <w14:schemeClr w14:val="tx1"/>
            </w14:solidFill>
          </w14:textFill>
        </w:rPr>
        <w:t>.1在公告</w:t>
      </w:r>
      <w:r>
        <w:rPr>
          <w:rFonts w:hint="eastAsia"/>
          <w:color w:val="000000" w:themeColor="text1"/>
          <w:sz w:val="24"/>
          <w:highlight w:val="none"/>
          <w14:textFill>
            <w14:solidFill>
              <w14:schemeClr w14:val="tx1"/>
            </w14:solidFill>
          </w14:textFill>
        </w:rPr>
        <w:t>成交</w:t>
      </w:r>
      <w:r>
        <w:rPr>
          <w:color w:val="000000" w:themeColor="text1"/>
          <w:sz w:val="24"/>
          <w:highlight w:val="none"/>
          <w14:textFill>
            <w14:solidFill>
              <w14:schemeClr w14:val="tx1"/>
            </w14:solidFill>
          </w14:textFill>
        </w:rPr>
        <w:t>结果的同时，采购代理机构同时以</w:t>
      </w:r>
      <w:r>
        <w:rPr>
          <w:rFonts w:hint="eastAsia"/>
          <w:color w:val="000000" w:themeColor="text1"/>
          <w:sz w:val="24"/>
          <w:highlight w:val="none"/>
          <w:u w:val="single"/>
          <w14:textFill>
            <w14:solidFill>
              <w14:schemeClr w14:val="tx1"/>
            </w14:solidFill>
          </w14:textFill>
        </w:rPr>
        <w:t>供应商</w:t>
      </w:r>
      <w:r>
        <w:rPr>
          <w:color w:val="000000" w:themeColor="text1"/>
          <w:sz w:val="24"/>
          <w:highlight w:val="none"/>
          <w:u w:val="single"/>
          <w14:textFill>
            <w14:solidFill>
              <w14:schemeClr w14:val="tx1"/>
            </w14:solidFill>
          </w14:textFill>
        </w:rPr>
        <w:t>须知前附表</w:t>
      </w:r>
      <w:r>
        <w:rPr>
          <w:color w:val="000000" w:themeColor="text1"/>
          <w:sz w:val="24"/>
          <w:highlight w:val="none"/>
          <w14:textFill>
            <w14:solidFill>
              <w14:schemeClr w14:val="tx1"/>
            </w14:solidFill>
          </w14:textFill>
        </w:rPr>
        <w:t>规定的形式告知未</w:t>
      </w:r>
      <w:r>
        <w:rPr>
          <w:rFonts w:hint="eastAsia"/>
          <w:color w:val="000000" w:themeColor="text1"/>
          <w:sz w:val="24"/>
          <w:highlight w:val="none"/>
          <w14:textFill>
            <w14:solidFill>
              <w14:schemeClr w14:val="tx1"/>
            </w14:solidFill>
          </w14:textFill>
        </w:rPr>
        <w:t>成交供应商</w:t>
      </w:r>
      <w:r>
        <w:rPr>
          <w:color w:val="000000" w:themeColor="text1"/>
          <w:sz w:val="24"/>
          <w:highlight w:val="none"/>
          <w14:textFill>
            <w14:solidFill>
              <w14:schemeClr w14:val="tx1"/>
            </w14:solidFill>
          </w14:textFill>
        </w:rPr>
        <w:t>本人的评审得分和排序。</w:t>
      </w:r>
    </w:p>
    <w:p w14:paraId="0F27DDB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采购代理机构对未成交的供应商不做未成交原因的解释。</w:t>
      </w:r>
    </w:p>
    <w:p w14:paraId="077081F5">
      <w:pPr>
        <w:spacing w:line="360" w:lineRule="auto"/>
        <w:ind w:firstLine="437"/>
        <w:outlineLvl w:val="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25</w:t>
      </w:r>
      <w:r>
        <w:rPr>
          <w:b/>
          <w:color w:val="000000" w:themeColor="text1"/>
          <w:sz w:val="24"/>
          <w:highlight w:val="none"/>
          <w14:textFill>
            <w14:solidFill>
              <w14:schemeClr w14:val="tx1"/>
            </w14:solidFill>
          </w14:textFill>
        </w:rPr>
        <w:t>.履约</w:t>
      </w:r>
      <w:r>
        <w:rPr>
          <w:rFonts w:asciiTheme="minorEastAsia" w:hAnsiTheme="minorEastAsia" w:eastAsiaTheme="minorEastAsia"/>
          <w:b/>
          <w:color w:val="000000" w:themeColor="text1"/>
          <w:sz w:val="24"/>
          <w:highlight w:val="none"/>
          <w14:textFill>
            <w14:solidFill>
              <w14:schemeClr w14:val="tx1"/>
            </w14:solidFill>
          </w14:textFill>
        </w:rPr>
        <w:t>保证金</w:t>
      </w:r>
    </w:p>
    <w:p w14:paraId="02363F64">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25</w:t>
      </w:r>
      <w:r>
        <w:rPr>
          <w:color w:val="000000" w:themeColor="text1"/>
          <w:sz w:val="24"/>
          <w:highlight w:val="none"/>
          <w14:textFill>
            <w14:solidFill>
              <w14:schemeClr w14:val="tx1"/>
            </w14:solidFill>
          </w14:textFill>
        </w:rPr>
        <w:t>.1成交供应商应按照</w:t>
      </w:r>
      <w:r>
        <w:rPr>
          <w:color w:val="000000" w:themeColor="text1"/>
          <w:sz w:val="24"/>
          <w:highlight w:val="none"/>
          <w:u w:val="single"/>
          <w14:textFill>
            <w14:solidFill>
              <w14:schemeClr w14:val="tx1"/>
            </w14:solidFill>
          </w14:textFill>
        </w:rPr>
        <w:t>供应商须知前附表</w:t>
      </w:r>
      <w:r>
        <w:rPr>
          <w:color w:val="000000" w:themeColor="text1"/>
          <w:sz w:val="24"/>
          <w:highlight w:val="none"/>
          <w14:textFill>
            <w14:solidFill>
              <w14:schemeClr w14:val="tx1"/>
            </w14:solidFill>
          </w14:textFill>
        </w:rPr>
        <w:t>规定</w:t>
      </w:r>
      <w:r>
        <w:rPr>
          <w:rFonts w:hint="eastAsia"/>
          <w:color w:val="000000" w:themeColor="text1"/>
          <w:sz w:val="24"/>
          <w:highlight w:val="none"/>
          <w14:textFill>
            <w14:solidFill>
              <w14:schemeClr w14:val="tx1"/>
            </w14:solidFill>
          </w14:textFill>
        </w:rPr>
        <w:t>缴纳</w:t>
      </w:r>
      <w:r>
        <w:rPr>
          <w:color w:val="000000" w:themeColor="text1"/>
          <w:sz w:val="24"/>
          <w:highlight w:val="none"/>
          <w14:textFill>
            <w14:solidFill>
              <w14:schemeClr w14:val="tx1"/>
            </w14:solidFill>
          </w14:textFill>
        </w:rPr>
        <w:t>履约保证金。</w:t>
      </w:r>
    </w:p>
    <w:p w14:paraId="762A9952">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25</w:t>
      </w:r>
      <w:r>
        <w:rPr>
          <w:color w:val="000000" w:themeColor="text1"/>
          <w:sz w:val="24"/>
          <w:highlight w:val="none"/>
          <w14:textFill>
            <w14:solidFill>
              <w14:schemeClr w14:val="tx1"/>
            </w14:solidFill>
          </w14:textFill>
        </w:rPr>
        <w:t>.2如果成交供应商没有按照上述履约保证金的规定执行，将视为放弃成交资格。在此情况下，采购人可确定下一成交候选供应商为成交供应商，也可以重新开展采购活动。</w:t>
      </w:r>
    </w:p>
    <w:p w14:paraId="5B48CF42">
      <w:pPr>
        <w:spacing w:line="360" w:lineRule="auto"/>
        <w:ind w:firstLine="437"/>
        <w:outlineLvl w:val="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26</w:t>
      </w:r>
      <w:r>
        <w:rPr>
          <w:b/>
          <w:color w:val="000000" w:themeColor="text1"/>
          <w:sz w:val="24"/>
          <w:highlight w:val="none"/>
          <w14:textFill>
            <w14:solidFill>
              <w14:schemeClr w14:val="tx1"/>
            </w14:solidFill>
          </w14:textFill>
        </w:rPr>
        <w:t>.</w:t>
      </w:r>
      <w:r>
        <w:rPr>
          <w:rFonts w:hint="eastAsia"/>
          <w:b/>
          <w:color w:val="000000" w:themeColor="text1"/>
          <w:sz w:val="24"/>
          <w:highlight w:val="none"/>
          <w14:textFill>
            <w14:solidFill>
              <w14:schemeClr w14:val="tx1"/>
            </w14:solidFill>
          </w14:textFill>
        </w:rPr>
        <w:t>代理费用</w:t>
      </w:r>
    </w:p>
    <w:p w14:paraId="1343FA1C">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26</w:t>
      </w:r>
      <w:r>
        <w:rPr>
          <w:color w:val="000000" w:themeColor="text1"/>
          <w:sz w:val="24"/>
          <w:highlight w:val="none"/>
          <w14:textFill>
            <w14:solidFill>
              <w14:schemeClr w14:val="tx1"/>
            </w14:solidFill>
          </w14:textFill>
        </w:rPr>
        <w:t>.1本项目</w:t>
      </w:r>
      <w:r>
        <w:rPr>
          <w:rFonts w:hint="eastAsia"/>
          <w:color w:val="000000" w:themeColor="text1"/>
          <w:sz w:val="24"/>
          <w:highlight w:val="none"/>
          <w14:textFill>
            <w14:solidFill>
              <w14:schemeClr w14:val="tx1"/>
            </w14:solidFill>
          </w14:textFill>
        </w:rPr>
        <w:t>代理费用</w:t>
      </w:r>
      <w:r>
        <w:rPr>
          <w:color w:val="000000" w:themeColor="text1"/>
          <w:sz w:val="24"/>
          <w:highlight w:val="none"/>
          <w14:textFill>
            <w14:solidFill>
              <w14:schemeClr w14:val="tx1"/>
            </w14:solidFill>
          </w14:textFill>
        </w:rPr>
        <w:t>的收取按</w:t>
      </w:r>
      <w:r>
        <w:rPr>
          <w:rFonts w:hint="eastAsia"/>
          <w:color w:val="000000" w:themeColor="text1"/>
          <w:sz w:val="24"/>
          <w:highlight w:val="none"/>
          <w:u w:val="single"/>
          <w14:textFill>
            <w14:solidFill>
              <w14:schemeClr w14:val="tx1"/>
            </w14:solidFill>
          </w14:textFill>
        </w:rPr>
        <w:t>供应商</w:t>
      </w:r>
      <w:r>
        <w:rPr>
          <w:color w:val="000000" w:themeColor="text1"/>
          <w:sz w:val="24"/>
          <w:highlight w:val="none"/>
          <w:u w:val="single"/>
          <w14:textFill>
            <w14:solidFill>
              <w14:schemeClr w14:val="tx1"/>
            </w14:solidFill>
          </w14:textFill>
        </w:rPr>
        <w:t>须知前附表</w:t>
      </w:r>
      <w:r>
        <w:rPr>
          <w:color w:val="000000" w:themeColor="text1"/>
          <w:sz w:val="24"/>
          <w:highlight w:val="none"/>
          <w14:textFill>
            <w14:solidFill>
              <w14:schemeClr w14:val="tx1"/>
            </w14:solidFill>
          </w14:textFill>
        </w:rPr>
        <w:t>的规定执行。</w:t>
      </w:r>
    </w:p>
    <w:p w14:paraId="31DEC390">
      <w:pPr>
        <w:spacing w:line="360" w:lineRule="auto"/>
        <w:ind w:firstLine="437"/>
        <w:outlineLvl w:val="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27</w:t>
      </w:r>
      <w:r>
        <w:rPr>
          <w:b/>
          <w:color w:val="000000" w:themeColor="text1"/>
          <w:sz w:val="24"/>
          <w:highlight w:val="none"/>
          <w14:textFill>
            <w14:solidFill>
              <w14:schemeClr w14:val="tx1"/>
            </w14:solidFill>
          </w14:textFill>
        </w:rPr>
        <w:t>.签订</w:t>
      </w:r>
      <w:r>
        <w:rPr>
          <w:rFonts w:asciiTheme="minorEastAsia" w:hAnsiTheme="minorEastAsia" w:eastAsiaTheme="minorEastAsia"/>
          <w:b/>
          <w:color w:val="000000" w:themeColor="text1"/>
          <w:sz w:val="24"/>
          <w:highlight w:val="none"/>
          <w14:textFill>
            <w14:solidFill>
              <w14:schemeClr w14:val="tx1"/>
            </w14:solidFill>
          </w14:textFill>
        </w:rPr>
        <w:t>合同</w:t>
      </w:r>
    </w:p>
    <w:p w14:paraId="4A01386A">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27</w:t>
      </w:r>
      <w:r>
        <w:rPr>
          <w:color w:val="000000" w:themeColor="text1"/>
          <w:sz w:val="24"/>
          <w:highlight w:val="none"/>
          <w14:textFill>
            <w14:solidFill>
              <w14:schemeClr w14:val="tx1"/>
            </w14:solidFill>
          </w14:textFill>
        </w:rPr>
        <w:t>.1</w:t>
      </w:r>
      <w:r>
        <w:rPr>
          <w:rFonts w:hint="eastAsia" w:cs="宋体"/>
          <w:color w:val="000000" w:themeColor="text1"/>
          <w:sz w:val="24"/>
          <w:szCs w:val="24"/>
          <w:highlight w:val="none"/>
          <w14:textFill>
            <w14:solidFill>
              <w14:schemeClr w14:val="tx1"/>
            </w14:solidFill>
          </w14:textFill>
        </w:rPr>
        <w:t>采购人与成交供应商应当按照</w:t>
      </w:r>
      <w:r>
        <w:rPr>
          <w:rFonts w:hint="eastAsia" w:cs="宋体"/>
          <w:color w:val="000000" w:themeColor="text1"/>
          <w:sz w:val="24"/>
          <w:szCs w:val="24"/>
          <w:highlight w:val="none"/>
          <w:u w:val="single"/>
          <w14:textFill>
            <w14:solidFill>
              <w14:schemeClr w14:val="tx1"/>
            </w14:solidFill>
          </w14:textFill>
        </w:rPr>
        <w:t>供应商须知前附表</w:t>
      </w:r>
      <w:r>
        <w:rPr>
          <w:rFonts w:hint="eastAsia" w:cs="宋体"/>
          <w:color w:val="000000" w:themeColor="text1"/>
          <w:sz w:val="24"/>
          <w:szCs w:val="24"/>
          <w:highlight w:val="none"/>
          <w14:textFill>
            <w14:solidFill>
              <w14:schemeClr w14:val="tx1"/>
            </w14:solidFill>
          </w14:textFill>
        </w:rPr>
        <w:t>规定的时间内完成政府采购合同签订及合同公告。</w:t>
      </w:r>
    </w:p>
    <w:p w14:paraId="2BDE10D4">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27</w:t>
      </w:r>
      <w:r>
        <w:rPr>
          <w:color w:val="000000" w:themeColor="text1"/>
          <w:sz w:val="24"/>
          <w:highlight w:val="none"/>
          <w14:textFill>
            <w14:solidFill>
              <w14:schemeClr w14:val="tx1"/>
            </w14:solidFill>
          </w14:textFill>
        </w:rPr>
        <w:t>.2磋商文件、成交供应商的响应文件及其澄清文件等，均为签订合同的依据。</w:t>
      </w:r>
    </w:p>
    <w:p w14:paraId="01385216">
      <w:pPr>
        <w:spacing w:line="360" w:lineRule="auto"/>
        <w:ind w:firstLine="470" w:firstLineChars="196"/>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27</w:t>
      </w:r>
      <w:r>
        <w:rPr>
          <w:color w:val="000000" w:themeColor="text1"/>
          <w:sz w:val="24"/>
          <w:highlight w:val="none"/>
          <w14:textFill>
            <w14:solidFill>
              <w14:schemeClr w14:val="tx1"/>
            </w14:solidFill>
          </w14:textFill>
        </w:rPr>
        <w:t>.3成交供应商拒绝与采购人签订合同的，采购人可以按照评审报告推荐的成交候选供应商名单排序，确定下一成交候选供应商为成交供应商，也可以重新开展采购活动。</w:t>
      </w:r>
      <w:r>
        <w:rPr>
          <w:rFonts w:hint="eastAsia"/>
          <w:color w:val="000000" w:themeColor="text1"/>
          <w:sz w:val="24"/>
          <w:highlight w:val="none"/>
          <w14:textFill>
            <w14:solidFill>
              <w14:schemeClr w14:val="tx1"/>
            </w14:solidFill>
          </w14:textFill>
        </w:rPr>
        <w:t>成交供应商拒绝签订政府采购合同的不得参加对该项目重新开展的采购活动。</w:t>
      </w:r>
    </w:p>
    <w:p w14:paraId="68B1CAE4">
      <w:pPr>
        <w:spacing w:line="360" w:lineRule="auto"/>
        <w:ind w:firstLine="470" w:firstLineChars="196"/>
        <w:rPr>
          <w:color w:val="000000" w:themeColor="text1"/>
          <w:sz w:val="24"/>
          <w:highlight w:val="none"/>
          <w14:textFill>
            <w14:solidFill>
              <w14:schemeClr w14:val="tx1"/>
            </w14:solidFill>
          </w14:textFill>
        </w:rPr>
      </w:pPr>
      <w:bookmarkStart w:id="44" w:name="_Hlk60264926"/>
      <w:r>
        <w:rPr>
          <w:rFonts w:hint="eastAsia"/>
          <w:color w:val="000000" w:themeColor="text1"/>
          <w:sz w:val="24"/>
          <w:highlight w:val="none"/>
          <w14:textFill>
            <w14:solidFill>
              <w14:schemeClr w14:val="tx1"/>
            </w14:solidFill>
          </w14:textFill>
        </w:rPr>
        <w:t>27.4依据《政府采购促进中小企业发展管理办法》（财库〔</w:t>
      </w:r>
      <w:r>
        <w:rPr>
          <w:color w:val="000000" w:themeColor="text1"/>
          <w:sz w:val="24"/>
          <w:highlight w:val="none"/>
          <w14:textFill>
            <w14:solidFill>
              <w14:schemeClr w14:val="tx1"/>
            </w14:solidFill>
          </w14:textFill>
        </w:rPr>
        <w:t>2020〕46号</w:t>
      </w:r>
      <w:r>
        <w:rPr>
          <w:rFonts w:hint="eastAsia"/>
          <w:color w:val="000000" w:themeColor="text1"/>
          <w:sz w:val="24"/>
          <w:highlight w:val="none"/>
          <w14:textFill>
            <w14:solidFill>
              <w14:schemeClr w14:val="tx1"/>
            </w14:solidFill>
          </w14:textFill>
        </w:rPr>
        <w:t>）规定享受扶持政策获得政府采购合同的，小微企业不得将合同分包给大中型企业，中型企业不得将合同分包给大型企业。</w:t>
      </w:r>
      <w:bookmarkEnd w:id="44"/>
    </w:p>
    <w:p w14:paraId="07C16FD0">
      <w:pPr>
        <w:spacing w:line="360" w:lineRule="auto"/>
        <w:ind w:firstLine="437"/>
        <w:outlineLvl w:val="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28</w:t>
      </w:r>
      <w:r>
        <w:rPr>
          <w:b/>
          <w:color w:val="000000" w:themeColor="text1"/>
          <w:sz w:val="24"/>
          <w:highlight w:val="none"/>
          <w14:textFill>
            <w14:solidFill>
              <w14:schemeClr w14:val="tx1"/>
            </w14:solidFill>
          </w14:textFill>
        </w:rPr>
        <w:t>.廉洁</w:t>
      </w:r>
      <w:r>
        <w:rPr>
          <w:rFonts w:asciiTheme="minorEastAsia" w:hAnsiTheme="minorEastAsia" w:eastAsiaTheme="minorEastAsia"/>
          <w:b/>
          <w:color w:val="000000" w:themeColor="text1"/>
          <w:sz w:val="24"/>
          <w:highlight w:val="none"/>
          <w14:textFill>
            <w14:solidFill>
              <w14:schemeClr w14:val="tx1"/>
            </w14:solidFill>
          </w14:textFill>
        </w:rPr>
        <w:t>自律</w:t>
      </w:r>
      <w:r>
        <w:rPr>
          <w:b/>
          <w:color w:val="000000" w:themeColor="text1"/>
          <w:sz w:val="24"/>
          <w:highlight w:val="none"/>
          <w14:textFill>
            <w14:solidFill>
              <w14:schemeClr w14:val="tx1"/>
            </w14:solidFill>
          </w14:textFill>
        </w:rPr>
        <w:t>规定</w:t>
      </w:r>
    </w:p>
    <w:p w14:paraId="22EB3B7B">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28</w:t>
      </w:r>
      <w:r>
        <w:rPr>
          <w:color w:val="000000" w:themeColor="text1"/>
          <w:sz w:val="24"/>
          <w:highlight w:val="none"/>
          <w14:textFill>
            <w14:solidFill>
              <w14:schemeClr w14:val="tx1"/>
            </w14:solidFill>
          </w14:textFill>
        </w:rPr>
        <w:t>.1采购代理机构工作人员不得以不正当手段获取政府采购代理业务，不得与采购人、供应商恶意串通。</w:t>
      </w:r>
    </w:p>
    <w:p w14:paraId="3555AB03">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28</w:t>
      </w:r>
      <w:r>
        <w:rPr>
          <w:color w:val="000000" w:themeColor="text1"/>
          <w:sz w:val="24"/>
          <w:highlight w:val="none"/>
          <w14:textFill>
            <w14:solidFill>
              <w14:schemeClr w14:val="tx1"/>
            </w14:solidFill>
          </w14:textFill>
        </w:rPr>
        <w:t>.2采购代理机构工作人员不得接受采购人或者供应商组织的宴请、旅游、娱乐，不得收受礼品、现金、有价证券等，不得向采购人或者供应商报销应当由个人承担的费用。</w:t>
      </w:r>
    </w:p>
    <w:p w14:paraId="328E56F3">
      <w:pPr>
        <w:spacing w:line="360" w:lineRule="auto"/>
        <w:ind w:firstLine="437"/>
        <w:outlineLvl w:val="2"/>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29</w:t>
      </w:r>
      <w:r>
        <w:rPr>
          <w:b/>
          <w:color w:val="000000" w:themeColor="text1"/>
          <w:sz w:val="24"/>
          <w:highlight w:val="none"/>
          <w14:textFill>
            <w14:solidFill>
              <w14:schemeClr w14:val="tx1"/>
            </w14:solidFill>
          </w14:textFill>
        </w:rPr>
        <w:t>.质疑的提出与接收</w:t>
      </w:r>
    </w:p>
    <w:p w14:paraId="19AA7F59">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29.1供应商认为磋商文件、采购过程和成交结果使自己的权益受到损害的，可以在知道或者应知其权益受到损害之日起七个工作日内，以书面形式向采购人或其委托的采购代理机构提出质疑。</w:t>
      </w:r>
    </w:p>
    <w:p w14:paraId="3CE42F5B">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29.2质疑供应商应按照财政部制定的《政府采购质疑函范本》格式（详见磋商文件第八章）和《政府采购质疑和投诉办法》的要求，在法定质疑期内以书面形式提出质疑，超出法定质疑期提交的质疑将被拒绝。针对同一采购程序环节的质疑应一次性提出。</w:t>
      </w:r>
    </w:p>
    <w:p w14:paraId="18F98E7A">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29.3采购代理机构质疑函接收部门、联系电话和通讯地址，见</w:t>
      </w:r>
      <w:r>
        <w:rPr>
          <w:rFonts w:hint="eastAsia"/>
          <w:color w:val="000000" w:themeColor="text1"/>
          <w:sz w:val="24"/>
          <w:highlight w:val="none"/>
          <w:u w:val="single"/>
          <w14:textFill>
            <w14:solidFill>
              <w14:schemeClr w14:val="tx1"/>
            </w14:solidFill>
          </w14:textFill>
        </w:rPr>
        <w:t>供应商须知前附表</w:t>
      </w:r>
      <w:r>
        <w:rPr>
          <w:rFonts w:hint="eastAsia"/>
          <w:color w:val="000000" w:themeColor="text1"/>
          <w:sz w:val="24"/>
          <w:highlight w:val="none"/>
          <w14:textFill>
            <w14:solidFill>
              <w14:schemeClr w14:val="tx1"/>
            </w14:solidFill>
          </w14:textFill>
        </w:rPr>
        <w:t>。</w:t>
      </w:r>
    </w:p>
    <w:p w14:paraId="38DB9EAF">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注：上述条款中所要求的书面形式包含通过电子交易系统递交方式。</w:t>
      </w:r>
    </w:p>
    <w:p w14:paraId="5C637A89">
      <w:pPr>
        <w:spacing w:line="360" w:lineRule="auto"/>
        <w:ind w:firstLine="437"/>
        <w:outlineLvl w:val="2"/>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3</w:t>
      </w:r>
      <w:r>
        <w:rPr>
          <w:rFonts w:hint="eastAsia"/>
          <w:b/>
          <w:color w:val="000000" w:themeColor="text1"/>
          <w:sz w:val="24"/>
          <w:highlight w:val="none"/>
          <w14:textFill>
            <w14:solidFill>
              <w14:schemeClr w14:val="tx1"/>
            </w14:solidFill>
          </w14:textFill>
        </w:rPr>
        <w:t>0</w:t>
      </w:r>
      <w:r>
        <w:rPr>
          <w:b/>
          <w:color w:val="000000" w:themeColor="text1"/>
          <w:sz w:val="24"/>
          <w:highlight w:val="none"/>
          <w14:textFill>
            <w14:solidFill>
              <w14:schemeClr w14:val="tx1"/>
            </w14:solidFill>
          </w14:textFill>
        </w:rPr>
        <w:t>.需要补充的其他内容</w:t>
      </w:r>
    </w:p>
    <w:p w14:paraId="6F60C73D">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需要补充的其他内容，见</w:t>
      </w:r>
      <w:r>
        <w:rPr>
          <w:rFonts w:hint="eastAsia"/>
          <w:color w:val="000000" w:themeColor="text1"/>
          <w:sz w:val="24"/>
          <w:highlight w:val="none"/>
          <w:u w:val="single"/>
          <w14:textFill>
            <w14:solidFill>
              <w14:schemeClr w14:val="tx1"/>
            </w14:solidFill>
          </w14:textFill>
        </w:rPr>
        <w:t>供应商须知前附表</w:t>
      </w:r>
      <w:r>
        <w:rPr>
          <w:rFonts w:hint="eastAsia"/>
          <w:color w:val="000000" w:themeColor="text1"/>
          <w:sz w:val="24"/>
          <w:highlight w:val="none"/>
          <w14:textFill>
            <w14:solidFill>
              <w14:schemeClr w14:val="tx1"/>
            </w14:solidFill>
          </w14:textFill>
        </w:rPr>
        <w:t>。</w:t>
      </w:r>
    </w:p>
    <w:p w14:paraId="6EC85775">
      <w:pPr>
        <w:widowControl/>
        <w:jc w:val="left"/>
        <w:rPr>
          <w:rFonts w:asciiTheme="minorEastAsia" w:hAnsiTheme="minorEastAsia" w:eastAsiaTheme="minorEastAsia"/>
          <w:b/>
          <w:color w:val="000000" w:themeColor="text1"/>
          <w:sz w:val="28"/>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br w:type="page"/>
      </w:r>
    </w:p>
    <w:p w14:paraId="16D01DB7">
      <w:pPr>
        <w:spacing w:line="360" w:lineRule="auto"/>
        <w:jc w:val="center"/>
        <w:outlineLvl w:val="0"/>
        <w:rPr>
          <w:rFonts w:asciiTheme="minorEastAsia" w:hAnsiTheme="minorEastAsia" w:eastAsiaTheme="minorEastAsia"/>
          <w:b/>
          <w:color w:val="000000" w:themeColor="text1"/>
          <w:sz w:val="28"/>
          <w:highlight w:val="none"/>
          <w14:textFill>
            <w14:solidFill>
              <w14:schemeClr w14:val="tx1"/>
            </w14:solidFill>
          </w14:textFill>
        </w:rPr>
      </w:pPr>
      <w:bookmarkStart w:id="45" w:name="_Toc30873"/>
      <w:r>
        <w:rPr>
          <w:rFonts w:hint="eastAsia" w:asciiTheme="minorEastAsia" w:hAnsiTheme="minorEastAsia" w:eastAsiaTheme="minorEastAsia"/>
          <w:b/>
          <w:color w:val="000000" w:themeColor="text1"/>
          <w:sz w:val="28"/>
          <w:highlight w:val="none"/>
          <w14:textFill>
            <w14:solidFill>
              <w14:schemeClr w14:val="tx1"/>
            </w14:solidFill>
          </w14:textFill>
        </w:rPr>
        <w:t>第三章  采购需求</w:t>
      </w:r>
      <w:bookmarkEnd w:id="45"/>
    </w:p>
    <w:tbl>
      <w:tblPr>
        <w:tblStyle w:val="95"/>
        <w:tblW w:w="9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1350"/>
        <w:gridCol w:w="6647"/>
      </w:tblGrid>
      <w:tr w14:paraId="38C8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4910B2D9">
            <w:pPr>
              <w:spacing w:line="360" w:lineRule="auto"/>
              <w:jc w:val="center"/>
              <w:rPr>
                <w:rFonts w:cs="@仿宋_GB2312" w:asciiTheme="minorEastAsia" w:hAnsiTheme="minorEastAsia" w:eastAsiaTheme="minorEastAsia"/>
                <w:b/>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b/>
                <w:color w:val="000000" w:themeColor="text1"/>
                <w:kern w:val="2"/>
                <w:sz w:val="24"/>
                <w:szCs w:val="22"/>
                <w:highlight w:val="none"/>
                <w14:textFill>
                  <w14:solidFill>
                    <w14:schemeClr w14:val="tx1"/>
                  </w14:solidFill>
                </w14:textFill>
              </w:rPr>
              <w:t>序号</w:t>
            </w:r>
          </w:p>
        </w:tc>
        <w:tc>
          <w:tcPr>
            <w:tcW w:w="1350" w:type="dxa"/>
            <w:vAlign w:val="center"/>
          </w:tcPr>
          <w:p w14:paraId="20A9FF9B">
            <w:pPr>
              <w:spacing w:line="360" w:lineRule="auto"/>
              <w:ind w:firstLine="435"/>
              <w:jc w:val="center"/>
              <w:rPr>
                <w:rFonts w:cs="@仿宋_GB2312" w:asciiTheme="minorEastAsia" w:hAnsiTheme="minorEastAsia" w:eastAsiaTheme="minorEastAsia"/>
                <w:b/>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b/>
                <w:color w:val="000000" w:themeColor="text1"/>
                <w:kern w:val="2"/>
                <w:sz w:val="24"/>
                <w:szCs w:val="22"/>
                <w:highlight w:val="none"/>
                <w14:textFill>
                  <w14:solidFill>
                    <w14:schemeClr w14:val="tx1"/>
                  </w14:solidFill>
                </w14:textFill>
              </w:rPr>
              <w:t>内容</w:t>
            </w:r>
          </w:p>
        </w:tc>
        <w:tc>
          <w:tcPr>
            <w:tcW w:w="6647" w:type="dxa"/>
            <w:vAlign w:val="center"/>
          </w:tcPr>
          <w:p w14:paraId="34BFAFCE">
            <w:pPr>
              <w:spacing w:line="360" w:lineRule="auto"/>
              <w:ind w:firstLine="435"/>
              <w:jc w:val="center"/>
              <w:rPr>
                <w:rFonts w:cs="@仿宋_GB2312" w:asciiTheme="minorEastAsia" w:hAnsiTheme="minorEastAsia" w:eastAsiaTheme="minorEastAsia"/>
                <w:b/>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b/>
                <w:color w:val="000000" w:themeColor="text1"/>
                <w:kern w:val="2"/>
                <w:sz w:val="24"/>
                <w:szCs w:val="22"/>
                <w:highlight w:val="none"/>
                <w14:textFill>
                  <w14:solidFill>
                    <w14:schemeClr w14:val="tx1"/>
                  </w14:solidFill>
                </w14:textFill>
              </w:rPr>
              <w:t>说明和要求</w:t>
            </w:r>
          </w:p>
        </w:tc>
      </w:tr>
      <w:tr w14:paraId="4AC7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76F7DE6C">
            <w:pPr>
              <w:spacing w:line="360" w:lineRule="auto"/>
              <w:jc w:val="cente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1</w:t>
            </w:r>
          </w:p>
        </w:tc>
        <w:tc>
          <w:tcPr>
            <w:tcW w:w="1350" w:type="dxa"/>
            <w:vAlign w:val="center"/>
          </w:tcPr>
          <w:p w14:paraId="1E1CCB79">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人员到岗及履约要求</w:t>
            </w:r>
          </w:p>
        </w:tc>
        <w:tc>
          <w:tcPr>
            <w:tcW w:w="6647" w:type="dxa"/>
            <w:vAlign w:val="center"/>
          </w:tcPr>
          <w:p w14:paraId="51B6ACB5">
            <w:pPr>
              <w:spacing w:line="360" w:lineRule="auto"/>
              <w:rPr>
                <w:rFonts w:cs="@仿宋_GB2312"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（1）供应商一旦成交，磋商时所报的本项目的项目经理</w:t>
            </w:r>
            <w:r>
              <w:rPr>
                <w:rFonts w:hint="eastAsia" w:cs="宋体" w:asciiTheme="minorHAnsi" w:hAnsiTheme="minorHAnsi" w:eastAsiaTheme="minorEastAsia"/>
                <w:bCs/>
                <w:color w:val="000000" w:themeColor="text1"/>
                <w:kern w:val="2"/>
                <w:sz w:val="24"/>
                <w:szCs w:val="24"/>
                <w:highlight w:val="none"/>
                <w14:textFill>
                  <w14:solidFill>
                    <w14:schemeClr w14:val="tx1"/>
                  </w14:solidFill>
                </w14:textFill>
              </w:rPr>
              <w:t>每月在施工现场的时间：驻场时间每月不少于</w:t>
            </w:r>
            <w:r>
              <w:rPr>
                <w:rFonts w:hint="eastAsia" w:cs="宋体" w:asciiTheme="minorHAnsi" w:hAnsiTheme="minorHAnsi" w:eastAsiaTheme="minorEastAsia"/>
                <w:bCs/>
                <w:color w:val="000000" w:themeColor="text1"/>
                <w:kern w:val="2"/>
                <w:sz w:val="24"/>
                <w:szCs w:val="24"/>
                <w:highlight w:val="none"/>
                <w:u w:val="single"/>
                <w14:textFill>
                  <w14:solidFill>
                    <w14:schemeClr w14:val="tx1"/>
                  </w14:solidFill>
                </w14:textFill>
              </w:rPr>
              <w:t xml:space="preserve"> 22 </w:t>
            </w:r>
            <w:r>
              <w:rPr>
                <w:rFonts w:hint="eastAsia" w:cs="宋体" w:asciiTheme="minorHAnsi" w:hAnsiTheme="minorHAnsi" w:eastAsiaTheme="minorEastAsia"/>
                <w:bCs/>
                <w:color w:val="000000" w:themeColor="text1"/>
                <w:kern w:val="2"/>
                <w:sz w:val="24"/>
                <w:szCs w:val="24"/>
                <w:highlight w:val="none"/>
                <w14:textFill>
                  <w14:solidFill>
                    <w14:schemeClr w14:val="tx1"/>
                  </w14:solidFill>
                </w14:textFill>
              </w:rPr>
              <w:t>天，每天在岗工作时间不得少于</w:t>
            </w:r>
            <w:r>
              <w:rPr>
                <w:rFonts w:hint="eastAsia" w:cs="宋体" w:asciiTheme="minorHAnsi" w:hAnsiTheme="minorHAnsi" w:eastAsiaTheme="minorEastAsia"/>
                <w:bCs/>
                <w:color w:val="000000" w:themeColor="text1"/>
                <w:kern w:val="2"/>
                <w:sz w:val="24"/>
                <w:szCs w:val="24"/>
                <w:highlight w:val="none"/>
                <w:u w:val="single"/>
                <w14:textFill>
                  <w14:solidFill>
                    <w14:schemeClr w14:val="tx1"/>
                  </w14:solidFill>
                </w14:textFill>
              </w:rPr>
              <w:t xml:space="preserve"> 8 </w:t>
            </w:r>
            <w:r>
              <w:rPr>
                <w:rFonts w:hint="eastAsia" w:cs="宋体" w:asciiTheme="minorHAnsi" w:hAnsiTheme="minorHAnsi" w:eastAsiaTheme="minorEastAsia"/>
                <w:bCs/>
                <w:color w:val="000000" w:themeColor="text1"/>
                <w:kern w:val="2"/>
                <w:sz w:val="24"/>
                <w:szCs w:val="24"/>
                <w:highlight w:val="none"/>
                <w14:textFill>
                  <w14:solidFill>
                    <w14:schemeClr w14:val="tx1"/>
                  </w14:solidFill>
                </w14:textFill>
              </w:rPr>
              <w:t>小时</w:t>
            </w: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w:t>
            </w:r>
            <w:r>
              <w:rPr>
                <w:rFonts w:cs="宋体" w:asciiTheme="minorHAnsi" w:hAnsiTheme="minorHAnsi" w:eastAsiaTheme="minorEastAsia"/>
                <w:color w:val="000000" w:themeColor="text1"/>
                <w:kern w:val="2"/>
                <w:sz w:val="24"/>
                <w:szCs w:val="24"/>
                <w:highlight w:val="none"/>
                <w14:textFill>
                  <w14:solidFill>
                    <w14:schemeClr w14:val="tx1"/>
                  </w14:solidFill>
                </w14:textFill>
              </w:rPr>
              <w:t>施工现场技术负责人、各专业负责工程师及施工机械等在整个项目施工期内必须在位，否则采购人有权终止合同</w:t>
            </w: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，成交供应商自行承担并赔偿可能给采购人造成的损失。</w:t>
            </w:r>
          </w:p>
          <w:p w14:paraId="680C8E18">
            <w:pPr>
              <w:spacing w:line="360" w:lineRule="auto"/>
              <w:rPr>
                <w:rFonts w:cs="@仿宋_GB2312"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2）成交供应商不得擅自更换磋商时所报项目经理及项目部主要管理人员。确需更换时，须报采购人同意，更换后人员不得低于成交供应商磋商时所报人员资质和技术水平。采购人如认为有必要，可要求对上述人员中的部分人员作出更好的调整。</w:t>
            </w:r>
          </w:p>
          <w:p w14:paraId="44B40F9A">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3）成交供应商未能按照承诺到岗尽职的，采购人将视情况严重程度对其作出相应处理，给予警告并发出整改通知。如仍未及时整改，采购人有权责令其停工整改、直至终止合同，引进新的乙方。采购人还将停止支付工程款项，扣留任何未付的工程进度款项补偿建设单位的有关损失或工期延误的损失，并就此向供应商索赔。</w:t>
            </w:r>
          </w:p>
        </w:tc>
      </w:tr>
      <w:tr w14:paraId="4045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5D0CB9DF">
            <w:pPr>
              <w:spacing w:line="360" w:lineRule="auto"/>
              <w:jc w:val="cente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2</w:t>
            </w:r>
          </w:p>
        </w:tc>
        <w:tc>
          <w:tcPr>
            <w:tcW w:w="1350" w:type="dxa"/>
            <w:vAlign w:val="center"/>
          </w:tcPr>
          <w:p w14:paraId="4C439174">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材料要求</w:t>
            </w:r>
          </w:p>
        </w:tc>
        <w:tc>
          <w:tcPr>
            <w:tcW w:w="6647" w:type="dxa"/>
            <w:vAlign w:val="center"/>
          </w:tcPr>
          <w:p w14:paraId="572FE921">
            <w:pPr>
              <w:spacing w:line="360" w:lineRule="auto"/>
              <w:rPr>
                <w:rFonts w:cs="@仿宋_GB2312"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质量合格，满足国家和行业规范标准。</w:t>
            </w:r>
          </w:p>
          <w:p w14:paraId="640F7698">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注：成交供应商自行采购的材料应满足设计和规范要求的质量等级，并须按有关技术规范要求对材料质量进行检验。成交供应商选定的材料供应厂家和价格须经采购人认可。如采购人对某种或某些材料的质量有异议，有权提出停止使用的要求，成交供应商必须服从该要求。若该材料经检验部门鉴定确有质量问题，由此而发生的一切费用由成交供应商自负。因成交供应商自行采购的材料质量引起的工程质量问题由成交供应商承担所造成的一切损失。</w:t>
            </w:r>
          </w:p>
        </w:tc>
      </w:tr>
      <w:tr w14:paraId="215D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499A80E8">
            <w:pPr>
              <w:spacing w:line="360" w:lineRule="auto"/>
              <w:jc w:val="cente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3</w:t>
            </w:r>
          </w:p>
        </w:tc>
        <w:tc>
          <w:tcPr>
            <w:tcW w:w="1350" w:type="dxa"/>
            <w:vAlign w:val="center"/>
          </w:tcPr>
          <w:p w14:paraId="47502F5B">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工程施工重点难点</w:t>
            </w:r>
          </w:p>
        </w:tc>
        <w:tc>
          <w:tcPr>
            <w:tcW w:w="6647" w:type="dxa"/>
            <w:vAlign w:val="center"/>
          </w:tcPr>
          <w:p w14:paraId="6A357F30">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w:t>
            </w:r>
          </w:p>
        </w:tc>
      </w:tr>
      <w:tr w14:paraId="7E15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106318D8">
            <w:pPr>
              <w:spacing w:line="360" w:lineRule="auto"/>
              <w:jc w:val="cente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4</w:t>
            </w:r>
          </w:p>
        </w:tc>
        <w:tc>
          <w:tcPr>
            <w:tcW w:w="1350" w:type="dxa"/>
            <w:vAlign w:val="center"/>
          </w:tcPr>
          <w:p w14:paraId="44BCDDE0">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报价须知</w:t>
            </w:r>
          </w:p>
        </w:tc>
        <w:tc>
          <w:tcPr>
            <w:tcW w:w="6647" w:type="dxa"/>
            <w:vAlign w:val="center"/>
          </w:tcPr>
          <w:p w14:paraId="1C98B830">
            <w:pPr>
              <w:spacing w:line="360" w:lineRule="auto"/>
              <w:rPr>
                <w:rFonts w:cs="@仿宋_GB2312" w:asciiTheme="minorEastAsia" w:hAnsiTheme="minorEastAsia" w:eastAsiaTheme="minorEastAsia"/>
                <w:color w:val="FF0000"/>
                <w:kern w:val="2"/>
                <w:sz w:val="24"/>
                <w:szCs w:val="22"/>
                <w:highlight w:val="none"/>
              </w:rPr>
            </w:pPr>
            <w:r>
              <w:rPr>
                <w:rFonts w:hint="eastAsia" w:cs="@仿宋_GB2312" w:asciiTheme="minorEastAsia" w:hAnsiTheme="minorEastAsia" w:eastAsiaTheme="minorEastAsia"/>
                <w:color w:val="FF0000"/>
                <w:kern w:val="2"/>
                <w:sz w:val="24"/>
                <w:szCs w:val="22"/>
                <w:highlight w:val="none"/>
              </w:rPr>
              <w:t>（1）供应商最后报价均不得高于磋商文件（公告）列明的项目预算、</w:t>
            </w:r>
            <w:r>
              <w:rPr>
                <w:rFonts w:hint="eastAsia" w:cs="@仿宋_GB2312" w:asciiTheme="minorEastAsia" w:hAnsiTheme="minorEastAsia" w:eastAsiaTheme="minorEastAsia"/>
                <w:color w:val="FF0000"/>
                <w:kern w:val="2"/>
                <w:sz w:val="24"/>
                <w:szCs w:val="22"/>
                <w:highlight w:val="none"/>
                <w:lang w:eastAsia="zh-CN"/>
              </w:rPr>
              <w:t>最高限价</w:t>
            </w:r>
            <w:r>
              <w:rPr>
                <w:rFonts w:hint="eastAsia" w:cs="@仿宋_GB2312" w:asciiTheme="minorEastAsia" w:hAnsiTheme="minorEastAsia" w:eastAsiaTheme="minorEastAsia"/>
                <w:color w:val="FF0000"/>
                <w:kern w:val="2"/>
                <w:sz w:val="24"/>
                <w:szCs w:val="22"/>
                <w:highlight w:val="none"/>
              </w:rPr>
              <w:t>，否则其响应文件将被认定为响应无效。</w:t>
            </w:r>
          </w:p>
          <w:p w14:paraId="29DECCCD">
            <w:pPr>
              <w:pStyle w:val="67"/>
              <w:widowControl w:val="0"/>
              <w:spacing w:before="0" w:beforeAutospacing="0" w:after="0" w:afterAutospacing="0" w:line="360" w:lineRule="auto"/>
              <w:jc w:val="both"/>
              <w:rPr>
                <w:rFonts w:cs="@仿宋_GB2312" w:asciiTheme="minorEastAsia" w:hAnsiTheme="minorEastAsia" w:eastAsiaTheme="minorEastAsia"/>
                <w:color w:val="FF0000"/>
                <w:kern w:val="2"/>
                <w:sz w:val="24"/>
                <w:highlight w:val="none"/>
              </w:rPr>
            </w:pPr>
            <w:r>
              <w:rPr>
                <w:rFonts w:hint="eastAsia" w:cs="Times New Roman" w:asciiTheme="minorHAnsi" w:hAnsiTheme="minorHAnsi" w:eastAsiaTheme="minorEastAsia"/>
                <w:color w:val="FF0000"/>
                <w:kern w:val="2"/>
                <w:sz w:val="24"/>
                <w:szCs w:val="24"/>
                <w:highlight w:val="none"/>
              </w:rPr>
              <w:t>（2）</w:t>
            </w:r>
            <w:r>
              <w:rPr>
                <w:rFonts w:hint="eastAsia" w:cs="@仿宋_GB2312" w:asciiTheme="minorHAnsi" w:hAnsiTheme="minorHAnsi" w:eastAsiaTheme="minorEastAsia"/>
                <w:color w:val="FF0000"/>
                <w:kern w:val="2"/>
                <w:sz w:val="24"/>
                <w:szCs w:val="24"/>
                <w:highlight w:val="none"/>
              </w:rPr>
              <w:t>安全</w:t>
            </w:r>
            <w:r>
              <w:rPr>
                <w:rFonts w:hint="eastAsia" w:cs="@仿宋_GB2312" w:asciiTheme="minorEastAsia" w:hAnsiTheme="minorEastAsia" w:eastAsiaTheme="minorEastAsia"/>
                <w:color w:val="FF0000"/>
                <w:kern w:val="2"/>
                <w:sz w:val="24"/>
                <w:highlight w:val="none"/>
              </w:rPr>
              <w:t>生产费用：安全生产费为固定价格，不得修改、删减、二次报价不进行下浮。专款专用，开工前报具体的措施方案，经合同甲方审核同意后实施，据实结算。</w:t>
            </w:r>
          </w:p>
          <w:p w14:paraId="63639343">
            <w:pPr>
              <w:spacing w:line="360" w:lineRule="auto"/>
              <w:rPr>
                <w:rFonts w:eastAsia="@微软简标宋" w:asciiTheme="minorHAnsi" w:hAnsiTheme="minorHAnsi"/>
                <w:color w:val="000000" w:themeColor="text1"/>
                <w:kern w:val="2"/>
                <w:sz w:val="21"/>
                <w:szCs w:val="22"/>
                <w:highlight w:val="none"/>
                <w14:textFill>
                  <w14:solidFill>
                    <w14:schemeClr w14:val="tx1"/>
                  </w14:solidFill>
                </w14:textFill>
              </w:rPr>
            </w:pPr>
            <w:r>
              <w:rPr>
                <w:rFonts w:hint="eastAsia" w:cs="Times New Roman" w:asciiTheme="minorHAnsi" w:hAnsiTheme="minorHAnsi" w:eastAsiaTheme="minorEastAsia"/>
                <w:color w:val="FF0000"/>
                <w:kern w:val="2"/>
                <w:sz w:val="24"/>
                <w:szCs w:val="24"/>
                <w:highlight w:val="none"/>
              </w:rPr>
              <w:t>（3）除磋商文件另有规定外,供应商不得随意增加、删除或涂改磋商文件工程量清单及最高限价中的任何内容</w:t>
            </w:r>
            <w:r>
              <w:rPr>
                <w:rFonts w:hint="eastAsia" w:cs="宋体" w:asciiTheme="minorHAnsi" w:hAnsiTheme="minorHAnsi" w:eastAsiaTheme="minorEastAsia"/>
                <w:b/>
                <w:color w:val="FF0000"/>
                <w:kern w:val="2"/>
                <w:sz w:val="24"/>
                <w:szCs w:val="24"/>
                <w:highlight w:val="none"/>
              </w:rPr>
              <w:t>，</w:t>
            </w:r>
            <w:r>
              <w:rPr>
                <w:rFonts w:cs="@仿宋_GB2312" w:asciiTheme="minorHAnsi" w:hAnsiTheme="minorHAnsi" w:eastAsiaTheme="minorEastAsia"/>
                <w:bCs/>
                <w:color w:val="FF0000"/>
                <w:kern w:val="2"/>
                <w:sz w:val="24"/>
                <w:szCs w:val="24"/>
                <w:highlight w:val="none"/>
              </w:rPr>
              <w:t>否则其响应文件将被认定为</w:t>
            </w:r>
            <w:r>
              <w:rPr>
                <w:rFonts w:cs="@仿宋_GB2312" w:asciiTheme="minorHAnsi" w:hAnsiTheme="minorHAnsi" w:eastAsiaTheme="minorEastAsia"/>
                <w:b/>
                <w:color w:val="FF0000"/>
                <w:kern w:val="2"/>
                <w:sz w:val="24"/>
                <w:szCs w:val="24"/>
                <w:highlight w:val="none"/>
              </w:rPr>
              <w:t>响应无效</w:t>
            </w:r>
            <w:r>
              <w:rPr>
                <w:rFonts w:hint="eastAsia" w:cs="@仿宋_GB2312" w:asciiTheme="minorHAnsi" w:hAnsiTheme="minorHAnsi" w:eastAsiaTheme="minorEastAsia"/>
                <w:color w:val="FF0000"/>
                <w:kern w:val="2"/>
                <w:sz w:val="24"/>
                <w:szCs w:val="24"/>
                <w:highlight w:val="none"/>
              </w:rPr>
              <w:t>。</w:t>
            </w:r>
          </w:p>
        </w:tc>
      </w:tr>
      <w:tr w14:paraId="6E54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132E2729">
            <w:pPr>
              <w:spacing w:line="360" w:lineRule="auto"/>
              <w:jc w:val="cente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5</w:t>
            </w:r>
          </w:p>
        </w:tc>
        <w:tc>
          <w:tcPr>
            <w:tcW w:w="1350" w:type="dxa"/>
            <w:vAlign w:val="center"/>
          </w:tcPr>
          <w:p w14:paraId="6CA109F6">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重要说明</w:t>
            </w:r>
          </w:p>
        </w:tc>
        <w:tc>
          <w:tcPr>
            <w:tcW w:w="6647" w:type="dxa"/>
            <w:vAlign w:val="center"/>
          </w:tcPr>
          <w:p w14:paraId="790819CD">
            <w:pPr>
              <w:spacing w:line="360" w:lineRule="auto"/>
              <w:rPr>
                <w:rFonts w:asciiTheme="minorHAnsi" w:hAnsiTheme="minorHAnsi" w:eastAsiaTheme="minorEastAsia"/>
                <w:color w:val="000000" w:themeColor="text1"/>
                <w:kern w:val="2"/>
                <w:sz w:val="24"/>
                <w:szCs w:val="18"/>
                <w:highlight w:val="none"/>
                <w14:textFill>
                  <w14:solidFill>
                    <w14:schemeClr w14:val="tx1"/>
                  </w14:solidFill>
                </w14:textFill>
              </w:rPr>
            </w:pPr>
            <w:r>
              <w:rPr>
                <w:rFonts w:hint="eastAsia" w:cs="宋体" w:asciiTheme="minorHAnsi" w:hAnsiTheme="minorHAnsi" w:eastAsiaTheme="minorEastAsia"/>
                <w:color w:val="000000" w:themeColor="text1"/>
                <w:kern w:val="2"/>
                <w:sz w:val="24"/>
                <w:szCs w:val="24"/>
                <w:highlight w:val="none"/>
                <w14:textFill>
                  <w14:solidFill>
                    <w14:schemeClr w14:val="tx1"/>
                  </w14:solidFill>
                </w14:textFill>
              </w:rPr>
              <w:t>1、</w:t>
            </w:r>
            <w:r>
              <w:rPr>
                <w:rFonts w:cs="宋体" w:asciiTheme="minorHAnsi" w:hAnsiTheme="minorHAnsi" w:eastAsiaTheme="minorEastAsia"/>
                <w:color w:val="000000" w:themeColor="text1"/>
                <w:kern w:val="2"/>
                <w:sz w:val="24"/>
                <w:szCs w:val="24"/>
                <w:highlight w:val="none"/>
                <w14:textFill>
                  <w14:solidFill>
                    <w14:schemeClr w14:val="tx1"/>
                  </w14:solidFill>
                </w14:textFill>
              </w:rPr>
              <w:t>政府采购政策（包括但不限于下列具体政策要求</w:t>
            </w:r>
            <w:r>
              <w:rPr>
                <w:rFonts w:hint="eastAsia" w:cs="宋体" w:asciiTheme="minorHAnsi" w:hAnsiTheme="minorHAnsi" w:eastAsiaTheme="minorEastAsia"/>
                <w:color w:val="000000" w:themeColor="text1"/>
                <w:kern w:val="2"/>
                <w:sz w:val="24"/>
                <w:szCs w:val="24"/>
                <w:highlight w:val="none"/>
                <w14:textFill>
                  <w14:solidFill>
                    <w14:schemeClr w14:val="tx1"/>
                  </w14:solidFill>
                </w14:textFill>
              </w:rPr>
              <w:t>）</w:t>
            </w:r>
            <w:r>
              <w:rPr>
                <w:rFonts w:hint="eastAsia" w:asciiTheme="minorHAnsi" w:hAnsiTheme="minorHAnsi" w:eastAsiaTheme="minorEastAsia"/>
                <w:color w:val="000000" w:themeColor="text1"/>
                <w:kern w:val="2"/>
                <w:sz w:val="24"/>
                <w:szCs w:val="18"/>
                <w:highlight w:val="none"/>
                <w14:textFill>
                  <w14:solidFill>
                    <w14:schemeClr w14:val="tx1"/>
                  </w14:solidFill>
                </w14:textFill>
              </w:rPr>
              <w:t>：</w:t>
            </w:r>
          </w:p>
          <w:p w14:paraId="46D2BBFE">
            <w:pPr>
              <w:spacing w:line="360" w:lineRule="auto"/>
              <w:rPr>
                <w:rFonts w:cs="宋体"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宋体" w:asciiTheme="minorHAnsi" w:hAnsiTheme="minorHAnsi" w:eastAsiaTheme="minorEastAsia"/>
                <w:color w:val="000000" w:themeColor="text1"/>
                <w:kern w:val="2"/>
                <w:sz w:val="24"/>
                <w:szCs w:val="24"/>
                <w:highlight w:val="none"/>
                <w14:textFill>
                  <w14:solidFill>
                    <w14:schemeClr w14:val="tx1"/>
                  </w14:solidFill>
                </w14:textFill>
              </w:rPr>
              <w:t>（1）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1D82D61E">
            <w:pPr>
              <w:spacing w:line="360" w:lineRule="auto"/>
              <w:rPr>
                <w:rFonts w:cs="宋体"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宋体" w:asciiTheme="minorHAnsi" w:hAnsiTheme="minorHAnsi" w:eastAsiaTheme="minorEastAsia"/>
                <w:color w:val="000000" w:themeColor="text1"/>
                <w:kern w:val="2"/>
                <w:sz w:val="24"/>
                <w:szCs w:val="24"/>
                <w:highlight w:val="none"/>
                <w14:textFill>
                  <w14:solidFill>
                    <w14:schemeClr w14:val="tx1"/>
                  </w14:solidFill>
                </w14:textFill>
              </w:rPr>
              <w:t>（2）如涉及商品包装和快递包装，供应商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F5D0461">
            <w:pPr>
              <w:spacing w:line="360" w:lineRule="auto"/>
              <w:rPr>
                <w:rFonts w:cs="@仿宋_GB2312"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（3）本项目的磋商文件、</w:t>
            </w:r>
            <w:r>
              <w:rPr>
                <w:rFonts w:hint="eastAsia" w:cs="@仿宋_GB2312" w:asciiTheme="minorHAnsi" w:hAnsiTheme="minorHAnsi" w:eastAsiaTheme="minorEastAsia"/>
                <w:color w:val="000000" w:themeColor="text1"/>
                <w:kern w:val="2"/>
                <w:sz w:val="24"/>
                <w:szCs w:val="24"/>
                <w:highlight w:val="none"/>
                <w:lang w:eastAsia="zh-CN"/>
                <w14:textFill>
                  <w14:solidFill>
                    <w14:schemeClr w14:val="tx1"/>
                  </w14:solidFill>
                </w14:textFill>
              </w:rPr>
              <w:t>最高限价</w:t>
            </w: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、澄清、修改、补充等相关资料均通过电子服务系统发布，请供应商自行从网上下载，供应商应当及时查看有无相关澄清、修改、补充等内容。</w:t>
            </w:r>
          </w:p>
          <w:p w14:paraId="6E7DE204">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Times New Roman" w:asciiTheme="minorHAnsi" w:hAnsiTheme="minorHAnsi" w:eastAsiaTheme="minorEastAsia"/>
                <w:b/>
                <w:bCs/>
                <w:color w:val="000000" w:themeColor="text1"/>
                <w:kern w:val="2"/>
                <w:sz w:val="24"/>
                <w:szCs w:val="24"/>
                <w:highlight w:val="none"/>
                <w14:textFill>
                  <w14:solidFill>
                    <w14:schemeClr w14:val="tx1"/>
                  </w14:solidFill>
                </w14:textFill>
              </w:rPr>
              <w:t>（4）</w:t>
            </w:r>
            <w:r>
              <w:rPr>
                <w:rFonts w:hint="eastAsia" w:cs="@仿宋_GB2312" w:asciiTheme="minorHAnsi" w:hAnsiTheme="minorHAnsi" w:eastAsiaTheme="minorEastAsia"/>
                <w:b/>
                <w:bCs/>
                <w:color w:val="000000" w:themeColor="text1"/>
                <w:kern w:val="2"/>
                <w:sz w:val="24"/>
                <w:szCs w:val="24"/>
                <w:highlight w:val="none"/>
                <w14:textFill>
                  <w14:solidFill>
                    <w14:schemeClr w14:val="tx1"/>
                  </w14:solidFill>
                </w14:textFill>
              </w:rPr>
              <w:t>供应商在工程实施过程中用工行为，必须严格执行国家及地方政府的有关规定，依法签订劳动合同，并按规定及时足额支付工资；合同履约期间，作业人员突发疾病、意外等造成的人员伤亡及财产损失均由供应商负责。</w:t>
            </w:r>
          </w:p>
        </w:tc>
      </w:tr>
      <w:tr w14:paraId="03D4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3E80939D">
            <w:pPr>
              <w:spacing w:line="360" w:lineRule="auto"/>
              <w:jc w:val="cente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t>6</w:t>
            </w:r>
          </w:p>
        </w:tc>
        <w:tc>
          <w:tcPr>
            <w:tcW w:w="1350" w:type="dxa"/>
            <w:vAlign w:val="center"/>
          </w:tcPr>
          <w:p w14:paraId="65ABCCAB">
            <w:pPr>
              <w:spacing w:line="360" w:lineRule="auto"/>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项目经理</w:t>
            </w:r>
          </w:p>
        </w:tc>
        <w:tc>
          <w:tcPr>
            <w:tcW w:w="6647" w:type="dxa"/>
            <w:shd w:val="clear" w:color="auto" w:fill="auto"/>
            <w:vAlign w:val="center"/>
          </w:tcPr>
          <w:p w14:paraId="0AD7A5C6">
            <w:pPr>
              <w:spacing w:line="360" w:lineRule="auto"/>
              <w:rPr>
                <w:rFonts w:cs="@仿宋_GB2312" w:asciiTheme="minorHAnsi" w:hAnsiTheme="minorHAnsi" w:eastAsiaTheme="minorEastAsia"/>
                <w:b/>
                <w:bCs/>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b/>
                <w:bCs/>
                <w:color w:val="000000" w:themeColor="text1"/>
                <w:kern w:val="2"/>
                <w:sz w:val="24"/>
                <w:szCs w:val="24"/>
                <w:highlight w:val="none"/>
                <w14:textFill>
                  <w14:solidFill>
                    <w14:schemeClr w14:val="tx1"/>
                  </w14:solidFill>
                </w14:textFill>
              </w:rPr>
              <w:t>（1）项目经理资质要求：供应商拟委任的项目经理须具有符合磋商公告中资质要求的注册建造师证书和有效的安全生产考核合格证（B证），注册单位必须是供应商本单位。</w:t>
            </w:r>
          </w:p>
          <w:p w14:paraId="0DFF54C1">
            <w:pPr>
              <w:spacing w:line="360" w:lineRule="auto"/>
              <w:rPr>
                <w:rFonts w:cs="@仿宋_GB2312" w:asciiTheme="minorHAnsi" w:hAnsiTheme="minorHAnsi" w:eastAsiaTheme="minorEastAsia"/>
                <w:b/>
                <w:bCs/>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b/>
                <w:bCs/>
                <w:color w:val="000000" w:themeColor="text1"/>
                <w:kern w:val="2"/>
                <w:sz w:val="24"/>
                <w:szCs w:val="24"/>
                <w:highlight w:val="none"/>
                <w14:textFill>
                  <w14:solidFill>
                    <w14:schemeClr w14:val="tx1"/>
                  </w14:solidFill>
                </w14:textFill>
              </w:rPr>
              <w:t>（2）项目经理社保：供应商为项目经理缴纳的</w:t>
            </w:r>
            <w:r>
              <w:rPr>
                <w:rFonts w:hint="eastAsia" w:cs="@仿宋_GB2312" w:asciiTheme="minorHAnsi" w:hAnsiTheme="minorHAnsi" w:eastAsiaTheme="minorEastAsia"/>
                <w:b/>
                <w:bCs/>
                <w:color w:val="000000" w:themeColor="text1"/>
                <w:kern w:val="2"/>
                <w:sz w:val="24"/>
                <w:szCs w:val="24"/>
                <w:highlight w:val="none"/>
                <w:lang w:val="en-US" w:eastAsia="zh-CN"/>
                <w14:textFill>
                  <w14:solidFill>
                    <w14:schemeClr w14:val="tx1"/>
                  </w14:solidFill>
                </w14:textFill>
              </w:rPr>
              <w:t>2026</w:t>
            </w:r>
            <w:r>
              <w:rPr>
                <w:rFonts w:hint="eastAsia" w:cs="@仿宋_GB2312" w:asciiTheme="minorHAnsi" w:hAnsiTheme="minorHAnsi" w:eastAsiaTheme="minorEastAsia"/>
                <w:b/>
                <w:bCs/>
                <w:color w:val="000000" w:themeColor="text1"/>
                <w:kern w:val="2"/>
                <w:sz w:val="24"/>
                <w:szCs w:val="24"/>
                <w:highlight w:val="none"/>
                <w14:textFill>
                  <w14:solidFill>
                    <w14:schemeClr w14:val="tx1"/>
                  </w14:solidFill>
                </w14:textFill>
              </w:rPr>
              <w:t>年</w:t>
            </w:r>
            <w:r>
              <w:rPr>
                <w:rFonts w:hint="eastAsia" w:cs="@仿宋_GB2312" w:asciiTheme="minorHAnsi" w:hAnsiTheme="minorHAnsi" w:eastAsiaTheme="minorEastAsia"/>
                <w:b/>
                <w:bCs/>
                <w:color w:val="000000" w:themeColor="text1"/>
                <w:kern w:val="2"/>
                <w:sz w:val="24"/>
                <w:szCs w:val="24"/>
                <w:highlight w:val="none"/>
                <w:lang w:val="en-US" w:eastAsia="zh-CN"/>
                <w14:textFill>
                  <w14:solidFill>
                    <w14:schemeClr w14:val="tx1"/>
                  </w14:solidFill>
                </w14:textFill>
              </w:rPr>
              <w:t>1</w:t>
            </w:r>
            <w:r>
              <w:rPr>
                <w:rFonts w:hint="eastAsia" w:cs="@仿宋_GB2312" w:asciiTheme="minorHAnsi" w:hAnsiTheme="minorHAnsi" w:eastAsiaTheme="minorEastAsia"/>
                <w:b/>
                <w:bCs/>
                <w:color w:val="000000" w:themeColor="text1"/>
                <w:kern w:val="2"/>
                <w:sz w:val="24"/>
                <w:szCs w:val="24"/>
                <w:highlight w:val="none"/>
                <w14:textFill>
                  <w14:solidFill>
                    <w14:schemeClr w14:val="tx1"/>
                  </w14:solidFill>
                </w14:textFill>
              </w:rPr>
              <w:t>月以来任意一个月的社保证明材料（至少包含养老保险）。项目经理的社会保险的缴纳单位应当是供应商或者供应商不具备独立法人资格的分支机构。</w:t>
            </w:r>
          </w:p>
          <w:p w14:paraId="17632FF4">
            <w:pPr>
              <w:spacing w:line="360" w:lineRule="auto"/>
              <w:rPr>
                <w:rFonts w:cs="@仿宋_GB2312"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（3）项目经理不得同时担任两个及以上建设工程施工项目</w:t>
            </w:r>
            <w:r>
              <w:rPr>
                <w:rFonts w:hint="eastAsia" w:cs="@仿宋_GB2312" w:asciiTheme="minorHAnsi" w:hAnsiTheme="minorHAnsi" w:eastAsiaTheme="minorEastAsia"/>
                <w:color w:val="000000" w:themeColor="text1"/>
                <w:kern w:val="2"/>
                <w:sz w:val="24"/>
                <w:szCs w:val="24"/>
                <w:highlight w:val="none"/>
                <w:lang w:val="en-US" w:eastAsia="zh-CN"/>
                <w14:textFill>
                  <w14:solidFill>
                    <w14:schemeClr w14:val="tx1"/>
                  </w14:solidFill>
                </w14:textFill>
              </w:rPr>
              <w:t>经理</w:t>
            </w: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，法定情形除外。</w:t>
            </w:r>
          </w:p>
          <w:p w14:paraId="53337430">
            <w:pPr>
              <w:spacing w:line="360" w:lineRule="auto"/>
              <w:rPr>
                <w:rFonts w:cs="@仿宋_GB2312" w:asciiTheme="minorHAnsi" w:hAnsiTheme="minorHAnsi" w:eastAsiaTheme="minorEastAsia"/>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color w:val="000000" w:themeColor="text1"/>
                <w:kern w:val="2"/>
                <w:sz w:val="24"/>
                <w:szCs w:val="24"/>
                <w:highlight w:val="none"/>
                <w14:textFill>
                  <w14:solidFill>
                    <w14:schemeClr w14:val="tx1"/>
                  </w14:solidFill>
                </w14:textFill>
              </w:rPr>
              <w:t>（4）成交后若项目经理在其他项目上担任项目经理岗位，导致该项目经理无法进场履约的，采购人可取消其成交资格。供应商因此原因被取消成交资格的，视为无正当理由放弃成交资格。</w:t>
            </w:r>
          </w:p>
          <w:p w14:paraId="77FD3964">
            <w:pPr>
              <w:spacing w:line="360" w:lineRule="auto"/>
              <w:rPr>
                <w:rFonts w:cs="@仿宋_GB2312" w:asciiTheme="minorHAnsi" w:hAnsiTheme="minorHAnsi" w:eastAsiaTheme="minorEastAsia"/>
                <w:b/>
                <w:bCs/>
                <w:color w:val="000000" w:themeColor="text1"/>
                <w:kern w:val="2"/>
                <w:sz w:val="24"/>
                <w:szCs w:val="24"/>
                <w:highlight w:val="none"/>
                <w14:textFill>
                  <w14:solidFill>
                    <w14:schemeClr w14:val="tx1"/>
                  </w14:solidFill>
                </w14:textFill>
              </w:rPr>
            </w:pPr>
            <w:r>
              <w:rPr>
                <w:rFonts w:hint="eastAsia" w:cs="@仿宋_GB2312" w:asciiTheme="minorHAnsi" w:hAnsiTheme="minorHAnsi" w:eastAsiaTheme="minorEastAsia"/>
                <w:b/>
                <w:bCs/>
                <w:color w:val="000000" w:themeColor="text1"/>
                <w:kern w:val="2"/>
                <w:sz w:val="24"/>
                <w:szCs w:val="24"/>
                <w:highlight w:val="none"/>
                <w14:textFill>
                  <w14:solidFill>
                    <w14:schemeClr w14:val="tx1"/>
                  </w14:solidFill>
                </w14:textFill>
              </w:rPr>
              <w:t>（5）项目经理不接受退休人员及返聘人员担任（响应文件中须提供项目经理身份证）。</w:t>
            </w:r>
          </w:p>
          <w:p w14:paraId="488F9701">
            <w:pPr>
              <w:spacing w:line="360" w:lineRule="auto"/>
              <w:rPr>
                <w:rFonts w:cs="宋体" w:asciiTheme="minorHAnsi" w:hAnsiTheme="minorHAnsi" w:eastAsiaTheme="minorEastAsia"/>
                <w:color w:val="000000" w:themeColor="text1"/>
                <w:kern w:val="2"/>
                <w:sz w:val="24"/>
                <w:szCs w:val="24"/>
                <w:highlight w:val="none"/>
                <w14:textFill>
                  <w14:solidFill>
                    <w14:schemeClr w14:val="tx1"/>
                  </w14:solidFill>
                </w14:textFill>
              </w:rPr>
            </w:pPr>
            <w:r>
              <w:rPr>
                <w:rFonts w:cs="宋体" w:asciiTheme="minorHAnsi" w:hAnsiTheme="minorHAnsi" w:eastAsiaTheme="minorEastAsia"/>
                <w:color w:val="000000" w:themeColor="text1"/>
                <w:kern w:val="2"/>
                <w:sz w:val="24"/>
                <w:szCs w:val="24"/>
                <w:highlight w:val="none"/>
                <w14:textFill>
                  <w14:solidFill>
                    <w14:schemeClr w14:val="tx1"/>
                  </w14:solidFill>
                </w14:textFill>
              </w:rPr>
              <w:t>（</w:t>
            </w:r>
            <w:r>
              <w:rPr>
                <w:rFonts w:hint="eastAsia" w:cs="宋体" w:asciiTheme="minorHAnsi" w:hAnsiTheme="minorHAnsi" w:eastAsiaTheme="minorEastAsia"/>
                <w:color w:val="000000" w:themeColor="text1"/>
                <w:kern w:val="2"/>
                <w:sz w:val="24"/>
                <w:szCs w:val="24"/>
                <w:highlight w:val="none"/>
                <w14:textFill>
                  <w14:solidFill>
                    <w14:schemeClr w14:val="tx1"/>
                  </w14:solidFill>
                </w14:textFill>
              </w:rPr>
              <w:t>6</w:t>
            </w:r>
            <w:r>
              <w:rPr>
                <w:rFonts w:cs="宋体" w:asciiTheme="minorHAnsi" w:hAnsiTheme="minorHAnsi" w:eastAsiaTheme="minorEastAsia"/>
                <w:color w:val="000000" w:themeColor="text1"/>
                <w:kern w:val="2"/>
                <w:sz w:val="24"/>
                <w:szCs w:val="24"/>
                <w:highlight w:val="none"/>
                <w14:textFill>
                  <w14:solidFill>
                    <w14:schemeClr w14:val="tx1"/>
                  </w14:solidFill>
                </w14:textFill>
              </w:rPr>
              <w:t>）自2022年1月1日起，一级建造师统一使用电子证书，纸质注册证书作废。拟委任项目经理为一级注册建造师的，须执行《住房和城乡建设部办公厅关于全面实行一级建造师电子注册证书的通知》中电子证书的有关使用要求，一级建造师打印电子证书后，应在个人签名处手写本人签名，未手写签名或与签名图像笔迹不一致的，该电子证书无效。</w:t>
            </w:r>
          </w:p>
          <w:p w14:paraId="47A0EDEF">
            <w:pPr>
              <w:spacing w:line="360" w:lineRule="auto"/>
              <w:rPr>
                <w:rFonts w:cs="@仿宋_GB2312" w:asciiTheme="minorHAnsi" w:hAnsiTheme="minorHAnsi" w:eastAsiaTheme="minorEastAsia"/>
                <w:b/>
                <w:bCs/>
                <w:color w:val="000000" w:themeColor="text1"/>
                <w:kern w:val="2"/>
                <w:sz w:val="24"/>
                <w:szCs w:val="24"/>
                <w:highlight w:val="none"/>
                <w14:textFill>
                  <w14:solidFill>
                    <w14:schemeClr w14:val="tx1"/>
                  </w14:solidFill>
                </w14:textFill>
              </w:rPr>
            </w:pPr>
            <w:r>
              <w:rPr>
                <w:rFonts w:cs="宋体" w:asciiTheme="minorHAnsi" w:hAnsiTheme="minorHAnsi" w:eastAsiaTheme="minorEastAsia"/>
                <w:color w:val="000000" w:themeColor="text1"/>
                <w:kern w:val="2"/>
                <w:sz w:val="24"/>
                <w:szCs w:val="24"/>
                <w:highlight w:val="none"/>
                <w14:textFill>
                  <w14:solidFill>
                    <w14:schemeClr w14:val="tx1"/>
                  </w14:solidFill>
                </w14:textFill>
              </w:rPr>
              <w:t>（</w:t>
            </w:r>
            <w:r>
              <w:rPr>
                <w:rFonts w:hint="eastAsia" w:cs="宋体" w:asciiTheme="minorHAnsi" w:hAnsiTheme="minorHAnsi" w:eastAsiaTheme="minorEastAsia"/>
                <w:color w:val="000000" w:themeColor="text1"/>
                <w:kern w:val="2"/>
                <w:sz w:val="24"/>
                <w:szCs w:val="24"/>
                <w:highlight w:val="none"/>
                <w14:textFill>
                  <w14:solidFill>
                    <w14:schemeClr w14:val="tx1"/>
                  </w14:solidFill>
                </w14:textFill>
              </w:rPr>
              <w:t>7</w:t>
            </w:r>
            <w:r>
              <w:rPr>
                <w:rFonts w:cs="宋体" w:asciiTheme="minorHAnsi" w:hAnsiTheme="minorHAnsi" w:eastAsiaTheme="minorEastAsia"/>
                <w:color w:val="000000" w:themeColor="text1"/>
                <w:kern w:val="2"/>
                <w:sz w:val="24"/>
                <w:szCs w:val="24"/>
                <w:highlight w:val="none"/>
                <w14:textFill>
                  <w14:solidFill>
                    <w14:schemeClr w14:val="tx1"/>
                  </w14:solidFill>
                </w14:textFill>
              </w:rPr>
              <w:t>）拟委任项目经理为二级注册建造师的，</w:t>
            </w:r>
            <w:r>
              <w:rPr>
                <w:rFonts w:hint="eastAsia" w:cs="宋体" w:asciiTheme="minorHAnsi" w:hAnsiTheme="minorHAnsi" w:eastAsiaTheme="minorEastAsia"/>
                <w:color w:val="000000" w:themeColor="text1"/>
                <w:kern w:val="2"/>
                <w:sz w:val="24"/>
                <w:szCs w:val="24"/>
                <w:highlight w:val="none"/>
                <w14:textFill>
                  <w14:solidFill>
                    <w14:schemeClr w14:val="tx1"/>
                  </w14:solidFill>
                </w14:textFill>
              </w:rPr>
              <w:t>响应文件</w:t>
            </w:r>
            <w:r>
              <w:rPr>
                <w:rFonts w:cs="宋体" w:asciiTheme="minorHAnsi" w:hAnsiTheme="minorHAnsi" w:eastAsiaTheme="minorEastAsia"/>
                <w:color w:val="000000" w:themeColor="text1"/>
                <w:kern w:val="2"/>
                <w:sz w:val="24"/>
                <w:szCs w:val="24"/>
                <w:highlight w:val="none"/>
                <w14:textFill>
                  <w14:solidFill>
                    <w14:schemeClr w14:val="tx1"/>
                  </w14:solidFill>
                </w14:textFill>
              </w:rPr>
              <w:t>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对于其他省份颁发的二级建造师注册证书使用要求，证书颁发单位另有规定的按其规定执行。</w:t>
            </w:r>
          </w:p>
        </w:tc>
      </w:tr>
      <w:tr w14:paraId="60EA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 w:type="dxa"/>
            <w:vAlign w:val="center"/>
          </w:tcPr>
          <w:p w14:paraId="1585755F">
            <w:pPr>
              <w:spacing w:line="360" w:lineRule="auto"/>
              <w:jc w:val="center"/>
              <w:rPr>
                <w:rFonts w:cs="@仿宋_GB2312" w:asciiTheme="minorEastAsia" w:hAnsiTheme="minorEastAsia" w:eastAsiaTheme="minorEastAsia"/>
                <w:color w:val="000000" w:themeColor="text1"/>
                <w:kern w:val="2"/>
                <w:sz w:val="24"/>
                <w:szCs w:val="22"/>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2"/>
                <w:highlight w:val="none"/>
                <w14:textFill>
                  <w14:solidFill>
                    <w14:schemeClr w14:val="tx1"/>
                  </w14:solidFill>
                </w14:textFill>
              </w:rPr>
              <w:t>7</w:t>
            </w:r>
          </w:p>
        </w:tc>
        <w:tc>
          <w:tcPr>
            <w:tcW w:w="1350" w:type="dxa"/>
            <w:vAlign w:val="center"/>
          </w:tcPr>
          <w:p w14:paraId="3BF4764F">
            <w:pPr>
              <w:pStyle w:val="67"/>
              <w:widowControl w:val="0"/>
              <w:spacing w:before="0" w:beforeAutospacing="0" w:after="0" w:afterAutospacing="0" w:line="360" w:lineRule="auto"/>
              <w:rPr>
                <w:rFonts w:cs="@仿宋_GB2312" w:asciiTheme="minorEastAsia" w:hAnsiTheme="minorEastAsia" w:eastAsiaTheme="minorEastAsia"/>
                <w:color w:val="000000" w:themeColor="text1"/>
                <w:kern w:val="2"/>
                <w:sz w:val="24"/>
                <w:highlight w:val="none"/>
                <w14:textFill>
                  <w14:solidFill>
                    <w14:schemeClr w14:val="tx1"/>
                  </w14:solidFill>
                </w14:textFill>
              </w:rPr>
            </w:pPr>
            <w:r>
              <w:rPr>
                <w:rFonts w:hint="eastAsia" w:asciiTheme="minorHAnsi" w:hAnsiTheme="minorHAnsi" w:eastAsiaTheme="minorEastAsia"/>
                <w:b w:val="0"/>
                <w:color w:val="000000" w:themeColor="text1"/>
                <w:kern w:val="2"/>
                <w:sz w:val="24"/>
                <w:highlight w:val="none"/>
                <w14:textFill>
                  <w14:solidFill>
                    <w14:schemeClr w14:val="tx1"/>
                  </w14:solidFill>
                </w14:textFill>
              </w:rPr>
              <w:t>本项目采购标的名称及所属行业</w:t>
            </w:r>
          </w:p>
        </w:tc>
        <w:tc>
          <w:tcPr>
            <w:tcW w:w="6647" w:type="dxa"/>
            <w:vAlign w:val="center"/>
          </w:tcPr>
          <w:p w14:paraId="6CC38679">
            <w:pPr>
              <w:spacing w:line="360" w:lineRule="auto"/>
              <w:jc w:val="left"/>
              <w:rPr>
                <w:rFonts w:hint="eastAsia" w:asciiTheme="minorEastAsia" w:hAnsiTheme="minorEastAsia" w:eastAsiaTheme="minorEastAsia"/>
                <w:color w:val="000000" w:themeColor="text1"/>
                <w:kern w:val="2"/>
                <w:sz w:val="24"/>
                <w:szCs w:val="22"/>
                <w:highlight w:val="none"/>
                <w:lang w:eastAsia="zh-CN"/>
                <w14:textFill>
                  <w14:solidFill>
                    <w14:schemeClr w14:val="tx1"/>
                  </w14:solidFill>
                </w14:textFill>
              </w:rPr>
            </w:pPr>
            <w:r>
              <w:rPr>
                <w:rFonts w:hint="eastAsia" w:asciiTheme="minorEastAsia" w:hAnsiTheme="minorEastAsia" w:eastAsiaTheme="minorEastAsia"/>
                <w:color w:val="000000" w:themeColor="text1"/>
                <w:kern w:val="2"/>
                <w:sz w:val="24"/>
                <w:szCs w:val="22"/>
                <w:highlight w:val="none"/>
                <w14:textFill>
                  <w14:solidFill>
                    <w14:schemeClr w14:val="tx1"/>
                  </w14:solidFill>
                </w14:textFill>
              </w:rPr>
              <w:t>标的名称：</w:t>
            </w:r>
            <w:r>
              <w:rPr>
                <w:rFonts w:hint="eastAsia" w:asciiTheme="minorEastAsia" w:hAnsiTheme="minorEastAsia" w:eastAsiaTheme="minorEastAsia"/>
                <w:color w:val="000000" w:themeColor="text1"/>
                <w:kern w:val="2"/>
                <w:sz w:val="24"/>
                <w:szCs w:val="22"/>
                <w:highlight w:val="none"/>
                <w:u w:val="single"/>
                <w:lang w:eastAsia="zh-CN"/>
                <w14:textFill>
                  <w14:solidFill>
                    <w14:schemeClr w14:val="tx1"/>
                  </w14:solidFill>
                </w14:textFill>
              </w:rPr>
              <w:t>2026年省淮河局、省临淮岗局水闸自动化运行维护等（第4包）</w:t>
            </w:r>
          </w:p>
          <w:p w14:paraId="33766AC2">
            <w:pPr>
              <w:rPr>
                <w:rFonts w:asciiTheme="minorHAnsi" w:hAnsiTheme="minorHAnsi" w:eastAsiaTheme="minorEastAsia"/>
                <w:color w:val="000000" w:themeColor="text1"/>
                <w:kern w:val="2"/>
                <w:sz w:val="24"/>
                <w:szCs w:val="22"/>
                <w:highlight w:val="none"/>
                <w14:textFill>
                  <w14:solidFill>
                    <w14:schemeClr w14:val="tx1"/>
                  </w14:solidFill>
                </w14:textFill>
              </w:rPr>
            </w:pPr>
            <w:r>
              <w:rPr>
                <w:rFonts w:hint="eastAsia" w:asciiTheme="minorEastAsia" w:hAnsiTheme="minorEastAsia" w:eastAsiaTheme="minorEastAsia"/>
                <w:color w:val="000000" w:themeColor="text1"/>
                <w:kern w:val="2"/>
                <w:sz w:val="24"/>
                <w:szCs w:val="22"/>
                <w:highlight w:val="none"/>
                <w14:textFill>
                  <w14:solidFill>
                    <w14:schemeClr w14:val="tx1"/>
                  </w14:solidFill>
                </w14:textFill>
              </w:rPr>
              <w:t>所属行业：</w:t>
            </w:r>
            <w:r>
              <w:rPr>
                <w:rFonts w:hint="eastAsia" w:asciiTheme="minorEastAsia" w:hAnsiTheme="minorEastAsia" w:eastAsiaTheme="minorEastAsia"/>
                <w:color w:val="000000" w:themeColor="text1"/>
                <w:kern w:val="2"/>
                <w:sz w:val="24"/>
                <w:szCs w:val="22"/>
                <w:highlight w:val="none"/>
                <w:u w:val="single"/>
                <w14:textFill>
                  <w14:solidFill>
                    <w14:schemeClr w14:val="tx1"/>
                  </w14:solidFill>
                </w14:textFill>
              </w:rPr>
              <w:t>建筑业</w:t>
            </w:r>
          </w:p>
        </w:tc>
      </w:tr>
    </w:tbl>
    <w:p w14:paraId="3C17E3F1">
      <w:pPr>
        <w:pStyle w:val="4"/>
        <w:ind w:firstLine="0" w:firstLineChars="0"/>
        <w:rPr>
          <w:rFonts w:hint="eastAsia" w:ascii="宋体" w:hAnsi="宋体" w:eastAsia="宋体" w:cs="宋体"/>
          <w:color w:val="auto"/>
          <w:sz w:val="28"/>
          <w:szCs w:val="28"/>
          <w:highlight w:val="none"/>
          <w:lang w:val="en-US" w:eastAsia="zh-CN"/>
        </w:rPr>
      </w:pPr>
      <w:bookmarkStart w:id="46" w:name="_Toc11353"/>
      <w:r>
        <w:rPr>
          <w:rFonts w:hint="eastAsia" w:cs="宋体"/>
          <w:color w:val="auto"/>
          <w:sz w:val="28"/>
          <w:szCs w:val="28"/>
          <w:highlight w:val="none"/>
          <w:lang w:val="en-US" w:eastAsia="zh-CN"/>
        </w:rPr>
        <w:t>1.</w:t>
      </w:r>
      <w:r>
        <w:rPr>
          <w:rFonts w:hint="eastAsia" w:ascii="宋体" w:hAnsi="宋体" w:eastAsia="宋体" w:cs="宋体"/>
          <w:color w:val="auto"/>
          <w:sz w:val="28"/>
          <w:szCs w:val="28"/>
          <w:highlight w:val="none"/>
          <w:lang w:val="en-US" w:eastAsia="zh-CN"/>
        </w:rPr>
        <w:t>项目背景</w:t>
      </w:r>
    </w:p>
    <w:p w14:paraId="38FCBD7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安徽省淮河河道管理局(以下简称“省淮河局”)成立于1961年11月(原安徽省淮河修防局1991年更名)，为安徽省水利厅派出机构，正处级建制。下辖19个直属事业单位，包括颍东、颍上凤台、潘集、蒙城、怀远、五河、明光等8个局直河道管理单位，王家坝闸、曹台闸、东湖闸、东淝闸、阜阳闸、颍上闸、蒙城闸、窑河闸、</w:t>
      </w:r>
      <w:r>
        <w:rPr>
          <w:rFonts w:hint="eastAsia" w:ascii="宋体" w:hAnsi="宋体" w:eastAsia="宋体" w:cs="@仿宋_GB2312"/>
          <w:color w:val="auto"/>
          <w:kern w:val="2"/>
          <w:sz w:val="24"/>
          <w:szCs w:val="22"/>
          <w:highlight w:val="none"/>
          <w:lang w:val="en-US" w:eastAsia="zh-CN"/>
        </w:rPr>
        <w:t>安徽省淮河河道管理局</w:t>
      </w:r>
      <w:r>
        <w:rPr>
          <w:rFonts w:hint="default" w:ascii="宋体" w:hAnsi="宋体" w:eastAsia="宋体" w:cs="@仿宋_GB2312"/>
          <w:color w:val="auto"/>
          <w:kern w:val="2"/>
          <w:sz w:val="24"/>
          <w:szCs w:val="22"/>
          <w:highlight w:val="none"/>
          <w:lang w:val="en-US" w:eastAsia="zh-CN"/>
        </w:rPr>
        <w:t>等9个局直水闸管理单位以及测绘院和防汛机动抢险大队。目前，省淮河局共承担着沿淮6市(阜阳、亳州、六安、淮南、蚌埠和滁州)14个县(区)700余公里河道(其中淮河干流河道418km)、708km堤防(其中一级堤防592公里)，89座水闸(其中8座大型水闸、10座中型水闸和71小型水闸)的管理任务</w:t>
      </w:r>
      <w:r>
        <w:rPr>
          <w:rFonts w:hint="eastAsia" w:ascii="宋体" w:hAnsi="宋体" w:eastAsia="宋体" w:cs="@仿宋_GB2312"/>
          <w:color w:val="auto"/>
          <w:kern w:val="2"/>
          <w:sz w:val="24"/>
          <w:szCs w:val="22"/>
          <w:highlight w:val="none"/>
          <w:lang w:val="en-US" w:eastAsia="zh-CN"/>
        </w:rPr>
        <w:t>。</w:t>
      </w:r>
    </w:p>
    <w:p w14:paraId="41B9471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2020年8月开始，省淮河局实施安徽省淮河河道管理系统固定视频及水闸自动化项目。项目共建设了50台硬盘录像机和 417路固定视频监视点</w:t>
      </w:r>
      <w:r>
        <w:rPr>
          <w:rFonts w:hint="eastAsia" w:cs="@仿宋_GB2312"/>
          <w:color w:val="auto"/>
          <w:kern w:val="2"/>
          <w:sz w:val="24"/>
          <w:szCs w:val="22"/>
          <w:highlight w:val="none"/>
          <w:lang w:val="en-US" w:eastAsia="zh-CN"/>
        </w:rPr>
        <w:t>；</w:t>
      </w:r>
      <w:r>
        <w:rPr>
          <w:rFonts w:hint="default" w:ascii="宋体" w:hAnsi="宋体" w:eastAsia="宋体" w:cs="@仿宋_GB2312"/>
          <w:color w:val="auto"/>
          <w:kern w:val="2"/>
          <w:sz w:val="24"/>
          <w:szCs w:val="22"/>
          <w:highlight w:val="none"/>
          <w:lang w:val="en-US" w:eastAsia="zh-CN"/>
        </w:rPr>
        <w:t>完成了局直68座水闸(其中12座大中型水闸、56座小型涵闸)自动化改造，</w:t>
      </w:r>
      <w:r>
        <w:rPr>
          <w:rFonts w:hint="eastAsia" w:ascii="宋体" w:hAnsi="宋体" w:eastAsia="宋体" w:cs="@仿宋_GB2312"/>
          <w:color w:val="auto"/>
          <w:kern w:val="2"/>
          <w:sz w:val="24"/>
          <w:szCs w:val="22"/>
          <w:highlight w:val="none"/>
          <w:lang w:val="en-US" w:eastAsia="zh-CN"/>
        </w:rPr>
        <w:t>安徽省淮河河道管理局</w:t>
      </w:r>
      <w:r>
        <w:rPr>
          <w:rFonts w:hint="default" w:ascii="宋体" w:hAnsi="宋体" w:eastAsia="宋体" w:cs="@仿宋_GB2312"/>
          <w:color w:val="auto"/>
          <w:kern w:val="2"/>
          <w:sz w:val="24"/>
          <w:szCs w:val="22"/>
          <w:highlight w:val="none"/>
          <w:lang w:val="en-US" w:eastAsia="zh-CN"/>
        </w:rPr>
        <w:t>、颍上闸等8座已建自动化水闸接入;完成了现场设备层的 76座水闸现地控制系统、采集控制层的30个计算机监控系统和展示与管理层的8个工情监测系统建设:项目于 2021年9月完工，实现了水闸水情、工情及安全监测等信息的自动采集，实现了大型水闸桥头堡控制、小型涵闸集约化管理，极大提升了水早灾害防御能力。</w:t>
      </w:r>
    </w:p>
    <w:p w14:paraId="0910E72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仿宋_GB2312"/>
          <w:color w:val="auto"/>
          <w:kern w:val="2"/>
          <w:sz w:val="24"/>
          <w:szCs w:val="22"/>
          <w:highlight w:val="none"/>
          <w:lang w:val="en-US" w:eastAsia="zh-CN"/>
        </w:rPr>
      </w:pPr>
      <w:r>
        <w:rPr>
          <w:rFonts w:hint="default" w:cs="@仿宋_GB2312"/>
          <w:color w:val="auto"/>
          <w:kern w:val="2"/>
          <w:sz w:val="24"/>
          <w:szCs w:val="22"/>
          <w:highlight w:val="none"/>
          <w:lang w:val="en-US" w:eastAsia="zh-CN"/>
        </w:rPr>
        <w:t>根据局2026年度预算工作安排，在完成“省淮河局、省临淮岗局水闸自动化运行维护等（第1包）”维护任务基础上，结合汛期</w:t>
      </w:r>
      <w:r>
        <w:rPr>
          <w:rFonts w:hint="eastAsia" w:cs="@仿宋_GB2312"/>
          <w:color w:val="auto"/>
          <w:kern w:val="2"/>
          <w:sz w:val="24"/>
          <w:szCs w:val="22"/>
          <w:highlight w:val="none"/>
          <w:lang w:val="en-US" w:eastAsia="zh-CN"/>
        </w:rPr>
        <w:t>水闸</w:t>
      </w:r>
      <w:r>
        <w:rPr>
          <w:rFonts w:hint="default" w:cs="@仿宋_GB2312"/>
          <w:color w:val="auto"/>
          <w:kern w:val="2"/>
          <w:sz w:val="24"/>
          <w:szCs w:val="22"/>
          <w:highlight w:val="none"/>
          <w:lang w:val="en-US" w:eastAsia="zh-CN"/>
        </w:rPr>
        <w:t>自动化设施故障处置及局直单位监测设施维修需求，计划实施省淮河局、省临淮岗局水闸自动化运行维护等（第4包）项目</w:t>
      </w:r>
    </w:p>
    <w:p w14:paraId="4E744E51">
      <w:pPr>
        <w:widowControl w:val="0"/>
        <w:overflowPunct/>
        <w:autoSpaceDE/>
        <w:autoSpaceDN/>
        <w:adjustRightInd/>
        <w:ind w:firstLine="480" w:firstLineChars="200"/>
        <w:textAlignment w:val="auto"/>
        <w:rPr>
          <w:rFonts w:hint="default" w:cs="@仿宋_GB2312"/>
          <w:color w:val="auto"/>
          <w:kern w:val="2"/>
          <w:sz w:val="24"/>
          <w:szCs w:val="22"/>
          <w:highlight w:val="none"/>
          <w:lang w:val="en-US" w:eastAsia="zh-CN"/>
        </w:rPr>
      </w:pPr>
    </w:p>
    <w:p w14:paraId="64EF2487">
      <w:pPr>
        <w:pStyle w:val="4"/>
        <w:pageBreakBefore w:val="0"/>
        <w:widowControl w:val="0"/>
        <w:kinsoku/>
        <w:wordWrap/>
        <w:overflowPunct/>
        <w:topLinePunct w:val="0"/>
        <w:autoSpaceDE/>
        <w:autoSpaceDN/>
        <w:bidi w:val="0"/>
        <w:adjustRightInd/>
        <w:snapToGrid/>
        <w:ind w:firstLine="562" w:firstLineChars="200"/>
        <w:textAlignment w:val="auto"/>
        <w:rPr>
          <w:rFonts w:hint="eastAsia" w:cs="宋体"/>
          <w:color w:val="auto"/>
          <w:sz w:val="28"/>
          <w:szCs w:val="28"/>
          <w:highlight w:val="none"/>
          <w:lang w:val="en-US" w:eastAsia="zh-CN"/>
        </w:rPr>
      </w:pPr>
      <w:r>
        <w:rPr>
          <w:rFonts w:hint="eastAsia" w:cs="宋体"/>
          <w:color w:val="auto"/>
          <w:sz w:val="28"/>
          <w:szCs w:val="28"/>
          <w:highlight w:val="none"/>
          <w:lang w:val="en-US" w:eastAsia="zh-CN"/>
        </w:rPr>
        <w:t>2.项目技术标准</w:t>
      </w:r>
    </w:p>
    <w:p w14:paraId="5E1E11D0">
      <w:pPr>
        <w:bidi w:val="0"/>
        <w:spacing w:line="360" w:lineRule="auto"/>
        <w:ind w:firstLine="480" w:firstLineChars="200"/>
        <w:rPr>
          <w:rFonts w:hint="eastAsia" w:ascii="宋体" w:hAnsi="宋体" w:eastAsia="宋体" w:cs="@仿宋_GB2312"/>
          <w:b/>
          <w:bCs/>
          <w:color w:val="auto"/>
          <w:kern w:val="2"/>
          <w:sz w:val="24"/>
          <w:szCs w:val="22"/>
          <w:highlight w:val="none"/>
          <w:lang w:val="en-US" w:eastAsia="zh-CN"/>
        </w:rPr>
      </w:pPr>
      <w:r>
        <w:rPr>
          <w:rFonts w:hint="eastAsia" w:cs="宋体"/>
          <w:color w:val="auto"/>
          <w:sz w:val="24"/>
          <w:szCs w:val="24"/>
          <w:highlight w:val="none"/>
          <w:lang w:val="en-US" w:eastAsia="zh-CN"/>
        </w:rPr>
        <w:t>本项目</w:t>
      </w:r>
      <w:r>
        <w:rPr>
          <w:rFonts w:hint="eastAsia" w:ascii="宋体" w:hAnsi="宋体" w:eastAsia="宋体" w:cs="宋体"/>
          <w:color w:val="auto"/>
          <w:sz w:val="24"/>
          <w:szCs w:val="24"/>
          <w:highlight w:val="none"/>
          <w:lang w:val="en-US" w:eastAsia="zh-CN"/>
        </w:rPr>
        <w:t>施工</w:t>
      </w:r>
      <w:r>
        <w:rPr>
          <w:rFonts w:hint="eastAsia"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标准需满足</w:t>
      </w:r>
      <w:r>
        <w:rPr>
          <w:rFonts w:hint="eastAsia" w:cs="宋体"/>
          <w:color w:val="auto"/>
          <w:sz w:val="24"/>
          <w:szCs w:val="24"/>
          <w:highlight w:val="none"/>
          <w:lang w:val="en-US" w:eastAsia="zh-CN"/>
        </w:rPr>
        <w:t>国家现行的</w:t>
      </w:r>
      <w:r>
        <w:rPr>
          <w:rFonts w:hint="eastAsia" w:ascii="宋体" w:hAnsi="宋体" w:eastAsia="宋体" w:cs="宋体"/>
          <w:color w:val="auto"/>
          <w:sz w:val="24"/>
          <w:szCs w:val="24"/>
          <w:highlight w:val="none"/>
          <w:lang w:val="en-US" w:eastAsia="zh-CN"/>
        </w:rPr>
        <w:t>标准及规范</w:t>
      </w:r>
      <w:r>
        <w:rPr>
          <w:rFonts w:hint="eastAsia" w:cs="宋体"/>
          <w:color w:val="auto"/>
          <w:sz w:val="24"/>
          <w:szCs w:val="24"/>
          <w:highlight w:val="none"/>
          <w:lang w:val="en-US" w:eastAsia="zh-CN"/>
        </w:rPr>
        <w:t>。</w:t>
      </w:r>
    </w:p>
    <w:p w14:paraId="02588408">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default" w:ascii="宋体" w:hAnsi="宋体" w:eastAsia="宋体" w:cs="@仿宋_GB2312"/>
          <w:b/>
          <w:bCs/>
          <w:color w:val="auto"/>
          <w:kern w:val="2"/>
          <w:sz w:val="24"/>
          <w:szCs w:val="22"/>
          <w:highlight w:val="none"/>
          <w:lang w:val="en-US" w:eastAsia="en-US"/>
        </w:rPr>
      </w:pPr>
      <w:r>
        <w:rPr>
          <w:rFonts w:hint="eastAsia" w:ascii="宋体" w:hAnsi="宋体" w:eastAsia="宋体" w:cs="@仿宋_GB2312"/>
          <w:b/>
          <w:bCs/>
          <w:color w:val="auto"/>
          <w:kern w:val="2"/>
          <w:sz w:val="24"/>
          <w:szCs w:val="22"/>
          <w:highlight w:val="none"/>
          <w:lang w:val="en-US" w:eastAsia="zh-CN"/>
        </w:rPr>
        <w:t>2.1</w:t>
      </w:r>
      <w:r>
        <w:rPr>
          <w:rFonts w:hint="eastAsia" w:ascii="宋体" w:hAnsi="宋体" w:eastAsia="宋体" w:cs="@仿宋_GB2312"/>
          <w:b/>
          <w:bCs/>
          <w:color w:val="auto"/>
          <w:kern w:val="2"/>
          <w:sz w:val="24"/>
          <w:szCs w:val="22"/>
          <w:highlight w:val="none"/>
          <w:lang w:val="en-US" w:eastAsia="en-US"/>
        </w:rPr>
        <w:t>配电箱及机柜技术标准与要求</w:t>
      </w:r>
    </w:p>
    <w:p w14:paraId="24BD0FF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1</w:t>
      </w:r>
      <w:r>
        <w:rPr>
          <w:rFonts w:hint="default" w:ascii="宋体" w:hAnsi="宋体" w:eastAsia="宋体" w:cs="@仿宋_GB2312"/>
          <w:color w:val="auto"/>
          <w:kern w:val="2"/>
          <w:sz w:val="24"/>
          <w:szCs w:val="22"/>
          <w:highlight w:val="none"/>
          <w:lang w:val="en-US" w:eastAsia="en-US"/>
        </w:rPr>
        <w:t>.1配电箱柜内元器件要求</w:t>
      </w:r>
    </w:p>
    <w:p w14:paraId="4C7A759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（1）</w:t>
      </w:r>
      <w:r>
        <w:rPr>
          <w:rFonts w:hint="default" w:ascii="宋体" w:hAnsi="宋体" w:eastAsia="宋体" w:cs="@仿宋_GB2312"/>
          <w:color w:val="auto"/>
          <w:kern w:val="2"/>
          <w:sz w:val="24"/>
          <w:szCs w:val="22"/>
          <w:highlight w:val="none"/>
          <w:lang w:val="en-US" w:eastAsia="en-US"/>
        </w:rPr>
        <w:t>柜内所有元器件性能可靠，安全稳定，且能满足系统长期运行需求。</w:t>
      </w:r>
    </w:p>
    <w:p w14:paraId="130D14C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（2）</w:t>
      </w:r>
      <w:r>
        <w:rPr>
          <w:rFonts w:hint="default" w:ascii="宋体" w:hAnsi="宋体" w:eastAsia="宋体" w:cs="@仿宋_GB2312"/>
          <w:color w:val="auto"/>
          <w:kern w:val="2"/>
          <w:sz w:val="24"/>
          <w:szCs w:val="22"/>
          <w:highlight w:val="none"/>
          <w:lang w:val="en-US" w:eastAsia="en-US"/>
        </w:rPr>
        <w:t>所有选用的元器件均符合国家相应的标准和规范要求。</w:t>
      </w:r>
    </w:p>
    <w:p w14:paraId="0B715F4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en-US"/>
        </w:rPr>
        <w:t>按钮电气接点额定值</w:t>
      </w:r>
    </w:p>
    <w:p w14:paraId="19542BD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最高设计电压：交流500V 或直流250V</w:t>
      </w:r>
    </w:p>
    <w:p w14:paraId="74C8BDE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最大持续电流：10A(交流或直流)</w:t>
      </w:r>
    </w:p>
    <w:p w14:paraId="579615E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最大感性开断电流：交流220V/3A 或直流220V/1.1A</w:t>
      </w:r>
    </w:p>
    <w:p w14:paraId="7855F7C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最大感性关合电流：交流220V/30A 或直流220V/15A</w:t>
      </w:r>
    </w:p>
    <w:p w14:paraId="0053322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（4）</w:t>
      </w:r>
      <w:r>
        <w:rPr>
          <w:rFonts w:hint="default" w:ascii="宋体" w:hAnsi="宋体" w:eastAsia="宋体" w:cs="@仿宋_GB2312"/>
          <w:color w:val="auto"/>
          <w:kern w:val="2"/>
          <w:sz w:val="24"/>
          <w:szCs w:val="22"/>
          <w:highlight w:val="none"/>
          <w:lang w:val="en-US" w:eastAsia="en-US"/>
        </w:rPr>
        <w:t>断路器、接触器由阻燃材料制成，电气寿命达到200万次，机械寿命最高可</w:t>
      </w:r>
    </w:p>
    <w:p w14:paraId="15C68B3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 xml:space="preserve">达到2000万次，绝缘电压可达1000V。 </w:t>
      </w:r>
    </w:p>
    <w:p w14:paraId="3CED9D90">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default" w:ascii="宋体" w:hAnsi="宋体" w:eastAsia="宋体" w:cs="@仿宋_GB2312"/>
          <w:b/>
          <w:bCs/>
          <w:color w:val="auto"/>
          <w:kern w:val="2"/>
          <w:sz w:val="24"/>
          <w:szCs w:val="22"/>
          <w:highlight w:val="none"/>
          <w:lang w:val="en-US" w:eastAsia="en-US"/>
        </w:rPr>
      </w:pPr>
      <w:r>
        <w:rPr>
          <w:rFonts w:hint="eastAsia" w:ascii="宋体" w:hAnsi="宋体" w:eastAsia="宋体" w:cs="@仿宋_GB2312"/>
          <w:b/>
          <w:bCs/>
          <w:color w:val="auto"/>
          <w:kern w:val="2"/>
          <w:sz w:val="24"/>
          <w:szCs w:val="22"/>
          <w:highlight w:val="none"/>
          <w:lang w:val="en-US" w:eastAsia="zh-CN"/>
        </w:rPr>
        <w:t>2.2</w:t>
      </w:r>
      <w:r>
        <w:rPr>
          <w:rFonts w:hint="default" w:ascii="宋体" w:hAnsi="宋体" w:eastAsia="宋体" w:cs="@仿宋_GB2312"/>
          <w:b/>
          <w:bCs/>
          <w:color w:val="auto"/>
          <w:kern w:val="2"/>
          <w:sz w:val="24"/>
          <w:szCs w:val="22"/>
          <w:highlight w:val="none"/>
          <w:lang w:val="en-US" w:eastAsia="en-US"/>
        </w:rPr>
        <w:t>一般电气特性</w:t>
      </w:r>
    </w:p>
    <w:p w14:paraId="5E7D0ED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.1</w:t>
      </w:r>
      <w:r>
        <w:rPr>
          <w:rFonts w:hint="default" w:ascii="宋体" w:hAnsi="宋体" w:eastAsia="宋体" w:cs="@仿宋_GB2312"/>
          <w:color w:val="auto"/>
          <w:kern w:val="2"/>
          <w:sz w:val="24"/>
          <w:szCs w:val="22"/>
          <w:highlight w:val="none"/>
          <w:lang w:val="en-US" w:eastAsia="en-US"/>
        </w:rPr>
        <w:t>绝缘电阻</w:t>
      </w:r>
    </w:p>
    <w:p w14:paraId="7D01B7E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交流回路外部端子对地绝缘电阻为10MΩ(2)不接地直流回路对地绝缘电阻为 1M</w:t>
      </w:r>
      <w:r>
        <w:rPr>
          <w:rFonts w:hint="eastAsia" w:ascii="宋体" w:hAnsi="宋体" w:eastAsia="宋体" w:cs="@仿宋_GB2312"/>
          <w:color w:val="auto"/>
          <w:kern w:val="2"/>
          <w:sz w:val="24"/>
          <w:szCs w:val="22"/>
          <w:highlight w:val="none"/>
          <w:lang w:val="en-US" w:eastAsia="zh-CN"/>
        </w:rPr>
        <w:t>Ω</w:t>
      </w:r>
      <w:r>
        <w:rPr>
          <w:rFonts w:hint="default" w:ascii="宋体" w:hAnsi="宋体" w:eastAsia="宋体" w:cs="@仿宋_GB2312"/>
          <w:color w:val="auto"/>
          <w:kern w:val="2"/>
          <w:sz w:val="24"/>
          <w:szCs w:val="22"/>
          <w:highlight w:val="none"/>
          <w:lang w:val="en-US" w:eastAsia="en-US"/>
        </w:rPr>
        <w:t>。</w:t>
      </w:r>
    </w:p>
    <w:p w14:paraId="38A3D59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.2</w:t>
      </w:r>
      <w:r>
        <w:rPr>
          <w:rFonts w:hint="default" w:ascii="宋体" w:hAnsi="宋体" w:eastAsia="宋体" w:cs="@仿宋_GB2312"/>
          <w:color w:val="auto"/>
          <w:kern w:val="2"/>
          <w:sz w:val="24"/>
          <w:szCs w:val="22"/>
          <w:highlight w:val="none"/>
          <w:lang w:val="en-US" w:eastAsia="en-US"/>
        </w:rPr>
        <w:t>绝缘强度</w:t>
      </w:r>
    </w:p>
    <w:p w14:paraId="14FB82C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en-US"/>
        </w:rPr>
        <w:t>500V 以下、60V 及以上端子与外壳间能承受交流2000V 电压1min</w:t>
      </w:r>
      <w:r>
        <w:rPr>
          <w:rFonts w:hint="eastAsia" w:ascii="宋体" w:hAnsi="宋体" w:eastAsia="宋体" w:cs="@仿宋_GB2312"/>
          <w:color w:val="auto"/>
          <w:kern w:val="2"/>
          <w:sz w:val="24"/>
          <w:szCs w:val="22"/>
          <w:highlight w:val="none"/>
          <w:lang w:val="en-US" w:eastAsia="zh-CN"/>
        </w:rPr>
        <w:t>；</w:t>
      </w:r>
    </w:p>
    <w:p w14:paraId="351E5CC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en-US"/>
        </w:rPr>
        <w:t>60V 以下端子与外壳间能承受交流500V 电压1min</w:t>
      </w:r>
      <w:r>
        <w:rPr>
          <w:rFonts w:hint="eastAsia" w:ascii="宋体" w:hAnsi="宋体" w:eastAsia="宋体" w:cs="@仿宋_GB2312"/>
          <w:color w:val="auto"/>
          <w:kern w:val="2"/>
          <w:sz w:val="24"/>
          <w:szCs w:val="22"/>
          <w:highlight w:val="none"/>
          <w:lang w:val="en-US" w:eastAsia="zh-CN"/>
        </w:rPr>
        <w:t>；</w:t>
      </w:r>
    </w:p>
    <w:p w14:paraId="639DA3E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en-US"/>
        </w:rPr>
        <w:t>机柜内框架与外壳能承受交流1500V 电压1min</w:t>
      </w:r>
      <w:r>
        <w:rPr>
          <w:rFonts w:hint="eastAsia" w:ascii="宋体" w:hAnsi="宋体" w:eastAsia="宋体" w:cs="@仿宋_GB2312"/>
          <w:color w:val="auto"/>
          <w:kern w:val="2"/>
          <w:sz w:val="24"/>
          <w:szCs w:val="22"/>
          <w:highlight w:val="none"/>
          <w:lang w:val="en-US" w:eastAsia="zh-CN"/>
        </w:rPr>
        <w:t>；</w:t>
      </w:r>
    </w:p>
    <w:p w14:paraId="5A5EC9A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en-US"/>
        </w:rPr>
        <w:t>浪涌抑制能力</w:t>
      </w:r>
    </w:p>
    <w:p w14:paraId="05668B3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本系统所有电源设备、数据和控制接口设备、通信接口设备的浪涌抑制能力(SWC)。</w:t>
      </w:r>
    </w:p>
    <w:p w14:paraId="3A87B6E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.4</w:t>
      </w:r>
      <w:r>
        <w:rPr>
          <w:rFonts w:hint="default" w:ascii="宋体" w:hAnsi="宋体" w:eastAsia="宋体" w:cs="@仿宋_GB2312"/>
          <w:color w:val="auto"/>
          <w:kern w:val="2"/>
          <w:sz w:val="24"/>
          <w:szCs w:val="22"/>
          <w:highlight w:val="none"/>
          <w:lang w:val="en-US" w:eastAsia="en-US"/>
        </w:rPr>
        <w:t>抗干扰措施</w:t>
      </w:r>
    </w:p>
    <w:p w14:paraId="09EA9C9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系统设计及实施时考虑现地环境中可能存在电磁的、静电的和感应的暂态电压，以 及涵闸可能遭雷击等情况，采取相应的抗干扰措施。</w:t>
      </w:r>
    </w:p>
    <w:p w14:paraId="541843F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.5</w:t>
      </w:r>
      <w:r>
        <w:rPr>
          <w:rFonts w:hint="default" w:ascii="宋体" w:hAnsi="宋体" w:eastAsia="宋体" w:cs="@仿宋_GB2312"/>
          <w:color w:val="auto"/>
          <w:kern w:val="2"/>
          <w:sz w:val="24"/>
          <w:szCs w:val="22"/>
          <w:highlight w:val="none"/>
          <w:lang w:val="en-US" w:eastAsia="en-US"/>
        </w:rPr>
        <w:t>接地与防雷，本系统采用接地网接地，对涵闸接地系统接地电阻，如不满足 需按要求制作接地装置，施工结束后，接地电阻值必须符合设计要求。</w:t>
      </w:r>
    </w:p>
    <w:p w14:paraId="1555D85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.6</w:t>
      </w:r>
      <w:r>
        <w:rPr>
          <w:rFonts w:hint="default" w:ascii="宋体" w:hAnsi="宋体" w:eastAsia="宋体" w:cs="@仿宋_GB2312"/>
          <w:color w:val="auto"/>
          <w:kern w:val="2"/>
          <w:sz w:val="24"/>
          <w:szCs w:val="22"/>
          <w:highlight w:val="none"/>
          <w:lang w:val="en-US" w:eastAsia="en-US"/>
        </w:rPr>
        <w:t>所有引入柜内的电源回路应配置防雷保护器，采取有效的屏蔽及防雷措施， 防止电磁干扰和雷电干扰；室外安装的摄像机应采取防雷措施。</w:t>
      </w:r>
    </w:p>
    <w:p w14:paraId="4C5BBF4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.7</w:t>
      </w:r>
      <w:r>
        <w:rPr>
          <w:rFonts w:hint="default" w:ascii="宋体" w:hAnsi="宋体" w:eastAsia="宋体" w:cs="@仿宋_GB2312"/>
          <w:color w:val="auto"/>
          <w:kern w:val="2"/>
          <w:sz w:val="24"/>
          <w:szCs w:val="22"/>
          <w:highlight w:val="none"/>
          <w:lang w:val="en-US" w:eastAsia="en-US"/>
        </w:rPr>
        <w:t>机柜挂墙安装，与墙面采用膨胀螺栓连接。柜体应可靠接地。机柜设备位置 安装正确。</w:t>
      </w:r>
    </w:p>
    <w:p w14:paraId="66798A2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.8</w:t>
      </w:r>
      <w:r>
        <w:rPr>
          <w:rFonts w:hint="default" w:ascii="宋体" w:hAnsi="宋体" w:eastAsia="宋体" w:cs="@仿宋_GB2312"/>
          <w:color w:val="auto"/>
          <w:kern w:val="2"/>
          <w:sz w:val="24"/>
          <w:szCs w:val="22"/>
          <w:highlight w:val="none"/>
          <w:lang w:val="en-US" w:eastAsia="en-US"/>
        </w:rPr>
        <w:t>机柜的安装应端正牢固，机架安装垂直度偏差应不大于3mm。</w:t>
      </w:r>
    </w:p>
    <w:p w14:paraId="1B0B624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.9</w:t>
      </w:r>
      <w:r>
        <w:rPr>
          <w:rFonts w:hint="default" w:ascii="宋体" w:hAnsi="宋体" w:eastAsia="宋体" w:cs="@仿宋_GB2312"/>
          <w:color w:val="auto"/>
          <w:kern w:val="2"/>
          <w:sz w:val="24"/>
          <w:szCs w:val="22"/>
          <w:highlight w:val="none"/>
          <w:lang w:val="en-US" w:eastAsia="en-US"/>
        </w:rPr>
        <w:t>端子同一侧压接不超过两根导线。导线为多股软线，接线前采用鼻冷压后接 入端子。</w:t>
      </w:r>
    </w:p>
    <w:p w14:paraId="579746C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.10</w:t>
      </w:r>
      <w:r>
        <w:rPr>
          <w:rFonts w:hint="default" w:ascii="宋体" w:hAnsi="宋体" w:eastAsia="宋体" w:cs="@仿宋_GB2312"/>
          <w:color w:val="auto"/>
          <w:kern w:val="2"/>
          <w:sz w:val="24"/>
          <w:szCs w:val="22"/>
          <w:highlight w:val="none"/>
          <w:lang w:val="en-US" w:eastAsia="en-US"/>
        </w:rPr>
        <w:t>告警显示单元安装位置端正合理，告警标示清楚。</w:t>
      </w:r>
    </w:p>
    <w:p w14:paraId="4E2D624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.11</w:t>
      </w:r>
      <w:r>
        <w:rPr>
          <w:rFonts w:hint="default" w:ascii="宋体" w:hAnsi="宋体" w:eastAsia="宋体" w:cs="@仿宋_GB2312"/>
          <w:color w:val="auto"/>
          <w:kern w:val="2"/>
          <w:sz w:val="24"/>
          <w:szCs w:val="22"/>
          <w:highlight w:val="none"/>
          <w:lang w:val="en-US" w:eastAsia="en-US"/>
        </w:rPr>
        <w:t>所有紧固件必须拧紧，同类螺丝露出螺帽的长度应一致。设备的紧固应符合 工程设计要求。</w:t>
      </w:r>
    </w:p>
    <w:p w14:paraId="41FEE4E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.12</w:t>
      </w:r>
      <w:r>
        <w:rPr>
          <w:rFonts w:hint="default" w:ascii="宋体" w:hAnsi="宋体" w:eastAsia="宋体" w:cs="@仿宋_GB2312"/>
          <w:color w:val="auto"/>
          <w:kern w:val="2"/>
          <w:sz w:val="24"/>
          <w:szCs w:val="22"/>
          <w:highlight w:val="none"/>
          <w:lang w:val="en-US" w:eastAsia="en-US"/>
        </w:rPr>
        <w:t>机柜上的各种零件不得脱落或碰坏，漆面如有脱落应予补漆。各种文字和符 号标志应正确、清晰、齐全。</w:t>
      </w:r>
    </w:p>
    <w:p w14:paraId="5B542648">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eastAsia"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zh-CN"/>
        </w:rPr>
        <w:t>2.3线缆敷设技术标准与要求</w:t>
      </w:r>
    </w:p>
    <w:p w14:paraId="1D5345D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en-US"/>
        </w:rPr>
        <w:t>.1标准及要求</w:t>
      </w:r>
    </w:p>
    <w:p w14:paraId="2DDCC39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（1）</w:t>
      </w:r>
      <w:r>
        <w:rPr>
          <w:rFonts w:hint="default" w:ascii="宋体" w:hAnsi="宋体" w:eastAsia="宋体" w:cs="@仿宋_GB2312"/>
          <w:color w:val="auto"/>
          <w:kern w:val="2"/>
          <w:sz w:val="24"/>
          <w:szCs w:val="22"/>
          <w:highlight w:val="none"/>
          <w:lang w:val="en-US" w:eastAsia="en-US"/>
        </w:rPr>
        <w:t>一般情况下堤身前后30m 为发包人管理范围。在发包人管理范围外的施工协 调工作由承包人负责。线缆沟根据现场情况尽量敷设在发包人所属单位管理范围内。</w:t>
      </w:r>
    </w:p>
    <w:p w14:paraId="1BC459C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（2）</w:t>
      </w:r>
      <w:r>
        <w:rPr>
          <w:rFonts w:hint="default" w:ascii="宋体" w:hAnsi="宋体" w:eastAsia="宋体" w:cs="@仿宋_GB2312"/>
          <w:color w:val="auto"/>
          <w:kern w:val="2"/>
          <w:sz w:val="24"/>
          <w:szCs w:val="22"/>
          <w:highlight w:val="none"/>
          <w:lang w:val="en-US" w:eastAsia="en-US"/>
        </w:rPr>
        <w:t>穿越堤防敷设时应垂直于堤顶道路，沿堤脚敷设时应平行于堤脚，规划路径 时应留有足够的转弯半径。</w:t>
      </w:r>
    </w:p>
    <w:p w14:paraId="10F2F6D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en-US"/>
        </w:rPr>
        <w:t>沿堤脚的线缆敷设深度不小于0.8m, 与堤脚距离不小于0.5米。施工过程中遇 到必须在发包人管理范围外施工的，线缆敷设深度不小于1m。</w:t>
      </w:r>
    </w:p>
    <w:p w14:paraId="6C69C00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（4）</w:t>
      </w:r>
      <w:r>
        <w:rPr>
          <w:rFonts w:hint="default" w:ascii="宋体" w:hAnsi="宋体" w:eastAsia="宋体" w:cs="@仿宋_GB2312"/>
          <w:color w:val="auto"/>
          <w:kern w:val="2"/>
          <w:sz w:val="24"/>
          <w:szCs w:val="22"/>
          <w:highlight w:val="none"/>
          <w:lang w:val="en-US" w:eastAsia="en-US"/>
        </w:rPr>
        <w:t>不同深度线缆沟对接时应做缓坡。</w:t>
      </w:r>
    </w:p>
    <w:p w14:paraId="6871230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（5）</w:t>
      </w:r>
      <w:r>
        <w:rPr>
          <w:rFonts w:hint="default" w:ascii="宋体" w:hAnsi="宋体" w:eastAsia="宋体" w:cs="@仿宋_GB2312"/>
          <w:color w:val="auto"/>
          <w:kern w:val="2"/>
          <w:sz w:val="24"/>
          <w:szCs w:val="22"/>
          <w:highlight w:val="none"/>
          <w:lang w:val="en-US" w:eastAsia="en-US"/>
        </w:rPr>
        <w:t>线缆穿管后用原土回填，以完全覆盖电力专用保护管为标准，回填深度满足 规范要求，不小于0.8m。</w:t>
      </w:r>
    </w:p>
    <w:p w14:paraId="5227377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en-US"/>
        </w:rPr>
        <w:t>.2敷设及穿管要求</w:t>
      </w:r>
    </w:p>
    <w:p w14:paraId="56079A1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（1）</w:t>
      </w:r>
      <w:r>
        <w:rPr>
          <w:rFonts w:hint="default" w:ascii="宋体" w:hAnsi="宋体" w:eastAsia="宋体" w:cs="@仿宋_GB2312"/>
          <w:color w:val="auto"/>
          <w:kern w:val="2"/>
          <w:sz w:val="24"/>
          <w:szCs w:val="22"/>
          <w:highlight w:val="none"/>
          <w:lang w:val="en-US" w:eastAsia="en-US"/>
        </w:rPr>
        <w:t>线缆放线时要缓慢平稳并破除线缆的缠绕应力，防止应扭曲应力损坏线缆。 管口应做平滑处理，无毛刺和尖锐棱角，防止割伤线缆，回填前管口密封。</w:t>
      </w:r>
    </w:p>
    <w:p w14:paraId="4706250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（2）</w:t>
      </w:r>
      <w:r>
        <w:rPr>
          <w:rFonts w:hint="default" w:ascii="宋体" w:hAnsi="宋体" w:eastAsia="宋体" w:cs="@仿宋_GB2312"/>
          <w:color w:val="auto"/>
          <w:kern w:val="2"/>
          <w:sz w:val="24"/>
          <w:szCs w:val="22"/>
          <w:highlight w:val="none"/>
          <w:lang w:val="en-US" w:eastAsia="en-US"/>
        </w:rPr>
        <w:t>线缆敷设穿越路面等情况时，混泥土路面开槽，电缆敷设采用DN25 镀锌钢 管进行防护。堤坝顶管敷设，采用电力专用保护管(内径50mm, 壁厚2mm) 防护，回填前 做好管口封堵，敷设深度不小于0.5m。 线缆从地下到供电杆、电表箱等可见处，用镀 锌钢管防护；线缆进入到涵闸时，要考虑到总体规划，达到整齐美观。采用新建镀锌管 防护或者桥架防护等形式。</w:t>
      </w:r>
    </w:p>
    <w:p w14:paraId="22C2B6D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en-US"/>
        </w:rPr>
        <w:t>线缆进入涵闸时，应从现地控制箱底部穿入，洞口用防火泥封堵；如现场条件不支持直接从底部穿入，需要从涵闸内部布置桥架或墙面、地面开槽，并进行外观恢复。</w:t>
      </w:r>
    </w:p>
    <w:p w14:paraId="71F5767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（5）</w:t>
      </w:r>
      <w:r>
        <w:rPr>
          <w:rFonts w:hint="default" w:ascii="宋体" w:hAnsi="宋体" w:eastAsia="宋体" w:cs="@仿宋_GB2312"/>
          <w:color w:val="auto"/>
          <w:kern w:val="2"/>
          <w:sz w:val="24"/>
          <w:szCs w:val="22"/>
          <w:highlight w:val="none"/>
          <w:lang w:val="en-US" w:eastAsia="en-US"/>
        </w:rPr>
        <w:t>线缆中单股电缆直径在4平方及以上的，需要使用接线端子。</w:t>
      </w:r>
    </w:p>
    <w:p w14:paraId="67A3F43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（6）</w:t>
      </w:r>
      <w:r>
        <w:rPr>
          <w:rFonts w:hint="default" w:ascii="宋体" w:hAnsi="宋体" w:eastAsia="宋体" w:cs="@仿宋_GB2312"/>
          <w:color w:val="auto"/>
          <w:kern w:val="2"/>
          <w:sz w:val="24"/>
          <w:szCs w:val="22"/>
          <w:highlight w:val="none"/>
          <w:lang w:val="en-US" w:eastAsia="en-US"/>
        </w:rPr>
        <w:t>回填</w:t>
      </w:r>
    </w:p>
    <w:p w14:paraId="39ECA21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①</w:t>
      </w:r>
      <w:r>
        <w:rPr>
          <w:rFonts w:hint="default" w:ascii="宋体" w:hAnsi="宋体" w:eastAsia="宋体" w:cs="@仿宋_GB2312"/>
          <w:color w:val="auto"/>
          <w:kern w:val="2"/>
          <w:sz w:val="24"/>
          <w:szCs w:val="22"/>
          <w:highlight w:val="none"/>
          <w:lang w:val="en-US" w:eastAsia="en-US"/>
        </w:rPr>
        <w:t>回填前应检查确保线缆最大弯曲半径不小于线缆外径的20倍。</w:t>
      </w:r>
    </w:p>
    <w:p w14:paraId="293F8DD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②</w:t>
      </w:r>
      <w:r>
        <w:rPr>
          <w:rFonts w:hint="default" w:ascii="宋体" w:hAnsi="宋体" w:eastAsia="宋体" w:cs="@仿宋_GB2312"/>
          <w:color w:val="auto"/>
          <w:kern w:val="2"/>
          <w:sz w:val="24"/>
          <w:szCs w:val="22"/>
          <w:highlight w:val="none"/>
          <w:lang w:val="en-US" w:eastAsia="en-US"/>
        </w:rPr>
        <w:t>回填前电缆应进行绝缘电阻检测或耐压试验1000V 兆欧表测其相间及相对地的绝缘电阻应不低于10M</w:t>
      </w:r>
      <w:r>
        <w:rPr>
          <w:rFonts w:hint="eastAsia" w:ascii="宋体" w:hAnsi="宋体" w:eastAsia="宋体" w:cs="@仿宋_GB2312"/>
          <w:color w:val="auto"/>
          <w:kern w:val="2"/>
          <w:sz w:val="24"/>
          <w:szCs w:val="22"/>
          <w:highlight w:val="none"/>
          <w:lang w:val="en-US" w:eastAsia="zh-CN"/>
        </w:rPr>
        <w:t>Ω</w:t>
      </w:r>
      <w:r>
        <w:rPr>
          <w:rFonts w:hint="default" w:ascii="宋体" w:hAnsi="宋体" w:eastAsia="宋体" w:cs="@仿宋_GB2312"/>
          <w:color w:val="auto"/>
          <w:kern w:val="2"/>
          <w:sz w:val="24"/>
          <w:szCs w:val="22"/>
          <w:highlight w:val="none"/>
          <w:lang w:val="en-US" w:eastAsia="en-US"/>
        </w:rPr>
        <w:t>。</w:t>
      </w:r>
    </w:p>
    <w:p w14:paraId="6C14E16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③</w:t>
      </w:r>
      <w:r>
        <w:rPr>
          <w:rFonts w:hint="default" w:ascii="宋体" w:hAnsi="宋体" w:eastAsia="宋体" w:cs="@仿宋_GB2312"/>
          <w:color w:val="auto"/>
          <w:kern w:val="2"/>
          <w:sz w:val="24"/>
          <w:szCs w:val="22"/>
          <w:highlight w:val="none"/>
          <w:lang w:val="en-US" w:eastAsia="en-US"/>
        </w:rPr>
        <w:t>回填前应通知现场管理单位组织进行隐蔽工程中间验收，做好记录和签证后 回 填 。</w:t>
      </w:r>
    </w:p>
    <w:p w14:paraId="1D34CF9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④</w:t>
      </w:r>
      <w:r>
        <w:rPr>
          <w:rFonts w:hint="default" w:ascii="宋体" w:hAnsi="宋体" w:eastAsia="宋体" w:cs="@仿宋_GB2312"/>
          <w:color w:val="auto"/>
          <w:kern w:val="2"/>
          <w:sz w:val="24"/>
          <w:szCs w:val="22"/>
          <w:highlight w:val="none"/>
          <w:lang w:val="en-US" w:eastAsia="en-US"/>
        </w:rPr>
        <w:t>回填料应分层夯实。</w:t>
      </w:r>
    </w:p>
    <w:p w14:paraId="08C0F4F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zh-CN"/>
        </w:rPr>
        <w:t>⑤</w:t>
      </w:r>
      <w:r>
        <w:rPr>
          <w:rFonts w:hint="default" w:ascii="宋体" w:hAnsi="宋体" w:eastAsia="宋体" w:cs="@仿宋_GB2312"/>
          <w:color w:val="auto"/>
          <w:kern w:val="2"/>
          <w:sz w:val="24"/>
          <w:szCs w:val="22"/>
          <w:highlight w:val="none"/>
          <w:lang w:val="en-US" w:eastAsia="en-US"/>
        </w:rPr>
        <w:t>回填后场地应恢复原貌。沿堤脚敷设的线缆，应回填后，恢复草皮；堤顶两 边的手井上应在手井盖上覆盖土工膜后回填，并在手井旁以标示桩为记；其他硬化路面也应恢复原状。</w:t>
      </w:r>
    </w:p>
    <w:p w14:paraId="0DB01F5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cs="@仿宋_GB2312"/>
          <w:color w:val="auto"/>
          <w:kern w:val="2"/>
          <w:sz w:val="24"/>
          <w:szCs w:val="24"/>
          <w:highlight w:val="none"/>
          <w:lang w:val="en-US" w:eastAsia="zh-CN"/>
        </w:rPr>
        <w:t>2</w:t>
      </w:r>
      <w:r>
        <w:rPr>
          <w:rFonts w:hint="eastAsia" w:ascii="宋体" w:hAnsi="宋体" w:eastAsia="宋体" w:cs="@仿宋_GB2312"/>
          <w:color w:val="auto"/>
          <w:kern w:val="2"/>
          <w:sz w:val="24"/>
          <w:szCs w:val="24"/>
          <w:highlight w:val="none"/>
          <w:lang w:val="en-US" w:eastAsia="zh-CN"/>
        </w:rPr>
        <w:t>.</w:t>
      </w:r>
      <w:r>
        <w:rPr>
          <w:rFonts w:hint="eastAsia" w:cs="@仿宋_GB2312"/>
          <w:color w:val="auto"/>
          <w:kern w:val="2"/>
          <w:sz w:val="24"/>
          <w:szCs w:val="24"/>
          <w:highlight w:val="none"/>
          <w:lang w:val="en-US" w:eastAsia="zh-CN"/>
        </w:rPr>
        <w:t>3</w:t>
      </w:r>
      <w:r>
        <w:rPr>
          <w:rFonts w:hint="eastAsia" w:ascii="宋体" w:hAnsi="宋体" w:eastAsia="宋体" w:cs="@仿宋_GB2312"/>
          <w:color w:val="auto"/>
          <w:kern w:val="2"/>
          <w:sz w:val="24"/>
          <w:szCs w:val="24"/>
          <w:highlight w:val="none"/>
          <w:lang w:val="en-US" w:eastAsia="zh-CN"/>
        </w:rPr>
        <w:t>.3线缆敷设其他要求</w:t>
      </w:r>
    </w:p>
    <w:p w14:paraId="182E5F6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4"/>
          <w:highlight w:val="none"/>
          <w:lang w:val="en-US" w:eastAsia="en-US"/>
        </w:rPr>
      </w:pPr>
      <w:r>
        <w:rPr>
          <w:rFonts w:hint="default" w:ascii="宋体" w:hAnsi="宋体" w:eastAsia="宋体" w:cs="@仿宋_GB2312"/>
          <w:color w:val="auto"/>
          <w:kern w:val="2"/>
          <w:sz w:val="24"/>
          <w:szCs w:val="24"/>
          <w:highlight w:val="none"/>
          <w:lang w:val="en-US" w:eastAsia="en-US"/>
        </w:rPr>
        <w:t>线缆敷设应充分与所属管理单位沟通，符合管理单位要求。</w:t>
      </w:r>
    </w:p>
    <w:p w14:paraId="249E2E1A">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eastAsia"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zh-CN"/>
        </w:rPr>
        <w:t>2.4</w:t>
      </w:r>
      <w:r>
        <w:rPr>
          <w:rFonts w:hint="eastAsia" w:cs="@仿宋_GB2312"/>
          <w:b/>
          <w:bCs/>
          <w:color w:val="auto"/>
          <w:kern w:val="2"/>
          <w:sz w:val="24"/>
          <w:szCs w:val="22"/>
          <w:highlight w:val="none"/>
          <w:lang w:val="en-US" w:eastAsia="zh-CN"/>
        </w:rPr>
        <w:t xml:space="preserve"> 6米</w:t>
      </w:r>
      <w:r>
        <w:rPr>
          <w:rFonts w:hint="eastAsia" w:ascii="宋体" w:hAnsi="宋体" w:eastAsia="宋体" w:cs="@仿宋_GB2312"/>
          <w:b/>
          <w:bCs/>
          <w:color w:val="auto"/>
          <w:kern w:val="2"/>
          <w:sz w:val="24"/>
          <w:szCs w:val="22"/>
          <w:highlight w:val="none"/>
          <w:lang w:val="en-US" w:eastAsia="zh-CN"/>
        </w:rPr>
        <w:t>立杆及基础接地制作要求</w:t>
      </w:r>
    </w:p>
    <w:p w14:paraId="463A250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en-US"/>
        </w:rPr>
      </w:pPr>
      <w:r>
        <w:rPr>
          <w:rFonts w:hint="eastAsia" w:ascii="宋体" w:hAnsi="宋体" w:eastAsia="宋体" w:cs="@仿宋_GB2312"/>
          <w:color w:val="auto"/>
          <w:kern w:val="2"/>
          <w:sz w:val="24"/>
          <w:szCs w:val="24"/>
          <w:highlight w:val="none"/>
          <w:lang w:val="en-US" w:eastAsia="en-US"/>
        </w:rPr>
        <w:t>立杆及防雷接地具体包括立杆(含引雷针),立杆基础(含接地极)、信号避雷器、电源避雷器等。由于摄像机需要有良好的稳定性与安全性，故立杆应根据《安全防范工程技术标准》(GB 50348-2018)等进行设计和实施。</w:t>
      </w:r>
    </w:p>
    <w:p w14:paraId="36FFBA5C">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4"/>
          <w:highlight w:val="none"/>
          <w:lang w:val="en-US" w:eastAsia="zh-CN"/>
        </w:rPr>
      </w:pPr>
      <w:r>
        <w:rPr>
          <w:rFonts w:hint="eastAsia" w:ascii="宋体" w:hAnsi="宋体" w:eastAsia="宋体" w:cs="@仿宋_GB2312"/>
          <w:b/>
          <w:bCs/>
          <w:color w:val="auto"/>
          <w:kern w:val="2"/>
          <w:sz w:val="24"/>
          <w:szCs w:val="24"/>
          <w:highlight w:val="none"/>
          <w:lang w:val="en-US" w:eastAsia="zh-CN"/>
        </w:rPr>
        <w:t>（1）</w:t>
      </w:r>
      <w:r>
        <w:rPr>
          <w:rFonts w:hint="eastAsia" w:ascii="宋体" w:hAnsi="宋体" w:eastAsia="宋体" w:cs="@仿宋_GB2312"/>
          <w:b/>
          <w:bCs/>
          <w:color w:val="auto"/>
          <w:kern w:val="2"/>
          <w:sz w:val="24"/>
          <w:szCs w:val="24"/>
          <w:highlight w:val="none"/>
          <w:lang w:val="en-US" w:eastAsia="en-US"/>
        </w:rPr>
        <w:t>立杆</w:t>
      </w:r>
      <w:r>
        <w:rPr>
          <w:rFonts w:hint="eastAsia" w:cs="@仿宋_GB2312"/>
          <w:b/>
          <w:bCs/>
          <w:color w:val="auto"/>
          <w:kern w:val="2"/>
          <w:sz w:val="24"/>
          <w:szCs w:val="24"/>
          <w:highlight w:val="none"/>
          <w:lang w:val="en-US" w:eastAsia="zh-CN"/>
        </w:rPr>
        <w:t>杆件</w:t>
      </w:r>
    </w:p>
    <w:p w14:paraId="395EBFD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①</w:t>
      </w:r>
      <w:r>
        <w:rPr>
          <w:rFonts w:hint="eastAsia" w:ascii="宋体" w:hAnsi="宋体" w:eastAsia="宋体" w:cs="@仿宋_GB2312"/>
          <w:color w:val="auto"/>
          <w:kern w:val="2"/>
          <w:sz w:val="24"/>
          <w:szCs w:val="24"/>
          <w:highlight w:val="none"/>
          <w:lang w:val="en-US" w:eastAsia="zh-CN"/>
        </w:rPr>
        <w:t>杆形：钢管杆，外型美观、简洁、协调，颜色暂定为白色，高度</w:t>
      </w:r>
      <w:r>
        <w:rPr>
          <w:rFonts w:hint="eastAsia" w:cs="@仿宋_GB2312"/>
          <w:color w:val="auto"/>
          <w:kern w:val="2"/>
          <w:sz w:val="24"/>
          <w:szCs w:val="24"/>
          <w:highlight w:val="none"/>
          <w:lang w:val="en-US" w:eastAsia="zh-CN"/>
        </w:rPr>
        <w:t>6</w:t>
      </w:r>
      <w:r>
        <w:rPr>
          <w:rFonts w:hint="eastAsia" w:ascii="宋体" w:hAnsi="宋体" w:eastAsia="宋体" w:cs="@仿宋_GB2312"/>
          <w:color w:val="auto"/>
          <w:kern w:val="2"/>
          <w:sz w:val="24"/>
          <w:szCs w:val="24"/>
          <w:highlight w:val="none"/>
          <w:lang w:val="en-US" w:eastAsia="zh-CN"/>
        </w:rPr>
        <w:t>米；</w:t>
      </w:r>
    </w:p>
    <w:p w14:paraId="66F8A52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②</w:t>
      </w:r>
      <w:r>
        <w:rPr>
          <w:rFonts w:hint="eastAsia" w:ascii="宋体" w:hAnsi="宋体" w:eastAsia="宋体" w:cs="@仿宋_GB2312"/>
          <w:color w:val="auto"/>
          <w:kern w:val="2"/>
          <w:sz w:val="24"/>
          <w:szCs w:val="24"/>
          <w:highlight w:val="none"/>
          <w:lang w:val="en-US" w:eastAsia="zh-CN"/>
        </w:rPr>
        <w:t>杆体选用Q235或优质钢材制造，壁厚不小于</w:t>
      </w:r>
      <w:r>
        <w:rPr>
          <w:rFonts w:hint="eastAsia" w:cs="@仿宋_GB2312"/>
          <w:color w:val="auto"/>
          <w:kern w:val="2"/>
          <w:sz w:val="24"/>
          <w:szCs w:val="24"/>
          <w:highlight w:val="none"/>
          <w:lang w:val="en-US" w:eastAsia="zh-CN"/>
        </w:rPr>
        <w:t>4</w:t>
      </w:r>
      <w:r>
        <w:rPr>
          <w:rFonts w:hint="eastAsia" w:ascii="宋体" w:hAnsi="宋体" w:eastAsia="宋体" w:cs="@仿宋_GB2312"/>
          <w:color w:val="auto"/>
          <w:kern w:val="2"/>
          <w:sz w:val="24"/>
          <w:szCs w:val="24"/>
          <w:highlight w:val="none"/>
          <w:lang w:val="en-US" w:eastAsia="zh-CN"/>
        </w:rPr>
        <w:t>mm，杆体釆用数控折弯机一次成型，釆用自动缩口；</w:t>
      </w:r>
    </w:p>
    <w:p w14:paraId="2D9A109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③</w:t>
      </w:r>
      <w:r>
        <w:rPr>
          <w:rFonts w:hint="eastAsia" w:ascii="宋体" w:hAnsi="宋体" w:eastAsia="宋体" w:cs="@仿宋_GB2312"/>
          <w:color w:val="auto"/>
          <w:kern w:val="2"/>
          <w:sz w:val="24"/>
          <w:szCs w:val="24"/>
          <w:highlight w:val="none"/>
          <w:lang w:val="en-US" w:eastAsia="zh-CN"/>
        </w:rPr>
        <w:t>监控杆防腐处理为热镀，镀锌层表面光滑美观，光泽一致。无皱皮、流坠及锌瘤、起皮、斑点、阴阳面缺陷存在，锌层厚度＞85um以上，镀锌层附着力应符合GB2694-98标准，20年不褪色，灯杆防腐寿命大于30年</w:t>
      </w:r>
    </w:p>
    <w:p w14:paraId="25B6B61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④</w:t>
      </w:r>
      <w:r>
        <w:rPr>
          <w:rFonts w:hint="eastAsia" w:ascii="宋体" w:hAnsi="宋体" w:eastAsia="宋体" w:cs="@仿宋_GB2312"/>
          <w:color w:val="auto"/>
          <w:kern w:val="2"/>
          <w:sz w:val="24"/>
          <w:szCs w:val="24"/>
          <w:highlight w:val="none"/>
          <w:lang w:val="en-US" w:eastAsia="zh-CN"/>
        </w:rPr>
        <w:t>焊机自动焊接，整个杆均按相关设计标准执行</w:t>
      </w:r>
    </w:p>
    <w:p w14:paraId="59960FE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⑤</w:t>
      </w:r>
      <w:r>
        <w:rPr>
          <w:rFonts w:hint="eastAsia" w:ascii="宋体" w:hAnsi="宋体" w:eastAsia="宋体" w:cs="@仿宋_GB2312"/>
          <w:color w:val="auto"/>
          <w:kern w:val="2"/>
          <w:sz w:val="24"/>
          <w:szCs w:val="24"/>
          <w:highlight w:val="none"/>
          <w:lang w:val="en-US" w:eastAsia="zh-CN"/>
        </w:rPr>
        <w:t>主杆与底法兰采用双面焊接，外焊加强筋</w:t>
      </w:r>
    </w:p>
    <w:p w14:paraId="631C2CB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⑥</w:t>
      </w:r>
      <w:r>
        <w:rPr>
          <w:rFonts w:hint="eastAsia" w:ascii="宋体" w:hAnsi="宋体" w:eastAsia="宋体" w:cs="@仿宋_GB2312"/>
          <w:color w:val="auto"/>
          <w:kern w:val="2"/>
          <w:sz w:val="24"/>
          <w:szCs w:val="24"/>
          <w:highlight w:val="none"/>
          <w:lang w:val="en-US" w:eastAsia="zh-CN"/>
        </w:rPr>
        <w:t>杆体表面全部热浸镀锌，高温烤漆，静电喷塑，表面喷塑厚度MlOOum,附着力达到GB9286-880级，表面光滑：硬度M2H,采用室外耐候性材料，喷塑材料为全聚酯塑粉</w:t>
      </w:r>
    </w:p>
    <w:p w14:paraId="043DC85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⑦</w:t>
      </w:r>
      <w:r>
        <w:rPr>
          <w:rFonts w:hint="eastAsia" w:ascii="宋体" w:hAnsi="宋体" w:eastAsia="宋体" w:cs="@仿宋_GB2312"/>
          <w:color w:val="auto"/>
          <w:kern w:val="2"/>
          <w:sz w:val="24"/>
          <w:szCs w:val="24"/>
          <w:highlight w:val="none"/>
          <w:lang w:val="en-US" w:eastAsia="zh-CN"/>
        </w:rPr>
        <w:t>监控杆强抗风、坚固耐用，设计抗风能力＞36m/s,抗震能力为10级</w:t>
      </w:r>
    </w:p>
    <w:p w14:paraId="3E74891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仿宋_GB2312"/>
          <w:color w:val="auto"/>
          <w:kern w:val="2"/>
          <w:sz w:val="24"/>
          <w:szCs w:val="24"/>
          <w:highlight w:val="none"/>
          <w:lang w:val="en-US" w:eastAsia="zh-CN"/>
        </w:rPr>
      </w:pPr>
      <w:r>
        <w:rPr>
          <w:rFonts w:hint="eastAsia" w:cs="@仿宋_GB2312"/>
          <w:color w:val="auto"/>
          <w:kern w:val="2"/>
          <w:sz w:val="24"/>
          <w:szCs w:val="24"/>
          <w:highlight w:val="none"/>
          <w:lang w:val="en-US" w:eastAsia="zh-CN"/>
        </w:rPr>
        <w:t>⑧</w:t>
      </w:r>
      <w:r>
        <w:rPr>
          <w:rFonts w:hint="eastAsia" w:ascii="宋体" w:hAnsi="宋体" w:eastAsia="宋体" w:cs="@仿宋_GB2312"/>
          <w:color w:val="auto"/>
          <w:kern w:val="2"/>
          <w:sz w:val="24"/>
          <w:szCs w:val="24"/>
          <w:highlight w:val="none"/>
          <w:lang w:val="en-US" w:eastAsia="zh-CN"/>
        </w:rPr>
        <w:t>接线门釆用内置式M6内六角螺栓固定、防盗</w:t>
      </w:r>
    </w:p>
    <w:p w14:paraId="73DB8FA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olor w:val="auto"/>
          <w:sz w:val="24"/>
          <w:szCs w:val="24"/>
          <w:highlight w:val="none"/>
          <w:lang w:val="en-US" w:eastAsia="zh-CN"/>
        </w:rPr>
      </w:pPr>
      <w:r>
        <w:rPr>
          <w:rFonts w:hint="eastAsia" w:ascii="宋体" w:hAnsi="宋体" w:eastAsia="宋体" w:cs="@仿宋_GB2312"/>
          <w:color w:val="auto"/>
          <w:kern w:val="2"/>
          <w:sz w:val="24"/>
          <w:szCs w:val="24"/>
          <w:highlight w:val="none"/>
          <w:lang w:val="en-US" w:eastAsia="zh-CN"/>
        </w:rPr>
        <w:t>采购人提供的</w:t>
      </w:r>
      <w:r>
        <w:rPr>
          <w:rFonts w:hint="eastAsia" w:cs="@仿宋_GB2312"/>
          <w:color w:val="auto"/>
          <w:kern w:val="2"/>
          <w:sz w:val="24"/>
          <w:szCs w:val="24"/>
          <w:highlight w:val="none"/>
          <w:lang w:val="en-US" w:eastAsia="zh-CN"/>
        </w:rPr>
        <w:t>6</w:t>
      </w:r>
      <w:r>
        <w:rPr>
          <w:rFonts w:hint="eastAsia" w:ascii="宋体" w:hAnsi="宋体" w:eastAsia="宋体" w:cs="@仿宋_GB2312"/>
          <w:color w:val="auto"/>
          <w:kern w:val="2"/>
          <w:sz w:val="24"/>
          <w:szCs w:val="24"/>
          <w:highlight w:val="none"/>
          <w:lang w:val="en-US" w:eastAsia="zh-CN"/>
        </w:rPr>
        <w:t>米</w:t>
      </w:r>
      <w:r>
        <w:rPr>
          <w:rFonts w:hint="eastAsia" w:ascii="宋体" w:hAnsi="宋体" w:eastAsia="宋体" w:cs="@仿宋_GB2312"/>
          <w:color w:val="auto"/>
          <w:kern w:val="2"/>
          <w:sz w:val="24"/>
          <w:szCs w:val="24"/>
          <w:highlight w:val="none"/>
          <w:lang w:val="en-US" w:eastAsia="en-US"/>
        </w:rPr>
        <w:t>立杆</w:t>
      </w:r>
      <w:r>
        <w:rPr>
          <w:rFonts w:hint="eastAsia" w:ascii="宋体" w:hAnsi="宋体" w:eastAsia="宋体" w:cs="@仿宋_GB2312"/>
          <w:color w:val="auto"/>
          <w:kern w:val="2"/>
          <w:sz w:val="24"/>
          <w:szCs w:val="24"/>
          <w:highlight w:val="none"/>
          <w:lang w:val="en-US" w:eastAsia="zh-CN"/>
        </w:rPr>
        <w:t>原设计图如下，供应商参考编制改造图纸和基础图纸使用。</w:t>
      </w:r>
    </w:p>
    <w:p w14:paraId="310CCBBE">
      <w:pPr>
        <w:bidi w:val="0"/>
        <w:ind w:firstLine="400" w:firstLineChars="200"/>
        <w:jc w:val="left"/>
        <w:outlineLvl w:val="9"/>
        <w:rPr>
          <w:rFonts w:hint="eastAsia"/>
          <w:b/>
          <w:bCs/>
          <w:strike/>
          <w:dstrike w:val="0"/>
          <w:color w:val="auto"/>
          <w:highlight w:val="none"/>
          <w:lang w:val="en-US" w:eastAsia="zh-CN"/>
        </w:rPr>
      </w:pPr>
      <w:r>
        <w:rPr>
          <w:highlight w:val="none"/>
        </w:rPr>
        <w:drawing>
          <wp:inline distT="0" distB="0" distL="114300" distR="114300">
            <wp:extent cx="4571365" cy="3347720"/>
            <wp:effectExtent l="9525" t="9525" r="10160" b="146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4"/>
                    <a:srcRect l="2188" t="2280"/>
                    <a:stretch>
                      <a:fillRect/>
                    </a:stretch>
                  </pic:blipFill>
                  <pic:spPr>
                    <a:xfrm>
                      <a:off x="0" y="0"/>
                      <a:ext cx="4571365" cy="3347720"/>
                    </a:xfrm>
                    <a:prstGeom prst="rect">
                      <a:avLst/>
                    </a:prstGeom>
                    <a:noFill/>
                    <a:ln>
                      <a:solidFill>
                        <a:schemeClr val="tx1"/>
                      </a:solidFill>
                    </a:ln>
                  </pic:spPr>
                </pic:pic>
              </a:graphicData>
            </a:graphic>
          </wp:inline>
        </w:drawing>
      </w:r>
    </w:p>
    <w:p w14:paraId="3F3261A8">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4"/>
          <w:highlight w:val="none"/>
          <w:lang w:val="en-US" w:eastAsia="zh-CN"/>
        </w:rPr>
      </w:pPr>
      <w:r>
        <w:rPr>
          <w:rFonts w:hint="eastAsia" w:ascii="宋体" w:hAnsi="宋体" w:eastAsia="宋体" w:cs="@仿宋_GB2312"/>
          <w:b/>
          <w:bCs/>
          <w:color w:val="auto"/>
          <w:kern w:val="2"/>
          <w:sz w:val="24"/>
          <w:szCs w:val="24"/>
          <w:highlight w:val="none"/>
          <w:lang w:val="en-US" w:eastAsia="zh-CN"/>
        </w:rPr>
        <w:t>（</w:t>
      </w:r>
      <w:r>
        <w:rPr>
          <w:rFonts w:hint="eastAsia" w:cs="@仿宋_GB2312"/>
          <w:b/>
          <w:bCs/>
          <w:color w:val="auto"/>
          <w:kern w:val="2"/>
          <w:sz w:val="24"/>
          <w:szCs w:val="24"/>
          <w:highlight w:val="none"/>
          <w:lang w:val="en-US" w:eastAsia="zh-CN"/>
        </w:rPr>
        <w:t>2</w:t>
      </w:r>
      <w:r>
        <w:rPr>
          <w:rFonts w:hint="eastAsia" w:ascii="宋体" w:hAnsi="宋体" w:eastAsia="宋体" w:cs="@仿宋_GB2312"/>
          <w:b/>
          <w:bCs/>
          <w:color w:val="auto"/>
          <w:kern w:val="2"/>
          <w:sz w:val="24"/>
          <w:szCs w:val="24"/>
          <w:highlight w:val="none"/>
          <w:lang w:val="en-US" w:eastAsia="zh-CN"/>
        </w:rPr>
        <w:t>）</w:t>
      </w:r>
      <w:r>
        <w:rPr>
          <w:rFonts w:hint="eastAsia" w:cs="@仿宋_GB2312"/>
          <w:b/>
          <w:bCs/>
          <w:color w:val="auto"/>
          <w:kern w:val="2"/>
          <w:sz w:val="24"/>
          <w:szCs w:val="24"/>
          <w:highlight w:val="none"/>
          <w:lang w:val="en-US" w:eastAsia="zh-CN"/>
        </w:rPr>
        <w:t>立</w:t>
      </w:r>
      <w:r>
        <w:rPr>
          <w:rFonts w:hint="eastAsia" w:ascii="宋体" w:hAnsi="宋体" w:eastAsia="宋体" w:cs="@仿宋_GB2312"/>
          <w:b/>
          <w:bCs/>
          <w:color w:val="auto"/>
          <w:kern w:val="2"/>
          <w:sz w:val="24"/>
          <w:szCs w:val="24"/>
          <w:highlight w:val="none"/>
          <w:lang w:val="en-US" w:eastAsia="zh-CN"/>
        </w:rPr>
        <w:t>杆基础</w:t>
      </w:r>
    </w:p>
    <w:p w14:paraId="0117E196">
      <w:pPr>
        <w:tabs>
          <w:tab w:val="left" w:pos="7840"/>
        </w:tabs>
        <w:adjustRightInd w:val="0"/>
        <w:snapToGrid w:val="0"/>
        <w:spacing w:line="400" w:lineRule="exact"/>
        <w:ind w:firstLine="482" w:firstLineChars="200"/>
        <w:rPr>
          <w:rFonts w:hint="default"/>
          <w:b/>
          <w:bCs/>
          <w:color w:val="auto"/>
          <w:sz w:val="24"/>
          <w:szCs w:val="24"/>
          <w:highlight w:val="none"/>
          <w:lang w:val="en-US" w:eastAsia="zh-CN"/>
        </w:rPr>
      </w:pPr>
      <w:r>
        <w:rPr>
          <w:rFonts w:hint="eastAsia" w:cs="@仿宋_GB2312"/>
          <w:b/>
          <w:bCs/>
          <w:color w:val="auto"/>
          <w:kern w:val="2"/>
          <w:sz w:val="24"/>
          <w:szCs w:val="24"/>
          <w:highlight w:val="none"/>
          <w:lang w:val="en-US" w:eastAsia="zh-CN"/>
        </w:rPr>
        <w:t>混凝土与钢筋的要求：</w:t>
      </w:r>
      <w:r>
        <w:rPr>
          <w:rFonts w:hint="eastAsia"/>
          <w:b/>
          <w:bCs/>
          <w:color w:val="auto"/>
          <w:sz w:val="24"/>
          <w:szCs w:val="24"/>
          <w:highlight w:val="none"/>
          <w:lang w:val="en-US" w:eastAsia="zh-CN"/>
        </w:rPr>
        <w:t>C35商混基础，尺寸不小于800mm*800mm*1000mm</w:t>
      </w:r>
      <w:r>
        <w:rPr>
          <w:rFonts w:hint="eastAsia"/>
          <w:b/>
          <w:bCs/>
          <w:color w:val="auto"/>
          <w:sz w:val="24"/>
          <w:szCs w:val="24"/>
          <w:highlight w:val="none"/>
          <w:lang w:eastAsia="zh-CN"/>
        </w:rPr>
        <w:t>；</w:t>
      </w:r>
      <w:r>
        <w:rPr>
          <w:rFonts w:hint="eastAsia"/>
          <w:b/>
          <w:bCs/>
          <w:color w:val="auto"/>
          <w:sz w:val="24"/>
          <w:szCs w:val="24"/>
          <w:highlight w:val="none"/>
          <w:lang w:val="en-US" w:eastAsia="zh-CN"/>
        </w:rPr>
        <w:t>若现场条件不允许商混进场，可下降至C25自拌基础，尺寸不小于800mm*800mm*1300mm。</w:t>
      </w:r>
    </w:p>
    <w:p w14:paraId="6E7B7777">
      <w:pPr>
        <w:tabs>
          <w:tab w:val="left" w:pos="7840"/>
        </w:tabs>
        <w:adjustRightInd w:val="0"/>
        <w:snapToGrid w:val="0"/>
        <w:spacing w:line="400" w:lineRule="exact"/>
        <w:ind w:firstLine="480" w:firstLineChars="200"/>
        <w:rPr>
          <w:color w:val="auto"/>
          <w:sz w:val="24"/>
          <w:szCs w:val="24"/>
          <w:highlight w:val="none"/>
        </w:rPr>
      </w:pPr>
      <w:r>
        <w:rPr>
          <w:rFonts w:hint="eastAsia"/>
          <w:color w:val="auto"/>
          <w:sz w:val="24"/>
          <w:szCs w:val="24"/>
          <w:highlight w:val="none"/>
        </w:rPr>
        <w:t>混凝土所用水泥强度等级应与混凝土设计强度相适应，采用普通硅酸盐水泥应符合国家标准。粗骨料宜用质地坚硬，粒形级配良好的碎石卵石，不得使用未经分级的混合石子，其质量标准应符合有关规定。细骨料宜采用质地坚硬、颗粒洁净、级配良好的天然砂，其质量标准应符合有关规定。混凝土的配合比应通过试验选定，混凝土拌制运输和养护应符合有关规定。混凝土施工过程中，若气温降至低于0°C时 ，应采取有效保温防护措施。</w:t>
      </w:r>
    </w:p>
    <w:p w14:paraId="70732EC8">
      <w:pPr>
        <w:tabs>
          <w:tab w:val="left" w:pos="7840"/>
        </w:tabs>
        <w:adjustRightInd w:val="0"/>
        <w:snapToGrid w:val="0"/>
        <w:spacing w:line="400" w:lineRule="exact"/>
        <w:ind w:firstLine="480" w:firstLineChars="200"/>
        <w:rPr>
          <w:rFonts w:hint="eastAsia"/>
          <w:color w:val="auto"/>
          <w:sz w:val="24"/>
          <w:szCs w:val="24"/>
          <w:highlight w:val="none"/>
          <w:lang w:val="en-US" w:eastAsia="en-US"/>
        </w:rPr>
      </w:pPr>
      <w:r>
        <w:rPr>
          <w:rFonts w:hint="eastAsia"/>
          <w:color w:val="auto"/>
          <w:sz w:val="24"/>
          <w:szCs w:val="24"/>
          <w:highlight w:val="none"/>
          <w:lang w:val="en-US" w:eastAsia="zh-CN"/>
        </w:rPr>
        <w:t>④</w:t>
      </w:r>
      <w:r>
        <w:rPr>
          <w:rFonts w:hint="eastAsia"/>
          <w:color w:val="auto"/>
          <w:sz w:val="24"/>
          <w:szCs w:val="24"/>
          <w:highlight w:val="none"/>
          <w:lang w:val="en-US" w:eastAsia="en-US"/>
        </w:rPr>
        <w:t>防雷及接地</w:t>
      </w:r>
    </w:p>
    <w:p w14:paraId="6E3DF0F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4"/>
          <w:highlight w:val="none"/>
          <w:lang w:val="en-US" w:eastAsia="en-US"/>
        </w:rPr>
      </w:pPr>
      <w:r>
        <w:rPr>
          <w:rFonts w:hint="eastAsia" w:ascii="宋体" w:hAnsi="宋体" w:eastAsia="宋体" w:cs="@仿宋_GB2312"/>
          <w:color w:val="auto"/>
          <w:kern w:val="2"/>
          <w:sz w:val="24"/>
          <w:szCs w:val="24"/>
          <w:highlight w:val="none"/>
          <w:lang w:val="en-US" w:eastAsia="en-US"/>
        </w:rPr>
        <w:t>视频立杆的防雷和接地是设备安全运行的保证，系统设施的雷击过电压及电磁干扰防护，是保护通信线路、设备及人身安全的重要技术手段，是确保通信线路畅通、设备安全运行不可缺少的技术环节。视频立杆和太阳能电池板在室外安装，易引雷，为保护设备，在充电控制器前端加装直流电源避雷器。各避雷器接地线应可靠连接接地端子，接地端子由40×4mm的镀锌扁钢连接接地体，接地体接地电阻要求不大于</w:t>
      </w:r>
      <w:r>
        <w:rPr>
          <w:rFonts w:hint="eastAsia" w:cs="@仿宋_GB2312"/>
          <w:color w:val="auto"/>
          <w:kern w:val="2"/>
          <w:sz w:val="24"/>
          <w:szCs w:val="24"/>
          <w:highlight w:val="none"/>
          <w:lang w:val="en-US" w:eastAsia="zh-CN"/>
        </w:rPr>
        <w:t>10</w:t>
      </w:r>
      <w:r>
        <w:rPr>
          <w:rFonts w:hint="eastAsia" w:ascii="宋体" w:hAnsi="宋体" w:eastAsia="宋体" w:cs="@仿宋_GB2312"/>
          <w:color w:val="auto"/>
          <w:kern w:val="2"/>
          <w:sz w:val="24"/>
          <w:szCs w:val="24"/>
          <w:highlight w:val="none"/>
          <w:lang w:val="en-US" w:eastAsia="en-US"/>
        </w:rPr>
        <w:t>Ω。</w:t>
      </w:r>
    </w:p>
    <w:p w14:paraId="2F42A061">
      <w:pPr>
        <w:pStyle w:val="5"/>
        <w:bidi w:val="0"/>
        <w:ind w:firstLine="482" w:firstLineChars="200"/>
        <w:rPr>
          <w:rFonts w:hint="default" w:ascii="宋体" w:hAnsi="宋体" w:eastAsia="宋体" w:cs="@仿宋_GB2312"/>
          <w:b/>
          <w:bCs/>
          <w:color w:val="auto"/>
          <w:kern w:val="2"/>
          <w:sz w:val="24"/>
          <w:szCs w:val="22"/>
          <w:highlight w:val="none"/>
          <w:lang w:val="en-US" w:eastAsia="en-US"/>
        </w:rPr>
      </w:pPr>
      <w:bookmarkStart w:id="47" w:name="_Toc45885223"/>
      <w:bookmarkStart w:id="48" w:name="_Toc45885521"/>
      <w:bookmarkStart w:id="49" w:name="_Toc45885019"/>
      <w:bookmarkStart w:id="50" w:name="_Toc45806494"/>
      <w:r>
        <w:rPr>
          <w:rFonts w:hint="eastAsia" w:ascii="宋体" w:hAnsi="宋体" w:eastAsia="宋体" w:cs="@仿宋_GB2312"/>
          <w:b/>
          <w:bCs/>
          <w:color w:val="auto"/>
          <w:kern w:val="2"/>
          <w:sz w:val="24"/>
          <w:szCs w:val="22"/>
          <w:highlight w:val="none"/>
          <w:lang w:val="en-US" w:eastAsia="zh-CN"/>
        </w:rPr>
        <w:t>2.5方沟涵</w:t>
      </w:r>
      <w:r>
        <w:rPr>
          <w:rFonts w:hint="eastAsia" w:cs="@仿宋_GB2312"/>
          <w:b/>
          <w:bCs/>
          <w:color w:val="auto"/>
          <w:kern w:val="2"/>
          <w:sz w:val="24"/>
          <w:szCs w:val="22"/>
          <w:highlight w:val="none"/>
          <w:lang w:val="en-US" w:eastAsia="zh-CN"/>
        </w:rPr>
        <w:t>及其他</w:t>
      </w:r>
      <w:r>
        <w:rPr>
          <w:rFonts w:hint="eastAsia" w:ascii="宋体" w:hAnsi="宋体" w:eastAsia="宋体" w:cs="@仿宋_GB2312"/>
          <w:b/>
          <w:bCs/>
          <w:color w:val="auto"/>
          <w:kern w:val="2"/>
          <w:sz w:val="24"/>
          <w:szCs w:val="22"/>
          <w:highlight w:val="none"/>
          <w:lang w:val="en-US" w:eastAsia="zh-CN"/>
        </w:rPr>
        <w:t>通信光缆</w:t>
      </w:r>
      <w:bookmarkEnd w:id="47"/>
      <w:bookmarkEnd w:id="48"/>
      <w:bookmarkEnd w:id="49"/>
      <w:bookmarkEnd w:id="50"/>
      <w:r>
        <w:rPr>
          <w:rFonts w:hint="eastAsia" w:ascii="宋体" w:hAnsi="宋体" w:eastAsia="宋体" w:cs="@仿宋_GB2312"/>
          <w:b/>
          <w:bCs/>
          <w:color w:val="auto"/>
          <w:kern w:val="2"/>
          <w:sz w:val="24"/>
          <w:szCs w:val="22"/>
          <w:highlight w:val="none"/>
          <w:lang w:val="en-US" w:eastAsia="zh-CN"/>
        </w:rPr>
        <w:t>检修及敷设</w:t>
      </w:r>
      <w:r>
        <w:rPr>
          <w:rFonts w:hint="eastAsia" w:cs="@仿宋_GB2312"/>
          <w:b/>
          <w:bCs/>
          <w:color w:val="auto"/>
          <w:kern w:val="2"/>
          <w:sz w:val="24"/>
          <w:szCs w:val="22"/>
          <w:highlight w:val="none"/>
          <w:lang w:val="en-US" w:eastAsia="zh-CN"/>
        </w:rPr>
        <w:t>要求</w:t>
      </w:r>
    </w:p>
    <w:p w14:paraId="749B497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bookmarkStart w:id="51" w:name="_Toc45885522"/>
      <w:bookmarkStart w:id="52" w:name="_Toc45885224"/>
      <w:r>
        <w:rPr>
          <w:rFonts w:hint="eastAsia" w:cs="@仿宋_GB2312"/>
          <w:color w:val="auto"/>
          <w:kern w:val="2"/>
          <w:sz w:val="24"/>
          <w:szCs w:val="22"/>
          <w:highlight w:val="none"/>
          <w:lang w:val="en-US" w:eastAsia="zh-CN"/>
        </w:rPr>
        <w:t>2.5</w:t>
      </w:r>
      <w:r>
        <w:rPr>
          <w:rFonts w:hint="eastAsia" w:ascii="宋体" w:hAnsi="宋体" w:eastAsia="宋体" w:cs="@仿宋_GB2312"/>
          <w:color w:val="auto"/>
          <w:kern w:val="2"/>
          <w:sz w:val="24"/>
          <w:szCs w:val="22"/>
          <w:highlight w:val="none"/>
          <w:lang w:val="en-US" w:eastAsia="zh-CN"/>
        </w:rPr>
        <w:t>.1</w:t>
      </w:r>
      <w:r>
        <w:rPr>
          <w:rFonts w:hint="eastAsia" w:ascii="宋体" w:hAnsi="宋体" w:eastAsia="宋体" w:cs="@仿宋_GB2312"/>
          <w:color w:val="auto"/>
          <w:kern w:val="2"/>
          <w:sz w:val="24"/>
          <w:szCs w:val="22"/>
          <w:highlight w:val="none"/>
          <w:lang w:val="en-US" w:eastAsia="en-US"/>
        </w:rPr>
        <w:t>施工机具及材料</w:t>
      </w:r>
      <w:bookmarkEnd w:id="51"/>
      <w:bookmarkEnd w:id="52"/>
    </w:p>
    <w:p w14:paraId="3D519C6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en-US"/>
        </w:rPr>
        <w:t>电缆开沟机、光纤熔接机、光时域放射仪、光纤接头盒等、单模光缆、软土细沙、水泥砂浆等主要机具及材料。</w:t>
      </w:r>
    </w:p>
    <w:p w14:paraId="2D63660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bookmarkStart w:id="53" w:name="_Toc45885524"/>
      <w:bookmarkStart w:id="54" w:name="_Toc45885226"/>
      <w:r>
        <w:rPr>
          <w:rFonts w:hint="eastAsia" w:cs="@仿宋_GB2312"/>
          <w:color w:val="auto"/>
          <w:kern w:val="2"/>
          <w:sz w:val="24"/>
          <w:szCs w:val="22"/>
          <w:highlight w:val="none"/>
          <w:lang w:val="en-US" w:eastAsia="zh-CN"/>
        </w:rPr>
        <w:t>2.5</w:t>
      </w:r>
      <w:r>
        <w:rPr>
          <w:rFonts w:hint="eastAsia" w:ascii="宋体" w:hAnsi="宋体" w:eastAsia="宋体"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en-US"/>
        </w:rPr>
        <w:t>工艺要求</w:t>
      </w:r>
      <w:bookmarkEnd w:id="53"/>
      <w:bookmarkEnd w:id="54"/>
    </w:p>
    <w:p w14:paraId="511F5A5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zh-CN"/>
        </w:rPr>
        <w:t>(1)</w:t>
      </w:r>
      <w:r>
        <w:rPr>
          <w:rFonts w:hint="eastAsia" w:ascii="宋体" w:hAnsi="宋体" w:eastAsia="宋体" w:cs="@仿宋_GB2312"/>
          <w:color w:val="auto"/>
          <w:kern w:val="2"/>
          <w:sz w:val="24"/>
          <w:szCs w:val="22"/>
          <w:highlight w:val="none"/>
          <w:lang w:val="en-US" w:eastAsia="en-US"/>
        </w:rPr>
        <w:t>路由复测</w:t>
      </w:r>
    </w:p>
    <w:p w14:paraId="1AAA7A2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zh-CN"/>
        </w:rPr>
        <w:t>1)</w:t>
      </w:r>
      <w:r>
        <w:rPr>
          <w:rFonts w:hint="eastAsia" w:ascii="宋体" w:hAnsi="宋体" w:eastAsia="宋体" w:cs="@仿宋_GB2312"/>
          <w:color w:val="auto"/>
          <w:kern w:val="2"/>
          <w:sz w:val="24"/>
          <w:szCs w:val="22"/>
          <w:highlight w:val="none"/>
          <w:lang w:val="en-US" w:eastAsia="en-US"/>
        </w:rPr>
        <w:t>核定光缆路由的具体走向、敷设方式、环境条件及接头的具体地点，是否符合施工图设计。</w:t>
      </w:r>
    </w:p>
    <w:p w14:paraId="4B3F79B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en-US"/>
        </w:rPr>
        <w:t>核定地面距离和中继段长度。</w:t>
      </w:r>
    </w:p>
    <w:p w14:paraId="3155841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zh-CN"/>
        </w:rPr>
        <w:t>3)</w:t>
      </w:r>
      <w:r>
        <w:rPr>
          <w:rFonts w:hint="eastAsia" w:ascii="宋体" w:hAnsi="宋体" w:eastAsia="宋体" w:cs="@仿宋_GB2312"/>
          <w:color w:val="auto"/>
          <w:kern w:val="2"/>
          <w:sz w:val="24"/>
          <w:szCs w:val="22"/>
          <w:highlight w:val="none"/>
          <w:lang w:val="en-US" w:eastAsia="en-US"/>
        </w:rPr>
        <w:t>核定光缆穿越障碍物需要采取防护措施地段的具体位置和处理措施。</w:t>
      </w:r>
    </w:p>
    <w:p w14:paraId="65B5378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4)</w:t>
      </w:r>
      <w:r>
        <w:rPr>
          <w:rFonts w:hint="eastAsia" w:ascii="宋体" w:hAnsi="宋体" w:eastAsia="宋体" w:cs="@仿宋_GB2312"/>
          <w:color w:val="auto"/>
          <w:kern w:val="2"/>
          <w:sz w:val="24"/>
          <w:szCs w:val="22"/>
          <w:highlight w:val="none"/>
          <w:lang w:val="en-US" w:eastAsia="zh-CN"/>
        </w:rPr>
        <w:t>核定光缆沟坎、护坎、护坡、堵塞等光缆保护的地点、地段和数量。</w:t>
      </w:r>
    </w:p>
    <w:p w14:paraId="6A3ED4C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5)</w:t>
      </w:r>
      <w:r>
        <w:rPr>
          <w:rFonts w:hint="eastAsia" w:ascii="宋体" w:hAnsi="宋体" w:eastAsia="宋体" w:cs="@仿宋_GB2312"/>
          <w:color w:val="auto"/>
          <w:kern w:val="2"/>
          <w:sz w:val="24"/>
          <w:szCs w:val="22"/>
          <w:highlight w:val="none"/>
          <w:lang w:val="en-US" w:eastAsia="zh-CN"/>
        </w:rPr>
        <w:t>光缆与其他设备设施、树木、建筑物及地下管等最小距离要符合设计要求。</w:t>
      </w:r>
    </w:p>
    <w:p w14:paraId="2287FD9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6)</w:t>
      </w:r>
      <w:r>
        <w:rPr>
          <w:rFonts w:hint="eastAsia" w:ascii="宋体" w:hAnsi="宋体" w:eastAsia="宋体" w:cs="@仿宋_GB2312"/>
          <w:color w:val="auto"/>
          <w:kern w:val="2"/>
          <w:sz w:val="24"/>
          <w:szCs w:val="22"/>
          <w:highlight w:val="none"/>
          <w:lang w:val="en-US" w:eastAsia="zh-CN"/>
        </w:rPr>
        <w:t>光缆的路由走向、敷设位置及接续点应保证安全可靠，便于施工、维护。</w:t>
      </w:r>
    </w:p>
    <w:p w14:paraId="680707F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开挖缆沟</w:t>
      </w:r>
    </w:p>
    <w:p w14:paraId="09E9D3D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开挖缆沟前，应根据批准的施工图，沿路由撒放灰线，直线段灰线撒放应顺直，不应有蛇形弯或脱节现场。</w:t>
      </w:r>
    </w:p>
    <w:p w14:paraId="7825BBB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缆沟沟深符合设计要求。</w:t>
      </w:r>
    </w:p>
    <w:p w14:paraId="284F597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(3)</w:t>
      </w:r>
      <w:r>
        <w:rPr>
          <w:rFonts w:hint="eastAsia" w:ascii="宋体" w:hAnsi="宋体" w:eastAsia="宋体" w:cs="@仿宋_GB2312"/>
          <w:color w:val="auto"/>
          <w:kern w:val="2"/>
          <w:sz w:val="24"/>
          <w:szCs w:val="22"/>
          <w:highlight w:val="none"/>
          <w:lang w:val="en-US" w:eastAsia="zh-CN"/>
        </w:rPr>
        <w:t>光缆敷设方式</w:t>
      </w:r>
    </w:p>
    <w:p w14:paraId="2462E99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1)全成端方式</w:t>
      </w:r>
    </w:p>
    <w:p w14:paraId="60CAF0B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pict>
          <v:shape id="对象 33" o:spid="_x0000_s1026" o:spt="75" type="#_x0000_t75" style="position:absolute;left:0pt;margin-left:76.55pt;margin-top:97.05pt;height:51.6pt;width:242.5pt;mso-wrap-distance-bottom:0pt;mso-wrap-distance-top:0pt;z-index:251662336;mso-width-relative:page;mso-height-relative:page;" o:ole="t" filled="f" o:preferrelative="t" stroked="f" coordsize="21600,21600">
            <v:path/>
            <v:fill on="f" focussize="0,0"/>
            <v:stroke on="f"/>
            <v:imagedata r:id="rId16" o:title=""/>
            <o:lock v:ext="edit" aspectratio="t"/>
            <w10:wrap type="topAndBottom"/>
          </v:shape>
          <o:OLEObject Type="Embed" ProgID="" ShapeID="对象 33" DrawAspect="Content" ObjectID="_1468075725" r:id="rId15">
            <o:LockedField>false</o:LockedField>
          </o:OLEObject>
        </w:pict>
      </w:r>
      <w:r>
        <w:rPr>
          <w:rFonts w:hint="eastAsia" w:ascii="宋体" w:hAnsi="宋体" w:eastAsia="宋体" w:cs="@仿宋_GB2312"/>
          <w:color w:val="auto"/>
          <w:kern w:val="2"/>
          <w:sz w:val="24"/>
          <w:szCs w:val="22"/>
          <w:highlight w:val="none"/>
          <w:lang w:val="en-US" w:eastAsia="zh-CN"/>
        </w:rPr>
        <w:t>本工程光缆成端采用全进全出的纤芯方式，即双方向的光缆全部进入综合配线架，光纤全部在光配线架上成端，组网时在光配线架上进行跳接，全成端方式如图3.1-1所示。</w:t>
      </w:r>
    </w:p>
    <w:p w14:paraId="50D3CF95">
      <w:pPr>
        <w:pStyle w:val="74"/>
        <w:tabs>
          <w:tab w:val="left" w:pos="7840"/>
        </w:tabs>
        <w:adjustRightInd w:val="0"/>
        <w:snapToGrid w:val="0"/>
        <w:spacing w:line="400" w:lineRule="exact"/>
        <w:ind w:left="0" w:firstLine="400" w:firstLineChars="20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图3.1-1光缆全成端方式示意</w:t>
      </w:r>
    </w:p>
    <w:p w14:paraId="0E1EA67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2)掏接方式</w:t>
      </w:r>
    </w:p>
    <w:p w14:paraId="2836663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drawing>
          <wp:anchor distT="0" distB="0" distL="114300" distR="114300" simplePos="0" relativeHeight="251661312" behindDoc="0" locked="0" layoutInCell="1" allowOverlap="1">
            <wp:simplePos x="0" y="0"/>
            <wp:positionH relativeFrom="margin">
              <wp:posOffset>1435100</wp:posOffset>
            </wp:positionH>
            <wp:positionV relativeFrom="paragraph">
              <wp:posOffset>902970</wp:posOffset>
            </wp:positionV>
            <wp:extent cx="2814955" cy="1200785"/>
            <wp:effectExtent l="0" t="0" r="4445" b="18415"/>
            <wp:wrapTopAndBottom/>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17"/>
                    <a:stretch>
                      <a:fillRect/>
                    </a:stretch>
                  </pic:blipFill>
                  <pic:spPr>
                    <a:xfrm>
                      <a:off x="0" y="0"/>
                      <a:ext cx="2814955" cy="1200785"/>
                    </a:xfrm>
                    <a:prstGeom prst="rect">
                      <a:avLst/>
                    </a:prstGeom>
                    <a:noFill/>
                    <a:ln>
                      <a:noFill/>
                    </a:ln>
                  </pic:spPr>
                </pic:pic>
              </a:graphicData>
            </a:graphic>
          </wp:anchor>
        </w:drawing>
      </w:r>
      <w:r>
        <w:rPr>
          <w:rFonts w:hint="eastAsia" w:ascii="宋体" w:hAnsi="宋体" w:eastAsia="宋体" w:cs="@仿宋_GB2312"/>
          <w:color w:val="auto"/>
          <w:kern w:val="2"/>
          <w:sz w:val="24"/>
          <w:szCs w:val="22"/>
          <w:highlight w:val="none"/>
          <w:lang w:val="en-US" w:eastAsia="zh-CN"/>
        </w:rPr>
        <w:t>当光缆经过某涵闸且该涵闸有使用纤芯需求时，采取掏接方式，即将该涵闸需要的光纤在局前最近接头盒位置掏接布放至节点，上光配线架(ODF)，其它过路光纤不进节点，光缆掏接方式如图3.2-2所示。</w:t>
      </w:r>
    </w:p>
    <w:p w14:paraId="6A4229FD">
      <w:pPr>
        <w:tabs>
          <w:tab w:val="left" w:pos="7840"/>
        </w:tabs>
        <w:adjustRightInd w:val="0"/>
        <w:snapToGrid w:val="0"/>
        <w:spacing w:line="400" w:lineRule="exact"/>
        <w:ind w:left="0" w:leftChars="0" w:firstLine="400" w:firstLineChars="200"/>
        <w:jc w:val="center"/>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图3.2-2光缆掏接方式示意图</w:t>
      </w:r>
    </w:p>
    <w:p w14:paraId="6C49272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3)沿堤肩敷设方式</w:t>
      </w:r>
    </w:p>
    <w:p w14:paraId="5DDF184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Cs w:val="21"/>
          <w:highlight w:val="none"/>
        </w:rPr>
      </w:pPr>
      <w:r>
        <w:rPr>
          <w:rFonts w:hint="eastAsia" w:ascii="宋体" w:hAnsi="宋体" w:eastAsia="宋体" w:cs="@仿宋_GB2312"/>
          <w:color w:val="auto"/>
          <w:kern w:val="2"/>
          <w:sz w:val="24"/>
          <w:szCs w:val="22"/>
          <w:highlight w:val="none"/>
          <w:lang w:val="en-US" w:eastAsia="zh-CN"/>
        </w:rPr>
        <w:t>新建光缆原则上埋设在河道内侧护堤地，沿堤脚线走向，距堤脚线0.5米，具体如图3.3-3所示。</w:t>
      </w:r>
    </w:p>
    <w:p w14:paraId="17E1AAF2">
      <w:pPr>
        <w:tabs>
          <w:tab w:val="left" w:pos="7840"/>
        </w:tabs>
        <w:adjustRightInd w:val="0"/>
        <w:snapToGrid w:val="0"/>
        <w:spacing w:line="400" w:lineRule="exact"/>
        <w:ind w:firstLine="480" w:firstLineChars="200"/>
        <w:jc w:val="center"/>
        <w:outlineLvl w:val="9"/>
        <w:rPr>
          <w:rFonts w:hint="eastAsia" w:ascii="宋体" w:hAnsi="宋体" w:eastAsia="宋体" w:cs="宋体"/>
          <w:color w:val="auto"/>
          <w:szCs w:val="21"/>
          <w:highlight w:val="none"/>
        </w:rPr>
      </w:pPr>
      <w:r>
        <w:rPr>
          <w:rFonts w:hint="eastAsia" w:ascii="宋体" w:hAnsi="宋体" w:eastAsia="宋体" w:cs="@仿宋_GB2312"/>
          <w:color w:val="auto"/>
          <w:kern w:val="2"/>
          <w:sz w:val="24"/>
          <w:szCs w:val="22"/>
          <w:highlight w:val="none"/>
          <w:lang w:val="en-US" w:eastAsia="zh-CN"/>
        </w:rPr>
        <w:drawing>
          <wp:anchor distT="0" distB="0" distL="114300" distR="114300" simplePos="0" relativeHeight="251659264" behindDoc="0" locked="0" layoutInCell="1" allowOverlap="1">
            <wp:simplePos x="0" y="0"/>
            <wp:positionH relativeFrom="margin">
              <wp:posOffset>1166495</wp:posOffset>
            </wp:positionH>
            <wp:positionV relativeFrom="paragraph">
              <wp:posOffset>229235</wp:posOffset>
            </wp:positionV>
            <wp:extent cx="2792095" cy="1126490"/>
            <wp:effectExtent l="0" t="0" r="8255" b="16510"/>
            <wp:wrapTopAndBottom/>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8"/>
                    <a:stretch>
                      <a:fillRect/>
                    </a:stretch>
                  </pic:blipFill>
                  <pic:spPr>
                    <a:xfrm>
                      <a:off x="0" y="0"/>
                      <a:ext cx="2792095" cy="1126490"/>
                    </a:xfrm>
                    <a:prstGeom prst="rect">
                      <a:avLst/>
                    </a:prstGeom>
                    <a:noFill/>
                    <a:ln>
                      <a:noFill/>
                    </a:ln>
                  </pic:spPr>
                </pic:pic>
              </a:graphicData>
            </a:graphic>
          </wp:anchor>
        </w:drawing>
      </w:r>
      <w:r>
        <w:rPr>
          <w:rFonts w:hint="eastAsia" w:ascii="宋体" w:hAnsi="宋体" w:eastAsia="宋体" w:cs="宋体"/>
          <w:color w:val="auto"/>
          <w:szCs w:val="21"/>
          <w:highlight w:val="none"/>
        </w:rPr>
        <w:t>图</w:t>
      </w:r>
      <w:r>
        <w:rPr>
          <w:rFonts w:hint="eastAsia" w:cs="宋体"/>
          <w:color w:val="auto"/>
          <w:szCs w:val="21"/>
          <w:highlight w:val="none"/>
          <w:lang w:val="en-US" w:eastAsia="zh-CN"/>
        </w:rPr>
        <w:t xml:space="preserve">  </w:t>
      </w:r>
      <w:r>
        <w:rPr>
          <w:rFonts w:hint="eastAsia" w:ascii="宋体" w:hAnsi="宋体" w:eastAsia="宋体" w:cs="宋体"/>
          <w:color w:val="auto"/>
          <w:szCs w:val="21"/>
          <w:highlight w:val="none"/>
        </w:rPr>
        <w:t>光缆敷设示意图</w:t>
      </w:r>
    </w:p>
    <w:p w14:paraId="0230945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4)光缆经过桥、涵闸时的敷设方式</w:t>
      </w:r>
    </w:p>
    <w:p w14:paraId="4A4AC29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drawing>
          <wp:anchor distT="0" distB="0" distL="114300" distR="114300" simplePos="0" relativeHeight="251660288" behindDoc="0" locked="0" layoutInCell="1" allowOverlap="1">
            <wp:simplePos x="0" y="0"/>
            <wp:positionH relativeFrom="margin">
              <wp:posOffset>1570990</wp:posOffset>
            </wp:positionH>
            <wp:positionV relativeFrom="paragraph">
              <wp:posOffset>645795</wp:posOffset>
            </wp:positionV>
            <wp:extent cx="2447925" cy="1140460"/>
            <wp:effectExtent l="0" t="0" r="9525" b="2540"/>
            <wp:wrapTopAndBottom/>
            <wp:docPr id="17" name="图片 5" descr="wps2B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wps2BB2"/>
                    <pic:cNvPicPr>
                      <a:picLocks noChangeAspect="1"/>
                    </pic:cNvPicPr>
                  </pic:nvPicPr>
                  <pic:blipFill>
                    <a:blip r:embed="rId19"/>
                    <a:stretch>
                      <a:fillRect/>
                    </a:stretch>
                  </pic:blipFill>
                  <pic:spPr>
                    <a:xfrm>
                      <a:off x="0" y="0"/>
                      <a:ext cx="2447925" cy="1140460"/>
                    </a:xfrm>
                    <a:prstGeom prst="rect">
                      <a:avLst/>
                    </a:prstGeom>
                    <a:noFill/>
                    <a:ln>
                      <a:noFill/>
                    </a:ln>
                  </pic:spPr>
                </pic:pic>
              </a:graphicData>
            </a:graphic>
          </wp:anchor>
        </w:drawing>
      </w:r>
      <w:r>
        <w:rPr>
          <w:rFonts w:hint="eastAsia" w:ascii="宋体" w:hAnsi="宋体" w:eastAsia="宋体" w:cs="@仿宋_GB2312"/>
          <w:color w:val="auto"/>
          <w:kern w:val="2"/>
          <w:sz w:val="24"/>
          <w:szCs w:val="22"/>
          <w:highlight w:val="none"/>
          <w:lang w:val="en-US" w:eastAsia="zh-CN"/>
        </w:rPr>
        <w:t>光缆在过桥、涵闸口时，侧面桥梁处有足够的空间（高度在50cm以上）时，拟采用三角支架上方敷设钢管的方式敷设，敷设方式如下图3.4-1。</w:t>
      </w:r>
    </w:p>
    <w:p w14:paraId="757D1F84">
      <w:pPr>
        <w:pStyle w:val="272"/>
        <w:spacing w:before="0" w:after="0"/>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过桥、涵闸口方式一</w:t>
      </w:r>
    </w:p>
    <w:p w14:paraId="2486A33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2.5</w:t>
      </w:r>
      <w:r>
        <w:rPr>
          <w:rFonts w:hint="eastAsia" w:ascii="宋体" w:hAnsi="宋体" w:eastAsia="宋体" w:cs="@仿宋_GB2312"/>
          <w:color w:val="auto"/>
          <w:kern w:val="2"/>
          <w:sz w:val="24"/>
          <w:szCs w:val="22"/>
          <w:highlight w:val="none"/>
          <w:lang w:val="en-US" w:eastAsia="zh-CN"/>
        </w:rPr>
        <w:t>.3光缆敷设施工要求</w:t>
      </w:r>
    </w:p>
    <w:p w14:paraId="096EB07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w:t>
      </w:r>
      <w:r>
        <w:rPr>
          <w:rFonts w:hint="eastAsia" w:ascii="宋体" w:hAnsi="宋体" w:eastAsia="宋体" w:cs="@仿宋_GB2312"/>
          <w:color w:val="auto"/>
          <w:kern w:val="2"/>
          <w:sz w:val="24"/>
          <w:szCs w:val="22"/>
          <w:highlight w:val="none"/>
          <w:lang w:val="en-US" w:eastAsia="zh-CN"/>
        </w:rPr>
        <w:t>光缆埋深不小于</w:t>
      </w:r>
      <w:r>
        <w:rPr>
          <w:rFonts w:hint="eastAsia" w:ascii="宋体" w:hAnsi="宋体" w:eastAsia="宋体" w:cs="@仿宋_GB2312"/>
          <w:b/>
          <w:bCs/>
          <w:color w:val="auto"/>
          <w:kern w:val="2"/>
          <w:sz w:val="24"/>
          <w:szCs w:val="22"/>
          <w:highlight w:val="none"/>
          <w:lang w:val="en-US" w:eastAsia="zh-CN"/>
        </w:rPr>
        <w:t>0.8m</w:t>
      </w:r>
      <w:r>
        <w:rPr>
          <w:rFonts w:hint="eastAsia" w:ascii="宋体" w:hAnsi="宋体" w:eastAsia="宋体" w:cs="@仿宋_GB2312"/>
          <w:color w:val="auto"/>
          <w:kern w:val="2"/>
          <w:sz w:val="24"/>
          <w:szCs w:val="22"/>
          <w:highlight w:val="none"/>
          <w:lang w:val="en-US" w:eastAsia="zh-CN"/>
        </w:rPr>
        <w:t>，沟底应平整，并在沟底和光缆上方各铺10cm的软土细沙。光缆穿越机耕路及未定型的土路时，采用横铺红砖保护、缆与公路及易受重压地段采用</w:t>
      </w:r>
      <w:r>
        <w:rPr>
          <w:rFonts w:hint="eastAsia" w:cs="@仿宋_GB2312"/>
          <w:color w:val="auto"/>
          <w:kern w:val="2"/>
          <w:sz w:val="24"/>
          <w:szCs w:val="22"/>
          <w:highlight w:val="none"/>
          <w:lang w:val="en-US" w:eastAsia="zh-CN"/>
        </w:rPr>
        <w:t>镀锌钢管穿管保护</w:t>
      </w:r>
      <w:r>
        <w:rPr>
          <w:rFonts w:hint="eastAsia" w:ascii="宋体" w:hAnsi="宋体" w:eastAsia="宋体" w:cs="@仿宋_GB2312"/>
          <w:color w:val="auto"/>
          <w:kern w:val="2"/>
          <w:sz w:val="24"/>
          <w:szCs w:val="22"/>
          <w:highlight w:val="none"/>
          <w:lang w:val="en-US" w:eastAsia="zh-CN"/>
        </w:rPr>
        <w:t>。</w:t>
      </w:r>
    </w:p>
    <w:p w14:paraId="606DA2D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光缆应按照设计配盘并结合手井的施工情况进行合理配盘。</w:t>
      </w:r>
    </w:p>
    <w:p w14:paraId="6AD5D32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(3)</w:t>
      </w:r>
      <w:r>
        <w:rPr>
          <w:rFonts w:hint="eastAsia" w:ascii="宋体" w:hAnsi="宋体" w:eastAsia="宋体" w:cs="@仿宋_GB2312"/>
          <w:color w:val="auto"/>
          <w:kern w:val="2"/>
          <w:sz w:val="24"/>
          <w:szCs w:val="22"/>
          <w:highlight w:val="none"/>
          <w:lang w:val="en-US" w:eastAsia="zh-CN"/>
        </w:rPr>
        <w:t>光缆到货后应进行单盘测试，并将单盘测试记录与光缆出厂测试记录相比较确定合格后归档。</w:t>
      </w:r>
    </w:p>
    <w:p w14:paraId="5BDEB5C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(4)</w:t>
      </w:r>
      <w:r>
        <w:rPr>
          <w:rFonts w:hint="eastAsia" w:ascii="宋体" w:hAnsi="宋体" w:eastAsia="宋体" w:cs="@仿宋_GB2312"/>
          <w:color w:val="auto"/>
          <w:kern w:val="2"/>
          <w:sz w:val="24"/>
          <w:szCs w:val="22"/>
          <w:highlight w:val="none"/>
          <w:lang w:val="en-US" w:eastAsia="zh-CN"/>
        </w:rPr>
        <w:t>光缆敷设施工中，应当保证光缆外护套的完整性。</w:t>
      </w:r>
    </w:p>
    <w:p w14:paraId="4520FF77">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(5)</w:t>
      </w:r>
      <w:r>
        <w:rPr>
          <w:rFonts w:hint="eastAsia" w:ascii="宋体" w:hAnsi="宋体" w:eastAsia="宋体" w:cs="@仿宋_GB2312"/>
          <w:color w:val="auto"/>
          <w:kern w:val="2"/>
          <w:sz w:val="24"/>
          <w:szCs w:val="22"/>
          <w:highlight w:val="none"/>
          <w:lang w:val="en-US" w:eastAsia="zh-CN"/>
        </w:rPr>
        <w:t>光缆敷设安装的最小曲率半径应符合规定。</w:t>
      </w:r>
    </w:p>
    <w:p w14:paraId="5715B43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(6)</w:t>
      </w:r>
      <w:r>
        <w:rPr>
          <w:rFonts w:hint="eastAsia" w:ascii="宋体" w:hAnsi="宋体" w:eastAsia="宋体" w:cs="@仿宋_GB2312"/>
          <w:color w:val="auto"/>
          <w:kern w:val="2"/>
          <w:sz w:val="24"/>
          <w:szCs w:val="22"/>
          <w:highlight w:val="none"/>
          <w:lang w:val="en-US" w:eastAsia="zh-CN"/>
        </w:rPr>
        <w:t>光缆如在局部改变外护层结构，且光缆可以满足敷设条件要求的，可不换程式以减少光缆接头。</w:t>
      </w:r>
    </w:p>
    <w:p w14:paraId="17EEE7B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(7)</w:t>
      </w:r>
      <w:r>
        <w:rPr>
          <w:rFonts w:hint="eastAsia" w:ascii="宋体" w:hAnsi="宋体" w:eastAsia="宋体" w:cs="@仿宋_GB2312"/>
          <w:color w:val="auto"/>
          <w:kern w:val="2"/>
          <w:sz w:val="24"/>
          <w:szCs w:val="22"/>
          <w:highlight w:val="none"/>
          <w:lang w:val="en-US" w:eastAsia="zh-CN"/>
        </w:rPr>
        <w:t>整盘光缆可由中间向两边双向布放，也可由一端向另一端连续布放。</w:t>
      </w:r>
    </w:p>
    <w:p w14:paraId="3976367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(8)</w:t>
      </w:r>
      <w:r>
        <w:rPr>
          <w:rFonts w:hint="eastAsia" w:ascii="宋体" w:hAnsi="宋体" w:eastAsia="宋体" w:cs="@仿宋_GB2312"/>
          <w:color w:val="auto"/>
          <w:kern w:val="2"/>
          <w:sz w:val="24"/>
          <w:szCs w:val="22"/>
          <w:highlight w:val="none"/>
          <w:lang w:val="en-US" w:eastAsia="zh-CN"/>
        </w:rPr>
        <w:t>光缆布放完毕，应在各手孔内安装光缆标牌，标牌沿手孔一侧绑扎固定，并采用纵刨塑料管或蛇皮管进行保护。</w:t>
      </w:r>
    </w:p>
    <w:p w14:paraId="732C8DB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(9)</w:t>
      </w:r>
      <w:r>
        <w:rPr>
          <w:rFonts w:hint="eastAsia" w:ascii="宋体" w:hAnsi="宋体" w:eastAsia="宋体" w:cs="@仿宋_GB2312"/>
          <w:color w:val="auto"/>
          <w:kern w:val="2"/>
          <w:sz w:val="24"/>
          <w:szCs w:val="22"/>
          <w:highlight w:val="none"/>
          <w:lang w:val="en-US" w:eastAsia="zh-CN"/>
        </w:rPr>
        <w:t>光缆的预留除设计要求中规定的以外，还应根据建设地实际情况进行设置。光缆预留点已设置手孔的，一般在手孔内作光缆盘留。</w:t>
      </w:r>
    </w:p>
    <w:p w14:paraId="3C3975F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(10)</w:t>
      </w:r>
      <w:r>
        <w:rPr>
          <w:rFonts w:hint="eastAsia" w:ascii="宋体" w:hAnsi="宋体" w:eastAsia="宋体" w:cs="@仿宋_GB2312"/>
          <w:color w:val="auto"/>
          <w:kern w:val="2"/>
          <w:sz w:val="24"/>
          <w:szCs w:val="22"/>
          <w:highlight w:val="none"/>
          <w:lang w:val="en-US" w:eastAsia="zh-CN"/>
        </w:rPr>
        <w:t>在钢管或其他类似材质的管道中敷设光缆时应视情况使用塑料子管以保护光缆。在塑料管道中敷设时，在大孔径塑管中应敷设多根塑料子管以节省空间。</w:t>
      </w:r>
    </w:p>
    <w:p w14:paraId="71ED38D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(11)</w:t>
      </w:r>
      <w:r>
        <w:rPr>
          <w:rFonts w:hint="eastAsia" w:ascii="宋体" w:hAnsi="宋体" w:eastAsia="宋体" w:cs="@仿宋_GB2312"/>
          <w:color w:val="auto"/>
          <w:kern w:val="2"/>
          <w:sz w:val="24"/>
          <w:szCs w:val="22"/>
          <w:highlight w:val="none"/>
          <w:lang w:val="en-US" w:eastAsia="zh-CN"/>
        </w:rPr>
        <w:t>光缆接头盒在手孔内宜安装在常年积水水位以上的位置，采用保护托架或其他方法承托。</w:t>
      </w:r>
    </w:p>
    <w:p w14:paraId="7D78D88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(12)</w:t>
      </w:r>
      <w:r>
        <w:rPr>
          <w:rFonts w:hint="eastAsia" w:ascii="宋体" w:hAnsi="宋体" w:eastAsia="宋体" w:cs="@仿宋_GB2312"/>
          <w:color w:val="auto"/>
          <w:kern w:val="2"/>
          <w:sz w:val="24"/>
          <w:szCs w:val="22"/>
          <w:highlight w:val="none"/>
          <w:lang w:val="en-US" w:eastAsia="zh-CN"/>
        </w:rPr>
        <w:t>对有防水要求的段落应对占用管孔及子管进行可靠的防水封堵，并进行防水渗漏试验，确保无渗漏。</w:t>
      </w:r>
    </w:p>
    <w:p w14:paraId="09D5EFE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2.5</w:t>
      </w:r>
      <w:r>
        <w:rPr>
          <w:rFonts w:hint="eastAsia" w:ascii="宋体" w:hAnsi="宋体" w:eastAsia="宋体" w:cs="@仿宋_GB2312"/>
          <w:color w:val="auto"/>
          <w:kern w:val="2"/>
          <w:sz w:val="24"/>
          <w:szCs w:val="22"/>
          <w:highlight w:val="none"/>
          <w:lang w:val="en-US" w:eastAsia="zh-CN"/>
        </w:rPr>
        <w:t>.4光缆接续及接头安装要求</w:t>
      </w:r>
    </w:p>
    <w:p w14:paraId="1DE2D77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w:t>
      </w:r>
      <w:r>
        <w:rPr>
          <w:rFonts w:hint="eastAsia" w:ascii="宋体" w:hAnsi="宋体" w:eastAsia="宋体" w:cs="@仿宋_GB2312"/>
          <w:color w:val="auto"/>
          <w:kern w:val="2"/>
          <w:sz w:val="24"/>
          <w:szCs w:val="22"/>
          <w:highlight w:val="none"/>
          <w:lang w:val="en-US" w:eastAsia="zh-CN"/>
        </w:rPr>
        <w:t>光缆接续和测试人员必须经过专门技术培训后，才能上岗工作。</w:t>
      </w:r>
    </w:p>
    <w:p w14:paraId="03873B4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光缆接头的设置，按照光缆配盘情况并尽量减少接头数量，从而减少光纤的衰减和降低工程造价。除正常光缆接续点以外，在光缆需连续引上和引下等光缆单盘连续敷设有困难的特殊地段需要设置光缆接头。</w:t>
      </w:r>
    </w:p>
    <w:p w14:paraId="4889F72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(3)</w:t>
      </w:r>
      <w:r>
        <w:rPr>
          <w:rFonts w:hint="eastAsia" w:ascii="宋体" w:hAnsi="宋体" w:eastAsia="宋体" w:cs="@仿宋_GB2312"/>
          <w:color w:val="auto"/>
          <w:kern w:val="2"/>
          <w:sz w:val="24"/>
          <w:szCs w:val="22"/>
          <w:highlight w:val="none"/>
          <w:lang w:val="en-US" w:eastAsia="zh-CN"/>
        </w:rPr>
        <w:t>光纤固定接头采用熔接法，且光纤接头衰减应从严控制，光纤接头损耗应达到设计规定值：单纤平均接头损耗≤0.06dB。</w:t>
      </w:r>
    </w:p>
    <w:p w14:paraId="085C579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(4)</w:t>
      </w:r>
      <w:r>
        <w:rPr>
          <w:rFonts w:hint="eastAsia" w:ascii="宋体" w:hAnsi="宋体" w:eastAsia="宋体" w:cs="@仿宋_GB2312"/>
          <w:color w:val="auto"/>
          <w:kern w:val="2"/>
          <w:sz w:val="24"/>
          <w:szCs w:val="22"/>
          <w:highlight w:val="none"/>
          <w:lang w:val="en-US" w:eastAsia="zh-CN"/>
        </w:rPr>
        <w:t>光缆加强件在接头处应有强度可靠的连接（高压感应区、雷区等需要采用防护措施的特殊地段除外），接头盒设置地点应考虑安全、稳固，应设置在安全和便于维护抢修的地点，尽量避免设置在桥涵、水底等地点。</w:t>
      </w:r>
    </w:p>
    <w:p w14:paraId="06D3C36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(5)</w:t>
      </w:r>
      <w:r>
        <w:rPr>
          <w:rFonts w:hint="eastAsia" w:ascii="宋体" w:hAnsi="宋体" w:eastAsia="宋体" w:cs="@仿宋_GB2312"/>
          <w:color w:val="auto"/>
          <w:kern w:val="2"/>
          <w:sz w:val="24"/>
          <w:szCs w:val="22"/>
          <w:highlight w:val="none"/>
          <w:lang w:val="en-US" w:eastAsia="zh-CN"/>
        </w:rPr>
        <w:t>管道光缆接头在手孔中位置的确定，应便于施工维护。</w:t>
      </w:r>
    </w:p>
    <w:p w14:paraId="48E399F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(6)</w:t>
      </w:r>
      <w:r>
        <w:rPr>
          <w:rFonts w:hint="eastAsia" w:ascii="宋体" w:hAnsi="宋体" w:eastAsia="宋体" w:cs="@仿宋_GB2312"/>
          <w:color w:val="auto"/>
          <w:kern w:val="2"/>
          <w:sz w:val="24"/>
          <w:szCs w:val="22"/>
          <w:highlight w:val="none"/>
          <w:lang w:val="en-US" w:eastAsia="zh-CN"/>
        </w:rPr>
        <w:t>光缆接续前应核对光纤纤序，光纤接续后不得出现纤序错接，另需放置按规定标识的接续卡。</w:t>
      </w:r>
    </w:p>
    <w:p w14:paraId="15E53BD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(7)</w:t>
      </w:r>
      <w:r>
        <w:rPr>
          <w:rFonts w:hint="eastAsia" w:ascii="宋体" w:hAnsi="宋体" w:eastAsia="宋体" w:cs="@仿宋_GB2312"/>
          <w:color w:val="auto"/>
          <w:kern w:val="2"/>
          <w:sz w:val="24"/>
          <w:szCs w:val="22"/>
          <w:highlight w:val="none"/>
          <w:lang w:val="en-US" w:eastAsia="zh-CN"/>
        </w:rPr>
        <w:t>光纤预留在接头盒内应保证足够的盘绕半径，并无挤压、松动。</w:t>
      </w:r>
    </w:p>
    <w:p w14:paraId="35006CF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(8)</w:t>
      </w:r>
      <w:r>
        <w:rPr>
          <w:rFonts w:hint="eastAsia" w:ascii="宋体" w:hAnsi="宋体" w:eastAsia="宋体" w:cs="@仿宋_GB2312"/>
          <w:color w:val="auto"/>
          <w:kern w:val="2"/>
          <w:sz w:val="24"/>
          <w:szCs w:val="22"/>
          <w:highlight w:val="none"/>
          <w:lang w:val="en-US" w:eastAsia="zh-CN"/>
        </w:rPr>
        <w:t>光纤接头损耗及纤长应在施工现场及时作好记录。</w:t>
      </w:r>
    </w:p>
    <w:p w14:paraId="79A67C8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2.5</w:t>
      </w:r>
      <w:r>
        <w:rPr>
          <w:rFonts w:hint="eastAsia" w:ascii="宋体" w:hAnsi="宋体" w:eastAsia="宋体" w:cs="@仿宋_GB2312"/>
          <w:color w:val="auto"/>
          <w:kern w:val="2"/>
          <w:sz w:val="24"/>
          <w:szCs w:val="22"/>
          <w:highlight w:val="none"/>
          <w:lang w:val="en-US" w:eastAsia="zh-CN"/>
        </w:rPr>
        <w:t>.5穿堤手井施工图(施工参考下图标准),尺寸及砌筑材料满足要求,详见附图1</w:t>
      </w:r>
    </w:p>
    <w:p w14:paraId="1DFD3932">
      <w:pPr>
        <w:pStyle w:val="13"/>
        <w:ind w:firstLine="480" w:firstLineChars="200"/>
        <w:jc w:val="center"/>
        <w:outlineLvl w:val="9"/>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045710" cy="3537585"/>
            <wp:effectExtent l="0" t="0" r="2540" b="5715"/>
            <wp:docPr id="4" name="图片 4" descr="174055234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40552349203"/>
                    <pic:cNvPicPr>
                      <a:picLocks noChangeAspect="1"/>
                    </pic:cNvPicPr>
                  </pic:nvPicPr>
                  <pic:blipFill>
                    <a:blip r:embed="rId20"/>
                    <a:stretch>
                      <a:fillRect/>
                    </a:stretch>
                  </pic:blipFill>
                  <pic:spPr>
                    <a:xfrm>
                      <a:off x="0" y="0"/>
                      <a:ext cx="5045710" cy="3537585"/>
                    </a:xfrm>
                    <a:prstGeom prst="rect">
                      <a:avLst/>
                    </a:prstGeom>
                  </pic:spPr>
                </pic:pic>
              </a:graphicData>
            </a:graphic>
          </wp:inline>
        </w:drawing>
      </w:r>
    </w:p>
    <w:p w14:paraId="4283762A">
      <w:pPr>
        <w:pStyle w:val="5"/>
        <w:bidi w:val="0"/>
        <w:rPr>
          <w:rFonts w:hint="eastAsia"/>
          <w:highlight w:val="none"/>
          <w:lang w:val="en-US" w:eastAsia="zh-CN"/>
        </w:rPr>
      </w:pPr>
      <w:r>
        <w:rPr>
          <w:rFonts w:hint="eastAsia"/>
          <w:highlight w:val="none"/>
          <w:lang w:val="en-US" w:eastAsia="zh-CN"/>
        </w:rPr>
        <w:t>2.6鲁口重点视频光电复合缆敷设要求</w:t>
      </w:r>
    </w:p>
    <w:p w14:paraId="1016F78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一、</w:t>
      </w:r>
      <w:r>
        <w:rPr>
          <w:rFonts w:hint="eastAsia" w:ascii="宋体" w:hAnsi="宋体" w:eastAsia="宋体" w:cs="@仿宋_GB2312"/>
          <w:color w:val="auto"/>
          <w:kern w:val="2"/>
          <w:sz w:val="24"/>
          <w:szCs w:val="22"/>
          <w:highlight w:val="none"/>
          <w:lang w:val="en-US" w:eastAsia="zh-CN"/>
        </w:rPr>
        <w:t>光缆敷设施工要求</w:t>
      </w:r>
    </w:p>
    <w:p w14:paraId="120B63D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w:t>
      </w:r>
      <w:r>
        <w:rPr>
          <w:rFonts w:hint="eastAsia" w:cs="@仿宋_GB2312"/>
          <w:color w:val="auto"/>
          <w:kern w:val="2"/>
          <w:sz w:val="24"/>
          <w:szCs w:val="22"/>
          <w:highlight w:val="none"/>
          <w:lang w:val="en-US" w:eastAsia="zh-CN"/>
        </w:rPr>
        <w:t>管理区域外</w:t>
      </w:r>
      <w:r>
        <w:rPr>
          <w:rFonts w:hint="eastAsia" w:ascii="宋体" w:hAnsi="宋体" w:eastAsia="宋体" w:cs="@仿宋_GB2312"/>
          <w:color w:val="auto"/>
          <w:kern w:val="2"/>
          <w:sz w:val="24"/>
          <w:szCs w:val="22"/>
          <w:highlight w:val="none"/>
          <w:lang w:val="en-US" w:eastAsia="zh-CN"/>
        </w:rPr>
        <w:t>光缆埋深不小于</w:t>
      </w:r>
      <w:r>
        <w:rPr>
          <w:rFonts w:hint="eastAsia" w:cs="@仿宋_GB2312"/>
          <w:b/>
          <w:bCs/>
          <w:color w:val="auto"/>
          <w:kern w:val="2"/>
          <w:sz w:val="24"/>
          <w:szCs w:val="22"/>
          <w:highlight w:val="none"/>
          <w:lang w:val="en-US" w:eastAsia="zh-CN"/>
        </w:rPr>
        <w:t>1</w:t>
      </w:r>
      <w:r>
        <w:rPr>
          <w:rFonts w:hint="eastAsia" w:ascii="宋体" w:hAnsi="宋体" w:eastAsia="宋体" w:cs="@仿宋_GB2312"/>
          <w:b/>
          <w:bCs/>
          <w:color w:val="auto"/>
          <w:kern w:val="2"/>
          <w:sz w:val="24"/>
          <w:szCs w:val="22"/>
          <w:highlight w:val="none"/>
          <w:lang w:val="en-US" w:eastAsia="zh-CN"/>
        </w:rPr>
        <w:t>m</w:t>
      </w:r>
      <w:r>
        <w:rPr>
          <w:rFonts w:hint="eastAsia" w:ascii="宋体" w:hAnsi="宋体" w:eastAsia="宋体" w:cs="@仿宋_GB2312"/>
          <w:color w:val="auto"/>
          <w:kern w:val="2"/>
          <w:sz w:val="24"/>
          <w:szCs w:val="22"/>
          <w:highlight w:val="none"/>
          <w:lang w:val="en-US" w:eastAsia="zh-CN"/>
        </w:rPr>
        <w:t>，沟底应平整，并在沟底和光缆上方各铺10cm的软土细沙。缆与公路及易受重压地段采用</w:t>
      </w:r>
      <w:r>
        <w:rPr>
          <w:rFonts w:hint="eastAsia" w:cs="@仿宋_GB2312"/>
          <w:color w:val="auto"/>
          <w:kern w:val="2"/>
          <w:sz w:val="24"/>
          <w:szCs w:val="22"/>
          <w:highlight w:val="none"/>
          <w:lang w:val="en-US" w:eastAsia="zh-CN"/>
        </w:rPr>
        <w:t>镀锌钢管穿管保护</w:t>
      </w:r>
      <w:r>
        <w:rPr>
          <w:rFonts w:hint="eastAsia" w:ascii="宋体" w:hAnsi="宋体" w:eastAsia="宋体" w:cs="@仿宋_GB2312"/>
          <w:color w:val="auto"/>
          <w:kern w:val="2"/>
          <w:sz w:val="24"/>
          <w:szCs w:val="22"/>
          <w:highlight w:val="none"/>
          <w:lang w:val="en-US" w:eastAsia="zh-CN"/>
        </w:rPr>
        <w:t>。</w:t>
      </w:r>
    </w:p>
    <w:p w14:paraId="67D0762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光缆应按照设计配盘并结合手井的施工情况进行合理配盘。</w:t>
      </w:r>
    </w:p>
    <w:p w14:paraId="037FD00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(3)</w:t>
      </w:r>
      <w:r>
        <w:rPr>
          <w:rFonts w:hint="eastAsia" w:ascii="宋体" w:hAnsi="宋体" w:eastAsia="宋体" w:cs="@仿宋_GB2312"/>
          <w:color w:val="auto"/>
          <w:kern w:val="2"/>
          <w:sz w:val="24"/>
          <w:szCs w:val="22"/>
          <w:highlight w:val="none"/>
          <w:lang w:val="en-US" w:eastAsia="zh-CN"/>
        </w:rPr>
        <w:t>光缆到货后应进行单盘测试，并将单盘测试记录与光缆出厂测试记录相比较确定合格后归档。</w:t>
      </w:r>
    </w:p>
    <w:p w14:paraId="21CE55C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(4)</w:t>
      </w:r>
      <w:r>
        <w:rPr>
          <w:rFonts w:hint="eastAsia" w:ascii="宋体" w:hAnsi="宋体" w:eastAsia="宋体" w:cs="@仿宋_GB2312"/>
          <w:color w:val="auto"/>
          <w:kern w:val="2"/>
          <w:sz w:val="24"/>
          <w:szCs w:val="22"/>
          <w:highlight w:val="none"/>
          <w:lang w:val="en-US" w:eastAsia="zh-CN"/>
        </w:rPr>
        <w:t>光缆敷设施工中，应当保证光缆外护套的完整性。</w:t>
      </w:r>
    </w:p>
    <w:p w14:paraId="334BB97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(5)</w:t>
      </w:r>
      <w:r>
        <w:rPr>
          <w:rFonts w:hint="eastAsia" w:ascii="宋体" w:hAnsi="宋体" w:eastAsia="宋体" w:cs="@仿宋_GB2312"/>
          <w:color w:val="auto"/>
          <w:kern w:val="2"/>
          <w:sz w:val="24"/>
          <w:szCs w:val="22"/>
          <w:highlight w:val="none"/>
          <w:lang w:val="en-US" w:eastAsia="zh-CN"/>
        </w:rPr>
        <w:t>光缆敷设安装的最小曲率半径应符合规定。</w:t>
      </w:r>
    </w:p>
    <w:p w14:paraId="65FAA24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(6)</w:t>
      </w:r>
      <w:r>
        <w:rPr>
          <w:rFonts w:hint="eastAsia" w:ascii="宋体" w:hAnsi="宋体" w:eastAsia="宋体" w:cs="@仿宋_GB2312"/>
          <w:color w:val="auto"/>
          <w:kern w:val="2"/>
          <w:sz w:val="24"/>
          <w:szCs w:val="22"/>
          <w:highlight w:val="none"/>
          <w:lang w:val="en-US" w:eastAsia="zh-CN"/>
        </w:rPr>
        <w:t>光缆如在局部改变外护层结构，且光缆可以满足敷设条件要求的，可不换程式以减少光缆接头。</w:t>
      </w:r>
    </w:p>
    <w:p w14:paraId="0479912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(7)</w:t>
      </w:r>
      <w:r>
        <w:rPr>
          <w:rFonts w:hint="eastAsia" w:ascii="宋体" w:hAnsi="宋体" w:eastAsia="宋体" w:cs="@仿宋_GB2312"/>
          <w:color w:val="auto"/>
          <w:kern w:val="2"/>
          <w:sz w:val="24"/>
          <w:szCs w:val="22"/>
          <w:highlight w:val="none"/>
          <w:lang w:val="en-US" w:eastAsia="zh-CN"/>
        </w:rPr>
        <w:t>整盘光缆可由中间向两边双向布放，也可由一端向另一端连续布放。</w:t>
      </w:r>
    </w:p>
    <w:p w14:paraId="71BAD94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(8)</w:t>
      </w:r>
      <w:r>
        <w:rPr>
          <w:rFonts w:hint="eastAsia" w:ascii="宋体" w:hAnsi="宋体" w:eastAsia="宋体" w:cs="@仿宋_GB2312"/>
          <w:color w:val="auto"/>
          <w:kern w:val="2"/>
          <w:sz w:val="24"/>
          <w:szCs w:val="22"/>
          <w:highlight w:val="none"/>
          <w:lang w:val="en-US" w:eastAsia="zh-CN"/>
        </w:rPr>
        <w:t>光缆布放完毕，应在各手孔内安装光缆标牌，标牌沿手孔一侧绑扎固定，并采用纵刨塑料管或蛇皮管进行保护。</w:t>
      </w:r>
    </w:p>
    <w:p w14:paraId="0D3467A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(9)</w:t>
      </w:r>
      <w:r>
        <w:rPr>
          <w:rFonts w:hint="eastAsia" w:ascii="宋体" w:hAnsi="宋体" w:eastAsia="宋体" w:cs="@仿宋_GB2312"/>
          <w:color w:val="auto"/>
          <w:kern w:val="2"/>
          <w:sz w:val="24"/>
          <w:szCs w:val="22"/>
          <w:highlight w:val="none"/>
          <w:lang w:val="en-US" w:eastAsia="zh-CN"/>
        </w:rPr>
        <w:t>光缆的预留除设计要求中规定的以外，还应根据建设地实际情况进行设置。光缆预留点已设置手孔的，一般在手孔内作光缆盘留。</w:t>
      </w:r>
    </w:p>
    <w:p w14:paraId="2F1B475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(10)</w:t>
      </w:r>
      <w:r>
        <w:rPr>
          <w:rFonts w:hint="eastAsia" w:ascii="宋体" w:hAnsi="宋体" w:eastAsia="宋体" w:cs="@仿宋_GB2312"/>
          <w:color w:val="auto"/>
          <w:kern w:val="2"/>
          <w:sz w:val="24"/>
          <w:szCs w:val="22"/>
          <w:highlight w:val="none"/>
          <w:lang w:val="en-US" w:eastAsia="zh-CN"/>
        </w:rPr>
        <w:t>在钢管或其他类似材质的管道中敷设光缆时应视情况使用塑料子管以保护光缆。在塑料管道中敷设时，在大孔径塑管中应敷设多根塑料子管以节省空间。</w:t>
      </w:r>
    </w:p>
    <w:p w14:paraId="6D94D7B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(11)</w:t>
      </w:r>
      <w:r>
        <w:rPr>
          <w:rFonts w:hint="eastAsia" w:ascii="宋体" w:hAnsi="宋体" w:eastAsia="宋体" w:cs="@仿宋_GB2312"/>
          <w:color w:val="auto"/>
          <w:kern w:val="2"/>
          <w:sz w:val="24"/>
          <w:szCs w:val="22"/>
          <w:highlight w:val="none"/>
          <w:lang w:val="en-US" w:eastAsia="zh-CN"/>
        </w:rPr>
        <w:t>光缆接头盒在手孔内宜安装在常年积水水位以上的位置，采用保护托架或其他方法承托。</w:t>
      </w:r>
    </w:p>
    <w:p w14:paraId="514E1D2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(12)</w:t>
      </w:r>
      <w:r>
        <w:rPr>
          <w:rFonts w:hint="eastAsia" w:ascii="宋体" w:hAnsi="宋体" w:eastAsia="宋体" w:cs="@仿宋_GB2312"/>
          <w:color w:val="auto"/>
          <w:kern w:val="2"/>
          <w:sz w:val="24"/>
          <w:szCs w:val="22"/>
          <w:highlight w:val="none"/>
          <w:lang w:val="en-US" w:eastAsia="zh-CN"/>
        </w:rPr>
        <w:t>对有防水要求的段落应对占用管孔及子管进行可靠的防水封堵，并进行防水渗漏试验，确保无渗漏。</w:t>
      </w:r>
    </w:p>
    <w:p w14:paraId="1226F33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二、</w:t>
      </w:r>
      <w:r>
        <w:rPr>
          <w:rFonts w:hint="eastAsia" w:ascii="宋体" w:hAnsi="宋体" w:eastAsia="宋体" w:cs="@仿宋_GB2312"/>
          <w:color w:val="auto"/>
          <w:kern w:val="2"/>
          <w:sz w:val="24"/>
          <w:szCs w:val="22"/>
          <w:highlight w:val="none"/>
          <w:lang w:val="en-US" w:eastAsia="zh-CN"/>
        </w:rPr>
        <w:t>堤防</w:t>
      </w:r>
      <w:r>
        <w:rPr>
          <w:rFonts w:hint="eastAsia" w:cs="@仿宋_GB2312"/>
          <w:color w:val="auto"/>
          <w:kern w:val="2"/>
          <w:sz w:val="24"/>
          <w:szCs w:val="22"/>
          <w:highlight w:val="none"/>
          <w:lang w:val="en-US" w:eastAsia="zh-CN"/>
        </w:rPr>
        <w:t>穿堤</w:t>
      </w:r>
      <w:r>
        <w:rPr>
          <w:rFonts w:hint="eastAsia" w:ascii="宋体" w:hAnsi="宋体" w:eastAsia="宋体" w:cs="@仿宋_GB2312"/>
          <w:color w:val="auto"/>
          <w:kern w:val="2"/>
          <w:sz w:val="24"/>
          <w:szCs w:val="22"/>
          <w:highlight w:val="none"/>
          <w:lang w:val="en-US" w:eastAsia="zh-CN"/>
        </w:rPr>
        <w:t>机械顶管</w:t>
      </w:r>
      <w:r>
        <w:rPr>
          <w:rFonts w:hint="eastAsia" w:cs="@仿宋_GB2312"/>
          <w:color w:val="auto"/>
          <w:kern w:val="2"/>
          <w:sz w:val="24"/>
          <w:szCs w:val="22"/>
          <w:highlight w:val="none"/>
          <w:lang w:val="en-US" w:eastAsia="zh-CN"/>
        </w:rPr>
        <w:t>要求</w:t>
      </w:r>
    </w:p>
    <w:p w14:paraId="3975DEAE">
      <w:pPr>
        <w:pageBreakBefore w:val="0"/>
        <w:widowControl w:val="0"/>
        <w:numPr>
          <w:ilvl w:val="0"/>
          <w:numId w:val="4"/>
        </w:numPr>
        <w:kinsoku/>
        <w:wordWrap/>
        <w:overflowPunct/>
        <w:topLinePunct w:val="0"/>
        <w:autoSpaceDE/>
        <w:autoSpaceDN/>
        <w:bidi w:val="0"/>
        <w:adjustRightInd/>
        <w:snapToGrid/>
        <w:spacing w:line="360" w:lineRule="auto"/>
        <w:ind w:left="845" w:leftChars="0" w:hanging="425" w:firstLineChars="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管材：优先选Q235B无缝钢套管；</w:t>
      </w:r>
    </w:p>
    <w:p w14:paraId="645830B1">
      <w:pPr>
        <w:pageBreakBefore w:val="0"/>
        <w:widowControl w:val="0"/>
        <w:numPr>
          <w:ilvl w:val="0"/>
          <w:numId w:val="4"/>
        </w:numPr>
        <w:kinsoku/>
        <w:wordWrap/>
        <w:overflowPunct/>
        <w:topLinePunct w:val="0"/>
        <w:autoSpaceDE/>
        <w:autoSpaceDN/>
        <w:bidi w:val="0"/>
        <w:adjustRightInd/>
        <w:snapToGrid/>
        <w:spacing w:line="360" w:lineRule="auto"/>
        <w:ind w:left="845" w:leftChars="0" w:hanging="425" w:firstLineChars="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套管内径：大于内部子管总外径≥1.5 倍；</w:t>
      </w:r>
    </w:p>
    <w:p w14:paraId="0C9016D5">
      <w:pPr>
        <w:pageBreakBefore w:val="0"/>
        <w:widowControl w:val="0"/>
        <w:numPr>
          <w:ilvl w:val="0"/>
          <w:numId w:val="4"/>
        </w:numPr>
        <w:kinsoku/>
        <w:wordWrap/>
        <w:overflowPunct/>
        <w:topLinePunct w:val="0"/>
        <w:autoSpaceDE/>
        <w:autoSpaceDN/>
        <w:bidi w:val="0"/>
        <w:adjustRightInd/>
        <w:snapToGrid/>
        <w:spacing w:line="360" w:lineRule="auto"/>
        <w:ind w:left="845" w:leftChars="0" w:hanging="425" w:firstLineChars="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钢套管防腐：外壁环氧煤沥青重防腐，内壁防腐；</w:t>
      </w:r>
    </w:p>
    <w:p w14:paraId="1C0DB1A4">
      <w:pPr>
        <w:pageBreakBefore w:val="0"/>
        <w:widowControl w:val="0"/>
        <w:numPr>
          <w:ilvl w:val="0"/>
          <w:numId w:val="4"/>
        </w:numPr>
        <w:kinsoku/>
        <w:wordWrap/>
        <w:overflowPunct/>
        <w:topLinePunct w:val="0"/>
        <w:autoSpaceDE/>
        <w:autoSpaceDN/>
        <w:bidi w:val="0"/>
        <w:adjustRightInd/>
        <w:snapToGrid/>
        <w:spacing w:line="360" w:lineRule="auto"/>
        <w:ind w:left="845" w:leftChars="0" w:hanging="425" w:firstLineChars="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光缆（光电复合缆）后期牵引穿放；弯曲半径、牵引拉力符合通信规范；禁止在套管内做光缆熔接接头。</w:t>
      </w:r>
    </w:p>
    <w:p w14:paraId="5DBDE438">
      <w:pPr>
        <w:pageBreakBefore w:val="0"/>
        <w:widowControl w:val="0"/>
        <w:numPr>
          <w:ilvl w:val="0"/>
          <w:numId w:val="4"/>
        </w:numPr>
        <w:kinsoku/>
        <w:wordWrap/>
        <w:overflowPunct/>
        <w:topLinePunct w:val="0"/>
        <w:autoSpaceDE/>
        <w:autoSpaceDN/>
        <w:bidi w:val="0"/>
        <w:adjustRightInd/>
        <w:snapToGrid/>
        <w:spacing w:line="360" w:lineRule="auto"/>
        <w:ind w:left="845" w:leftChars="0" w:hanging="425" w:firstLineChars="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套管内保持排水，管口做滴水弯，防止积水浸泡缆线。</w:t>
      </w:r>
    </w:p>
    <w:p w14:paraId="7D48D59D">
      <w:pPr>
        <w:pStyle w:val="5"/>
        <w:bidi w:val="0"/>
        <w:rPr>
          <w:rFonts w:hint="eastAsia"/>
          <w:highlight w:val="none"/>
          <w:lang w:val="en-US" w:eastAsia="zh-CN"/>
        </w:rPr>
      </w:pPr>
      <w:r>
        <w:rPr>
          <w:rFonts w:hint="eastAsia"/>
          <w:highlight w:val="none"/>
          <w:lang w:val="en-US" w:eastAsia="zh-CN"/>
        </w:rPr>
        <w:t>2.7涵闸防雷接地</w:t>
      </w:r>
    </w:p>
    <w:p w14:paraId="50D27AD5">
      <w:pPr>
        <w:numPr>
          <w:ilvl w:val="0"/>
          <w:numId w:val="5"/>
        </w:num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工艺要求:</w:t>
      </w:r>
    </w:p>
    <w:p w14:paraId="48BEF875">
      <w:pPr>
        <w:numPr>
          <w:ilvl w:val="0"/>
          <w:numId w:val="6"/>
        </w:num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所有接地扁钢材料均须经热镀锌处理，接地扁钢采用扁钢。</w:t>
      </w:r>
    </w:p>
    <w:p w14:paraId="1743BE42">
      <w:pPr>
        <w:numPr>
          <w:ilvl w:val="0"/>
          <w:numId w:val="6"/>
        </w:num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接地线的连接应采用焊接，焊接处应作防腐处理，露出地面的地线和接头应采用防锈措施，如刷沥青、黑漆等。</w:t>
      </w:r>
    </w:p>
    <w:p w14:paraId="4D87E2B6">
      <w:p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二、安装要求:</w:t>
      </w:r>
    </w:p>
    <w:p w14:paraId="3167F27B">
      <w:p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应符合现行国家标准《电气装置安装工程电缆线路施工及验收规范》的有关规定；接地体的焊接应采用搭焊，搭焊长度为圆钢直径的6倍；接地体安装点下方应无任何管道、线缆经过。</w:t>
      </w:r>
    </w:p>
    <w:p w14:paraId="38200E82">
      <w:p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三、涵闸防雷及接地</w:t>
      </w:r>
    </w:p>
    <w:p w14:paraId="503B6942">
      <w:pPr>
        <w:numPr>
          <w:ilvl w:val="0"/>
          <w:numId w:val="7"/>
        </w:numPr>
        <w:spacing w:line="360" w:lineRule="auto"/>
        <w:ind w:left="845" w:leftChars="0" w:hanging="425" w:firstLineChars="0"/>
        <w:rPr>
          <w:rFonts w:hint="eastAsia"/>
          <w:sz w:val="24"/>
          <w:szCs w:val="24"/>
          <w:highlight w:val="none"/>
          <w:lang w:val="en-US" w:eastAsia="zh-CN"/>
        </w:rPr>
      </w:pPr>
      <w:r>
        <w:rPr>
          <w:rFonts w:hint="eastAsia"/>
          <w:sz w:val="24"/>
          <w:szCs w:val="24"/>
          <w:highlight w:val="none"/>
          <w:lang w:val="en-US" w:eastAsia="zh-CN"/>
        </w:rPr>
        <w:t>安装位置附近无可利用的接地系统时，必须单独设计地网，地网的制作规格如下：</w:t>
      </w:r>
    </w:p>
    <w:p w14:paraId="2DDAC029">
      <w:pPr>
        <w:numPr>
          <w:ilvl w:val="0"/>
          <w:numId w:val="7"/>
        </w:numPr>
        <w:spacing w:line="360" w:lineRule="auto"/>
        <w:ind w:left="845" w:leftChars="0" w:hanging="425" w:firstLineChars="0"/>
        <w:rPr>
          <w:rFonts w:hint="eastAsia"/>
          <w:sz w:val="24"/>
          <w:szCs w:val="24"/>
          <w:highlight w:val="none"/>
          <w:lang w:val="en-US" w:eastAsia="zh-CN"/>
        </w:rPr>
      </w:pPr>
      <w:r>
        <w:rPr>
          <w:rFonts w:hint="eastAsia"/>
          <w:sz w:val="24"/>
          <w:szCs w:val="24"/>
          <w:highlight w:val="none"/>
          <w:lang w:val="en-US" w:eastAsia="zh-CN"/>
        </w:rPr>
        <w:t>接地体通常使用φ50×4mm热镀锌角钢，接地体之间用40mm×4mm热镀锌扁钢可靠焊接，焊接长度大于10cm。</w:t>
      </w:r>
    </w:p>
    <w:p w14:paraId="7689A30D">
      <w:pPr>
        <w:numPr>
          <w:ilvl w:val="0"/>
          <w:numId w:val="7"/>
        </w:numPr>
        <w:spacing w:line="360" w:lineRule="auto"/>
        <w:ind w:left="845" w:leftChars="0" w:hanging="425" w:firstLineChars="0"/>
        <w:rPr>
          <w:rFonts w:hint="eastAsia"/>
          <w:sz w:val="24"/>
          <w:szCs w:val="24"/>
          <w:highlight w:val="none"/>
          <w:lang w:val="en-US" w:eastAsia="zh-CN"/>
        </w:rPr>
      </w:pPr>
      <w:r>
        <w:rPr>
          <w:rFonts w:hint="eastAsia"/>
          <w:sz w:val="24"/>
          <w:szCs w:val="24"/>
          <w:highlight w:val="none"/>
          <w:lang w:val="en-US" w:eastAsia="zh-CN"/>
        </w:rPr>
        <w:t>接地体数量根据土质而定，如接地电阻达不到要求，可以增加接地体的数量。</w:t>
      </w:r>
    </w:p>
    <w:p w14:paraId="17EBC335">
      <w:pPr>
        <w:numPr>
          <w:ilvl w:val="0"/>
          <w:numId w:val="7"/>
        </w:numPr>
        <w:spacing w:line="360" w:lineRule="auto"/>
        <w:ind w:left="845" w:leftChars="0" w:hanging="425" w:firstLineChars="0"/>
        <w:rPr>
          <w:rFonts w:hint="eastAsia"/>
          <w:sz w:val="24"/>
          <w:szCs w:val="24"/>
          <w:highlight w:val="none"/>
          <w:lang w:val="en-US" w:eastAsia="zh-CN"/>
        </w:rPr>
      </w:pPr>
      <w:r>
        <w:rPr>
          <w:rFonts w:hint="eastAsia"/>
          <w:sz w:val="24"/>
          <w:szCs w:val="24"/>
          <w:highlight w:val="none"/>
          <w:lang w:val="en-US" w:eastAsia="zh-CN"/>
        </w:rPr>
        <w:t>接地体安装完成后，应使用接地摇表测量接地电阻大小，要求接地电阻小于4Ω。</w:t>
      </w:r>
    </w:p>
    <w:p w14:paraId="1B69B7D9">
      <w:pPr>
        <w:numPr>
          <w:ilvl w:val="0"/>
          <w:numId w:val="7"/>
        </w:numPr>
        <w:spacing w:line="360" w:lineRule="auto"/>
        <w:ind w:left="845" w:leftChars="0" w:hanging="425" w:firstLineChars="0"/>
        <w:rPr>
          <w:rFonts w:hint="eastAsia"/>
          <w:sz w:val="24"/>
          <w:szCs w:val="24"/>
          <w:highlight w:val="none"/>
          <w:lang w:val="en-US" w:eastAsia="zh-CN"/>
        </w:rPr>
      </w:pPr>
      <w:r>
        <w:rPr>
          <w:rFonts w:hint="eastAsia"/>
          <w:sz w:val="24"/>
          <w:szCs w:val="24"/>
          <w:highlight w:val="none"/>
          <w:lang w:val="en-US" w:eastAsia="zh-CN"/>
        </w:rPr>
        <w:t>注意雨后不应立即测量电阻。</w:t>
      </w:r>
    </w:p>
    <w:p w14:paraId="708DA7AC">
      <w:p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接地体应作完善的防腐处理，接地体外型示意图如下所示：</w:t>
      </w:r>
    </w:p>
    <w:p w14:paraId="0B5B8194">
      <w:pPr>
        <w:spacing w:line="360" w:lineRule="auto"/>
        <w:rPr>
          <w:rFonts w:hint="eastAsia"/>
          <w:sz w:val="24"/>
          <w:szCs w:val="24"/>
          <w:highlight w:val="none"/>
          <w:lang w:val="en-US" w:eastAsia="zh-CN"/>
        </w:rPr>
      </w:pPr>
      <w:r>
        <w:rPr>
          <w:rFonts w:hint="eastAsia"/>
          <w:sz w:val="24"/>
          <w:szCs w:val="24"/>
          <w:highlight w:val="none"/>
          <w:lang w:val="en-US" w:eastAsia="zh-CN"/>
        </w:rPr>
        <w:drawing>
          <wp:inline distT="0" distB="0" distL="114300" distR="114300">
            <wp:extent cx="5469255" cy="2260600"/>
            <wp:effectExtent l="9525" t="9525" r="26670" b="15875"/>
            <wp:docPr id="5" name="图片 5" descr="0108b731-db37-4251-ad01-60f9d2bdc8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108b731-db37-4251-ad01-60f9d2bdc85d"/>
                    <pic:cNvPicPr>
                      <a:picLocks noChangeAspect="1"/>
                    </pic:cNvPicPr>
                  </pic:nvPicPr>
                  <pic:blipFill>
                    <a:blip r:embed="rId21"/>
                    <a:stretch>
                      <a:fillRect/>
                    </a:stretch>
                  </pic:blipFill>
                  <pic:spPr>
                    <a:xfrm>
                      <a:off x="0" y="0"/>
                      <a:ext cx="5469255" cy="2260600"/>
                    </a:xfrm>
                    <a:prstGeom prst="rect">
                      <a:avLst/>
                    </a:prstGeom>
                    <a:ln>
                      <a:solidFill>
                        <a:schemeClr val="tx1"/>
                      </a:solidFill>
                    </a:ln>
                  </pic:spPr>
                </pic:pic>
              </a:graphicData>
            </a:graphic>
          </wp:inline>
        </w:drawing>
      </w:r>
    </w:p>
    <w:p w14:paraId="40FBAF90">
      <w:pPr>
        <w:pStyle w:val="5"/>
        <w:bidi w:val="0"/>
        <w:rPr>
          <w:rFonts w:hint="eastAsia"/>
          <w:highlight w:val="none"/>
          <w:lang w:val="en-US" w:eastAsia="zh-CN"/>
        </w:rPr>
      </w:pPr>
      <w:r>
        <w:rPr>
          <w:rFonts w:hint="eastAsia"/>
          <w:highlight w:val="none"/>
          <w:lang w:val="en-US" w:eastAsia="zh-CN"/>
        </w:rPr>
        <w:t>2.8北淝闸水文数据接入</w:t>
      </w:r>
    </w:p>
    <w:p w14:paraId="63E46341">
      <w:pPr>
        <w:spacing w:line="360" w:lineRule="auto"/>
        <w:ind w:firstLine="480" w:firstLineChars="200"/>
        <w:rPr>
          <w:rFonts w:hint="default"/>
          <w:sz w:val="24"/>
          <w:szCs w:val="24"/>
          <w:highlight w:val="none"/>
          <w:lang w:val="en-US" w:eastAsia="zh-CN"/>
        </w:rPr>
      </w:pPr>
      <w:r>
        <w:rPr>
          <w:rFonts w:hint="default"/>
          <w:sz w:val="24"/>
          <w:szCs w:val="24"/>
          <w:highlight w:val="none"/>
          <w:lang w:val="en-US" w:eastAsia="zh-CN"/>
        </w:rPr>
        <w:t>北淝闸闸上现有水位监测数据存在采集不准、数据偏差等问题，无法满足日常水文监测、防汛调度及工情系统数据运维要求。</w:t>
      </w:r>
      <w:r>
        <w:rPr>
          <w:rFonts w:hint="eastAsia"/>
          <w:sz w:val="24"/>
          <w:szCs w:val="24"/>
          <w:highlight w:val="none"/>
          <w:lang w:val="en-US" w:eastAsia="zh-CN"/>
        </w:rPr>
        <w:t>上游水文亭水位为蚌埠市水文局建设采集，本次目标为北淝闸内河测水文数据共享接入。</w:t>
      </w:r>
    </w:p>
    <w:p w14:paraId="5EC87E29">
      <w:pPr>
        <w:spacing w:line="360" w:lineRule="auto"/>
        <w:ind w:firstLine="480" w:firstLineChars="200"/>
        <w:rPr>
          <w:rFonts w:hint="default"/>
          <w:sz w:val="24"/>
          <w:szCs w:val="24"/>
          <w:highlight w:val="none"/>
          <w:lang w:val="en-US" w:eastAsia="zh-CN"/>
        </w:rPr>
      </w:pPr>
      <w:r>
        <w:rPr>
          <w:rFonts w:hint="default"/>
          <w:sz w:val="24"/>
          <w:szCs w:val="24"/>
          <w:highlight w:val="none"/>
          <w:lang w:val="en-US" w:eastAsia="zh-CN"/>
        </w:rPr>
        <w:t>拟从上游水文亭水位监测设备接入标准水位信号，通过配套信号转换、传输、汇聚设备完成数据链路搭建，实现水位数据实时采集、传输、显示与存储</w:t>
      </w:r>
      <w:r>
        <w:rPr>
          <w:rFonts w:hint="eastAsia"/>
          <w:sz w:val="24"/>
          <w:szCs w:val="24"/>
          <w:highlight w:val="none"/>
          <w:lang w:val="en-US" w:eastAsia="zh-CN"/>
        </w:rPr>
        <w:t>。</w:t>
      </w:r>
      <w:r>
        <w:rPr>
          <w:rFonts w:hint="default"/>
          <w:sz w:val="24"/>
          <w:szCs w:val="24"/>
          <w:highlight w:val="none"/>
          <w:lang w:val="en-US" w:eastAsia="zh-CN"/>
        </w:rPr>
        <w:t>上游水位数据采用格雷码信号采集、转换、无线透传、网关汇聚的完整传输模式，具体传输链路如下：</w:t>
      </w:r>
    </w:p>
    <w:p w14:paraId="1A62E91A">
      <w:pPr>
        <w:spacing w:line="360" w:lineRule="auto"/>
        <w:ind w:firstLine="480" w:firstLineChars="200"/>
        <w:rPr>
          <w:rFonts w:hint="eastAsia"/>
          <w:sz w:val="24"/>
          <w:szCs w:val="24"/>
          <w:highlight w:val="none"/>
          <w:lang w:val="en-US" w:eastAsia="zh-CN"/>
        </w:rPr>
      </w:pPr>
      <w:r>
        <w:rPr>
          <w:rFonts w:hint="default"/>
          <w:sz w:val="24"/>
          <w:szCs w:val="24"/>
          <w:highlight w:val="none"/>
          <w:lang w:val="en-US" w:eastAsia="zh-CN"/>
        </w:rPr>
        <w:t>上游水位设备（水文亭格雷码信号）→格雷码一分二分配器设备→格雷码转485模块→无线透传LoRa设备（前端）→无线透传LoRa设备（终端）→工业网关设备→数据库→服务器设备</w:t>
      </w:r>
      <w:r>
        <w:rPr>
          <w:rFonts w:hint="eastAsia"/>
          <w:sz w:val="24"/>
          <w:szCs w:val="24"/>
          <w:highlight w:val="none"/>
          <w:lang w:val="en-US" w:eastAsia="zh-CN"/>
        </w:rPr>
        <w:t>。</w:t>
      </w:r>
    </w:p>
    <w:p w14:paraId="7D157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系统集成：①完成北淝闸计算机监控系统数据接入和界面修改；②完成五河局水闸自动化系统北淝闸数据接入和界面修改；③完成省淮河局水闸自动化系统北淝闸数据接入和界面修改；④完成安徽省淮河河道管理系统北淝闸数据接入和界面修改。</w:t>
      </w:r>
    </w:p>
    <w:p w14:paraId="22707CB0">
      <w:pPr>
        <w:spacing w:line="360" w:lineRule="auto"/>
        <w:ind w:firstLine="480" w:firstLineChars="200"/>
        <w:rPr>
          <w:rFonts w:hint="default"/>
          <w:sz w:val="24"/>
          <w:szCs w:val="24"/>
          <w:highlight w:val="none"/>
          <w:lang w:val="en-US" w:eastAsia="zh-CN"/>
        </w:rPr>
      </w:pPr>
    </w:p>
    <w:p w14:paraId="0BFF2B97">
      <w:pPr>
        <w:spacing w:line="360" w:lineRule="auto"/>
        <w:jc w:val="center"/>
        <w:rPr>
          <w:rFonts w:hint="default"/>
          <w:sz w:val="24"/>
          <w:szCs w:val="24"/>
          <w:highlight w:val="none"/>
          <w:lang w:val="en-US" w:eastAsia="zh-CN"/>
        </w:rPr>
      </w:pPr>
      <w:r>
        <w:rPr>
          <w:rFonts w:hint="eastAsia"/>
          <w:highlight w:val="none"/>
        </w:rPr>
        <w:drawing>
          <wp:inline distT="0" distB="0" distL="0" distR="0">
            <wp:extent cx="3837305" cy="2232025"/>
            <wp:effectExtent l="9525" t="9525" r="20320" b="25400"/>
            <wp:docPr id="2" name="图片 2" descr="a2392e171090e28171a1bf3079f6c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2392e171090e28171a1bf3079f6c03"/>
                    <pic:cNvPicPr>
                      <a:picLocks noChangeAspect="1" noChangeArrowheads="1"/>
                    </pic:cNvPicPr>
                  </pic:nvPicPr>
                  <pic:blipFill>
                    <a:blip r:embed="rId22"/>
                    <a:srcRect/>
                    <a:stretch>
                      <a:fillRect/>
                    </a:stretch>
                  </pic:blipFill>
                  <pic:spPr>
                    <a:xfrm>
                      <a:off x="0" y="0"/>
                      <a:ext cx="3837305" cy="2232025"/>
                    </a:xfrm>
                    <a:prstGeom prst="rect">
                      <a:avLst/>
                    </a:prstGeom>
                    <a:noFill/>
                    <a:ln w="9525">
                      <a:solidFill>
                        <a:schemeClr val="tx1"/>
                      </a:solidFill>
                      <a:miter lim="800000"/>
                      <a:headEnd/>
                      <a:tailEnd/>
                    </a:ln>
                  </pic:spPr>
                </pic:pic>
              </a:graphicData>
            </a:graphic>
          </wp:inline>
        </w:drawing>
      </w:r>
    </w:p>
    <w:p w14:paraId="40444992">
      <w:pPr>
        <w:pStyle w:val="5"/>
        <w:bidi w:val="0"/>
        <w:rPr>
          <w:rFonts w:hint="default"/>
          <w:b/>
          <w:bCs/>
          <w:highlight w:val="none"/>
          <w:lang w:val="en-US" w:eastAsia="en-US"/>
        </w:rPr>
      </w:pPr>
      <w:r>
        <w:rPr>
          <w:rFonts w:hint="eastAsia"/>
          <w:b/>
          <w:bCs/>
          <w:highlight w:val="none"/>
          <w:lang w:val="en-US" w:eastAsia="zh-CN"/>
        </w:rPr>
        <w:t>2.9</w:t>
      </w:r>
      <w:r>
        <w:rPr>
          <w:rFonts w:hint="default"/>
          <w:b/>
          <w:bCs/>
          <w:highlight w:val="none"/>
          <w:lang w:val="en-US" w:eastAsia="en-US"/>
        </w:rPr>
        <w:t>隔离通信安全网关</w:t>
      </w:r>
    </w:p>
    <w:p w14:paraId="73D257FF">
      <w:pPr>
        <w:spacing w:line="360" w:lineRule="auto"/>
        <w:ind w:firstLine="482" w:firstLineChars="200"/>
        <w:rPr>
          <w:rFonts w:hint="default"/>
          <w:b/>
          <w:bCs/>
          <w:color w:val="FF0000"/>
          <w:sz w:val="24"/>
          <w:szCs w:val="24"/>
          <w:highlight w:val="none"/>
          <w:lang w:val="en-US" w:eastAsia="zh-CN"/>
        </w:rPr>
      </w:pPr>
      <w:commentRangeStart w:id="0"/>
      <w:r>
        <w:rPr>
          <w:rFonts w:hint="eastAsia"/>
          <w:b/>
          <w:bCs/>
          <w:color w:val="FF0000"/>
          <w:sz w:val="24"/>
          <w:szCs w:val="24"/>
          <w:highlight w:val="none"/>
          <w:lang w:val="en-US" w:eastAsia="zh-CN"/>
        </w:rPr>
        <w:t>2.9.1 系统</w:t>
      </w:r>
    </w:p>
    <w:p w14:paraId="4E475941">
      <w:pPr>
        <w:spacing w:line="360" w:lineRule="auto"/>
        <w:ind w:firstLine="480" w:firstLineChars="200"/>
        <w:jc w:val="left"/>
        <w:rPr>
          <w:rFonts w:hint="eastAsia"/>
          <w:color w:val="FF0000"/>
          <w:sz w:val="24"/>
          <w:szCs w:val="24"/>
          <w:highlight w:val="none"/>
          <w:lang w:val="en-US" w:eastAsia="zh-CN"/>
        </w:rPr>
      </w:pPr>
      <w:r>
        <w:rPr>
          <w:rFonts w:hint="eastAsia"/>
          <w:color w:val="FF0000"/>
          <w:sz w:val="24"/>
          <w:szCs w:val="24"/>
          <w:highlight w:val="none"/>
          <w:lang w:val="en-US" w:eastAsia="zh-CN"/>
        </w:rPr>
        <w:t>2.9.1.1 处理器：不低于4*Cortex-A55@1.4GHz/1.8GHz,不低于1tops；</w:t>
      </w:r>
    </w:p>
    <w:p w14:paraId="76606E84">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2.9.1.2.内存：不低于LPDDR4，4GB；</w:t>
      </w:r>
    </w:p>
    <w:p w14:paraId="0DDE2B51">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2.9.1.3.EMMC：不低于32GB；</w:t>
      </w:r>
    </w:p>
    <w:p w14:paraId="06AD0E13">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2.9.1.4.扩展存储：不低于1路M.2 2280 NVME SSD 固态盘槽位，1 路 Micro SD 卡槽。</w:t>
      </w:r>
    </w:p>
    <w:p w14:paraId="161D56E7">
      <w:pPr>
        <w:spacing w:line="360" w:lineRule="auto"/>
        <w:ind w:firstLine="482" w:firstLineChars="200"/>
        <w:jc w:val="left"/>
        <w:rPr>
          <w:rFonts w:hint="default"/>
          <w:b/>
          <w:bCs/>
          <w:color w:val="FF0000"/>
          <w:sz w:val="24"/>
          <w:szCs w:val="24"/>
          <w:highlight w:val="none"/>
          <w:lang w:val="en-US" w:eastAsia="zh-CN"/>
        </w:rPr>
      </w:pPr>
      <w:r>
        <w:rPr>
          <w:rFonts w:hint="eastAsia"/>
          <w:b/>
          <w:bCs/>
          <w:color w:val="FF0000"/>
          <w:sz w:val="24"/>
          <w:szCs w:val="24"/>
          <w:highlight w:val="none"/>
          <w:lang w:val="en-US" w:eastAsia="zh-CN"/>
        </w:rPr>
        <w:t>2.9.2通讯接口</w:t>
      </w:r>
    </w:p>
    <w:p w14:paraId="04F4847A">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2.9.2.1 以太网：不低于2 路 10/100/1000M 以太网 RJ45 接口</w:t>
      </w:r>
    </w:p>
    <w:p w14:paraId="2E74C540">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2.9.2.2 WIFI/BT：板载 WIFI 模块，支持 802.11a/b/g/n/AC+BT5.2</w:t>
      </w:r>
    </w:p>
    <w:p w14:paraId="30500F0B">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2.9.2.3 4G/5G：板载 miniPClE 插槽，Micro SlM 卡插槽，支持 4G/5G 模块</w:t>
      </w:r>
    </w:p>
    <w:p w14:paraId="4C5A0F10">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2.9.2.4 USB：不低于2 路 USB3.0，支持 USB 烧写；不低于3路USB2.0接口。</w:t>
      </w:r>
    </w:p>
    <w:p w14:paraId="6D2B2D78">
      <w:pPr>
        <w:spacing w:line="360" w:lineRule="auto"/>
        <w:ind w:firstLine="480" w:firstLineChars="200"/>
        <w:jc w:val="left"/>
        <w:rPr>
          <w:rFonts w:hint="eastAsia"/>
          <w:color w:val="FF0000"/>
          <w:sz w:val="24"/>
          <w:szCs w:val="24"/>
          <w:highlight w:val="none"/>
          <w:lang w:val="en-US" w:eastAsia="zh-CN"/>
        </w:rPr>
      </w:pPr>
      <w:r>
        <w:rPr>
          <w:rFonts w:hint="eastAsia"/>
          <w:color w:val="FF0000"/>
          <w:sz w:val="24"/>
          <w:szCs w:val="24"/>
          <w:highlight w:val="none"/>
          <w:lang w:val="en-US" w:eastAsia="zh-CN"/>
        </w:rPr>
        <w:t>2.9.2.5 USRT：不低于2 路 RS485接口、不低于1路RS232 接口</w:t>
      </w:r>
    </w:p>
    <w:p w14:paraId="3F797733">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2.9.2.6 CAN：不低于2路CAN接口</w:t>
      </w:r>
    </w:p>
    <w:p w14:paraId="46BA9A6C">
      <w:pPr>
        <w:spacing w:line="360" w:lineRule="auto"/>
        <w:ind w:firstLine="482" w:firstLineChars="200"/>
        <w:jc w:val="left"/>
        <w:rPr>
          <w:rFonts w:hint="default"/>
          <w:b/>
          <w:bCs/>
          <w:color w:val="FF0000"/>
          <w:sz w:val="24"/>
          <w:szCs w:val="24"/>
          <w:highlight w:val="none"/>
          <w:lang w:val="en-US" w:eastAsia="zh-CN"/>
        </w:rPr>
      </w:pPr>
      <w:r>
        <w:rPr>
          <w:rFonts w:hint="eastAsia"/>
          <w:b/>
          <w:bCs/>
          <w:color w:val="FF0000"/>
          <w:sz w:val="24"/>
          <w:szCs w:val="24"/>
          <w:highlight w:val="none"/>
          <w:lang w:val="en-US" w:eastAsia="zh-CN"/>
        </w:rPr>
        <w:t>2.9.3多媒体接口</w:t>
      </w:r>
    </w:p>
    <w:p w14:paraId="73D2DFF6">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2.9.3.1 显示：不低于1路HDMI2.0接口；不低于1路DP/MiniDP接口;</w:t>
      </w:r>
    </w:p>
    <w:p w14:paraId="34A72174">
      <w:pPr>
        <w:spacing w:line="360" w:lineRule="auto"/>
        <w:ind w:firstLine="480" w:firstLineChars="200"/>
        <w:jc w:val="left"/>
        <w:rPr>
          <w:rFonts w:hint="default"/>
          <w:color w:val="FF0000"/>
          <w:sz w:val="24"/>
          <w:szCs w:val="24"/>
          <w:highlight w:val="none"/>
          <w:lang w:val="en-US" w:eastAsia="zh-CN"/>
        </w:rPr>
      </w:pPr>
      <w:r>
        <w:rPr>
          <w:rFonts w:hint="eastAsia"/>
          <w:color w:val="FF0000"/>
          <w:sz w:val="24"/>
          <w:szCs w:val="24"/>
          <w:highlight w:val="none"/>
          <w:lang w:val="en-US" w:eastAsia="zh-CN"/>
        </w:rPr>
        <w:t>2.9.3.2 音频：不低于1 路3.5mm 耳麦插座接口。</w:t>
      </w:r>
      <w:commentRangeEnd w:id="0"/>
      <w:r>
        <w:rPr>
          <w:highlight w:val="none"/>
        </w:rPr>
        <w:commentReference w:id="0"/>
      </w:r>
    </w:p>
    <w:p w14:paraId="64658755">
      <w:pPr>
        <w:spacing w:line="360" w:lineRule="auto"/>
        <w:ind w:firstLine="482" w:firstLineChars="200"/>
        <w:rPr>
          <w:rFonts w:hint="default"/>
          <w:b/>
          <w:bCs/>
          <w:sz w:val="24"/>
          <w:szCs w:val="24"/>
          <w:highlight w:val="none"/>
          <w:lang w:val="en-US" w:eastAsia="zh-CN"/>
        </w:rPr>
      </w:pPr>
      <w:r>
        <w:rPr>
          <w:rFonts w:hint="eastAsia"/>
          <w:b/>
          <w:bCs/>
          <w:sz w:val="24"/>
          <w:szCs w:val="24"/>
          <w:highlight w:val="none"/>
          <w:lang w:val="en-US" w:eastAsia="zh-CN"/>
        </w:rPr>
        <w:t>2.9.4 说明</w:t>
      </w:r>
    </w:p>
    <w:p w14:paraId="7A9BC9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b w:val="0"/>
          <w:color w:val="000000"/>
          <w:sz w:val="24"/>
          <w:szCs w:val="24"/>
          <w:highlight w:val="none"/>
        </w:rPr>
      </w:pPr>
      <w:r>
        <w:rPr>
          <w:rFonts w:hint="eastAsia"/>
          <w:sz w:val="24"/>
          <w:szCs w:val="24"/>
          <w:highlight w:val="none"/>
          <w:lang w:val="en-US" w:eastAsia="zh-CN"/>
        </w:rPr>
        <w:t>1.根据现场数据安全传输要求，需增加一台安全数据网关，通过深度融合串口通信、工业以太网及互联网技术，实现了跨网络环境的安全无缝连接，提供全面的协议转换与数据隔离能力，有效保障工业现场数据的机密性、完整性和传输可靠性。</w:t>
      </w:r>
    </w:p>
    <w:p w14:paraId="2ECB9FE0">
      <w:pPr>
        <w:spacing w:line="360" w:lineRule="auto"/>
        <w:ind w:firstLine="480" w:firstLineChars="200"/>
        <w:rPr>
          <w:rFonts w:hint="default"/>
          <w:sz w:val="24"/>
          <w:szCs w:val="24"/>
          <w:highlight w:val="none"/>
          <w:lang w:val="en-US" w:eastAsia="en-US"/>
        </w:rPr>
      </w:pPr>
      <w:r>
        <w:rPr>
          <w:rFonts w:hint="eastAsia"/>
          <w:sz w:val="24"/>
          <w:szCs w:val="24"/>
          <w:highlight w:val="none"/>
          <w:lang w:val="en-US" w:eastAsia="zh-CN"/>
        </w:rPr>
        <w:t>2.</w:t>
      </w:r>
      <w:r>
        <w:rPr>
          <w:rFonts w:hint="default"/>
          <w:sz w:val="24"/>
          <w:szCs w:val="24"/>
          <w:highlight w:val="none"/>
          <w:lang w:val="en-US" w:eastAsia="en-US"/>
        </w:rPr>
        <w:t>数据集成</w:t>
      </w:r>
      <w:r>
        <w:rPr>
          <w:rFonts w:hint="eastAsia"/>
          <w:sz w:val="24"/>
          <w:szCs w:val="24"/>
          <w:highlight w:val="none"/>
          <w:lang w:val="en-US" w:eastAsia="zh-CN"/>
        </w:rPr>
        <w:t>调试</w:t>
      </w:r>
      <w:r>
        <w:rPr>
          <w:rFonts w:hint="default"/>
          <w:sz w:val="24"/>
          <w:szCs w:val="24"/>
          <w:highlight w:val="none"/>
          <w:lang w:val="en-US" w:eastAsia="en-US"/>
        </w:rPr>
        <w:t>。</w:t>
      </w:r>
    </w:p>
    <w:p w14:paraId="61341E4F">
      <w:pPr>
        <w:spacing w:line="360" w:lineRule="auto"/>
        <w:ind w:firstLine="480" w:firstLineChars="200"/>
        <w:rPr>
          <w:rFonts w:hint="default"/>
          <w:sz w:val="24"/>
          <w:szCs w:val="24"/>
          <w:highlight w:val="none"/>
          <w:lang w:val="en-US" w:eastAsia="en-US"/>
        </w:rPr>
      </w:pPr>
      <w:r>
        <w:rPr>
          <w:rFonts w:hint="default"/>
          <w:sz w:val="24"/>
          <w:szCs w:val="24"/>
          <w:highlight w:val="none"/>
          <w:lang w:val="en-US" w:eastAsia="en-US"/>
        </w:rPr>
        <w:t>完成白蚁、安全监测、北斗等第三方系统对接</w:t>
      </w:r>
      <w:r>
        <w:rPr>
          <w:rFonts w:hint="eastAsia"/>
          <w:sz w:val="24"/>
          <w:szCs w:val="24"/>
          <w:highlight w:val="none"/>
          <w:lang w:val="en-US" w:eastAsia="zh-CN"/>
        </w:rPr>
        <w:t>，</w:t>
      </w:r>
      <w:r>
        <w:rPr>
          <w:rFonts w:hint="default"/>
          <w:sz w:val="24"/>
          <w:szCs w:val="24"/>
          <w:highlight w:val="none"/>
          <w:lang w:val="en-US" w:eastAsia="en-US"/>
        </w:rPr>
        <w:t>实现与其他监测系统、管理平台的系统间数据互通、接口调试、联调测试及上线部署，确保数据正常传输与业务协同。</w:t>
      </w:r>
    </w:p>
    <w:p w14:paraId="7051B138">
      <w:pPr>
        <w:pStyle w:val="5"/>
        <w:bidi w:val="0"/>
        <w:rPr>
          <w:rFonts w:hint="default"/>
          <w:highlight w:val="none"/>
          <w:lang w:val="en-US" w:eastAsia="en-US"/>
        </w:rPr>
      </w:pPr>
      <w:r>
        <w:rPr>
          <w:rFonts w:hint="eastAsia"/>
          <w:highlight w:val="none"/>
          <w:lang w:val="en-US" w:eastAsia="zh-CN"/>
        </w:rPr>
        <w:t>2.10</w:t>
      </w:r>
      <w:r>
        <w:rPr>
          <w:rFonts w:hint="default"/>
          <w:highlight w:val="none"/>
          <w:lang w:val="en-US" w:eastAsia="en-US"/>
        </w:rPr>
        <w:t>孔台孜监控维修</w:t>
      </w:r>
    </w:p>
    <w:p w14:paraId="31163A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default"/>
          <w:sz w:val="24"/>
          <w:szCs w:val="24"/>
          <w:highlight w:val="none"/>
          <w:lang w:val="en-US" w:eastAsia="en-US"/>
        </w:rPr>
        <w:t>一、专线链路租用</w:t>
      </w:r>
    </w:p>
    <w:p w14:paraId="7B63B6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运营商</w:t>
      </w:r>
      <w:r>
        <w:rPr>
          <w:rFonts w:hint="default"/>
          <w:sz w:val="24"/>
          <w:szCs w:val="24"/>
          <w:highlight w:val="none"/>
          <w:lang w:val="en-US" w:eastAsia="en-US"/>
        </w:rPr>
        <w:t>专线链路10</w:t>
      </w:r>
      <w:r>
        <w:rPr>
          <w:rFonts w:hint="eastAsia"/>
          <w:sz w:val="24"/>
          <w:szCs w:val="24"/>
          <w:highlight w:val="none"/>
          <w:lang w:val="en-US" w:eastAsia="zh-CN"/>
        </w:rPr>
        <w:t>M</w:t>
      </w:r>
      <w:r>
        <w:rPr>
          <w:rFonts w:hint="default"/>
          <w:sz w:val="24"/>
          <w:szCs w:val="24"/>
          <w:highlight w:val="none"/>
          <w:lang w:val="en-US" w:eastAsia="en-US"/>
        </w:rPr>
        <w:t>，由建设单位协调</w:t>
      </w:r>
      <w:r>
        <w:rPr>
          <w:rFonts w:hint="eastAsia"/>
          <w:sz w:val="24"/>
          <w:szCs w:val="24"/>
          <w:highlight w:val="none"/>
          <w:lang w:val="en-US" w:eastAsia="zh-CN"/>
        </w:rPr>
        <w:t>租赁，租赁费用由建设单位承担。施工单位负责</w:t>
      </w:r>
      <w:r>
        <w:rPr>
          <w:rFonts w:hint="default"/>
          <w:sz w:val="24"/>
          <w:szCs w:val="24"/>
          <w:highlight w:val="none"/>
          <w:lang w:val="en-US" w:eastAsia="en-US"/>
        </w:rPr>
        <w:t>保障链路与现场设备、系统无缝适配，</w:t>
      </w:r>
      <w:r>
        <w:rPr>
          <w:rFonts w:hint="eastAsia"/>
          <w:sz w:val="24"/>
          <w:szCs w:val="24"/>
          <w:highlight w:val="none"/>
          <w:lang w:val="en-US" w:eastAsia="zh-CN"/>
        </w:rPr>
        <w:t>数据传输上传。</w:t>
      </w:r>
    </w:p>
    <w:p w14:paraId="75256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default"/>
          <w:sz w:val="24"/>
          <w:szCs w:val="24"/>
          <w:highlight w:val="none"/>
          <w:lang w:val="en-US" w:eastAsia="en-US"/>
        </w:rPr>
        <w:t>二、室外设备箱</w:t>
      </w:r>
    </w:p>
    <w:p w14:paraId="6CE661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default"/>
          <w:sz w:val="24"/>
          <w:szCs w:val="24"/>
          <w:highlight w:val="none"/>
          <w:lang w:val="en-US" w:eastAsia="en-US"/>
        </w:rPr>
        <w:t>箱内配套标准化电气防护配件，配置220V电源浪涌保护器（SPD）1套，专为户外供电系统设计，可有效吸收雷电浪涌、电网瞬时高压脉冲，避免雷击、电压波动损坏箱内交换机等核心设备，为整套设备提供完善的防雷、过压保护。同时配置2P‑16A空气开关2台，采用国标优质电气元件，具备过载保护、短路保护、漏电保护功能，可分别实现主回路及分支回路电源控制，方便设备单独通电、断电调试与后期检修维护，电气配件接线规范、排布整齐，符合户外电气安全施工标准。</w:t>
      </w:r>
    </w:p>
    <w:p w14:paraId="4B6062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eastAsia"/>
          <w:sz w:val="24"/>
          <w:szCs w:val="24"/>
          <w:highlight w:val="none"/>
          <w:lang w:val="en-US" w:eastAsia="zh-CN"/>
        </w:rPr>
        <w:t>三</w:t>
      </w:r>
      <w:r>
        <w:rPr>
          <w:rFonts w:hint="default"/>
          <w:sz w:val="24"/>
          <w:szCs w:val="24"/>
          <w:highlight w:val="none"/>
          <w:lang w:val="en-US" w:eastAsia="en-US"/>
        </w:rPr>
        <w:t>、设备安装施工要求</w:t>
      </w:r>
    </w:p>
    <w:p w14:paraId="490E67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default"/>
          <w:sz w:val="24"/>
          <w:szCs w:val="24"/>
          <w:highlight w:val="none"/>
          <w:lang w:val="en-US" w:eastAsia="en-US"/>
        </w:rPr>
        <w:t>本次所有网络设备、箱体的安装载体为孔台孜现有在用铁塔，依托既有铁塔结构进行固定安装，施工过程中严禁损坏铁塔原有结构、防腐涂层、原有附属设备及线路，保障铁塔整体安全性、完整性。</w:t>
      </w:r>
    </w:p>
    <w:p w14:paraId="083B90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default"/>
          <w:sz w:val="24"/>
          <w:szCs w:val="24"/>
          <w:highlight w:val="none"/>
          <w:lang w:val="en-US" w:eastAsia="en-US"/>
        </w:rPr>
        <w:t>所有设备具体安装高度、横向点位、安装角度等细节，均由建设单位根据现场铁塔结构、线路走向、设备运维便利性、信号传输及布线规范现场统一指定。施工前施工单位需配合建设单位进行现场踏勘，确认精准安装点位，做好标记记录。</w:t>
      </w:r>
    </w:p>
    <w:p w14:paraId="538FC3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default"/>
          <w:sz w:val="24"/>
          <w:szCs w:val="24"/>
          <w:highlight w:val="none"/>
          <w:lang w:val="en-US" w:eastAsia="en-US"/>
        </w:rPr>
        <w:t>设备安装需严格遵循户外杆塔施工规范，采用专用固定抱箍、支架进行加固安装，所有固定配件采用不锈钢防锈材质，安装牢固、平整、无松动，设备箱体保持水平竖直，杜绝倾斜、晃动现象。线缆布设整齐规范，走线顺畅、绑扎牢固，无紧绷、缠绕、破损情况，户外线缆做好防水、防晒、防拉扯防护处理。</w:t>
      </w:r>
    </w:p>
    <w:p w14:paraId="1F3AD3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en-US"/>
        </w:rPr>
      </w:pPr>
      <w:r>
        <w:rPr>
          <w:rFonts w:hint="default"/>
          <w:sz w:val="24"/>
          <w:szCs w:val="24"/>
          <w:highlight w:val="none"/>
          <w:lang w:val="en-US" w:eastAsia="en-US"/>
        </w:rPr>
        <w:t>施工完成后需进行全面调试检测，检查设备固定稳定性、电气接线安全性、网络连通性，确保所有设备正常上电、网络通畅、防护功能有效，整体施工质量符合行业规范及项目使用要求，同时做好现场施工清理，保障施工现场整洁。</w:t>
      </w:r>
    </w:p>
    <w:p w14:paraId="49D2E6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zh-CN"/>
        </w:rPr>
      </w:pPr>
      <w:r>
        <w:rPr>
          <w:rFonts w:hint="eastAsia"/>
          <w:sz w:val="24"/>
          <w:szCs w:val="24"/>
          <w:highlight w:val="none"/>
          <w:lang w:val="en-US" w:eastAsia="zh-CN"/>
        </w:rPr>
        <w:t>四</w:t>
      </w:r>
      <w:r>
        <w:rPr>
          <w:rFonts w:hint="default"/>
          <w:sz w:val="24"/>
          <w:szCs w:val="24"/>
          <w:highlight w:val="none"/>
          <w:lang w:val="en-US" w:eastAsia="en-US"/>
        </w:rPr>
        <w:t>、孔台孜</w:t>
      </w:r>
      <w:r>
        <w:rPr>
          <w:rFonts w:hint="eastAsia"/>
          <w:sz w:val="24"/>
          <w:szCs w:val="24"/>
          <w:highlight w:val="none"/>
          <w:lang w:val="en-US" w:eastAsia="zh-CN"/>
        </w:rPr>
        <w:t>实地情况</w:t>
      </w:r>
    </w:p>
    <w:p w14:paraId="439021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sz w:val="24"/>
          <w:szCs w:val="24"/>
          <w:highlight w:val="none"/>
          <w:lang w:val="en-US" w:eastAsia="zh-CN"/>
        </w:rPr>
      </w:pPr>
      <w:r>
        <w:rPr>
          <w:rFonts w:hint="eastAsia" w:eastAsia="宋体"/>
          <w:sz w:val="24"/>
          <w:szCs w:val="24"/>
          <w:highlight w:val="none"/>
          <w:lang w:val="en-US" w:eastAsia="zh-CN"/>
        </w:rPr>
        <w:drawing>
          <wp:inline distT="0" distB="0" distL="114300" distR="114300">
            <wp:extent cx="5817235" cy="4361180"/>
            <wp:effectExtent l="0" t="0" r="12065" b="1270"/>
            <wp:docPr id="1" name="图片 1" descr="颍上县半岗镇孔台村孔台孜电力排涝站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颍上县半岗镇孔台村孔台孜电力排涝站照片"/>
                    <pic:cNvPicPr>
                      <a:picLocks noChangeAspect="1"/>
                    </pic:cNvPicPr>
                  </pic:nvPicPr>
                  <pic:blipFill>
                    <a:blip r:embed="rId23"/>
                    <a:stretch>
                      <a:fillRect/>
                    </a:stretch>
                  </pic:blipFill>
                  <pic:spPr>
                    <a:xfrm>
                      <a:off x="0" y="0"/>
                      <a:ext cx="5817235" cy="4361180"/>
                    </a:xfrm>
                    <a:prstGeom prst="rect">
                      <a:avLst/>
                    </a:prstGeom>
                  </pic:spPr>
                </pic:pic>
              </a:graphicData>
            </a:graphic>
          </wp:inline>
        </w:drawing>
      </w:r>
    </w:p>
    <w:p w14:paraId="4F27E3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sz w:val="24"/>
          <w:szCs w:val="24"/>
          <w:highlight w:val="none"/>
          <w:lang w:val="en-US" w:eastAsia="zh-CN"/>
        </w:rPr>
      </w:pPr>
    </w:p>
    <w:p w14:paraId="3BDA1B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FF0000"/>
          <w:sz w:val="24"/>
          <w:szCs w:val="24"/>
          <w:highlight w:val="none"/>
          <w:lang w:val="en-US" w:eastAsia="zh-CN"/>
        </w:rPr>
      </w:pPr>
      <w:r>
        <w:rPr>
          <w:rFonts w:hint="eastAsia"/>
          <w:color w:val="FF0000"/>
          <w:sz w:val="24"/>
          <w:szCs w:val="24"/>
          <w:highlight w:val="none"/>
          <w:lang w:val="en-US" w:eastAsia="zh-CN"/>
        </w:rPr>
        <w:t>孔台孜铁塔位于颍上县半岗镇孔台村孔台孜电力排涝站内，经纬度为116.226389，32.471667附近。</w:t>
      </w:r>
    </w:p>
    <w:p w14:paraId="3DA7F4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4"/>
          <w:szCs w:val="24"/>
          <w:highlight w:val="none"/>
          <w:lang w:val="en-US" w:eastAsia="zh-CN"/>
        </w:rPr>
      </w:pPr>
      <w:r>
        <w:rPr>
          <w:rFonts w:hint="eastAsia"/>
          <w:sz w:val="24"/>
          <w:szCs w:val="24"/>
          <w:highlight w:val="none"/>
          <w:lang w:val="en-US" w:eastAsia="zh-CN"/>
        </w:rPr>
        <w:t>五</w:t>
      </w:r>
      <w:r>
        <w:rPr>
          <w:rFonts w:hint="default"/>
          <w:sz w:val="24"/>
          <w:szCs w:val="24"/>
          <w:highlight w:val="none"/>
          <w:lang w:val="en-US" w:eastAsia="en-US"/>
        </w:rPr>
        <w:t>、</w:t>
      </w:r>
      <w:r>
        <w:rPr>
          <w:rFonts w:hint="eastAsia"/>
          <w:sz w:val="24"/>
          <w:szCs w:val="24"/>
          <w:highlight w:val="none"/>
          <w:lang w:val="en-US" w:eastAsia="zh-CN"/>
        </w:rPr>
        <w:t>双光谱云台摄像机（建设单位提供）</w:t>
      </w:r>
    </w:p>
    <w:p w14:paraId="004478B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color w:val="auto"/>
          <w:sz w:val="24"/>
          <w:szCs w:val="24"/>
          <w:highlight w:val="none"/>
          <w:lang w:val="en-US" w:eastAsia="zh-CN"/>
        </w:rPr>
      </w:pPr>
      <w:r>
        <w:rPr>
          <w:rFonts w:hint="eastAsia"/>
          <w:b/>
          <w:bCs/>
          <w:color w:val="auto"/>
          <w:sz w:val="24"/>
          <w:szCs w:val="24"/>
          <w:highlight w:val="none"/>
          <w:lang w:val="en-US" w:eastAsia="zh-CN"/>
        </w:rPr>
        <w:t>海康威视HM-TD6XXX</w:t>
      </w:r>
      <w:r>
        <w:rPr>
          <w:rFonts w:hint="eastAsia"/>
          <w:color w:val="auto"/>
          <w:sz w:val="24"/>
          <w:szCs w:val="24"/>
          <w:highlight w:val="none"/>
          <w:lang w:val="en-US" w:eastAsia="zh-CN"/>
        </w:rPr>
        <w:t>系列产品。</w:t>
      </w:r>
    </w:p>
    <w:p w14:paraId="57D8E2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color w:val="FF0000"/>
          <w:sz w:val="24"/>
          <w:szCs w:val="24"/>
          <w:highlight w:val="none"/>
          <w:lang w:val="en-US" w:eastAsia="zh-CN"/>
        </w:rPr>
      </w:pPr>
      <w:r>
        <w:rPr>
          <w:rFonts w:hint="eastAsia"/>
          <w:color w:val="FF0000"/>
          <w:sz w:val="24"/>
          <w:szCs w:val="24"/>
          <w:highlight w:val="none"/>
          <w:lang w:val="en-US" w:eastAsia="zh-CN"/>
        </w:rPr>
        <w:drawing>
          <wp:inline distT="0" distB="0" distL="114300" distR="114300">
            <wp:extent cx="3124200" cy="2590800"/>
            <wp:effectExtent l="9525" t="9525" r="9525" b="9525"/>
            <wp:docPr id="7" name="图片 7" descr="639a16eb89efa4e70e3f3ebcca6b83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39a16eb89efa4e70e3f3ebcca6b833d"/>
                    <pic:cNvPicPr>
                      <a:picLocks noChangeAspect="1"/>
                    </pic:cNvPicPr>
                  </pic:nvPicPr>
                  <pic:blipFill>
                    <a:blip r:embed="rId24"/>
                    <a:stretch>
                      <a:fillRect/>
                    </a:stretch>
                  </pic:blipFill>
                  <pic:spPr>
                    <a:xfrm>
                      <a:off x="0" y="0"/>
                      <a:ext cx="3124200" cy="2590800"/>
                    </a:xfrm>
                    <a:prstGeom prst="rect">
                      <a:avLst/>
                    </a:prstGeom>
                    <a:ln>
                      <a:solidFill>
                        <a:schemeClr val="tx1"/>
                      </a:solidFill>
                    </a:ln>
                  </pic:spPr>
                </pic:pic>
              </a:graphicData>
            </a:graphic>
          </wp:inline>
        </w:drawing>
      </w:r>
    </w:p>
    <w:p w14:paraId="37CCE4C1">
      <w:pPr>
        <w:pStyle w:val="5"/>
        <w:bidi w:val="0"/>
        <w:rPr>
          <w:rFonts w:hint="default"/>
          <w:highlight w:val="none"/>
          <w:lang w:val="en-US" w:eastAsia="zh-CN"/>
        </w:rPr>
      </w:pPr>
      <w:r>
        <w:rPr>
          <w:rFonts w:hint="eastAsia"/>
          <w:highlight w:val="none"/>
          <w:lang w:val="en-US" w:eastAsia="zh-CN"/>
        </w:rPr>
        <w:t>2.12登高要求</w:t>
      </w:r>
    </w:p>
    <w:p w14:paraId="691EAB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一、作业许可与管理要求</w:t>
      </w:r>
    </w:p>
    <w:p w14:paraId="5FD350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作业审批：高处作业必须办理高处作业许可证；特级、悬空、临水、高边坡高处作业，必须编制专项安全技术方案，技术交底、专人监护；</w:t>
      </w:r>
    </w:p>
    <w:p w14:paraId="197541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人员资质：登高作业人员必须体检合格，无高血压、心脏病、眩晕、癫痫等禁忌病症；登高架设、高处安装维护拆除人员必须持特种作业证上岗；严禁酒后、疲劳、带病作业。</w:t>
      </w:r>
    </w:p>
    <w:p w14:paraId="5BFD38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环境禁令：大雨、大雪、大雾、6 级及以上大风（≥10.8m/s）停止高处作业；冰雪、霜露作业面必须清理、采取防滑措施；夜间作业充足照明。</w:t>
      </w:r>
    </w:p>
    <w:p w14:paraId="49F97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临水 / 高边坡水利专项：高边坡作业前清除危石、松动岩体；临水高处作业除防坠落外，同时落实防落水措施；</w:t>
      </w:r>
    </w:p>
    <w:p w14:paraId="73741B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二、施工个体防护</w:t>
      </w:r>
    </w:p>
    <w:p w14:paraId="680098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必须佩戴安全帽、安全带；</w:t>
      </w:r>
    </w:p>
    <w:p w14:paraId="33358C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悬空作业优先使用双钩安全带，执行高挂低用，严禁低挂高用；</w:t>
      </w:r>
    </w:p>
    <w:p w14:paraId="34E919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安全绳长度不宜大于 3m；安全带固定点必须牢固独立，不得挂在脚手架杆件、管线等不可靠构件上。</w:t>
      </w:r>
    </w:p>
    <w:p w14:paraId="4DC574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根据工况配置防滑鞋、防护手套；水上临水高处作业加穿救生衣。</w:t>
      </w:r>
    </w:p>
    <w:p w14:paraId="13A98F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工具：使用工具袋，小型工具放入袋内；</w:t>
      </w:r>
    </w:p>
    <w:p w14:paraId="3FE568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严禁抛掷工具、材料；大件物料可靠吊运。</w:t>
      </w:r>
    </w:p>
    <w:p w14:paraId="555D5B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三、临边、洞口防护</w:t>
      </w:r>
    </w:p>
    <w:p w14:paraId="19718E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安全网：随工作面同步升高；安全网距离工作面最大不超过 3m；外侧略高于内侧；定期检查破损、老化，及时更换。</w:t>
      </w:r>
    </w:p>
    <w:p w14:paraId="20C157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四、脚手架、操作平台、攀登设施</w:t>
      </w:r>
    </w:p>
    <w:p w14:paraId="0D4259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脚手架、排架、操作平台必须专项搭设、验收合格挂牌后方可使用；</w:t>
      </w:r>
    </w:p>
    <w:p w14:paraId="13B5E4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严禁擅自拆除连墙件、栏杆。</w:t>
      </w:r>
    </w:p>
    <w:p w14:paraId="3B1F87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直梯、斜梯、马道牢固防滑；</w:t>
      </w:r>
    </w:p>
    <w:p w14:paraId="21FBAE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梯子不得垫高使用，人字梯必须拉保险绳；不得在同一梯子上 2 人同时作业。</w:t>
      </w:r>
    </w:p>
    <w:p w14:paraId="236415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吊篮、升降平台必须检验合格，限位、锁止装置完好，专人操作。</w:t>
      </w:r>
    </w:p>
    <w:p w14:paraId="740D9A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五、交叉作业要求</w:t>
      </w:r>
    </w:p>
    <w:p w14:paraId="686ECF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严禁同一垂直方向上下同时作业；</w:t>
      </w:r>
    </w:p>
    <w:p w14:paraId="2B4BDD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下层作业位置必须在上层坠落半径之外；无法错开时搭设可靠隔离棚。</w:t>
      </w:r>
    </w:p>
    <w:p w14:paraId="6E5F49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立体交叉作业设置警戒区，专人监护。</w:t>
      </w:r>
    </w:p>
    <w:p w14:paraId="6D43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六、悬空作业</w:t>
      </w:r>
    </w:p>
    <w:p w14:paraId="7D420C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悬空无立足点作业，搭设操作平台或吊篮；</w:t>
      </w:r>
    </w:p>
    <w:p w14:paraId="4A24B5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必须系安全带 + 安全绳双重保护。</w:t>
      </w:r>
    </w:p>
    <w:p w14:paraId="3E9500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构件、闸门安装，临时固定牢固后方可松吊；</w:t>
      </w:r>
    </w:p>
    <w:p w14:paraId="221F2D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不得在未固定构件上行走作业。</w:t>
      </w:r>
    </w:p>
    <w:p w14:paraId="4E569F8F">
      <w:pPr>
        <w:pStyle w:val="5"/>
        <w:bidi w:val="0"/>
        <w:rPr>
          <w:rFonts w:hint="default"/>
          <w:highlight w:val="none"/>
          <w:lang w:val="en-US" w:eastAsia="zh-CN"/>
        </w:rPr>
      </w:pPr>
      <w:r>
        <w:rPr>
          <w:rFonts w:hint="eastAsia"/>
          <w:highlight w:val="none"/>
          <w:lang w:val="en-US" w:eastAsia="zh-CN"/>
        </w:rPr>
        <w:t>2.13 窑河闸水位接入</w:t>
      </w:r>
    </w:p>
    <w:p w14:paraId="3A4A9C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（一）高塘湖侧水文站</w:t>
      </w:r>
    </w:p>
    <w:p w14:paraId="05B2FF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1.供电：水文局设备为太阳能供电，可共用水文局电源。</w:t>
      </w:r>
    </w:p>
    <w:p w14:paraId="3D8D76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2.箱体：本地箱体为自建的小型墙柜。</w:t>
      </w:r>
    </w:p>
    <w:p w14:paraId="154FA5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3.设备：本地为一个气泡水位计（485信号）、一个浮子水位计（格雷码信号），当水位超过18米（左右）时使用浮子水位计，低于18米时为气泡水位计、需要采集两种设备后透传到窑河闸，并通过逻辑判断保持与省水文系统网上数据一致。</w:t>
      </w:r>
    </w:p>
    <w:p w14:paraId="60E948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4.系统集成：①完成窑河闸计算机监控系统数据接入和界面修改；②完成省淮河局水闸自动化系统窑河闸数据接入和界面修改；③完成安徽省淮河河道管理系统窑河闸数据接入和界面修改。</w:t>
      </w:r>
    </w:p>
    <w:p w14:paraId="6F3C28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（二）淮河侧水文站</w:t>
      </w:r>
    </w:p>
    <w:p w14:paraId="024782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1.供电：市电，可以接市电并预留小型蓄电池。</w:t>
      </w:r>
    </w:p>
    <w:p w14:paraId="70120A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2.箱体：本地箱体为自建的小型墙柜。</w:t>
      </w:r>
    </w:p>
    <w:p w14:paraId="0B8CE3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3.设备：本地为一个气泡水位计（485信号）、一个浮子水位计（格雷码信号），当水位超过17米（左右）时使用浮子水位计，低于17米时为气泡水位计、需要采集两种设备后透传到窑河闸，并通过逻辑判断保持与省水文系统网上数据一致。</w:t>
      </w:r>
    </w:p>
    <w:p w14:paraId="1EBA21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4.系统集成：①完成窑河闸计算机监控系统数据接入和界面修改；②完成省淮河局水闸自动化系统窑河闸数据接入和界面修改；③完成安徽省淮河河道管理系统窑河闸数据接入和界面修改。</w:t>
      </w:r>
    </w:p>
    <w:p w14:paraId="281588B6">
      <w:pPr>
        <w:spacing w:line="360" w:lineRule="auto"/>
        <w:ind w:firstLine="400" w:firstLineChars="200"/>
        <w:jc w:val="center"/>
        <w:rPr>
          <w:rFonts w:hint="default"/>
          <w:sz w:val="24"/>
          <w:szCs w:val="24"/>
          <w:highlight w:val="none"/>
          <w:lang w:val="en-US" w:eastAsia="zh-CN"/>
        </w:rPr>
      </w:pPr>
      <w:r>
        <w:rPr>
          <w:highlight w:val="none"/>
        </w:rPr>
        <w:drawing>
          <wp:inline distT="0" distB="0" distL="114300" distR="114300">
            <wp:extent cx="3736975" cy="2179955"/>
            <wp:effectExtent l="0" t="0" r="15875" b="10795"/>
            <wp:docPr id="10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图片 4"/>
                    <pic:cNvPicPr>
                      <a:picLocks noChangeAspect="1"/>
                    </pic:cNvPicPr>
                  </pic:nvPicPr>
                  <pic:blipFill>
                    <a:blip r:embed="rId25"/>
                    <a:stretch>
                      <a:fillRect/>
                    </a:stretch>
                  </pic:blipFill>
                  <pic:spPr>
                    <a:xfrm>
                      <a:off x="0" y="0"/>
                      <a:ext cx="3736975" cy="2179955"/>
                    </a:xfrm>
                    <a:prstGeom prst="rect">
                      <a:avLst/>
                    </a:prstGeom>
                    <a:noFill/>
                    <a:ln w="9525">
                      <a:noFill/>
                    </a:ln>
                  </pic:spPr>
                </pic:pic>
              </a:graphicData>
            </a:graphic>
          </wp:inline>
        </w:drawing>
      </w:r>
    </w:p>
    <w:p w14:paraId="448D1AE5">
      <w:pPr>
        <w:spacing w:line="360" w:lineRule="auto"/>
        <w:ind w:firstLine="480" w:firstLineChars="200"/>
        <w:rPr>
          <w:rFonts w:hint="default"/>
          <w:sz w:val="24"/>
          <w:szCs w:val="24"/>
          <w:highlight w:val="none"/>
          <w:lang w:val="en-US" w:eastAsia="zh-CN"/>
        </w:rPr>
      </w:pPr>
    </w:p>
    <w:p w14:paraId="3E24720D">
      <w:pPr>
        <w:pStyle w:val="4"/>
        <w:pageBreakBefore w:val="0"/>
        <w:widowControl w:val="0"/>
        <w:kinsoku/>
        <w:wordWrap/>
        <w:overflowPunct/>
        <w:topLinePunct w:val="0"/>
        <w:autoSpaceDE/>
        <w:autoSpaceDN/>
        <w:bidi w:val="0"/>
        <w:adjustRightInd/>
        <w:snapToGrid/>
        <w:ind w:firstLine="643" w:firstLineChars="200"/>
        <w:textAlignment w:val="auto"/>
        <w:rPr>
          <w:rFonts w:hint="default" w:cs="宋体"/>
          <w:color w:val="auto"/>
          <w:highlight w:val="none"/>
          <w:lang w:val="en-US" w:eastAsia="zh-CN"/>
        </w:rPr>
      </w:pPr>
      <w:r>
        <w:rPr>
          <w:rFonts w:hint="eastAsia" w:cs="宋体"/>
          <w:color w:val="auto"/>
          <w:highlight w:val="none"/>
          <w:lang w:val="en-US" w:eastAsia="zh-CN"/>
        </w:rPr>
        <w:t>3.工程量清单计价表</w:t>
      </w:r>
    </w:p>
    <w:p w14:paraId="1BD811A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仿宋_GB2312"/>
          <w:b/>
          <w:bCs/>
          <w:color w:val="auto"/>
          <w:kern w:val="2"/>
          <w:sz w:val="24"/>
          <w:szCs w:val="22"/>
          <w:highlight w:val="none"/>
          <w:lang w:val="en-US" w:eastAsia="zh-CN"/>
        </w:rPr>
      </w:pPr>
      <w:r>
        <w:rPr>
          <w:rFonts w:hint="eastAsia" w:cs="@仿宋_GB2312"/>
          <w:b/>
          <w:bCs/>
          <w:color w:val="auto"/>
          <w:kern w:val="2"/>
          <w:sz w:val="24"/>
          <w:szCs w:val="22"/>
          <w:highlight w:val="none"/>
          <w:lang w:val="en-US" w:eastAsia="zh-CN"/>
        </w:rPr>
        <w:t>3</w:t>
      </w:r>
      <w:r>
        <w:rPr>
          <w:rFonts w:hint="eastAsia" w:ascii="宋体" w:hAnsi="宋体" w:eastAsia="宋体" w:cs="@仿宋_GB2312"/>
          <w:b/>
          <w:bCs/>
          <w:color w:val="auto"/>
          <w:kern w:val="2"/>
          <w:sz w:val="24"/>
          <w:szCs w:val="22"/>
          <w:highlight w:val="none"/>
          <w:lang w:val="en-US" w:eastAsia="zh-CN"/>
        </w:rPr>
        <w:t>.1.</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工程量清单计价表</w:t>
      </w:r>
      <w:r>
        <w:rPr>
          <w:rFonts w:hint="default" w:ascii="宋体" w:hAnsi="宋体" w:eastAsia="宋体" w:cs="@仿宋_GB2312"/>
          <w:b/>
          <w:bCs/>
          <w:color w:val="auto"/>
          <w:kern w:val="2"/>
          <w:sz w:val="24"/>
          <w:szCs w:val="22"/>
          <w:highlight w:val="none"/>
          <w:lang w:val="en-US" w:eastAsia="zh-CN"/>
        </w:rPr>
        <w:t>说明</w:t>
      </w:r>
    </w:p>
    <w:p w14:paraId="16C29C1C">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仿宋_GB2312"/>
          <w:b/>
          <w:bCs/>
          <w:color w:val="auto"/>
          <w:kern w:val="2"/>
          <w:sz w:val="24"/>
          <w:szCs w:val="22"/>
          <w:highlight w:val="none"/>
          <w:lang w:val="en-US" w:eastAsia="zh-CN"/>
        </w:rPr>
      </w:pPr>
      <w:r>
        <w:rPr>
          <w:rFonts w:hint="eastAsia" w:cs="@仿宋_GB2312"/>
          <w:b/>
          <w:bCs/>
          <w:color w:val="auto"/>
          <w:kern w:val="2"/>
          <w:sz w:val="24"/>
          <w:szCs w:val="22"/>
          <w:highlight w:val="none"/>
          <w:lang w:val="en-US" w:eastAsia="zh-CN"/>
        </w:rPr>
        <w:t>3</w:t>
      </w:r>
      <w:r>
        <w:rPr>
          <w:rFonts w:hint="eastAsia" w:ascii="宋体" w:hAnsi="宋体" w:eastAsia="宋体" w:cs="@仿宋_GB2312"/>
          <w:b/>
          <w:bCs/>
          <w:color w:val="auto"/>
          <w:kern w:val="2"/>
          <w:sz w:val="24"/>
          <w:szCs w:val="22"/>
          <w:highlight w:val="none"/>
          <w:lang w:val="en-US" w:eastAsia="zh-CN"/>
        </w:rPr>
        <w:t>.1.1</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工程量清单计价表</w:t>
      </w:r>
      <w:r>
        <w:rPr>
          <w:rFonts w:hint="default" w:ascii="宋体" w:hAnsi="宋体" w:eastAsia="宋体" w:cs="@仿宋_GB2312"/>
          <w:b/>
          <w:bCs/>
          <w:color w:val="auto"/>
          <w:kern w:val="2"/>
          <w:sz w:val="24"/>
          <w:szCs w:val="22"/>
          <w:highlight w:val="none"/>
          <w:lang w:val="en-US" w:eastAsia="zh-CN"/>
        </w:rPr>
        <w:t>说明</w:t>
      </w:r>
    </w:p>
    <w:p w14:paraId="279E03D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（1）本工程量清单</w:t>
      </w:r>
      <w:r>
        <w:rPr>
          <w:rFonts w:hint="eastAsia" w:cs="@仿宋_GB2312"/>
          <w:color w:val="auto"/>
          <w:kern w:val="2"/>
          <w:sz w:val="24"/>
          <w:szCs w:val="22"/>
          <w:highlight w:val="none"/>
          <w:lang w:val="en-US" w:eastAsia="zh-CN"/>
        </w:rPr>
        <w:t>计价表</w:t>
      </w:r>
      <w:r>
        <w:rPr>
          <w:rFonts w:hint="default" w:ascii="宋体" w:hAnsi="宋体" w:eastAsia="宋体" w:cs="@仿宋_GB2312"/>
          <w:color w:val="auto"/>
          <w:kern w:val="2"/>
          <w:sz w:val="24"/>
          <w:szCs w:val="22"/>
          <w:highlight w:val="none"/>
          <w:lang w:val="en-US" w:eastAsia="en-US"/>
        </w:rPr>
        <w:t>是根据磋商文件中包括的、有合同约束力的技术条款以及有关的国家标准、行业标准编制。</w:t>
      </w:r>
    </w:p>
    <w:p w14:paraId="6DA3C79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en-US"/>
        </w:rPr>
      </w:pPr>
      <w:r>
        <w:rPr>
          <w:rFonts w:hint="default" w:ascii="宋体" w:hAnsi="宋体" w:eastAsia="宋体" w:cs="@仿宋_GB2312"/>
          <w:color w:val="auto"/>
          <w:kern w:val="2"/>
          <w:sz w:val="24"/>
          <w:szCs w:val="22"/>
          <w:highlight w:val="none"/>
          <w:lang w:val="en-US" w:eastAsia="en-US"/>
        </w:rPr>
        <w:t>（2）本工程量清单</w:t>
      </w:r>
      <w:r>
        <w:rPr>
          <w:rFonts w:hint="eastAsia" w:cs="@仿宋_GB2312"/>
          <w:color w:val="auto"/>
          <w:kern w:val="2"/>
          <w:sz w:val="24"/>
          <w:szCs w:val="22"/>
          <w:highlight w:val="none"/>
          <w:lang w:val="en-US" w:eastAsia="zh-CN"/>
        </w:rPr>
        <w:t>计价表</w:t>
      </w:r>
      <w:r>
        <w:rPr>
          <w:rFonts w:hint="default" w:ascii="宋体" w:hAnsi="宋体" w:eastAsia="宋体" w:cs="@仿宋_GB2312"/>
          <w:color w:val="auto"/>
          <w:kern w:val="2"/>
          <w:sz w:val="24"/>
          <w:szCs w:val="22"/>
          <w:highlight w:val="none"/>
          <w:lang w:val="en-US" w:eastAsia="en-US"/>
        </w:rPr>
        <w:t>应与磋商文件中的</w:t>
      </w:r>
      <w:r>
        <w:rPr>
          <w:rFonts w:hint="default" w:ascii="宋体" w:hAnsi="宋体" w:eastAsia="宋体" w:cs="@仿宋_GB2312"/>
          <w:color w:val="auto"/>
          <w:kern w:val="2"/>
          <w:sz w:val="24"/>
          <w:szCs w:val="22"/>
          <w:highlight w:val="none"/>
          <w:lang w:val="en-US" w:eastAsia="zh-CN"/>
        </w:rPr>
        <w:t>磋商</w:t>
      </w:r>
      <w:r>
        <w:rPr>
          <w:rFonts w:hint="default" w:ascii="宋体" w:hAnsi="宋体" w:eastAsia="宋体" w:cs="@仿宋_GB2312"/>
          <w:color w:val="auto"/>
          <w:kern w:val="2"/>
          <w:sz w:val="24"/>
          <w:szCs w:val="22"/>
          <w:highlight w:val="none"/>
          <w:lang w:val="en-US" w:eastAsia="en-US"/>
        </w:rPr>
        <w:t>须知、合同条款、</w:t>
      </w:r>
      <w:r>
        <w:rPr>
          <w:rFonts w:hint="default" w:ascii="宋体" w:hAnsi="宋体" w:eastAsia="宋体" w:cs="@仿宋_GB2312"/>
          <w:color w:val="auto"/>
          <w:kern w:val="2"/>
          <w:sz w:val="24"/>
          <w:szCs w:val="22"/>
          <w:highlight w:val="none"/>
          <w:lang w:val="en-US" w:eastAsia="zh-CN"/>
        </w:rPr>
        <w:t>发包人</w:t>
      </w:r>
      <w:r>
        <w:rPr>
          <w:rFonts w:hint="default" w:ascii="宋体" w:hAnsi="宋体" w:eastAsia="宋体" w:cs="@仿宋_GB2312"/>
          <w:color w:val="auto"/>
          <w:kern w:val="2"/>
          <w:sz w:val="24"/>
          <w:szCs w:val="22"/>
          <w:highlight w:val="none"/>
          <w:lang w:val="en-US" w:eastAsia="en-US"/>
        </w:rPr>
        <w:t>要求及图纸等一起阅读和理解。</w:t>
      </w:r>
    </w:p>
    <w:p w14:paraId="7C572776">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仿宋_GB2312"/>
          <w:b/>
          <w:bCs/>
          <w:color w:val="auto"/>
          <w:kern w:val="2"/>
          <w:sz w:val="24"/>
          <w:szCs w:val="22"/>
          <w:highlight w:val="none"/>
          <w:lang w:val="en-US" w:eastAsia="zh-CN"/>
        </w:rPr>
      </w:pPr>
      <w:r>
        <w:rPr>
          <w:rFonts w:hint="eastAsia" w:cs="@仿宋_GB2312"/>
          <w:b/>
          <w:bCs/>
          <w:color w:val="auto"/>
          <w:kern w:val="2"/>
          <w:sz w:val="24"/>
          <w:szCs w:val="22"/>
          <w:highlight w:val="none"/>
          <w:lang w:val="en-US" w:eastAsia="zh-CN"/>
        </w:rPr>
        <w:t>3</w:t>
      </w:r>
      <w:r>
        <w:rPr>
          <w:rFonts w:hint="eastAsia" w:ascii="宋体" w:hAnsi="宋体" w:eastAsia="宋体" w:cs="@仿宋_GB2312"/>
          <w:b/>
          <w:bCs/>
          <w:color w:val="auto"/>
          <w:kern w:val="2"/>
          <w:sz w:val="24"/>
          <w:szCs w:val="22"/>
          <w:highlight w:val="none"/>
          <w:lang w:val="en-US" w:eastAsia="zh-CN"/>
        </w:rPr>
        <w:t>.1.</w:t>
      </w:r>
      <w:r>
        <w:rPr>
          <w:rFonts w:hint="default" w:ascii="宋体" w:hAnsi="宋体" w:eastAsia="宋体" w:cs="@仿宋_GB2312"/>
          <w:b/>
          <w:bCs/>
          <w:color w:val="auto"/>
          <w:kern w:val="2"/>
          <w:sz w:val="24"/>
          <w:szCs w:val="22"/>
          <w:highlight w:val="none"/>
          <w:lang w:val="en-US" w:eastAsia="zh-CN"/>
        </w:rPr>
        <w:t>2.报价说明</w:t>
      </w:r>
    </w:p>
    <w:p w14:paraId="134996D9">
      <w:pPr>
        <w:spacing w:line="360" w:lineRule="auto"/>
        <w:ind w:firstLine="480" w:firstLineChars="200"/>
        <w:rPr>
          <w:rFonts w:hint="eastAsia" w:ascii="宋体" w:hAnsi="宋体" w:cs="@仿宋_GB2312"/>
          <w:color w:val="auto"/>
          <w:kern w:val="2"/>
          <w:sz w:val="24"/>
          <w:szCs w:val="22"/>
          <w:highlight w:val="none"/>
        </w:rPr>
      </w:pPr>
      <w:r>
        <w:rPr>
          <w:rFonts w:hint="eastAsia" w:ascii="宋体" w:hAnsi="宋体" w:cs="@仿宋_GB2312"/>
          <w:color w:val="auto"/>
          <w:kern w:val="2"/>
          <w:sz w:val="24"/>
          <w:szCs w:val="22"/>
          <w:highlight w:val="none"/>
        </w:rPr>
        <w:t>（1）工程量清单</w:t>
      </w:r>
      <w:r>
        <w:rPr>
          <w:rFonts w:hint="eastAsia" w:cs="@仿宋_GB2312"/>
          <w:color w:val="auto"/>
          <w:kern w:val="2"/>
          <w:sz w:val="24"/>
          <w:szCs w:val="22"/>
          <w:highlight w:val="none"/>
          <w:lang w:val="en-US" w:eastAsia="zh-CN"/>
        </w:rPr>
        <w:t>计价表包括表中未列明的</w:t>
      </w:r>
      <w:r>
        <w:rPr>
          <w:rFonts w:hint="eastAsia" w:ascii="宋体" w:hAnsi="宋体" w:cs="@仿宋_GB2312"/>
          <w:color w:val="auto"/>
          <w:kern w:val="2"/>
          <w:sz w:val="24"/>
          <w:szCs w:val="22"/>
          <w:highlight w:val="none"/>
        </w:rPr>
        <w:t>人工费、施工机械使用费、材料费、其他（运杂费、质检费、安装费、缺陷修复费、保险费</w:t>
      </w:r>
      <w:r>
        <w:rPr>
          <w:rFonts w:hint="eastAsia" w:cs="@仿宋_GB2312"/>
          <w:color w:val="auto"/>
          <w:kern w:val="2"/>
          <w:sz w:val="24"/>
          <w:szCs w:val="22"/>
          <w:highlight w:val="none"/>
          <w:lang w:eastAsia="zh-CN"/>
        </w:rPr>
        <w:t>、</w:t>
      </w:r>
      <w:r>
        <w:rPr>
          <w:rFonts w:hint="eastAsia" w:cs="@仿宋_GB2312"/>
          <w:color w:val="auto"/>
          <w:kern w:val="2"/>
          <w:sz w:val="24"/>
          <w:szCs w:val="22"/>
          <w:highlight w:val="none"/>
          <w:lang w:val="en-US" w:eastAsia="zh-CN"/>
        </w:rPr>
        <w:t>税金</w:t>
      </w:r>
      <w:r>
        <w:rPr>
          <w:rFonts w:hint="eastAsia" w:ascii="宋体" w:hAnsi="宋体" w:cs="@仿宋_GB2312"/>
          <w:color w:val="auto"/>
          <w:kern w:val="2"/>
          <w:sz w:val="24"/>
          <w:szCs w:val="22"/>
          <w:highlight w:val="none"/>
        </w:rPr>
        <w:t>，以及合同明示或暗示的风险、责任和义务等），以及管理费、利润等。</w:t>
      </w:r>
    </w:p>
    <w:p w14:paraId="775913BC">
      <w:pPr>
        <w:spacing w:line="360" w:lineRule="auto"/>
        <w:ind w:firstLine="480" w:firstLineChars="200"/>
        <w:rPr>
          <w:rFonts w:hint="eastAsia" w:ascii="宋体" w:hAnsi="宋体" w:cs="@仿宋_GB2312"/>
          <w:color w:val="auto"/>
          <w:kern w:val="2"/>
          <w:sz w:val="24"/>
          <w:szCs w:val="22"/>
          <w:highlight w:val="none"/>
        </w:rPr>
      </w:pPr>
      <w:r>
        <w:rPr>
          <w:rFonts w:hint="eastAsia" w:ascii="宋体" w:hAnsi="宋体" w:cs="@仿宋_GB2312"/>
          <w:color w:val="auto"/>
          <w:kern w:val="2"/>
          <w:sz w:val="24"/>
          <w:szCs w:val="22"/>
          <w:highlight w:val="none"/>
        </w:rPr>
        <w:t>（3）工程量清单</w:t>
      </w:r>
      <w:r>
        <w:rPr>
          <w:rFonts w:hint="eastAsia" w:cs="@仿宋_GB2312"/>
          <w:color w:val="auto"/>
          <w:kern w:val="2"/>
          <w:sz w:val="24"/>
          <w:szCs w:val="22"/>
          <w:highlight w:val="none"/>
          <w:lang w:val="en-US" w:eastAsia="zh-CN"/>
        </w:rPr>
        <w:t>计价表</w:t>
      </w:r>
      <w:r>
        <w:rPr>
          <w:rFonts w:hint="eastAsia" w:ascii="宋体" w:hAnsi="宋体" w:cs="@仿宋_GB2312"/>
          <w:color w:val="auto"/>
          <w:kern w:val="2"/>
          <w:sz w:val="24"/>
          <w:szCs w:val="22"/>
          <w:highlight w:val="none"/>
        </w:rPr>
        <w:t>中供应商没有填入单价或价格的子目，其费用视为已分摊在工程量清单中其他相关子目的单价或价格之中。</w:t>
      </w:r>
    </w:p>
    <w:p w14:paraId="02B5FB81">
      <w:pPr>
        <w:spacing w:line="360" w:lineRule="auto"/>
        <w:ind w:firstLine="480" w:firstLineChars="200"/>
        <w:rPr>
          <w:rFonts w:hint="eastAsia" w:ascii="宋体" w:hAnsi="宋体" w:cs="@仿宋_GB2312"/>
          <w:color w:val="auto"/>
          <w:kern w:val="2"/>
          <w:sz w:val="24"/>
          <w:szCs w:val="22"/>
          <w:highlight w:val="none"/>
        </w:rPr>
      </w:pPr>
      <w:r>
        <w:rPr>
          <w:rFonts w:hint="eastAsia" w:ascii="宋体" w:hAnsi="宋体" w:cs="@仿宋_GB2312"/>
          <w:color w:val="auto"/>
          <w:kern w:val="2"/>
          <w:sz w:val="24"/>
          <w:szCs w:val="22"/>
          <w:highlight w:val="none"/>
        </w:rPr>
        <w:t>（</w:t>
      </w:r>
      <w:r>
        <w:rPr>
          <w:rFonts w:hint="eastAsia" w:cs="@仿宋_GB2312"/>
          <w:color w:val="auto"/>
          <w:kern w:val="2"/>
          <w:sz w:val="24"/>
          <w:szCs w:val="22"/>
          <w:highlight w:val="none"/>
          <w:lang w:val="en-US" w:eastAsia="zh-CN"/>
        </w:rPr>
        <w:t>4</w:t>
      </w:r>
      <w:r>
        <w:rPr>
          <w:rFonts w:hint="eastAsia" w:ascii="宋体" w:hAnsi="宋体" w:cs="@仿宋_GB2312"/>
          <w:color w:val="auto"/>
          <w:kern w:val="2"/>
          <w:sz w:val="24"/>
          <w:szCs w:val="22"/>
          <w:highlight w:val="none"/>
        </w:rPr>
        <w:t>）金额（价格）均应以人民币表示；如果</w:t>
      </w:r>
      <w:r>
        <w:rPr>
          <w:rFonts w:hint="eastAsia" w:cs="@仿宋_GB2312"/>
          <w:color w:val="auto"/>
          <w:kern w:val="2"/>
          <w:sz w:val="24"/>
          <w:szCs w:val="22"/>
          <w:highlight w:val="none"/>
          <w:lang w:val="en-US" w:eastAsia="zh-CN"/>
        </w:rPr>
        <w:t>报价表中总价大小写</w:t>
      </w:r>
      <w:r>
        <w:rPr>
          <w:rFonts w:hint="eastAsia" w:ascii="宋体" w:hAnsi="宋体" w:cs="@仿宋_GB2312"/>
          <w:color w:val="auto"/>
          <w:kern w:val="2"/>
          <w:sz w:val="24"/>
          <w:szCs w:val="22"/>
          <w:highlight w:val="none"/>
        </w:rPr>
        <w:t>不一致，应当以报价函中填写的大写金额为准。</w:t>
      </w:r>
    </w:p>
    <w:p w14:paraId="1793731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仿宋_GB2312"/>
          <w:b/>
          <w:bCs/>
          <w:color w:val="auto"/>
          <w:kern w:val="2"/>
          <w:sz w:val="24"/>
          <w:szCs w:val="22"/>
          <w:highlight w:val="none"/>
          <w:lang w:val="en-US" w:eastAsia="zh-CN"/>
        </w:rPr>
      </w:pPr>
      <w:r>
        <w:rPr>
          <w:rFonts w:hint="eastAsia" w:cs="@仿宋_GB2312"/>
          <w:b/>
          <w:bCs/>
          <w:color w:val="auto"/>
          <w:kern w:val="2"/>
          <w:sz w:val="24"/>
          <w:szCs w:val="22"/>
          <w:highlight w:val="none"/>
          <w:lang w:val="en-US" w:eastAsia="zh-CN"/>
        </w:rPr>
        <w:t>3</w:t>
      </w:r>
      <w:r>
        <w:rPr>
          <w:rFonts w:hint="eastAsia" w:ascii="宋体" w:hAnsi="宋体" w:eastAsia="宋体" w:cs="@仿宋_GB2312"/>
          <w:b/>
          <w:bCs/>
          <w:color w:val="auto"/>
          <w:kern w:val="2"/>
          <w:sz w:val="24"/>
          <w:szCs w:val="22"/>
          <w:highlight w:val="none"/>
          <w:lang w:val="en-US" w:eastAsia="zh-CN"/>
        </w:rPr>
        <w:t>.1.</w:t>
      </w:r>
      <w:r>
        <w:rPr>
          <w:rFonts w:hint="default" w:ascii="宋体" w:hAnsi="宋体" w:eastAsia="宋体" w:cs="@仿宋_GB2312"/>
          <w:b/>
          <w:bCs/>
          <w:color w:val="auto"/>
          <w:kern w:val="2"/>
          <w:sz w:val="24"/>
          <w:szCs w:val="22"/>
          <w:highlight w:val="none"/>
          <w:lang w:val="en-US" w:eastAsia="zh-CN"/>
        </w:rPr>
        <w:t>3.其他说明</w:t>
      </w:r>
    </w:p>
    <w:p w14:paraId="0E5D777A">
      <w:pPr>
        <w:spacing w:line="360" w:lineRule="auto"/>
        <w:ind w:firstLine="480" w:firstLineChars="200"/>
        <w:rPr>
          <w:rFonts w:hint="eastAsia" w:ascii="宋体" w:hAnsi="宋体" w:cs="@仿宋_GB2312"/>
          <w:color w:val="auto"/>
          <w:kern w:val="2"/>
          <w:sz w:val="24"/>
          <w:szCs w:val="22"/>
          <w:highlight w:val="none"/>
        </w:rPr>
      </w:pPr>
      <w:r>
        <w:rPr>
          <w:rFonts w:hint="eastAsia" w:ascii="宋体" w:hAnsi="宋体" w:cs="@仿宋_GB2312"/>
          <w:color w:val="auto"/>
          <w:kern w:val="2"/>
          <w:sz w:val="24"/>
          <w:szCs w:val="22"/>
          <w:highlight w:val="none"/>
        </w:rPr>
        <w:t>（1）</w:t>
      </w:r>
      <w:r>
        <w:rPr>
          <w:rFonts w:hint="eastAsia" w:ascii="宋体" w:hAnsi="宋体" w:cs="@仿宋_GB2312"/>
          <w:color w:val="auto"/>
          <w:kern w:val="2"/>
          <w:sz w:val="24"/>
          <w:szCs w:val="22"/>
          <w:highlight w:val="none"/>
          <w:lang w:eastAsia="zh-CN"/>
        </w:rPr>
        <w:t>供应商</w:t>
      </w:r>
      <w:r>
        <w:rPr>
          <w:rFonts w:hint="eastAsia" w:ascii="宋体" w:hAnsi="宋体" w:cs="@仿宋_GB2312"/>
          <w:color w:val="auto"/>
          <w:kern w:val="2"/>
          <w:sz w:val="24"/>
          <w:szCs w:val="22"/>
          <w:highlight w:val="none"/>
        </w:rPr>
        <w:t>可先到工地踏勘以充分了解工地位置、情况、道路、储存空间、装卸限制及任何其他足以影响承包价的情况，任何因忽视或误解工地情况而导致的索赔或工期延长申请将不被批准。</w:t>
      </w:r>
    </w:p>
    <w:p w14:paraId="1DC549D1">
      <w:pPr>
        <w:spacing w:line="360" w:lineRule="auto"/>
        <w:ind w:firstLine="480" w:firstLineChars="200"/>
        <w:rPr>
          <w:rFonts w:hint="eastAsia" w:ascii="宋体" w:hAnsi="宋体" w:eastAsia="宋体" w:cs="@仿宋_GB2312"/>
          <w:color w:val="auto"/>
          <w:kern w:val="2"/>
          <w:sz w:val="24"/>
          <w:szCs w:val="22"/>
          <w:highlight w:val="none"/>
        </w:rPr>
      </w:pPr>
      <w:r>
        <w:rPr>
          <w:rFonts w:hint="eastAsia" w:ascii="宋体" w:hAnsi="宋体" w:cs="@仿宋_GB2312"/>
          <w:color w:val="auto"/>
          <w:kern w:val="2"/>
          <w:sz w:val="24"/>
          <w:szCs w:val="22"/>
          <w:highlight w:val="none"/>
        </w:rPr>
        <w:t>（2）因市场变化及法律、法规、规章和政策发</w:t>
      </w:r>
      <w:r>
        <w:rPr>
          <w:rFonts w:hint="eastAsia" w:ascii="宋体" w:hAnsi="宋体" w:eastAsia="宋体" w:cs="@仿宋_GB2312"/>
          <w:color w:val="auto"/>
          <w:kern w:val="2"/>
          <w:sz w:val="24"/>
          <w:szCs w:val="22"/>
          <w:highlight w:val="none"/>
        </w:rPr>
        <w:t>生变化等一切可能影响工程造价的因素及其经济风险均已包含在综合单价中，</w:t>
      </w:r>
      <w:r>
        <w:rPr>
          <w:rFonts w:hint="eastAsia" w:ascii="宋体" w:hAnsi="宋体" w:eastAsia="宋体" w:cs="@仿宋_GB2312"/>
          <w:color w:val="auto"/>
          <w:kern w:val="2"/>
          <w:sz w:val="24"/>
          <w:szCs w:val="22"/>
          <w:highlight w:val="none"/>
          <w:lang w:val="en-US" w:eastAsia="zh-CN"/>
        </w:rPr>
        <w:t>除合同约定外</w:t>
      </w:r>
      <w:r>
        <w:rPr>
          <w:rFonts w:hint="eastAsia" w:ascii="宋体" w:hAnsi="宋体" w:eastAsia="宋体" w:cs="@仿宋_GB2312"/>
          <w:color w:val="auto"/>
          <w:kern w:val="2"/>
          <w:sz w:val="24"/>
          <w:szCs w:val="22"/>
          <w:highlight w:val="none"/>
        </w:rPr>
        <w:t>合同综合单价不予调整。</w:t>
      </w:r>
    </w:p>
    <w:p w14:paraId="6A64EFDB">
      <w:pPr>
        <w:spacing w:line="360" w:lineRule="auto"/>
        <w:ind w:firstLine="480" w:firstLineChars="200"/>
        <w:rPr>
          <w:rFonts w:hint="eastAsia" w:ascii="宋体" w:hAnsi="宋体" w:eastAsia="宋体" w:cs="@仿宋_GB2312"/>
          <w:color w:val="auto"/>
          <w:kern w:val="2"/>
          <w:sz w:val="24"/>
          <w:szCs w:val="22"/>
          <w:highlight w:val="none"/>
          <w:lang w:eastAsia="zh-CN"/>
        </w:rPr>
      </w:pPr>
      <w:r>
        <w:rPr>
          <w:rFonts w:hint="eastAsia" w:ascii="宋体" w:hAnsi="宋体" w:cs="@仿宋_GB2312"/>
          <w:color w:val="auto"/>
          <w:kern w:val="2"/>
          <w:sz w:val="24"/>
          <w:szCs w:val="22"/>
          <w:highlight w:val="none"/>
        </w:rPr>
        <w:t>（3）与其他工程施工单位发生交叉作业而增加的费用包含在报价内</w:t>
      </w:r>
      <w:r>
        <w:rPr>
          <w:rFonts w:hint="eastAsia" w:ascii="宋体" w:hAnsi="宋体" w:cs="@仿宋_GB2312"/>
          <w:color w:val="auto"/>
          <w:kern w:val="2"/>
          <w:sz w:val="24"/>
          <w:szCs w:val="22"/>
          <w:highlight w:val="none"/>
          <w:lang w:eastAsia="zh-CN"/>
        </w:rPr>
        <w:t>。</w:t>
      </w:r>
    </w:p>
    <w:p w14:paraId="58393805">
      <w:pPr>
        <w:spacing w:line="360" w:lineRule="auto"/>
        <w:ind w:firstLine="480" w:firstLineChars="200"/>
        <w:rPr>
          <w:rFonts w:hint="eastAsia" w:ascii="宋体" w:hAnsi="宋体" w:cs="@仿宋_GB2312"/>
          <w:color w:val="auto"/>
          <w:kern w:val="2"/>
          <w:sz w:val="24"/>
          <w:szCs w:val="22"/>
          <w:highlight w:val="none"/>
        </w:rPr>
      </w:pPr>
      <w:r>
        <w:rPr>
          <w:rFonts w:hint="eastAsia" w:ascii="宋体" w:hAnsi="宋体" w:cs="@仿宋_GB2312"/>
          <w:color w:val="auto"/>
          <w:kern w:val="2"/>
          <w:sz w:val="24"/>
          <w:szCs w:val="22"/>
          <w:highlight w:val="none"/>
        </w:rPr>
        <w:t>（4）由于前期不可预见，而新增加的施工内容，经相关部门出具设计变更及处理方案后，方可调整相应费用。</w:t>
      </w:r>
    </w:p>
    <w:p w14:paraId="2B4FA1BE">
      <w:pPr>
        <w:spacing w:line="360" w:lineRule="auto"/>
        <w:ind w:firstLine="480" w:firstLineChars="200"/>
        <w:rPr>
          <w:rFonts w:hint="eastAsia" w:ascii="宋体" w:hAnsi="宋体" w:eastAsia="宋体" w:cs="@仿宋_GB2312"/>
          <w:color w:val="auto"/>
          <w:kern w:val="2"/>
          <w:sz w:val="24"/>
          <w:szCs w:val="22"/>
          <w:highlight w:val="none"/>
        </w:rPr>
      </w:pPr>
      <w:r>
        <w:rPr>
          <w:rFonts w:hint="eastAsia" w:ascii="宋体" w:hAnsi="宋体" w:eastAsia="宋体" w:cs="@仿宋_GB2312"/>
          <w:color w:val="auto"/>
          <w:kern w:val="2"/>
          <w:sz w:val="24"/>
          <w:szCs w:val="22"/>
          <w:highlight w:val="none"/>
        </w:rPr>
        <w:t>（5）因天气、地形、施工环境等条件发生变化，采取</w:t>
      </w:r>
      <w:r>
        <w:rPr>
          <w:rFonts w:hint="eastAsia" w:ascii="宋体" w:hAnsi="宋体" w:eastAsia="宋体" w:cs="@仿宋_GB2312"/>
          <w:b w:val="0"/>
          <w:bCs w:val="0"/>
          <w:color w:val="auto"/>
          <w:kern w:val="2"/>
          <w:sz w:val="24"/>
          <w:szCs w:val="22"/>
          <w:highlight w:val="none"/>
        </w:rPr>
        <w:t>临时措施工程</w:t>
      </w:r>
      <w:r>
        <w:rPr>
          <w:rFonts w:hint="eastAsia" w:ascii="宋体" w:hAnsi="宋体" w:eastAsia="宋体" w:cs="@仿宋_GB2312"/>
          <w:color w:val="auto"/>
          <w:kern w:val="2"/>
          <w:sz w:val="24"/>
          <w:szCs w:val="22"/>
          <w:highlight w:val="none"/>
        </w:rPr>
        <w:t>增加的费用或场地内可见障碍物清除的费用包含在报价内。</w:t>
      </w:r>
    </w:p>
    <w:p w14:paraId="68BC90D3">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zh-CN"/>
        </w:rPr>
      </w:pPr>
      <w:r>
        <w:rPr>
          <w:rFonts w:hint="eastAsia" w:cs="@仿宋_GB2312"/>
          <w:b/>
          <w:bCs/>
          <w:color w:val="auto"/>
          <w:kern w:val="2"/>
          <w:sz w:val="24"/>
          <w:szCs w:val="22"/>
          <w:highlight w:val="none"/>
          <w:lang w:val="en-US" w:eastAsia="zh-CN"/>
        </w:rPr>
        <w:t>3</w:t>
      </w:r>
      <w:r>
        <w:rPr>
          <w:rFonts w:hint="eastAsia" w:ascii="宋体" w:hAnsi="宋体" w:eastAsia="宋体" w:cs="@仿宋_GB2312"/>
          <w:b/>
          <w:bCs/>
          <w:color w:val="auto"/>
          <w:kern w:val="2"/>
          <w:sz w:val="24"/>
          <w:szCs w:val="22"/>
          <w:highlight w:val="none"/>
          <w:lang w:val="en-US" w:eastAsia="zh-CN"/>
        </w:rPr>
        <w:t>.2.报价要求</w:t>
      </w:r>
    </w:p>
    <w:p w14:paraId="108464C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b/>
          <w:bCs/>
          <w:color w:val="auto"/>
          <w:sz w:val="24"/>
          <w:szCs w:val="24"/>
          <w:highlight w:val="none"/>
          <w:shd w:val="clear" w:color="auto" w:fill="auto"/>
          <w:lang w:val="en-US" w:eastAsia="zh-CN"/>
        </w:rPr>
      </w:pPr>
      <w:r>
        <w:rPr>
          <w:rFonts w:hint="eastAsia" w:ascii="Times New Roman" w:hAnsi="Times New Roman"/>
          <w:b/>
          <w:bCs/>
          <w:color w:val="auto"/>
          <w:sz w:val="24"/>
          <w:szCs w:val="24"/>
          <w:highlight w:val="none"/>
          <w:shd w:val="clear" w:color="auto" w:fill="auto"/>
          <w:lang w:val="en-US" w:eastAsia="zh-CN"/>
        </w:rPr>
        <w:t xml:space="preserve">    具体详见附件：</w:t>
      </w:r>
      <w:r>
        <w:rPr>
          <w:rFonts w:hint="eastAsia" w:eastAsiaTheme="minorEastAsia" w:cstheme="minorBidi"/>
          <w:b/>
          <w:bCs/>
          <w:color w:val="000000" w:themeColor="text1"/>
          <w:sz w:val="24"/>
          <w:szCs w:val="28"/>
          <w:highlight w:val="none"/>
          <w:lang w:val="en-US" w:eastAsia="zh-CN" w:bidi="ar-SA"/>
          <w14:textFill>
            <w14:solidFill>
              <w14:schemeClr w14:val="tx1"/>
            </w14:solidFill>
          </w14:textFill>
        </w:rPr>
        <w:t>工程量清单计价表的综合单价</w:t>
      </w:r>
    </w:p>
    <w:p w14:paraId="2862404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b/>
          <w:bCs/>
          <w:color w:val="auto"/>
          <w:sz w:val="24"/>
          <w:szCs w:val="24"/>
          <w:highlight w:val="none"/>
          <w:shd w:val="clear" w:color="auto" w:fill="auto"/>
          <w:lang w:val="en-US" w:eastAsia="zh-CN"/>
        </w:rPr>
      </w:pPr>
      <w:r>
        <w:rPr>
          <w:rFonts w:hint="eastAsia" w:ascii="Times New Roman" w:hAnsi="Times New Roman" w:eastAsia="宋体"/>
          <w:b/>
          <w:bCs/>
          <w:color w:val="auto"/>
          <w:sz w:val="24"/>
          <w:szCs w:val="24"/>
          <w:highlight w:val="none"/>
          <w:shd w:val="clear" w:color="auto" w:fill="auto"/>
          <w:lang w:val="en-US" w:eastAsia="zh-CN"/>
        </w:rPr>
        <w:t>注：</w:t>
      </w:r>
    </w:p>
    <w:p w14:paraId="3910C7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b/>
          <w:bCs/>
          <w:color w:val="auto"/>
          <w:sz w:val="24"/>
          <w:szCs w:val="24"/>
          <w:highlight w:val="none"/>
          <w:shd w:val="clear" w:color="auto" w:fill="auto"/>
          <w:lang w:val="en-US" w:eastAsia="zh-CN"/>
        </w:rPr>
      </w:pPr>
      <w:r>
        <w:rPr>
          <w:rFonts w:hint="eastAsia" w:ascii="Times New Roman" w:hAnsi="Times New Roman" w:eastAsia="宋体"/>
          <w:b/>
          <w:bCs/>
          <w:color w:val="auto"/>
          <w:sz w:val="24"/>
          <w:szCs w:val="24"/>
          <w:highlight w:val="none"/>
          <w:shd w:val="clear" w:color="auto" w:fill="auto"/>
          <w:lang w:val="en-US" w:eastAsia="zh-CN"/>
        </w:rPr>
        <w:t>响应报价需包含临时工程措施费和所有设备的运输、安装、调试及运行维护等整个项目施工建设的完整报价，同时包括系统整体建设过程中的线缆、辅助材料等费用；</w:t>
      </w:r>
    </w:p>
    <w:p w14:paraId="338CF3A5">
      <w:pPr>
        <w:rPr>
          <w:rFonts w:hint="eastAsia" w:ascii="宋体" w:hAnsi="宋体"/>
          <w:b/>
          <w:color w:val="auto"/>
          <w:sz w:val="24"/>
          <w:szCs w:val="18"/>
          <w:highlight w:val="none"/>
          <w:lang w:eastAsia="zh-CN"/>
        </w:rPr>
      </w:pPr>
      <w:r>
        <w:rPr>
          <w:rFonts w:hint="default"/>
          <w:color w:val="auto"/>
          <w:highlight w:val="none"/>
        </w:rPr>
        <w:br w:type="page"/>
      </w:r>
    </w:p>
    <w:p w14:paraId="1CDA4965">
      <w:pPr>
        <w:pStyle w:val="4"/>
        <w:pageBreakBefore w:val="0"/>
        <w:widowControl w:val="0"/>
        <w:kinsoku/>
        <w:wordWrap/>
        <w:overflowPunct/>
        <w:topLinePunct w:val="0"/>
        <w:autoSpaceDE/>
        <w:autoSpaceDN/>
        <w:bidi w:val="0"/>
        <w:adjustRightInd/>
        <w:snapToGrid/>
        <w:ind w:firstLine="643" w:firstLineChars="200"/>
        <w:textAlignment w:val="auto"/>
        <w:rPr>
          <w:rFonts w:hint="default" w:cs="宋体"/>
          <w:color w:val="FF0000"/>
          <w:highlight w:val="none"/>
          <w:lang w:val="en-US" w:eastAsia="zh-CN"/>
        </w:rPr>
      </w:pPr>
      <w:r>
        <w:rPr>
          <w:rFonts w:hint="eastAsia" w:cs="宋体"/>
          <w:color w:val="auto"/>
          <w:highlight w:val="none"/>
          <w:lang w:val="en-US" w:eastAsia="zh-CN"/>
        </w:rPr>
        <w:t>4.技术参数</w:t>
      </w:r>
      <w:r>
        <w:rPr>
          <w:rFonts w:hint="eastAsia" w:cs="宋体"/>
          <w:color w:val="FF0000"/>
          <w:highlight w:val="none"/>
          <w:lang w:val="en-US" w:eastAsia="zh-CN"/>
        </w:rPr>
        <w:t>（以下设备须提供质保承诺，格式自拟）</w:t>
      </w:r>
    </w:p>
    <w:p w14:paraId="2C754144">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default"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zh-CN"/>
        </w:rPr>
        <w:t>4.</w:t>
      </w:r>
      <w:r>
        <w:rPr>
          <w:rFonts w:hint="eastAsia" w:cs="@仿宋_GB2312"/>
          <w:b/>
          <w:bCs/>
          <w:color w:val="auto"/>
          <w:kern w:val="2"/>
          <w:sz w:val="24"/>
          <w:szCs w:val="22"/>
          <w:highlight w:val="none"/>
          <w:lang w:val="en-US" w:eastAsia="zh-CN"/>
        </w:rPr>
        <w:t>1</w:t>
      </w:r>
      <w:r>
        <w:rPr>
          <w:rFonts w:hint="eastAsia" w:ascii="宋体" w:hAnsi="宋体" w:eastAsia="宋体" w:cs="@仿宋_GB2312"/>
          <w:b/>
          <w:bCs/>
          <w:color w:val="auto"/>
          <w:kern w:val="2"/>
          <w:sz w:val="24"/>
          <w:szCs w:val="22"/>
          <w:highlight w:val="none"/>
          <w:lang w:val="en-US" w:eastAsia="zh-CN"/>
        </w:rPr>
        <w:t>高清网络</w:t>
      </w:r>
      <w:r>
        <w:rPr>
          <w:rFonts w:hint="default" w:ascii="宋体" w:hAnsi="宋体" w:eastAsia="宋体" w:cs="@仿宋_GB2312"/>
          <w:b/>
          <w:bCs/>
          <w:color w:val="auto"/>
          <w:kern w:val="2"/>
          <w:sz w:val="24"/>
          <w:szCs w:val="22"/>
          <w:highlight w:val="none"/>
          <w:lang w:val="en-US" w:eastAsia="zh-CN"/>
        </w:rPr>
        <w:t>枪型摄像机</w:t>
      </w:r>
    </w:p>
    <w:p w14:paraId="7E6F199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en-US"/>
        </w:rPr>
        <w:t>为保证系统精度和长期稳定性，设备性能水平不低于海康威视、大华、宇视产品。具体技术参数需满足以下要求：</w:t>
      </w:r>
    </w:p>
    <w:p w14:paraId="307BEC6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en-US"/>
        </w:rPr>
        <w:t>(对于采购人参考品牌的材料，供应商可选用参考品牌或不低于参考品牌质量标准的其它品牌；采用其它品牌的应在响应文件中提供相关技术参数证明材料供磋商小组评审，未提供相关技术参数证明材料或经磋商小组评审未通过的，成交后只能从采购人参考品牌中进行选择，价格不予调整。)</w:t>
      </w:r>
    </w:p>
    <w:p w14:paraId="7AEBEE6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(1)像素不低于400万；图像传感器CMOS尺寸不小于1/3英寸；</w:t>
      </w:r>
    </w:p>
    <w:p w14:paraId="076ED8DB">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(2)最大输出图像分辨率不低于2560X1440@25fps;</w:t>
      </w:r>
    </w:p>
    <w:p w14:paraId="7AA3A6E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(3)支持H.265编码；</w:t>
      </w:r>
    </w:p>
    <w:p w14:paraId="1E8DC48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default" w:ascii="宋体" w:hAnsi="宋体" w:eastAsia="宋体" w:cs="@仿宋_GB2312"/>
          <w:color w:val="auto"/>
          <w:kern w:val="2"/>
          <w:sz w:val="24"/>
          <w:szCs w:val="22"/>
          <w:highlight w:val="none"/>
          <w:lang w:val="en-US" w:eastAsia="zh-CN"/>
        </w:rPr>
        <w:t>(4)内置红外补光灯，最大红外监控距离不低于50米；</w:t>
      </w:r>
    </w:p>
    <w:p w14:paraId="5E26409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5</w:t>
      </w:r>
      <w:r>
        <w:rPr>
          <w:rFonts w:hint="eastAsia" w:ascii="宋体" w:hAnsi="宋体" w:eastAsia="宋体" w:cs="@仿宋_GB2312"/>
          <w:color w:val="auto"/>
          <w:kern w:val="2"/>
          <w:sz w:val="24"/>
          <w:szCs w:val="22"/>
          <w:highlight w:val="none"/>
          <w:lang w:val="en-US" w:eastAsia="zh-CN"/>
        </w:rPr>
        <w:t>)支持DC12V和POE供电方式；</w:t>
      </w:r>
    </w:p>
    <w:p w14:paraId="0B550B5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6</w:t>
      </w:r>
      <w:r>
        <w:rPr>
          <w:rFonts w:hint="eastAsia" w:ascii="宋体" w:hAnsi="宋体" w:eastAsia="宋体" w:cs="@仿宋_GB2312"/>
          <w:color w:val="auto"/>
          <w:kern w:val="2"/>
          <w:sz w:val="24"/>
          <w:szCs w:val="22"/>
          <w:highlight w:val="none"/>
          <w:lang w:val="en-US" w:eastAsia="zh-CN"/>
        </w:rPr>
        <w:t>)防护等级不低于IP67</w:t>
      </w:r>
      <w:r>
        <w:rPr>
          <w:rFonts w:hint="default" w:ascii="宋体" w:hAnsi="宋体" w:eastAsia="宋体" w:cs="@仿宋_GB2312"/>
          <w:color w:val="auto"/>
          <w:kern w:val="2"/>
          <w:sz w:val="24"/>
          <w:szCs w:val="22"/>
          <w:highlight w:val="none"/>
          <w:lang w:val="en-US" w:eastAsia="zh-CN"/>
        </w:rPr>
        <w:t>。</w:t>
      </w:r>
    </w:p>
    <w:p w14:paraId="0FFB0A02">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default"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zh-CN"/>
        </w:rPr>
        <w:t>4.</w:t>
      </w:r>
      <w:r>
        <w:rPr>
          <w:rFonts w:hint="eastAsia" w:cs="@仿宋_GB2312"/>
          <w:b/>
          <w:bCs/>
          <w:color w:val="auto"/>
          <w:kern w:val="2"/>
          <w:sz w:val="24"/>
          <w:szCs w:val="22"/>
          <w:highlight w:val="none"/>
          <w:lang w:val="en-US" w:eastAsia="zh-CN"/>
        </w:rPr>
        <w:t>2</w:t>
      </w:r>
      <w:r>
        <w:rPr>
          <w:rFonts w:hint="eastAsia" w:ascii="宋体" w:hAnsi="宋体" w:eastAsia="宋体" w:cs="@仿宋_GB2312"/>
          <w:b/>
          <w:bCs/>
          <w:color w:val="auto"/>
          <w:kern w:val="2"/>
          <w:sz w:val="24"/>
          <w:szCs w:val="22"/>
          <w:highlight w:val="none"/>
          <w:lang w:val="en-US" w:eastAsia="zh-CN"/>
        </w:rPr>
        <w:t>高清网络球</w:t>
      </w:r>
      <w:r>
        <w:rPr>
          <w:rFonts w:hint="default" w:ascii="宋体" w:hAnsi="宋体" w:eastAsia="宋体" w:cs="@仿宋_GB2312"/>
          <w:b/>
          <w:bCs/>
          <w:color w:val="auto"/>
          <w:kern w:val="2"/>
          <w:sz w:val="24"/>
          <w:szCs w:val="22"/>
          <w:highlight w:val="none"/>
          <w:lang w:val="en-US" w:eastAsia="zh-CN"/>
        </w:rPr>
        <w:t>型摄像机</w:t>
      </w:r>
      <w:r>
        <w:rPr>
          <w:rFonts w:hint="eastAsia" w:ascii="宋体" w:hAnsi="宋体" w:eastAsia="宋体" w:cs="@仿宋_GB2312"/>
          <w:b/>
          <w:bCs/>
          <w:color w:val="auto"/>
          <w:kern w:val="2"/>
          <w:sz w:val="24"/>
          <w:szCs w:val="22"/>
          <w:highlight w:val="none"/>
          <w:lang w:val="en-US" w:eastAsia="zh-CN"/>
        </w:rPr>
        <w:t>1</w:t>
      </w:r>
    </w:p>
    <w:p w14:paraId="13DF28C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en-US"/>
        </w:rPr>
        <w:t>为保证系统精度和长期稳定性，设备性能水平不低于海康威视、大华、宇视产品。具体技术参数需满足以下要求：</w:t>
      </w:r>
    </w:p>
    <w:p w14:paraId="4B86295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en-US"/>
        </w:rPr>
      </w:pPr>
      <w:r>
        <w:rPr>
          <w:rFonts w:hint="eastAsia" w:ascii="宋体" w:hAnsi="宋体" w:eastAsia="宋体" w:cs="@仿宋_GB2312"/>
          <w:b/>
          <w:bCs/>
          <w:color w:val="auto"/>
          <w:kern w:val="2"/>
          <w:sz w:val="24"/>
          <w:szCs w:val="22"/>
          <w:highlight w:val="none"/>
          <w:lang w:val="en-US" w:eastAsia="en-US"/>
        </w:rPr>
        <w:t>(对于采购人参考品牌的材料，供应商可选用参考品牌或不低于参考品牌质量标准的其它品牌；采用其它品牌的应在响应文件中提供相关技术参数证明材料供磋商小组评审，未提供相关技术参数证明材料或经磋商小组评审未通过的，成交后只能从采购人参考品牌中进行选择，价格不予调整。)</w:t>
      </w:r>
    </w:p>
    <w:p w14:paraId="4D3AEC1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（1）</w:t>
      </w:r>
      <w:r>
        <w:rPr>
          <w:rFonts w:hint="default" w:ascii="宋体" w:hAnsi="宋体" w:eastAsia="宋体" w:cs="@仿宋_GB2312"/>
          <w:color w:val="auto"/>
          <w:kern w:val="2"/>
          <w:sz w:val="24"/>
          <w:szCs w:val="22"/>
          <w:highlight w:val="none"/>
          <w:lang w:val="en-US" w:eastAsia="zh-CN"/>
        </w:rPr>
        <w:t>不低于400万像素；</w:t>
      </w:r>
    </w:p>
    <w:p w14:paraId="1414ADE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（2）</w:t>
      </w:r>
      <w:r>
        <w:rPr>
          <w:rFonts w:hint="default" w:ascii="宋体" w:hAnsi="宋体" w:eastAsia="宋体" w:cs="@仿宋_GB2312"/>
          <w:color w:val="auto"/>
          <w:kern w:val="2"/>
          <w:sz w:val="24"/>
          <w:szCs w:val="22"/>
          <w:highlight w:val="none"/>
          <w:lang w:val="en-US" w:eastAsia="zh-CN"/>
        </w:rPr>
        <w:t>支持区域入侵侦测，越界侦测，进入区域侦测和离开区域侦测等智能侦测；</w:t>
      </w:r>
    </w:p>
    <w:p w14:paraId="07622F6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zh-CN"/>
        </w:rPr>
        <w:t>采用高效补光阵列，红外补光；</w:t>
      </w:r>
    </w:p>
    <w:p w14:paraId="196B532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（4）</w:t>
      </w:r>
      <w:r>
        <w:rPr>
          <w:rFonts w:hint="default" w:ascii="宋体" w:hAnsi="宋体" w:eastAsia="宋体" w:cs="@仿宋_GB2312"/>
          <w:color w:val="auto"/>
          <w:kern w:val="2"/>
          <w:sz w:val="24"/>
          <w:szCs w:val="22"/>
          <w:highlight w:val="none"/>
          <w:lang w:val="en-US" w:eastAsia="zh-CN"/>
        </w:rPr>
        <w:t>不低于23倍光学变倍，16倍数字变倍；</w:t>
      </w:r>
    </w:p>
    <w:p w14:paraId="1B33C104">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default"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zh-CN"/>
        </w:rPr>
        <w:t>4.</w:t>
      </w:r>
      <w:r>
        <w:rPr>
          <w:rFonts w:hint="eastAsia" w:cs="@仿宋_GB2312"/>
          <w:b/>
          <w:bCs/>
          <w:color w:val="auto"/>
          <w:kern w:val="2"/>
          <w:sz w:val="24"/>
          <w:szCs w:val="22"/>
          <w:highlight w:val="none"/>
          <w:lang w:val="en-US" w:eastAsia="zh-CN"/>
        </w:rPr>
        <w:t>3</w:t>
      </w:r>
      <w:r>
        <w:rPr>
          <w:rFonts w:hint="eastAsia" w:ascii="宋体" w:hAnsi="宋体" w:eastAsia="宋体" w:cs="@仿宋_GB2312"/>
          <w:b/>
          <w:bCs/>
          <w:color w:val="auto"/>
          <w:kern w:val="2"/>
          <w:sz w:val="24"/>
          <w:szCs w:val="22"/>
          <w:highlight w:val="none"/>
          <w:lang w:val="en-US" w:eastAsia="zh-CN"/>
        </w:rPr>
        <w:t xml:space="preserve"> 高清网络球</w:t>
      </w:r>
      <w:r>
        <w:rPr>
          <w:rFonts w:hint="default" w:ascii="宋体" w:hAnsi="宋体" w:eastAsia="宋体" w:cs="@仿宋_GB2312"/>
          <w:b/>
          <w:bCs/>
          <w:color w:val="auto"/>
          <w:kern w:val="2"/>
          <w:sz w:val="24"/>
          <w:szCs w:val="22"/>
          <w:highlight w:val="none"/>
          <w:lang w:val="en-US" w:eastAsia="zh-CN"/>
        </w:rPr>
        <w:t>型摄像机</w:t>
      </w:r>
      <w:r>
        <w:rPr>
          <w:rFonts w:hint="eastAsia" w:ascii="宋体" w:hAnsi="宋体" w:eastAsia="宋体" w:cs="@仿宋_GB2312"/>
          <w:b/>
          <w:bCs/>
          <w:color w:val="auto"/>
          <w:kern w:val="2"/>
          <w:sz w:val="24"/>
          <w:szCs w:val="22"/>
          <w:highlight w:val="none"/>
          <w:lang w:val="en-US" w:eastAsia="zh-CN"/>
        </w:rPr>
        <w:t>2</w:t>
      </w:r>
    </w:p>
    <w:p w14:paraId="2918791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en-US"/>
        </w:rPr>
        <w:t>为保证系统精度和长期稳定性，设备性能水平不低于海康威视、大华、宇视产品。具体技术参数需满足以下要求：</w:t>
      </w:r>
    </w:p>
    <w:p w14:paraId="3EB731B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en-US"/>
        </w:rPr>
      </w:pPr>
      <w:r>
        <w:rPr>
          <w:rFonts w:hint="eastAsia" w:ascii="宋体" w:hAnsi="宋体" w:eastAsia="宋体" w:cs="@仿宋_GB2312"/>
          <w:b/>
          <w:bCs/>
          <w:color w:val="auto"/>
          <w:kern w:val="2"/>
          <w:sz w:val="24"/>
          <w:szCs w:val="22"/>
          <w:highlight w:val="none"/>
          <w:lang w:val="en-US" w:eastAsia="en-US"/>
        </w:rPr>
        <w:t>(对于采购人参考品牌的材料，供应商可选用参考品牌或不低于参考品牌质量标准的其它品牌；采用其它品牌的应在响应文件中提供相关技术参数证明材料供磋商小组评审，未提供相关技术参数证明材料或经磋商小组评审未通过的，成交后只能从采购人参考品牌中进行选择，价格不予调整。)</w:t>
      </w:r>
    </w:p>
    <w:p w14:paraId="6D3CA21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（1）</w:t>
      </w:r>
      <w:r>
        <w:rPr>
          <w:rFonts w:hint="default" w:ascii="宋体" w:hAnsi="宋体" w:eastAsia="宋体" w:cs="@仿宋_GB2312"/>
          <w:color w:val="auto"/>
          <w:kern w:val="2"/>
          <w:sz w:val="24"/>
          <w:szCs w:val="22"/>
          <w:highlight w:val="none"/>
          <w:lang w:val="en-US" w:eastAsia="zh-CN"/>
        </w:rPr>
        <w:t>不低于400万像素；</w:t>
      </w:r>
    </w:p>
    <w:p w14:paraId="386BCC2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（2）</w:t>
      </w:r>
      <w:r>
        <w:rPr>
          <w:rFonts w:hint="default" w:ascii="宋体" w:hAnsi="宋体" w:eastAsia="宋体" w:cs="@仿宋_GB2312"/>
          <w:color w:val="auto"/>
          <w:kern w:val="2"/>
          <w:sz w:val="24"/>
          <w:szCs w:val="22"/>
          <w:highlight w:val="none"/>
          <w:lang w:val="en-US" w:eastAsia="zh-CN"/>
        </w:rPr>
        <w:t>支持区域入侵侦测，越界侦测，进入区域侦测和离开区域侦测等智能侦测；</w:t>
      </w:r>
    </w:p>
    <w:p w14:paraId="0618A78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（3）</w:t>
      </w:r>
      <w:r>
        <w:rPr>
          <w:rFonts w:hint="default" w:ascii="宋体" w:hAnsi="宋体" w:eastAsia="宋体" w:cs="@仿宋_GB2312"/>
          <w:color w:val="auto"/>
          <w:kern w:val="2"/>
          <w:sz w:val="24"/>
          <w:szCs w:val="22"/>
          <w:highlight w:val="none"/>
          <w:lang w:val="en-US" w:eastAsia="zh-CN"/>
        </w:rPr>
        <w:t>采用高效补光阵列，红外补光；</w:t>
      </w:r>
    </w:p>
    <w:p w14:paraId="46BE421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（4）</w:t>
      </w:r>
      <w:r>
        <w:rPr>
          <w:rFonts w:hint="default" w:ascii="宋体" w:hAnsi="宋体" w:eastAsia="宋体" w:cs="@仿宋_GB2312"/>
          <w:color w:val="auto"/>
          <w:kern w:val="2"/>
          <w:sz w:val="24"/>
          <w:szCs w:val="22"/>
          <w:highlight w:val="none"/>
          <w:lang w:val="en-US" w:eastAsia="zh-CN"/>
        </w:rPr>
        <w:t>不低于23倍光学变倍，16倍数字变倍；</w:t>
      </w:r>
    </w:p>
    <w:p w14:paraId="7100A8D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ascii="宋体" w:hAnsi="宋体" w:eastAsia="宋体" w:cs="@仿宋_GB2312"/>
          <w:color w:val="auto"/>
          <w:kern w:val="2"/>
          <w:sz w:val="24"/>
          <w:szCs w:val="22"/>
          <w:highlight w:val="none"/>
          <w:lang w:val="en-US" w:eastAsia="zh-CN"/>
        </w:rPr>
        <w:t>（</w:t>
      </w:r>
      <w:r>
        <w:rPr>
          <w:rFonts w:hint="eastAsia" w:cs="@仿宋_GB2312"/>
          <w:color w:val="auto"/>
          <w:kern w:val="2"/>
          <w:sz w:val="24"/>
          <w:szCs w:val="22"/>
          <w:highlight w:val="none"/>
          <w:lang w:val="en-US" w:eastAsia="zh-CN"/>
        </w:rPr>
        <w:t>5</w:t>
      </w:r>
      <w:r>
        <w:rPr>
          <w:rFonts w:hint="eastAsia" w:ascii="宋体" w:hAnsi="宋体" w:eastAsia="宋体" w:cs="@仿宋_GB2312"/>
          <w:color w:val="auto"/>
          <w:kern w:val="2"/>
          <w:sz w:val="24"/>
          <w:szCs w:val="22"/>
          <w:highlight w:val="none"/>
          <w:lang w:val="en-US" w:eastAsia="zh-CN"/>
        </w:rPr>
        <w:t>）支持sim卡接入</w:t>
      </w:r>
    </w:p>
    <w:p w14:paraId="1D7DEB4A">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zh-CN"/>
        </w:rPr>
        <w:t>（</w:t>
      </w:r>
      <w:r>
        <w:rPr>
          <w:rFonts w:hint="eastAsia" w:cs="@仿宋_GB2312"/>
          <w:b/>
          <w:bCs/>
          <w:color w:val="auto"/>
          <w:kern w:val="2"/>
          <w:sz w:val="24"/>
          <w:szCs w:val="22"/>
          <w:highlight w:val="none"/>
          <w:lang w:val="en-US" w:eastAsia="zh-CN"/>
        </w:rPr>
        <w:t>6</w:t>
      </w:r>
      <w:r>
        <w:rPr>
          <w:rFonts w:hint="eastAsia" w:ascii="宋体" w:hAnsi="宋体" w:eastAsia="宋体" w:cs="@仿宋_GB2312"/>
          <w:b/>
          <w:bCs/>
          <w:color w:val="auto"/>
          <w:kern w:val="2"/>
          <w:sz w:val="24"/>
          <w:szCs w:val="22"/>
          <w:highlight w:val="none"/>
          <w:lang w:val="en-US" w:eastAsia="zh-CN"/>
        </w:rPr>
        <w:t>）含256G存储卡；</w:t>
      </w:r>
    </w:p>
    <w:p w14:paraId="402A869A">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outlineLvl w:val="3"/>
        <w:rPr>
          <w:rFonts w:hint="default"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zh-CN"/>
        </w:rPr>
        <w:t>4.</w:t>
      </w:r>
      <w:r>
        <w:rPr>
          <w:rFonts w:hint="eastAsia" w:cs="@仿宋_GB2312"/>
          <w:b/>
          <w:bCs/>
          <w:color w:val="auto"/>
          <w:kern w:val="2"/>
          <w:sz w:val="24"/>
          <w:szCs w:val="22"/>
          <w:highlight w:val="none"/>
          <w:lang w:val="en-US" w:eastAsia="zh-CN"/>
        </w:rPr>
        <w:t>4</w:t>
      </w:r>
      <w:r>
        <w:rPr>
          <w:rFonts w:hint="eastAsia" w:ascii="宋体" w:hAnsi="宋体" w:eastAsia="宋体" w:cs="@仿宋_GB2312"/>
          <w:b/>
          <w:bCs/>
          <w:color w:val="auto"/>
          <w:kern w:val="2"/>
          <w:sz w:val="24"/>
          <w:szCs w:val="22"/>
          <w:highlight w:val="none"/>
          <w:lang w:val="en-US" w:eastAsia="zh-CN"/>
        </w:rPr>
        <w:t xml:space="preserve"> 会议摄像机</w:t>
      </w:r>
    </w:p>
    <w:p w14:paraId="767C912D">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en-US"/>
        </w:rPr>
        <w:t>为保证系统精度和长期稳定性，设备性能水平不低于</w:t>
      </w:r>
      <w:r>
        <w:rPr>
          <w:rFonts w:hint="eastAsia" w:cs="@仿宋_GB2312"/>
          <w:color w:val="auto"/>
          <w:kern w:val="2"/>
          <w:sz w:val="24"/>
          <w:szCs w:val="22"/>
          <w:highlight w:val="none"/>
          <w:lang w:val="en-US" w:eastAsia="zh-CN"/>
        </w:rPr>
        <w:t>华为</w:t>
      </w:r>
      <w:r>
        <w:rPr>
          <w:rFonts w:hint="eastAsia" w:ascii="宋体" w:hAnsi="宋体" w:eastAsia="宋体" w:cs="@仿宋_GB2312"/>
          <w:color w:val="auto"/>
          <w:kern w:val="2"/>
          <w:sz w:val="24"/>
          <w:szCs w:val="22"/>
          <w:highlight w:val="none"/>
          <w:lang w:val="en-US" w:eastAsia="en-US"/>
        </w:rPr>
        <w:t>、</w:t>
      </w:r>
      <w:r>
        <w:rPr>
          <w:rFonts w:hint="eastAsia" w:cs="@仿宋_GB2312"/>
          <w:color w:val="auto"/>
          <w:kern w:val="2"/>
          <w:sz w:val="24"/>
          <w:szCs w:val="22"/>
          <w:highlight w:val="none"/>
          <w:lang w:val="en-US" w:eastAsia="zh-CN"/>
        </w:rPr>
        <w:t>海康</w:t>
      </w:r>
      <w:r>
        <w:rPr>
          <w:rFonts w:hint="eastAsia" w:ascii="宋体" w:hAnsi="宋体" w:eastAsia="宋体" w:cs="@仿宋_GB2312"/>
          <w:color w:val="auto"/>
          <w:kern w:val="2"/>
          <w:sz w:val="24"/>
          <w:szCs w:val="22"/>
          <w:highlight w:val="none"/>
          <w:lang w:val="en-US" w:eastAsia="en-US"/>
        </w:rPr>
        <w:t>、</w:t>
      </w:r>
      <w:r>
        <w:rPr>
          <w:rFonts w:hint="eastAsia" w:cs="@仿宋_GB2312"/>
          <w:color w:val="auto"/>
          <w:kern w:val="2"/>
          <w:sz w:val="24"/>
          <w:szCs w:val="22"/>
          <w:highlight w:val="none"/>
          <w:lang w:val="en-US" w:eastAsia="zh-CN"/>
        </w:rPr>
        <w:t>大华</w:t>
      </w:r>
      <w:r>
        <w:rPr>
          <w:rFonts w:hint="eastAsia" w:ascii="宋体" w:hAnsi="宋体" w:eastAsia="宋体" w:cs="@仿宋_GB2312"/>
          <w:color w:val="auto"/>
          <w:kern w:val="2"/>
          <w:sz w:val="24"/>
          <w:szCs w:val="22"/>
          <w:highlight w:val="none"/>
          <w:lang w:val="en-US" w:eastAsia="en-US"/>
        </w:rPr>
        <w:t>产品。具体技术参数需满足以下要求：</w:t>
      </w:r>
    </w:p>
    <w:p w14:paraId="7DDB252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en-US"/>
        </w:rPr>
        <w:t>(对于采购人参考品牌的材料，供应商可选用参考品牌或不低于参考品牌质量标准的其它品牌；采用其它品牌的应在响应文件中提供相关技术参数证明材料供磋商小组评审，未提供相关技术参数证明材料或经磋商小组评审未通过的，成交后只能从采购人参考品牌中进行选择，价格不予调整。)</w:t>
      </w:r>
    </w:p>
    <w:p w14:paraId="0512282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（1）</w:t>
      </w:r>
      <w:r>
        <w:rPr>
          <w:rFonts w:hint="eastAsia" w:ascii="宋体" w:hAnsi="宋体" w:eastAsia="宋体" w:cs="@仿宋_GB2312"/>
          <w:color w:val="auto"/>
          <w:kern w:val="2"/>
          <w:sz w:val="24"/>
          <w:szCs w:val="22"/>
          <w:highlight w:val="none"/>
          <w:lang w:val="en-US" w:eastAsia="zh-CN"/>
        </w:rPr>
        <w:t>支持图像倒转功能，方便摄像机安装在天花板上；</w:t>
      </w:r>
    </w:p>
    <w:p w14:paraId="53A6BE3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（2）</w:t>
      </w:r>
      <w:r>
        <w:rPr>
          <w:rFonts w:hint="eastAsia" w:ascii="宋体" w:hAnsi="宋体" w:eastAsia="宋体" w:cs="@仿宋_GB2312"/>
          <w:color w:val="auto"/>
          <w:kern w:val="2"/>
          <w:sz w:val="24"/>
          <w:szCs w:val="22"/>
          <w:highlight w:val="none"/>
          <w:lang w:val="en-US" w:eastAsia="zh-CN"/>
        </w:rPr>
        <w:t>支持1080P（50/60fps）、1080i（50/60fps）、1080p （25/30fps）、720（50/60fps）视频输出；</w:t>
      </w:r>
    </w:p>
    <w:p w14:paraId="4DE32AB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（3）</w:t>
      </w:r>
      <w:r>
        <w:rPr>
          <w:rFonts w:hint="eastAsia" w:ascii="宋体" w:hAnsi="宋体" w:eastAsia="宋体" w:cs="@仿宋_GB2312"/>
          <w:color w:val="auto"/>
          <w:kern w:val="2"/>
          <w:sz w:val="24"/>
          <w:szCs w:val="22"/>
          <w:highlight w:val="none"/>
          <w:lang w:val="en-US" w:eastAsia="zh-CN"/>
        </w:rPr>
        <w:t>支持不小于12倍光学变焦；</w:t>
      </w:r>
    </w:p>
    <w:p w14:paraId="6742D4F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zh-CN"/>
        </w:rPr>
      </w:pPr>
      <w:r>
        <w:rPr>
          <w:rFonts w:hint="eastAsia" w:cs="@仿宋_GB2312"/>
          <w:color w:val="auto"/>
          <w:kern w:val="2"/>
          <w:sz w:val="24"/>
          <w:szCs w:val="22"/>
          <w:highlight w:val="none"/>
          <w:lang w:val="en-US" w:eastAsia="zh-CN"/>
        </w:rPr>
        <w:t>（4）</w:t>
      </w:r>
      <w:r>
        <w:rPr>
          <w:rFonts w:hint="eastAsia" w:ascii="宋体" w:hAnsi="宋体" w:eastAsia="宋体" w:cs="@仿宋_GB2312"/>
          <w:color w:val="auto"/>
          <w:kern w:val="2"/>
          <w:sz w:val="24"/>
          <w:szCs w:val="22"/>
          <w:highlight w:val="none"/>
          <w:lang w:val="en-US" w:eastAsia="zh-CN"/>
        </w:rPr>
        <w:t>本地预置位不少于254个；</w:t>
      </w:r>
    </w:p>
    <w:p w14:paraId="5AA708EF">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zh-CN"/>
        </w:rPr>
      </w:pPr>
      <w:r>
        <w:rPr>
          <w:rFonts w:hint="eastAsia" w:cs="@仿宋_GB2312"/>
          <w:b/>
          <w:bCs/>
          <w:color w:val="auto"/>
          <w:kern w:val="2"/>
          <w:sz w:val="24"/>
          <w:szCs w:val="22"/>
          <w:highlight w:val="none"/>
          <w:lang w:val="en-US" w:eastAsia="zh-CN"/>
        </w:rPr>
        <w:t>（5）</w:t>
      </w:r>
      <w:r>
        <w:rPr>
          <w:rFonts w:hint="eastAsia" w:ascii="宋体" w:hAnsi="宋体" w:eastAsia="宋体" w:cs="@仿宋_GB2312"/>
          <w:b/>
          <w:bCs/>
          <w:color w:val="auto"/>
          <w:kern w:val="2"/>
          <w:sz w:val="24"/>
          <w:szCs w:val="22"/>
          <w:highlight w:val="none"/>
          <w:lang w:val="en-US" w:eastAsia="zh-CN"/>
        </w:rPr>
        <w:t>为确保系统的稳定性和兼容性，本次采购必须与现有视频会议终端华为TE50兼容。</w:t>
      </w:r>
    </w:p>
    <w:p w14:paraId="7A399142">
      <w:pPr>
        <w:pStyle w:val="5"/>
        <w:bidi w:val="0"/>
        <w:ind w:firstLine="562" w:firstLineChars="200"/>
        <w:rPr>
          <w:rFonts w:hint="eastAsia"/>
          <w:highlight w:val="none"/>
          <w:lang w:val="en-US" w:eastAsia="zh-CN"/>
        </w:rPr>
      </w:pPr>
      <w:r>
        <w:rPr>
          <w:rFonts w:hint="eastAsia"/>
          <w:highlight w:val="none"/>
          <w:lang w:val="en-US" w:eastAsia="zh-CN"/>
        </w:rPr>
        <w:t>4.5视频汇聚交换机</w:t>
      </w:r>
    </w:p>
    <w:p w14:paraId="360D033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en-US"/>
        </w:rPr>
        <w:t>为保证系统精度和长期稳定性，设备性能水平不低于</w:t>
      </w:r>
      <w:r>
        <w:rPr>
          <w:rFonts w:hint="eastAsia" w:cs="@仿宋_GB2312"/>
          <w:color w:val="auto"/>
          <w:kern w:val="2"/>
          <w:sz w:val="24"/>
          <w:szCs w:val="22"/>
          <w:highlight w:val="none"/>
          <w:lang w:val="en-US" w:eastAsia="zh-CN"/>
        </w:rPr>
        <w:t>华为</w:t>
      </w:r>
      <w:r>
        <w:rPr>
          <w:rFonts w:hint="eastAsia" w:ascii="宋体" w:hAnsi="宋体" w:eastAsia="宋体" w:cs="@仿宋_GB2312"/>
          <w:color w:val="auto"/>
          <w:kern w:val="2"/>
          <w:sz w:val="24"/>
          <w:szCs w:val="22"/>
          <w:highlight w:val="none"/>
          <w:lang w:val="en-US" w:eastAsia="en-US"/>
        </w:rPr>
        <w:t>、</w:t>
      </w:r>
      <w:r>
        <w:rPr>
          <w:rFonts w:hint="eastAsia" w:cs="@仿宋_GB2312"/>
          <w:color w:val="auto"/>
          <w:kern w:val="2"/>
          <w:sz w:val="24"/>
          <w:szCs w:val="22"/>
          <w:highlight w:val="none"/>
          <w:lang w:val="en-US" w:eastAsia="zh-CN"/>
        </w:rPr>
        <w:t>H3C</w:t>
      </w:r>
      <w:r>
        <w:rPr>
          <w:rFonts w:hint="eastAsia" w:ascii="宋体" w:hAnsi="宋体" w:eastAsia="宋体" w:cs="@仿宋_GB2312"/>
          <w:color w:val="auto"/>
          <w:kern w:val="2"/>
          <w:sz w:val="24"/>
          <w:szCs w:val="22"/>
          <w:highlight w:val="none"/>
          <w:lang w:val="en-US" w:eastAsia="en-US"/>
        </w:rPr>
        <w:t>、</w:t>
      </w:r>
      <w:r>
        <w:rPr>
          <w:rFonts w:hint="eastAsia" w:cs="@仿宋_GB2312"/>
          <w:color w:val="auto"/>
          <w:kern w:val="2"/>
          <w:sz w:val="24"/>
          <w:szCs w:val="22"/>
          <w:highlight w:val="none"/>
          <w:lang w:val="en-US" w:eastAsia="zh-CN"/>
        </w:rPr>
        <w:t>海康</w:t>
      </w:r>
      <w:r>
        <w:rPr>
          <w:rFonts w:hint="eastAsia" w:ascii="宋体" w:hAnsi="宋体" w:eastAsia="宋体" w:cs="@仿宋_GB2312"/>
          <w:color w:val="auto"/>
          <w:kern w:val="2"/>
          <w:sz w:val="24"/>
          <w:szCs w:val="22"/>
          <w:highlight w:val="none"/>
          <w:lang w:val="en-US" w:eastAsia="en-US"/>
        </w:rPr>
        <w:t>产品。具体技术参数需满足以下要求：</w:t>
      </w:r>
    </w:p>
    <w:p w14:paraId="09E4CB3A">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en-US"/>
        </w:rPr>
        <w:t>(对于采购人参考品牌的材料，供应商可选用参考品牌或不低于参考品牌质量标准的其它品牌；采用其它品牌的应在响应文件中提供相关技术参数证明材料供磋商小组评审，未提供相关技术参数证明材料或经磋商小组评审未通过的，成交后只能从采购人参考品牌中进行选择，价格不予调整。)</w:t>
      </w:r>
    </w:p>
    <w:p w14:paraId="67779199">
      <w:pPr>
        <w:numPr>
          <w:ilvl w:val="0"/>
          <w:numId w:val="8"/>
        </w:numPr>
        <w:spacing w:line="360" w:lineRule="auto"/>
        <w:ind w:left="845" w:leftChars="0" w:hanging="425" w:firstLineChars="0"/>
        <w:rPr>
          <w:rFonts w:hint="default"/>
          <w:sz w:val="24"/>
          <w:szCs w:val="24"/>
          <w:highlight w:val="none"/>
          <w:lang w:val="en-US" w:eastAsia="zh-CN"/>
        </w:rPr>
      </w:pPr>
      <w:r>
        <w:rPr>
          <w:rFonts w:hint="default"/>
          <w:sz w:val="24"/>
          <w:szCs w:val="24"/>
          <w:highlight w:val="none"/>
          <w:lang w:val="en-US" w:eastAsia="zh-CN"/>
        </w:rPr>
        <w:t>不小于24个10/100/1000BASE-T以太网端口,4个千兆SFP；</w:t>
      </w:r>
    </w:p>
    <w:p w14:paraId="52C3F567">
      <w:pPr>
        <w:numPr>
          <w:ilvl w:val="0"/>
          <w:numId w:val="8"/>
        </w:numPr>
        <w:spacing w:line="360" w:lineRule="auto"/>
        <w:ind w:left="845" w:leftChars="0" w:hanging="425" w:firstLineChars="0"/>
        <w:rPr>
          <w:rFonts w:hint="default"/>
          <w:sz w:val="24"/>
          <w:szCs w:val="24"/>
          <w:highlight w:val="none"/>
          <w:lang w:val="en-US" w:eastAsia="zh-CN"/>
        </w:rPr>
      </w:pPr>
      <w:r>
        <w:rPr>
          <w:rFonts w:hint="default"/>
          <w:sz w:val="24"/>
          <w:szCs w:val="24"/>
          <w:highlight w:val="none"/>
          <w:lang w:val="en-US" w:eastAsia="zh-CN"/>
        </w:rPr>
        <w:t>交换容量大于等于672Gbps/6.72Tbps，包转发率大于等于126Mpps；</w:t>
      </w:r>
    </w:p>
    <w:p w14:paraId="4F32AD71">
      <w:pPr>
        <w:numPr>
          <w:ilvl w:val="0"/>
          <w:numId w:val="8"/>
        </w:numPr>
        <w:spacing w:line="360" w:lineRule="auto"/>
        <w:ind w:left="845" w:leftChars="0" w:hanging="425" w:firstLineChars="0"/>
        <w:rPr>
          <w:rFonts w:hint="default"/>
          <w:sz w:val="24"/>
          <w:szCs w:val="24"/>
          <w:highlight w:val="none"/>
          <w:lang w:val="en-US" w:eastAsia="zh-CN"/>
        </w:rPr>
      </w:pPr>
      <w:r>
        <w:rPr>
          <w:rFonts w:hint="default"/>
          <w:sz w:val="24"/>
          <w:szCs w:val="24"/>
          <w:highlight w:val="none"/>
          <w:lang w:val="en-US" w:eastAsia="zh-CN"/>
        </w:rPr>
        <w:t>支持 IPv4、IPv6 静态路由、RIP、RIPng、OSPF 等三层路由和组播功能。</w:t>
      </w:r>
    </w:p>
    <w:p w14:paraId="7C0DF95E">
      <w:pPr>
        <w:numPr>
          <w:ilvl w:val="0"/>
          <w:numId w:val="8"/>
        </w:numPr>
        <w:spacing w:line="360" w:lineRule="auto"/>
        <w:ind w:left="845" w:leftChars="0" w:hanging="425" w:firstLineChars="0"/>
        <w:rPr>
          <w:rFonts w:hint="default"/>
          <w:sz w:val="24"/>
          <w:szCs w:val="24"/>
          <w:highlight w:val="none"/>
          <w:lang w:val="en-US" w:eastAsia="zh-CN"/>
        </w:rPr>
      </w:pPr>
      <w:r>
        <w:rPr>
          <w:rFonts w:hint="default"/>
          <w:sz w:val="24"/>
          <w:szCs w:val="24"/>
          <w:highlight w:val="none"/>
          <w:lang w:val="en-US" w:eastAsia="zh-CN"/>
        </w:rPr>
        <w:t>尺寸：442宽*220深*43.6高（mm），适合安装在现有LCU柜中。</w:t>
      </w:r>
    </w:p>
    <w:p w14:paraId="024C69FE">
      <w:pPr>
        <w:pStyle w:val="5"/>
        <w:bidi w:val="0"/>
        <w:rPr>
          <w:rFonts w:hint="eastAsia"/>
          <w:highlight w:val="none"/>
          <w:lang w:val="en-US" w:eastAsia="zh-CN"/>
        </w:rPr>
      </w:pPr>
      <w:r>
        <w:rPr>
          <w:rFonts w:hint="eastAsia"/>
          <w:highlight w:val="none"/>
          <w:lang w:val="en-US" w:eastAsia="zh-CN"/>
        </w:rPr>
        <w:t>4.6工业级交换机</w:t>
      </w:r>
    </w:p>
    <w:p w14:paraId="608B1A3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仿宋_GB2312"/>
          <w:color w:val="auto"/>
          <w:kern w:val="2"/>
          <w:sz w:val="24"/>
          <w:szCs w:val="22"/>
          <w:highlight w:val="none"/>
          <w:lang w:val="en-US" w:eastAsia="en-US"/>
        </w:rPr>
      </w:pPr>
      <w:r>
        <w:rPr>
          <w:rFonts w:hint="eastAsia" w:ascii="宋体" w:hAnsi="宋体" w:eastAsia="宋体" w:cs="@仿宋_GB2312"/>
          <w:color w:val="auto"/>
          <w:kern w:val="2"/>
          <w:sz w:val="24"/>
          <w:szCs w:val="22"/>
          <w:highlight w:val="none"/>
          <w:lang w:val="en-US" w:eastAsia="en-US"/>
        </w:rPr>
        <w:t>为保证系统精度和长期稳定性，设备性能水平不低于</w:t>
      </w:r>
      <w:r>
        <w:rPr>
          <w:rFonts w:hint="eastAsia" w:cs="@仿宋_GB2312"/>
          <w:color w:val="auto"/>
          <w:kern w:val="2"/>
          <w:sz w:val="24"/>
          <w:szCs w:val="22"/>
          <w:highlight w:val="none"/>
          <w:lang w:val="en-US" w:eastAsia="zh-CN"/>
        </w:rPr>
        <w:t>华为</w:t>
      </w:r>
      <w:r>
        <w:rPr>
          <w:rFonts w:hint="eastAsia" w:ascii="宋体" w:hAnsi="宋体" w:eastAsia="宋体" w:cs="@仿宋_GB2312"/>
          <w:color w:val="auto"/>
          <w:kern w:val="2"/>
          <w:sz w:val="24"/>
          <w:szCs w:val="22"/>
          <w:highlight w:val="none"/>
          <w:lang w:val="en-US" w:eastAsia="en-US"/>
        </w:rPr>
        <w:t>、</w:t>
      </w:r>
      <w:r>
        <w:rPr>
          <w:rFonts w:hint="eastAsia" w:cs="@仿宋_GB2312"/>
          <w:color w:val="auto"/>
          <w:kern w:val="2"/>
          <w:sz w:val="24"/>
          <w:szCs w:val="22"/>
          <w:highlight w:val="none"/>
          <w:lang w:val="en-US" w:eastAsia="zh-CN"/>
        </w:rPr>
        <w:t>H3C</w:t>
      </w:r>
      <w:r>
        <w:rPr>
          <w:rFonts w:hint="eastAsia" w:ascii="宋体" w:hAnsi="宋体" w:eastAsia="宋体" w:cs="@仿宋_GB2312"/>
          <w:color w:val="auto"/>
          <w:kern w:val="2"/>
          <w:sz w:val="24"/>
          <w:szCs w:val="22"/>
          <w:highlight w:val="none"/>
          <w:lang w:val="en-US" w:eastAsia="en-US"/>
        </w:rPr>
        <w:t>、</w:t>
      </w:r>
      <w:r>
        <w:rPr>
          <w:rFonts w:hint="eastAsia" w:cs="@仿宋_GB2312"/>
          <w:color w:val="auto"/>
          <w:kern w:val="2"/>
          <w:sz w:val="24"/>
          <w:szCs w:val="22"/>
          <w:highlight w:val="none"/>
          <w:lang w:val="en-US" w:eastAsia="zh-CN"/>
        </w:rPr>
        <w:t>海康</w:t>
      </w:r>
      <w:r>
        <w:rPr>
          <w:rFonts w:hint="eastAsia" w:ascii="宋体" w:hAnsi="宋体" w:eastAsia="宋体" w:cs="@仿宋_GB2312"/>
          <w:color w:val="auto"/>
          <w:kern w:val="2"/>
          <w:sz w:val="24"/>
          <w:szCs w:val="22"/>
          <w:highlight w:val="none"/>
          <w:lang w:val="en-US" w:eastAsia="en-US"/>
        </w:rPr>
        <w:t>产品。具体技术参数需满足以下要求：</w:t>
      </w:r>
    </w:p>
    <w:p w14:paraId="19DB830F">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仿宋_GB2312"/>
          <w:b/>
          <w:bCs/>
          <w:color w:val="auto"/>
          <w:kern w:val="2"/>
          <w:sz w:val="24"/>
          <w:szCs w:val="22"/>
          <w:highlight w:val="none"/>
          <w:lang w:val="en-US" w:eastAsia="zh-CN"/>
        </w:rPr>
      </w:pPr>
      <w:r>
        <w:rPr>
          <w:rFonts w:hint="eastAsia" w:ascii="宋体" w:hAnsi="宋体" w:eastAsia="宋体" w:cs="@仿宋_GB2312"/>
          <w:b/>
          <w:bCs/>
          <w:color w:val="auto"/>
          <w:kern w:val="2"/>
          <w:sz w:val="24"/>
          <w:szCs w:val="22"/>
          <w:highlight w:val="none"/>
          <w:lang w:val="en-US" w:eastAsia="en-US"/>
        </w:rPr>
        <w:t>(对于采购人参考品牌的材料，供应商可选用参考品牌或不低于参考品牌质量标准的其它品牌；采用其它品牌的应在响应文件中提供相关技术参数证明材料供磋商小组评审，未提供相关技术参数证明材料或经磋商小组评审未通过的，成交后只能从采购人参考品牌中进行选择，价格不予调整。)</w:t>
      </w:r>
    </w:p>
    <w:p w14:paraId="32AD6660">
      <w:pPr>
        <w:numPr>
          <w:ilvl w:val="0"/>
          <w:numId w:val="9"/>
        </w:numPr>
        <w:bidi w:val="0"/>
        <w:spacing w:line="360" w:lineRule="auto"/>
        <w:ind w:left="845" w:leftChars="0" w:hanging="425" w:firstLineChars="0"/>
        <w:rPr>
          <w:rFonts w:hint="eastAsia"/>
          <w:sz w:val="24"/>
          <w:szCs w:val="24"/>
          <w:highlight w:val="none"/>
        </w:rPr>
      </w:pPr>
      <w:r>
        <w:rPr>
          <w:rFonts w:hint="eastAsia"/>
          <w:sz w:val="24"/>
          <w:szCs w:val="24"/>
          <w:highlight w:val="none"/>
        </w:rPr>
        <w:t>无风扇工业级，</w:t>
      </w:r>
    </w:p>
    <w:p w14:paraId="7FB01576">
      <w:pPr>
        <w:numPr>
          <w:ilvl w:val="0"/>
          <w:numId w:val="9"/>
        </w:numPr>
        <w:bidi w:val="0"/>
        <w:spacing w:line="360" w:lineRule="auto"/>
        <w:ind w:left="845" w:leftChars="0" w:hanging="425" w:firstLineChars="0"/>
        <w:rPr>
          <w:rFonts w:hint="eastAsia"/>
          <w:sz w:val="24"/>
          <w:szCs w:val="24"/>
          <w:highlight w:val="none"/>
        </w:rPr>
      </w:pPr>
      <w:r>
        <w:rPr>
          <w:rFonts w:hint="eastAsia"/>
          <w:sz w:val="24"/>
          <w:szCs w:val="24"/>
          <w:highlight w:val="none"/>
        </w:rPr>
        <w:t>6个GE电口 + 2个GE Combo口 + 2个2.5GE光口</w:t>
      </w:r>
      <w:r>
        <w:rPr>
          <w:rFonts w:hint="eastAsia"/>
          <w:sz w:val="24"/>
          <w:szCs w:val="24"/>
          <w:highlight w:val="none"/>
          <w:lang w:val="en-US" w:eastAsia="zh-CN"/>
        </w:rPr>
        <w:t>;</w:t>
      </w:r>
    </w:p>
    <w:p w14:paraId="2FDC2CA8">
      <w:pPr>
        <w:numPr>
          <w:ilvl w:val="0"/>
          <w:numId w:val="9"/>
        </w:numPr>
        <w:bidi w:val="0"/>
        <w:spacing w:line="360" w:lineRule="auto"/>
        <w:ind w:left="845" w:leftChars="0" w:hanging="425" w:firstLineChars="0"/>
        <w:rPr>
          <w:rFonts w:hint="eastAsia"/>
          <w:sz w:val="24"/>
          <w:szCs w:val="24"/>
          <w:highlight w:val="none"/>
        </w:rPr>
      </w:pPr>
      <w:r>
        <w:rPr>
          <w:rFonts w:hint="eastAsia"/>
          <w:sz w:val="24"/>
          <w:szCs w:val="24"/>
          <w:highlight w:val="none"/>
        </w:rPr>
        <w:t>交换容量≧128Gbps</w:t>
      </w:r>
      <w:r>
        <w:rPr>
          <w:rFonts w:hint="eastAsia"/>
          <w:sz w:val="24"/>
          <w:szCs w:val="24"/>
          <w:highlight w:val="none"/>
          <w:lang w:val="en-US" w:eastAsia="zh-CN"/>
        </w:rPr>
        <w:t>;</w:t>
      </w:r>
    </w:p>
    <w:p w14:paraId="662ED1D3">
      <w:pPr>
        <w:numPr>
          <w:ilvl w:val="0"/>
          <w:numId w:val="9"/>
        </w:numPr>
        <w:bidi w:val="0"/>
        <w:spacing w:line="360" w:lineRule="auto"/>
        <w:ind w:left="845" w:leftChars="0" w:hanging="425" w:firstLineChars="0"/>
        <w:rPr>
          <w:rFonts w:hint="eastAsia"/>
          <w:sz w:val="24"/>
          <w:szCs w:val="24"/>
          <w:highlight w:val="none"/>
        </w:rPr>
      </w:pPr>
      <w:r>
        <w:rPr>
          <w:rFonts w:hint="eastAsia"/>
          <w:sz w:val="24"/>
          <w:szCs w:val="24"/>
          <w:highlight w:val="none"/>
        </w:rPr>
        <w:t>二层转发≧19.5Mpps</w:t>
      </w:r>
      <w:r>
        <w:rPr>
          <w:rFonts w:hint="eastAsia"/>
          <w:sz w:val="24"/>
          <w:szCs w:val="24"/>
          <w:highlight w:val="none"/>
          <w:lang w:val="en-US" w:eastAsia="zh-CN"/>
        </w:rPr>
        <w:t>;</w:t>
      </w:r>
    </w:p>
    <w:p w14:paraId="73940C4E">
      <w:pPr>
        <w:numPr>
          <w:ilvl w:val="0"/>
          <w:numId w:val="9"/>
        </w:numPr>
        <w:bidi w:val="0"/>
        <w:spacing w:line="360" w:lineRule="auto"/>
        <w:ind w:left="845" w:leftChars="0" w:hanging="425" w:firstLineChars="0"/>
        <w:rPr>
          <w:rFonts w:hint="eastAsia"/>
          <w:sz w:val="24"/>
          <w:szCs w:val="24"/>
          <w:highlight w:val="none"/>
        </w:rPr>
      </w:pPr>
      <w:r>
        <w:rPr>
          <w:rFonts w:hint="eastAsia"/>
          <w:sz w:val="24"/>
          <w:szCs w:val="24"/>
          <w:highlight w:val="none"/>
        </w:rPr>
        <w:t>支持IPv4/IPv6静态路由，支持RIP/RIPng，OSPF</w:t>
      </w:r>
      <w:r>
        <w:rPr>
          <w:rFonts w:hint="eastAsia"/>
          <w:sz w:val="24"/>
          <w:szCs w:val="24"/>
          <w:highlight w:val="none"/>
          <w:lang w:val="en-US" w:eastAsia="zh-CN"/>
        </w:rPr>
        <w:t>;</w:t>
      </w:r>
    </w:p>
    <w:p w14:paraId="388119D8">
      <w:pPr>
        <w:numPr>
          <w:ilvl w:val="0"/>
          <w:numId w:val="9"/>
        </w:numPr>
        <w:bidi w:val="0"/>
        <w:spacing w:line="360" w:lineRule="auto"/>
        <w:ind w:left="845" w:leftChars="0" w:hanging="425" w:firstLineChars="0"/>
        <w:rPr>
          <w:rFonts w:hint="eastAsia"/>
          <w:sz w:val="24"/>
          <w:szCs w:val="24"/>
          <w:highlight w:val="none"/>
        </w:rPr>
      </w:pPr>
      <w:r>
        <w:rPr>
          <w:rFonts w:hint="eastAsia"/>
          <w:sz w:val="24"/>
          <w:szCs w:val="24"/>
          <w:highlight w:val="none"/>
        </w:rPr>
        <w:t>工作温度：-40℃ ~ +70℃。</w:t>
      </w:r>
    </w:p>
    <w:p w14:paraId="5C291E8D">
      <w:pPr>
        <w:pStyle w:val="27"/>
        <w:rPr>
          <w:rFonts w:hint="eastAsia"/>
          <w:sz w:val="24"/>
          <w:szCs w:val="24"/>
          <w:highlight w:val="none"/>
        </w:rPr>
      </w:pPr>
    </w:p>
    <w:p w14:paraId="31ED93D1">
      <w:pPr>
        <w:spacing w:line="560" w:lineRule="exact"/>
        <w:ind w:firstLine="480" w:firstLineChars="200"/>
        <w:rPr>
          <w:rFonts w:hint="eastAsia" w:ascii="宋体" w:hAnsi="宋体" w:eastAsia="宋体" w:cs="宋体"/>
          <w:sz w:val="24"/>
          <w:szCs w:val="24"/>
          <w:highlight w:val="none"/>
        </w:rPr>
      </w:pPr>
    </w:p>
    <w:p w14:paraId="2CF3B22F">
      <w:pPr>
        <w:rPr>
          <w:rFonts w:hint="eastAsia" w:asciiTheme="minorEastAsia" w:hAnsiTheme="minorEastAsia" w:eastAsiaTheme="minorEastAsia"/>
          <w:b/>
          <w:color w:val="000000" w:themeColor="text1"/>
          <w:sz w:val="28"/>
          <w:highlight w:val="none"/>
          <w14:textFill>
            <w14:solidFill>
              <w14:schemeClr w14:val="tx1"/>
            </w14:solidFill>
          </w14:textFill>
        </w:rPr>
      </w:pPr>
      <w:r>
        <w:rPr>
          <w:rFonts w:hint="eastAsia" w:asciiTheme="minorEastAsia" w:hAnsiTheme="minorEastAsia" w:eastAsiaTheme="minorEastAsia"/>
          <w:b/>
          <w:color w:val="000000" w:themeColor="text1"/>
          <w:sz w:val="28"/>
          <w:highlight w:val="none"/>
          <w14:textFill>
            <w14:solidFill>
              <w14:schemeClr w14:val="tx1"/>
            </w14:solidFill>
          </w14:textFill>
        </w:rPr>
        <w:br w:type="page"/>
      </w:r>
    </w:p>
    <w:p w14:paraId="4DAE7628">
      <w:pPr>
        <w:spacing w:line="360" w:lineRule="auto"/>
        <w:jc w:val="center"/>
        <w:outlineLvl w:val="0"/>
        <w:rPr>
          <w:rFonts w:asciiTheme="minorEastAsia" w:hAnsiTheme="minorEastAsia" w:eastAsiaTheme="minorEastAsia"/>
          <w:b/>
          <w:color w:val="000000" w:themeColor="text1"/>
          <w:sz w:val="28"/>
          <w:highlight w:val="none"/>
          <w14:textFill>
            <w14:solidFill>
              <w14:schemeClr w14:val="tx1"/>
            </w14:solidFill>
          </w14:textFill>
        </w:rPr>
      </w:pPr>
      <w:r>
        <w:rPr>
          <w:rFonts w:hint="eastAsia" w:asciiTheme="minorEastAsia" w:hAnsiTheme="minorEastAsia" w:eastAsiaTheme="minorEastAsia"/>
          <w:b/>
          <w:color w:val="000000" w:themeColor="text1"/>
          <w:sz w:val="28"/>
          <w:highlight w:val="none"/>
          <w14:textFill>
            <w14:solidFill>
              <w14:schemeClr w14:val="tx1"/>
            </w14:solidFill>
          </w14:textFill>
        </w:rPr>
        <w:t>第四章  评审方法和标准</w:t>
      </w:r>
      <w:bookmarkEnd w:id="46"/>
    </w:p>
    <w:p w14:paraId="38F7AC08">
      <w:pPr>
        <w:spacing w:line="360" w:lineRule="auto"/>
        <w:ind w:firstLine="437"/>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55" w:name="_Toc31533"/>
      <w:bookmarkStart w:id="56" w:name="_Toc3679"/>
      <w:r>
        <w:rPr>
          <w:rFonts w:hint="eastAsia" w:asciiTheme="minorEastAsia" w:hAnsiTheme="minorEastAsia" w:eastAsiaTheme="minorEastAsia"/>
          <w:b/>
          <w:color w:val="000000" w:themeColor="text1"/>
          <w:sz w:val="24"/>
          <w:highlight w:val="none"/>
          <w14:textFill>
            <w14:solidFill>
              <w14:schemeClr w14:val="tx1"/>
            </w14:solidFill>
          </w14:textFill>
        </w:rPr>
        <w:t>一、总则</w:t>
      </w:r>
      <w:bookmarkEnd w:id="55"/>
      <w:bookmarkEnd w:id="56"/>
    </w:p>
    <w:p w14:paraId="108F7E09">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本项目将按照磋商文件第二章供应商须知的相关要求</w:t>
      </w:r>
      <w:r>
        <w:rPr>
          <w:rFonts w:asciiTheme="minorEastAsia" w:hAnsiTheme="minorEastAsia" w:eastAsiaTheme="minorEastAsia"/>
          <w:color w:val="000000" w:themeColor="text1"/>
          <w:sz w:val="24"/>
          <w:highlight w:val="none"/>
          <w14:textFill>
            <w14:solidFill>
              <w14:schemeClr w14:val="tx1"/>
            </w14:solidFill>
          </w14:textFill>
        </w:rPr>
        <w:t>及本章的规定</w:t>
      </w:r>
      <w:r>
        <w:rPr>
          <w:rFonts w:hint="eastAsia" w:asciiTheme="minorEastAsia" w:hAnsiTheme="minorEastAsia" w:eastAsiaTheme="minorEastAsia"/>
          <w:color w:val="000000" w:themeColor="text1"/>
          <w:sz w:val="24"/>
          <w:highlight w:val="none"/>
          <w14:textFill>
            <w14:solidFill>
              <w14:schemeClr w14:val="tx1"/>
            </w14:solidFill>
          </w14:textFill>
        </w:rPr>
        <w:t>评审</w:t>
      </w:r>
      <w:r>
        <w:rPr>
          <w:rFonts w:asciiTheme="minorEastAsia" w:hAnsiTheme="minorEastAsia" w:eastAsiaTheme="minorEastAsia"/>
          <w:color w:val="000000" w:themeColor="text1"/>
          <w:sz w:val="24"/>
          <w:highlight w:val="none"/>
          <w14:textFill>
            <w14:solidFill>
              <w14:schemeClr w14:val="tx1"/>
            </w14:solidFill>
          </w14:textFill>
        </w:rPr>
        <w:t>。</w:t>
      </w:r>
    </w:p>
    <w:p w14:paraId="6BE2CB8D">
      <w:pPr>
        <w:spacing w:line="360" w:lineRule="auto"/>
        <w:ind w:firstLine="437"/>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57" w:name="_Toc16232"/>
      <w:bookmarkStart w:id="58" w:name="_Toc13405"/>
      <w:r>
        <w:rPr>
          <w:rFonts w:hint="eastAsia" w:asciiTheme="minorEastAsia" w:hAnsiTheme="minorEastAsia" w:eastAsiaTheme="minorEastAsia"/>
          <w:b/>
          <w:color w:val="000000" w:themeColor="text1"/>
          <w:sz w:val="24"/>
          <w:highlight w:val="none"/>
          <w14:textFill>
            <w14:solidFill>
              <w14:schemeClr w14:val="tx1"/>
            </w14:solidFill>
          </w14:textFill>
        </w:rPr>
        <w:t>二、评审方法</w:t>
      </w:r>
      <w:bookmarkEnd w:id="57"/>
      <w:bookmarkEnd w:id="58"/>
    </w:p>
    <w:p w14:paraId="76A7C779">
      <w:pPr>
        <w:spacing w:line="360" w:lineRule="auto"/>
        <w:ind w:firstLine="435"/>
        <w:outlineLvl w:val="2"/>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2.1初审</w:t>
      </w:r>
    </w:p>
    <w:p w14:paraId="1D9C527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磋商小组对供应商的响应文件进行初审，以确定其是否满足磋商文件的实质性要求。初审表如下：</w:t>
      </w:r>
    </w:p>
    <w:tbl>
      <w:tblPr>
        <w:tblStyle w:val="53"/>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496"/>
        <w:gridCol w:w="4266"/>
        <w:gridCol w:w="2867"/>
      </w:tblGrid>
      <w:tr w14:paraId="76EC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400" w:type="dxa"/>
            <w:gridSpan w:val="4"/>
            <w:tcBorders>
              <w:bottom w:val="single" w:color="auto" w:sz="4" w:space="0"/>
            </w:tcBorders>
            <w:vAlign w:val="center"/>
          </w:tcPr>
          <w:p w14:paraId="11153DAF">
            <w:pPr>
              <w:adjustRightInd w:val="0"/>
              <w:snapToGrid w:val="0"/>
              <w:ind w:right="-10"/>
              <w:jc w:val="center"/>
              <w:rPr>
                <w:rFonts w:ascii="Calibri" w:hAnsi="Calibri" w:cs="Times New Roman"/>
                <w:b/>
                <w:color w:val="000000" w:themeColor="text1"/>
                <w:kern w:val="2"/>
                <w:sz w:val="24"/>
                <w:szCs w:val="22"/>
                <w:highlight w:val="none"/>
                <w14:textFill>
                  <w14:solidFill>
                    <w14:schemeClr w14:val="tx1"/>
                  </w14:solidFill>
                </w14:textFill>
              </w:rPr>
            </w:pPr>
            <w:r>
              <w:rPr>
                <w:rFonts w:hint="eastAsia" w:ascii="Calibri" w:hAnsi="Calibri" w:cs="Times New Roman"/>
                <w:b/>
                <w:color w:val="000000" w:themeColor="text1"/>
                <w:kern w:val="2"/>
                <w:sz w:val="24"/>
                <w:szCs w:val="22"/>
                <w:highlight w:val="none"/>
                <w14:textFill>
                  <w14:solidFill>
                    <w14:schemeClr w14:val="tx1"/>
                  </w14:solidFill>
                </w14:textFill>
              </w:rPr>
              <w:t>初审表</w:t>
            </w:r>
          </w:p>
        </w:tc>
      </w:tr>
      <w:tr w14:paraId="4F89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71" w:type="dxa"/>
            <w:tcBorders>
              <w:bottom w:val="single" w:color="auto" w:sz="4" w:space="0"/>
            </w:tcBorders>
            <w:vAlign w:val="center"/>
          </w:tcPr>
          <w:p w14:paraId="5C75471B">
            <w:pPr>
              <w:adjustRightInd w:val="0"/>
              <w:snapToGrid w:val="0"/>
              <w:spacing w:line="360" w:lineRule="auto"/>
              <w:ind w:right="-10"/>
              <w:jc w:val="center"/>
              <w:rPr>
                <w:rFonts w:ascii="Calibri" w:hAnsi="Calibri" w:cs="Times New Roman"/>
                <w:b/>
                <w:bCs/>
                <w:color w:val="000000" w:themeColor="text1"/>
                <w:kern w:val="2"/>
                <w:sz w:val="24"/>
                <w:szCs w:val="22"/>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序号</w:t>
            </w:r>
          </w:p>
        </w:tc>
        <w:tc>
          <w:tcPr>
            <w:tcW w:w="1496" w:type="dxa"/>
            <w:tcBorders>
              <w:bottom w:val="single" w:color="auto" w:sz="4" w:space="0"/>
            </w:tcBorders>
            <w:vAlign w:val="center"/>
          </w:tcPr>
          <w:p w14:paraId="1A35BD17">
            <w:pPr>
              <w:pStyle w:val="68"/>
              <w:pBdr>
                <w:bottom w:val="none" w:color="auto" w:sz="0" w:space="0"/>
              </w:pBdr>
              <w:tabs>
                <w:tab w:val="clear" w:pos="4153"/>
                <w:tab w:val="clear" w:pos="8306"/>
              </w:tabs>
              <w:snapToGrid w:val="0"/>
              <w:spacing w:line="360" w:lineRule="auto"/>
              <w:ind w:right="-10"/>
              <w:textAlignment w:val="auto"/>
              <w:rPr>
                <w:rFonts w:ascii="Calibri" w:hAnsi="Calibri" w:cs="Times New Roman"/>
                <w:b/>
                <w:bCs/>
                <w:color w:val="000000" w:themeColor="text1"/>
                <w:kern w:val="2"/>
                <w:szCs w:val="24"/>
                <w:highlight w:val="none"/>
                <w14:textFill>
                  <w14:solidFill>
                    <w14:schemeClr w14:val="tx1"/>
                  </w14:solidFill>
                </w14:textFill>
              </w:rPr>
            </w:pPr>
            <w:r>
              <w:rPr>
                <w:rFonts w:hint="eastAsia"/>
                <w:b/>
                <w:bCs/>
                <w:color w:val="000000" w:themeColor="text1"/>
                <w:kern w:val="2"/>
                <w:szCs w:val="24"/>
                <w:highlight w:val="none"/>
                <w14:textFill>
                  <w14:solidFill>
                    <w14:schemeClr w14:val="tx1"/>
                  </w14:solidFill>
                </w14:textFill>
              </w:rPr>
              <w:t>审查因素</w:t>
            </w:r>
          </w:p>
        </w:tc>
        <w:tc>
          <w:tcPr>
            <w:tcW w:w="4266" w:type="dxa"/>
            <w:tcBorders>
              <w:bottom w:val="single" w:color="auto" w:sz="4" w:space="0"/>
            </w:tcBorders>
            <w:vAlign w:val="center"/>
          </w:tcPr>
          <w:p w14:paraId="1AA3CC83">
            <w:pPr>
              <w:adjustRightInd w:val="0"/>
              <w:snapToGrid w:val="0"/>
              <w:spacing w:line="360" w:lineRule="auto"/>
              <w:ind w:right="-10"/>
              <w:jc w:val="center"/>
              <w:rPr>
                <w:rFonts w:ascii="Calibri" w:hAnsi="Calibri" w:cs="Times New Roman"/>
                <w:b/>
                <w:bCs/>
                <w:color w:val="000000" w:themeColor="text1"/>
                <w:kern w:val="2"/>
                <w:sz w:val="24"/>
                <w:szCs w:val="22"/>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审查内容</w:t>
            </w:r>
          </w:p>
        </w:tc>
        <w:tc>
          <w:tcPr>
            <w:tcW w:w="2867" w:type="dxa"/>
            <w:tcBorders>
              <w:bottom w:val="single" w:color="auto" w:sz="4" w:space="0"/>
            </w:tcBorders>
            <w:vAlign w:val="center"/>
          </w:tcPr>
          <w:p w14:paraId="18E97710">
            <w:pPr>
              <w:adjustRightInd w:val="0"/>
              <w:snapToGrid w:val="0"/>
              <w:spacing w:line="360" w:lineRule="auto"/>
              <w:ind w:right="-10"/>
              <w:jc w:val="center"/>
              <w:rPr>
                <w:rFonts w:ascii="Calibri" w:hAnsi="Calibri" w:cs="Times New Roman"/>
                <w:b/>
                <w:bCs/>
                <w:color w:val="000000" w:themeColor="text1"/>
                <w:kern w:val="2"/>
                <w:sz w:val="24"/>
                <w:szCs w:val="22"/>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格式要求</w:t>
            </w:r>
          </w:p>
        </w:tc>
      </w:tr>
      <w:tr w14:paraId="0B32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771" w:type="dxa"/>
            <w:tcBorders>
              <w:bottom w:val="single" w:color="auto" w:sz="4" w:space="0"/>
            </w:tcBorders>
            <w:vAlign w:val="center"/>
          </w:tcPr>
          <w:p w14:paraId="6447F779">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p>
        </w:tc>
        <w:tc>
          <w:tcPr>
            <w:tcW w:w="1496" w:type="dxa"/>
            <w:tcBorders>
              <w:bottom w:val="single" w:color="auto" w:sz="4" w:space="0"/>
            </w:tcBorders>
            <w:vAlign w:val="center"/>
          </w:tcPr>
          <w:p w14:paraId="37EDC928">
            <w:pPr>
              <w:spacing w:after="50"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cs="宋体"/>
                <w:color w:val="000000" w:themeColor="text1"/>
                <w:spacing w:val="9"/>
                <w:sz w:val="24"/>
                <w:szCs w:val="24"/>
                <w:highlight w:val="none"/>
                <w14:textFill>
                  <w14:solidFill>
                    <w14:schemeClr w14:val="tx1"/>
                  </w14:solidFill>
                </w14:textFill>
              </w:rPr>
              <w:t>营业执照等证明</w:t>
            </w:r>
            <w:r>
              <w:rPr>
                <w:rFonts w:cs="宋体"/>
                <w:color w:val="000000" w:themeColor="text1"/>
                <w:spacing w:val="-3"/>
                <w:sz w:val="24"/>
                <w:szCs w:val="24"/>
                <w:highlight w:val="none"/>
                <w14:textFill>
                  <w14:solidFill>
                    <w14:schemeClr w14:val="tx1"/>
                  </w14:solidFill>
                </w14:textFill>
              </w:rPr>
              <w:t>文件</w:t>
            </w:r>
          </w:p>
        </w:tc>
        <w:tc>
          <w:tcPr>
            <w:tcW w:w="4266" w:type="dxa"/>
            <w:tcBorders>
              <w:bottom w:val="single" w:color="auto" w:sz="4" w:space="0"/>
            </w:tcBorders>
            <w:vAlign w:val="center"/>
          </w:tcPr>
          <w:p w14:paraId="384AC219">
            <w:pPr>
              <w:spacing w:after="50" w:line="360" w:lineRule="auto"/>
              <w:ind w:right="-1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（1）供应商</w:t>
            </w:r>
            <w:r>
              <w:rPr>
                <w:rFonts w:cs="宋体"/>
                <w:color w:val="000000" w:themeColor="text1"/>
                <w:sz w:val="24"/>
                <w:szCs w:val="24"/>
                <w:highlight w:val="none"/>
                <w14:textFill>
                  <w14:solidFill>
                    <w14:schemeClr w14:val="tx1"/>
                  </w14:solidFill>
                </w14:textFill>
              </w:rPr>
              <w:t>为企业（包括合伙企业）的，应</w:t>
            </w:r>
            <w:r>
              <w:rPr>
                <w:rFonts w:hint="eastAsia" w:cs="宋体"/>
                <w:color w:val="000000" w:themeColor="text1"/>
                <w:sz w:val="24"/>
                <w:szCs w:val="24"/>
                <w:highlight w:val="none"/>
                <w14:textFill>
                  <w14:solidFill>
                    <w14:schemeClr w14:val="tx1"/>
                  </w14:solidFill>
                </w14:textFill>
              </w:rPr>
              <w:t>提</w:t>
            </w:r>
            <w:r>
              <w:rPr>
                <w:rFonts w:cs="宋体"/>
                <w:color w:val="000000" w:themeColor="text1"/>
                <w:sz w:val="24"/>
                <w:szCs w:val="24"/>
                <w:highlight w:val="none"/>
                <w14:textFill>
                  <w14:solidFill>
                    <w14:schemeClr w14:val="tx1"/>
                  </w14:solidFill>
                </w14:textFill>
              </w:rPr>
              <w:t>供有效的营业执照；</w:t>
            </w:r>
          </w:p>
          <w:p w14:paraId="27050643">
            <w:pPr>
              <w:spacing w:after="50" w:line="360" w:lineRule="auto"/>
              <w:ind w:right="-1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（2）供应商</w:t>
            </w:r>
            <w:r>
              <w:rPr>
                <w:rFonts w:cs="宋体"/>
                <w:color w:val="000000" w:themeColor="text1"/>
                <w:sz w:val="24"/>
                <w:szCs w:val="24"/>
                <w:highlight w:val="none"/>
                <w14:textFill>
                  <w14:solidFill>
                    <w14:schemeClr w14:val="tx1"/>
                  </w14:solidFill>
                </w14:textFill>
              </w:rPr>
              <w:t>为事业单位的，应</w:t>
            </w:r>
            <w:r>
              <w:rPr>
                <w:rFonts w:hint="eastAsia" w:cs="宋体"/>
                <w:color w:val="000000" w:themeColor="text1"/>
                <w:sz w:val="24"/>
                <w:szCs w:val="24"/>
                <w:highlight w:val="none"/>
                <w14:textFill>
                  <w14:solidFill>
                    <w14:schemeClr w14:val="tx1"/>
                  </w14:solidFill>
                </w14:textFill>
              </w:rPr>
              <w:t>提</w:t>
            </w:r>
            <w:r>
              <w:rPr>
                <w:rFonts w:cs="宋体"/>
                <w:color w:val="000000" w:themeColor="text1"/>
                <w:sz w:val="24"/>
                <w:szCs w:val="24"/>
                <w:highlight w:val="none"/>
                <w14:textFill>
                  <w14:solidFill>
                    <w14:schemeClr w14:val="tx1"/>
                  </w14:solidFill>
                </w14:textFill>
              </w:rPr>
              <w:t>供有效的事业单位法人证书；</w:t>
            </w:r>
          </w:p>
          <w:p w14:paraId="06CDEF44">
            <w:pPr>
              <w:spacing w:after="50" w:line="360" w:lineRule="auto"/>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（3）供应商</w:t>
            </w:r>
            <w:r>
              <w:rPr>
                <w:rFonts w:cs="宋体"/>
                <w:color w:val="000000" w:themeColor="text1"/>
                <w:sz w:val="24"/>
                <w:szCs w:val="24"/>
                <w:highlight w:val="none"/>
                <w14:textFill>
                  <w14:solidFill>
                    <w14:schemeClr w14:val="tx1"/>
                  </w14:solidFill>
                </w14:textFill>
              </w:rPr>
              <w:t>是非企业机构的，应</w:t>
            </w:r>
            <w:r>
              <w:rPr>
                <w:rFonts w:hint="eastAsia" w:cs="宋体"/>
                <w:color w:val="000000" w:themeColor="text1"/>
                <w:sz w:val="24"/>
                <w:szCs w:val="24"/>
                <w:highlight w:val="none"/>
                <w14:textFill>
                  <w14:solidFill>
                    <w14:schemeClr w14:val="tx1"/>
                  </w14:solidFill>
                </w14:textFill>
              </w:rPr>
              <w:t>提</w:t>
            </w:r>
            <w:r>
              <w:rPr>
                <w:rFonts w:cs="宋体"/>
                <w:color w:val="000000" w:themeColor="text1"/>
                <w:sz w:val="24"/>
                <w:szCs w:val="24"/>
                <w:highlight w:val="none"/>
                <w14:textFill>
                  <w14:solidFill>
                    <w14:schemeClr w14:val="tx1"/>
                  </w14:solidFill>
                </w14:textFill>
              </w:rPr>
              <w:t>供有效的执业许可证</w:t>
            </w:r>
            <w:r>
              <w:rPr>
                <w:rFonts w:hint="eastAsia" w:cs="宋体"/>
                <w:color w:val="000000" w:themeColor="text1"/>
                <w:sz w:val="24"/>
                <w:szCs w:val="24"/>
                <w:highlight w:val="none"/>
                <w14:textFill>
                  <w14:solidFill>
                    <w14:schemeClr w14:val="tx1"/>
                  </w14:solidFill>
                </w14:textFill>
              </w:rPr>
              <w:t>或</w:t>
            </w:r>
            <w:r>
              <w:rPr>
                <w:rFonts w:cs="宋体"/>
                <w:color w:val="000000" w:themeColor="text1"/>
                <w:sz w:val="24"/>
                <w:szCs w:val="24"/>
                <w:highlight w:val="none"/>
                <w14:textFill>
                  <w14:solidFill>
                    <w14:schemeClr w14:val="tx1"/>
                  </w14:solidFill>
                </w14:textFill>
              </w:rPr>
              <w:t>登记证书等证明文件；</w:t>
            </w:r>
          </w:p>
        </w:tc>
        <w:tc>
          <w:tcPr>
            <w:tcW w:w="2867" w:type="dxa"/>
            <w:tcBorders>
              <w:bottom w:val="single" w:color="auto" w:sz="4" w:space="0"/>
            </w:tcBorders>
            <w:vAlign w:val="center"/>
          </w:tcPr>
          <w:p w14:paraId="2560BCA7">
            <w:pPr>
              <w:spacing w:line="360" w:lineRule="auto"/>
              <w:jc w:val="left"/>
              <w:rPr>
                <w:rFonts w:cs="Times New Roman"/>
                <w:color w:val="000000" w:themeColor="text1"/>
                <w:kern w:val="2"/>
                <w:sz w:val="24"/>
                <w:szCs w:val="22"/>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提供材料扫描件或电子证照，应完整的体现出材料或电子证照全部内容。</w:t>
            </w:r>
          </w:p>
        </w:tc>
      </w:tr>
      <w:tr w14:paraId="52EB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Align w:val="center"/>
          </w:tcPr>
          <w:p w14:paraId="19678803">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p>
        </w:tc>
        <w:tc>
          <w:tcPr>
            <w:tcW w:w="1496" w:type="dxa"/>
            <w:vAlign w:val="center"/>
          </w:tcPr>
          <w:p w14:paraId="33D99E4D">
            <w:pPr>
              <w:spacing w:after="50"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hint="eastAsia"/>
                <w:color w:val="000000" w:themeColor="text1"/>
                <w:sz w:val="24"/>
                <w:szCs w:val="18"/>
                <w:highlight w:val="none"/>
                <w14:textFill>
                  <w14:solidFill>
                    <w14:schemeClr w14:val="tx1"/>
                  </w14:solidFill>
                </w14:textFill>
              </w:rPr>
              <w:t>供应商资格声明书</w:t>
            </w:r>
          </w:p>
        </w:tc>
        <w:tc>
          <w:tcPr>
            <w:tcW w:w="4266" w:type="dxa"/>
            <w:vAlign w:val="center"/>
          </w:tcPr>
          <w:p w14:paraId="3E9AC731">
            <w:pPr>
              <w:spacing w:after="50" w:line="360" w:lineRule="auto"/>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提</w:t>
            </w:r>
            <w:r>
              <w:rPr>
                <w:rFonts w:cs="宋体"/>
                <w:color w:val="000000" w:themeColor="text1"/>
                <w:sz w:val="24"/>
                <w:szCs w:val="24"/>
                <w:highlight w:val="none"/>
                <w14:textFill>
                  <w14:solidFill>
                    <w14:schemeClr w14:val="tx1"/>
                  </w14:solidFill>
                </w14:textFill>
              </w:rPr>
              <w:t>供符合</w:t>
            </w:r>
            <w:r>
              <w:rPr>
                <w:rFonts w:hint="eastAsia" w:cs="宋体"/>
                <w:color w:val="000000" w:themeColor="text1"/>
                <w:sz w:val="24"/>
                <w:szCs w:val="24"/>
                <w:highlight w:val="none"/>
                <w14:textFill>
                  <w14:solidFill>
                    <w14:schemeClr w14:val="tx1"/>
                  </w14:solidFill>
                </w14:textFill>
              </w:rPr>
              <w:t>磋商</w:t>
            </w:r>
            <w:r>
              <w:rPr>
                <w:rFonts w:cs="宋体"/>
                <w:color w:val="000000" w:themeColor="text1"/>
                <w:sz w:val="24"/>
                <w:szCs w:val="24"/>
                <w:highlight w:val="none"/>
                <w14:textFill>
                  <w14:solidFill>
                    <w14:schemeClr w14:val="tx1"/>
                  </w14:solidFill>
                </w14:textFill>
              </w:rPr>
              <w:t>文件要求的《</w:t>
            </w:r>
            <w:r>
              <w:rPr>
                <w:rFonts w:hint="eastAsia" w:cs="宋体"/>
                <w:color w:val="000000" w:themeColor="text1"/>
                <w:sz w:val="24"/>
                <w:szCs w:val="24"/>
                <w:highlight w:val="none"/>
                <w14:textFill>
                  <w14:solidFill>
                    <w14:schemeClr w14:val="tx1"/>
                  </w14:solidFill>
                </w14:textFill>
              </w:rPr>
              <w:t>供应商</w:t>
            </w:r>
            <w:r>
              <w:rPr>
                <w:rFonts w:cs="宋体"/>
                <w:color w:val="000000" w:themeColor="text1"/>
                <w:sz w:val="24"/>
                <w:szCs w:val="24"/>
                <w:highlight w:val="none"/>
                <w14:textFill>
                  <w14:solidFill>
                    <w14:schemeClr w14:val="tx1"/>
                  </w14:solidFill>
                </w14:textFill>
              </w:rPr>
              <w:t>资格声明书》</w:t>
            </w:r>
            <w:r>
              <w:rPr>
                <w:rFonts w:hint="eastAsia" w:cs="宋体"/>
                <w:color w:val="000000" w:themeColor="text1"/>
                <w:sz w:val="24"/>
                <w:szCs w:val="24"/>
                <w:highlight w:val="none"/>
                <w14:textFill>
                  <w14:solidFill>
                    <w14:schemeClr w14:val="tx1"/>
                  </w14:solidFill>
                </w14:textFill>
              </w:rPr>
              <w:t>。</w:t>
            </w:r>
          </w:p>
        </w:tc>
        <w:tc>
          <w:tcPr>
            <w:tcW w:w="2867" w:type="dxa"/>
            <w:vAlign w:val="center"/>
          </w:tcPr>
          <w:p w14:paraId="52D866C3">
            <w:pPr>
              <w:spacing w:line="360" w:lineRule="auto"/>
              <w:jc w:val="left"/>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详见第六章响应文件格式。</w:t>
            </w:r>
          </w:p>
        </w:tc>
      </w:tr>
      <w:tr w14:paraId="35C5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Align w:val="center"/>
          </w:tcPr>
          <w:p w14:paraId="1FDEB591">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p>
        </w:tc>
        <w:tc>
          <w:tcPr>
            <w:tcW w:w="1496" w:type="dxa"/>
            <w:vAlign w:val="center"/>
          </w:tcPr>
          <w:p w14:paraId="3DE84F99">
            <w:pPr>
              <w:spacing w:after="50"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hint="eastAsia"/>
                <w:color w:val="000000" w:themeColor="text1"/>
                <w:sz w:val="24"/>
                <w:szCs w:val="18"/>
                <w:highlight w:val="none"/>
                <w14:textFill>
                  <w14:solidFill>
                    <w14:schemeClr w14:val="tx1"/>
                  </w14:solidFill>
                </w14:textFill>
              </w:rPr>
              <w:t>供应商</w:t>
            </w:r>
            <w:r>
              <w:rPr>
                <w:rFonts w:hint="eastAsia" w:cs="宋体"/>
                <w:color w:val="000000" w:themeColor="text1"/>
                <w:sz w:val="24"/>
                <w:szCs w:val="24"/>
                <w:highlight w:val="none"/>
                <w14:textFill>
                  <w14:solidFill>
                    <w14:schemeClr w14:val="tx1"/>
                  </w14:solidFill>
                </w14:textFill>
              </w:rPr>
              <w:t>信用记录</w:t>
            </w:r>
          </w:p>
        </w:tc>
        <w:tc>
          <w:tcPr>
            <w:tcW w:w="4266" w:type="dxa"/>
            <w:vAlign w:val="center"/>
          </w:tcPr>
          <w:p w14:paraId="144264D8">
            <w:pPr>
              <w:spacing w:after="50" w:line="360" w:lineRule="auto"/>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供应商</w:t>
            </w:r>
            <w:r>
              <w:rPr>
                <w:rFonts w:hint="eastAsia" w:cs="宋体"/>
                <w:color w:val="000000" w:themeColor="text1"/>
                <w:sz w:val="24"/>
                <w:szCs w:val="24"/>
                <w:highlight w:val="none"/>
                <w:lang w:val="zh-CN"/>
                <w14:textFill>
                  <w14:solidFill>
                    <w14:schemeClr w14:val="tx1"/>
                  </w14:solidFill>
                </w14:textFill>
              </w:rPr>
              <w:t>不得存在</w:t>
            </w:r>
            <w:r>
              <w:rPr>
                <w:rFonts w:hint="eastAsia" w:cs="宋体"/>
                <w:color w:val="000000" w:themeColor="text1"/>
                <w:sz w:val="24"/>
                <w:szCs w:val="24"/>
                <w:highlight w:val="none"/>
                <w14:textFill>
                  <w14:solidFill>
                    <w14:schemeClr w14:val="tx1"/>
                  </w14:solidFill>
                </w14:textFill>
              </w:rPr>
              <w:t>供应商</w:t>
            </w:r>
            <w:r>
              <w:rPr>
                <w:rFonts w:hint="eastAsia" w:cs="宋体"/>
                <w:color w:val="000000" w:themeColor="text1"/>
                <w:sz w:val="24"/>
                <w:szCs w:val="24"/>
                <w:highlight w:val="none"/>
                <w:lang w:val="zh-CN"/>
                <w14:textFill>
                  <w14:solidFill>
                    <w14:schemeClr w14:val="tx1"/>
                  </w14:solidFill>
                </w14:textFill>
              </w:rPr>
              <w:t>须知正文第1</w:t>
            </w:r>
            <w:r>
              <w:rPr>
                <w:rFonts w:hint="eastAsia" w:cs="宋体"/>
                <w:color w:val="000000" w:themeColor="text1"/>
                <w:sz w:val="24"/>
                <w:szCs w:val="24"/>
                <w:highlight w:val="none"/>
                <w14:textFill>
                  <w14:solidFill>
                    <w14:schemeClr w14:val="tx1"/>
                  </w14:solidFill>
                </w14:textFill>
              </w:rPr>
              <w:t>4</w:t>
            </w:r>
            <w:r>
              <w:rPr>
                <w:rFonts w:hint="eastAsia" w:cs="宋体"/>
                <w:color w:val="000000" w:themeColor="text1"/>
                <w:sz w:val="24"/>
                <w:szCs w:val="24"/>
                <w:highlight w:val="none"/>
                <w:lang w:val="zh-CN"/>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3条中</w:t>
            </w:r>
            <w:r>
              <w:rPr>
                <w:rFonts w:hint="eastAsia"/>
                <w:color w:val="000000" w:themeColor="text1"/>
                <w:sz w:val="24"/>
                <w:szCs w:val="28"/>
                <w:highlight w:val="none"/>
                <w14:textFill>
                  <w14:solidFill>
                    <w14:schemeClr w14:val="tx1"/>
                  </w14:solidFill>
                </w14:textFill>
              </w:rPr>
              <w:t>的</w:t>
            </w:r>
            <w:r>
              <w:rPr>
                <w:rFonts w:hint="eastAsia"/>
                <w:color w:val="000000" w:themeColor="text1"/>
                <w:sz w:val="24"/>
                <w:szCs w:val="18"/>
                <w:highlight w:val="none"/>
                <w14:textFill>
                  <w14:solidFill>
                    <w14:schemeClr w14:val="tx1"/>
                  </w14:solidFill>
                </w14:textFill>
              </w:rPr>
              <w:t>不良信用记录情形</w:t>
            </w:r>
          </w:p>
        </w:tc>
        <w:tc>
          <w:tcPr>
            <w:tcW w:w="2867" w:type="dxa"/>
            <w:vAlign w:val="center"/>
          </w:tcPr>
          <w:p w14:paraId="52237827">
            <w:pPr>
              <w:spacing w:line="360" w:lineRule="auto"/>
              <w:jc w:val="left"/>
              <w:rPr>
                <w:rFonts w:cs="Times New Roman"/>
                <w:color w:val="000000" w:themeColor="text1"/>
                <w:kern w:val="2"/>
                <w:sz w:val="24"/>
                <w:szCs w:val="22"/>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无须供应商提供，由采购人或采购代理机构查询。</w:t>
            </w:r>
          </w:p>
        </w:tc>
      </w:tr>
      <w:tr w14:paraId="017A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Align w:val="center"/>
          </w:tcPr>
          <w:p w14:paraId="6C47C54F">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p>
        </w:tc>
        <w:tc>
          <w:tcPr>
            <w:tcW w:w="1496" w:type="dxa"/>
            <w:vAlign w:val="center"/>
          </w:tcPr>
          <w:p w14:paraId="18696A9A">
            <w:pPr>
              <w:spacing w:after="50"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中小企业证明文件</w:t>
            </w:r>
          </w:p>
        </w:tc>
        <w:tc>
          <w:tcPr>
            <w:tcW w:w="4266" w:type="dxa"/>
          </w:tcPr>
          <w:p w14:paraId="5C8F702E">
            <w:pPr>
              <w:spacing w:after="50" w:line="360" w:lineRule="auto"/>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color w:val="000000" w:themeColor="text1"/>
                <w:sz w:val="24"/>
                <w:szCs w:val="28"/>
                <w:highlight w:val="none"/>
                <w14:textFill>
                  <w14:solidFill>
                    <w14:schemeClr w14:val="tx1"/>
                  </w14:solidFill>
                </w14:textFill>
              </w:rPr>
              <w:t>符合申请人的资格要求中落实政府采购政策需满足的资格要求：</w:t>
            </w:r>
            <w:r>
              <w:rPr>
                <w:rFonts w:hint="eastAsia" w:cs="宋体"/>
                <w:color w:val="000000" w:themeColor="text1"/>
                <w:sz w:val="24"/>
                <w:szCs w:val="24"/>
                <w:highlight w:val="none"/>
                <w14:textFill>
                  <w14:solidFill>
                    <w14:schemeClr w14:val="tx1"/>
                  </w14:solidFill>
                </w14:textFill>
              </w:rPr>
              <w:t>专门面向中小企业采购的，供应商应提供《中小企业声明函》或《残疾人福利性单位声明函》或由省级以上监狱管理局、戒毒管理局（含新疆生产建设兵团）出具的属于监狱企业的证明文件。</w:t>
            </w:r>
          </w:p>
        </w:tc>
        <w:tc>
          <w:tcPr>
            <w:tcW w:w="2867" w:type="dxa"/>
            <w:vAlign w:val="center"/>
          </w:tcPr>
          <w:p w14:paraId="05CF6C4E">
            <w:pPr>
              <w:spacing w:after="50"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详见第六章响应文件格式。</w:t>
            </w:r>
          </w:p>
        </w:tc>
      </w:tr>
      <w:tr w14:paraId="0DCF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71" w:type="dxa"/>
            <w:vAlign w:val="center"/>
          </w:tcPr>
          <w:p w14:paraId="5A4309DC">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w:t>
            </w:r>
          </w:p>
        </w:tc>
        <w:tc>
          <w:tcPr>
            <w:tcW w:w="1496" w:type="dxa"/>
            <w:vAlign w:val="center"/>
          </w:tcPr>
          <w:p w14:paraId="58DE2645">
            <w:pPr>
              <w:spacing w:after="50" w:line="360" w:lineRule="auto"/>
              <w:ind w:right="-10"/>
              <w:rPr>
                <w:rFonts w:ascii="Calibri" w:hAnsi="Calibri" w:cs="Times New Roman"/>
                <w:color w:val="000000" w:themeColor="text1"/>
                <w:kern w:val="2"/>
                <w:sz w:val="24"/>
                <w:szCs w:val="24"/>
                <w:highlight w:val="none"/>
                <w14:textFill>
                  <w14:solidFill>
                    <w14:schemeClr w14:val="tx1"/>
                  </w14:solidFill>
                </w14:textFill>
              </w:rPr>
            </w:pPr>
            <w:r>
              <w:rPr>
                <w:rFonts w:hint="eastAsia" w:cs="宋体"/>
                <w:color w:val="000000" w:themeColor="text1"/>
                <w:spacing w:val="10"/>
                <w:sz w:val="24"/>
                <w:szCs w:val="24"/>
                <w:highlight w:val="none"/>
                <w14:textFill>
                  <w14:solidFill>
                    <w14:schemeClr w14:val="tx1"/>
                  </w14:solidFill>
                </w14:textFill>
              </w:rPr>
              <w:t>本项目的</w:t>
            </w:r>
            <w:r>
              <w:rPr>
                <w:rFonts w:cs="宋体"/>
                <w:color w:val="000000" w:themeColor="text1"/>
                <w:spacing w:val="10"/>
                <w:sz w:val="24"/>
                <w:szCs w:val="24"/>
                <w:highlight w:val="none"/>
                <w14:textFill>
                  <w14:solidFill>
                    <w14:schemeClr w14:val="tx1"/>
                  </w14:solidFill>
                </w14:textFill>
              </w:rPr>
              <w:t>特定资格要求</w:t>
            </w:r>
          </w:p>
        </w:tc>
        <w:tc>
          <w:tcPr>
            <w:tcW w:w="4266" w:type="dxa"/>
            <w:vAlign w:val="center"/>
          </w:tcPr>
          <w:p w14:paraId="5D6F1934">
            <w:pPr>
              <w:spacing w:after="50" w:line="360" w:lineRule="auto"/>
              <w:ind w:right="-10"/>
              <w:rPr>
                <w:rFonts w:ascii="Calibri" w:hAnsi="Calibri" w:cs="Times New Roman"/>
                <w:color w:val="000000" w:themeColor="text1"/>
                <w:kern w:val="2"/>
                <w:sz w:val="24"/>
                <w:szCs w:val="22"/>
                <w:highlight w:val="none"/>
                <w14:textFill>
                  <w14:solidFill>
                    <w14:schemeClr w14:val="tx1"/>
                  </w14:solidFill>
                </w14:textFill>
              </w:rPr>
            </w:pPr>
            <w:r>
              <w:rPr>
                <w:rFonts w:cs="宋体"/>
                <w:color w:val="000000" w:themeColor="text1"/>
                <w:spacing w:val="10"/>
                <w:sz w:val="24"/>
                <w:szCs w:val="24"/>
                <w:highlight w:val="none"/>
                <w14:textFill>
                  <w14:solidFill>
                    <w14:schemeClr w14:val="tx1"/>
                  </w14:solidFill>
                </w14:textFill>
              </w:rPr>
              <w:t>如有，见第一章《</w:t>
            </w:r>
            <w:r>
              <w:rPr>
                <w:rFonts w:hint="eastAsia" w:cs="宋体"/>
                <w:color w:val="000000" w:themeColor="text1"/>
                <w:spacing w:val="10"/>
                <w:sz w:val="24"/>
                <w:szCs w:val="24"/>
                <w:highlight w:val="none"/>
                <w14:textFill>
                  <w14:solidFill>
                    <w14:schemeClr w14:val="tx1"/>
                  </w14:solidFill>
                </w14:textFill>
              </w:rPr>
              <w:t>磋商</w:t>
            </w:r>
            <w:r>
              <w:rPr>
                <w:rFonts w:cs="宋体"/>
                <w:color w:val="000000" w:themeColor="text1"/>
                <w:spacing w:val="10"/>
                <w:sz w:val="24"/>
                <w:szCs w:val="24"/>
                <w:highlight w:val="none"/>
                <w14:textFill>
                  <w14:solidFill>
                    <w14:schemeClr w14:val="tx1"/>
                  </w14:solidFill>
                </w14:textFill>
              </w:rPr>
              <w:t>邀请》</w:t>
            </w:r>
          </w:p>
        </w:tc>
        <w:tc>
          <w:tcPr>
            <w:tcW w:w="2867" w:type="dxa"/>
            <w:vAlign w:val="center"/>
          </w:tcPr>
          <w:p w14:paraId="0A26CE90">
            <w:pPr>
              <w:spacing w:after="50" w:line="360" w:lineRule="auto"/>
              <w:ind w:right="-10"/>
              <w:rPr>
                <w:rFonts w:cs="Times New Roman"/>
                <w:color w:val="000000" w:themeColor="text1"/>
                <w:kern w:val="2"/>
                <w:sz w:val="24"/>
                <w:szCs w:val="28"/>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提供材料扫描件或电子证照，应完整的体现出材料或电子证照全部内容。</w:t>
            </w:r>
          </w:p>
        </w:tc>
      </w:tr>
      <w:tr w14:paraId="4B32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Align w:val="center"/>
          </w:tcPr>
          <w:p w14:paraId="5F576D4D">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s="Times New Roman" w:asciiTheme="minorEastAsia" w:hAnsiTheme="minorEastAsia" w:eastAsiaTheme="minorEastAsia"/>
                <w:color w:val="000000" w:themeColor="text1"/>
                <w:kern w:val="2"/>
                <w:sz w:val="24"/>
                <w:szCs w:val="22"/>
                <w:highlight w:val="none"/>
                <w14:textFill>
                  <w14:solidFill>
                    <w14:schemeClr w14:val="tx1"/>
                  </w14:solidFill>
                </w14:textFill>
              </w:rPr>
              <w:t>6</w:t>
            </w:r>
          </w:p>
        </w:tc>
        <w:tc>
          <w:tcPr>
            <w:tcW w:w="1496" w:type="dxa"/>
            <w:vAlign w:val="center"/>
          </w:tcPr>
          <w:p w14:paraId="38090C9F">
            <w:pPr>
              <w:adjustRightInd w:val="0"/>
              <w:snapToGrid w:val="0"/>
              <w:spacing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hint="eastAsia" w:cs="Times New Roman"/>
                <w:color w:val="000000" w:themeColor="text1"/>
                <w:kern w:val="2"/>
                <w:sz w:val="24"/>
                <w:highlight w:val="none"/>
                <w14:textFill>
                  <w14:solidFill>
                    <w14:schemeClr w14:val="tx1"/>
                  </w14:solidFill>
                </w14:textFill>
              </w:rPr>
              <w:t>授权书</w:t>
            </w:r>
          </w:p>
        </w:tc>
        <w:tc>
          <w:tcPr>
            <w:tcW w:w="4266" w:type="dxa"/>
            <w:vAlign w:val="center"/>
          </w:tcPr>
          <w:p w14:paraId="4E360DF2">
            <w:pPr>
              <w:adjustRightInd w:val="0"/>
              <w:snapToGrid w:val="0"/>
              <w:spacing w:line="360" w:lineRule="auto"/>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cs="Times New Roman"/>
                <w:color w:val="000000" w:themeColor="text1"/>
                <w:kern w:val="2"/>
                <w:sz w:val="24"/>
                <w:szCs w:val="22"/>
                <w:highlight w:val="none"/>
                <w14:textFill>
                  <w14:solidFill>
                    <w14:schemeClr w14:val="tx1"/>
                  </w14:solidFill>
                </w14:textFill>
              </w:rPr>
              <w:t>符合磋商文件要求</w:t>
            </w:r>
          </w:p>
        </w:tc>
        <w:tc>
          <w:tcPr>
            <w:tcW w:w="2867" w:type="dxa"/>
            <w:vAlign w:val="center"/>
          </w:tcPr>
          <w:p w14:paraId="0AC1E31F">
            <w:pPr>
              <w:adjustRightInd w:val="0"/>
              <w:snapToGrid w:val="0"/>
              <w:spacing w:line="360" w:lineRule="auto"/>
              <w:ind w:right="-10"/>
              <w:jc w:val="left"/>
              <w:rPr>
                <w:rFonts w:cs="Times New Roman"/>
                <w:color w:val="000000" w:themeColor="text1"/>
                <w:kern w:val="2"/>
                <w:sz w:val="24"/>
                <w:szCs w:val="22"/>
                <w:highlight w:val="none"/>
                <w14:textFill>
                  <w14:solidFill>
                    <w14:schemeClr w14:val="tx1"/>
                  </w14:solidFill>
                </w14:textFill>
              </w:rPr>
            </w:pPr>
          </w:p>
        </w:tc>
      </w:tr>
      <w:tr w14:paraId="5829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Align w:val="center"/>
          </w:tcPr>
          <w:p w14:paraId="75F3E75E">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s="Times New Roman" w:asciiTheme="minorEastAsia" w:hAnsiTheme="minorEastAsia" w:eastAsiaTheme="minorEastAsia"/>
                <w:color w:val="000000" w:themeColor="text1"/>
                <w:kern w:val="2"/>
                <w:sz w:val="24"/>
                <w:szCs w:val="22"/>
                <w:highlight w:val="none"/>
                <w14:textFill>
                  <w14:solidFill>
                    <w14:schemeClr w14:val="tx1"/>
                  </w14:solidFill>
                </w14:textFill>
              </w:rPr>
              <w:t>7</w:t>
            </w:r>
          </w:p>
        </w:tc>
        <w:tc>
          <w:tcPr>
            <w:tcW w:w="1496" w:type="dxa"/>
            <w:vAlign w:val="center"/>
          </w:tcPr>
          <w:p w14:paraId="28FFE6D4">
            <w:pPr>
              <w:adjustRightInd w:val="0"/>
              <w:snapToGrid w:val="0"/>
              <w:spacing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hint="eastAsia" w:cs="Times New Roman"/>
                <w:color w:val="000000" w:themeColor="text1"/>
                <w:kern w:val="2"/>
                <w:sz w:val="24"/>
                <w:highlight w:val="none"/>
                <w14:textFill>
                  <w14:solidFill>
                    <w14:schemeClr w14:val="tx1"/>
                  </w14:solidFill>
                </w14:textFill>
              </w:rPr>
              <w:t>磋商响应函</w:t>
            </w:r>
          </w:p>
        </w:tc>
        <w:tc>
          <w:tcPr>
            <w:tcW w:w="4266" w:type="dxa"/>
            <w:vAlign w:val="center"/>
          </w:tcPr>
          <w:p w14:paraId="7C471938">
            <w:pPr>
              <w:adjustRightInd w:val="0"/>
              <w:snapToGrid w:val="0"/>
              <w:spacing w:line="360" w:lineRule="auto"/>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cs="Times New Roman"/>
                <w:color w:val="000000" w:themeColor="text1"/>
                <w:kern w:val="2"/>
                <w:sz w:val="24"/>
                <w:szCs w:val="22"/>
                <w:highlight w:val="none"/>
                <w14:textFill>
                  <w14:solidFill>
                    <w14:schemeClr w14:val="tx1"/>
                  </w14:solidFill>
                </w14:textFill>
              </w:rPr>
              <w:t>符合磋商文件要求</w:t>
            </w:r>
          </w:p>
        </w:tc>
        <w:tc>
          <w:tcPr>
            <w:tcW w:w="2867" w:type="dxa"/>
            <w:vAlign w:val="center"/>
          </w:tcPr>
          <w:p w14:paraId="4E9F811D">
            <w:pPr>
              <w:adjustRightInd w:val="0"/>
              <w:snapToGrid w:val="0"/>
              <w:spacing w:line="360" w:lineRule="auto"/>
              <w:ind w:right="-10"/>
              <w:jc w:val="left"/>
              <w:rPr>
                <w:rFonts w:cs="Times New Roman"/>
                <w:color w:val="000000" w:themeColor="text1"/>
                <w:kern w:val="2"/>
                <w:sz w:val="24"/>
                <w:szCs w:val="22"/>
                <w:highlight w:val="none"/>
                <w14:textFill>
                  <w14:solidFill>
                    <w14:schemeClr w14:val="tx1"/>
                  </w14:solidFill>
                </w14:textFill>
              </w:rPr>
            </w:pPr>
          </w:p>
        </w:tc>
      </w:tr>
      <w:tr w14:paraId="3113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Align w:val="center"/>
          </w:tcPr>
          <w:p w14:paraId="3B031EC1">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8</w:t>
            </w:r>
          </w:p>
        </w:tc>
        <w:tc>
          <w:tcPr>
            <w:tcW w:w="1496" w:type="dxa"/>
            <w:vAlign w:val="center"/>
          </w:tcPr>
          <w:p w14:paraId="01BF9FD1">
            <w:pPr>
              <w:spacing w:after="50"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8"/>
                <w:highlight w:val="none"/>
                <w14:textFill>
                  <w14:solidFill>
                    <w14:schemeClr w14:val="tx1"/>
                  </w14:solidFill>
                </w14:textFill>
              </w:rPr>
              <w:t>磋商报价</w:t>
            </w:r>
          </w:p>
        </w:tc>
        <w:tc>
          <w:tcPr>
            <w:tcW w:w="4266" w:type="dxa"/>
            <w:vAlign w:val="center"/>
          </w:tcPr>
          <w:p w14:paraId="2F62D644">
            <w:pPr>
              <w:spacing w:after="50" w:line="360" w:lineRule="auto"/>
              <w:ind w:right="-10"/>
              <w:rPr>
                <w:rFonts w:ascii="Calibri" w:hAnsi="Calibri" w:cs="Times New Roman"/>
                <w:color w:val="000000" w:themeColor="text1"/>
                <w:kern w:val="2"/>
                <w:sz w:val="24"/>
                <w:szCs w:val="22"/>
                <w:highlight w:val="none"/>
                <w14:textFill>
                  <w14:solidFill>
                    <w14:schemeClr w14:val="tx1"/>
                  </w14:solidFill>
                </w14:textFill>
              </w:rPr>
            </w:pPr>
            <w:r>
              <w:rPr>
                <w:rFonts w:hint="eastAsia" w:asciiTheme="minorEastAsia" w:hAnsiTheme="minorEastAsia" w:eastAsiaTheme="minorEastAsia"/>
                <w:color w:val="000000" w:themeColor="text1"/>
                <w:sz w:val="24"/>
                <w:szCs w:val="28"/>
                <w:highlight w:val="none"/>
                <w14:textFill>
                  <w14:solidFill>
                    <w14:schemeClr w14:val="tx1"/>
                  </w14:solidFill>
                </w14:textFill>
              </w:rPr>
              <w:t>符合</w:t>
            </w:r>
            <w:r>
              <w:rPr>
                <w:rFonts w:hint="eastAsia" w:cs="Times New Roman"/>
                <w:color w:val="000000" w:themeColor="text1"/>
                <w:kern w:val="2"/>
                <w:sz w:val="24"/>
                <w:szCs w:val="22"/>
                <w:highlight w:val="none"/>
                <w14:textFill>
                  <w14:solidFill>
                    <w14:schemeClr w14:val="tx1"/>
                  </w14:solidFill>
                </w14:textFill>
              </w:rPr>
              <w:t>磋商</w:t>
            </w:r>
            <w:r>
              <w:rPr>
                <w:rFonts w:hint="eastAsia" w:asciiTheme="minorEastAsia" w:hAnsiTheme="minorEastAsia" w:eastAsiaTheme="minorEastAsia"/>
                <w:color w:val="000000" w:themeColor="text1"/>
                <w:sz w:val="24"/>
                <w:highlight w:val="none"/>
                <w14:textFill>
                  <w14:solidFill>
                    <w14:schemeClr w14:val="tx1"/>
                  </w14:solidFill>
                </w14:textFill>
              </w:rPr>
              <w:t>文件要求</w:t>
            </w:r>
          </w:p>
        </w:tc>
        <w:tc>
          <w:tcPr>
            <w:tcW w:w="2867" w:type="dxa"/>
            <w:vAlign w:val="center"/>
          </w:tcPr>
          <w:p w14:paraId="7DC2B12A">
            <w:pPr>
              <w:adjustRightInd w:val="0"/>
              <w:snapToGrid w:val="0"/>
              <w:spacing w:line="360" w:lineRule="auto"/>
              <w:ind w:right="-10"/>
              <w:jc w:val="both"/>
              <w:rPr>
                <w:rFonts w:cs="Times New Roman"/>
                <w:color w:val="000000" w:themeColor="text1"/>
                <w:kern w:val="2"/>
                <w:sz w:val="24"/>
                <w:szCs w:val="22"/>
                <w:highlight w:val="none"/>
                <w14:textFill>
                  <w14:solidFill>
                    <w14:schemeClr w14:val="tx1"/>
                  </w14:solidFill>
                </w14:textFill>
              </w:rPr>
            </w:pPr>
          </w:p>
        </w:tc>
      </w:tr>
      <w:tr w14:paraId="02FC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dxa"/>
            <w:vAlign w:val="center"/>
          </w:tcPr>
          <w:p w14:paraId="56290B7F">
            <w:pPr>
              <w:adjustRightInd w:val="0"/>
              <w:snapToGrid w:val="0"/>
              <w:spacing w:line="360" w:lineRule="auto"/>
              <w:ind w:right="-10"/>
              <w:jc w:val="center"/>
              <w:rPr>
                <w:rFonts w:cs="Times New Roman"/>
                <w:color w:val="000000" w:themeColor="text1"/>
                <w:kern w:val="2"/>
                <w:sz w:val="24"/>
                <w:szCs w:val="22"/>
                <w:highlight w:val="none"/>
                <w14:textFill>
                  <w14:solidFill>
                    <w14:schemeClr w14:val="tx1"/>
                  </w14:solidFill>
                </w14:textFill>
              </w:rPr>
            </w:pPr>
            <w:r>
              <w:rPr>
                <w:rFonts w:hint="eastAsia" w:cs="Times New Roman" w:asciiTheme="minorEastAsia" w:hAnsiTheme="minorEastAsia" w:eastAsiaTheme="minorEastAsia"/>
                <w:color w:val="000000" w:themeColor="text1"/>
                <w:kern w:val="2"/>
                <w:sz w:val="24"/>
                <w:szCs w:val="22"/>
                <w:highlight w:val="none"/>
                <w14:textFill>
                  <w14:solidFill>
                    <w14:schemeClr w14:val="tx1"/>
                  </w14:solidFill>
                </w14:textFill>
              </w:rPr>
              <w:t>9</w:t>
            </w:r>
          </w:p>
        </w:tc>
        <w:tc>
          <w:tcPr>
            <w:tcW w:w="1496" w:type="dxa"/>
            <w:vAlign w:val="center"/>
          </w:tcPr>
          <w:p w14:paraId="7FAADB5A">
            <w:pPr>
              <w:adjustRightInd w:val="0"/>
              <w:snapToGrid w:val="0"/>
              <w:spacing w:line="360" w:lineRule="auto"/>
              <w:ind w:right="-10"/>
              <w:jc w:val="center"/>
              <w:rPr>
                <w:rFonts w:ascii="Calibri" w:hAnsi="Calibri" w:cs="Times New Roman"/>
                <w:color w:val="000000" w:themeColor="text1"/>
                <w:kern w:val="2"/>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kern w:val="2"/>
                <w:sz w:val="24"/>
                <w:szCs w:val="22"/>
                <w:highlight w:val="none"/>
                <w14:textFill>
                  <w14:solidFill>
                    <w14:schemeClr w14:val="tx1"/>
                  </w14:solidFill>
                </w14:textFill>
              </w:rPr>
              <w:t>其他</w:t>
            </w:r>
          </w:p>
        </w:tc>
        <w:tc>
          <w:tcPr>
            <w:tcW w:w="4266" w:type="dxa"/>
            <w:vAlign w:val="center"/>
          </w:tcPr>
          <w:p w14:paraId="58AE1231">
            <w:pPr>
              <w:adjustRightInd w:val="0"/>
              <w:snapToGrid w:val="0"/>
              <w:spacing w:line="360" w:lineRule="auto"/>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cs="Times New Roman"/>
                <w:color w:val="000000" w:themeColor="text1"/>
                <w:kern w:val="2"/>
                <w:sz w:val="24"/>
                <w:szCs w:val="22"/>
                <w:highlight w:val="none"/>
                <w14:textFill>
                  <w14:solidFill>
                    <w14:schemeClr w14:val="tx1"/>
                  </w14:solidFill>
                </w14:textFill>
              </w:rPr>
              <w:t>符合磋商文件要求</w:t>
            </w:r>
          </w:p>
        </w:tc>
        <w:tc>
          <w:tcPr>
            <w:tcW w:w="2867" w:type="dxa"/>
            <w:vAlign w:val="center"/>
          </w:tcPr>
          <w:p w14:paraId="28FCBD71">
            <w:pPr>
              <w:adjustRightInd w:val="0"/>
              <w:snapToGrid w:val="0"/>
              <w:spacing w:line="360" w:lineRule="auto"/>
              <w:ind w:right="-10"/>
              <w:jc w:val="left"/>
              <w:rPr>
                <w:rFonts w:asciiTheme="majorEastAsia" w:hAnsiTheme="majorEastAsia" w:eastAsiaTheme="majorEastAsia"/>
                <w:color w:val="000000" w:themeColor="text1"/>
                <w:sz w:val="24"/>
                <w:highlight w:val="none"/>
                <w14:textFill>
                  <w14:solidFill>
                    <w14:schemeClr w14:val="tx1"/>
                  </w14:solidFill>
                </w14:textFill>
              </w:rPr>
            </w:pPr>
          </w:p>
        </w:tc>
      </w:tr>
      <w:tr w14:paraId="0BBC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533" w:type="dxa"/>
            <w:gridSpan w:val="3"/>
            <w:tcBorders>
              <w:bottom w:val="single" w:color="auto" w:sz="4" w:space="0"/>
            </w:tcBorders>
            <w:vAlign w:val="center"/>
          </w:tcPr>
          <w:p w14:paraId="24C1E204">
            <w:pPr>
              <w:adjustRightInd w:val="0"/>
              <w:snapToGrid w:val="0"/>
              <w:ind w:right="-10"/>
              <w:jc w:val="left"/>
              <w:rPr>
                <w:rFonts w:ascii="Calibri" w:hAnsi="Calibri" w:cs="Times New Roman"/>
                <w:color w:val="000000" w:themeColor="text1"/>
                <w:kern w:val="2"/>
                <w:sz w:val="24"/>
                <w:szCs w:val="22"/>
                <w:highlight w:val="none"/>
                <w14:textFill>
                  <w14:solidFill>
                    <w14:schemeClr w14:val="tx1"/>
                  </w14:solidFill>
                </w14:textFill>
              </w:rPr>
            </w:pPr>
            <w:r>
              <w:rPr>
                <w:rFonts w:hint="eastAsia" w:ascii="Calibri" w:hAnsi="Calibri" w:cs="Times New Roman"/>
                <w:color w:val="000000" w:themeColor="text1"/>
                <w:kern w:val="2"/>
                <w:sz w:val="24"/>
                <w:szCs w:val="22"/>
                <w:highlight w:val="none"/>
                <w14:textFill>
                  <w14:solidFill>
                    <w14:schemeClr w14:val="tx1"/>
                  </w14:solidFill>
                </w14:textFill>
              </w:rPr>
              <w:t>评审指标通过标准：供应商必须通过上述全部指标。</w:t>
            </w:r>
          </w:p>
        </w:tc>
        <w:tc>
          <w:tcPr>
            <w:tcW w:w="2867" w:type="dxa"/>
            <w:tcBorders>
              <w:bottom w:val="single" w:color="auto" w:sz="4" w:space="0"/>
            </w:tcBorders>
            <w:vAlign w:val="center"/>
          </w:tcPr>
          <w:p w14:paraId="3D088AAC">
            <w:pPr>
              <w:adjustRightInd w:val="0"/>
              <w:snapToGrid w:val="0"/>
              <w:ind w:right="-10"/>
              <w:jc w:val="left"/>
              <w:rPr>
                <w:rFonts w:ascii="Calibri" w:hAnsi="Calibri" w:cs="Times New Roman"/>
                <w:color w:val="000000" w:themeColor="text1"/>
                <w:kern w:val="2"/>
                <w:sz w:val="24"/>
                <w:szCs w:val="22"/>
                <w:highlight w:val="none"/>
                <w14:textFill>
                  <w14:solidFill>
                    <w14:schemeClr w14:val="tx1"/>
                  </w14:solidFill>
                </w14:textFill>
              </w:rPr>
            </w:pPr>
          </w:p>
        </w:tc>
      </w:tr>
    </w:tbl>
    <w:p w14:paraId="63A2D9E2">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初审指标通过标准：</w:t>
      </w:r>
      <w:r>
        <w:rPr>
          <w:rFonts w:hint="eastAsia" w:asciiTheme="minorEastAsia" w:hAnsiTheme="minorEastAsia" w:eastAsiaTheme="minorEastAsia"/>
          <w:color w:val="000000" w:themeColor="text1"/>
          <w:sz w:val="24"/>
          <w:highlight w:val="none"/>
          <w14:textFill>
            <w14:solidFill>
              <w14:schemeClr w14:val="tx1"/>
            </w14:solidFill>
          </w14:textFill>
        </w:rPr>
        <w:t>供应商必须通过初审表中的全部评审指标。</w:t>
      </w:r>
    </w:p>
    <w:p w14:paraId="798D9B66">
      <w:pPr>
        <w:spacing w:line="360" w:lineRule="auto"/>
        <w:ind w:firstLine="435"/>
        <w:outlineLvl w:val="2"/>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2.2异常低价响应审查</w:t>
      </w:r>
    </w:p>
    <w:tbl>
      <w:tblPr>
        <w:tblStyle w:val="53"/>
        <w:tblW w:w="98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200"/>
        <w:gridCol w:w="6025"/>
        <w:gridCol w:w="1907"/>
      </w:tblGrid>
      <w:tr w14:paraId="46EA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876" w:type="dxa"/>
            <w:gridSpan w:val="4"/>
            <w:tcBorders>
              <w:bottom w:val="single" w:color="auto" w:sz="4" w:space="0"/>
            </w:tcBorders>
            <w:vAlign w:val="center"/>
          </w:tcPr>
          <w:p w14:paraId="488F9243">
            <w:pPr>
              <w:adjustRightInd w:val="0"/>
              <w:snapToGrid w:val="0"/>
              <w:spacing w:line="360" w:lineRule="auto"/>
              <w:ind w:right="-10"/>
              <w:jc w:val="center"/>
              <w:rPr>
                <w:color w:val="000000" w:themeColor="text1"/>
                <w:sz w:val="24"/>
                <w:highlight w:val="none"/>
                <w14:textFill>
                  <w14:solidFill>
                    <w14:schemeClr w14:val="tx1"/>
                  </w14:solidFill>
                </w14:textFill>
              </w:rPr>
            </w:pPr>
            <w:r>
              <w:rPr>
                <w:rFonts w:hint="eastAsia" w:cs="Times New Roman"/>
                <w:b/>
                <w:bCs/>
                <w:color w:val="000000" w:themeColor="text1"/>
                <w:sz w:val="24"/>
                <w:highlight w:val="none"/>
                <w14:textFill>
                  <w14:solidFill>
                    <w14:schemeClr w14:val="tx1"/>
                  </w14:solidFill>
                </w14:textFill>
              </w:rPr>
              <w:t>异常低价响应审查表</w:t>
            </w:r>
          </w:p>
        </w:tc>
      </w:tr>
      <w:tr w14:paraId="71C2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tcBorders>
              <w:bottom w:val="single" w:color="auto" w:sz="4" w:space="0"/>
            </w:tcBorders>
            <w:vAlign w:val="center"/>
          </w:tcPr>
          <w:p w14:paraId="3F3B9B50">
            <w:pPr>
              <w:spacing w:line="360" w:lineRule="auto"/>
              <w:jc w:val="both"/>
              <w:rPr>
                <w:color w:val="000000" w:themeColor="text1"/>
                <w:sz w:val="24"/>
                <w:highlight w:val="none"/>
                <w14:textFill>
                  <w14:solidFill>
                    <w14:schemeClr w14:val="tx1"/>
                  </w14:solidFill>
                </w14:textFill>
              </w:rPr>
            </w:pPr>
            <w:r>
              <w:rPr>
                <w:rFonts w:hint="eastAsia" w:cs="Times New Roman"/>
                <w:color w:val="000000" w:themeColor="text1"/>
                <w:sz w:val="24"/>
                <w:highlight w:val="none"/>
                <w14:textFill>
                  <w14:solidFill>
                    <w14:schemeClr w14:val="tx1"/>
                  </w14:solidFill>
                </w14:textFill>
              </w:rPr>
              <w:t>序号</w:t>
            </w:r>
          </w:p>
        </w:tc>
        <w:tc>
          <w:tcPr>
            <w:tcW w:w="1200" w:type="dxa"/>
            <w:tcBorders>
              <w:bottom w:val="single" w:color="auto" w:sz="4" w:space="0"/>
            </w:tcBorders>
            <w:vAlign w:val="center"/>
          </w:tcPr>
          <w:p w14:paraId="6CC21E8E">
            <w:pPr>
              <w:spacing w:line="360" w:lineRule="auto"/>
              <w:jc w:val="both"/>
              <w:rPr>
                <w:color w:val="000000" w:themeColor="text1"/>
                <w:kern w:val="2"/>
                <w:szCs w:val="24"/>
                <w:highlight w:val="none"/>
                <w14:textFill>
                  <w14:solidFill>
                    <w14:schemeClr w14:val="tx1"/>
                  </w14:solidFill>
                </w14:textFill>
              </w:rPr>
            </w:pPr>
            <w:r>
              <w:rPr>
                <w:rFonts w:hint="eastAsia" w:cs="Times New Roman"/>
                <w:color w:val="000000" w:themeColor="text1"/>
                <w:sz w:val="24"/>
                <w:highlight w:val="none"/>
                <w14:textFill>
                  <w14:solidFill>
                    <w14:schemeClr w14:val="tx1"/>
                  </w14:solidFill>
                </w14:textFill>
              </w:rPr>
              <w:t>评审指标</w:t>
            </w:r>
          </w:p>
        </w:tc>
        <w:tc>
          <w:tcPr>
            <w:tcW w:w="6025" w:type="dxa"/>
            <w:tcBorders>
              <w:bottom w:val="single" w:color="auto" w:sz="4" w:space="0"/>
            </w:tcBorders>
            <w:vAlign w:val="center"/>
          </w:tcPr>
          <w:p w14:paraId="6E1B2D43">
            <w:pPr>
              <w:spacing w:line="360" w:lineRule="auto"/>
              <w:ind w:firstLine="240" w:firstLineChars="100"/>
              <w:jc w:val="center"/>
              <w:rPr>
                <w:color w:val="000000" w:themeColor="text1"/>
                <w:sz w:val="24"/>
                <w:highlight w:val="none"/>
                <w14:textFill>
                  <w14:solidFill>
                    <w14:schemeClr w14:val="tx1"/>
                  </w14:solidFill>
                </w14:textFill>
              </w:rPr>
            </w:pPr>
            <w:r>
              <w:rPr>
                <w:rFonts w:hint="eastAsia" w:cs="Times New Roman"/>
                <w:color w:val="000000" w:themeColor="text1"/>
                <w:sz w:val="24"/>
                <w:highlight w:val="none"/>
                <w14:textFill>
                  <w14:solidFill>
                    <w14:schemeClr w14:val="tx1"/>
                  </w14:solidFill>
                </w14:textFill>
              </w:rPr>
              <w:t>评审标准</w:t>
            </w:r>
          </w:p>
        </w:tc>
        <w:tc>
          <w:tcPr>
            <w:tcW w:w="1907" w:type="dxa"/>
            <w:tcBorders>
              <w:bottom w:val="single" w:color="auto" w:sz="4" w:space="0"/>
            </w:tcBorders>
            <w:vAlign w:val="center"/>
          </w:tcPr>
          <w:p w14:paraId="23A450F6">
            <w:pPr>
              <w:spacing w:line="360" w:lineRule="auto"/>
              <w:jc w:val="center"/>
              <w:rPr>
                <w:color w:val="000000" w:themeColor="text1"/>
                <w:sz w:val="24"/>
                <w:highlight w:val="none"/>
                <w14:textFill>
                  <w14:solidFill>
                    <w14:schemeClr w14:val="tx1"/>
                  </w14:solidFill>
                </w14:textFill>
              </w:rPr>
            </w:pPr>
            <w:r>
              <w:rPr>
                <w:rFonts w:hint="eastAsia" w:cs="Times New Roman"/>
                <w:color w:val="000000" w:themeColor="text1"/>
                <w:sz w:val="24"/>
                <w:highlight w:val="none"/>
                <w14:textFill>
                  <w14:solidFill>
                    <w14:schemeClr w14:val="tx1"/>
                  </w14:solidFill>
                </w14:textFill>
              </w:rPr>
              <w:t>格式及材料要求</w:t>
            </w:r>
          </w:p>
        </w:tc>
      </w:tr>
      <w:tr w14:paraId="3F49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44" w:type="dxa"/>
            <w:tcBorders>
              <w:bottom w:val="single" w:color="auto" w:sz="4" w:space="0"/>
            </w:tcBorders>
            <w:vAlign w:val="center"/>
          </w:tcPr>
          <w:p w14:paraId="56E59EFF">
            <w:pPr>
              <w:spacing w:line="360" w:lineRule="auto"/>
              <w:ind w:firstLine="240" w:firstLineChars="1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1</w:t>
            </w:r>
          </w:p>
        </w:tc>
        <w:tc>
          <w:tcPr>
            <w:tcW w:w="1200" w:type="dxa"/>
            <w:tcBorders>
              <w:bottom w:val="single" w:color="auto" w:sz="4" w:space="0"/>
            </w:tcBorders>
            <w:vAlign w:val="center"/>
          </w:tcPr>
          <w:p w14:paraId="42117D12">
            <w:pPr>
              <w:spacing w:line="360" w:lineRule="auto"/>
              <w:rPr>
                <w:rFonts w:cs="宋体"/>
                <w:color w:val="000000" w:themeColor="text1"/>
                <w:sz w:val="24"/>
                <w:szCs w:val="28"/>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异常低价响应审查</w:t>
            </w:r>
          </w:p>
        </w:tc>
        <w:tc>
          <w:tcPr>
            <w:tcW w:w="6025" w:type="dxa"/>
            <w:tcBorders>
              <w:bottom w:val="single" w:color="auto" w:sz="4" w:space="0"/>
            </w:tcBorders>
            <w:vAlign w:val="center"/>
          </w:tcPr>
          <w:p w14:paraId="33F7EC9D">
            <w:pPr>
              <w:pStyle w:val="16"/>
              <w:spacing w:line="360" w:lineRule="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（1）报价＜全部通过初审供应商响应报价平均值×</w:t>
            </w:r>
            <w:r>
              <w:rPr>
                <w:rFonts w:hint="eastAsia" w:ascii="宋体" w:hAnsi="宋体" w:eastAsia="宋体" w:cs="宋体"/>
                <w:b/>
                <w:bCs/>
                <w:color w:val="FF0000"/>
                <w:sz w:val="24"/>
                <w:szCs w:val="24"/>
                <w:highlight w:val="none"/>
                <w:u w:val="single"/>
              </w:rPr>
              <w:t>50%；</w:t>
            </w:r>
          </w:p>
          <w:p w14:paraId="493D0B0A">
            <w:pPr>
              <w:pStyle w:val="16"/>
              <w:spacing w:line="360" w:lineRule="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（2）报价＜通过初审的次低报价供应商响应报价×</w:t>
            </w:r>
            <w:r>
              <w:rPr>
                <w:rFonts w:hint="eastAsia" w:ascii="宋体" w:hAnsi="宋体" w:eastAsia="宋体" w:cs="宋体"/>
                <w:b/>
                <w:bCs/>
                <w:color w:val="FF0000"/>
                <w:sz w:val="24"/>
                <w:szCs w:val="24"/>
                <w:highlight w:val="none"/>
                <w:u w:val="single"/>
              </w:rPr>
              <w:t>50%；</w:t>
            </w:r>
          </w:p>
          <w:p w14:paraId="45DD6DD4">
            <w:pPr>
              <w:pStyle w:val="16"/>
              <w:spacing w:line="360" w:lineRule="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（3）报价＜采购项目最高限价（如采购项目未设定最高限价的，以采购项目预算金额作为最高限价）×</w:t>
            </w:r>
            <w:r>
              <w:rPr>
                <w:rFonts w:hint="eastAsia" w:ascii="宋体" w:hAnsi="宋体" w:eastAsia="宋体" w:cs="宋体"/>
                <w:b/>
                <w:bCs/>
                <w:color w:val="FF0000"/>
                <w:sz w:val="24"/>
                <w:szCs w:val="24"/>
                <w:highlight w:val="none"/>
                <w:u w:val="single"/>
              </w:rPr>
              <w:t>45%</w:t>
            </w:r>
            <w:r>
              <w:rPr>
                <w:rFonts w:hint="eastAsia" w:ascii="宋体" w:hAnsi="宋体" w:eastAsia="宋体" w:cs="宋体"/>
                <w:color w:val="000000" w:themeColor="text1"/>
                <w:sz w:val="24"/>
                <w:szCs w:val="24"/>
                <w:highlight w:val="none"/>
                <w14:textFill>
                  <w14:solidFill>
                    <w14:schemeClr w14:val="tx1"/>
                  </w14:solidFill>
                </w14:textFill>
              </w:rPr>
              <w:t>；</w:t>
            </w:r>
          </w:p>
          <w:p w14:paraId="5ACB26C5">
            <w:pPr>
              <w:pStyle w:val="16"/>
              <w:spacing w:line="360" w:lineRule="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（4）磋商小组基于专业判断，认为供应商报价过低，有可能影响产品质量或者不能诚信履约的其他情形。</w:t>
            </w:r>
          </w:p>
          <w:p w14:paraId="3E9B3BB8">
            <w:pPr>
              <w:pStyle w:val="16"/>
              <w:spacing w:line="360" w:lineRule="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提醒：</w:t>
            </w:r>
          </w:p>
          <w:p w14:paraId="644EC7C0">
            <w:pPr>
              <w:pStyle w:val="16"/>
              <w:spacing w:line="360" w:lineRule="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（1）上述第（1）项数值计算：涉及总价、单价的精确到“分”并四舍五入，涉及费率的精确到小数点后两位，第三位四舍五入（例：如平均值为123.456元，即为123.46元；如平均值为80.126%，即为80.13%）。</w:t>
            </w:r>
          </w:p>
          <w:p w14:paraId="3D51FCA6">
            <w:pPr>
              <w:pStyle w:val="16"/>
              <w:spacing w:line="360" w:lineRule="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（2）上述</w:t>
            </w:r>
            <w:r>
              <w:rPr>
                <w:rFonts w:hint="eastAsia" w:ascii="宋体" w:hAnsi="宋体" w:eastAsia="宋体" w:cs="宋体"/>
                <w:color w:val="000000" w:themeColor="text1"/>
                <w:sz w:val="24"/>
                <w:szCs w:val="24"/>
                <w:highlight w:val="none"/>
                <w:lang w:val="en-US" w:eastAsia="zh-CN"/>
                <w14:textFill>
                  <w14:solidFill>
                    <w14:schemeClr w14:val="tx1"/>
                  </w14:solidFill>
                </w14:textFill>
              </w:rPr>
              <w:t>所有</w:t>
            </w:r>
            <w:r>
              <w:rPr>
                <w:rFonts w:hint="eastAsia" w:ascii="宋体" w:hAnsi="宋体" w:eastAsia="宋体" w:cs="宋体"/>
                <w:color w:val="000000" w:themeColor="text1"/>
                <w:sz w:val="24"/>
                <w:szCs w:val="24"/>
                <w:highlight w:val="none"/>
                <w14:textFill>
                  <w14:solidFill>
                    <w14:schemeClr w14:val="tx1"/>
                  </w14:solidFill>
                </w14:textFill>
              </w:rPr>
              <w:t>项中的供应商响应报价</w:t>
            </w:r>
            <w:r>
              <w:rPr>
                <w:rFonts w:hint="eastAsia" w:ascii="宋体" w:hAnsi="宋体" w:eastAsia="宋体" w:cs="宋体"/>
                <w:color w:val="000000" w:themeColor="text1"/>
                <w:sz w:val="24"/>
                <w:szCs w:val="24"/>
                <w:highlight w:val="none"/>
                <w:lang w:val="en-US" w:eastAsia="zh-CN"/>
                <w14:textFill>
                  <w14:solidFill>
                    <w14:schemeClr w14:val="tx1"/>
                  </w14:solidFill>
                </w14:textFill>
              </w:rPr>
              <w:t>均</w:t>
            </w:r>
            <w:r>
              <w:rPr>
                <w:rFonts w:hint="eastAsia" w:ascii="宋体" w:hAnsi="宋体" w:eastAsia="宋体" w:cs="宋体"/>
                <w:color w:val="000000" w:themeColor="text1"/>
                <w:sz w:val="24"/>
                <w:szCs w:val="24"/>
                <w:highlight w:val="none"/>
                <w14:textFill>
                  <w14:solidFill>
                    <w14:schemeClr w14:val="tx1"/>
                  </w14:solidFill>
                </w14:textFill>
              </w:rPr>
              <w:t>为最后承诺报价。</w:t>
            </w:r>
          </w:p>
        </w:tc>
        <w:tc>
          <w:tcPr>
            <w:tcW w:w="1907" w:type="dxa"/>
            <w:vAlign w:val="center"/>
          </w:tcPr>
          <w:p w14:paraId="0D56355D">
            <w:pPr>
              <w:spacing w:line="360" w:lineRule="auto"/>
              <w:ind w:firstLine="240" w:firstLineChars="100"/>
              <w:rPr>
                <w:rFonts w:cs="宋体"/>
                <w:color w:val="000000" w:themeColor="text1"/>
                <w:sz w:val="24"/>
                <w:highlight w:val="none"/>
                <w14:textFill>
                  <w14:solidFill>
                    <w14:schemeClr w14:val="tx1"/>
                  </w14:solidFill>
                </w14:textFill>
              </w:rPr>
            </w:pPr>
            <w:r>
              <w:rPr>
                <w:rFonts w:hint="eastAsia" w:cs="宋体"/>
                <w:color w:val="000000" w:themeColor="text1"/>
                <w:sz w:val="24"/>
                <w:highlight w:val="none"/>
                <w14:textFill>
                  <w14:solidFill>
                    <w14:schemeClr w14:val="tx1"/>
                  </w14:solidFill>
                </w14:textFill>
              </w:rPr>
              <w:t>供应商在评审现场合理的时间内对价格作出解释，提供项目具体成本测算等与报价合理性相关的书面说明及必要的证明材料，包括但不限于原材料成本、人工成本、制造费用等。</w:t>
            </w:r>
          </w:p>
        </w:tc>
      </w:tr>
    </w:tbl>
    <w:p w14:paraId="1159496B">
      <w:pPr>
        <w:spacing w:line="360" w:lineRule="auto"/>
        <w:rPr>
          <w:rFonts w:cs="Arial"/>
          <w:color w:val="000000" w:themeColor="text1"/>
          <w:sz w:val="24"/>
          <w:highlight w:val="none"/>
          <w14:textFill>
            <w14:solidFill>
              <w14:schemeClr w14:val="tx1"/>
            </w14:solidFill>
          </w14:textFill>
        </w:rPr>
      </w:pPr>
      <w:r>
        <w:rPr>
          <w:rFonts w:hint="eastAsia" w:cs="Times New Roman"/>
          <w:color w:val="000000" w:themeColor="text1"/>
          <w:sz w:val="24"/>
          <w:highlight w:val="none"/>
          <w14:textFill>
            <w14:solidFill>
              <w14:schemeClr w14:val="tx1"/>
            </w14:solidFill>
          </w14:textFill>
        </w:rPr>
        <w:t>注：</w:t>
      </w:r>
    </w:p>
    <w:p w14:paraId="296254E8">
      <w:pPr>
        <w:pStyle w:val="16"/>
        <w:spacing w:line="360" w:lineRule="auto"/>
        <w:ind w:firstLine="480" w:firstLineChars="200"/>
        <w:rPr>
          <w:rFonts w:ascii="宋体" w:hAnsi="宋体" w:eastAsia="宋体"/>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14:textFill>
            <w14:solidFill>
              <w14:schemeClr w14:val="tx1"/>
            </w14:solidFill>
          </w14:textFill>
        </w:rPr>
        <w:t>根据《关于推进解决政府采购异常低价问题的通知》（财库〔2026〕2号），采购人</w:t>
      </w:r>
      <w:r>
        <w:rPr>
          <w:rFonts w:hint="eastAsia" w:ascii="宋体" w:hAnsi="宋体" w:eastAsia="宋体"/>
          <w:color w:val="FF0000"/>
          <w:sz w:val="24"/>
          <w:highlight w:val="none"/>
          <w:lang w:val="en-US" w:eastAsia="zh-CN"/>
        </w:rPr>
        <w:t>在编制采购文件时</w:t>
      </w:r>
      <w:r>
        <w:rPr>
          <w:rFonts w:hint="eastAsia" w:ascii="宋体" w:hAnsi="宋体" w:eastAsia="宋体"/>
          <w:color w:val="000000" w:themeColor="text1"/>
          <w:sz w:val="24"/>
          <w:highlight w:val="none"/>
          <w14:textFill>
            <w14:solidFill>
              <w14:schemeClr w14:val="tx1"/>
            </w14:solidFill>
          </w14:textFill>
        </w:rPr>
        <w:t>可以结合具体项目实际情况，提高上述</w:t>
      </w:r>
      <w:r>
        <w:rPr>
          <w:rFonts w:hint="eastAsia" w:ascii="宋体" w:hAnsi="宋体" w:eastAsia="宋体" w:cs="Times New Roman"/>
          <w:color w:val="000000" w:themeColor="text1"/>
          <w:sz w:val="24"/>
          <w:highlight w:val="none"/>
          <w14:textFill>
            <w14:solidFill>
              <w14:schemeClr w14:val="tx1"/>
            </w14:solidFill>
          </w14:textFill>
        </w:rPr>
        <w:t>评审标准</w:t>
      </w:r>
      <w:r>
        <w:rPr>
          <w:rFonts w:hint="eastAsia" w:ascii="宋体" w:hAnsi="宋体" w:eastAsia="宋体"/>
          <w:color w:val="000000" w:themeColor="text1"/>
          <w:sz w:val="24"/>
          <w:highlight w:val="none"/>
          <w14:textFill>
            <w14:solidFill>
              <w14:schemeClr w14:val="tx1"/>
            </w14:solidFill>
          </w14:textFill>
        </w:rPr>
        <w:t>第（1）项至第（3）项中的数值标准，但是最高不得超过65%。</w:t>
      </w:r>
    </w:p>
    <w:p w14:paraId="3C600340">
      <w:pPr>
        <w:pStyle w:val="16"/>
        <w:spacing w:line="360" w:lineRule="auto"/>
        <w:ind w:firstLine="480" w:firstLineChars="200"/>
        <w:rPr>
          <w:rFonts w:ascii="宋体" w:hAnsi="宋体" w:eastAsia="宋体"/>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14:textFill>
            <w14:solidFill>
              <w14:schemeClr w14:val="tx1"/>
            </w14:solidFill>
          </w14:textFill>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4A698637">
      <w:pPr>
        <w:pStyle w:val="16"/>
        <w:spacing w:line="360" w:lineRule="auto"/>
        <w:ind w:firstLine="480" w:firstLineChars="200"/>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14:textFill>
            <w14:solidFill>
              <w14:schemeClr w14:val="tx1"/>
            </w14:solidFill>
          </w14:textFill>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4D4ECF43">
      <w:pPr>
        <w:spacing w:line="360" w:lineRule="auto"/>
        <w:ind w:firstLine="435"/>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63720AAA">
      <w:pPr>
        <w:spacing w:line="360" w:lineRule="auto"/>
        <w:ind w:firstLine="435"/>
        <w:outlineLvl w:val="2"/>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2.3综合评分</w:t>
      </w:r>
    </w:p>
    <w:tbl>
      <w:tblPr>
        <w:tblStyle w:val="53"/>
        <w:tblpPr w:leftFromText="180" w:rightFromText="180" w:vertAnchor="text" w:horzAnchor="page" w:tblpX="1322" w:tblpY="754"/>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9"/>
        <w:gridCol w:w="7022"/>
        <w:gridCol w:w="635"/>
      </w:tblGrid>
      <w:tr w14:paraId="6D5D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25" w:type="pct"/>
            <w:tcBorders>
              <w:top w:val="single" w:color="auto" w:sz="4" w:space="0"/>
              <w:left w:val="single" w:color="auto" w:sz="4" w:space="0"/>
              <w:bottom w:val="single" w:color="auto" w:sz="4" w:space="0"/>
              <w:right w:val="single" w:color="auto" w:sz="4" w:space="0"/>
            </w:tcBorders>
            <w:vAlign w:val="center"/>
          </w:tcPr>
          <w:p w14:paraId="5C60F7C7">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评分内容</w:t>
            </w:r>
          </w:p>
        </w:tc>
        <w:tc>
          <w:tcPr>
            <w:tcW w:w="3736" w:type="pct"/>
            <w:tcBorders>
              <w:top w:val="single" w:color="auto" w:sz="4" w:space="0"/>
              <w:left w:val="single" w:color="auto" w:sz="4" w:space="0"/>
              <w:bottom w:val="single" w:color="auto" w:sz="4" w:space="0"/>
              <w:right w:val="single" w:color="auto" w:sz="4" w:space="0"/>
            </w:tcBorders>
            <w:vAlign w:val="center"/>
          </w:tcPr>
          <w:p w14:paraId="2DC5DED7">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评分标准</w:t>
            </w:r>
          </w:p>
        </w:tc>
        <w:tc>
          <w:tcPr>
            <w:tcW w:w="337" w:type="pct"/>
            <w:tcBorders>
              <w:top w:val="single" w:color="auto" w:sz="4" w:space="0"/>
              <w:left w:val="single" w:color="auto" w:sz="4" w:space="0"/>
              <w:bottom w:val="single" w:color="auto" w:sz="4" w:space="0"/>
              <w:right w:val="single" w:color="auto" w:sz="4" w:space="0"/>
            </w:tcBorders>
            <w:vAlign w:val="center"/>
          </w:tcPr>
          <w:p w14:paraId="36CF9F0E">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14D0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vAlign w:val="center"/>
          </w:tcPr>
          <w:p w14:paraId="4352D84B">
            <w:pPr>
              <w:keepNext w:val="0"/>
              <w:keepLines w:val="0"/>
              <w:pageBreakBefore w:val="0"/>
              <w:wordWrap/>
              <w:overflowPunct/>
              <w:bidi w:val="0"/>
              <w:spacing w:line="240" w:lineRule="auto"/>
              <w:ind w:firstLine="0" w:firstLineChars="0"/>
              <w:jc w:val="center"/>
              <w:rPr>
                <w:rFonts w:hint="eastAsia" w:ascii="仿宋" w:hAnsi="仿宋" w:eastAsia="仿宋" w:cs="仿宋"/>
                <w:bCs/>
                <w:color w:val="auto"/>
                <w:sz w:val="24"/>
                <w:szCs w:val="24"/>
                <w:highlight w:val="none"/>
              </w:rPr>
            </w:pPr>
            <w:r>
              <w:rPr>
                <w:rFonts w:hint="eastAsia" w:ascii="仿宋" w:hAnsi="仿宋" w:eastAsia="仿宋" w:cs="仿宋"/>
                <w:b/>
                <w:color w:val="auto"/>
                <w:kern w:val="0"/>
                <w:sz w:val="24"/>
                <w:szCs w:val="24"/>
                <w:highlight w:val="none"/>
              </w:rPr>
              <w:t>供应商业绩</w:t>
            </w:r>
          </w:p>
        </w:tc>
        <w:tc>
          <w:tcPr>
            <w:tcW w:w="3736" w:type="pct"/>
            <w:tcBorders>
              <w:top w:val="single" w:color="auto" w:sz="4" w:space="0"/>
              <w:left w:val="single" w:color="auto" w:sz="4" w:space="0"/>
              <w:bottom w:val="single" w:color="auto" w:sz="4" w:space="0"/>
              <w:right w:val="single" w:color="auto" w:sz="4" w:space="0"/>
            </w:tcBorders>
            <w:vAlign w:val="center"/>
          </w:tcPr>
          <w:p w14:paraId="414A1FD4">
            <w:pPr>
              <w:keepNext w:val="0"/>
              <w:keepLines w:val="0"/>
              <w:pageBreakBefore w:val="0"/>
              <w:wordWrap/>
              <w:overflowPunct/>
              <w:bidi w:val="0"/>
              <w:adjustRightInd w:val="0"/>
              <w:snapToGrid w:val="0"/>
              <w:spacing w:line="240" w:lineRule="auto"/>
              <w:ind w:firstLine="0" w:firstLineChars="0"/>
              <w:rPr>
                <w:rFonts w:hint="eastAsia" w:ascii="仿宋" w:hAnsi="仿宋" w:eastAsia="仿宋" w:cs="仿宋"/>
                <w:bCs w:val="0"/>
                <w:color w:val="auto"/>
                <w:kern w:val="0"/>
                <w:sz w:val="24"/>
                <w:szCs w:val="24"/>
                <w:highlight w:val="none"/>
              </w:rPr>
            </w:pPr>
            <w:r>
              <w:rPr>
                <w:rFonts w:hint="eastAsia" w:ascii="仿宋" w:hAnsi="仿宋" w:eastAsia="仿宋" w:cs="仿宋"/>
                <w:bCs/>
                <w:color w:val="auto"/>
                <w:sz w:val="24"/>
                <w:szCs w:val="24"/>
                <w:highlight w:val="none"/>
              </w:rPr>
              <w:t>自20</w:t>
            </w:r>
            <w:r>
              <w:rPr>
                <w:rFonts w:hint="eastAsia" w:ascii="仿宋" w:hAnsi="仿宋" w:eastAsia="仿宋" w:cs="仿宋"/>
                <w:bCs/>
                <w:color w:val="auto"/>
                <w:sz w:val="24"/>
                <w:szCs w:val="24"/>
                <w:highlight w:val="none"/>
                <w:lang w:val="en-US" w:eastAsia="zh-CN"/>
              </w:rPr>
              <w:t>23</w:t>
            </w:r>
            <w:r>
              <w:rPr>
                <w:rFonts w:hint="eastAsia" w:ascii="仿宋" w:hAnsi="仿宋" w:eastAsia="仿宋" w:cs="仿宋"/>
                <w:bCs/>
                <w:color w:val="auto"/>
                <w:sz w:val="24"/>
                <w:szCs w:val="24"/>
                <w:highlight w:val="none"/>
              </w:rPr>
              <w:t>年1月</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日以来，</w:t>
            </w:r>
            <w:r>
              <w:rPr>
                <w:rFonts w:hint="eastAsia" w:ascii="仿宋" w:hAnsi="仿宋" w:eastAsia="仿宋" w:cs="仿宋"/>
                <w:bCs/>
                <w:color w:val="auto"/>
                <w:sz w:val="24"/>
                <w:szCs w:val="24"/>
                <w:highlight w:val="none"/>
                <w:lang w:eastAsia="zh-CN"/>
              </w:rPr>
              <w:t>供应商</w:t>
            </w:r>
            <w:r>
              <w:rPr>
                <w:rFonts w:hint="eastAsia" w:ascii="仿宋" w:hAnsi="仿宋" w:eastAsia="仿宋" w:cs="仿宋"/>
                <w:bCs/>
                <w:color w:val="auto"/>
                <w:sz w:val="24"/>
                <w:szCs w:val="24"/>
                <w:highlight w:val="none"/>
              </w:rPr>
              <w:t>每提供一个</w:t>
            </w:r>
            <w:r>
              <w:rPr>
                <w:rFonts w:hint="eastAsia" w:ascii="仿宋" w:hAnsi="仿宋" w:eastAsia="仿宋" w:cs="仿宋"/>
                <w:color w:val="auto"/>
                <w:sz w:val="24"/>
                <w:szCs w:val="24"/>
                <w:highlight w:val="none"/>
              </w:rPr>
              <w:t>水利工程自动化</w:t>
            </w:r>
            <w:r>
              <w:rPr>
                <w:rFonts w:hint="eastAsia" w:ascii="仿宋" w:hAnsi="仿宋" w:eastAsia="仿宋" w:cs="仿宋"/>
                <w:bCs/>
                <w:color w:val="auto"/>
                <w:sz w:val="24"/>
                <w:szCs w:val="24"/>
                <w:highlight w:val="none"/>
                <w:lang w:val="en-US" w:eastAsia="zh-CN"/>
              </w:rPr>
              <w:t>项目</w:t>
            </w:r>
            <w:r>
              <w:rPr>
                <w:rFonts w:hint="eastAsia" w:ascii="仿宋" w:hAnsi="仿宋" w:eastAsia="仿宋" w:cs="仿宋"/>
                <w:bCs/>
                <w:color w:val="auto"/>
                <w:sz w:val="24"/>
                <w:szCs w:val="24"/>
                <w:highlight w:val="none"/>
              </w:rPr>
              <w:t>业绩的得</w:t>
            </w:r>
            <w:r>
              <w:rPr>
                <w:rFonts w:hint="eastAsia" w:ascii="仿宋" w:hAnsi="仿宋" w:eastAsia="仿宋" w:cs="仿宋"/>
                <w:bCs/>
                <w:color w:val="auto"/>
                <w:sz w:val="24"/>
                <w:szCs w:val="24"/>
                <w:highlight w:val="none"/>
                <w:lang w:val="en-US" w:eastAsia="zh-CN"/>
              </w:rPr>
              <w:t>5</w:t>
            </w:r>
            <w:r>
              <w:rPr>
                <w:rFonts w:hint="eastAsia" w:ascii="仿宋" w:hAnsi="仿宋" w:eastAsia="仿宋" w:cs="仿宋"/>
                <w:bCs/>
                <w:color w:val="auto"/>
                <w:sz w:val="24"/>
                <w:szCs w:val="24"/>
                <w:highlight w:val="none"/>
              </w:rPr>
              <w:t>分，满分</w:t>
            </w:r>
            <w:r>
              <w:rPr>
                <w:rFonts w:hint="eastAsia" w:ascii="仿宋" w:hAnsi="仿宋" w:eastAsia="仿宋" w:cs="仿宋"/>
                <w:bCs/>
                <w:color w:val="auto"/>
                <w:sz w:val="24"/>
                <w:szCs w:val="24"/>
                <w:highlight w:val="none"/>
                <w:lang w:val="en-US" w:eastAsia="zh-CN"/>
              </w:rPr>
              <w:t>15</w:t>
            </w:r>
            <w:r>
              <w:rPr>
                <w:rFonts w:hint="eastAsia" w:ascii="仿宋" w:hAnsi="仿宋" w:eastAsia="仿宋" w:cs="仿宋"/>
                <w:bCs/>
                <w:color w:val="auto"/>
                <w:sz w:val="24"/>
                <w:szCs w:val="24"/>
                <w:highlight w:val="none"/>
              </w:rPr>
              <w:t>分；</w:t>
            </w:r>
          </w:p>
          <w:p w14:paraId="292C2D4B">
            <w:pPr>
              <w:keepNext w:val="0"/>
              <w:keepLines w:val="0"/>
              <w:pageBreakBefore w:val="0"/>
              <w:wordWrap/>
              <w:overflowPunct/>
              <w:bidi w:val="0"/>
              <w:spacing w:line="240" w:lineRule="auto"/>
              <w:ind w:firstLine="0" w:firstLineChars="0"/>
              <w:jc w:val="left"/>
              <w:rPr>
                <w:rFonts w:hint="eastAsia" w:ascii="仿宋" w:hAnsi="仿宋" w:eastAsia="仿宋" w:cs="仿宋"/>
                <w:bCs/>
                <w:color w:val="auto"/>
                <w:sz w:val="24"/>
                <w:szCs w:val="24"/>
                <w:highlight w:val="none"/>
              </w:rPr>
            </w:pPr>
            <w:r>
              <w:rPr>
                <w:rStyle w:val="269"/>
                <w:rFonts w:hint="eastAsia" w:ascii="仿宋" w:hAnsi="仿宋" w:eastAsia="仿宋" w:cs="仿宋"/>
                <w:b/>
                <w:bCs/>
                <w:color w:val="auto"/>
                <w:sz w:val="24"/>
                <w:szCs w:val="24"/>
                <w:highlight w:val="none"/>
                <w:lang w:val="en-US" w:eastAsia="zh-CN"/>
              </w:rPr>
              <w:t>注：响应文件中须同时提供①中标通知书或合同；②完工（或竣工）验收报告或第三方&lt;合同甲方或行业主管部门&gt;出具的已完成证明，否则不得分。如上述材料不能体现业绩时间、项目内容等关键评审因素的，可补充提供合同甲方或行政主管部门出具的证明文件。</w:t>
            </w:r>
          </w:p>
        </w:tc>
        <w:tc>
          <w:tcPr>
            <w:tcW w:w="337" w:type="pct"/>
            <w:tcBorders>
              <w:top w:val="single" w:color="auto" w:sz="4" w:space="0"/>
              <w:left w:val="single" w:color="auto" w:sz="4" w:space="0"/>
              <w:bottom w:val="single" w:color="auto" w:sz="4" w:space="0"/>
              <w:right w:val="single" w:color="auto" w:sz="4" w:space="0"/>
            </w:tcBorders>
            <w:vAlign w:val="center"/>
          </w:tcPr>
          <w:p w14:paraId="48FC9637">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15分</w:t>
            </w:r>
          </w:p>
        </w:tc>
      </w:tr>
      <w:tr w14:paraId="236D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vAlign w:val="center"/>
          </w:tcPr>
          <w:p w14:paraId="7177686B">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kern w:val="0"/>
                <w:sz w:val="24"/>
                <w:szCs w:val="24"/>
                <w:highlight w:val="none"/>
                <w:lang w:val="en-US" w:eastAsia="zh-CN"/>
              </w:rPr>
            </w:pPr>
            <w:r>
              <w:rPr>
                <w:rStyle w:val="269"/>
                <w:rFonts w:hint="eastAsia" w:ascii="仿宋" w:hAnsi="仿宋" w:eastAsia="仿宋" w:cs="仿宋"/>
                <w:b/>
                <w:bCs/>
                <w:color w:val="auto"/>
                <w:sz w:val="24"/>
                <w:szCs w:val="24"/>
                <w:highlight w:val="none"/>
                <w:lang w:eastAsia="zh-CN"/>
              </w:rPr>
              <w:t>项目经理</w:t>
            </w:r>
            <w:r>
              <w:rPr>
                <w:rStyle w:val="269"/>
                <w:rFonts w:hint="eastAsia" w:ascii="仿宋" w:hAnsi="仿宋" w:eastAsia="仿宋" w:cs="仿宋"/>
                <w:b/>
                <w:bCs/>
                <w:color w:val="auto"/>
                <w:sz w:val="24"/>
                <w:szCs w:val="24"/>
                <w:highlight w:val="none"/>
                <w:lang w:val="en-US" w:eastAsia="zh-CN"/>
              </w:rPr>
              <w:t>业绩</w:t>
            </w:r>
          </w:p>
        </w:tc>
        <w:tc>
          <w:tcPr>
            <w:tcW w:w="3736" w:type="pct"/>
            <w:tcBorders>
              <w:top w:val="single" w:color="auto" w:sz="4" w:space="0"/>
              <w:left w:val="single" w:color="auto" w:sz="4" w:space="0"/>
              <w:bottom w:val="single" w:color="auto" w:sz="4" w:space="0"/>
              <w:right w:val="single" w:color="auto" w:sz="4" w:space="0"/>
            </w:tcBorders>
            <w:vAlign w:val="center"/>
          </w:tcPr>
          <w:p w14:paraId="2602845A">
            <w:pPr>
              <w:keepNext w:val="0"/>
              <w:keepLines w:val="0"/>
              <w:pageBreakBefore w:val="0"/>
              <w:widowControl/>
              <w:wordWrap/>
              <w:overflowPunct/>
              <w:bidi w:val="0"/>
              <w:adjustRightInd w:val="0"/>
              <w:snapToGrid w:val="0"/>
              <w:spacing w:line="240" w:lineRule="auto"/>
              <w:ind w:firstLine="0" w:firstLineChars="0"/>
              <w:rPr>
                <w:rStyle w:val="269"/>
                <w:rFonts w:hint="eastAsia" w:ascii="仿宋" w:hAnsi="仿宋" w:eastAsia="仿宋" w:cs="仿宋"/>
                <w:color w:val="auto"/>
                <w:sz w:val="24"/>
                <w:szCs w:val="24"/>
                <w:highlight w:val="none"/>
                <w:lang w:eastAsia="zh-CN"/>
              </w:rPr>
            </w:pPr>
            <w:r>
              <w:rPr>
                <w:rStyle w:val="269"/>
                <w:rFonts w:hint="eastAsia" w:ascii="仿宋" w:hAnsi="仿宋" w:eastAsia="仿宋" w:cs="仿宋"/>
                <w:color w:val="auto"/>
                <w:sz w:val="24"/>
                <w:szCs w:val="24"/>
                <w:highlight w:val="none"/>
                <w:lang w:val="en-US" w:eastAsia="zh-CN"/>
              </w:rPr>
              <w:t>拟派</w:t>
            </w:r>
            <w:r>
              <w:rPr>
                <w:rStyle w:val="269"/>
                <w:rFonts w:hint="eastAsia" w:ascii="仿宋" w:hAnsi="仿宋" w:eastAsia="仿宋" w:cs="仿宋"/>
                <w:color w:val="auto"/>
                <w:sz w:val="24"/>
                <w:szCs w:val="24"/>
                <w:highlight w:val="none"/>
                <w:lang w:eastAsia="zh-CN"/>
              </w:rPr>
              <w:t>项目经理</w:t>
            </w:r>
            <w:r>
              <w:rPr>
                <w:rStyle w:val="269"/>
                <w:rFonts w:hint="eastAsia" w:ascii="仿宋" w:hAnsi="仿宋" w:eastAsia="仿宋" w:cs="仿宋"/>
                <w:color w:val="auto"/>
                <w:sz w:val="24"/>
                <w:szCs w:val="24"/>
                <w:highlight w:val="none"/>
                <w:lang w:val="en-US" w:eastAsia="zh-CN"/>
              </w:rPr>
              <w:t>每</w:t>
            </w:r>
            <w:r>
              <w:rPr>
                <w:rStyle w:val="269"/>
                <w:rFonts w:hint="eastAsia" w:ascii="仿宋" w:hAnsi="仿宋" w:eastAsia="仿宋" w:cs="仿宋"/>
                <w:color w:val="auto"/>
                <w:sz w:val="24"/>
                <w:szCs w:val="24"/>
                <w:highlight w:val="none"/>
              </w:rPr>
              <w:t>具有</w:t>
            </w:r>
            <w:r>
              <w:rPr>
                <w:rStyle w:val="269"/>
                <w:rFonts w:hint="eastAsia" w:ascii="仿宋" w:hAnsi="仿宋" w:eastAsia="仿宋" w:cs="仿宋"/>
                <w:color w:val="auto"/>
                <w:sz w:val="24"/>
                <w:szCs w:val="24"/>
                <w:highlight w:val="none"/>
                <w:lang w:val="en-US" w:eastAsia="zh-CN"/>
              </w:rPr>
              <w:t>一个</w:t>
            </w:r>
            <w:r>
              <w:rPr>
                <w:rFonts w:hint="eastAsia" w:ascii="仿宋" w:hAnsi="仿宋" w:eastAsia="仿宋" w:cs="仿宋"/>
                <w:color w:val="auto"/>
                <w:sz w:val="24"/>
                <w:szCs w:val="24"/>
                <w:highlight w:val="none"/>
              </w:rPr>
              <w:t>水利工程自动化</w:t>
            </w:r>
            <w:r>
              <w:rPr>
                <w:rFonts w:hint="eastAsia" w:ascii="仿宋" w:hAnsi="仿宋" w:eastAsia="仿宋" w:cs="仿宋"/>
                <w:color w:val="auto"/>
                <w:spacing w:val="-1"/>
                <w:sz w:val="24"/>
                <w:szCs w:val="24"/>
                <w:highlight w:val="none"/>
                <w:lang w:val="en-US" w:eastAsia="zh-CN"/>
              </w:rPr>
              <w:t>项目</w:t>
            </w:r>
            <w:r>
              <w:rPr>
                <w:rStyle w:val="269"/>
                <w:rFonts w:hint="eastAsia" w:ascii="仿宋" w:hAnsi="仿宋" w:eastAsia="仿宋" w:cs="仿宋"/>
                <w:color w:val="auto"/>
                <w:sz w:val="24"/>
                <w:szCs w:val="24"/>
                <w:highlight w:val="none"/>
                <w:lang w:eastAsia="zh-CN"/>
              </w:rPr>
              <w:t>经理</w:t>
            </w:r>
            <w:r>
              <w:rPr>
                <w:rStyle w:val="269"/>
                <w:rFonts w:hint="eastAsia" w:ascii="仿宋" w:hAnsi="仿宋" w:eastAsia="仿宋" w:cs="仿宋"/>
                <w:color w:val="auto"/>
                <w:sz w:val="24"/>
                <w:szCs w:val="24"/>
                <w:highlight w:val="none"/>
              </w:rPr>
              <w:t>业绩</w:t>
            </w:r>
            <w:r>
              <w:rPr>
                <w:rStyle w:val="269"/>
                <w:rFonts w:hint="eastAsia" w:ascii="仿宋" w:hAnsi="仿宋" w:eastAsia="仿宋" w:cs="仿宋"/>
                <w:color w:val="auto"/>
                <w:sz w:val="24"/>
                <w:szCs w:val="24"/>
                <w:highlight w:val="none"/>
                <w:lang w:val="en-US" w:eastAsia="zh-CN"/>
              </w:rPr>
              <w:t>得5</w:t>
            </w:r>
            <w:r>
              <w:rPr>
                <w:rStyle w:val="269"/>
                <w:rFonts w:hint="eastAsia" w:ascii="仿宋" w:hAnsi="仿宋" w:eastAsia="仿宋" w:cs="仿宋"/>
                <w:color w:val="auto"/>
                <w:sz w:val="24"/>
                <w:szCs w:val="24"/>
                <w:highlight w:val="none"/>
              </w:rPr>
              <w:t>分，最多得</w:t>
            </w:r>
            <w:r>
              <w:rPr>
                <w:rStyle w:val="269"/>
                <w:rFonts w:hint="eastAsia" w:ascii="仿宋" w:hAnsi="仿宋" w:eastAsia="仿宋" w:cs="仿宋"/>
                <w:color w:val="auto"/>
                <w:sz w:val="24"/>
                <w:szCs w:val="24"/>
                <w:highlight w:val="none"/>
                <w:lang w:val="en-US" w:eastAsia="zh-CN"/>
              </w:rPr>
              <w:t>10</w:t>
            </w:r>
            <w:r>
              <w:rPr>
                <w:rStyle w:val="269"/>
                <w:rFonts w:hint="eastAsia" w:ascii="仿宋" w:hAnsi="仿宋" w:eastAsia="仿宋" w:cs="仿宋"/>
                <w:color w:val="auto"/>
                <w:sz w:val="24"/>
                <w:szCs w:val="24"/>
                <w:highlight w:val="none"/>
              </w:rPr>
              <w:t>分</w:t>
            </w:r>
            <w:r>
              <w:rPr>
                <w:rStyle w:val="269"/>
                <w:rFonts w:hint="eastAsia" w:ascii="仿宋" w:hAnsi="仿宋" w:eastAsia="仿宋" w:cs="仿宋"/>
                <w:color w:val="auto"/>
                <w:sz w:val="24"/>
                <w:szCs w:val="24"/>
                <w:highlight w:val="none"/>
                <w:lang w:eastAsia="zh-CN"/>
              </w:rPr>
              <w:t>。</w:t>
            </w:r>
          </w:p>
          <w:p w14:paraId="47E2D655">
            <w:pPr>
              <w:keepNext w:val="0"/>
              <w:keepLines w:val="0"/>
              <w:pageBreakBefore w:val="0"/>
              <w:wordWrap/>
              <w:overflowPunct/>
              <w:bidi w:val="0"/>
              <w:spacing w:line="240" w:lineRule="auto"/>
              <w:ind w:firstLine="0" w:firstLineChars="0"/>
              <w:jc w:val="left"/>
              <w:rPr>
                <w:rFonts w:hint="eastAsia" w:ascii="仿宋" w:hAnsi="仿宋" w:eastAsia="仿宋" w:cs="仿宋"/>
                <w:color w:val="auto"/>
                <w:sz w:val="24"/>
                <w:szCs w:val="24"/>
                <w:highlight w:val="none"/>
              </w:rPr>
            </w:pPr>
            <w:r>
              <w:rPr>
                <w:rStyle w:val="269"/>
                <w:rFonts w:hint="eastAsia" w:ascii="仿宋" w:hAnsi="仿宋" w:eastAsia="仿宋" w:cs="仿宋"/>
                <w:b/>
                <w:bCs/>
                <w:color w:val="auto"/>
                <w:sz w:val="24"/>
                <w:szCs w:val="24"/>
                <w:highlight w:val="none"/>
                <w:lang w:val="en-US" w:eastAsia="zh-CN"/>
              </w:rPr>
              <w:t>注：响应文件中须同时提供①中标通知书或合同；②完工（或竣工）验收报告或第三方&lt;合同甲方或行业主管部门&gt;出具的已完成证明，否则不得分。如上述材料不能体现时间、项目经理姓名等关键评审因素的，可补充提供合同甲方或行政主管部门出具的证明文件。</w:t>
            </w:r>
          </w:p>
        </w:tc>
        <w:tc>
          <w:tcPr>
            <w:tcW w:w="337" w:type="pct"/>
            <w:tcBorders>
              <w:top w:val="single" w:color="auto" w:sz="4" w:space="0"/>
              <w:left w:val="single" w:color="auto" w:sz="4" w:space="0"/>
              <w:bottom w:val="single" w:color="auto" w:sz="4" w:space="0"/>
              <w:right w:val="single" w:color="auto" w:sz="4" w:space="0"/>
            </w:tcBorders>
            <w:vAlign w:val="center"/>
          </w:tcPr>
          <w:p w14:paraId="1C3EF0A6">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10分</w:t>
            </w:r>
          </w:p>
        </w:tc>
      </w:tr>
      <w:tr w14:paraId="1713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925" w:type="pct"/>
            <w:tcBorders>
              <w:top w:val="single" w:color="auto" w:sz="4" w:space="0"/>
              <w:left w:val="single" w:color="auto" w:sz="4" w:space="0"/>
              <w:bottom w:val="single" w:color="auto" w:sz="4" w:space="0"/>
              <w:right w:val="single" w:color="auto" w:sz="4" w:space="0"/>
            </w:tcBorders>
            <w:vAlign w:val="center"/>
          </w:tcPr>
          <w:p w14:paraId="2DC0699A">
            <w:pPr>
              <w:keepNext w:val="0"/>
              <w:keepLines w:val="0"/>
              <w:pageBreakBefore w:val="0"/>
              <w:wordWrap/>
              <w:overflowPunct/>
              <w:bidi w:val="0"/>
              <w:spacing w:line="240" w:lineRule="auto"/>
              <w:ind w:firstLine="0" w:firstLineChars="0"/>
              <w:jc w:val="center"/>
              <w:rPr>
                <w:rStyle w:val="269"/>
                <w:rFonts w:hint="eastAsia" w:ascii="仿宋" w:hAnsi="仿宋" w:eastAsia="仿宋" w:cs="仿宋"/>
                <w:b/>
                <w:bCs/>
                <w:color w:val="auto"/>
                <w:sz w:val="24"/>
                <w:szCs w:val="24"/>
                <w:highlight w:val="none"/>
                <w:lang w:eastAsia="zh-CN"/>
              </w:rPr>
            </w:pPr>
            <w:r>
              <w:rPr>
                <w:rStyle w:val="269"/>
                <w:rFonts w:hint="eastAsia" w:ascii="仿宋" w:hAnsi="仿宋" w:eastAsia="仿宋" w:cs="仿宋"/>
                <w:b/>
                <w:bCs/>
                <w:color w:val="auto"/>
                <w:sz w:val="24"/>
                <w:szCs w:val="24"/>
                <w:highlight w:val="none"/>
                <w:lang w:eastAsia="zh-CN"/>
              </w:rPr>
              <w:t>项目经理</w:t>
            </w:r>
            <w:r>
              <w:rPr>
                <w:rStyle w:val="269"/>
                <w:rFonts w:hint="eastAsia" w:ascii="仿宋" w:hAnsi="仿宋" w:eastAsia="仿宋" w:cs="仿宋"/>
                <w:b/>
                <w:bCs/>
                <w:color w:val="auto"/>
                <w:sz w:val="24"/>
                <w:szCs w:val="24"/>
                <w:highlight w:val="none"/>
                <w:lang w:val="en-US" w:eastAsia="zh-CN"/>
              </w:rPr>
              <w:t>职称</w:t>
            </w:r>
          </w:p>
        </w:tc>
        <w:tc>
          <w:tcPr>
            <w:tcW w:w="3736" w:type="pct"/>
            <w:tcBorders>
              <w:top w:val="single" w:color="auto" w:sz="4" w:space="0"/>
              <w:left w:val="single" w:color="auto" w:sz="4" w:space="0"/>
              <w:bottom w:val="single" w:color="auto" w:sz="4" w:space="0"/>
              <w:right w:val="single" w:color="auto" w:sz="4" w:space="0"/>
            </w:tcBorders>
            <w:vAlign w:val="center"/>
          </w:tcPr>
          <w:p w14:paraId="134F439E">
            <w:pPr>
              <w:spacing w:line="240" w:lineRule="auto"/>
              <w:ind w:left="0" w:leftChars="0" w:firstLine="0" w:firstLineChars="0"/>
              <w:jc w:val="left"/>
              <w:rPr>
                <w:rFonts w:hint="eastAsia"/>
                <w:color w:val="auto"/>
                <w:sz w:val="24"/>
                <w:szCs w:val="24"/>
                <w:highlight w:val="none"/>
                <w:lang w:val="en-US" w:eastAsia="zh-CN"/>
              </w:rPr>
            </w:pPr>
            <w:r>
              <w:rPr>
                <w:rFonts w:hint="eastAsia"/>
                <w:color w:val="auto"/>
                <w:sz w:val="24"/>
                <w:szCs w:val="24"/>
                <w:highlight w:val="none"/>
                <w:lang w:val="en-US" w:eastAsia="zh-CN"/>
              </w:rPr>
              <w:t>拟派项目经理具有水利水电工程专业或机电工程专业或电子信息工程专业高级及以上技术职称证书的得3分，具有水利水电工程专业或机电工程专业或电子信息工程专业中级技术职称证书的得2分，最多得3分。</w:t>
            </w:r>
          </w:p>
          <w:p w14:paraId="63107A7A">
            <w:pPr>
              <w:pStyle w:val="13"/>
              <w:keepNext w:val="0"/>
              <w:keepLines w:val="0"/>
              <w:pageBreakBefore w:val="0"/>
              <w:wordWrap/>
              <w:overflowPunct/>
              <w:bidi w:val="0"/>
              <w:ind w:left="0" w:leftChars="0" w:firstLine="0" w:firstLineChars="0"/>
              <w:jc w:val="left"/>
              <w:rPr>
                <w:rFonts w:hint="eastAsia" w:ascii="仿宋" w:hAnsi="仿宋" w:eastAsia="仿宋" w:cs="仿宋"/>
                <w:color w:val="auto"/>
                <w:sz w:val="24"/>
                <w:szCs w:val="24"/>
                <w:highlight w:val="none"/>
                <w:lang w:val="en-US" w:eastAsia="zh-CN"/>
              </w:rPr>
            </w:pPr>
            <w:r>
              <w:rPr>
                <w:rStyle w:val="269"/>
                <w:rFonts w:hint="eastAsia" w:ascii="仿宋" w:hAnsi="仿宋" w:eastAsia="仿宋" w:cs="仿宋"/>
                <w:b/>
                <w:bCs/>
                <w:color w:val="auto"/>
                <w:sz w:val="24"/>
                <w:szCs w:val="24"/>
                <w:highlight w:val="none"/>
                <w:lang w:val="en-US" w:eastAsia="zh-CN"/>
              </w:rPr>
              <w:t>注：响应文件中须提供项目经理职称证书扫描件。</w:t>
            </w:r>
          </w:p>
        </w:tc>
        <w:tc>
          <w:tcPr>
            <w:tcW w:w="337" w:type="pct"/>
            <w:tcBorders>
              <w:top w:val="single" w:color="auto" w:sz="4" w:space="0"/>
              <w:left w:val="single" w:color="auto" w:sz="4" w:space="0"/>
              <w:bottom w:val="single" w:color="auto" w:sz="4" w:space="0"/>
              <w:right w:val="single" w:color="auto" w:sz="4" w:space="0"/>
            </w:tcBorders>
            <w:vAlign w:val="center"/>
          </w:tcPr>
          <w:p w14:paraId="116017D7">
            <w:pPr>
              <w:keepNext w:val="0"/>
              <w:keepLines w:val="0"/>
              <w:pageBreakBefore w:val="0"/>
              <w:wordWrap/>
              <w:overflowPunct/>
              <w:bidi w:val="0"/>
              <w:spacing w:line="240" w:lineRule="auto"/>
              <w:ind w:firstLine="0" w:firstLineChars="0"/>
              <w:jc w:val="center"/>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w:t>
            </w:r>
          </w:p>
          <w:p w14:paraId="1A091B62">
            <w:pPr>
              <w:keepNext w:val="0"/>
              <w:keepLines w:val="0"/>
              <w:pageBreakBefore w:val="0"/>
              <w:wordWrap/>
              <w:overflowPunct/>
              <w:bidi w:val="0"/>
              <w:spacing w:line="240" w:lineRule="auto"/>
              <w:ind w:firstLine="0" w:firstLineChars="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分</w:t>
            </w:r>
          </w:p>
        </w:tc>
      </w:tr>
      <w:tr w14:paraId="604B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925" w:type="pct"/>
            <w:tcBorders>
              <w:left w:val="single" w:color="auto" w:sz="4" w:space="0"/>
              <w:right w:val="single" w:color="auto" w:sz="4" w:space="0"/>
            </w:tcBorders>
            <w:vAlign w:val="center"/>
          </w:tcPr>
          <w:p w14:paraId="3F931017">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供应商认证证书</w:t>
            </w:r>
          </w:p>
        </w:tc>
        <w:tc>
          <w:tcPr>
            <w:tcW w:w="3736" w:type="pct"/>
            <w:tcBorders>
              <w:top w:val="single" w:color="auto" w:sz="4" w:space="0"/>
              <w:left w:val="single" w:color="auto" w:sz="4" w:space="0"/>
              <w:bottom w:val="single" w:color="auto" w:sz="4" w:space="0"/>
              <w:right w:val="single" w:color="auto" w:sz="4" w:space="0"/>
            </w:tcBorders>
            <w:vAlign w:val="center"/>
          </w:tcPr>
          <w:p w14:paraId="3A01EDDE">
            <w:pPr>
              <w:keepNext w:val="0"/>
              <w:keepLines w:val="0"/>
              <w:pageBreakBefore w:val="0"/>
              <w:wordWrap/>
              <w:overflowPunct/>
              <w:bidi w:val="0"/>
              <w:spacing w:line="240" w:lineRule="auto"/>
              <w:ind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供应商每具有1项以下证书的得1分，最多得5分：</w:t>
            </w:r>
          </w:p>
          <w:p w14:paraId="3AACC0A9">
            <w:pPr>
              <w:keepNext w:val="0"/>
              <w:keepLines w:val="0"/>
              <w:pageBreakBefore w:val="0"/>
              <w:wordWrap/>
              <w:overflowPunct/>
              <w:bidi w:val="0"/>
              <w:spacing w:line="240" w:lineRule="auto"/>
              <w:ind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（1）质量管理体系认证证书</w:t>
            </w:r>
          </w:p>
          <w:p w14:paraId="362AC48C">
            <w:pPr>
              <w:keepNext w:val="0"/>
              <w:keepLines w:val="0"/>
              <w:pageBreakBefore w:val="0"/>
              <w:wordWrap/>
              <w:overflowPunct/>
              <w:bidi w:val="0"/>
              <w:spacing w:line="240" w:lineRule="auto"/>
              <w:ind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（2）环境管理体系认证证书</w:t>
            </w:r>
          </w:p>
          <w:p w14:paraId="5AC037A6">
            <w:pPr>
              <w:keepNext w:val="0"/>
              <w:keepLines w:val="0"/>
              <w:pageBreakBefore w:val="0"/>
              <w:wordWrap/>
              <w:overflowPunct/>
              <w:bidi w:val="0"/>
              <w:spacing w:line="240" w:lineRule="auto"/>
              <w:ind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（3）职业健康安全管理体系认证证书</w:t>
            </w:r>
          </w:p>
          <w:p w14:paraId="5320CD72">
            <w:pPr>
              <w:keepNext w:val="0"/>
              <w:keepLines w:val="0"/>
              <w:pageBreakBefore w:val="0"/>
              <w:wordWrap/>
              <w:overflowPunct/>
              <w:bidi w:val="0"/>
              <w:spacing w:line="240" w:lineRule="auto"/>
              <w:ind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（4）信息技术服务管理体系</w:t>
            </w:r>
          </w:p>
          <w:p w14:paraId="627CABAE">
            <w:pPr>
              <w:keepNext w:val="0"/>
              <w:keepLines w:val="0"/>
              <w:pageBreakBefore w:val="0"/>
              <w:wordWrap/>
              <w:overflowPunct/>
              <w:bidi w:val="0"/>
              <w:spacing w:line="240" w:lineRule="auto"/>
              <w:ind w:firstLine="0" w:firstLineChars="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（5）信息技术安全管理体系</w:t>
            </w:r>
          </w:p>
          <w:p w14:paraId="346396C3">
            <w:pPr>
              <w:keepNext w:val="0"/>
              <w:keepLines w:val="0"/>
              <w:pageBreakBefore w:val="0"/>
              <w:wordWrap/>
              <w:overflowPunct/>
              <w:bidi w:val="0"/>
              <w:spacing w:line="240" w:lineRule="auto"/>
              <w:ind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注：以上证书应为经中国国家认证认可监督管理委员会认可的认证机构颁发的认证证书，提供证书扫描件及全国认证认可信息公共服务平台网站证书查询截图，否则不得分。</w:t>
            </w:r>
          </w:p>
        </w:tc>
        <w:tc>
          <w:tcPr>
            <w:tcW w:w="337" w:type="pct"/>
            <w:tcBorders>
              <w:left w:val="single" w:color="auto" w:sz="4" w:space="0"/>
              <w:right w:val="single" w:color="auto" w:sz="4" w:space="0"/>
            </w:tcBorders>
            <w:vAlign w:val="center"/>
          </w:tcPr>
          <w:p w14:paraId="746A3CBC">
            <w:pPr>
              <w:keepNext w:val="0"/>
              <w:keepLines w:val="0"/>
              <w:pageBreakBefore w:val="0"/>
              <w:wordWrap/>
              <w:overflowPunct/>
              <w:bidi w:val="0"/>
              <w:spacing w:line="240" w:lineRule="auto"/>
              <w:ind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010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25" w:type="pct"/>
            <w:tcBorders>
              <w:left w:val="single" w:color="auto" w:sz="4" w:space="0"/>
              <w:right w:val="single" w:color="auto" w:sz="4" w:space="0"/>
            </w:tcBorders>
            <w:vAlign w:val="center"/>
          </w:tcPr>
          <w:p w14:paraId="108937AD">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项目组成员（除项目负责人外）</w:t>
            </w:r>
          </w:p>
        </w:tc>
        <w:tc>
          <w:tcPr>
            <w:tcW w:w="3736" w:type="pct"/>
            <w:tcBorders>
              <w:top w:val="single" w:color="auto" w:sz="4" w:space="0"/>
              <w:left w:val="single" w:color="auto" w:sz="4" w:space="0"/>
              <w:bottom w:val="single" w:color="auto" w:sz="4" w:space="0"/>
              <w:right w:val="single" w:color="auto" w:sz="4" w:space="0"/>
            </w:tcBorders>
            <w:vAlign w:val="center"/>
          </w:tcPr>
          <w:p w14:paraId="2530E7B4">
            <w:pPr>
              <w:keepNext w:val="0"/>
              <w:keepLines w:val="0"/>
              <w:pageBreakBefore w:val="0"/>
              <w:wordWrap/>
              <w:overflowPunct/>
              <w:bidi w:val="0"/>
              <w:spacing w:line="240" w:lineRule="auto"/>
              <w:ind w:firstLine="0" w:firstLineChars="0"/>
              <w:jc w:val="left"/>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结合项目实际情况，考虑施工作业特定，保障施工作业安全，根据供应商投入人员数量、专业、学历、职称结构等进行综合评审：</w:t>
            </w:r>
          </w:p>
          <w:p w14:paraId="0BFC4EE4">
            <w:pPr>
              <w:keepNext w:val="0"/>
              <w:keepLines w:val="0"/>
              <w:pageBreakBefore w:val="0"/>
              <w:wordWrap/>
              <w:overflowPunct/>
              <w:bidi w:val="0"/>
              <w:spacing w:line="240" w:lineRule="auto"/>
              <w:ind w:firstLine="0" w:firstLineChars="0"/>
              <w:jc w:val="left"/>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人员配备数量充足、专业齐全、完全满足项目采购需求的得</w:t>
            </w:r>
            <w:r>
              <w:rPr>
                <w:rFonts w:hint="eastAsia" w:ascii="仿宋" w:hAnsi="仿宋" w:eastAsia="仿宋" w:cs="仿宋"/>
                <w:color w:val="auto"/>
                <w:sz w:val="24"/>
                <w:szCs w:val="24"/>
                <w:highlight w:val="none"/>
                <w:lang w:val="en-US" w:eastAsia="zh-CN"/>
              </w:rPr>
              <w:t>5</w:t>
            </w:r>
            <w:r>
              <w:rPr>
                <w:rFonts w:hint="default" w:ascii="仿宋" w:hAnsi="仿宋" w:eastAsia="仿宋" w:cs="仿宋"/>
                <w:color w:val="auto"/>
                <w:sz w:val="24"/>
                <w:szCs w:val="24"/>
                <w:highlight w:val="none"/>
                <w:lang w:val="en-US" w:eastAsia="zh-CN"/>
              </w:rPr>
              <w:t>分，人员配备数量较充足、专业较齐全、满足项目采购需求的得</w:t>
            </w:r>
            <w:r>
              <w:rPr>
                <w:rFonts w:hint="eastAsia" w:ascii="仿宋" w:hAnsi="仿宋" w:eastAsia="仿宋" w:cs="仿宋"/>
                <w:color w:val="auto"/>
                <w:sz w:val="24"/>
                <w:szCs w:val="24"/>
                <w:highlight w:val="none"/>
                <w:lang w:val="en-US" w:eastAsia="zh-CN"/>
              </w:rPr>
              <w:t>3</w:t>
            </w:r>
            <w:r>
              <w:rPr>
                <w:rFonts w:hint="default" w:ascii="仿宋" w:hAnsi="仿宋" w:eastAsia="仿宋" w:cs="仿宋"/>
                <w:color w:val="auto"/>
                <w:sz w:val="24"/>
                <w:szCs w:val="24"/>
                <w:highlight w:val="none"/>
                <w:lang w:val="en-US" w:eastAsia="zh-CN"/>
              </w:rPr>
              <w:t>分，人员配备数量有待补充、专业搭配有待完善、基本满足项目采购需求的得</w:t>
            </w:r>
            <w:r>
              <w:rPr>
                <w:rFonts w:hint="eastAsia" w:ascii="仿宋" w:hAnsi="仿宋" w:eastAsia="仿宋" w:cs="仿宋"/>
                <w:color w:val="auto"/>
                <w:sz w:val="24"/>
                <w:szCs w:val="24"/>
                <w:highlight w:val="none"/>
                <w:lang w:val="en-US" w:eastAsia="zh-CN"/>
              </w:rPr>
              <w:t>1</w:t>
            </w:r>
            <w:r>
              <w:rPr>
                <w:rFonts w:hint="default" w:ascii="仿宋" w:hAnsi="仿宋" w:eastAsia="仿宋" w:cs="仿宋"/>
                <w:color w:val="auto"/>
                <w:sz w:val="24"/>
                <w:szCs w:val="24"/>
                <w:highlight w:val="none"/>
                <w:lang w:val="en-US" w:eastAsia="zh-CN"/>
              </w:rPr>
              <w:t>分，人员配备数量较少、专业配备单一的得</w:t>
            </w:r>
            <w:r>
              <w:rPr>
                <w:rFonts w:hint="eastAsia" w:ascii="仿宋" w:hAnsi="仿宋" w:eastAsia="仿宋" w:cs="仿宋"/>
                <w:color w:val="auto"/>
                <w:sz w:val="24"/>
                <w:szCs w:val="24"/>
                <w:highlight w:val="none"/>
                <w:lang w:val="en-US" w:eastAsia="zh-CN"/>
              </w:rPr>
              <w:t>0</w:t>
            </w:r>
            <w:r>
              <w:rPr>
                <w:rFonts w:hint="default" w:ascii="仿宋" w:hAnsi="仿宋" w:eastAsia="仿宋" w:cs="仿宋"/>
                <w:color w:val="auto"/>
                <w:sz w:val="24"/>
                <w:szCs w:val="24"/>
                <w:highlight w:val="none"/>
                <w:lang w:val="en-US" w:eastAsia="zh-CN"/>
              </w:rPr>
              <w:t>分。</w:t>
            </w:r>
          </w:p>
          <w:p w14:paraId="061663A3">
            <w:pPr>
              <w:keepNext w:val="0"/>
              <w:keepLines w:val="0"/>
              <w:pageBreakBefore w:val="0"/>
              <w:wordWrap/>
              <w:overflowPunct/>
              <w:bidi w:val="0"/>
              <w:spacing w:line="240" w:lineRule="auto"/>
              <w:ind w:firstLine="0" w:firstLineChars="0"/>
              <w:jc w:val="left"/>
              <w:rPr>
                <w:rFonts w:hint="eastAsia" w:ascii="仿宋" w:hAnsi="仿宋" w:eastAsia="仿宋" w:cs="仿宋"/>
                <w:bCs w:val="0"/>
                <w:color w:val="auto"/>
                <w:kern w:val="2"/>
                <w:sz w:val="24"/>
                <w:szCs w:val="24"/>
                <w:highlight w:val="none"/>
                <w:lang w:val="en-US" w:eastAsia="zh-CN"/>
              </w:rPr>
            </w:pPr>
            <w:r>
              <w:rPr>
                <w:rFonts w:hint="default" w:ascii="仿宋" w:hAnsi="仿宋" w:eastAsia="仿宋" w:cs="仿宋"/>
                <w:b/>
                <w:bCs/>
                <w:color w:val="auto"/>
                <w:sz w:val="24"/>
                <w:szCs w:val="24"/>
                <w:highlight w:val="none"/>
                <w:lang w:val="en-US" w:eastAsia="zh-CN"/>
              </w:rPr>
              <w:t>注：</w:t>
            </w:r>
            <w:r>
              <w:rPr>
                <w:rFonts w:hint="eastAsia" w:ascii="仿宋" w:hAnsi="仿宋" w:eastAsia="仿宋" w:cs="仿宋"/>
                <w:b/>
                <w:bCs/>
                <w:color w:val="auto"/>
                <w:sz w:val="24"/>
                <w:szCs w:val="24"/>
                <w:highlight w:val="none"/>
                <w:lang w:val="en-US" w:eastAsia="zh-CN"/>
              </w:rPr>
              <w:t>①</w:t>
            </w:r>
            <w:r>
              <w:rPr>
                <w:rFonts w:hint="default" w:ascii="仿宋" w:hAnsi="仿宋" w:eastAsia="仿宋" w:cs="仿宋"/>
                <w:b/>
                <w:bCs/>
                <w:color w:val="auto"/>
                <w:sz w:val="24"/>
                <w:szCs w:val="24"/>
                <w:highlight w:val="none"/>
                <w:lang w:val="en-US" w:eastAsia="zh-CN"/>
              </w:rPr>
              <w:t>响应文件中须提供学历证书、职称证书等扫描件，未提供不得分。</w:t>
            </w:r>
            <w:r>
              <w:rPr>
                <w:rFonts w:hint="eastAsia" w:ascii="仿宋" w:hAnsi="仿宋" w:eastAsia="仿宋" w:cs="仿宋"/>
                <w:b/>
                <w:bCs/>
                <w:color w:val="auto"/>
                <w:sz w:val="24"/>
                <w:szCs w:val="24"/>
                <w:highlight w:val="none"/>
                <w:lang w:val="en-US" w:eastAsia="zh-CN"/>
              </w:rPr>
              <w:t>②响应文件中须提供供应商为项目组</w:t>
            </w:r>
            <w:r>
              <w:rPr>
                <w:rFonts w:hint="default" w:ascii="仿宋" w:hAnsi="仿宋" w:eastAsia="仿宋" w:cs="仿宋"/>
                <w:b/>
                <w:bCs/>
                <w:color w:val="auto"/>
                <w:sz w:val="24"/>
                <w:szCs w:val="24"/>
                <w:highlight w:val="none"/>
                <w:lang w:val="en-US" w:eastAsia="zh-CN"/>
              </w:rPr>
              <w:t>成员</w:t>
            </w:r>
            <w:r>
              <w:rPr>
                <w:rFonts w:hint="eastAsia" w:ascii="仿宋" w:hAnsi="仿宋" w:eastAsia="仿宋" w:cs="仿宋"/>
                <w:b/>
                <w:bCs/>
                <w:color w:val="auto"/>
                <w:sz w:val="24"/>
                <w:szCs w:val="24"/>
                <w:highlight w:val="none"/>
                <w:lang w:val="en-US" w:eastAsia="zh-CN"/>
              </w:rPr>
              <w:t>缴纳的2025年6月以来任意一个月的社保证明材料（至少包含养老保险）。项目组人员的社会保险的缴纳单位应当是供应商或者供应商不具备独立法人资格的分支机构</w:t>
            </w:r>
            <w:r>
              <w:rPr>
                <w:rFonts w:hint="eastAsia" w:ascii="仿宋" w:hAnsi="仿宋" w:eastAsia="仿宋" w:cs="仿宋"/>
                <w:color w:val="auto"/>
                <w:sz w:val="24"/>
                <w:szCs w:val="24"/>
                <w:highlight w:val="none"/>
                <w:lang w:val="en-US" w:eastAsia="zh-CN"/>
              </w:rPr>
              <w:t>。</w:t>
            </w:r>
          </w:p>
        </w:tc>
        <w:tc>
          <w:tcPr>
            <w:tcW w:w="337" w:type="pct"/>
            <w:tcBorders>
              <w:left w:val="single" w:color="auto" w:sz="4" w:space="0"/>
              <w:right w:val="single" w:color="auto" w:sz="4" w:space="0"/>
            </w:tcBorders>
            <w:vAlign w:val="center"/>
          </w:tcPr>
          <w:p w14:paraId="1E42B3CD">
            <w:pPr>
              <w:keepNext w:val="0"/>
              <w:keepLines w:val="0"/>
              <w:pageBreakBefore w:val="0"/>
              <w:wordWrap/>
              <w:overflowPunct/>
              <w:bidi w:val="0"/>
              <w:spacing w:line="240" w:lineRule="auto"/>
              <w:ind w:firstLine="0" w:firstLineChars="0"/>
              <w:jc w:val="center"/>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5分</w:t>
            </w:r>
          </w:p>
        </w:tc>
      </w:tr>
      <w:tr w14:paraId="02D1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left w:val="single" w:color="auto" w:sz="4" w:space="0"/>
              <w:right w:val="single" w:color="auto" w:sz="4" w:space="0"/>
            </w:tcBorders>
            <w:shd w:val="clear" w:color="auto" w:fill="auto"/>
            <w:vAlign w:val="top"/>
          </w:tcPr>
          <w:p w14:paraId="08449A66">
            <w:pPr>
              <w:keepNext w:val="0"/>
              <w:keepLines w:val="0"/>
              <w:pageBreakBefore w:val="0"/>
              <w:widowControl/>
              <w:kinsoku w:val="0"/>
              <w:wordWrap/>
              <w:overflowPunct/>
              <w:topLinePunct w:val="0"/>
              <w:autoSpaceDE w:val="0"/>
              <w:autoSpaceDN w:val="0"/>
              <w:bidi w:val="0"/>
              <w:adjustRightInd w:val="0"/>
              <w:snapToGrid w:val="0"/>
              <w:spacing w:line="246" w:lineRule="auto"/>
              <w:ind w:firstLine="0" w:firstLineChars="0"/>
              <w:jc w:val="left"/>
              <w:textAlignment w:val="baseline"/>
              <w:rPr>
                <w:rFonts w:hint="eastAsia" w:ascii="仿宋" w:hAnsi="仿宋" w:eastAsia="仿宋" w:cs="仿宋"/>
                <w:b w:val="0"/>
                <w:bCs w:val="0"/>
                <w:snapToGrid w:val="0"/>
                <w:color w:val="auto"/>
                <w:kern w:val="0"/>
                <w:sz w:val="24"/>
                <w:szCs w:val="24"/>
                <w:highlight w:val="none"/>
                <w:lang w:eastAsia="en-US"/>
              </w:rPr>
            </w:pPr>
          </w:p>
          <w:p w14:paraId="7E78D9BA">
            <w:pPr>
              <w:keepNext w:val="0"/>
              <w:keepLines w:val="0"/>
              <w:pageBreakBefore w:val="0"/>
              <w:kinsoku w:val="0"/>
              <w:wordWrap/>
              <w:overflowPunct/>
              <w:topLinePunct w:val="0"/>
              <w:autoSpaceDE w:val="0"/>
              <w:autoSpaceDN w:val="0"/>
              <w:bidi w:val="0"/>
              <w:adjustRightInd w:val="0"/>
              <w:snapToGrid w:val="0"/>
              <w:spacing w:before="68" w:line="220" w:lineRule="auto"/>
              <w:ind w:firstLine="0" w:firstLineChars="0"/>
              <w:jc w:val="center"/>
              <w:textAlignment w:val="baseline"/>
              <w:rPr>
                <w:rFonts w:hint="eastAsia" w:ascii="仿宋" w:hAnsi="仿宋" w:eastAsia="仿宋" w:cs="仿宋"/>
                <w:b/>
                <w:bCs/>
                <w:color w:val="auto"/>
                <w:sz w:val="24"/>
                <w:szCs w:val="24"/>
                <w:highlight w:val="none"/>
                <w:lang w:val="zh-CN" w:bidi="ar"/>
              </w:rPr>
            </w:pPr>
          </w:p>
          <w:p w14:paraId="79E9BA76">
            <w:pPr>
              <w:keepNext w:val="0"/>
              <w:keepLines w:val="0"/>
              <w:pageBreakBefore w:val="0"/>
              <w:kinsoku w:val="0"/>
              <w:wordWrap/>
              <w:overflowPunct/>
              <w:topLinePunct w:val="0"/>
              <w:autoSpaceDE w:val="0"/>
              <w:autoSpaceDN w:val="0"/>
              <w:bidi w:val="0"/>
              <w:adjustRightInd w:val="0"/>
              <w:snapToGrid w:val="0"/>
              <w:spacing w:before="68" w:line="220" w:lineRule="auto"/>
              <w:ind w:firstLine="0" w:firstLineChars="0"/>
              <w:jc w:val="center"/>
              <w:textAlignment w:val="baseline"/>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zh-CN" w:bidi="ar"/>
              </w:rPr>
              <w:t>主要施工方案与技术措施</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513E8D1E">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3E619EB1">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bidi="ar"/>
              </w:rPr>
              <w:t>适应</w:t>
            </w:r>
            <w:r>
              <w:rPr>
                <w:rFonts w:hint="eastAsia" w:ascii="仿宋" w:hAnsi="仿宋" w:eastAsia="仿宋" w:cs="仿宋"/>
                <w:color w:val="auto"/>
                <w:sz w:val="24"/>
                <w:szCs w:val="24"/>
                <w:highlight w:val="none"/>
                <w:lang w:val="zh-CN" w:bidi="ar"/>
              </w:rPr>
              <w:t>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46AC2ED8">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全面、要点</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突出、针对性</w:t>
            </w:r>
            <w:r>
              <w:rPr>
                <w:rFonts w:hint="eastAsia" w:ascii="仿宋" w:hAnsi="仿宋" w:eastAsia="仿宋" w:cs="仿宋"/>
                <w:color w:val="auto"/>
                <w:sz w:val="24"/>
                <w:szCs w:val="24"/>
                <w:highlight w:val="none"/>
                <w:lang w:bidi="ar"/>
              </w:rPr>
              <w:t>不强</w:t>
            </w:r>
            <w:r>
              <w:rPr>
                <w:rFonts w:hint="eastAsia" w:ascii="仿宋" w:hAnsi="仿宋" w:eastAsia="仿宋" w:cs="仿宋"/>
                <w:color w:val="auto"/>
                <w:sz w:val="24"/>
                <w:szCs w:val="24"/>
                <w:highlight w:val="none"/>
                <w:lang w:val="zh-CN" w:bidi="ar"/>
              </w:rPr>
              <w:t>，内容</w:t>
            </w:r>
            <w:r>
              <w:rPr>
                <w:rFonts w:hint="eastAsia" w:ascii="仿宋" w:hAnsi="仿宋" w:eastAsia="仿宋" w:cs="仿宋"/>
                <w:color w:val="auto"/>
                <w:sz w:val="24"/>
                <w:szCs w:val="24"/>
                <w:highlight w:val="none"/>
                <w:lang w:bidi="ar"/>
              </w:rPr>
              <w:t>不完整</w:t>
            </w:r>
            <w:r>
              <w:rPr>
                <w:rFonts w:hint="eastAsia" w:ascii="仿宋" w:hAnsi="仿宋" w:eastAsia="仿宋" w:cs="仿宋"/>
                <w:color w:val="auto"/>
                <w:sz w:val="24"/>
                <w:szCs w:val="24"/>
                <w:highlight w:val="none"/>
                <w:lang w:val="zh-CN" w:bidi="ar"/>
              </w:rPr>
              <w:t>，表述</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清晰，与本项目实际需求</w:t>
            </w:r>
            <w:r>
              <w:rPr>
                <w:rFonts w:hint="eastAsia" w:ascii="仿宋" w:hAnsi="仿宋" w:eastAsia="仿宋" w:cs="仿宋"/>
                <w:color w:val="auto"/>
                <w:sz w:val="24"/>
                <w:szCs w:val="24"/>
                <w:highlight w:val="none"/>
                <w:lang w:bidi="ar"/>
              </w:rPr>
              <w:t>不适应</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46E8693A">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val="zh-CN" w:bidi="ar"/>
              </w:rPr>
              <w:t>）未提供的不得分。</w:t>
            </w:r>
          </w:p>
          <w:p w14:paraId="15A47091">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eastAsia="zh-CN" w:bidi="ar"/>
              </w:rPr>
            </w:pP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42AAABCC">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2074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left w:val="single" w:color="auto" w:sz="4" w:space="0"/>
              <w:right w:val="single" w:color="auto" w:sz="4" w:space="0"/>
            </w:tcBorders>
            <w:shd w:val="clear" w:color="auto" w:fill="auto"/>
            <w:vAlign w:val="center"/>
          </w:tcPr>
          <w:p w14:paraId="1AA244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水闸自动化系统调试方案</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1B13A85D">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5BF9A78D">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bidi="ar"/>
              </w:rPr>
              <w:t>适应</w:t>
            </w:r>
            <w:r>
              <w:rPr>
                <w:rFonts w:hint="eastAsia" w:ascii="仿宋" w:hAnsi="仿宋" w:eastAsia="仿宋" w:cs="仿宋"/>
                <w:color w:val="auto"/>
                <w:sz w:val="24"/>
                <w:szCs w:val="24"/>
                <w:highlight w:val="none"/>
                <w:lang w:val="zh-CN" w:bidi="ar"/>
              </w:rPr>
              <w:t>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7EA2FA82">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全面、要点</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突出、针对性</w:t>
            </w:r>
            <w:r>
              <w:rPr>
                <w:rFonts w:hint="eastAsia" w:ascii="仿宋" w:hAnsi="仿宋" w:eastAsia="仿宋" w:cs="仿宋"/>
                <w:color w:val="auto"/>
                <w:sz w:val="24"/>
                <w:szCs w:val="24"/>
                <w:highlight w:val="none"/>
                <w:lang w:bidi="ar"/>
              </w:rPr>
              <w:t>不强</w:t>
            </w:r>
            <w:r>
              <w:rPr>
                <w:rFonts w:hint="eastAsia" w:ascii="仿宋" w:hAnsi="仿宋" w:eastAsia="仿宋" w:cs="仿宋"/>
                <w:color w:val="auto"/>
                <w:sz w:val="24"/>
                <w:szCs w:val="24"/>
                <w:highlight w:val="none"/>
                <w:lang w:val="zh-CN" w:bidi="ar"/>
              </w:rPr>
              <w:t>，内容</w:t>
            </w:r>
            <w:r>
              <w:rPr>
                <w:rFonts w:hint="eastAsia" w:ascii="仿宋" w:hAnsi="仿宋" w:eastAsia="仿宋" w:cs="仿宋"/>
                <w:color w:val="auto"/>
                <w:sz w:val="24"/>
                <w:szCs w:val="24"/>
                <w:highlight w:val="none"/>
                <w:lang w:bidi="ar"/>
              </w:rPr>
              <w:t>不完整</w:t>
            </w:r>
            <w:r>
              <w:rPr>
                <w:rFonts w:hint="eastAsia" w:ascii="仿宋" w:hAnsi="仿宋" w:eastAsia="仿宋" w:cs="仿宋"/>
                <w:color w:val="auto"/>
                <w:sz w:val="24"/>
                <w:szCs w:val="24"/>
                <w:highlight w:val="none"/>
                <w:lang w:val="zh-CN" w:bidi="ar"/>
              </w:rPr>
              <w:t>，表述</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清晰，与本项目实际需求</w:t>
            </w:r>
            <w:r>
              <w:rPr>
                <w:rFonts w:hint="eastAsia" w:ascii="仿宋" w:hAnsi="仿宋" w:eastAsia="仿宋" w:cs="仿宋"/>
                <w:color w:val="auto"/>
                <w:sz w:val="24"/>
                <w:szCs w:val="24"/>
                <w:highlight w:val="none"/>
                <w:lang w:bidi="ar"/>
              </w:rPr>
              <w:t>不适应</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7137CE39">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b/>
                <w:bCs/>
                <w:color w:val="auto"/>
                <w:kern w:val="2"/>
                <w:sz w:val="24"/>
                <w:szCs w:val="24"/>
                <w:highlight w:val="none"/>
                <w:lang w:val="zh-CN" w:eastAsia="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val="zh-CN" w:bidi="ar"/>
              </w:rPr>
              <w:t>）未提供的不得分。</w:t>
            </w: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3C4BFDB2">
            <w:pPr>
              <w:keepNext w:val="0"/>
              <w:keepLines w:val="0"/>
              <w:pageBreakBefore w:val="0"/>
              <w:wordWrap/>
              <w:overflowPunct/>
              <w:bidi w:val="0"/>
              <w:spacing w:line="240" w:lineRule="auto"/>
              <w:ind w:firstLine="0" w:firstLine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12BD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5" w:type="pct"/>
            <w:tcBorders>
              <w:left w:val="single" w:color="auto" w:sz="4" w:space="0"/>
              <w:right w:val="single" w:color="auto" w:sz="4" w:space="0"/>
            </w:tcBorders>
            <w:shd w:val="clear" w:color="auto" w:fill="auto"/>
            <w:vAlign w:val="center"/>
          </w:tcPr>
          <w:p w14:paraId="64D3BA47">
            <w:pPr>
              <w:keepNext w:val="0"/>
              <w:keepLines w:val="0"/>
              <w:pageBreakBefore w:val="0"/>
              <w:kinsoku w:val="0"/>
              <w:wordWrap/>
              <w:overflowPunct/>
              <w:topLinePunct w:val="0"/>
              <w:autoSpaceDE w:val="0"/>
              <w:autoSpaceDN w:val="0"/>
              <w:bidi w:val="0"/>
              <w:adjustRightInd w:val="0"/>
              <w:snapToGrid w:val="0"/>
              <w:spacing w:before="68" w:line="220" w:lineRule="auto"/>
              <w:ind w:firstLine="0" w:firstLineChars="0"/>
              <w:jc w:val="center"/>
              <w:textAlignment w:val="baseline"/>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snapToGrid w:val="0"/>
                <w:color w:val="auto"/>
                <w:spacing w:val="2"/>
                <w:kern w:val="0"/>
                <w:sz w:val="24"/>
                <w:szCs w:val="24"/>
                <w:highlight w:val="none"/>
                <w:lang w:val="en-US" w:eastAsia="zh-CN" w:bidi="ar-SA"/>
              </w:rPr>
              <w:t>安全施工的技术组织措施</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7A1872B1">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4D333736">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bidi="ar"/>
              </w:rPr>
              <w:t>适应</w:t>
            </w:r>
            <w:r>
              <w:rPr>
                <w:rFonts w:hint="eastAsia" w:ascii="仿宋" w:hAnsi="仿宋" w:eastAsia="仿宋" w:cs="仿宋"/>
                <w:color w:val="auto"/>
                <w:sz w:val="24"/>
                <w:szCs w:val="24"/>
                <w:highlight w:val="none"/>
                <w:lang w:val="zh-CN" w:bidi="ar"/>
              </w:rPr>
              <w:t>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6F369B6A">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全面、要点</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突出、针对性</w:t>
            </w:r>
            <w:r>
              <w:rPr>
                <w:rFonts w:hint="eastAsia" w:ascii="仿宋" w:hAnsi="仿宋" w:eastAsia="仿宋" w:cs="仿宋"/>
                <w:color w:val="auto"/>
                <w:sz w:val="24"/>
                <w:szCs w:val="24"/>
                <w:highlight w:val="none"/>
                <w:lang w:bidi="ar"/>
              </w:rPr>
              <w:t>不强</w:t>
            </w:r>
            <w:r>
              <w:rPr>
                <w:rFonts w:hint="eastAsia" w:ascii="仿宋" w:hAnsi="仿宋" w:eastAsia="仿宋" w:cs="仿宋"/>
                <w:color w:val="auto"/>
                <w:sz w:val="24"/>
                <w:szCs w:val="24"/>
                <w:highlight w:val="none"/>
                <w:lang w:val="zh-CN" w:bidi="ar"/>
              </w:rPr>
              <w:t>，内容</w:t>
            </w:r>
            <w:r>
              <w:rPr>
                <w:rFonts w:hint="eastAsia" w:ascii="仿宋" w:hAnsi="仿宋" w:eastAsia="仿宋" w:cs="仿宋"/>
                <w:color w:val="auto"/>
                <w:sz w:val="24"/>
                <w:szCs w:val="24"/>
                <w:highlight w:val="none"/>
                <w:lang w:bidi="ar"/>
              </w:rPr>
              <w:t>不完整</w:t>
            </w:r>
            <w:r>
              <w:rPr>
                <w:rFonts w:hint="eastAsia" w:ascii="仿宋" w:hAnsi="仿宋" w:eastAsia="仿宋" w:cs="仿宋"/>
                <w:color w:val="auto"/>
                <w:sz w:val="24"/>
                <w:szCs w:val="24"/>
                <w:highlight w:val="none"/>
                <w:lang w:val="zh-CN" w:bidi="ar"/>
              </w:rPr>
              <w:t>，表述</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清晰，与本项目实际需求</w:t>
            </w:r>
            <w:r>
              <w:rPr>
                <w:rFonts w:hint="eastAsia" w:ascii="仿宋" w:hAnsi="仿宋" w:eastAsia="仿宋" w:cs="仿宋"/>
                <w:color w:val="auto"/>
                <w:sz w:val="24"/>
                <w:szCs w:val="24"/>
                <w:highlight w:val="none"/>
                <w:lang w:bidi="ar"/>
              </w:rPr>
              <w:t>不适应</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1E0F267E">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val="zh-CN" w:bidi="ar"/>
              </w:rPr>
              <w:t>）未提供的不得分。</w:t>
            </w:r>
          </w:p>
        </w:tc>
        <w:tc>
          <w:tcPr>
            <w:tcW w:w="337" w:type="pct"/>
            <w:tcBorders>
              <w:top w:val="single" w:color="auto" w:sz="4" w:space="0"/>
              <w:left w:val="single" w:color="auto" w:sz="4" w:space="0"/>
              <w:right w:val="single" w:color="auto" w:sz="4" w:space="0"/>
            </w:tcBorders>
            <w:shd w:val="clear" w:color="auto" w:fill="auto"/>
            <w:vAlign w:val="center"/>
          </w:tcPr>
          <w:p w14:paraId="0ABCF234">
            <w:pPr>
              <w:keepNext w:val="0"/>
              <w:keepLines w:val="0"/>
              <w:pageBreakBefore w:val="0"/>
              <w:wordWrap/>
              <w:overflowPunct/>
              <w:bidi w:val="0"/>
              <w:spacing w:line="240" w:lineRule="auto"/>
              <w:ind w:firstLine="0" w:firstLine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730B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left w:val="single" w:color="auto" w:sz="4" w:space="0"/>
              <w:bottom w:val="single" w:color="auto" w:sz="4" w:space="0"/>
              <w:right w:val="single" w:color="auto" w:sz="4" w:space="0"/>
            </w:tcBorders>
            <w:shd w:val="clear" w:color="auto" w:fill="auto"/>
            <w:vAlign w:val="top"/>
          </w:tcPr>
          <w:p w14:paraId="36EBFBD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en-US"/>
              </w:rPr>
              <w:t>工作进度计划及保证措施</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07DB1535">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6F503A89">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bidi="ar"/>
              </w:rPr>
              <w:t>适应</w:t>
            </w:r>
            <w:r>
              <w:rPr>
                <w:rFonts w:hint="eastAsia" w:ascii="仿宋" w:hAnsi="仿宋" w:eastAsia="仿宋" w:cs="仿宋"/>
                <w:color w:val="auto"/>
                <w:sz w:val="24"/>
                <w:szCs w:val="24"/>
                <w:highlight w:val="none"/>
                <w:lang w:val="zh-CN" w:bidi="ar"/>
              </w:rPr>
              <w:t>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19215699">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全面、要点</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突出、针对性</w:t>
            </w:r>
            <w:r>
              <w:rPr>
                <w:rFonts w:hint="eastAsia" w:ascii="仿宋" w:hAnsi="仿宋" w:eastAsia="仿宋" w:cs="仿宋"/>
                <w:color w:val="auto"/>
                <w:sz w:val="24"/>
                <w:szCs w:val="24"/>
                <w:highlight w:val="none"/>
                <w:lang w:bidi="ar"/>
              </w:rPr>
              <w:t>不强</w:t>
            </w:r>
            <w:r>
              <w:rPr>
                <w:rFonts w:hint="eastAsia" w:ascii="仿宋" w:hAnsi="仿宋" w:eastAsia="仿宋" w:cs="仿宋"/>
                <w:color w:val="auto"/>
                <w:sz w:val="24"/>
                <w:szCs w:val="24"/>
                <w:highlight w:val="none"/>
                <w:lang w:val="zh-CN" w:bidi="ar"/>
              </w:rPr>
              <w:t>，内容</w:t>
            </w:r>
            <w:r>
              <w:rPr>
                <w:rFonts w:hint="eastAsia" w:ascii="仿宋" w:hAnsi="仿宋" w:eastAsia="仿宋" w:cs="仿宋"/>
                <w:color w:val="auto"/>
                <w:sz w:val="24"/>
                <w:szCs w:val="24"/>
                <w:highlight w:val="none"/>
                <w:lang w:bidi="ar"/>
              </w:rPr>
              <w:t>不完整</w:t>
            </w:r>
            <w:r>
              <w:rPr>
                <w:rFonts w:hint="eastAsia" w:ascii="仿宋" w:hAnsi="仿宋" w:eastAsia="仿宋" w:cs="仿宋"/>
                <w:color w:val="auto"/>
                <w:sz w:val="24"/>
                <w:szCs w:val="24"/>
                <w:highlight w:val="none"/>
                <w:lang w:val="zh-CN" w:bidi="ar"/>
              </w:rPr>
              <w:t>，表述</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清晰，与本项目实际需求</w:t>
            </w:r>
            <w:r>
              <w:rPr>
                <w:rFonts w:hint="eastAsia" w:ascii="仿宋" w:hAnsi="仿宋" w:eastAsia="仿宋" w:cs="仿宋"/>
                <w:color w:val="auto"/>
                <w:sz w:val="24"/>
                <w:szCs w:val="24"/>
                <w:highlight w:val="none"/>
                <w:lang w:bidi="ar"/>
              </w:rPr>
              <w:t>不适应</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73117CF3">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val="zh-CN" w:bidi="ar"/>
              </w:rPr>
              <w:t>）未提供的不得分。</w:t>
            </w: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5D35BB2A">
            <w:pPr>
              <w:keepNext w:val="0"/>
              <w:keepLines w:val="0"/>
              <w:pageBreakBefore w:val="0"/>
              <w:wordWrap/>
              <w:overflowPunct/>
              <w:bidi w:val="0"/>
              <w:spacing w:line="240" w:lineRule="auto"/>
              <w:ind w:firstLine="0" w:firstLine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3757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left w:val="single" w:color="auto" w:sz="4" w:space="0"/>
              <w:bottom w:val="single" w:color="auto" w:sz="4" w:space="0"/>
              <w:right w:val="single" w:color="auto" w:sz="4" w:space="0"/>
            </w:tcBorders>
            <w:shd w:val="clear" w:color="auto" w:fill="auto"/>
            <w:vAlign w:val="top"/>
          </w:tcPr>
          <w:p w14:paraId="6FD010F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en-US"/>
              </w:rPr>
              <w:t>质量保证措施及控制体系</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4882BC59">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3828F4E6">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bidi="ar"/>
              </w:rPr>
              <w:t>适应</w:t>
            </w:r>
            <w:r>
              <w:rPr>
                <w:rFonts w:hint="eastAsia" w:ascii="仿宋" w:hAnsi="仿宋" w:eastAsia="仿宋" w:cs="仿宋"/>
                <w:color w:val="auto"/>
                <w:sz w:val="24"/>
                <w:szCs w:val="24"/>
                <w:highlight w:val="none"/>
                <w:lang w:val="zh-CN" w:bidi="ar"/>
              </w:rPr>
              <w:t>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4A03F27E">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全面、要点</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突出、针对性</w:t>
            </w:r>
            <w:r>
              <w:rPr>
                <w:rFonts w:hint="eastAsia" w:ascii="仿宋" w:hAnsi="仿宋" w:eastAsia="仿宋" w:cs="仿宋"/>
                <w:color w:val="auto"/>
                <w:sz w:val="24"/>
                <w:szCs w:val="24"/>
                <w:highlight w:val="none"/>
                <w:lang w:bidi="ar"/>
              </w:rPr>
              <w:t>不强</w:t>
            </w:r>
            <w:r>
              <w:rPr>
                <w:rFonts w:hint="eastAsia" w:ascii="仿宋" w:hAnsi="仿宋" w:eastAsia="仿宋" w:cs="仿宋"/>
                <w:color w:val="auto"/>
                <w:sz w:val="24"/>
                <w:szCs w:val="24"/>
                <w:highlight w:val="none"/>
                <w:lang w:val="zh-CN" w:bidi="ar"/>
              </w:rPr>
              <w:t>，内容</w:t>
            </w:r>
            <w:r>
              <w:rPr>
                <w:rFonts w:hint="eastAsia" w:ascii="仿宋" w:hAnsi="仿宋" w:eastAsia="仿宋" w:cs="仿宋"/>
                <w:color w:val="auto"/>
                <w:sz w:val="24"/>
                <w:szCs w:val="24"/>
                <w:highlight w:val="none"/>
                <w:lang w:bidi="ar"/>
              </w:rPr>
              <w:t>不完整</w:t>
            </w:r>
            <w:r>
              <w:rPr>
                <w:rFonts w:hint="eastAsia" w:ascii="仿宋" w:hAnsi="仿宋" w:eastAsia="仿宋" w:cs="仿宋"/>
                <w:color w:val="auto"/>
                <w:sz w:val="24"/>
                <w:szCs w:val="24"/>
                <w:highlight w:val="none"/>
                <w:lang w:val="zh-CN" w:bidi="ar"/>
              </w:rPr>
              <w:t>，表述</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清晰，与本项目实际需求</w:t>
            </w:r>
            <w:r>
              <w:rPr>
                <w:rFonts w:hint="eastAsia" w:ascii="仿宋" w:hAnsi="仿宋" w:eastAsia="仿宋" w:cs="仿宋"/>
                <w:color w:val="auto"/>
                <w:sz w:val="24"/>
                <w:szCs w:val="24"/>
                <w:highlight w:val="none"/>
                <w:lang w:bidi="ar"/>
              </w:rPr>
              <w:t>不适应</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346C15F7">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val="zh-CN" w:bidi="ar"/>
              </w:rPr>
              <w:t>）未提供的不得分。</w:t>
            </w: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1165799A">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26C8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left w:val="single" w:color="auto" w:sz="4" w:space="0"/>
              <w:bottom w:val="single" w:color="auto" w:sz="4" w:space="0"/>
              <w:right w:val="single" w:color="auto" w:sz="4" w:space="0"/>
            </w:tcBorders>
            <w:shd w:val="clear" w:color="auto" w:fill="auto"/>
            <w:vAlign w:val="top"/>
          </w:tcPr>
          <w:p w14:paraId="70C8DEF0">
            <w:pPr>
              <w:keepNext w:val="0"/>
              <w:keepLines w:val="0"/>
              <w:pageBreakBefore w:val="0"/>
              <w:kinsoku w:val="0"/>
              <w:wordWrap/>
              <w:overflowPunct/>
              <w:topLinePunct w:val="0"/>
              <w:autoSpaceDE w:val="0"/>
              <w:autoSpaceDN w:val="0"/>
              <w:bidi w:val="0"/>
              <w:adjustRightInd w:val="0"/>
              <w:snapToGrid w:val="0"/>
              <w:spacing w:before="299" w:line="220" w:lineRule="auto"/>
              <w:ind w:firstLine="0" w:firstLineChars="0"/>
              <w:jc w:val="center"/>
              <w:textAlignment w:val="baseline"/>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snapToGrid w:val="0"/>
                <w:color w:val="auto"/>
                <w:spacing w:val="-2"/>
                <w:kern w:val="0"/>
                <w:sz w:val="24"/>
                <w:szCs w:val="24"/>
                <w:highlight w:val="none"/>
                <w:lang w:val="en-US" w:eastAsia="en-US" w:bidi="ar-SA"/>
              </w:rPr>
              <w:t>运行维护方案</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0E8F8164">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432E2BC3">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bidi="ar"/>
              </w:rPr>
              <w:t>适应</w:t>
            </w:r>
            <w:r>
              <w:rPr>
                <w:rFonts w:hint="eastAsia" w:ascii="仿宋" w:hAnsi="仿宋" w:eastAsia="仿宋" w:cs="仿宋"/>
                <w:color w:val="auto"/>
                <w:sz w:val="24"/>
                <w:szCs w:val="24"/>
                <w:highlight w:val="none"/>
                <w:lang w:val="zh-CN" w:bidi="ar"/>
              </w:rPr>
              <w:t>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73AA2680">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全面、要点</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突出、针对性</w:t>
            </w:r>
            <w:r>
              <w:rPr>
                <w:rFonts w:hint="eastAsia" w:ascii="仿宋" w:hAnsi="仿宋" w:eastAsia="仿宋" w:cs="仿宋"/>
                <w:color w:val="auto"/>
                <w:sz w:val="24"/>
                <w:szCs w:val="24"/>
                <w:highlight w:val="none"/>
                <w:lang w:bidi="ar"/>
              </w:rPr>
              <w:t>不强</w:t>
            </w:r>
            <w:r>
              <w:rPr>
                <w:rFonts w:hint="eastAsia" w:ascii="仿宋" w:hAnsi="仿宋" w:eastAsia="仿宋" w:cs="仿宋"/>
                <w:color w:val="auto"/>
                <w:sz w:val="24"/>
                <w:szCs w:val="24"/>
                <w:highlight w:val="none"/>
                <w:lang w:val="zh-CN" w:bidi="ar"/>
              </w:rPr>
              <w:t>，内容</w:t>
            </w:r>
            <w:r>
              <w:rPr>
                <w:rFonts w:hint="eastAsia" w:ascii="仿宋" w:hAnsi="仿宋" w:eastAsia="仿宋" w:cs="仿宋"/>
                <w:color w:val="auto"/>
                <w:sz w:val="24"/>
                <w:szCs w:val="24"/>
                <w:highlight w:val="none"/>
                <w:lang w:bidi="ar"/>
              </w:rPr>
              <w:t>不完整</w:t>
            </w:r>
            <w:r>
              <w:rPr>
                <w:rFonts w:hint="eastAsia" w:ascii="仿宋" w:hAnsi="仿宋" w:eastAsia="仿宋" w:cs="仿宋"/>
                <w:color w:val="auto"/>
                <w:sz w:val="24"/>
                <w:szCs w:val="24"/>
                <w:highlight w:val="none"/>
                <w:lang w:val="zh-CN" w:bidi="ar"/>
              </w:rPr>
              <w:t>，表述</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清晰，与本项目实际需求</w:t>
            </w:r>
            <w:r>
              <w:rPr>
                <w:rFonts w:hint="eastAsia" w:ascii="仿宋" w:hAnsi="仿宋" w:eastAsia="仿宋" w:cs="仿宋"/>
                <w:color w:val="auto"/>
                <w:sz w:val="24"/>
                <w:szCs w:val="24"/>
                <w:highlight w:val="none"/>
                <w:lang w:bidi="ar"/>
              </w:rPr>
              <w:t>不适应</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76214FD7">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val="zh-CN" w:bidi="ar"/>
              </w:rPr>
              <w:t>）未提供的不得分。</w:t>
            </w: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5ABA819F">
            <w:pPr>
              <w:keepNext w:val="0"/>
              <w:keepLines w:val="0"/>
              <w:pageBreakBefore w:val="0"/>
              <w:wordWrap/>
              <w:overflowPunct/>
              <w:bidi w:val="0"/>
              <w:spacing w:line="240" w:lineRule="auto"/>
              <w:ind w:firstLine="0" w:firstLine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6EFC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left w:val="single" w:color="auto" w:sz="4" w:space="0"/>
              <w:bottom w:val="single" w:color="auto" w:sz="4" w:space="0"/>
              <w:right w:val="single" w:color="auto" w:sz="4" w:space="0"/>
            </w:tcBorders>
            <w:shd w:val="clear" w:color="auto" w:fill="auto"/>
            <w:vAlign w:val="center"/>
          </w:tcPr>
          <w:p w14:paraId="5D1F1F65">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kern w:val="2"/>
                <w:sz w:val="24"/>
                <w:szCs w:val="24"/>
                <w:highlight w:val="none"/>
                <w:lang w:val="en-US" w:eastAsia="zh-CN" w:bidi="ar-SA"/>
              </w:rPr>
            </w:pPr>
            <w:r>
              <w:rPr>
                <w:rStyle w:val="269"/>
                <w:rFonts w:hint="eastAsia" w:ascii="仿宋" w:hAnsi="仿宋" w:eastAsia="仿宋" w:cs="仿宋"/>
                <w:b/>
                <w:bCs/>
                <w:color w:val="auto"/>
                <w:sz w:val="24"/>
                <w:szCs w:val="24"/>
                <w:highlight w:val="none"/>
                <w:lang w:val="en-US" w:eastAsia="zh-CN"/>
              </w:rPr>
              <w:t>施工重点难点及合理化建议</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7A65C5D4">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1BA41457">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bidi="ar"/>
              </w:rPr>
              <w:t>适应</w:t>
            </w:r>
            <w:r>
              <w:rPr>
                <w:rFonts w:hint="eastAsia" w:ascii="仿宋" w:hAnsi="仿宋" w:eastAsia="仿宋" w:cs="仿宋"/>
                <w:color w:val="auto"/>
                <w:sz w:val="24"/>
                <w:szCs w:val="24"/>
                <w:highlight w:val="none"/>
                <w:lang w:val="zh-CN" w:bidi="ar"/>
              </w:rPr>
              <w:t>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4B129236">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全面、要点</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突出、针对性</w:t>
            </w:r>
            <w:r>
              <w:rPr>
                <w:rFonts w:hint="eastAsia" w:ascii="仿宋" w:hAnsi="仿宋" w:eastAsia="仿宋" w:cs="仿宋"/>
                <w:color w:val="auto"/>
                <w:sz w:val="24"/>
                <w:szCs w:val="24"/>
                <w:highlight w:val="none"/>
                <w:lang w:bidi="ar"/>
              </w:rPr>
              <w:t>不强</w:t>
            </w:r>
            <w:r>
              <w:rPr>
                <w:rFonts w:hint="eastAsia" w:ascii="仿宋" w:hAnsi="仿宋" w:eastAsia="仿宋" w:cs="仿宋"/>
                <w:color w:val="auto"/>
                <w:sz w:val="24"/>
                <w:szCs w:val="24"/>
                <w:highlight w:val="none"/>
                <w:lang w:val="zh-CN" w:bidi="ar"/>
              </w:rPr>
              <w:t>，内容</w:t>
            </w:r>
            <w:r>
              <w:rPr>
                <w:rFonts w:hint="eastAsia" w:ascii="仿宋" w:hAnsi="仿宋" w:eastAsia="仿宋" w:cs="仿宋"/>
                <w:color w:val="auto"/>
                <w:sz w:val="24"/>
                <w:szCs w:val="24"/>
                <w:highlight w:val="none"/>
                <w:lang w:bidi="ar"/>
              </w:rPr>
              <w:t>不完整</w:t>
            </w:r>
            <w:r>
              <w:rPr>
                <w:rFonts w:hint="eastAsia" w:ascii="仿宋" w:hAnsi="仿宋" w:eastAsia="仿宋" w:cs="仿宋"/>
                <w:color w:val="auto"/>
                <w:sz w:val="24"/>
                <w:szCs w:val="24"/>
                <w:highlight w:val="none"/>
                <w:lang w:val="zh-CN" w:bidi="ar"/>
              </w:rPr>
              <w:t>，表述</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清晰，与本项目实际需求</w:t>
            </w:r>
            <w:r>
              <w:rPr>
                <w:rFonts w:hint="eastAsia" w:ascii="仿宋" w:hAnsi="仿宋" w:eastAsia="仿宋" w:cs="仿宋"/>
                <w:color w:val="auto"/>
                <w:sz w:val="24"/>
                <w:szCs w:val="24"/>
                <w:highlight w:val="none"/>
                <w:lang w:bidi="ar"/>
              </w:rPr>
              <w:t>不适应</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不</w:t>
            </w:r>
            <w:r>
              <w:rPr>
                <w:rFonts w:hint="eastAsia" w:ascii="仿宋" w:hAnsi="仿宋" w:eastAsia="仿宋" w:cs="仿宋"/>
                <w:color w:val="auto"/>
                <w:sz w:val="24"/>
                <w:szCs w:val="24"/>
                <w:highlight w:val="none"/>
                <w:lang w:val="zh-CN" w:bidi="ar"/>
              </w:rPr>
              <w:t>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4C23A16D">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bidi="ar"/>
              </w:rPr>
              <w:t>4</w:t>
            </w:r>
            <w:r>
              <w:rPr>
                <w:rFonts w:hint="eastAsia" w:ascii="仿宋" w:hAnsi="仿宋" w:eastAsia="仿宋" w:cs="仿宋"/>
                <w:color w:val="auto"/>
                <w:sz w:val="24"/>
                <w:szCs w:val="24"/>
                <w:highlight w:val="none"/>
                <w:lang w:val="zh-CN" w:bidi="ar"/>
              </w:rPr>
              <w:t>）未提供的不得分。</w:t>
            </w: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1E03F906">
            <w:pPr>
              <w:keepNext w:val="0"/>
              <w:keepLines w:val="0"/>
              <w:pageBreakBefore w:val="0"/>
              <w:wordWrap/>
              <w:overflowPunct/>
              <w:bidi w:val="0"/>
              <w:spacing w:line="240" w:lineRule="auto"/>
              <w:ind w:firstLine="0" w:firstLine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7DD52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14:paraId="4F6F7C33">
            <w:pPr>
              <w:keepNext w:val="0"/>
              <w:keepLines w:val="0"/>
              <w:pageBreakBefore w:val="0"/>
              <w:widowControl w:val="0"/>
              <w:kinsoku/>
              <w:wordWrap/>
              <w:overflowPunct/>
              <w:autoSpaceDE/>
              <w:autoSpaceDN/>
              <w:bidi w:val="0"/>
              <w:spacing w:line="240" w:lineRule="auto"/>
              <w:ind w:firstLine="0" w:firstLineChars="0"/>
              <w:jc w:val="center"/>
              <w:textAlignment w:val="auto"/>
              <w:rPr>
                <w:rFonts w:hint="eastAsia" w:ascii="Times New Roman" w:hAnsi="Times New Roman" w:eastAsia="仿宋_GB2312" w:cs="Times New Roman"/>
                <w:b/>
                <w:bCs/>
                <w:color w:val="auto"/>
                <w:kern w:val="2"/>
                <w:sz w:val="24"/>
                <w:szCs w:val="24"/>
                <w:highlight w:val="none"/>
                <w:lang w:val="en-US" w:eastAsia="zh-CN" w:bidi="ar-SA"/>
              </w:rPr>
            </w:pPr>
            <w:r>
              <w:rPr>
                <w:rStyle w:val="269"/>
                <w:rFonts w:hint="eastAsia" w:ascii="Times New Roman" w:hAnsi="Times New Roman" w:cs="Times New Roman"/>
                <w:b/>
                <w:bCs/>
                <w:color w:val="auto"/>
                <w:sz w:val="24"/>
                <w:szCs w:val="24"/>
                <w:highlight w:val="none"/>
                <w:lang w:val="en-US" w:eastAsia="zh-CN"/>
              </w:rPr>
              <w:t>应急工作方案</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2D68271B">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（1）</w:t>
            </w:r>
            <w:r>
              <w:rPr>
                <w:rFonts w:hint="eastAsia" w:ascii="仿宋" w:hAnsi="仿宋" w:eastAsia="仿宋" w:cs="仿宋"/>
                <w:color w:val="auto"/>
                <w:sz w:val="24"/>
                <w:szCs w:val="24"/>
                <w:highlight w:val="none"/>
                <w:lang w:val="en-US" w:eastAsia="zh-CN" w:bidi="ar"/>
              </w:rPr>
              <w:t>理解准确</w:t>
            </w:r>
            <w:r>
              <w:rPr>
                <w:rFonts w:hint="eastAsia" w:ascii="仿宋" w:hAnsi="仿宋" w:eastAsia="仿宋" w:cs="仿宋"/>
                <w:color w:val="auto"/>
                <w:sz w:val="24"/>
                <w:szCs w:val="24"/>
                <w:highlight w:val="none"/>
                <w:lang w:val="zh-CN" w:bidi="ar"/>
              </w:rPr>
              <w:t>、要点突出、针对性强，内容完整详实，表述清晰，与本项目实际需求适应度高，利于项目实施的得</w:t>
            </w:r>
            <w:r>
              <w:rPr>
                <w:rFonts w:hint="eastAsia" w:ascii="仿宋" w:hAnsi="仿宋" w:eastAsia="仿宋" w:cs="仿宋"/>
                <w:color w:val="auto"/>
                <w:sz w:val="24"/>
                <w:szCs w:val="24"/>
                <w:highlight w:val="none"/>
                <w:lang w:val="en-US" w:eastAsia="zh-CN" w:bidi="ar"/>
              </w:rPr>
              <w:t>5</w:t>
            </w:r>
            <w:r>
              <w:rPr>
                <w:rFonts w:hint="eastAsia" w:ascii="仿宋" w:hAnsi="仿宋" w:eastAsia="仿宋" w:cs="仿宋"/>
                <w:color w:val="auto"/>
                <w:sz w:val="24"/>
                <w:szCs w:val="24"/>
                <w:highlight w:val="none"/>
                <w:lang w:val="zh-CN" w:bidi="ar"/>
              </w:rPr>
              <w:t>分；</w:t>
            </w:r>
          </w:p>
          <w:p w14:paraId="3216DCF5">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（2）</w:t>
            </w:r>
            <w:r>
              <w:rPr>
                <w:rFonts w:hint="eastAsia" w:ascii="仿宋" w:hAnsi="仿宋" w:eastAsia="仿宋" w:cs="仿宋"/>
                <w:color w:val="auto"/>
                <w:sz w:val="24"/>
                <w:szCs w:val="24"/>
                <w:highlight w:val="none"/>
                <w:lang w:val="en-US" w:eastAsia="zh-CN" w:bidi="ar"/>
              </w:rPr>
              <w:t>理解基本</w:t>
            </w:r>
            <w:r>
              <w:rPr>
                <w:rFonts w:hint="eastAsia" w:ascii="仿宋" w:hAnsi="仿宋" w:eastAsia="仿宋" w:cs="仿宋"/>
                <w:color w:val="auto"/>
                <w:sz w:val="24"/>
                <w:szCs w:val="24"/>
                <w:highlight w:val="none"/>
                <w:lang w:val="zh-CN" w:bidi="ar"/>
              </w:rPr>
              <w:t>全面，针对性强，内容完整详实，表述清晰，与本项目实际需求</w:t>
            </w:r>
            <w:r>
              <w:rPr>
                <w:rFonts w:hint="eastAsia" w:ascii="仿宋" w:hAnsi="仿宋" w:eastAsia="仿宋" w:cs="仿宋"/>
                <w:color w:val="auto"/>
                <w:sz w:val="24"/>
                <w:szCs w:val="24"/>
                <w:highlight w:val="none"/>
                <w:lang w:val="en-US" w:eastAsia="zh-CN" w:bidi="ar"/>
              </w:rPr>
              <w:t>基本</w:t>
            </w:r>
            <w:r>
              <w:rPr>
                <w:rFonts w:hint="eastAsia" w:ascii="仿宋" w:hAnsi="仿宋" w:eastAsia="仿宋" w:cs="仿宋"/>
                <w:color w:val="auto"/>
                <w:sz w:val="24"/>
                <w:szCs w:val="24"/>
                <w:highlight w:val="none"/>
                <w:lang w:val="zh-CN" w:bidi="ar"/>
              </w:rPr>
              <w:t>适应的得</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分；</w:t>
            </w:r>
          </w:p>
          <w:p w14:paraId="165C6B06">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3</w:t>
            </w:r>
            <w:r>
              <w:rPr>
                <w:rFonts w:hint="eastAsia" w:ascii="仿宋" w:hAnsi="仿宋" w:eastAsia="仿宋" w:cs="仿宋"/>
                <w:color w:val="auto"/>
                <w:sz w:val="24"/>
                <w:szCs w:val="24"/>
                <w:highlight w:val="none"/>
                <w:lang w:val="zh-CN" w:bidi="ar"/>
              </w:rPr>
              <w:t>）</w:t>
            </w:r>
            <w:r>
              <w:rPr>
                <w:rFonts w:hint="eastAsia" w:ascii="仿宋" w:hAnsi="仿宋" w:eastAsia="仿宋" w:cs="仿宋"/>
                <w:color w:val="auto"/>
                <w:sz w:val="24"/>
                <w:szCs w:val="24"/>
                <w:highlight w:val="none"/>
                <w:lang w:val="en-US" w:eastAsia="zh-CN" w:bidi="ar"/>
              </w:rPr>
              <w:t>理解</w:t>
            </w:r>
            <w:r>
              <w:rPr>
                <w:rFonts w:hint="eastAsia" w:ascii="仿宋" w:hAnsi="仿宋" w:eastAsia="仿宋" w:cs="仿宋"/>
                <w:color w:val="auto"/>
                <w:sz w:val="24"/>
                <w:szCs w:val="24"/>
                <w:highlight w:val="none"/>
                <w:lang w:val="zh-CN" w:bidi="ar"/>
              </w:rPr>
              <w:t>不全面、要点不突出、针对性不强，内容不完整，表述不清晰，与本项目实际需求不适应，不符合项目实施要求的得</w:t>
            </w:r>
            <w:r>
              <w:rPr>
                <w:rFonts w:hint="eastAsia" w:ascii="仿宋" w:hAnsi="仿宋" w:eastAsia="仿宋" w:cs="仿宋"/>
                <w:color w:val="auto"/>
                <w:sz w:val="24"/>
                <w:szCs w:val="24"/>
                <w:highlight w:val="none"/>
                <w:lang w:val="en-US" w:eastAsia="zh-CN" w:bidi="ar"/>
              </w:rPr>
              <w:t>1</w:t>
            </w:r>
            <w:r>
              <w:rPr>
                <w:rFonts w:hint="eastAsia" w:ascii="仿宋" w:hAnsi="仿宋" w:eastAsia="仿宋" w:cs="仿宋"/>
                <w:color w:val="auto"/>
                <w:sz w:val="24"/>
                <w:szCs w:val="24"/>
                <w:highlight w:val="none"/>
                <w:lang w:val="zh-CN" w:bidi="ar"/>
              </w:rPr>
              <w:t>分；</w:t>
            </w:r>
          </w:p>
          <w:p w14:paraId="49AD1C96">
            <w:pPr>
              <w:keepNext w:val="0"/>
              <w:keepLines w:val="0"/>
              <w:pageBreakBefore w:val="0"/>
              <w:wordWrap/>
              <w:overflowPunct/>
              <w:topLinePunct/>
              <w:bidi w:val="0"/>
              <w:adjustRightInd w:val="0"/>
              <w:snapToGrid w:val="0"/>
              <w:spacing w:line="240" w:lineRule="auto"/>
              <w:ind w:firstLine="0" w:firstLineChars="0"/>
              <w:rPr>
                <w:rFonts w:hint="eastAsia" w:ascii="Times New Roman" w:hAnsi="Times New Roman" w:eastAsia="仿宋_GB2312" w:cs="Times New Roman"/>
                <w:color w:val="auto"/>
                <w:kern w:val="2"/>
                <w:sz w:val="24"/>
                <w:szCs w:val="24"/>
                <w:highlight w:val="none"/>
                <w:lang w:val="en-US" w:eastAsia="zh-CN" w:bidi="ar"/>
              </w:rPr>
            </w:pPr>
            <w:r>
              <w:rPr>
                <w:rFonts w:hint="eastAsia" w:ascii="仿宋" w:hAnsi="仿宋" w:eastAsia="仿宋" w:cs="仿宋"/>
                <w:color w:val="auto"/>
                <w:sz w:val="24"/>
                <w:szCs w:val="24"/>
                <w:highlight w:val="none"/>
                <w:lang w:val="zh-CN" w:bidi="ar"/>
              </w:rPr>
              <w:t>（4）未提供的不得分。</w:t>
            </w: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600332E2">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sz w:val="24"/>
                <w:szCs w:val="24"/>
                <w:highlight w:val="none"/>
                <w:lang w:val="en-US" w:eastAsia="zh-CN"/>
              </w:rPr>
              <w:t>5分</w:t>
            </w:r>
          </w:p>
        </w:tc>
      </w:tr>
      <w:tr w14:paraId="6AA6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14:paraId="4A6C2324">
            <w:pPr>
              <w:keepNext w:val="0"/>
              <w:keepLines w:val="0"/>
              <w:pageBreakBefore w:val="0"/>
              <w:wordWrap/>
              <w:overflowPunct/>
              <w:bidi w:val="0"/>
              <w:spacing w:line="240" w:lineRule="auto"/>
              <w:ind w:firstLine="0" w:firstLineChars="0"/>
              <w:jc w:val="center"/>
              <w:rPr>
                <w:rFonts w:hint="eastAsia" w:ascii="仿宋" w:hAnsi="仿宋" w:eastAsia="仿宋" w:cs="仿宋"/>
                <w:b/>
                <w:bCs/>
                <w:color w:val="auto"/>
                <w:kern w:val="2"/>
                <w:sz w:val="24"/>
                <w:szCs w:val="24"/>
                <w:highlight w:val="none"/>
                <w:lang w:val="en-US" w:eastAsia="zh-CN" w:bidi="ar-SA"/>
              </w:rPr>
            </w:pPr>
            <w:r>
              <w:rPr>
                <w:rStyle w:val="269"/>
                <w:rFonts w:hint="eastAsia" w:ascii="仿宋" w:hAnsi="仿宋" w:eastAsia="仿宋" w:cs="仿宋"/>
                <w:b/>
                <w:bCs/>
                <w:color w:val="auto"/>
                <w:sz w:val="24"/>
                <w:szCs w:val="24"/>
                <w:highlight w:val="none"/>
                <w:lang w:val="en-US" w:eastAsia="zh-CN"/>
              </w:rPr>
              <w:t>设备质保</w:t>
            </w:r>
          </w:p>
        </w:tc>
        <w:tc>
          <w:tcPr>
            <w:tcW w:w="3736" w:type="pct"/>
            <w:tcBorders>
              <w:top w:val="single" w:color="auto" w:sz="4" w:space="0"/>
              <w:left w:val="single" w:color="auto" w:sz="4" w:space="0"/>
              <w:bottom w:val="single" w:color="auto" w:sz="4" w:space="0"/>
              <w:right w:val="single" w:color="auto" w:sz="4" w:space="0"/>
            </w:tcBorders>
            <w:shd w:val="clear" w:color="auto" w:fill="auto"/>
            <w:vAlign w:val="center"/>
          </w:tcPr>
          <w:p w14:paraId="7B0CE096">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工程量清单（设备说明）中要求提供质保的设备，在满足采购人质保一年的基础上，每多增加一年质保得1分，最多得2分。</w:t>
            </w:r>
          </w:p>
          <w:p w14:paraId="2C93D730">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
              </w:rPr>
              <w:t>注：响应文件中须提供承诺函。</w:t>
            </w:r>
          </w:p>
        </w:tc>
        <w:tc>
          <w:tcPr>
            <w:tcW w:w="337" w:type="pct"/>
            <w:tcBorders>
              <w:top w:val="single" w:color="auto" w:sz="4" w:space="0"/>
              <w:left w:val="single" w:color="auto" w:sz="4" w:space="0"/>
              <w:bottom w:val="single" w:color="auto" w:sz="4" w:space="0"/>
              <w:right w:val="single" w:color="auto" w:sz="4" w:space="0"/>
            </w:tcBorders>
            <w:shd w:val="clear" w:color="auto" w:fill="auto"/>
            <w:vAlign w:val="center"/>
          </w:tcPr>
          <w:p w14:paraId="79052F6D">
            <w:pPr>
              <w:keepNext w:val="0"/>
              <w:keepLines w:val="0"/>
              <w:pageBreakBefore w:val="0"/>
              <w:wordWrap/>
              <w:overflowPunct/>
              <w:topLinePunct/>
              <w:bidi w:val="0"/>
              <w:adjustRightInd w:val="0"/>
              <w:snapToGrid w:val="0"/>
              <w:spacing w:line="240" w:lineRule="auto"/>
              <w:ind w:firstLine="0" w:firstLineChars="0"/>
              <w:rPr>
                <w:rFonts w:hint="eastAsia" w:ascii="仿宋" w:hAnsi="仿宋" w:eastAsia="仿宋" w:cs="仿宋"/>
                <w:color w:val="auto"/>
                <w:sz w:val="24"/>
                <w:szCs w:val="24"/>
                <w:highlight w:val="none"/>
                <w:lang w:val="en-US" w:eastAsia="zh-CN" w:bidi="ar"/>
              </w:rPr>
            </w:pPr>
            <w:r>
              <w:rPr>
                <w:rFonts w:hint="eastAsia" w:ascii="仿宋" w:hAnsi="仿宋" w:eastAsia="仿宋" w:cs="仿宋"/>
                <w:b w:val="0"/>
                <w:bCs/>
                <w:color w:val="auto"/>
                <w:sz w:val="24"/>
                <w:szCs w:val="24"/>
                <w:highlight w:val="none"/>
                <w:lang w:val="en-US" w:eastAsia="zh-CN"/>
              </w:rPr>
              <w:t>2分</w:t>
            </w:r>
          </w:p>
        </w:tc>
      </w:tr>
      <w:tr w14:paraId="0EE4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14:paraId="5CD55A92">
            <w:pPr>
              <w:keepNext w:val="0"/>
              <w:keepLines w:val="0"/>
              <w:pageBreakBefore w:val="0"/>
              <w:wordWrap/>
              <w:overflowPunct/>
              <w:bidi w:val="0"/>
              <w:spacing w:line="240" w:lineRule="auto"/>
              <w:ind w:firstLine="0" w:firstLineChars="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rPr>
              <w:t>价格分（</w:t>
            </w:r>
            <w:r>
              <w:rPr>
                <w:rFonts w:hint="eastAsia" w:ascii="仿宋" w:hAnsi="仿宋" w:eastAsia="仿宋" w:cs="仿宋"/>
                <w:b/>
                <w:bCs/>
                <w:color w:val="auto"/>
                <w:sz w:val="24"/>
                <w:szCs w:val="24"/>
                <w:highlight w:val="none"/>
                <w:u w:val="single"/>
                <w:lang w:val="en-US" w:eastAsia="zh-CN"/>
              </w:rPr>
              <w:t>20</w:t>
            </w:r>
            <w:r>
              <w:rPr>
                <w:rFonts w:hint="eastAsia" w:ascii="仿宋" w:hAnsi="仿宋" w:eastAsia="仿宋" w:cs="仿宋"/>
                <w:b/>
                <w:bCs/>
                <w:color w:val="auto"/>
                <w:sz w:val="24"/>
                <w:szCs w:val="24"/>
                <w:highlight w:val="none"/>
              </w:rPr>
              <w:t>分）</w:t>
            </w:r>
          </w:p>
        </w:tc>
        <w:tc>
          <w:tcPr>
            <w:tcW w:w="407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EA6668">
            <w:pPr>
              <w:keepNext w:val="0"/>
              <w:keepLines w:val="0"/>
              <w:pageBreakBefore w:val="0"/>
              <w:wordWrap/>
              <w:overflowPunct/>
              <w:bidi w:val="0"/>
              <w:spacing w:line="240" w:lineRule="auto"/>
              <w:ind w:firstLine="0" w:firstLineChars="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价格分统一采用低价优先法，即满足磋商文件要求且最后报价最低的供应商的价格为磋商基准价，其价格分为满分</w:t>
            </w:r>
            <w:r>
              <w:rPr>
                <w:rFonts w:hint="eastAsia" w:ascii="仿宋" w:hAnsi="仿宋" w:eastAsia="仿宋" w:cs="仿宋"/>
                <w:b/>
                <w:bCs/>
                <w:color w:val="auto"/>
                <w:sz w:val="24"/>
                <w:szCs w:val="24"/>
                <w:highlight w:val="none"/>
                <w:u w:val="single"/>
                <w:lang w:val="en-US" w:eastAsia="zh-CN"/>
              </w:rPr>
              <w:t>20</w:t>
            </w:r>
            <w:r>
              <w:rPr>
                <w:rFonts w:hint="eastAsia" w:ascii="仿宋" w:hAnsi="仿宋" w:eastAsia="仿宋" w:cs="仿宋"/>
                <w:b/>
                <w:bCs/>
                <w:color w:val="auto"/>
                <w:sz w:val="24"/>
                <w:szCs w:val="24"/>
                <w:highlight w:val="none"/>
              </w:rPr>
              <w:t>分。其他供应商的价格分统一按照下列公式计算：</w:t>
            </w:r>
          </w:p>
          <w:p w14:paraId="6A8D7F5C">
            <w:pPr>
              <w:keepNext w:val="0"/>
              <w:keepLines w:val="0"/>
              <w:pageBreakBefore w:val="0"/>
              <w:wordWrap/>
              <w:overflowPunct/>
              <w:bidi w:val="0"/>
              <w:spacing w:line="240" w:lineRule="auto"/>
              <w:ind w:firstLine="0" w:firstLineChars="0"/>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rPr>
              <w:t>磋商报价得分＝（磋商基准价/最后磋商报价）×</w:t>
            </w:r>
            <w:r>
              <w:rPr>
                <w:rFonts w:hint="eastAsia" w:ascii="仿宋" w:hAnsi="仿宋" w:eastAsia="仿宋" w:cs="仿宋"/>
                <w:b/>
                <w:bCs/>
                <w:color w:val="auto"/>
                <w:sz w:val="24"/>
                <w:szCs w:val="24"/>
                <w:highlight w:val="none"/>
                <w:u w:val="single"/>
                <w:lang w:val="en-US" w:eastAsia="zh-CN"/>
              </w:rPr>
              <w:t>20</w:t>
            </w:r>
            <w:r>
              <w:rPr>
                <w:rFonts w:hint="eastAsia" w:ascii="仿宋" w:hAnsi="仿宋" w:eastAsia="仿宋" w:cs="仿宋"/>
                <w:b/>
                <w:bCs/>
                <w:color w:val="auto"/>
                <w:sz w:val="24"/>
                <w:szCs w:val="24"/>
                <w:highlight w:val="none"/>
              </w:rPr>
              <w:t>％×100</w:t>
            </w:r>
            <w:r>
              <w:rPr>
                <w:rFonts w:hint="eastAsia" w:ascii="仿宋" w:hAnsi="仿宋" w:eastAsia="仿宋" w:cs="仿宋"/>
                <w:b/>
                <w:bCs/>
                <w:color w:val="auto"/>
                <w:sz w:val="24"/>
                <w:szCs w:val="24"/>
                <w:highlight w:val="none"/>
              </w:rPr>
              <w:br w:type="textWrapping"/>
            </w:r>
            <w:r>
              <w:rPr>
                <w:rFonts w:hint="eastAsia" w:ascii="仿宋" w:hAnsi="仿宋" w:eastAsia="仿宋" w:cs="仿宋"/>
                <w:i/>
                <w:iCs/>
                <w:color w:val="auto"/>
                <w:sz w:val="24"/>
                <w:szCs w:val="24"/>
                <w:highlight w:val="none"/>
                <w:lang w:val="en-US" w:eastAsia="zh-CN"/>
              </w:rPr>
              <w:t>注：</w:t>
            </w:r>
            <w:r>
              <w:rPr>
                <w:rFonts w:hint="eastAsia" w:ascii="仿宋" w:hAnsi="仿宋" w:eastAsia="仿宋" w:cs="仿宋"/>
                <w:i/>
                <w:iCs/>
                <w:color w:val="auto"/>
                <w:sz w:val="24"/>
                <w:szCs w:val="24"/>
                <w:highlight w:val="none"/>
              </w:rPr>
              <w:t>计算结果保留至小数点后两位数，第三位四舍五入</w:t>
            </w:r>
            <w:r>
              <w:rPr>
                <w:rFonts w:hint="eastAsia" w:ascii="仿宋" w:hAnsi="仿宋" w:eastAsia="仿宋" w:cs="仿宋"/>
                <w:i/>
                <w:iCs/>
                <w:color w:val="auto"/>
                <w:sz w:val="24"/>
                <w:szCs w:val="24"/>
                <w:highlight w:val="none"/>
                <w:lang w:eastAsia="zh-CN"/>
              </w:rPr>
              <w:t>。</w:t>
            </w:r>
          </w:p>
        </w:tc>
      </w:tr>
    </w:tbl>
    <w:p w14:paraId="291006FB">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3</w:t>
      </w: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磋商小组按照下表对</w:t>
      </w:r>
      <w:r>
        <w:rPr>
          <w:rFonts w:hint="eastAsia"/>
          <w:color w:val="000000" w:themeColor="text1"/>
          <w:sz w:val="24"/>
          <w:highlight w:val="none"/>
          <w14:textFill>
            <w14:solidFill>
              <w14:schemeClr w14:val="tx1"/>
            </w14:solidFill>
          </w14:textFill>
        </w:rPr>
        <w:t>进入综合评分的所有供应商的</w:t>
      </w:r>
      <w:r>
        <w:rPr>
          <w:rFonts w:hint="eastAsia" w:asciiTheme="minorEastAsia" w:hAnsiTheme="minorEastAsia" w:eastAsiaTheme="minorEastAsia"/>
          <w:color w:val="000000" w:themeColor="text1"/>
          <w:sz w:val="24"/>
          <w:highlight w:val="none"/>
          <w14:textFill>
            <w14:solidFill>
              <w14:schemeClr w14:val="tx1"/>
            </w14:solidFill>
          </w14:textFill>
        </w:rPr>
        <w:t>响应文件进行综合评分。</w:t>
      </w:r>
    </w:p>
    <w:p w14:paraId="66E8A24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3</w:t>
      </w:r>
      <w:r>
        <w:rPr>
          <w:rFonts w:asciiTheme="minorEastAsia" w:hAnsiTheme="minorEastAsia" w:eastAsiaTheme="minorEastAsia"/>
          <w:color w:val="000000" w:themeColor="text1"/>
          <w:sz w:val="24"/>
          <w:highlight w:val="none"/>
          <w14:textFill>
            <w14:solidFill>
              <w14:schemeClr w14:val="tx1"/>
            </w14:solidFill>
          </w14:textFill>
        </w:rPr>
        <w:t>.2</w:t>
      </w:r>
      <w:r>
        <w:rPr>
          <w:rFonts w:hint="eastAsia" w:asciiTheme="minorEastAsia" w:hAnsiTheme="minorEastAsia" w:eastAsiaTheme="minorEastAsia"/>
          <w:color w:val="000000" w:themeColor="text1"/>
          <w:sz w:val="24"/>
          <w:highlight w:val="none"/>
          <w14:textFill>
            <w14:solidFill>
              <w14:schemeClr w14:val="tx1"/>
            </w14:solidFill>
          </w14:textFill>
        </w:rPr>
        <w:t>本项目综合评分满分为1</w:t>
      </w:r>
      <w:r>
        <w:rPr>
          <w:rFonts w:asciiTheme="minorEastAsia" w:hAnsiTheme="minorEastAsia" w:eastAsiaTheme="minorEastAsia"/>
          <w:color w:val="000000" w:themeColor="text1"/>
          <w:sz w:val="24"/>
          <w:highlight w:val="none"/>
          <w14:textFill>
            <w14:solidFill>
              <w14:schemeClr w14:val="tx1"/>
            </w14:solidFill>
          </w14:textFill>
        </w:rPr>
        <w:t>00</w:t>
      </w:r>
      <w:r>
        <w:rPr>
          <w:rFonts w:hint="eastAsia" w:asciiTheme="minorEastAsia" w:hAnsiTheme="minorEastAsia" w:eastAsiaTheme="minorEastAsia"/>
          <w:color w:val="000000" w:themeColor="text1"/>
          <w:sz w:val="24"/>
          <w:highlight w:val="none"/>
          <w14:textFill>
            <w14:solidFill>
              <w14:schemeClr w14:val="tx1"/>
            </w14:solidFill>
          </w14:textFill>
        </w:rPr>
        <w:t>分，其中：技术资信分值占总分值的权重为</w:t>
      </w:r>
      <w:r>
        <w:rPr>
          <w:rFonts w:hint="eastAsia" w:asciiTheme="minorEastAsia" w:hAnsiTheme="minorEastAsia" w:eastAsiaTheme="minorEastAsia"/>
          <w:color w:val="000000" w:themeColor="text1"/>
          <w:sz w:val="24"/>
          <w:highlight w:val="none"/>
          <w:u w:val="single"/>
          <w14:textFill>
            <w14:solidFill>
              <w14:schemeClr w14:val="tx1"/>
            </w14:solidFill>
          </w14:textFill>
        </w:rPr>
        <w:t>80</w:t>
      </w:r>
      <w:r>
        <w:rPr>
          <w:rFonts w:asciiTheme="minorEastAsia" w:hAnsiTheme="minorEastAsia" w:eastAsiaTheme="minorEastAsia"/>
          <w:color w:val="000000" w:themeColor="text1"/>
          <w:sz w:val="24"/>
          <w:highlight w:val="none"/>
          <w14:textFill>
            <w14:solidFill>
              <w14:schemeClr w14:val="tx1"/>
            </w14:solidFill>
          </w14:textFill>
        </w:rPr>
        <w:t>%，价格分值占总分值的权重为</w:t>
      </w:r>
      <w:r>
        <w:rPr>
          <w:rFonts w:hint="eastAsia" w:asciiTheme="minorEastAsia" w:hAnsiTheme="minorEastAsia" w:eastAsiaTheme="minorEastAsia"/>
          <w:color w:val="000000" w:themeColor="text1"/>
          <w:sz w:val="24"/>
          <w:highlight w:val="none"/>
          <w:u w:val="single"/>
          <w14:textFill>
            <w14:solidFill>
              <w14:schemeClr w14:val="tx1"/>
            </w14:solidFill>
          </w14:textFill>
        </w:rPr>
        <w:t>20</w:t>
      </w:r>
      <w:r>
        <w:rPr>
          <w:rFonts w:asciiTheme="minorEastAsia" w:hAnsiTheme="minorEastAsia" w:eastAsiaTheme="minorEastAsia"/>
          <w:color w:val="000000" w:themeColor="text1"/>
          <w:sz w:val="24"/>
          <w:highlight w:val="none"/>
          <w14:textFill>
            <w14:solidFill>
              <w14:schemeClr w14:val="tx1"/>
            </w14:solidFill>
          </w14:textFill>
        </w:rPr>
        <w:t>%。具体评分细则如下：</w:t>
      </w:r>
    </w:p>
    <w:p w14:paraId="039ED5DE">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w:t>
      </w: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3</w:t>
      </w:r>
      <w:r>
        <w:rPr>
          <w:rFonts w:asciiTheme="minorEastAsia" w:hAnsiTheme="minorEastAsia" w:eastAsia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olor w:val="000000" w:themeColor="text1"/>
          <w:sz w:val="24"/>
          <w:highlight w:val="none"/>
          <w14:textFill>
            <w14:solidFill>
              <w14:schemeClr w14:val="tx1"/>
            </w14:solidFill>
          </w14:textFill>
        </w:rPr>
        <w:t>分值汇总</w:t>
      </w:r>
    </w:p>
    <w:p w14:paraId="7F7F6688">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asciiTheme="minorEastAsia" w:hAnsiTheme="minorEastAsia" w:eastAsiaTheme="minorEastAsia"/>
          <w:color w:val="000000" w:themeColor="text1"/>
          <w:sz w:val="24"/>
          <w:highlight w:val="none"/>
          <w14:textFill>
            <w14:solidFill>
              <w14:schemeClr w14:val="tx1"/>
            </w14:solidFill>
          </w14:textFill>
        </w:rPr>
        <w:t>1）磋商小组各成员应当独立对每个有效响应的文件进行评价、打分，然后汇总每个供应商每项评分因素的得分，再取各位评委评分之平均值，四舍五入保留至小数点后两位数，得到该供应商的技术资信分。</w:t>
      </w:r>
    </w:p>
    <w:p w14:paraId="38E4F2C4">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asciiTheme="minorEastAsia" w:hAnsiTheme="minorEastAsia" w:eastAsiaTheme="minorEastAsia"/>
          <w:color w:val="000000" w:themeColor="text1"/>
          <w:sz w:val="24"/>
          <w:highlight w:val="none"/>
          <w14:textFill>
            <w14:solidFill>
              <w14:schemeClr w14:val="tx1"/>
            </w14:solidFill>
          </w14:textFill>
        </w:rPr>
        <w:t>2）将每个供应商的技术资信分加上根据上述标准计算出的价格分，即为该供应商的综合总得分。</w:t>
      </w:r>
    </w:p>
    <w:p w14:paraId="42421016">
      <w:pPr>
        <w:widowControl/>
        <w:jc w:val="left"/>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br w:type="page"/>
      </w:r>
      <w:bookmarkStart w:id="730" w:name="_GoBack"/>
      <w:bookmarkEnd w:id="730"/>
    </w:p>
    <w:p w14:paraId="7B6FEF62">
      <w:pPr>
        <w:spacing w:line="360" w:lineRule="auto"/>
        <w:jc w:val="center"/>
        <w:outlineLvl w:val="0"/>
        <w:rPr>
          <w:rFonts w:asciiTheme="minorEastAsia" w:hAnsiTheme="minorEastAsia" w:eastAsiaTheme="minorEastAsia"/>
          <w:b/>
          <w:color w:val="000000" w:themeColor="text1"/>
          <w:sz w:val="28"/>
          <w:highlight w:val="none"/>
          <w14:textFill>
            <w14:solidFill>
              <w14:schemeClr w14:val="tx1"/>
            </w14:solidFill>
          </w14:textFill>
        </w:rPr>
      </w:pPr>
      <w:bookmarkStart w:id="59" w:name="_Toc31277"/>
      <w:r>
        <w:rPr>
          <w:rFonts w:hint="eastAsia" w:asciiTheme="minorEastAsia" w:hAnsiTheme="minorEastAsia" w:eastAsiaTheme="minorEastAsia"/>
          <w:b/>
          <w:color w:val="000000" w:themeColor="text1"/>
          <w:sz w:val="28"/>
          <w:highlight w:val="none"/>
          <w14:textFill>
            <w14:solidFill>
              <w14:schemeClr w14:val="tx1"/>
            </w14:solidFill>
          </w14:textFill>
        </w:rPr>
        <w:t xml:space="preserve">第五章  </w:t>
      </w:r>
      <w:r>
        <w:rPr>
          <w:rFonts w:asciiTheme="minorEastAsia" w:hAnsiTheme="minorEastAsia" w:eastAsiaTheme="minorEastAsia"/>
          <w:b/>
          <w:color w:val="000000" w:themeColor="text1"/>
          <w:sz w:val="28"/>
          <w:highlight w:val="none"/>
          <w14:textFill>
            <w14:solidFill>
              <w14:schemeClr w14:val="tx1"/>
            </w14:solidFill>
          </w14:textFill>
        </w:rPr>
        <w:t>政府采购合同</w:t>
      </w:r>
      <w:bookmarkEnd w:id="59"/>
    </w:p>
    <w:p w14:paraId="103F892D">
      <w:pPr>
        <w:keepNext/>
        <w:keepLines/>
        <w:snapToGrid w:val="0"/>
        <w:spacing w:before="312" w:beforeLines="100" w:after="312" w:afterLines="100" w:line="360" w:lineRule="auto"/>
        <w:jc w:val="center"/>
        <w:outlineLvl w:val="1"/>
        <w:rPr>
          <w:rFonts w:cs="宋体"/>
          <w:b/>
          <w:bCs/>
          <w:color w:val="000000" w:themeColor="text1"/>
          <w:sz w:val="21"/>
          <w:szCs w:val="21"/>
          <w:highlight w:val="none"/>
          <w14:textFill>
            <w14:solidFill>
              <w14:schemeClr w14:val="tx1"/>
            </w14:solidFill>
          </w14:textFill>
        </w:rPr>
      </w:pPr>
      <w:bookmarkStart w:id="60" w:name="_Toc130919120"/>
      <w:bookmarkStart w:id="61" w:name="_Toc9907"/>
      <w:bookmarkStart w:id="62" w:name="_Toc28799376"/>
      <w:r>
        <w:rPr>
          <w:rFonts w:hint="eastAsia" w:cs="宋体"/>
          <w:b/>
          <w:bCs/>
          <w:color w:val="000000" w:themeColor="text1"/>
          <w:sz w:val="21"/>
          <w:szCs w:val="21"/>
          <w:highlight w:val="none"/>
          <w14:textFill>
            <w14:solidFill>
              <w14:schemeClr w14:val="tx1"/>
            </w14:solidFill>
          </w14:textFill>
        </w:rPr>
        <w:t>第一节  合同协议书</w:t>
      </w:r>
      <w:bookmarkEnd w:id="60"/>
      <w:bookmarkEnd w:id="61"/>
      <w:bookmarkEnd w:id="62"/>
    </w:p>
    <w:p w14:paraId="707E3F83">
      <w:pPr>
        <w:spacing w:line="360" w:lineRule="auto"/>
        <w:rPr>
          <w:rFonts w:cs="宋体"/>
          <w:b/>
          <w:color w:val="000000" w:themeColor="text1"/>
          <w:sz w:val="24"/>
          <w:szCs w:val="24"/>
          <w:highlight w:val="none"/>
          <w:u w:val="single"/>
          <w14:textFill>
            <w14:solidFill>
              <w14:schemeClr w14:val="tx1"/>
            </w14:solidFill>
          </w14:textFill>
        </w:rPr>
      </w:pPr>
      <w:r>
        <w:rPr>
          <w:rFonts w:hint="eastAsia" w:cs="宋体"/>
          <w:b/>
          <w:color w:val="000000" w:themeColor="text1"/>
          <w:sz w:val="24"/>
          <w:szCs w:val="24"/>
          <w:highlight w:val="none"/>
          <w14:textFill>
            <w14:solidFill>
              <w14:schemeClr w14:val="tx1"/>
            </w14:solidFill>
          </w14:textFill>
        </w:rPr>
        <w:t>发包人（全称）：</w:t>
      </w:r>
      <w:r>
        <w:rPr>
          <w:rFonts w:hint="eastAsia" w:cs="宋体"/>
          <w:b/>
          <w:color w:val="000000" w:themeColor="text1"/>
          <w:sz w:val="24"/>
          <w:szCs w:val="24"/>
          <w:highlight w:val="none"/>
          <w:u w:val="single"/>
          <w14:textFill>
            <w14:solidFill>
              <w14:schemeClr w14:val="tx1"/>
            </w14:solidFill>
          </w14:textFill>
        </w:rPr>
        <w:t xml:space="preserve">        </w:t>
      </w:r>
    </w:p>
    <w:p w14:paraId="36577F53">
      <w:pPr>
        <w:spacing w:line="360" w:lineRule="auto"/>
        <w:rPr>
          <w:rFonts w:cs="宋体"/>
          <w:b/>
          <w:color w:val="000000" w:themeColor="text1"/>
          <w:sz w:val="24"/>
          <w:szCs w:val="24"/>
          <w:highlight w:val="none"/>
          <w:u w:val="single"/>
          <w14:textFill>
            <w14:solidFill>
              <w14:schemeClr w14:val="tx1"/>
            </w14:solidFill>
          </w14:textFill>
        </w:rPr>
      </w:pPr>
      <w:r>
        <w:rPr>
          <w:rFonts w:hint="eastAsia" w:cs="宋体"/>
          <w:b/>
          <w:color w:val="000000" w:themeColor="text1"/>
          <w:sz w:val="24"/>
          <w:szCs w:val="24"/>
          <w:highlight w:val="none"/>
          <w14:textFill>
            <w14:solidFill>
              <w14:schemeClr w14:val="tx1"/>
            </w14:solidFill>
          </w14:textFill>
        </w:rPr>
        <w:t>承包人（全称）：</w:t>
      </w:r>
      <w:r>
        <w:rPr>
          <w:rFonts w:hint="eastAsia" w:cs="宋体"/>
          <w:b/>
          <w:color w:val="000000" w:themeColor="text1"/>
          <w:sz w:val="24"/>
          <w:szCs w:val="24"/>
          <w:highlight w:val="none"/>
          <w:u w:val="single"/>
          <w14:textFill>
            <w14:solidFill>
              <w14:schemeClr w14:val="tx1"/>
            </w14:solidFill>
          </w14:textFill>
        </w:rPr>
        <w:t xml:space="preserve">        </w:t>
      </w:r>
    </w:p>
    <w:p w14:paraId="55BC5B02">
      <w:pPr>
        <w:spacing w:line="360" w:lineRule="auto"/>
        <w:rPr>
          <w:rFonts w:ascii="Times New Roman" w:hAnsi="Times New Roman" w:eastAsia="仿宋_GB2312" w:cs="Times New Roman"/>
          <w:b/>
          <w:color w:val="000000" w:themeColor="text1"/>
          <w:kern w:val="2"/>
          <w:sz w:val="30"/>
          <w:szCs w:val="30"/>
          <w:highlight w:val="none"/>
          <w:u w:val="single"/>
          <w14:textFill>
            <w14:solidFill>
              <w14:schemeClr w14:val="tx1"/>
            </w14:solidFill>
          </w14:textFill>
        </w:rPr>
      </w:pPr>
    </w:p>
    <w:p w14:paraId="35FC3CFC">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根据《中华人民共和国民法典》《中华人民共和国建筑法》及有关法律规定，遵循平等、自愿、公平和诚实信用的原则，双方就</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工程施工及有关事项协商一致，共同达成如下协议：</w:t>
      </w:r>
    </w:p>
    <w:p w14:paraId="28BC608C">
      <w:pPr>
        <w:snapToGrid w:val="0"/>
        <w:spacing w:line="360" w:lineRule="auto"/>
        <w:ind w:firstLine="422" w:firstLineChars="200"/>
        <w:rPr>
          <w:rFonts w:cs="宋体"/>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一、工程概况</w:t>
      </w:r>
    </w:p>
    <w:p w14:paraId="5DD09BE5">
      <w:pPr>
        <w:snapToGrid w:val="0"/>
        <w:spacing w:line="360" w:lineRule="auto"/>
        <w:ind w:firstLine="411" w:firstLineChars="196"/>
        <w:rPr>
          <w:rFonts w:cs="宋体"/>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 工程名称</w:t>
      </w:r>
      <w:r>
        <w:rPr>
          <w:rFonts w:hint="eastAsia" w:cs="宋体"/>
          <w:color w:val="000000" w:themeColor="text1"/>
          <w:sz w:val="21"/>
          <w:szCs w:val="21"/>
          <w:highlight w:val="none"/>
          <w14:textFill>
            <w14:solidFill>
              <w14:schemeClr w14:val="tx1"/>
            </w14:solidFill>
          </w14:textFill>
        </w:rPr>
        <w:t>：</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26F99382">
      <w:pPr>
        <w:snapToGrid w:val="0"/>
        <w:spacing w:line="360" w:lineRule="auto"/>
        <w:ind w:firstLine="411" w:firstLineChars="196"/>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 工程地点：</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4F9CAA9B">
      <w:pPr>
        <w:snapToGrid w:val="0"/>
        <w:spacing w:line="360" w:lineRule="auto"/>
        <w:ind w:firstLine="411" w:firstLineChars="196"/>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 工程立项批准文号：</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bCs/>
          <w:color w:val="000000" w:themeColor="text1"/>
          <w:sz w:val="21"/>
          <w:szCs w:val="21"/>
          <w:highlight w:val="none"/>
          <w14:textFill>
            <w14:solidFill>
              <w14:schemeClr w14:val="tx1"/>
            </w14:solidFill>
          </w14:textFill>
        </w:rPr>
        <w:t>。</w:t>
      </w:r>
    </w:p>
    <w:p w14:paraId="4849E7FB">
      <w:pPr>
        <w:snapToGrid w:val="0"/>
        <w:spacing w:line="360" w:lineRule="auto"/>
        <w:ind w:firstLine="411" w:firstLineChars="196"/>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4. 资金来源：</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bCs/>
          <w:color w:val="000000" w:themeColor="text1"/>
          <w:sz w:val="21"/>
          <w:szCs w:val="21"/>
          <w:highlight w:val="none"/>
          <w14:textFill>
            <w14:solidFill>
              <w14:schemeClr w14:val="tx1"/>
            </w14:solidFill>
          </w14:textFill>
        </w:rPr>
        <w:t>。</w:t>
      </w:r>
    </w:p>
    <w:p w14:paraId="565562B2">
      <w:pPr>
        <w:snapToGrid w:val="0"/>
        <w:spacing w:line="360" w:lineRule="auto"/>
        <w:ind w:firstLine="411" w:firstLineChars="196"/>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5. 工程内容：</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bCs/>
          <w:color w:val="000000" w:themeColor="text1"/>
          <w:sz w:val="21"/>
          <w:szCs w:val="21"/>
          <w:highlight w:val="none"/>
          <w14:textFill>
            <w14:solidFill>
              <w14:schemeClr w14:val="tx1"/>
            </w14:solidFill>
          </w14:textFill>
        </w:rPr>
        <w:t>。</w:t>
      </w:r>
    </w:p>
    <w:p w14:paraId="24B830B1">
      <w:pPr>
        <w:snapToGrid w:val="0"/>
        <w:spacing w:line="360" w:lineRule="auto"/>
        <w:ind w:firstLine="411" w:firstLineChars="196"/>
        <w:rPr>
          <w:rFonts w:cs="宋体"/>
          <w:bCs/>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群体工程应附《承包人承揽工程项目一览表》（附件1）。</w:t>
      </w:r>
    </w:p>
    <w:p w14:paraId="4930AA9A">
      <w:pPr>
        <w:snapToGrid w:val="0"/>
        <w:spacing w:line="360" w:lineRule="auto"/>
        <w:ind w:firstLine="411" w:firstLineChars="196"/>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6. 工程承包范围：</w:t>
      </w:r>
    </w:p>
    <w:p w14:paraId="6B0DA78A">
      <w:pPr>
        <w:snapToGrid w:val="0"/>
        <w:spacing w:line="360" w:lineRule="auto"/>
        <w:ind w:firstLine="405" w:firstLineChars="193"/>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xml:space="preserve">      </w:t>
      </w:r>
    </w:p>
    <w:p w14:paraId="05E151EC">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w:t>
      </w:r>
      <w:r>
        <w:rPr>
          <w:rFonts w:hint="eastAsia" w:cs="宋体"/>
          <w:color w:val="000000" w:themeColor="text1"/>
          <w:sz w:val="21"/>
          <w:szCs w:val="21"/>
          <w:highlight w:val="none"/>
          <w14:textFill>
            <w14:solidFill>
              <w14:schemeClr w14:val="tx1"/>
            </w14:solidFill>
          </w14:textFill>
        </w:rPr>
        <w:t>。</w:t>
      </w:r>
    </w:p>
    <w:p w14:paraId="301076B8">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63" w:name="_Toc351203482"/>
      <w:r>
        <w:rPr>
          <w:rFonts w:hint="eastAsia" w:cs="宋体"/>
          <w:b/>
          <w:color w:val="000000" w:themeColor="text1"/>
          <w:sz w:val="21"/>
          <w:szCs w:val="21"/>
          <w:highlight w:val="none"/>
          <w14:textFill>
            <w14:solidFill>
              <w14:schemeClr w14:val="tx1"/>
            </w14:solidFill>
          </w14:textFill>
        </w:rPr>
        <w:t>二、合同工期</w:t>
      </w:r>
      <w:bookmarkEnd w:id="63"/>
    </w:p>
    <w:p w14:paraId="02A73C3A">
      <w:pPr>
        <w:snapToGrid w:val="0"/>
        <w:spacing w:line="360" w:lineRule="auto"/>
        <w:ind w:firstLine="459"/>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计划开工日期：</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年</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月</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日。</w:t>
      </w:r>
    </w:p>
    <w:p w14:paraId="64BE2634">
      <w:pPr>
        <w:snapToGrid w:val="0"/>
        <w:spacing w:line="360" w:lineRule="auto"/>
        <w:ind w:firstLine="459"/>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计划竣工日期：</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年</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月</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日。</w:t>
      </w:r>
    </w:p>
    <w:p w14:paraId="6DCC8E61">
      <w:pPr>
        <w:snapToGrid w:val="0"/>
        <w:spacing w:line="360" w:lineRule="auto"/>
        <w:ind w:firstLine="459"/>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工期总日历天数：</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天。工期总日历天数与根据前述计划开竣工日期计算的工期天数不一致的，以工期总日历天数为准。</w:t>
      </w:r>
    </w:p>
    <w:p w14:paraId="5B7F08E3">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64" w:name="_Toc351203483"/>
      <w:r>
        <w:rPr>
          <w:rFonts w:hint="eastAsia" w:cs="宋体"/>
          <w:b/>
          <w:color w:val="000000" w:themeColor="text1"/>
          <w:sz w:val="21"/>
          <w:szCs w:val="21"/>
          <w:highlight w:val="none"/>
          <w14:textFill>
            <w14:solidFill>
              <w14:schemeClr w14:val="tx1"/>
            </w14:solidFill>
          </w14:textFill>
        </w:rPr>
        <w:t>三、质量标准</w:t>
      </w:r>
      <w:bookmarkEnd w:id="64"/>
    </w:p>
    <w:p w14:paraId="3384CACD">
      <w:pPr>
        <w:snapToGrid w:val="0"/>
        <w:spacing w:line="360" w:lineRule="auto"/>
        <w:ind w:firstLine="459"/>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工程质量符合</w:t>
      </w:r>
      <w:r>
        <w:rPr>
          <w:rFonts w:hint="eastAsia" w:cs="宋体"/>
          <w:color w:val="000000" w:themeColor="text1"/>
          <w:sz w:val="21"/>
          <w:szCs w:val="21"/>
          <w:highlight w:val="none"/>
          <w:u w:val="single"/>
          <w14:textFill>
            <w14:solidFill>
              <w14:schemeClr w14:val="tx1"/>
            </w14:solidFill>
          </w14:textFill>
        </w:rPr>
        <w:t xml:space="preserve"> 合格 </w:t>
      </w:r>
      <w:r>
        <w:rPr>
          <w:rFonts w:hint="eastAsia" w:cs="宋体"/>
          <w:color w:val="000000" w:themeColor="text1"/>
          <w:sz w:val="21"/>
          <w:szCs w:val="21"/>
          <w:highlight w:val="none"/>
          <w14:textFill>
            <w14:solidFill>
              <w14:schemeClr w14:val="tx1"/>
            </w14:solidFill>
          </w14:textFill>
        </w:rPr>
        <w:t>标准。</w:t>
      </w:r>
    </w:p>
    <w:p w14:paraId="0864E840">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65" w:name="_Toc351203484"/>
      <w:r>
        <w:rPr>
          <w:rFonts w:hint="eastAsia" w:cs="宋体"/>
          <w:b/>
          <w:color w:val="000000" w:themeColor="text1"/>
          <w:sz w:val="21"/>
          <w:szCs w:val="21"/>
          <w:highlight w:val="none"/>
          <w14:textFill>
            <w14:solidFill>
              <w14:schemeClr w14:val="tx1"/>
            </w14:solidFill>
          </w14:textFill>
        </w:rPr>
        <w:t>四、签约合同价与合同价格形式</w:t>
      </w:r>
      <w:bookmarkEnd w:id="65"/>
    </w:p>
    <w:p w14:paraId="222EA78F">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 签约合同价为：</w:t>
      </w:r>
    </w:p>
    <w:p w14:paraId="72DED749">
      <w:pPr>
        <w:snapToGrid w:val="0"/>
        <w:spacing w:line="360" w:lineRule="auto"/>
        <w:ind w:firstLine="525" w:firstLineChars="25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人民币（大写）</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元）；</w:t>
      </w:r>
    </w:p>
    <w:p w14:paraId="69F61084">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其中：</w:t>
      </w:r>
    </w:p>
    <w:p w14:paraId="1FE481AE">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（1）安全文明施工费：</w:t>
      </w:r>
    </w:p>
    <w:p w14:paraId="1C4FAF01">
      <w:pPr>
        <w:snapToGrid w:val="0"/>
        <w:spacing w:line="360" w:lineRule="auto"/>
        <w:ind w:firstLine="945" w:firstLineChars="45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人民币（大写）</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元）；</w:t>
      </w:r>
    </w:p>
    <w:p w14:paraId="37F97515">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（2）材料和工程设备暂估价金额：</w:t>
      </w:r>
    </w:p>
    <w:p w14:paraId="780D778C">
      <w:pPr>
        <w:snapToGrid w:val="0"/>
        <w:spacing w:line="360" w:lineRule="auto"/>
        <w:ind w:firstLine="945" w:firstLineChars="45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人民币（大写）</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元）；</w:t>
      </w:r>
    </w:p>
    <w:p w14:paraId="37B03CA8">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（3）专业工程暂估价金额：</w:t>
      </w:r>
    </w:p>
    <w:p w14:paraId="7F13CA2D">
      <w:pPr>
        <w:snapToGrid w:val="0"/>
        <w:spacing w:line="360" w:lineRule="auto"/>
        <w:ind w:firstLine="945" w:firstLineChars="45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人民币（大写）</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元）；</w:t>
      </w:r>
    </w:p>
    <w:p w14:paraId="354015B0">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（4）暂列金额：</w:t>
      </w:r>
    </w:p>
    <w:p w14:paraId="768CC5CB">
      <w:pPr>
        <w:snapToGrid w:val="0"/>
        <w:spacing w:line="360" w:lineRule="auto"/>
        <w:ind w:firstLine="945" w:firstLineChars="45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人民币（大写）</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元）。</w:t>
      </w:r>
    </w:p>
    <w:p w14:paraId="118CFA2E">
      <w:pPr>
        <w:numPr>
          <w:ilvl w:val="0"/>
          <w:numId w:val="10"/>
        </w:num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合同价格形式：</w:t>
      </w:r>
      <w:r>
        <w:rPr>
          <w:rFonts w:hint="eastAsia" w:cs="宋体"/>
          <w:color w:val="000000" w:themeColor="text1"/>
          <w:sz w:val="21"/>
          <w:szCs w:val="21"/>
          <w:highlight w:val="none"/>
          <w:u w:val="single"/>
          <w14:textFill>
            <w14:solidFill>
              <w14:schemeClr w14:val="tx1"/>
            </w14:solidFill>
          </w14:textFill>
        </w:rPr>
        <w:t xml:space="preserve">单价合同 </w:t>
      </w:r>
      <w:r>
        <w:rPr>
          <w:rFonts w:hint="eastAsia" w:cs="宋体"/>
          <w:color w:val="000000" w:themeColor="text1"/>
          <w:sz w:val="21"/>
          <w:szCs w:val="21"/>
          <w:highlight w:val="none"/>
          <w14:textFill>
            <w14:solidFill>
              <w14:schemeClr w14:val="tx1"/>
            </w14:solidFill>
          </w14:textFill>
        </w:rPr>
        <w:t>。</w:t>
      </w:r>
    </w:p>
    <w:p w14:paraId="68666CE2">
      <w:pPr>
        <w:adjustRightInd w:val="0"/>
        <w:snapToGrid w:val="0"/>
        <w:spacing w:line="360" w:lineRule="auto"/>
        <w:ind w:firstLine="422" w:firstLineChars="200"/>
        <w:rPr>
          <w:rFonts w:cs="宋体"/>
          <w:b/>
          <w:color w:val="FF0000"/>
          <w:sz w:val="21"/>
          <w:szCs w:val="21"/>
          <w:highlight w:val="none"/>
        </w:rPr>
      </w:pPr>
      <w:r>
        <w:rPr>
          <w:rFonts w:hint="eastAsia" w:cs="宋体"/>
          <w:b/>
          <w:color w:val="FF0000"/>
          <w:sz w:val="21"/>
          <w:szCs w:val="21"/>
          <w:highlight w:val="none"/>
        </w:rPr>
        <w:t>2.1结算单价=（1-供应商报价下浮率）×采购人发布的工程量清单计价表的综合单价；</w:t>
      </w:r>
    </w:p>
    <w:p w14:paraId="3C6C0074">
      <w:pPr>
        <w:adjustRightInd w:val="0"/>
        <w:snapToGrid w:val="0"/>
        <w:spacing w:line="360" w:lineRule="auto"/>
        <w:ind w:firstLine="422" w:firstLineChars="200"/>
        <w:rPr>
          <w:rFonts w:hint="eastAsia" w:cs="宋体"/>
          <w:b/>
          <w:color w:val="FF0000"/>
          <w:sz w:val="21"/>
          <w:szCs w:val="21"/>
          <w:highlight w:val="none"/>
        </w:rPr>
      </w:pPr>
      <w:r>
        <w:rPr>
          <w:rFonts w:hint="eastAsia" w:cs="宋体"/>
          <w:b/>
          <w:color w:val="FF0000"/>
          <w:sz w:val="21"/>
          <w:szCs w:val="21"/>
          <w:highlight w:val="none"/>
        </w:rPr>
        <w:t>供应商</w:t>
      </w:r>
      <w:r>
        <w:rPr>
          <w:rFonts w:hint="eastAsia" w:eastAsia="宋体" w:cs="宋体"/>
          <w:b/>
          <w:bCs w:val="0"/>
          <w:color w:val="FF0000"/>
          <w:sz w:val="21"/>
          <w:szCs w:val="21"/>
          <w:highlight w:val="none"/>
          <w:lang w:val="en-US" w:eastAsia="zh-CN" w:bidi="ar-SA"/>
        </w:rPr>
        <w:t>报价</w:t>
      </w:r>
      <w:r>
        <w:rPr>
          <w:rFonts w:hint="eastAsia" w:cs="宋体"/>
          <w:b/>
          <w:color w:val="FF0000"/>
          <w:sz w:val="21"/>
          <w:szCs w:val="21"/>
          <w:highlight w:val="none"/>
        </w:rPr>
        <w:t>下浮率=（</w:t>
      </w:r>
      <w:r>
        <w:rPr>
          <w:rFonts w:hint="eastAsia" w:cs="宋体"/>
          <w:b/>
          <w:color w:val="FF0000"/>
          <w:sz w:val="21"/>
          <w:szCs w:val="21"/>
          <w:highlight w:val="none"/>
          <w:lang w:eastAsia="zh-CN"/>
        </w:rPr>
        <w:t>最高限价</w:t>
      </w:r>
      <w:r>
        <w:rPr>
          <w:rFonts w:hint="eastAsia" w:cs="宋体"/>
          <w:b/>
          <w:color w:val="FF0000"/>
          <w:sz w:val="21"/>
          <w:szCs w:val="21"/>
          <w:highlight w:val="none"/>
        </w:rPr>
        <w:t>-最后承诺报价）/</w:t>
      </w:r>
      <w:r>
        <w:rPr>
          <w:rFonts w:hint="eastAsia" w:cs="宋体"/>
          <w:b/>
          <w:color w:val="FF0000"/>
          <w:sz w:val="21"/>
          <w:szCs w:val="21"/>
          <w:highlight w:val="none"/>
          <w:lang w:eastAsia="zh-CN"/>
        </w:rPr>
        <w:t>最高限价</w:t>
      </w:r>
      <w:r>
        <w:rPr>
          <w:rFonts w:hint="eastAsia" w:cs="宋体"/>
          <w:b/>
          <w:color w:val="FF0000"/>
          <w:sz w:val="21"/>
          <w:szCs w:val="21"/>
          <w:highlight w:val="none"/>
        </w:rPr>
        <w:t>×100%，此下浮率调整原则适用于合同内价格的计算及项目增减、变更时价格的计算。（①以上</w:t>
      </w:r>
      <w:r>
        <w:rPr>
          <w:rFonts w:hint="eastAsia" w:cs="宋体"/>
          <w:b/>
          <w:color w:val="FF0000"/>
          <w:sz w:val="21"/>
          <w:szCs w:val="21"/>
          <w:highlight w:val="none"/>
          <w:lang w:eastAsia="zh-CN"/>
        </w:rPr>
        <w:t>最高限价</w:t>
      </w:r>
      <w:r>
        <w:rPr>
          <w:rFonts w:hint="eastAsia" w:cs="宋体"/>
          <w:b/>
          <w:color w:val="FF0000"/>
          <w:sz w:val="21"/>
          <w:szCs w:val="21"/>
          <w:highlight w:val="none"/>
        </w:rPr>
        <w:t>、最后承诺报价参与计算时均不含安全生产费；②计算结果保留小数点后两位，小数点后第三位“四舍五入”）</w:t>
      </w:r>
    </w:p>
    <w:p w14:paraId="23DFC03C">
      <w:pPr>
        <w:adjustRightInd w:val="0"/>
        <w:snapToGrid w:val="0"/>
        <w:spacing w:line="360" w:lineRule="auto"/>
        <w:ind w:firstLine="422" w:firstLineChars="200"/>
        <w:rPr>
          <w:rFonts w:hint="eastAsia" w:cs="宋体"/>
          <w:b/>
          <w:color w:val="FF0000"/>
          <w:sz w:val="21"/>
          <w:szCs w:val="21"/>
          <w:highlight w:val="none"/>
        </w:rPr>
      </w:pPr>
      <w:r>
        <w:rPr>
          <w:rFonts w:hint="eastAsia" w:cs="宋体"/>
          <w:b/>
          <w:color w:val="FF0000"/>
          <w:sz w:val="21"/>
          <w:szCs w:val="21"/>
          <w:highlight w:val="none"/>
        </w:rPr>
        <w:t>2.2（1）</w:t>
      </w:r>
      <w:r>
        <w:rPr>
          <w:rFonts w:hint="eastAsia" w:ascii="宋体" w:hAnsi="宋体" w:eastAsia="宋体" w:cs="宋体"/>
          <w:b/>
          <w:color w:val="FF0000"/>
          <w:kern w:val="0"/>
          <w:sz w:val="21"/>
          <w:szCs w:val="21"/>
          <w:highlight w:val="none"/>
        </w:rPr>
        <w:t>安全生产费为固定价格，专款专用，开工前报具体的措施方案，经合同甲方审核同意后实施，据实结算。</w:t>
      </w:r>
    </w:p>
    <w:p w14:paraId="1F6E15D7">
      <w:pPr>
        <w:adjustRightInd w:val="0"/>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3.付款方式：</w:t>
      </w:r>
    </w:p>
    <w:p w14:paraId="5D48992B">
      <w:pPr>
        <w:snapToGrid w:val="0"/>
        <w:spacing w:line="360" w:lineRule="auto"/>
        <w:ind w:firstLine="420" w:firstLineChars="200"/>
        <w:jc w:val="left"/>
        <w:rPr>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u w:val="single"/>
          <w14:textFill>
            <w14:solidFill>
              <w14:schemeClr w14:val="tx1"/>
            </w14:solidFill>
          </w14:textFill>
        </w:rPr>
        <w:t>①合同签订后，经乙方申请，合同甲方审核确认后支付乙方签约合同价的</w:t>
      </w:r>
      <w:r>
        <w:rPr>
          <w:rFonts w:hint="eastAsia" w:cs="宋体"/>
          <w:b/>
          <w:color w:val="000000" w:themeColor="text1"/>
          <w:sz w:val="21"/>
          <w:szCs w:val="21"/>
          <w:highlight w:val="none"/>
          <w:u w:val="single"/>
          <w:lang w:val="en-US" w:eastAsia="zh-CN"/>
          <w14:textFill>
            <w14:solidFill>
              <w14:schemeClr w14:val="tx1"/>
            </w14:solidFill>
          </w14:textFill>
        </w:rPr>
        <w:t>6</w:t>
      </w:r>
      <w:r>
        <w:rPr>
          <w:rFonts w:hint="eastAsia" w:cs="宋体"/>
          <w:b/>
          <w:color w:val="000000" w:themeColor="text1"/>
          <w:sz w:val="21"/>
          <w:szCs w:val="21"/>
          <w:highlight w:val="none"/>
          <w:u w:val="single"/>
          <w14:textFill>
            <w14:solidFill>
              <w14:schemeClr w14:val="tx1"/>
            </w14:solidFill>
          </w14:textFill>
        </w:rPr>
        <w:t>0%</w:t>
      </w:r>
      <w:r>
        <w:rPr>
          <w:rFonts w:hint="eastAsia" w:cs="宋体"/>
          <w:bCs/>
          <w:color w:val="000000" w:themeColor="text1"/>
          <w:sz w:val="21"/>
          <w:szCs w:val="21"/>
          <w:highlight w:val="none"/>
          <w:u w:val="single"/>
          <w14:textFill>
            <w14:solidFill>
              <w14:schemeClr w14:val="tx1"/>
            </w14:solidFill>
          </w14:textFill>
        </w:rPr>
        <w:t>作为预付款（乙方须提交等额预付款担保）。合同价款按工程进度支付，完工验收并经结算审核后支付至结算价款的100%，并扣回所有预付款。</w:t>
      </w:r>
    </w:p>
    <w:p w14:paraId="4528EC13">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u w:val="single"/>
          <w14:textFill>
            <w14:solidFill>
              <w14:schemeClr w14:val="tx1"/>
            </w14:solidFill>
          </w14:textFill>
        </w:rPr>
        <w:t>②在签订合同时，乙方书面明确表示无需预付款，即乙方无需提供预付款担保，按皖财购〔2022〕556号规定，合同甲方可不再支付预付款。合同价款按工程进度支付，完工验收并经结算审核后支付至结算价款的100%。</w:t>
      </w:r>
    </w:p>
    <w:p w14:paraId="4DF56C7E">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66" w:name="_Toc351203485"/>
      <w:r>
        <w:rPr>
          <w:rFonts w:hint="eastAsia" w:cs="宋体"/>
          <w:b/>
          <w:color w:val="000000" w:themeColor="text1"/>
          <w:sz w:val="21"/>
          <w:szCs w:val="21"/>
          <w:highlight w:val="none"/>
          <w14:textFill>
            <w14:solidFill>
              <w14:schemeClr w14:val="tx1"/>
            </w14:solidFill>
          </w14:textFill>
        </w:rPr>
        <w:t>五、</w:t>
      </w:r>
      <w:bookmarkEnd w:id="66"/>
      <w:r>
        <w:rPr>
          <w:rFonts w:hint="eastAsia" w:cs="宋体"/>
          <w:b/>
          <w:color w:val="000000" w:themeColor="text1"/>
          <w:sz w:val="21"/>
          <w:szCs w:val="21"/>
          <w:highlight w:val="none"/>
          <w14:textFill>
            <w14:solidFill>
              <w14:schemeClr w14:val="tx1"/>
            </w14:solidFill>
          </w14:textFill>
        </w:rPr>
        <w:t>项目经理</w:t>
      </w:r>
    </w:p>
    <w:p w14:paraId="5B500493">
      <w:pPr>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承包人项目经理：</w:t>
      </w:r>
      <w:r>
        <w:rPr>
          <w:rFonts w:hint="eastAsia" w:cs="宋体"/>
          <w:color w:val="000000" w:themeColor="text1"/>
          <w:sz w:val="21"/>
          <w:szCs w:val="21"/>
          <w:highlight w:val="none"/>
          <w:u w:val="single"/>
          <w14:textFill>
            <w14:solidFill>
              <w14:schemeClr w14:val="tx1"/>
            </w14:solidFill>
          </w14:textFill>
        </w:rPr>
        <w:t>                     </w:t>
      </w:r>
      <w:r>
        <w:rPr>
          <w:rFonts w:hint="eastAsia" w:cs="宋体"/>
          <w:color w:val="000000" w:themeColor="text1"/>
          <w:sz w:val="21"/>
          <w:szCs w:val="21"/>
          <w:highlight w:val="none"/>
          <w14:textFill>
            <w14:solidFill>
              <w14:schemeClr w14:val="tx1"/>
            </w14:solidFill>
          </w14:textFill>
        </w:rPr>
        <w:t>。</w:t>
      </w:r>
    </w:p>
    <w:p w14:paraId="27CC5D56">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67" w:name="_Toc351203486"/>
      <w:r>
        <w:rPr>
          <w:rFonts w:hint="eastAsia" w:cs="宋体"/>
          <w:b/>
          <w:color w:val="000000" w:themeColor="text1"/>
          <w:sz w:val="21"/>
          <w:szCs w:val="21"/>
          <w:highlight w:val="none"/>
          <w14:textFill>
            <w14:solidFill>
              <w14:schemeClr w14:val="tx1"/>
            </w14:solidFill>
          </w14:textFill>
        </w:rPr>
        <w:t>六、合同文件构成</w:t>
      </w:r>
      <w:bookmarkEnd w:id="67"/>
    </w:p>
    <w:p w14:paraId="66256F3A">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本协议书与下列文件一起构成合同文件：</w:t>
      </w:r>
    </w:p>
    <w:p w14:paraId="4528ECBF">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（1）中标通知书（如果有）；</w:t>
      </w:r>
    </w:p>
    <w:p w14:paraId="4E0F2BB6">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 xml:space="preserve">（2）投标函及其附录（如果有）； </w:t>
      </w:r>
    </w:p>
    <w:p w14:paraId="370CB42B">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（3）专用合同条款及其附件；</w:t>
      </w:r>
    </w:p>
    <w:p w14:paraId="7D68A14C">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（4）通用合同条款；</w:t>
      </w:r>
    </w:p>
    <w:p w14:paraId="3200CBFC">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（5）技术标准和要求；</w:t>
      </w:r>
    </w:p>
    <w:p w14:paraId="639E4143">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（6）图纸；</w:t>
      </w:r>
    </w:p>
    <w:p w14:paraId="493A8274">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（7）已标价工程量清单或预算书；</w:t>
      </w:r>
    </w:p>
    <w:p w14:paraId="64AB712F">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（8）其他合同文件。</w:t>
      </w:r>
    </w:p>
    <w:p w14:paraId="2021F822">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在合同订立及履行过程中形成的与合同有关的文件均构成合同文件组成部分。</w:t>
      </w:r>
    </w:p>
    <w:p w14:paraId="523904F2">
      <w:pPr>
        <w:autoSpaceDE w:val="0"/>
        <w:autoSpaceDN w:val="0"/>
        <w:adjustRightInd w:val="0"/>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上述各项合同文件包括合同当事人就该项合同文件所作出的补充和修改，属于同一类内容的文件，应以最新签署的为准。专用合同条款及其附件须经合同当事人签字或盖章。</w:t>
      </w:r>
    </w:p>
    <w:p w14:paraId="707F9486">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68" w:name="_Toc351203487"/>
      <w:r>
        <w:rPr>
          <w:rFonts w:hint="eastAsia" w:cs="宋体"/>
          <w:b/>
          <w:color w:val="000000" w:themeColor="text1"/>
          <w:sz w:val="21"/>
          <w:szCs w:val="21"/>
          <w:highlight w:val="none"/>
          <w14:textFill>
            <w14:solidFill>
              <w14:schemeClr w14:val="tx1"/>
            </w14:solidFill>
          </w14:textFill>
        </w:rPr>
        <w:t>七、承诺</w:t>
      </w:r>
      <w:bookmarkEnd w:id="68"/>
    </w:p>
    <w:p w14:paraId="6971C5FF">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bookmarkStart w:id="69" w:name="_Toc351203488"/>
      <w:r>
        <w:rPr>
          <w:rFonts w:hint="eastAsia" w:cs="宋体"/>
          <w:bCs/>
          <w:color w:val="000000" w:themeColor="text1"/>
          <w:sz w:val="21"/>
          <w:szCs w:val="21"/>
          <w:highlight w:val="none"/>
          <w14:textFill>
            <w14:solidFill>
              <w14:schemeClr w14:val="tx1"/>
            </w14:solidFill>
          </w14:textFill>
        </w:rPr>
        <w:t>1. 发包人承诺按照法律规定履行项目审批手续、筹集工程建设资金并按照合同约定的期限和方式支付合同价款。</w:t>
      </w:r>
    </w:p>
    <w:p w14:paraId="4CC5C870">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 承包人承诺按照法律规定及合同约定组织完成工程施工，确保工程质量和安全，不进行转包及违法分包，并在缺陷责任期及保修期内承担相应的工程维修责任。</w:t>
      </w:r>
    </w:p>
    <w:p w14:paraId="5AA753BE">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 发包人和承包人通过招投标形式签订合同的，双方理解并承诺不再就同一工程另行签订与合同实质性内容相背离的协议。</w:t>
      </w:r>
    </w:p>
    <w:p w14:paraId="60447ECE">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4.承包人安全管理责任</w:t>
      </w:r>
    </w:p>
    <w:p w14:paraId="3EC19C6C">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承包人在合同履约过程中，应加强人员管理，确保人员工作安全，防范安全生产事故，承包人在履行本合同过程中发生的任何工伤或意外伤亡等，均由承包人负责处理并承担全部费用；若因此给发包方或第三方造成损失，由承包人予以全额赔偿。</w:t>
      </w:r>
    </w:p>
    <w:p w14:paraId="249AB12E">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（2）本项目所有从业人员购买以下保险（三者任选其一）：</w:t>
      </w:r>
      <w:r>
        <w:rPr>
          <w:rFonts w:hint="eastAsia" w:cs="宋体"/>
          <w:b/>
          <w:bCs/>
          <w:color w:val="000000" w:themeColor="text1"/>
          <w:sz w:val="21"/>
          <w:szCs w:val="21"/>
          <w:highlight w:val="none"/>
          <w:u w:val="single"/>
          <w14:textFill>
            <w14:solidFill>
              <w14:schemeClr w14:val="tx1"/>
            </w14:solidFill>
          </w14:textFill>
        </w:rPr>
        <w:t>雇主责任险或团体意外险或安全生产责任险</w:t>
      </w:r>
      <w:r>
        <w:rPr>
          <w:rFonts w:hint="eastAsia" w:cs="宋体"/>
          <w:bCs/>
          <w:color w:val="000000" w:themeColor="text1"/>
          <w:sz w:val="21"/>
          <w:szCs w:val="21"/>
          <w:highlight w:val="none"/>
          <w14:textFill>
            <w14:solidFill>
              <w14:schemeClr w14:val="tx1"/>
            </w14:solidFill>
          </w14:textFill>
        </w:rPr>
        <w:t>，其保险费已包含在签约合同价中。</w:t>
      </w:r>
    </w:p>
    <w:p w14:paraId="5D8BF24C">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安全承诺:承包人承诺，作业过程中如出现作业人员未有效佩戴现场安全防护必需的安全帽、安全绳、救生衣以及其他必需的作业防护等安全防护用品，发生不安全行为的，每出现一次，从合同结算价中自愿核减1000元，减完为止。</w:t>
      </w:r>
    </w:p>
    <w:p w14:paraId="5CDB3D7A">
      <w:pPr>
        <w:snapToGrid w:val="0"/>
        <w:spacing w:line="360" w:lineRule="auto"/>
        <w:ind w:firstLine="422" w:firstLineChars="200"/>
        <w:rPr>
          <w:rFonts w:cs="宋体"/>
          <w:b/>
          <w:bCs w:val="0"/>
          <w:color w:val="000000" w:themeColor="text1"/>
          <w:sz w:val="21"/>
          <w:szCs w:val="21"/>
          <w:highlight w:val="none"/>
          <w14:textFill>
            <w14:solidFill>
              <w14:schemeClr w14:val="tx1"/>
            </w14:solidFill>
          </w14:textFill>
        </w:rPr>
      </w:pPr>
      <w:r>
        <w:rPr>
          <w:rFonts w:hint="eastAsia" w:cs="宋体"/>
          <w:b/>
          <w:bCs w:val="0"/>
          <w:color w:val="000000" w:themeColor="text1"/>
          <w:sz w:val="21"/>
          <w:szCs w:val="21"/>
          <w:highlight w:val="none"/>
          <w14:textFill>
            <w14:solidFill>
              <w14:schemeClr w14:val="tx1"/>
            </w14:solidFill>
          </w14:textFill>
        </w:rPr>
        <w:t>（4）</w:t>
      </w:r>
      <w:bookmarkStart w:id="70" w:name="_Hlk221891481"/>
      <w:r>
        <w:rPr>
          <w:rFonts w:hint="eastAsia" w:cs="宋体"/>
          <w:b/>
          <w:bCs w:val="0"/>
          <w:color w:val="000000" w:themeColor="text1"/>
          <w:sz w:val="21"/>
          <w:szCs w:val="21"/>
          <w:highlight w:val="none"/>
          <w14:textFill>
            <w14:solidFill>
              <w14:schemeClr w14:val="tx1"/>
            </w14:solidFill>
          </w14:textFill>
        </w:rPr>
        <w:t>乙方承诺：作业过程中，不使用对周边水体、环境有害的用品用具和方式方法。若因此对周边水体、环境及第三方造成损害，乙方依法承担全部责任。</w:t>
      </w:r>
    </w:p>
    <w:bookmarkEnd w:id="70"/>
    <w:p w14:paraId="61D2526D">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5.承包人保障农民工工资的承诺</w:t>
      </w:r>
    </w:p>
    <w:p w14:paraId="5CB10905">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为保护农民工的合法权益，不拖欠农民工工资，我单位中标后承诺做到:</w:t>
      </w:r>
    </w:p>
    <w:p w14:paraId="0EB3F477">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   1.严格按照《中华人民共和国劳动法》规定，不克扣或者无故拖欠本项目履约过程中劳动者的工资及雇佣费用。</w:t>
      </w:r>
    </w:p>
    <w:p w14:paraId="28B61F12">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   2.履约过程中所有劳动者的工资及雇佣费用，将由我公司先行垫付。</w:t>
      </w:r>
    </w:p>
    <w:p w14:paraId="6DD2C4F6">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   3.如果发生违反规定拖欠或克扣农民工工资行为，本单位支持甲方依照有关规定对我单位作出的相关措施（包括但不限于从履约保证金或工程进度款等款项中支付拖欠的农民工工资）。</w:t>
      </w:r>
    </w:p>
    <w:p w14:paraId="49DAFFE3">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八、词语含义</w:t>
      </w:r>
      <w:bookmarkEnd w:id="69"/>
    </w:p>
    <w:p w14:paraId="71977E4E">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本协议书中词语含义与第二部分通用合同条款中赋予的含义相同。</w:t>
      </w:r>
    </w:p>
    <w:p w14:paraId="5BD5642E">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71" w:name="_Toc351203489"/>
      <w:r>
        <w:rPr>
          <w:rFonts w:hint="eastAsia" w:cs="宋体"/>
          <w:b/>
          <w:color w:val="000000" w:themeColor="text1"/>
          <w:sz w:val="21"/>
          <w:szCs w:val="21"/>
          <w:highlight w:val="none"/>
          <w14:textFill>
            <w14:solidFill>
              <w14:schemeClr w14:val="tx1"/>
            </w14:solidFill>
          </w14:textFill>
        </w:rPr>
        <w:t>九、签订时间</w:t>
      </w:r>
      <w:bookmarkEnd w:id="71"/>
    </w:p>
    <w:p w14:paraId="24711DA4">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本合同于</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年</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月</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日签订。</w:t>
      </w:r>
    </w:p>
    <w:p w14:paraId="228AE9C2">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72" w:name="_Toc351203490"/>
      <w:r>
        <w:rPr>
          <w:rFonts w:hint="eastAsia" w:cs="宋体"/>
          <w:b/>
          <w:color w:val="000000" w:themeColor="text1"/>
          <w:sz w:val="21"/>
          <w:szCs w:val="21"/>
          <w:highlight w:val="none"/>
          <w14:textFill>
            <w14:solidFill>
              <w14:schemeClr w14:val="tx1"/>
            </w14:solidFill>
          </w14:textFill>
        </w:rPr>
        <w:t>十、签订地点</w:t>
      </w:r>
      <w:bookmarkEnd w:id="72"/>
    </w:p>
    <w:p w14:paraId="46366E66">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本合同在</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签订。</w:t>
      </w:r>
    </w:p>
    <w:p w14:paraId="31361E5D">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73" w:name="_Toc351203491"/>
      <w:r>
        <w:rPr>
          <w:rFonts w:hint="eastAsia" w:cs="宋体"/>
          <w:b/>
          <w:color w:val="000000" w:themeColor="text1"/>
          <w:sz w:val="21"/>
          <w:szCs w:val="21"/>
          <w:highlight w:val="none"/>
          <w14:textFill>
            <w14:solidFill>
              <w14:schemeClr w14:val="tx1"/>
            </w14:solidFill>
          </w14:textFill>
        </w:rPr>
        <w:t>十一、补充协议</w:t>
      </w:r>
      <w:bookmarkEnd w:id="73"/>
    </w:p>
    <w:p w14:paraId="0437B16D">
      <w:pPr>
        <w:snapToGrid w:val="0"/>
        <w:spacing w:line="360" w:lineRule="auto"/>
        <w:ind w:firstLine="420" w:firstLineChars="200"/>
        <w:rPr>
          <w:rFonts w:cs="宋体"/>
          <w:b/>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合同未尽事宜，合同当事人另行签订补充协议，补充协议是合同的组成部分。</w:t>
      </w:r>
    </w:p>
    <w:p w14:paraId="679E5BB1">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74" w:name="_Toc351203492"/>
      <w:r>
        <w:rPr>
          <w:rFonts w:hint="eastAsia" w:cs="宋体"/>
          <w:b/>
          <w:color w:val="000000" w:themeColor="text1"/>
          <w:sz w:val="21"/>
          <w:szCs w:val="21"/>
          <w:highlight w:val="none"/>
          <w14:textFill>
            <w14:solidFill>
              <w14:schemeClr w14:val="tx1"/>
            </w14:solidFill>
          </w14:textFill>
        </w:rPr>
        <w:t>十二、合同生效</w:t>
      </w:r>
      <w:bookmarkEnd w:id="74"/>
    </w:p>
    <w:p w14:paraId="41307EE0">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本合同自</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生效。</w:t>
      </w:r>
    </w:p>
    <w:p w14:paraId="7C802E97">
      <w:pPr>
        <w:snapToGrid w:val="0"/>
        <w:spacing w:line="360" w:lineRule="auto"/>
        <w:ind w:firstLine="422" w:firstLineChars="200"/>
        <w:rPr>
          <w:rFonts w:cs="宋体"/>
          <w:b/>
          <w:color w:val="000000" w:themeColor="text1"/>
          <w:sz w:val="21"/>
          <w:szCs w:val="21"/>
          <w:highlight w:val="none"/>
          <w14:textFill>
            <w14:solidFill>
              <w14:schemeClr w14:val="tx1"/>
            </w14:solidFill>
          </w14:textFill>
        </w:rPr>
      </w:pPr>
      <w:bookmarkStart w:id="75" w:name="_Toc351203493"/>
      <w:r>
        <w:rPr>
          <w:rFonts w:hint="eastAsia" w:cs="宋体"/>
          <w:b/>
          <w:color w:val="000000" w:themeColor="text1"/>
          <w:sz w:val="21"/>
          <w:szCs w:val="21"/>
          <w:highlight w:val="none"/>
          <w14:textFill>
            <w14:solidFill>
              <w14:schemeClr w14:val="tx1"/>
            </w14:solidFill>
          </w14:textFill>
        </w:rPr>
        <w:t>十三、合同份数</w:t>
      </w:r>
      <w:bookmarkEnd w:id="75"/>
    </w:p>
    <w:p w14:paraId="5C88412D">
      <w:pPr>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本合同一式</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份，均具有同等法律效力，发包人执</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份，承包人执</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份。</w:t>
      </w:r>
    </w:p>
    <w:p w14:paraId="723951F5">
      <w:pPr>
        <w:snapToGrid w:val="0"/>
        <w:spacing w:line="360" w:lineRule="auto"/>
        <w:rPr>
          <w:rFonts w:cs="宋体"/>
          <w:bCs/>
          <w:color w:val="000000" w:themeColor="text1"/>
          <w:sz w:val="21"/>
          <w:szCs w:val="21"/>
          <w:highlight w:val="none"/>
          <w14:textFill>
            <w14:solidFill>
              <w14:schemeClr w14:val="tx1"/>
            </w14:solidFill>
          </w14:textFill>
        </w:rPr>
      </w:pPr>
    </w:p>
    <w:p w14:paraId="1C0A1273">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w:t>
      </w:r>
      <w:r>
        <w:rPr>
          <w:rFonts w:hint="eastAsia" w:cs="宋体"/>
          <w:color w:val="000000" w:themeColor="text1"/>
          <w:sz w:val="21"/>
          <w:szCs w:val="21"/>
          <w:highlight w:val="none"/>
          <w:u w:val="single"/>
          <w14:textFill>
            <w14:solidFill>
              <w14:schemeClr w14:val="tx1"/>
            </w14:solidFill>
          </w14:textFill>
        </w:rPr>
        <w:t>      （</w:t>
      </w:r>
      <w:r>
        <w:rPr>
          <w:rFonts w:hint="eastAsia" w:cs="宋体"/>
          <w:color w:val="000000" w:themeColor="text1"/>
          <w:sz w:val="21"/>
          <w:szCs w:val="21"/>
          <w:highlight w:val="none"/>
          <w14:textFill>
            <w14:solidFill>
              <w14:schemeClr w14:val="tx1"/>
            </w14:solidFill>
          </w14:textFill>
        </w:rPr>
        <w:t>公章）                 承包人：</w:t>
      </w:r>
      <w:r>
        <w:rPr>
          <w:rFonts w:hint="eastAsia" w:cs="宋体"/>
          <w:color w:val="000000" w:themeColor="text1"/>
          <w:sz w:val="21"/>
          <w:szCs w:val="21"/>
          <w:highlight w:val="none"/>
          <w:u w:val="single"/>
          <w14:textFill>
            <w14:solidFill>
              <w14:schemeClr w14:val="tx1"/>
            </w14:solidFill>
          </w14:textFill>
        </w:rPr>
        <w:t>        （</w:t>
      </w:r>
      <w:r>
        <w:rPr>
          <w:rFonts w:hint="eastAsia" w:cs="宋体"/>
          <w:color w:val="000000" w:themeColor="text1"/>
          <w:sz w:val="21"/>
          <w:szCs w:val="21"/>
          <w:highlight w:val="none"/>
          <w14:textFill>
            <w14:solidFill>
              <w14:schemeClr w14:val="tx1"/>
            </w14:solidFill>
          </w14:textFill>
        </w:rPr>
        <w:t>公章）</w:t>
      </w:r>
    </w:p>
    <w:p w14:paraId="497295BA">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法定代表人或其委托代理人：                 法定代表人或其委托代理人：</w:t>
      </w:r>
    </w:p>
    <w:p w14:paraId="4BE6D324">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（签字）</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（签字）</w:t>
      </w:r>
      <w:r>
        <w:rPr>
          <w:rFonts w:hint="eastAsia" w:cs="宋体"/>
          <w:color w:val="000000" w:themeColor="text1"/>
          <w:sz w:val="21"/>
          <w:szCs w:val="21"/>
          <w:highlight w:val="none"/>
          <w:u w:val="single"/>
          <w14:textFill>
            <w14:solidFill>
              <w14:schemeClr w14:val="tx1"/>
            </w14:solidFill>
          </w14:textFill>
        </w:rPr>
        <w:t xml:space="preserve">                   </w:t>
      </w:r>
    </w:p>
    <w:p w14:paraId="713EEC5C">
      <w:pPr>
        <w:tabs>
          <w:tab w:val="left" w:pos="4410"/>
        </w:tabs>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组织机构代码：</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组织机构代码：</w:t>
      </w:r>
      <w:r>
        <w:rPr>
          <w:rFonts w:hint="eastAsia" w:cs="宋体"/>
          <w:color w:val="000000" w:themeColor="text1"/>
          <w:sz w:val="21"/>
          <w:szCs w:val="21"/>
          <w:highlight w:val="none"/>
          <w:u w:val="single"/>
          <w14:textFill>
            <w14:solidFill>
              <w14:schemeClr w14:val="tx1"/>
            </w14:solidFill>
          </w14:textFill>
        </w:rPr>
        <w:t xml:space="preserve">        </w:t>
      </w:r>
    </w:p>
    <w:p w14:paraId="15FE6EEC">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地  址：</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地  址：</w:t>
      </w:r>
      <w:r>
        <w:rPr>
          <w:rFonts w:hint="eastAsia" w:cs="宋体"/>
          <w:color w:val="000000" w:themeColor="text1"/>
          <w:sz w:val="21"/>
          <w:szCs w:val="21"/>
          <w:highlight w:val="none"/>
          <w:u w:val="single"/>
          <w14:textFill>
            <w14:solidFill>
              <w14:schemeClr w14:val="tx1"/>
            </w14:solidFill>
          </w14:textFill>
        </w:rPr>
        <w:t xml:space="preserve">     </w:t>
      </w:r>
    </w:p>
    <w:p w14:paraId="5CF223FB">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邮政编码：</w:t>
      </w:r>
      <w:r>
        <w:rPr>
          <w:rFonts w:hint="eastAsia" w:cs="宋体"/>
          <w:color w:val="000000" w:themeColor="text1"/>
          <w:sz w:val="21"/>
          <w:szCs w:val="21"/>
          <w:highlight w:val="none"/>
          <w:u w:val="single"/>
          <w14:textFill>
            <w14:solidFill>
              <w14:schemeClr w14:val="tx1"/>
            </w14:solidFill>
          </w14:textFill>
        </w:rPr>
        <w:t xml:space="preserve">      </w:t>
      </w:r>
      <w:r>
        <w:rPr>
          <w:rFonts w:hint="eastAsia" w:cs="宋体"/>
          <w:color w:val="000000" w:themeColor="text1"/>
          <w:sz w:val="21"/>
          <w:szCs w:val="21"/>
          <w:highlight w:val="none"/>
          <w14:textFill>
            <w14:solidFill>
              <w14:schemeClr w14:val="tx1"/>
            </w14:solidFill>
          </w14:textFill>
        </w:rPr>
        <w:t xml:space="preserve">               邮政编码：</w:t>
      </w:r>
      <w:r>
        <w:rPr>
          <w:rFonts w:hint="eastAsia" w:cs="宋体"/>
          <w:color w:val="000000" w:themeColor="text1"/>
          <w:sz w:val="21"/>
          <w:szCs w:val="21"/>
          <w:highlight w:val="none"/>
          <w:u w:val="single"/>
          <w14:textFill>
            <w14:solidFill>
              <w14:schemeClr w14:val="tx1"/>
            </w14:solidFill>
          </w14:textFill>
        </w:rPr>
        <w:t xml:space="preserve"> </w:t>
      </w:r>
    </w:p>
    <w:p w14:paraId="505B42A1">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法定代表人：</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法定代表人：</w:t>
      </w:r>
      <w:r>
        <w:rPr>
          <w:rFonts w:hint="eastAsia" w:cs="宋体"/>
          <w:color w:val="000000" w:themeColor="text1"/>
          <w:sz w:val="21"/>
          <w:szCs w:val="21"/>
          <w:highlight w:val="none"/>
          <w:u w:val="single"/>
          <w14:textFill>
            <w14:solidFill>
              <w14:schemeClr w14:val="tx1"/>
            </w14:solidFill>
          </w14:textFill>
        </w:rPr>
        <w:t xml:space="preserve">          </w:t>
      </w:r>
    </w:p>
    <w:p w14:paraId="5817EA49">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委托代理人：</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委托代理人：</w:t>
      </w:r>
      <w:r>
        <w:rPr>
          <w:rFonts w:hint="eastAsia" w:cs="宋体"/>
          <w:color w:val="000000" w:themeColor="text1"/>
          <w:sz w:val="21"/>
          <w:szCs w:val="21"/>
          <w:highlight w:val="none"/>
          <w:u w:val="single"/>
          <w14:textFill>
            <w14:solidFill>
              <w14:schemeClr w14:val="tx1"/>
            </w14:solidFill>
          </w14:textFill>
        </w:rPr>
        <w:t xml:space="preserve">          </w:t>
      </w:r>
    </w:p>
    <w:p w14:paraId="2883DD85">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电  话：</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电  话：</w:t>
      </w:r>
      <w:r>
        <w:rPr>
          <w:rFonts w:hint="eastAsia" w:cs="宋体"/>
          <w:color w:val="000000" w:themeColor="text1"/>
          <w:sz w:val="21"/>
          <w:szCs w:val="21"/>
          <w:highlight w:val="none"/>
          <w:u w:val="single"/>
          <w14:textFill>
            <w14:solidFill>
              <w14:schemeClr w14:val="tx1"/>
            </w14:solidFill>
          </w14:textFill>
        </w:rPr>
        <w:t xml:space="preserve">  </w:t>
      </w:r>
    </w:p>
    <w:p w14:paraId="65D5F97A">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传  真：</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传  真：</w:t>
      </w:r>
      <w:r>
        <w:rPr>
          <w:rFonts w:hint="eastAsia" w:cs="宋体"/>
          <w:color w:val="000000" w:themeColor="text1"/>
          <w:sz w:val="21"/>
          <w:szCs w:val="21"/>
          <w:highlight w:val="none"/>
          <w:u w:val="single"/>
          <w14:textFill>
            <w14:solidFill>
              <w14:schemeClr w14:val="tx1"/>
            </w14:solidFill>
          </w14:textFill>
        </w:rPr>
        <w:t>  </w:t>
      </w:r>
    </w:p>
    <w:p w14:paraId="5CD0A612">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电子信箱：</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电子信箱：</w:t>
      </w:r>
      <w:r>
        <w:rPr>
          <w:rFonts w:hint="eastAsia" w:cs="宋体"/>
          <w:color w:val="000000" w:themeColor="text1"/>
          <w:sz w:val="21"/>
          <w:szCs w:val="21"/>
          <w:highlight w:val="none"/>
          <w:u w:val="single"/>
          <w14:textFill>
            <w14:solidFill>
              <w14:schemeClr w14:val="tx1"/>
            </w14:solidFill>
          </w14:textFill>
        </w:rPr>
        <w:t></w:t>
      </w:r>
    </w:p>
    <w:p w14:paraId="4B7FD7D5">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开户银行：</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开户银行：</w:t>
      </w:r>
      <w:r>
        <w:rPr>
          <w:rFonts w:hint="eastAsia" w:cs="宋体"/>
          <w:color w:val="000000" w:themeColor="text1"/>
          <w:sz w:val="21"/>
          <w:szCs w:val="21"/>
          <w:highlight w:val="none"/>
          <w:u w:val="single"/>
          <w14:textFill>
            <w14:solidFill>
              <w14:schemeClr w14:val="tx1"/>
            </w14:solidFill>
          </w14:textFill>
        </w:rPr>
        <w:t></w:t>
      </w:r>
    </w:p>
    <w:p w14:paraId="0287D150">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账  号：</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账  号：</w:t>
      </w:r>
      <w:r>
        <w:rPr>
          <w:rFonts w:hint="eastAsia" w:cs="宋体"/>
          <w:color w:val="000000" w:themeColor="text1"/>
          <w:sz w:val="21"/>
          <w:szCs w:val="21"/>
          <w:highlight w:val="none"/>
          <w:u w:val="single"/>
          <w14:textFill>
            <w14:solidFill>
              <w14:schemeClr w14:val="tx1"/>
            </w14:solidFill>
          </w14:textFill>
        </w:rPr>
        <w:t xml:space="preserve">   </w:t>
      </w:r>
    </w:p>
    <w:p w14:paraId="2F758FC1">
      <w:pPr>
        <w:keepNext/>
        <w:keepLines/>
        <w:snapToGrid w:val="0"/>
        <w:spacing w:before="312" w:beforeLines="100" w:after="312" w:afterLines="100" w:line="360" w:lineRule="auto"/>
        <w:jc w:val="center"/>
        <w:outlineLvl w:val="1"/>
        <w:rPr>
          <w:rFonts w:cs="宋体"/>
          <w:bCs/>
          <w:color w:val="000000" w:themeColor="text1"/>
          <w:sz w:val="21"/>
          <w:szCs w:val="21"/>
          <w:highlight w:val="none"/>
          <w14:textFill>
            <w14:solidFill>
              <w14:schemeClr w14:val="tx1"/>
            </w14:solidFill>
          </w14:textFill>
        </w:rPr>
      </w:pPr>
      <w:r>
        <w:rPr>
          <w:rFonts w:hint="eastAsia" w:cs="宋体"/>
          <w:b/>
          <w:bCs/>
          <w:color w:val="000000" w:themeColor="text1"/>
          <w:sz w:val="21"/>
          <w:szCs w:val="21"/>
          <w:highlight w:val="none"/>
          <w14:textFill>
            <w14:solidFill>
              <w14:schemeClr w14:val="tx1"/>
            </w14:solidFill>
          </w14:textFill>
        </w:rPr>
        <w:br w:type="page"/>
      </w:r>
      <w:bookmarkStart w:id="76" w:name="_Toc28799377"/>
      <w:bookmarkStart w:id="77" w:name="_Toc130919121"/>
      <w:bookmarkStart w:id="78" w:name="_Toc30550"/>
      <w:r>
        <w:rPr>
          <w:rFonts w:hint="eastAsia" w:ascii="等线" w:hAnsi="等线" w:eastAsia="等线" w:cs="@仿宋_GB2312"/>
          <w:b/>
          <w:color w:val="000000" w:themeColor="text1"/>
          <w:kern w:val="2"/>
          <w:sz w:val="24"/>
          <w:highlight w:val="none"/>
          <w14:textFill>
            <w14:solidFill>
              <w14:schemeClr w14:val="tx1"/>
            </w14:solidFill>
          </w14:textFill>
        </w:rPr>
        <w:t>第二节  通用合同条款</w:t>
      </w:r>
      <w:bookmarkEnd w:id="76"/>
      <w:bookmarkEnd w:id="77"/>
      <w:bookmarkEnd w:id="78"/>
    </w:p>
    <w:p w14:paraId="4C18A09A">
      <w:pPr>
        <w:spacing w:line="360" w:lineRule="auto"/>
        <w:ind w:firstLine="560" w:firstLineChars="200"/>
        <w:rPr>
          <w:rFonts w:cs="Times New Roman"/>
          <w:snapToGrid w:val="0"/>
          <w:color w:val="000000" w:themeColor="text1"/>
          <w:sz w:val="28"/>
          <w:szCs w:val="24"/>
          <w:highlight w:val="none"/>
          <w14:textFill>
            <w14:solidFill>
              <w14:schemeClr w14:val="tx1"/>
            </w14:solidFill>
          </w14:textFill>
        </w:rPr>
      </w:pPr>
      <w:r>
        <w:rPr>
          <w:rFonts w:hint="eastAsia" w:cs="Times New Roman"/>
          <w:snapToGrid w:val="0"/>
          <w:color w:val="000000" w:themeColor="text1"/>
          <w:sz w:val="28"/>
          <w:szCs w:val="24"/>
          <w:highlight w:val="none"/>
          <w14:textFill>
            <w14:solidFill>
              <w14:schemeClr w14:val="tx1"/>
            </w14:solidFill>
          </w14:textFill>
        </w:rPr>
        <w:t>采用《建设工程施工合同（示范文本）》（GF-2017-0201）中通用合同条款。上述资料由承包人自行准备。</w:t>
      </w:r>
    </w:p>
    <w:p w14:paraId="67D61B58">
      <w:pPr>
        <w:keepNext/>
        <w:keepLines/>
        <w:snapToGrid w:val="0"/>
        <w:spacing w:before="312" w:beforeLines="100" w:after="312" w:afterLines="100" w:line="360" w:lineRule="auto"/>
        <w:jc w:val="center"/>
        <w:outlineLvl w:val="1"/>
        <w:rPr>
          <w:rFonts w:cs="宋体"/>
          <w:bCs/>
          <w:color w:val="000000" w:themeColor="text1"/>
          <w:sz w:val="21"/>
          <w:szCs w:val="21"/>
          <w:highlight w:val="none"/>
          <w14:textFill>
            <w14:solidFill>
              <w14:schemeClr w14:val="tx1"/>
            </w14:solidFill>
          </w14:textFill>
        </w:rPr>
      </w:pPr>
      <w:r>
        <w:rPr>
          <w:rFonts w:hint="eastAsia" w:cs="宋体"/>
          <w:b/>
          <w:bCs/>
          <w:color w:val="000000" w:themeColor="text1"/>
          <w:sz w:val="21"/>
          <w:szCs w:val="21"/>
          <w:highlight w:val="none"/>
          <w14:textFill>
            <w14:solidFill>
              <w14:schemeClr w14:val="tx1"/>
            </w14:solidFill>
          </w14:textFill>
        </w:rPr>
        <w:br w:type="page"/>
      </w:r>
      <w:bookmarkStart w:id="79" w:name="_Toc130919122"/>
      <w:bookmarkStart w:id="80" w:name="_Toc28799378"/>
      <w:bookmarkStart w:id="81" w:name="_Toc31931"/>
      <w:r>
        <w:rPr>
          <w:rFonts w:hint="eastAsia" w:ascii="等线" w:hAnsi="等线" w:eastAsia="等线" w:cs="@仿宋_GB2312"/>
          <w:b/>
          <w:color w:val="000000" w:themeColor="text1"/>
          <w:kern w:val="2"/>
          <w:sz w:val="24"/>
          <w:highlight w:val="none"/>
          <w14:textFill>
            <w14:solidFill>
              <w14:schemeClr w14:val="tx1"/>
            </w14:solidFill>
          </w14:textFill>
        </w:rPr>
        <w:t>第三节  专用合同条款</w:t>
      </w:r>
      <w:bookmarkEnd w:id="79"/>
      <w:bookmarkEnd w:id="80"/>
      <w:bookmarkEnd w:id="81"/>
    </w:p>
    <w:p w14:paraId="1BE3F249">
      <w:pPr>
        <w:snapToGrid w:val="0"/>
        <w:spacing w:before="312" w:beforeLines="100" w:after="312" w:afterLines="100" w:line="360" w:lineRule="auto"/>
        <w:jc w:val="center"/>
        <w:outlineLvl w:val="2"/>
        <w:rPr>
          <w:rFonts w:cs="宋体"/>
          <w:color w:val="000000" w:themeColor="text1"/>
          <w:sz w:val="21"/>
          <w:szCs w:val="21"/>
          <w:highlight w:val="none"/>
          <w14:textFill>
            <w14:solidFill>
              <w14:schemeClr w14:val="tx1"/>
            </w14:solidFill>
          </w14:textFill>
        </w:rPr>
      </w:pPr>
      <w:bookmarkStart w:id="82" w:name="_Toc351203633"/>
      <w:r>
        <w:rPr>
          <w:rFonts w:hint="eastAsia" w:cs="宋体"/>
          <w:color w:val="000000" w:themeColor="text1"/>
          <w:sz w:val="21"/>
          <w:szCs w:val="21"/>
          <w:highlight w:val="none"/>
          <w14:textFill>
            <w14:solidFill>
              <w14:schemeClr w14:val="tx1"/>
            </w14:solidFill>
          </w14:textFill>
        </w:rPr>
        <w:t>专用合同条款数据表</w:t>
      </w:r>
    </w:p>
    <w:p w14:paraId="12D2A2E7">
      <w:pPr>
        <w:pStyle w:val="20"/>
        <w:snapToGrid w:val="0"/>
        <w:spacing w:line="360" w:lineRule="auto"/>
        <w:ind w:left="400" w:firstLine="48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说明：本数据表是项目专用合同条款中适用于本招标项目的信息和数据的归纳与提示，是项目专用合同条款的组成部分。</w:t>
      </w:r>
    </w:p>
    <w:tbl>
      <w:tblPr>
        <w:tblStyle w:val="53"/>
        <w:tblW w:w="90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111"/>
        <w:gridCol w:w="7304"/>
      </w:tblGrid>
      <w:tr w14:paraId="1606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trPr>
        <w:tc>
          <w:tcPr>
            <w:tcW w:w="629" w:type="dxa"/>
            <w:vAlign w:val="center"/>
          </w:tcPr>
          <w:p w14:paraId="35C03D3A">
            <w:pPr>
              <w:snapToGrid w:val="0"/>
              <w:spacing w:before="100" w:beforeAutospacing="1" w:line="360" w:lineRule="auto"/>
              <w:ind w:left="-100" w:leftChars="-50" w:right="-100" w:rightChars="-50"/>
              <w:jc w:val="center"/>
              <w:rPr>
                <w:rFonts w:cs="宋体"/>
                <w:b/>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序号</w:t>
            </w:r>
          </w:p>
        </w:tc>
        <w:tc>
          <w:tcPr>
            <w:tcW w:w="1111" w:type="dxa"/>
            <w:vAlign w:val="center"/>
          </w:tcPr>
          <w:p w14:paraId="2AF9B496">
            <w:pPr>
              <w:snapToGrid w:val="0"/>
              <w:spacing w:line="360" w:lineRule="auto"/>
              <w:ind w:left="-100" w:leftChars="-50" w:right="-100" w:rightChars="-50"/>
              <w:jc w:val="center"/>
              <w:rPr>
                <w:rFonts w:cs="宋体"/>
                <w:b/>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条目号</w:t>
            </w:r>
          </w:p>
        </w:tc>
        <w:tc>
          <w:tcPr>
            <w:tcW w:w="7304" w:type="dxa"/>
            <w:vAlign w:val="center"/>
          </w:tcPr>
          <w:p w14:paraId="4891A227">
            <w:pPr>
              <w:snapToGrid w:val="0"/>
              <w:spacing w:line="360" w:lineRule="auto"/>
              <w:jc w:val="center"/>
              <w:rPr>
                <w:rFonts w:cs="宋体"/>
                <w:b/>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信息或数据</w:t>
            </w:r>
          </w:p>
        </w:tc>
      </w:tr>
      <w:tr w14:paraId="4326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45598FB">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32DA813E">
            <w:pPr>
              <w:snapToGrid w:val="0"/>
              <w:spacing w:line="360" w:lineRule="auto"/>
              <w:jc w:val="center"/>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2.5</w:t>
            </w:r>
          </w:p>
        </w:tc>
        <w:tc>
          <w:tcPr>
            <w:tcW w:w="7304" w:type="dxa"/>
            <w:vAlign w:val="center"/>
          </w:tcPr>
          <w:p w14:paraId="039CF9E0">
            <w:pPr>
              <w:snapToGrid w:val="0"/>
              <w:spacing w:line="360" w:lineRule="auto"/>
              <w:rPr>
                <w:rFonts w:cs="宋体"/>
                <w:bCs/>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发包人提供资金来源证明的期限要求： </w:t>
            </w:r>
            <w:r>
              <w:rPr>
                <w:rFonts w:hint="eastAsia" w:cs="宋体"/>
                <w:bCs/>
                <w:color w:val="000000" w:themeColor="text1"/>
                <w:sz w:val="21"/>
                <w:szCs w:val="21"/>
                <w:highlight w:val="none"/>
                <w:u w:val="single"/>
                <w14:textFill>
                  <w14:solidFill>
                    <w14:schemeClr w14:val="tx1"/>
                  </w14:solidFill>
                </w14:textFill>
              </w:rPr>
              <w:t>/</w:t>
            </w:r>
          </w:p>
          <w:p w14:paraId="382AAB64">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发包人是否提供支付担保：  </w:t>
            </w:r>
            <w:r>
              <w:rPr>
                <w:rFonts w:hint="eastAsia" w:cs="宋体"/>
                <w:bCs/>
                <w:color w:val="000000" w:themeColor="text1"/>
                <w:sz w:val="21"/>
                <w:szCs w:val="21"/>
                <w:highlight w:val="none"/>
                <w:u w:val="single"/>
                <w14:textFill>
                  <w14:solidFill>
                    <w14:schemeClr w14:val="tx1"/>
                  </w14:solidFill>
                </w14:textFill>
              </w:rPr>
              <w:t xml:space="preserve"> 否 </w:t>
            </w:r>
          </w:p>
          <w:p w14:paraId="57FDEAD3">
            <w:pPr>
              <w:snapToGrid w:val="0"/>
              <w:spacing w:line="360" w:lineRule="auto"/>
              <w:rPr>
                <w:rFonts w:cs="宋体"/>
                <w:bCs/>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发包人提供支付担保的形式：</w:t>
            </w:r>
            <w:r>
              <w:rPr>
                <w:rFonts w:hint="eastAsia" w:cs="宋体"/>
                <w:bCs/>
                <w:color w:val="000000" w:themeColor="text1"/>
                <w:sz w:val="21"/>
                <w:szCs w:val="21"/>
                <w:highlight w:val="none"/>
                <w:u w:val="single"/>
                <w14:textFill>
                  <w14:solidFill>
                    <w14:schemeClr w14:val="tx1"/>
                  </w14:solidFill>
                </w14:textFill>
              </w:rPr>
              <w:t xml:space="preserve"> /</w:t>
            </w:r>
          </w:p>
        </w:tc>
      </w:tr>
      <w:tr w14:paraId="29CA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3A5AB5BA">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44FA6175">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3.2.1</w:t>
            </w:r>
          </w:p>
        </w:tc>
        <w:tc>
          <w:tcPr>
            <w:tcW w:w="7304" w:type="dxa"/>
            <w:vAlign w:val="center"/>
          </w:tcPr>
          <w:p w14:paraId="5479AAE2">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项目经理</w:t>
            </w:r>
          </w:p>
          <w:p w14:paraId="5A9D70B9">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姓    名：</w:t>
            </w:r>
            <w:r>
              <w:rPr>
                <w:rFonts w:hint="eastAsia" w:cs="宋体"/>
                <w:bCs/>
                <w:color w:val="000000" w:themeColor="text1"/>
                <w:sz w:val="21"/>
                <w:szCs w:val="21"/>
                <w:highlight w:val="none"/>
                <w:u w:val="single"/>
                <w14:textFill>
                  <w14:solidFill>
                    <w14:schemeClr w14:val="tx1"/>
                  </w14:solidFill>
                </w14:textFill>
              </w:rPr>
              <w:t xml:space="preserve">          </w:t>
            </w:r>
          </w:p>
          <w:p w14:paraId="64FA5421">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身份证号：</w:t>
            </w:r>
            <w:r>
              <w:rPr>
                <w:rFonts w:hint="eastAsia" w:cs="宋体"/>
                <w:bCs/>
                <w:color w:val="000000" w:themeColor="text1"/>
                <w:sz w:val="21"/>
                <w:szCs w:val="21"/>
                <w:highlight w:val="none"/>
                <w:u w:val="single"/>
                <w14:textFill>
                  <w14:solidFill>
                    <w14:schemeClr w14:val="tx1"/>
                  </w14:solidFill>
                </w14:textFill>
              </w:rPr>
              <w:t xml:space="preserve">          </w:t>
            </w:r>
          </w:p>
          <w:p w14:paraId="727A578B">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建造师执业资格等级：</w:t>
            </w:r>
            <w:r>
              <w:rPr>
                <w:rFonts w:hint="eastAsia" w:cs="宋体"/>
                <w:bCs/>
                <w:color w:val="000000" w:themeColor="text1"/>
                <w:sz w:val="21"/>
                <w:szCs w:val="21"/>
                <w:highlight w:val="none"/>
                <w:u w:val="single"/>
                <w14:textFill>
                  <w14:solidFill>
                    <w14:schemeClr w14:val="tx1"/>
                  </w14:solidFill>
                </w14:textFill>
              </w:rPr>
              <w:t xml:space="preserve">          </w:t>
            </w:r>
          </w:p>
          <w:p w14:paraId="5A7D5C5E">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建造师注册证书号：</w:t>
            </w:r>
            <w:r>
              <w:rPr>
                <w:rFonts w:hint="eastAsia" w:cs="宋体"/>
                <w:bCs/>
                <w:color w:val="000000" w:themeColor="text1"/>
                <w:sz w:val="21"/>
                <w:szCs w:val="21"/>
                <w:highlight w:val="none"/>
                <w:u w:val="single"/>
                <w14:textFill>
                  <w14:solidFill>
                    <w14:schemeClr w14:val="tx1"/>
                  </w14:solidFill>
                </w14:textFill>
              </w:rPr>
              <w:t xml:space="preserve">            </w:t>
            </w:r>
          </w:p>
          <w:p w14:paraId="164D5925">
            <w:pPr>
              <w:snapToGrid w:val="0"/>
              <w:spacing w:line="360" w:lineRule="auto"/>
              <w:rPr>
                <w:rFonts w:cs="宋体"/>
                <w:bCs/>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承包人对项目经理的授权范围如下：</w:t>
            </w:r>
            <w:r>
              <w:rPr>
                <w:rFonts w:hint="eastAsia" w:cs="宋体"/>
                <w:bCs/>
                <w:color w:val="000000" w:themeColor="text1"/>
                <w:sz w:val="21"/>
                <w:szCs w:val="21"/>
                <w:highlight w:val="none"/>
                <w:u w:val="single"/>
                <w14:textFill>
                  <w14:solidFill>
                    <w14:schemeClr w14:val="tx1"/>
                  </w14:solidFill>
                </w14:textFill>
              </w:rPr>
              <w:t xml:space="preserve">            </w:t>
            </w:r>
          </w:p>
          <w:p w14:paraId="30618F7F">
            <w:pPr>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承包人项目经理每月在施工现场的时间：驻场时间每月不少于</w:t>
            </w:r>
            <w:r>
              <w:rPr>
                <w:rFonts w:hint="eastAsia" w:cs="宋体"/>
                <w:bCs/>
                <w:color w:val="000000" w:themeColor="text1"/>
                <w:sz w:val="21"/>
                <w:szCs w:val="21"/>
                <w:highlight w:val="none"/>
                <w:u w:val="single"/>
                <w14:textFill>
                  <w14:solidFill>
                    <w14:schemeClr w14:val="tx1"/>
                  </w14:solidFill>
                </w14:textFill>
              </w:rPr>
              <w:t>22</w:t>
            </w:r>
            <w:r>
              <w:rPr>
                <w:rFonts w:hint="eastAsia" w:cs="宋体"/>
                <w:bCs/>
                <w:color w:val="000000" w:themeColor="text1"/>
                <w:sz w:val="21"/>
                <w:szCs w:val="21"/>
                <w:highlight w:val="none"/>
                <w14:textFill>
                  <w14:solidFill>
                    <w14:schemeClr w14:val="tx1"/>
                  </w14:solidFill>
                </w14:textFill>
              </w:rPr>
              <w:t>天，每天在岗工作时间不得少于</w:t>
            </w:r>
            <w:r>
              <w:rPr>
                <w:rFonts w:hint="eastAsia" w:cs="宋体"/>
                <w:bCs/>
                <w:color w:val="000000" w:themeColor="text1"/>
                <w:sz w:val="21"/>
                <w:szCs w:val="21"/>
                <w:highlight w:val="none"/>
                <w:u w:val="single"/>
                <w14:textFill>
                  <w14:solidFill>
                    <w14:schemeClr w14:val="tx1"/>
                  </w14:solidFill>
                </w14:textFill>
              </w:rPr>
              <w:t xml:space="preserve"> 8 </w:t>
            </w:r>
            <w:r>
              <w:rPr>
                <w:rFonts w:hint="eastAsia" w:cs="宋体"/>
                <w:bCs/>
                <w:color w:val="000000" w:themeColor="text1"/>
                <w:sz w:val="21"/>
                <w:szCs w:val="21"/>
                <w:highlight w:val="none"/>
                <w14:textFill>
                  <w14:solidFill>
                    <w14:schemeClr w14:val="tx1"/>
                  </w14:solidFill>
                </w14:textFill>
              </w:rPr>
              <w:t>小时。</w:t>
            </w:r>
          </w:p>
        </w:tc>
      </w:tr>
      <w:tr w14:paraId="252D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65C0C7D6">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2FBF3B3A">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3.7</w:t>
            </w:r>
          </w:p>
        </w:tc>
        <w:tc>
          <w:tcPr>
            <w:tcW w:w="7304" w:type="dxa"/>
            <w:vAlign w:val="center"/>
          </w:tcPr>
          <w:p w14:paraId="564FFBC8">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承包人是否提供履约保证金：</w:t>
            </w:r>
            <w:r>
              <w:rPr>
                <w:rFonts w:hint="eastAsia" w:cs="宋体"/>
                <w:bCs/>
                <w:color w:val="000000" w:themeColor="text1"/>
                <w:sz w:val="21"/>
                <w:szCs w:val="21"/>
                <w:highlight w:val="none"/>
                <w:u w:val="single"/>
                <w14:textFill>
                  <w14:solidFill>
                    <w14:schemeClr w14:val="tx1"/>
                  </w14:solidFill>
                </w14:textFill>
              </w:rPr>
              <w:t xml:space="preserve"> 是 </w:t>
            </w:r>
            <w:r>
              <w:rPr>
                <w:rFonts w:hint="eastAsia" w:cs="宋体"/>
                <w:bCs/>
                <w:color w:val="000000" w:themeColor="text1"/>
                <w:sz w:val="21"/>
                <w:szCs w:val="21"/>
                <w:highlight w:val="none"/>
                <w14:textFill>
                  <w14:solidFill>
                    <w14:schemeClr w14:val="tx1"/>
                  </w14:solidFill>
                </w14:textFill>
              </w:rPr>
              <w:t>。</w:t>
            </w:r>
          </w:p>
          <w:p w14:paraId="557B0E15">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承包人提供履约保证金的形式：</w:t>
            </w:r>
            <w:r>
              <w:rPr>
                <w:rFonts w:hint="eastAsia" w:cs="宋体"/>
                <w:bCs/>
                <w:color w:val="000000" w:themeColor="text1"/>
                <w:sz w:val="21"/>
                <w:szCs w:val="21"/>
                <w:highlight w:val="none"/>
                <w:u w:val="single"/>
                <w14:textFill>
                  <w14:solidFill>
                    <w14:schemeClr w14:val="tx1"/>
                  </w14:solidFill>
                </w14:textFill>
              </w:rPr>
              <w:t>转账/电汇、支票、汇票、本票、保险、保函。</w:t>
            </w:r>
          </w:p>
          <w:p w14:paraId="6CD82114">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履约保证金的金额：中标合同金额的</w:t>
            </w:r>
            <w:r>
              <w:rPr>
                <w:rFonts w:hint="eastAsia" w:cs="宋体"/>
                <w:bCs/>
                <w:color w:val="000000" w:themeColor="text1"/>
                <w:sz w:val="21"/>
                <w:szCs w:val="21"/>
                <w:highlight w:val="none"/>
                <w:u w:val="single"/>
                <w14:textFill>
                  <w14:solidFill>
                    <w14:schemeClr w14:val="tx1"/>
                  </w14:solidFill>
                </w14:textFill>
              </w:rPr>
              <w:t>2.5</w:t>
            </w:r>
            <w:r>
              <w:rPr>
                <w:rFonts w:hint="eastAsia" w:cs="宋体"/>
                <w:bCs/>
                <w:color w:val="000000" w:themeColor="text1"/>
                <w:sz w:val="21"/>
                <w:szCs w:val="21"/>
                <w:highlight w:val="none"/>
                <w14:textFill>
                  <w14:solidFill>
                    <w14:schemeClr w14:val="tx1"/>
                  </w14:solidFill>
                </w14:textFill>
              </w:rPr>
              <w:t>%。</w:t>
            </w:r>
          </w:p>
          <w:p w14:paraId="3A79FA39">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履约保证金提交期限的要求：</w:t>
            </w:r>
            <w:r>
              <w:rPr>
                <w:rFonts w:hint="eastAsia" w:cs="宋体"/>
                <w:bCs/>
                <w:color w:val="000000" w:themeColor="text1"/>
                <w:sz w:val="21"/>
                <w:szCs w:val="21"/>
                <w:highlight w:val="none"/>
                <w:u w:val="single"/>
                <w14:textFill>
                  <w14:solidFill>
                    <w14:schemeClr w14:val="tx1"/>
                  </w14:solidFill>
                </w14:textFill>
              </w:rPr>
              <w:t>签订合同前。</w:t>
            </w:r>
          </w:p>
          <w:p w14:paraId="74811D38">
            <w:pPr>
              <w:snapToGrid w:val="0"/>
              <w:spacing w:line="360" w:lineRule="auto"/>
              <w:rPr>
                <w:rFonts w:cs="宋体"/>
                <w:bCs/>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履约保证金退还时限：</w:t>
            </w:r>
            <w:r>
              <w:rPr>
                <w:rFonts w:hint="eastAsia" w:cs="宋体"/>
                <w:bCs/>
                <w:color w:val="000000" w:themeColor="text1"/>
                <w:sz w:val="21"/>
                <w:szCs w:val="21"/>
                <w:highlight w:val="none"/>
                <w:u w:val="single"/>
                <w14:textFill>
                  <w14:solidFill>
                    <w14:schemeClr w14:val="tx1"/>
                  </w14:solidFill>
                </w14:textFill>
              </w:rPr>
              <w:t>履约保证金在合同生效之日起至项目验收合格前一直有效，验收合格后经乙方申请，合同甲方确认后按法律法规的相关规定及时将履约保证金款项退还给乙方或者解除履约担保。</w:t>
            </w:r>
          </w:p>
          <w:p w14:paraId="184AD63F">
            <w:pPr>
              <w:snapToGrid w:val="0"/>
              <w:spacing w:line="360" w:lineRule="auto"/>
              <w:rPr>
                <w:rFonts w:cs="宋体"/>
                <w:bCs/>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u w:val="single"/>
                <w14:textFill>
                  <w14:solidFill>
                    <w14:schemeClr w14:val="tx1"/>
                  </w14:solidFill>
                </w14:textFill>
              </w:rPr>
              <w:t>如果乙方不履行合同，履约保证金不予退还；如果乙方未能按合同约定全面履行义务，合同甲方有权从履约保证金中取得补偿或赔偿，同时不影响甲方要求乙方承担合同约定的超过履约保证金的违约责任的权利。</w:t>
            </w:r>
          </w:p>
          <w:p w14:paraId="0A09EDC1">
            <w:pPr>
              <w:snapToGrid w:val="0"/>
              <w:spacing w:line="360" w:lineRule="auto"/>
              <w:rPr>
                <w:rFonts w:cs="宋体"/>
                <w:b/>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注意事项：</w:t>
            </w:r>
          </w:p>
          <w:p w14:paraId="39F2C7CD">
            <w:pPr>
              <w:snapToGrid w:val="0"/>
              <w:spacing w:line="360" w:lineRule="auto"/>
              <w:rPr>
                <w:rFonts w:cs="宋体"/>
                <w:b/>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（1）以上各类机构出具的以担保函、保证保险承担责任的方式均须满足无条件见索即付条件。</w:t>
            </w:r>
          </w:p>
          <w:p w14:paraId="31E7D046">
            <w:pPr>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（2）以担保函、保证保险形式缴纳履约保证金的，受益人和收取单位须为合同甲方。</w:t>
            </w:r>
          </w:p>
        </w:tc>
      </w:tr>
      <w:tr w14:paraId="25D2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6E1967B5">
            <w:pPr>
              <w:numPr>
                <w:ilvl w:val="0"/>
                <w:numId w:val="11"/>
              </w:numPr>
              <w:snapToGrid w:val="0"/>
              <w:spacing w:line="360" w:lineRule="auto"/>
              <w:jc w:val="center"/>
              <w:rPr>
                <w:rFonts w:cs="宋体"/>
                <w:bCs/>
                <w:color w:val="000000" w:themeColor="text1"/>
                <w:sz w:val="21"/>
                <w:szCs w:val="21"/>
                <w:highlight w:val="none"/>
                <w14:textFill>
                  <w14:solidFill>
                    <w14:schemeClr w14:val="tx1"/>
                  </w14:solidFill>
                </w14:textFill>
              </w:rPr>
            </w:pPr>
          </w:p>
        </w:tc>
        <w:tc>
          <w:tcPr>
            <w:tcW w:w="1111" w:type="dxa"/>
            <w:vAlign w:val="center"/>
          </w:tcPr>
          <w:p w14:paraId="5FAC8AE1">
            <w:pPr>
              <w:snapToGrid w:val="0"/>
              <w:spacing w:line="360" w:lineRule="auto"/>
              <w:jc w:val="center"/>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5.1.1</w:t>
            </w:r>
          </w:p>
        </w:tc>
        <w:tc>
          <w:tcPr>
            <w:tcW w:w="7304" w:type="dxa"/>
            <w:vAlign w:val="center"/>
          </w:tcPr>
          <w:p w14:paraId="7958CAF4">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5.1.1 特殊质量标准和要求：</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w:t>
            </w:r>
          </w:p>
          <w:p w14:paraId="5E6EDE16">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关于工程奖项的约定：</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w:t>
            </w:r>
          </w:p>
          <w:p w14:paraId="5E4ADE1D">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关于建造要求：</w:t>
            </w:r>
          </w:p>
          <w:p w14:paraId="7937DC7E">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（1）绿色建筑等级要求：</w:t>
            </w:r>
            <w:r>
              <w:rPr>
                <w:rFonts w:hint="eastAsia" w:cs="宋体"/>
                <w:bCs/>
                <w:color w:val="000000" w:themeColor="text1"/>
                <w:sz w:val="21"/>
                <w:szCs w:val="21"/>
                <w:highlight w:val="none"/>
                <w:u w:val="single"/>
                <w14:textFill>
                  <w14:solidFill>
                    <w14:schemeClr w14:val="tx1"/>
                  </w14:solidFill>
                </w14:textFill>
              </w:rPr>
              <w:t>/</w:t>
            </w:r>
            <w:r>
              <w:rPr>
                <w:rFonts w:hint="eastAsia" w:cs="宋体"/>
                <w:bCs/>
                <w:color w:val="000000" w:themeColor="text1"/>
                <w:sz w:val="21"/>
                <w:szCs w:val="21"/>
                <w:highlight w:val="none"/>
                <w14:textFill>
                  <w14:solidFill>
                    <w14:schemeClr w14:val="tx1"/>
                  </w14:solidFill>
                </w14:textFill>
              </w:rPr>
              <w:t>；</w:t>
            </w:r>
          </w:p>
          <w:p w14:paraId="6F12C56E">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（2）智慧工地管理要求：</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w:t>
            </w:r>
          </w:p>
          <w:p w14:paraId="3E2D1050">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（3）建筑垃圾减量化目标：</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w:t>
            </w:r>
          </w:p>
          <w:p w14:paraId="61D79092">
            <w:pPr>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（4）装配式建筑装配率要求：</w:t>
            </w:r>
            <w:r>
              <w:rPr>
                <w:rFonts w:hint="eastAsia" w:cs="宋体"/>
                <w:bCs/>
                <w:color w:val="000000" w:themeColor="text1"/>
                <w:sz w:val="21"/>
                <w:szCs w:val="21"/>
                <w:highlight w:val="none"/>
                <w:u w:val="single"/>
                <w14:textFill>
                  <w14:solidFill>
                    <w14:schemeClr w14:val="tx1"/>
                  </w14:solidFill>
                </w14:textFill>
              </w:rPr>
              <w:t>/</w:t>
            </w:r>
            <w:r>
              <w:rPr>
                <w:rFonts w:hint="eastAsia" w:cs="宋体"/>
                <w:bCs/>
                <w:color w:val="000000" w:themeColor="text1"/>
                <w:sz w:val="21"/>
                <w:szCs w:val="21"/>
                <w:highlight w:val="none"/>
                <w14:textFill>
                  <w14:solidFill>
                    <w14:schemeClr w14:val="tx1"/>
                  </w14:solidFill>
                </w14:textFill>
              </w:rPr>
              <w:t>；</w:t>
            </w:r>
          </w:p>
        </w:tc>
      </w:tr>
      <w:tr w14:paraId="0EA9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09C0DFD5">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475799B0">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7.5.2</w:t>
            </w:r>
          </w:p>
        </w:tc>
        <w:tc>
          <w:tcPr>
            <w:tcW w:w="7304" w:type="dxa"/>
            <w:tcBorders>
              <w:bottom w:val="single" w:color="auto" w:sz="4" w:space="0"/>
            </w:tcBorders>
            <w:vAlign w:val="center"/>
          </w:tcPr>
          <w:p w14:paraId="06AFCE55">
            <w:pPr>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kern w:val="2"/>
                <w:sz w:val="21"/>
                <w:szCs w:val="21"/>
                <w:highlight w:val="none"/>
                <w14:textFill>
                  <w14:solidFill>
                    <w14:schemeClr w14:val="tx1"/>
                  </w14:solidFill>
                </w14:textFill>
              </w:rPr>
              <w:t>因承包人原因造成工期延误，逾期完工违约金的计算方法为：</w:t>
            </w:r>
          </w:p>
          <w:p w14:paraId="218B3ABE">
            <w:pPr>
              <w:snapToGrid w:val="0"/>
              <w:spacing w:line="360" w:lineRule="auto"/>
              <w:rPr>
                <w:rFonts w:cs="宋体"/>
                <w:b/>
                <w:color w:val="000000" w:themeColor="text1"/>
                <w:kern w:val="2"/>
                <w:sz w:val="21"/>
                <w:szCs w:val="21"/>
                <w:highlight w:val="none"/>
                <w:u w:val="single"/>
                <w14:textFill>
                  <w14:solidFill>
                    <w14:schemeClr w14:val="tx1"/>
                  </w14:solidFill>
                </w14:textFill>
              </w:rPr>
            </w:pPr>
            <w:r>
              <w:rPr>
                <w:rFonts w:hint="eastAsia" w:cs="宋体"/>
                <w:b/>
                <w:color w:val="000000" w:themeColor="text1"/>
                <w:kern w:val="2"/>
                <w:sz w:val="21"/>
                <w:szCs w:val="21"/>
                <w:highlight w:val="none"/>
                <w:u w:val="single"/>
                <w14:textFill>
                  <w14:solidFill>
                    <w14:schemeClr w14:val="tx1"/>
                  </w14:solidFill>
                </w14:textFill>
              </w:rPr>
              <w:t>（1）除不可抗力外，如果承包人没有按照本合同约定的期限、地点和方式履行，那么发包人可要求承包人支付违约金，违约金按每延期一天按总合同价款的千分之一向发包人支付。</w:t>
            </w:r>
          </w:p>
          <w:p w14:paraId="755956C6">
            <w:pPr>
              <w:snapToGrid w:val="0"/>
              <w:spacing w:line="360" w:lineRule="auto"/>
              <w:rPr>
                <w:rFonts w:cs="宋体"/>
                <w:b/>
                <w:color w:val="000000" w:themeColor="text1"/>
                <w:kern w:val="2"/>
                <w:sz w:val="21"/>
                <w:szCs w:val="21"/>
                <w:highlight w:val="none"/>
                <w:u w:val="single"/>
                <w14:textFill>
                  <w14:solidFill>
                    <w14:schemeClr w14:val="tx1"/>
                  </w14:solidFill>
                </w14:textFill>
              </w:rPr>
            </w:pPr>
            <w:r>
              <w:rPr>
                <w:rFonts w:hint="eastAsia" w:cs="宋体"/>
                <w:b/>
                <w:color w:val="000000" w:themeColor="text1"/>
                <w:kern w:val="2"/>
                <w:sz w:val="21"/>
                <w:szCs w:val="21"/>
                <w:highlight w:val="none"/>
                <w:u w:val="single"/>
                <w14:textFill>
                  <w14:solidFill>
                    <w14:schemeClr w14:val="tx1"/>
                  </w14:solidFill>
                </w14:textFill>
              </w:rPr>
              <w:t>（2）因乙方原因造成工程质量不合格的，乙方应无条件修复达到合同约定的质量标准；无法维修的，双方协商处理。发生该条违约时，甲方有权停止支付所有工程款项，不退还履约担保。</w:t>
            </w:r>
          </w:p>
          <w:p w14:paraId="7F62DC44">
            <w:pPr>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kern w:val="2"/>
                <w:sz w:val="21"/>
                <w:szCs w:val="21"/>
                <w:highlight w:val="none"/>
                <w14:textFill>
                  <w14:solidFill>
                    <w14:schemeClr w14:val="tx1"/>
                  </w14:solidFill>
                </w14:textFill>
              </w:rPr>
              <w:t>因承包人原因造成工期延误，逾期完工违约金的上限：</w:t>
            </w:r>
            <w:r>
              <w:rPr>
                <w:rFonts w:hint="eastAsia" w:cs="宋体"/>
                <w:bCs/>
                <w:color w:val="000000" w:themeColor="text1"/>
                <w:kern w:val="2"/>
                <w:sz w:val="21"/>
                <w:szCs w:val="21"/>
                <w:highlight w:val="none"/>
                <w:u w:val="single"/>
                <w14:textFill>
                  <w14:solidFill>
                    <w14:schemeClr w14:val="tx1"/>
                  </w14:solidFill>
                </w14:textFill>
              </w:rPr>
              <w:t>合同价款的10%</w:t>
            </w:r>
            <w:r>
              <w:rPr>
                <w:rFonts w:hint="eastAsia" w:cs="宋体"/>
                <w:bCs/>
                <w:color w:val="000000" w:themeColor="text1"/>
                <w:kern w:val="2"/>
                <w:sz w:val="21"/>
                <w:szCs w:val="21"/>
                <w:highlight w:val="none"/>
                <w14:textFill>
                  <w14:solidFill>
                    <w14:schemeClr w14:val="tx1"/>
                  </w14:solidFill>
                </w14:textFill>
              </w:rPr>
              <w:t>。</w:t>
            </w:r>
          </w:p>
        </w:tc>
      </w:tr>
      <w:tr w14:paraId="73A3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09DAB59E">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26761C68">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7.9.2</w:t>
            </w:r>
          </w:p>
        </w:tc>
        <w:tc>
          <w:tcPr>
            <w:tcW w:w="7304" w:type="dxa"/>
            <w:tcBorders>
              <w:bottom w:val="single" w:color="auto" w:sz="4" w:space="0"/>
            </w:tcBorders>
            <w:vAlign w:val="center"/>
          </w:tcPr>
          <w:p w14:paraId="1C2C897D">
            <w:pPr>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提前</w:t>
            </w:r>
            <w:r>
              <w:rPr>
                <w:rFonts w:hint="eastAsia" w:cs="宋体"/>
                <w:bCs/>
                <w:color w:val="000000" w:themeColor="text1"/>
                <w:kern w:val="2"/>
                <w:sz w:val="21"/>
                <w:szCs w:val="21"/>
                <w:highlight w:val="none"/>
                <w14:textFill>
                  <w14:solidFill>
                    <w14:schemeClr w14:val="tx1"/>
                  </w14:solidFill>
                </w14:textFill>
              </w:rPr>
              <w:t>完工</w:t>
            </w:r>
            <w:r>
              <w:rPr>
                <w:rFonts w:hint="eastAsia" w:cs="宋体"/>
                <w:color w:val="000000" w:themeColor="text1"/>
                <w:sz w:val="21"/>
                <w:szCs w:val="21"/>
                <w:highlight w:val="none"/>
                <w14:textFill>
                  <w14:solidFill>
                    <w14:schemeClr w14:val="tx1"/>
                  </w14:solidFill>
                </w14:textFill>
              </w:rPr>
              <w:t>的奖励：</w:t>
            </w:r>
            <w:r>
              <w:rPr>
                <w:rFonts w:hint="eastAsia" w:cs="宋体"/>
                <w:color w:val="000000" w:themeColor="text1"/>
                <w:sz w:val="21"/>
                <w:szCs w:val="21"/>
                <w:highlight w:val="none"/>
                <w:u w:val="single"/>
                <w14:textFill>
                  <w14:solidFill>
                    <w14:schemeClr w14:val="tx1"/>
                  </w14:solidFill>
                </w14:textFill>
              </w:rPr>
              <w:t>不奖励</w:t>
            </w:r>
            <w:r>
              <w:rPr>
                <w:rFonts w:hint="eastAsia" w:cs="宋体"/>
                <w:color w:val="000000" w:themeColor="text1"/>
                <w:sz w:val="21"/>
                <w:szCs w:val="21"/>
                <w:highlight w:val="none"/>
                <w14:textFill>
                  <w14:solidFill>
                    <w14:schemeClr w14:val="tx1"/>
                  </w14:solidFill>
                </w14:textFill>
              </w:rPr>
              <w:t>。</w:t>
            </w:r>
          </w:p>
        </w:tc>
      </w:tr>
      <w:tr w14:paraId="579D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5BD0062C">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5689ACB6">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11.1</w:t>
            </w:r>
          </w:p>
        </w:tc>
        <w:tc>
          <w:tcPr>
            <w:tcW w:w="7304" w:type="dxa"/>
            <w:tcBorders>
              <w:bottom w:val="single" w:color="auto" w:sz="4" w:space="0"/>
            </w:tcBorders>
            <w:vAlign w:val="center"/>
          </w:tcPr>
          <w:p w14:paraId="7AB39D14">
            <w:pPr>
              <w:pStyle w:val="32"/>
              <w:tabs>
                <w:tab w:val="clear" w:pos="4153"/>
                <w:tab w:val="clear" w:pos="8306"/>
              </w:tabs>
              <w:spacing w:line="360" w:lineRule="auto"/>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kern w:val="2"/>
                <w:sz w:val="21"/>
                <w:szCs w:val="21"/>
                <w:highlight w:val="none"/>
                <w14:textFill>
                  <w14:solidFill>
                    <w14:schemeClr w14:val="tx1"/>
                  </w14:solidFill>
                </w14:textFill>
              </w:rPr>
              <w:t>市场价格波动是否调整合同价格的约定：</w:t>
            </w:r>
            <w:r>
              <w:rPr>
                <w:rFonts w:hint="eastAsia" w:cs="宋体"/>
                <w:bCs/>
                <w:color w:val="000000" w:themeColor="text1"/>
                <w:kern w:val="2"/>
                <w:sz w:val="21"/>
                <w:szCs w:val="21"/>
                <w:highlight w:val="none"/>
                <w:u w:val="single"/>
                <w14:textFill>
                  <w14:solidFill>
                    <w14:schemeClr w14:val="tx1"/>
                  </w14:solidFill>
                </w14:textFill>
              </w:rPr>
              <w:t>不调整</w:t>
            </w:r>
            <w:r>
              <w:rPr>
                <w:rFonts w:hint="eastAsia" w:cs="宋体"/>
                <w:bCs/>
                <w:color w:val="000000" w:themeColor="text1"/>
                <w:kern w:val="2"/>
                <w:sz w:val="21"/>
                <w:szCs w:val="21"/>
                <w:highlight w:val="none"/>
                <w14:textFill>
                  <w14:solidFill>
                    <w14:schemeClr w14:val="tx1"/>
                  </w14:solidFill>
                </w14:textFill>
              </w:rPr>
              <w:t>。</w:t>
            </w:r>
          </w:p>
        </w:tc>
      </w:tr>
      <w:tr w14:paraId="3158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61E915AC">
            <w:pPr>
              <w:numPr>
                <w:ilvl w:val="0"/>
                <w:numId w:val="11"/>
              </w:numPr>
              <w:snapToGrid w:val="0"/>
              <w:spacing w:line="360" w:lineRule="auto"/>
              <w:jc w:val="center"/>
              <w:rPr>
                <w:rFonts w:cs="宋体"/>
                <w:bCs/>
                <w:color w:val="000000" w:themeColor="text1"/>
                <w:sz w:val="21"/>
                <w:szCs w:val="21"/>
                <w:highlight w:val="none"/>
                <w14:textFill>
                  <w14:solidFill>
                    <w14:schemeClr w14:val="tx1"/>
                  </w14:solidFill>
                </w14:textFill>
              </w:rPr>
            </w:pPr>
          </w:p>
        </w:tc>
        <w:tc>
          <w:tcPr>
            <w:tcW w:w="1111" w:type="dxa"/>
            <w:vAlign w:val="center"/>
          </w:tcPr>
          <w:p w14:paraId="45F1424C">
            <w:pPr>
              <w:snapToGrid w:val="0"/>
              <w:spacing w:line="360" w:lineRule="auto"/>
              <w:jc w:val="center"/>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12.1</w:t>
            </w:r>
          </w:p>
        </w:tc>
        <w:tc>
          <w:tcPr>
            <w:tcW w:w="7304" w:type="dxa"/>
            <w:tcBorders>
              <w:bottom w:val="single" w:color="auto" w:sz="4" w:space="0"/>
            </w:tcBorders>
            <w:vAlign w:val="center"/>
          </w:tcPr>
          <w:p w14:paraId="53893D24">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合同价格形式</w:t>
            </w:r>
          </w:p>
          <w:p w14:paraId="52FB7E9F">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(1)单价合同。</w:t>
            </w:r>
          </w:p>
          <w:p w14:paraId="15356CDC">
            <w:pPr>
              <w:pStyle w:val="32"/>
              <w:tabs>
                <w:tab w:val="clear" w:pos="4153"/>
                <w:tab w:val="clear" w:pos="8306"/>
              </w:tabs>
              <w:spacing w:line="360" w:lineRule="auto"/>
              <w:rPr>
                <w:rFonts w:cs="宋体"/>
                <w:bCs/>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综合单价包含的风险范围：</w:t>
            </w:r>
            <w:r>
              <w:rPr>
                <w:rFonts w:hint="eastAsia" w:cs="宋体"/>
                <w:bCs/>
                <w:color w:val="000000" w:themeColor="text1"/>
                <w:sz w:val="21"/>
                <w:szCs w:val="21"/>
                <w:highlight w:val="none"/>
                <w:u w:val="single"/>
                <w14:textFill>
                  <w14:solidFill>
                    <w14:schemeClr w14:val="tx1"/>
                  </w14:solidFill>
                </w14:textFill>
              </w:rPr>
              <w:t>材料价格、人工成本上涨，异常天气导致的工期延误等。</w:t>
            </w:r>
          </w:p>
          <w:p w14:paraId="3D9DF842">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风险费用的计算方法：</w:t>
            </w:r>
            <w:r>
              <w:rPr>
                <w:rFonts w:hint="eastAsia" w:cs="宋体"/>
                <w:bCs/>
                <w:color w:val="000000" w:themeColor="text1"/>
                <w:sz w:val="21"/>
                <w:szCs w:val="21"/>
                <w:highlight w:val="none"/>
                <w:u w:val="single"/>
                <w14:textFill>
                  <w14:solidFill>
                    <w14:schemeClr w14:val="tx1"/>
                  </w14:solidFill>
                </w14:textFill>
              </w:rPr>
              <w:t xml:space="preserve">   供应商在</w:t>
            </w:r>
            <w:r>
              <w:rPr>
                <w:rFonts w:hint="eastAsia" w:cs="宋体"/>
                <w:bCs/>
                <w:color w:val="000000" w:themeColor="text1"/>
                <w:sz w:val="21"/>
                <w:szCs w:val="21"/>
                <w:highlight w:val="none"/>
                <w:u w:val="single"/>
                <w:lang w:eastAsia="zh-CN"/>
                <w14:textFill>
                  <w14:solidFill>
                    <w14:schemeClr w14:val="tx1"/>
                  </w14:solidFill>
                </w14:textFill>
              </w:rPr>
              <w:t>响应报价</w:t>
            </w:r>
            <w:r>
              <w:rPr>
                <w:rFonts w:hint="eastAsia" w:cs="宋体"/>
                <w:bCs/>
                <w:color w:val="000000" w:themeColor="text1"/>
                <w:sz w:val="21"/>
                <w:szCs w:val="21"/>
                <w:highlight w:val="none"/>
                <w:u w:val="single"/>
                <w14:textFill>
                  <w14:solidFill>
                    <w14:schemeClr w14:val="tx1"/>
                  </w14:solidFill>
                </w14:textFill>
              </w:rPr>
              <w:t xml:space="preserve">中已经考虑，不再另行计取  </w:t>
            </w:r>
            <w:r>
              <w:rPr>
                <w:rFonts w:hint="eastAsia" w:cs="宋体"/>
                <w:bCs/>
                <w:color w:val="000000" w:themeColor="text1"/>
                <w:sz w:val="21"/>
                <w:szCs w:val="21"/>
                <w:highlight w:val="none"/>
                <w14:textFill>
                  <w14:solidFill>
                    <w14:schemeClr w14:val="tx1"/>
                  </w14:solidFill>
                </w14:textFill>
              </w:rPr>
              <w:t>。</w:t>
            </w:r>
          </w:p>
          <w:p w14:paraId="7049C8A0">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风险范围以外合同价格的调整方法：</w:t>
            </w:r>
            <w:r>
              <w:rPr>
                <w:rFonts w:hint="eastAsia" w:cs="宋体"/>
                <w:bCs/>
                <w:color w:val="000000" w:themeColor="text1"/>
                <w:sz w:val="21"/>
                <w:szCs w:val="21"/>
                <w:highlight w:val="none"/>
                <w:u w:val="single"/>
                <w14:textFill>
                  <w14:solidFill>
                    <w14:schemeClr w14:val="tx1"/>
                  </w14:solidFill>
                </w14:textFill>
              </w:rPr>
              <w:t xml:space="preserve"> 不调整 </w:t>
            </w:r>
            <w:r>
              <w:rPr>
                <w:rFonts w:hint="eastAsia" w:cs="宋体"/>
                <w:bCs/>
                <w:color w:val="000000" w:themeColor="text1"/>
                <w:sz w:val="21"/>
                <w:szCs w:val="21"/>
                <w:highlight w:val="none"/>
                <w14:textFill>
                  <w14:solidFill>
                    <w14:schemeClr w14:val="tx1"/>
                  </w14:solidFill>
                </w14:textFill>
              </w:rPr>
              <w:t>。</w:t>
            </w:r>
          </w:p>
          <w:p w14:paraId="59A29B5C">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(2)总价合同。</w:t>
            </w:r>
          </w:p>
          <w:p w14:paraId="4E2EEE5D">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总价包含的风险范围：</w:t>
            </w:r>
            <w:r>
              <w:rPr>
                <w:rFonts w:hint="eastAsia" w:cs="宋体"/>
                <w:bCs/>
                <w:color w:val="000000" w:themeColor="text1"/>
                <w:sz w:val="21"/>
                <w:szCs w:val="21"/>
                <w:highlight w:val="none"/>
                <w:u w:val="single"/>
                <w14:textFill>
                  <w14:solidFill>
                    <w14:schemeClr w14:val="tx1"/>
                  </w14:solidFill>
                </w14:textFill>
              </w:rPr>
              <w:t>/  。</w:t>
            </w:r>
          </w:p>
          <w:p w14:paraId="797B4CBC">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风险费用的计算方法：</w:t>
            </w:r>
            <w:r>
              <w:rPr>
                <w:rFonts w:hint="eastAsia" w:cs="宋体"/>
                <w:bCs/>
                <w:color w:val="000000" w:themeColor="text1"/>
                <w:sz w:val="21"/>
                <w:szCs w:val="21"/>
                <w:highlight w:val="none"/>
                <w:u w:val="single"/>
                <w14:textFill>
                  <w14:solidFill>
                    <w14:schemeClr w14:val="tx1"/>
                  </w14:solidFill>
                </w14:textFill>
              </w:rPr>
              <w:t>/</w:t>
            </w:r>
            <w:r>
              <w:rPr>
                <w:rFonts w:hint="eastAsia" w:cs="宋体"/>
                <w:bCs/>
                <w:color w:val="000000" w:themeColor="text1"/>
                <w:sz w:val="21"/>
                <w:szCs w:val="21"/>
                <w:highlight w:val="none"/>
                <w14:textFill>
                  <w14:solidFill>
                    <w14:schemeClr w14:val="tx1"/>
                  </w14:solidFill>
                </w14:textFill>
              </w:rPr>
              <w:t>。</w:t>
            </w:r>
          </w:p>
          <w:p w14:paraId="0A3BB82B">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风险范围以外合同价格的调整方法：</w:t>
            </w:r>
            <w:r>
              <w:rPr>
                <w:rFonts w:hint="eastAsia" w:cs="宋体"/>
                <w:bCs/>
                <w:color w:val="000000" w:themeColor="text1"/>
                <w:sz w:val="21"/>
                <w:szCs w:val="21"/>
                <w:highlight w:val="none"/>
                <w:u w:val="single"/>
                <w14:textFill>
                  <w14:solidFill>
                    <w14:schemeClr w14:val="tx1"/>
                  </w14:solidFill>
                </w14:textFill>
              </w:rPr>
              <w:t>/</w:t>
            </w:r>
            <w:r>
              <w:rPr>
                <w:rFonts w:hint="eastAsia" w:cs="宋体"/>
                <w:bCs/>
                <w:color w:val="000000" w:themeColor="text1"/>
                <w:sz w:val="21"/>
                <w:szCs w:val="21"/>
                <w:highlight w:val="none"/>
                <w14:textFill>
                  <w14:solidFill>
                    <w14:schemeClr w14:val="tx1"/>
                  </w14:solidFill>
                </w14:textFill>
              </w:rPr>
              <w:t>。</w:t>
            </w:r>
          </w:p>
          <w:p w14:paraId="30150471">
            <w:pPr>
              <w:pStyle w:val="32"/>
              <w:tabs>
                <w:tab w:val="clear" w:pos="4153"/>
                <w:tab w:val="clear" w:pos="8306"/>
              </w:tabs>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（3）其他价格方式：</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w:t>
            </w:r>
          </w:p>
        </w:tc>
      </w:tr>
      <w:tr w14:paraId="1CA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EC643CA">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372368F6">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12.2.1 </w:t>
            </w:r>
          </w:p>
        </w:tc>
        <w:tc>
          <w:tcPr>
            <w:tcW w:w="7304" w:type="dxa"/>
            <w:tcBorders>
              <w:bottom w:val="single" w:color="auto" w:sz="4" w:space="0"/>
            </w:tcBorders>
            <w:vAlign w:val="center"/>
          </w:tcPr>
          <w:p w14:paraId="647E7145">
            <w:pPr>
              <w:adjustRightInd w:val="0"/>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kern w:val="2"/>
                <w:sz w:val="21"/>
                <w:szCs w:val="21"/>
                <w:highlight w:val="none"/>
                <w14:textFill>
                  <w14:solidFill>
                    <w14:schemeClr w14:val="tx1"/>
                  </w14:solidFill>
                </w14:textFill>
              </w:rPr>
              <w:t>预付款的支付</w:t>
            </w:r>
          </w:p>
          <w:p w14:paraId="61CC3DFB">
            <w:pPr>
              <w:adjustRightInd w:val="0"/>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kern w:val="2"/>
                <w:sz w:val="21"/>
                <w:szCs w:val="21"/>
                <w:highlight w:val="none"/>
                <w14:textFill>
                  <w14:solidFill>
                    <w14:schemeClr w14:val="tx1"/>
                  </w14:solidFill>
                </w14:textFill>
              </w:rPr>
              <w:t>预付款支付比例或金额：</w:t>
            </w:r>
            <w:r>
              <w:rPr>
                <w:rFonts w:hint="eastAsia" w:cs="宋体"/>
                <w:bCs/>
                <w:color w:val="000000" w:themeColor="text1"/>
                <w:kern w:val="2"/>
                <w:sz w:val="21"/>
                <w:szCs w:val="21"/>
                <w:highlight w:val="none"/>
                <w:u w:val="single"/>
                <w14:textFill>
                  <w14:solidFill>
                    <w14:schemeClr w14:val="tx1"/>
                  </w14:solidFill>
                </w14:textFill>
              </w:rPr>
              <w:t>合同金额的</w:t>
            </w:r>
            <w:r>
              <w:rPr>
                <w:rFonts w:hint="eastAsia" w:cs="宋体"/>
                <w:bCs/>
                <w:color w:val="000000" w:themeColor="text1"/>
                <w:kern w:val="2"/>
                <w:sz w:val="21"/>
                <w:szCs w:val="21"/>
                <w:highlight w:val="none"/>
                <w:u w:val="single"/>
                <w:lang w:val="en-US" w:eastAsia="zh-CN"/>
                <w14:textFill>
                  <w14:solidFill>
                    <w14:schemeClr w14:val="tx1"/>
                  </w14:solidFill>
                </w14:textFill>
              </w:rPr>
              <w:t>6</w:t>
            </w:r>
            <w:r>
              <w:rPr>
                <w:rFonts w:hint="eastAsia" w:cs="宋体"/>
                <w:b/>
                <w:color w:val="000000" w:themeColor="text1"/>
                <w:kern w:val="2"/>
                <w:sz w:val="21"/>
                <w:szCs w:val="21"/>
                <w:highlight w:val="none"/>
                <w:u w:val="single"/>
                <w14:textFill>
                  <w14:solidFill>
                    <w14:schemeClr w14:val="tx1"/>
                  </w14:solidFill>
                </w14:textFill>
              </w:rPr>
              <w:t>0%</w:t>
            </w:r>
          </w:p>
          <w:p w14:paraId="73729ED2">
            <w:pPr>
              <w:adjustRightInd w:val="0"/>
              <w:snapToGrid w:val="0"/>
              <w:spacing w:line="360" w:lineRule="auto"/>
              <w:rPr>
                <w:rFonts w:cs="宋体"/>
                <w:bCs/>
                <w:color w:val="000000" w:themeColor="text1"/>
                <w:kern w:val="2"/>
                <w:sz w:val="21"/>
                <w:szCs w:val="21"/>
                <w:highlight w:val="none"/>
                <w:u w:val="single"/>
                <w14:textFill>
                  <w14:solidFill>
                    <w14:schemeClr w14:val="tx1"/>
                  </w14:solidFill>
                </w14:textFill>
              </w:rPr>
            </w:pPr>
            <w:r>
              <w:rPr>
                <w:rFonts w:hint="eastAsia" w:cs="宋体"/>
                <w:bCs/>
                <w:color w:val="000000" w:themeColor="text1"/>
                <w:kern w:val="2"/>
                <w:sz w:val="21"/>
                <w:szCs w:val="21"/>
                <w:highlight w:val="none"/>
                <w14:textFill>
                  <w14:solidFill>
                    <w14:schemeClr w14:val="tx1"/>
                  </w14:solidFill>
                </w14:textFill>
              </w:rPr>
              <w:t>预付款支付期限：</w:t>
            </w:r>
            <w:r>
              <w:rPr>
                <w:rFonts w:hint="eastAsia" w:cs="宋体"/>
                <w:bCs/>
                <w:color w:val="000000" w:themeColor="text1"/>
                <w:kern w:val="2"/>
                <w:sz w:val="21"/>
                <w:szCs w:val="21"/>
                <w:highlight w:val="none"/>
                <w:u w:val="single"/>
                <w14:textFill>
                  <w14:solidFill>
                    <w14:schemeClr w14:val="tx1"/>
                  </w14:solidFill>
                </w14:textFill>
              </w:rPr>
              <w:t>担保措施生效以及具备施工条件的前提下，经乙方申请，合同甲方审核确认后按规定及时支付预付价款。</w:t>
            </w:r>
          </w:p>
          <w:p w14:paraId="0F43D9ED">
            <w:pPr>
              <w:adjustRightInd w:val="0"/>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kern w:val="2"/>
                <w:sz w:val="21"/>
                <w:szCs w:val="21"/>
                <w:highlight w:val="none"/>
                <w14:textFill>
                  <w14:solidFill>
                    <w14:schemeClr w14:val="tx1"/>
                  </w14:solidFill>
                </w14:textFill>
              </w:rPr>
              <w:t xml:space="preserve">预付款扣回的方式： </w:t>
            </w:r>
            <w:r>
              <w:rPr>
                <w:rFonts w:hint="eastAsia" w:cs="宋体"/>
                <w:bCs/>
                <w:color w:val="000000" w:themeColor="text1"/>
                <w:kern w:val="2"/>
                <w:sz w:val="21"/>
                <w:szCs w:val="21"/>
                <w:highlight w:val="none"/>
                <w:u w:val="single"/>
                <w14:textFill>
                  <w14:solidFill>
                    <w14:schemeClr w14:val="tx1"/>
                  </w14:solidFill>
                </w14:textFill>
              </w:rPr>
              <w:t>见付款方式。</w:t>
            </w:r>
          </w:p>
          <w:p w14:paraId="390C017C">
            <w:pPr>
              <w:adjustRightInd w:val="0"/>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b/>
                <w:color w:val="000000" w:themeColor="text1"/>
                <w:kern w:val="2"/>
                <w:sz w:val="21"/>
                <w:szCs w:val="21"/>
                <w:highlight w:val="none"/>
                <w14:textFill>
                  <w14:solidFill>
                    <w14:schemeClr w14:val="tx1"/>
                  </w14:solidFill>
                </w14:textFill>
              </w:rPr>
              <w:t>注：在签订合同时，乙方书面明确表示无需预付款，即乙方无需提供预付款担保，按皖财购〔2022〕556号规定，合同甲方可不再支付预付款。</w:t>
            </w:r>
          </w:p>
        </w:tc>
      </w:tr>
      <w:tr w14:paraId="0FA0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29" w:type="dxa"/>
            <w:vAlign w:val="center"/>
          </w:tcPr>
          <w:p w14:paraId="058ABB7A">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3646F476">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12.2.2</w:t>
            </w:r>
          </w:p>
        </w:tc>
        <w:tc>
          <w:tcPr>
            <w:tcW w:w="7304" w:type="dxa"/>
            <w:tcBorders>
              <w:bottom w:val="single" w:color="auto" w:sz="4" w:space="0"/>
            </w:tcBorders>
            <w:vAlign w:val="center"/>
          </w:tcPr>
          <w:p w14:paraId="5B1D3519">
            <w:pPr>
              <w:adjustRightInd w:val="0"/>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预付款担保</w:t>
            </w:r>
          </w:p>
          <w:p w14:paraId="0A8ADEF2">
            <w:pPr>
              <w:adjustRightInd w:val="0"/>
              <w:snapToGrid w:val="0"/>
              <w:spacing w:line="360" w:lineRule="auto"/>
              <w:rPr>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承包人提交预付款担保的期限：</w:t>
            </w:r>
            <w:r>
              <w:rPr>
                <w:rFonts w:hint="eastAsia" w:cs="宋体"/>
                <w:bCs/>
                <w:color w:val="000000" w:themeColor="text1"/>
                <w:sz w:val="21"/>
                <w:szCs w:val="21"/>
                <w:highlight w:val="none"/>
                <w:u w:val="single"/>
                <w14:textFill>
                  <w14:solidFill>
                    <w14:schemeClr w14:val="tx1"/>
                  </w14:solidFill>
                </w14:textFill>
              </w:rPr>
              <w:t>支付预付款前由乙方提供给合同甲方，担保期限至预付款全部扣回</w:t>
            </w:r>
            <w:r>
              <w:rPr>
                <w:rFonts w:hint="eastAsia" w:cs="宋体"/>
                <w:bCs/>
                <w:color w:val="000000" w:themeColor="text1"/>
                <w:sz w:val="21"/>
                <w:szCs w:val="21"/>
                <w:highlight w:val="none"/>
                <w14:textFill>
                  <w14:solidFill>
                    <w14:schemeClr w14:val="tx1"/>
                  </w14:solidFill>
                </w14:textFill>
              </w:rPr>
              <w:t>。</w:t>
            </w:r>
          </w:p>
          <w:p w14:paraId="0C979BBF">
            <w:pPr>
              <w:adjustRightInd w:val="0"/>
              <w:snapToGrid w:val="0"/>
              <w:spacing w:line="360" w:lineRule="auto"/>
              <w:rPr>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预付款担保的形式为：</w:t>
            </w:r>
            <w:r>
              <w:rPr>
                <w:rFonts w:hint="eastAsia"/>
                <w:color w:val="000000" w:themeColor="text1"/>
                <w:sz w:val="21"/>
                <w:szCs w:val="21"/>
                <w:highlight w:val="none"/>
                <w:u w:val="single"/>
                <w14:textFill>
                  <w14:solidFill>
                    <w14:schemeClr w14:val="tx1"/>
                  </w14:solidFill>
                </w14:textFill>
              </w:rPr>
              <w:t>合同签订后乙方须向</w:t>
            </w:r>
            <w:r>
              <w:rPr>
                <w:rFonts w:hint="eastAsia" w:cs="宋体"/>
                <w:bCs/>
                <w:color w:val="000000" w:themeColor="text1"/>
                <w:sz w:val="21"/>
                <w:szCs w:val="21"/>
                <w:highlight w:val="none"/>
                <w:u w:val="single"/>
                <w14:textFill>
                  <w14:solidFill>
                    <w14:schemeClr w14:val="tx1"/>
                  </w14:solidFill>
                </w14:textFill>
              </w:rPr>
              <w:t>合同</w:t>
            </w:r>
            <w:r>
              <w:rPr>
                <w:rFonts w:hint="eastAsia"/>
                <w:color w:val="000000" w:themeColor="text1"/>
                <w:sz w:val="21"/>
                <w:szCs w:val="21"/>
                <w:highlight w:val="none"/>
                <w:u w:val="single"/>
                <w14:textFill>
                  <w14:solidFill>
                    <w14:schemeClr w14:val="tx1"/>
                  </w14:solidFill>
                </w14:textFill>
              </w:rPr>
              <w:t>甲方提交银行、保险公司、担保公司等金融机构出具的金额为合同总价</w:t>
            </w:r>
            <w:r>
              <w:rPr>
                <w:rFonts w:hint="eastAsia"/>
                <w:b/>
                <w:bCs/>
                <w:color w:val="000000" w:themeColor="text1"/>
                <w:sz w:val="21"/>
                <w:szCs w:val="21"/>
                <w:highlight w:val="none"/>
                <w:u w:val="single"/>
                <w:lang w:val="en-US" w:eastAsia="zh-CN"/>
                <w14:textFill>
                  <w14:solidFill>
                    <w14:schemeClr w14:val="tx1"/>
                  </w14:solidFill>
                </w14:textFill>
              </w:rPr>
              <w:t>6</w:t>
            </w:r>
            <w:r>
              <w:rPr>
                <w:rFonts w:hint="eastAsia"/>
                <w:b/>
                <w:bCs/>
                <w:color w:val="000000" w:themeColor="text1"/>
                <w:sz w:val="21"/>
                <w:szCs w:val="21"/>
                <w:highlight w:val="none"/>
                <w:u w:val="single"/>
                <w14:textFill>
                  <w14:solidFill>
                    <w14:schemeClr w14:val="tx1"/>
                  </w14:solidFill>
                </w14:textFill>
              </w:rPr>
              <w:t>0%</w:t>
            </w:r>
            <w:r>
              <w:rPr>
                <w:rFonts w:hint="eastAsia"/>
                <w:color w:val="000000" w:themeColor="text1"/>
                <w:sz w:val="21"/>
                <w:szCs w:val="21"/>
                <w:highlight w:val="none"/>
                <w:u w:val="single"/>
                <w14:textFill>
                  <w14:solidFill>
                    <w14:schemeClr w14:val="tx1"/>
                  </w14:solidFill>
                </w14:textFill>
              </w:rPr>
              <w:t>的预付款保函作为担保。</w:t>
            </w:r>
          </w:p>
          <w:p w14:paraId="2F3E99D9">
            <w:pPr>
              <w:adjustRightInd w:val="0"/>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备注：①预付款支付前，乙方须提交银行、保险公司、担保公司等金融机构出具的预付款保函（见索即付保函）；②在签订合同时，乙方书面明确表示无需预付款，即乙方无需提供预付款担保，按皖财购〔2022〕556号规定，合同甲方可不再支付预付款；</w:t>
            </w:r>
          </w:p>
        </w:tc>
      </w:tr>
      <w:tr w14:paraId="5A77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28F68A18">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151C8739">
            <w:pPr>
              <w:snapToGrid w:val="0"/>
              <w:spacing w:line="360" w:lineRule="auto"/>
              <w:jc w:val="center"/>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12.4.1</w:t>
            </w:r>
          </w:p>
        </w:tc>
        <w:tc>
          <w:tcPr>
            <w:tcW w:w="7304" w:type="dxa"/>
            <w:tcBorders>
              <w:bottom w:val="single" w:color="auto" w:sz="4" w:space="0"/>
            </w:tcBorders>
            <w:vAlign w:val="center"/>
          </w:tcPr>
          <w:p w14:paraId="027C5AA5">
            <w:pPr>
              <w:adjustRightInd w:val="0"/>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付款周期</w:t>
            </w:r>
          </w:p>
          <w:p w14:paraId="77AE239C">
            <w:pPr>
              <w:snapToGrid w:val="0"/>
              <w:spacing w:line="360" w:lineRule="auto"/>
              <w:jc w:val="left"/>
              <w:rPr>
                <w:rFonts w:cs="宋体"/>
                <w:b/>
                <w:color w:val="000000" w:themeColor="text1"/>
                <w:sz w:val="24"/>
                <w:szCs w:val="24"/>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关于付款周期的约定：</w:t>
            </w:r>
          </w:p>
          <w:p w14:paraId="6E99164D">
            <w:pPr>
              <w:snapToGrid w:val="0"/>
              <w:spacing w:line="360" w:lineRule="auto"/>
              <w:jc w:val="left"/>
              <w:rPr>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u w:val="single"/>
                <w14:textFill>
                  <w14:solidFill>
                    <w14:schemeClr w14:val="tx1"/>
                  </w14:solidFill>
                </w14:textFill>
              </w:rPr>
              <w:t>①合同签订后，经乙方申请，合同甲方审核确认后支付乙方签约合同价的</w:t>
            </w:r>
            <w:r>
              <w:rPr>
                <w:rFonts w:hint="eastAsia" w:cs="宋体"/>
                <w:bCs/>
                <w:color w:val="000000" w:themeColor="text1"/>
                <w:sz w:val="21"/>
                <w:szCs w:val="21"/>
                <w:highlight w:val="none"/>
                <w:u w:val="single"/>
                <w:lang w:val="en-US" w:eastAsia="zh-CN"/>
                <w14:textFill>
                  <w14:solidFill>
                    <w14:schemeClr w14:val="tx1"/>
                  </w14:solidFill>
                </w14:textFill>
              </w:rPr>
              <w:t>6</w:t>
            </w:r>
            <w:r>
              <w:rPr>
                <w:rFonts w:hint="eastAsia" w:cs="宋体"/>
                <w:b/>
                <w:color w:val="000000" w:themeColor="text1"/>
                <w:sz w:val="21"/>
                <w:szCs w:val="21"/>
                <w:highlight w:val="none"/>
                <w:u w:val="single"/>
                <w14:textFill>
                  <w14:solidFill>
                    <w14:schemeClr w14:val="tx1"/>
                  </w14:solidFill>
                </w14:textFill>
              </w:rPr>
              <w:t>0%</w:t>
            </w:r>
            <w:r>
              <w:rPr>
                <w:rFonts w:hint="eastAsia" w:cs="宋体"/>
                <w:bCs/>
                <w:color w:val="000000" w:themeColor="text1"/>
                <w:sz w:val="21"/>
                <w:szCs w:val="21"/>
                <w:highlight w:val="none"/>
                <w:u w:val="single"/>
                <w14:textFill>
                  <w14:solidFill>
                    <w14:schemeClr w14:val="tx1"/>
                  </w14:solidFill>
                </w14:textFill>
              </w:rPr>
              <w:t>作为预付款（乙方须提交等额预付款担保）。合同价款按工程进度支付，完工验收并经结算审核后支付至结算价款的100%，并扣回所有预付款。</w:t>
            </w:r>
          </w:p>
          <w:p w14:paraId="01F977D8">
            <w:pPr>
              <w:adjustRightInd w:val="0"/>
              <w:snapToGrid w:val="0"/>
              <w:spacing w:line="360" w:lineRule="auto"/>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u w:val="single"/>
                <w14:textFill>
                  <w14:solidFill>
                    <w14:schemeClr w14:val="tx1"/>
                  </w14:solidFill>
                </w14:textFill>
              </w:rPr>
              <w:t>②在签订合同时，乙方书面明确表示无需预付款，即乙方无需提供预付款担保，按皖财购〔2022〕556号规定，合同甲方可不再支付预付款。合同价款按工程进度支付，完工验收并经结算审核后支付至结算价款的100%。</w:t>
            </w:r>
          </w:p>
        </w:tc>
      </w:tr>
      <w:tr w14:paraId="0AF2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2EE964EA">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4AD1412B">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15.2.1</w:t>
            </w:r>
          </w:p>
        </w:tc>
        <w:tc>
          <w:tcPr>
            <w:tcW w:w="7304" w:type="dxa"/>
            <w:vAlign w:val="center"/>
          </w:tcPr>
          <w:p w14:paraId="58BDF87E">
            <w:pPr>
              <w:snapToGrid w:val="0"/>
              <w:spacing w:line="360" w:lineRule="auto"/>
              <w:rPr>
                <w:rFonts w:cs="宋体"/>
                <w:bCs/>
                <w:color w:val="000000" w:themeColor="text1"/>
                <w:kern w:val="2"/>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缺陷责任期的具体期限：</w:t>
            </w:r>
            <w:r>
              <w:rPr>
                <w:rFonts w:hint="eastAsia" w:cs="宋体"/>
                <w:color w:val="000000" w:themeColor="text1"/>
                <w:sz w:val="21"/>
                <w:szCs w:val="21"/>
                <w:highlight w:val="none"/>
                <w:u w:val="single"/>
                <w14:textFill>
                  <w14:solidFill>
                    <w14:schemeClr w14:val="tx1"/>
                  </w14:solidFill>
                </w14:textFill>
              </w:rPr>
              <w:t>工程通过完工验收之日起12个月。</w:t>
            </w:r>
          </w:p>
        </w:tc>
      </w:tr>
      <w:tr w14:paraId="724E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2475B420">
            <w:pPr>
              <w:numPr>
                <w:ilvl w:val="0"/>
                <w:numId w:val="11"/>
              </w:numPr>
              <w:snapToGrid w:val="0"/>
              <w:spacing w:line="360" w:lineRule="auto"/>
              <w:jc w:val="center"/>
              <w:rPr>
                <w:rFonts w:cs="宋体"/>
                <w:bCs/>
                <w:color w:val="000000" w:themeColor="text1"/>
                <w:kern w:val="2"/>
                <w:sz w:val="21"/>
                <w:szCs w:val="21"/>
                <w:highlight w:val="none"/>
                <w14:textFill>
                  <w14:solidFill>
                    <w14:schemeClr w14:val="tx1"/>
                  </w14:solidFill>
                </w14:textFill>
              </w:rPr>
            </w:pPr>
          </w:p>
        </w:tc>
        <w:tc>
          <w:tcPr>
            <w:tcW w:w="1111" w:type="dxa"/>
            <w:vAlign w:val="center"/>
          </w:tcPr>
          <w:p w14:paraId="528C014C">
            <w:pPr>
              <w:snapToGrid w:val="0"/>
              <w:spacing w:line="360" w:lineRule="auto"/>
              <w:jc w:val="center"/>
              <w:rPr>
                <w:rFonts w:cs="宋体"/>
                <w:bCs/>
                <w:color w:val="000000" w:themeColor="text1"/>
                <w:kern w:val="2"/>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15.3.1</w:t>
            </w:r>
          </w:p>
        </w:tc>
        <w:tc>
          <w:tcPr>
            <w:tcW w:w="7304" w:type="dxa"/>
            <w:vAlign w:val="center"/>
          </w:tcPr>
          <w:p w14:paraId="601A99FF">
            <w:pPr>
              <w:adjustRightInd w:val="0"/>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质量保证金可采用以下任意一种方式：</w:t>
            </w:r>
          </w:p>
          <w:p w14:paraId="7792C039">
            <w:pPr>
              <w:adjustRightInd w:val="0"/>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w:t>
            </w:r>
            <w:r>
              <w:rPr>
                <w:rFonts w:hint="eastAsia" w:cs="宋体"/>
                <w:color w:val="000000" w:themeColor="text1"/>
                <w:sz w:val="21"/>
                <w:szCs w:val="21"/>
                <w:highlight w:val="none"/>
                <w:u w:val="single"/>
                <w14:textFill>
                  <w14:solidFill>
                    <w14:schemeClr w14:val="tx1"/>
                  </w14:solidFill>
                </w14:textFill>
              </w:rPr>
              <w:t>由银行业金融机构、工程担保公司、保险机构出具银行保函、工程质量保险等担保方式，担保/保证金额为：结算价的3%；</w:t>
            </w:r>
          </w:p>
          <w:p w14:paraId="53E53CD2">
            <w:pPr>
              <w:adjustRightInd w:val="0"/>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w:t>
            </w:r>
            <w:r>
              <w:rPr>
                <w:rFonts w:hint="eastAsia" w:cs="宋体"/>
                <w:color w:val="000000" w:themeColor="text1"/>
                <w:sz w:val="21"/>
                <w:szCs w:val="21"/>
                <w:highlight w:val="none"/>
                <w:u w:val="single"/>
                <w14:textFill>
                  <w14:solidFill>
                    <w14:schemeClr w14:val="tx1"/>
                  </w14:solidFill>
                </w14:textFill>
              </w:rPr>
              <w:t>在本工程结算支付前采用现金或转账的方式缴纳，金额为结算价的3%；</w:t>
            </w:r>
          </w:p>
          <w:p w14:paraId="1C5B36B5">
            <w:pPr>
              <w:adjustRightInd w:val="0"/>
              <w:snapToGrid w:val="0"/>
              <w:spacing w:line="360" w:lineRule="auto"/>
              <w:rPr>
                <w:rFonts w:cs="宋体"/>
                <w:color w:val="000000" w:themeColor="text1"/>
                <w:kern w:val="2"/>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（3）其他方式：</w:t>
            </w:r>
            <w:r>
              <w:rPr>
                <w:rFonts w:hint="eastAsia" w:cs="宋体"/>
                <w:color w:val="000000" w:themeColor="text1"/>
                <w:sz w:val="21"/>
                <w:szCs w:val="21"/>
                <w:highlight w:val="none"/>
                <w:u w:val="single"/>
                <w14:textFill>
                  <w14:solidFill>
                    <w14:schemeClr w14:val="tx1"/>
                  </w14:solidFill>
                </w14:textFill>
              </w:rPr>
              <w:t>在工程项目完工前，乙方按合同甲方要求提供履约保证金的，可在工程进入缺陷责任期时按照多退少补原则转为质量保证金，金额为：结算价的3%。</w:t>
            </w:r>
          </w:p>
        </w:tc>
      </w:tr>
    </w:tbl>
    <w:p w14:paraId="48743DEC">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br w:type="page"/>
      </w:r>
      <w:bookmarkEnd w:id="82"/>
      <w:r>
        <w:rPr>
          <w:rFonts w:hint="eastAsia" w:cs="宋体"/>
          <w:color w:val="000000" w:themeColor="text1"/>
          <w:sz w:val="21"/>
          <w:szCs w:val="21"/>
          <w:highlight w:val="none"/>
          <w14:textFill>
            <w14:solidFill>
              <w14:schemeClr w14:val="tx1"/>
            </w14:solidFill>
          </w14:textFill>
        </w:rPr>
        <w:t>1</w:t>
      </w:r>
      <w:bookmarkStart w:id="83" w:name="_Toc297120456"/>
      <w:bookmarkStart w:id="84" w:name="_Toc292559361"/>
      <w:bookmarkStart w:id="85" w:name="_Toc296891196"/>
      <w:bookmarkStart w:id="86" w:name="_Toc296944495"/>
      <w:bookmarkStart w:id="87" w:name="_Toc297048342"/>
      <w:bookmarkStart w:id="88" w:name="_Toc296503156"/>
      <w:bookmarkStart w:id="89" w:name="_Toc296346657"/>
      <w:bookmarkStart w:id="90" w:name="_Toc296890984"/>
      <w:bookmarkStart w:id="91" w:name="_Toc296347155"/>
      <w:bookmarkStart w:id="92" w:name="_Toc292559866"/>
      <w:r>
        <w:rPr>
          <w:rFonts w:hint="eastAsia" w:cs="宋体"/>
          <w:color w:val="000000" w:themeColor="text1"/>
          <w:sz w:val="21"/>
          <w:szCs w:val="21"/>
          <w:highlight w:val="none"/>
          <w14:textFill>
            <w14:solidFill>
              <w14:schemeClr w14:val="tx1"/>
            </w14:solidFill>
          </w14:textFill>
        </w:rPr>
        <w:t>. 一般约定</w:t>
      </w:r>
    </w:p>
    <w:bookmarkEnd w:id="83"/>
    <w:bookmarkEnd w:id="84"/>
    <w:bookmarkEnd w:id="85"/>
    <w:bookmarkEnd w:id="86"/>
    <w:bookmarkEnd w:id="87"/>
    <w:bookmarkEnd w:id="88"/>
    <w:bookmarkEnd w:id="89"/>
    <w:bookmarkEnd w:id="90"/>
    <w:bookmarkEnd w:id="91"/>
    <w:bookmarkEnd w:id="92"/>
    <w:p w14:paraId="2E785CD4">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1.1 词语定义与解释</w:t>
      </w:r>
    </w:p>
    <w:p w14:paraId="5A8DFF8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1.1.1 合同</w:t>
      </w:r>
    </w:p>
    <w:p w14:paraId="149138C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1.1.1.10 其他合同文件包括：</w:t>
      </w:r>
      <w:r>
        <w:rPr>
          <w:rFonts w:hint="eastAsia" w:cs="宋体"/>
          <w:color w:val="000000" w:themeColor="text1"/>
          <w:sz w:val="21"/>
          <w:szCs w:val="21"/>
          <w:highlight w:val="none"/>
          <w:u w:val="single"/>
          <w14:textFill>
            <w14:solidFill>
              <w14:schemeClr w14:val="tx1"/>
            </w14:solidFill>
          </w14:textFill>
        </w:rPr>
        <w:t xml:space="preserve"> /</w:t>
      </w:r>
    </w:p>
    <w:p w14:paraId="223B4C5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1.1.2 合同当事人及其他相关方</w:t>
      </w:r>
    </w:p>
    <w:p w14:paraId="57EC3B4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1.1.2.4 监理人：</w:t>
      </w:r>
      <w:r>
        <w:rPr>
          <w:rFonts w:hint="eastAsia" w:cs="宋体"/>
          <w:color w:val="000000" w:themeColor="text1"/>
          <w:sz w:val="21"/>
          <w:szCs w:val="21"/>
          <w:highlight w:val="none"/>
          <w:u w:val="single"/>
          <w14:textFill>
            <w14:solidFill>
              <w14:schemeClr w14:val="tx1"/>
            </w14:solidFill>
          </w14:textFill>
        </w:rPr>
        <w:t xml:space="preserve"> /</w:t>
      </w:r>
    </w:p>
    <w:p w14:paraId="1CAA3FC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 xml:space="preserve">1.1.2.5 设计人： </w:t>
      </w:r>
      <w:r>
        <w:rPr>
          <w:rFonts w:hint="eastAsia" w:cs="宋体"/>
          <w:color w:val="000000" w:themeColor="text1"/>
          <w:sz w:val="21"/>
          <w:szCs w:val="21"/>
          <w:highlight w:val="none"/>
          <w:u w:val="single"/>
          <w14:textFill>
            <w14:solidFill>
              <w14:schemeClr w14:val="tx1"/>
            </w14:solidFill>
          </w14:textFill>
        </w:rPr>
        <w:t>/</w:t>
      </w:r>
    </w:p>
    <w:p w14:paraId="4A5D5EE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1.1.3 工程和设备</w:t>
      </w:r>
    </w:p>
    <w:p w14:paraId="7B0DB04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1.1.3.7 作为施工现场组成部分的其他场所包括：</w:t>
      </w:r>
      <w:r>
        <w:rPr>
          <w:rFonts w:hint="eastAsia" w:cs="宋体"/>
          <w:color w:val="000000" w:themeColor="text1"/>
          <w:sz w:val="21"/>
          <w:szCs w:val="21"/>
          <w:highlight w:val="none"/>
          <w:u w:val="single"/>
          <w14:textFill>
            <w14:solidFill>
              <w14:schemeClr w14:val="tx1"/>
            </w14:solidFill>
          </w14:textFill>
        </w:rPr>
        <w:t>指用于合同工程施工的场所，以及在合同中指定作为施工场地组成部分的其他场所，包括永久占地和临时占地。</w:t>
      </w:r>
    </w:p>
    <w:p w14:paraId="5731A6F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1.1.3.9 永久占地包括：</w:t>
      </w:r>
      <w:r>
        <w:rPr>
          <w:rFonts w:hint="eastAsia" w:cs="宋体"/>
          <w:color w:val="000000" w:themeColor="text1"/>
          <w:sz w:val="21"/>
          <w:szCs w:val="21"/>
          <w:highlight w:val="none"/>
          <w:u w:val="single"/>
          <w14:textFill>
            <w14:solidFill>
              <w14:schemeClr w14:val="tx1"/>
            </w14:solidFill>
          </w14:textFill>
        </w:rPr>
        <w:t xml:space="preserve"> 指发包人为建设本合同工程永久征用的场地</w:t>
      </w:r>
      <w:r>
        <w:rPr>
          <w:rFonts w:hint="eastAsia" w:cs="宋体"/>
          <w:color w:val="000000" w:themeColor="text1"/>
          <w:sz w:val="21"/>
          <w:szCs w:val="21"/>
          <w:highlight w:val="none"/>
          <w14:textFill>
            <w14:solidFill>
              <w14:schemeClr w14:val="tx1"/>
            </w14:solidFill>
          </w14:textFill>
        </w:rPr>
        <w:t>。</w:t>
      </w:r>
    </w:p>
    <w:p w14:paraId="26DFD4C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1.1.3.10 临时占地包括：</w:t>
      </w:r>
      <w:r>
        <w:rPr>
          <w:rFonts w:hint="eastAsia" w:cs="宋体"/>
          <w:color w:val="000000" w:themeColor="text1"/>
          <w:sz w:val="21"/>
          <w:szCs w:val="21"/>
          <w:highlight w:val="none"/>
          <w:u w:val="single"/>
          <w14:textFill>
            <w14:solidFill>
              <w14:schemeClr w14:val="tx1"/>
            </w14:solidFill>
          </w14:textFill>
        </w:rPr>
        <w:t xml:space="preserve"> 指发包人为建设本合同工程临时征用，承包人在完工后须按合同要求退还的场地；工程施工用地（含地面附着物）由发包人负责与工程所在地的乡镇协调解决；发包人负责办理永久占地和招标图示的临时用地范围内的征地搬迁工作，向承包人提供永久用地和招标图示的临时用地，承包人应无条件接受现场条件。永久占地由发包人承担，临时用地发包人负责协调，费用由承包人承担。</w:t>
      </w:r>
      <w:r>
        <w:rPr>
          <w:rFonts w:hint="eastAsia" w:cs="宋体"/>
          <w:color w:val="000000" w:themeColor="text1"/>
          <w:sz w:val="21"/>
          <w:szCs w:val="21"/>
          <w:highlight w:val="none"/>
          <w14:textFill>
            <w14:solidFill>
              <w14:schemeClr w14:val="tx1"/>
            </w14:solidFill>
          </w14:textFill>
        </w:rPr>
        <w:t>。</w:t>
      </w:r>
    </w:p>
    <w:p w14:paraId="73F1EDB1">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1.3 法律 </w:t>
      </w:r>
    </w:p>
    <w:p w14:paraId="233889A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适用于合同的其他规范性文件：</w:t>
      </w:r>
      <w:r>
        <w:rPr>
          <w:rFonts w:hint="eastAsia" w:cs="宋体"/>
          <w:color w:val="000000" w:themeColor="text1"/>
          <w:sz w:val="21"/>
          <w:szCs w:val="21"/>
          <w:highlight w:val="none"/>
          <w:u w:val="single"/>
          <w14:textFill>
            <w14:solidFill>
              <w14:schemeClr w14:val="tx1"/>
            </w14:solidFill>
          </w14:textFill>
        </w:rPr>
        <w:t>《中华人民共和国民法典》、《中华人民共和国建筑法》、《中华人民共和国政府采购法》、《中华人民共和国招标投标法》、《建设工程质量管理条例》、《建设工程安全生产管理条例》等国家及工程所在地现行有效的法律法规和规章</w:t>
      </w:r>
      <w:r>
        <w:rPr>
          <w:rFonts w:hint="eastAsia" w:cs="宋体"/>
          <w:color w:val="000000" w:themeColor="text1"/>
          <w:sz w:val="21"/>
          <w:szCs w:val="21"/>
          <w:highlight w:val="none"/>
          <w14:textFill>
            <w14:solidFill>
              <w14:schemeClr w14:val="tx1"/>
            </w14:solidFill>
          </w14:textFill>
        </w:rPr>
        <w:t>。</w:t>
      </w:r>
    </w:p>
    <w:p w14:paraId="4B048F5F">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1.4 标准和规范</w:t>
      </w:r>
    </w:p>
    <w:p w14:paraId="08FD1DF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1.4.1 适用于工程的标准规范包括：</w:t>
      </w:r>
      <w:r>
        <w:rPr>
          <w:rFonts w:hint="eastAsia" w:cs="宋体"/>
          <w:color w:val="000000" w:themeColor="text1"/>
          <w:sz w:val="21"/>
          <w:szCs w:val="21"/>
          <w:highlight w:val="none"/>
          <w:u w:val="single"/>
          <w14:textFill>
            <w14:solidFill>
              <w14:schemeClr w14:val="tx1"/>
            </w14:solidFill>
          </w14:textFill>
        </w:rPr>
        <w:t xml:space="preserve"> 国家及工程所在地现行有效的法律法规和规章 </w:t>
      </w:r>
      <w:r>
        <w:rPr>
          <w:rFonts w:hint="eastAsia" w:cs="宋体"/>
          <w:color w:val="000000" w:themeColor="text1"/>
          <w:sz w:val="21"/>
          <w:szCs w:val="21"/>
          <w:highlight w:val="none"/>
          <w14:textFill>
            <w14:solidFill>
              <w14:schemeClr w14:val="tx1"/>
            </w14:solidFill>
          </w14:textFill>
        </w:rPr>
        <w:t>。</w:t>
      </w:r>
    </w:p>
    <w:p w14:paraId="71730FC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1.4.2 发包人提供国外标准、规范的名称：</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6632167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1.4.3 发包人对工程的技术标准和功能要求的特殊要求：</w:t>
      </w:r>
      <w:r>
        <w:rPr>
          <w:rFonts w:hint="eastAsia" w:cs="宋体"/>
          <w:color w:val="000000" w:themeColor="text1"/>
          <w:sz w:val="21"/>
          <w:szCs w:val="21"/>
          <w:highlight w:val="none"/>
          <w:u w:val="single"/>
          <w14:textFill>
            <w14:solidFill>
              <w14:schemeClr w14:val="tx1"/>
            </w14:solidFill>
          </w14:textFill>
        </w:rPr>
        <w:t xml:space="preserve"> 符合国家及工程所在地现行有效的的技术标准和采购文件的要求 </w:t>
      </w:r>
      <w:r>
        <w:rPr>
          <w:rFonts w:hint="eastAsia" w:cs="宋体"/>
          <w:color w:val="000000" w:themeColor="text1"/>
          <w:sz w:val="21"/>
          <w:szCs w:val="21"/>
          <w:highlight w:val="none"/>
          <w14:textFill>
            <w14:solidFill>
              <w14:schemeClr w14:val="tx1"/>
            </w14:solidFill>
          </w14:textFill>
        </w:rPr>
        <w:t>。</w:t>
      </w:r>
    </w:p>
    <w:p w14:paraId="2A94E21F">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1.5 合同文件的优先顺序</w:t>
      </w:r>
    </w:p>
    <w:p w14:paraId="2CB381A6">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合同文件组成及优先顺序为：</w:t>
      </w:r>
      <w:r>
        <w:rPr>
          <w:rFonts w:hint="eastAsia" w:cs="宋体"/>
          <w:color w:val="000000" w:themeColor="text1"/>
          <w:sz w:val="21"/>
          <w:szCs w:val="21"/>
          <w:highlight w:val="none"/>
          <w:u w:val="single"/>
          <w14:textFill>
            <w14:solidFill>
              <w14:schemeClr w14:val="tx1"/>
            </w14:solidFill>
          </w14:textFill>
        </w:rPr>
        <w:t xml:space="preserve"> 组成合同的各项文件应互相解释，互为说明。除专用合同条款另有约定外，解释合同文件的优先顺序如下：</w:t>
      </w:r>
    </w:p>
    <w:p w14:paraId="7D819498">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(l）合同协议书；</w:t>
      </w:r>
    </w:p>
    <w:p w14:paraId="6F2E7C8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(2）中标通知书；</w:t>
      </w:r>
    </w:p>
    <w:p w14:paraId="656B79A4">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(3）磋商响应函及最后承诺报价表；</w:t>
      </w:r>
    </w:p>
    <w:p w14:paraId="6726708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(4）专用合同条款；</w:t>
      </w:r>
    </w:p>
    <w:p w14:paraId="48B6DC3B">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(5）通用合同条款；</w:t>
      </w:r>
    </w:p>
    <w:p w14:paraId="2A2B9555">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(6）技术标准和要求；</w:t>
      </w:r>
    </w:p>
    <w:p w14:paraId="650CA5CF">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(7）图纸；</w:t>
      </w:r>
    </w:p>
    <w:p w14:paraId="3141DE6D">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(8）已标价工程量清单（并按照最后承诺报价表下浮后）；</w:t>
      </w:r>
    </w:p>
    <w:p w14:paraId="46FEC879">
      <w:pPr>
        <w:adjustRightInd w:val="0"/>
        <w:snapToGrid w:val="0"/>
        <w:spacing w:line="360" w:lineRule="auto"/>
        <w:ind w:firstLine="420" w:firstLineChars="200"/>
        <w:rPr>
          <w:rFonts w:cs="宋体"/>
          <w:b/>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xml:space="preserve">(9) 其他合同文件。 </w:t>
      </w:r>
    </w:p>
    <w:p w14:paraId="375DB1BC">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1.6 图纸和承包人文件</w:t>
      </w:r>
      <w:r>
        <w:rPr>
          <w:rFonts w:hint="eastAsia" w:cs="宋体"/>
          <w:bCs/>
          <w:color w:val="000000" w:themeColor="text1"/>
          <w:sz w:val="21"/>
          <w:szCs w:val="21"/>
          <w:highlight w:val="none"/>
          <w14:textFill>
            <w14:solidFill>
              <w14:schemeClr w14:val="tx1"/>
            </w14:solidFill>
          </w14:textFill>
        </w:rPr>
        <w:tab/>
      </w:r>
    </w:p>
    <w:p w14:paraId="207842B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1.6.1 图纸的提供和交底</w:t>
      </w:r>
    </w:p>
    <w:p w14:paraId="40A4B3B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发包人向承包人提供图纸的期限：</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098F144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发包人向承包人提供图纸的数量：</w:t>
      </w:r>
      <w:r>
        <w:rPr>
          <w:rFonts w:hint="eastAsia" w:cs="宋体"/>
          <w:color w:val="000000" w:themeColor="text1"/>
          <w:sz w:val="21"/>
          <w:szCs w:val="21"/>
          <w:highlight w:val="none"/>
          <w:u w:val="single"/>
          <w14:textFill>
            <w14:solidFill>
              <w14:schemeClr w14:val="tx1"/>
            </w14:solidFill>
          </w14:textFill>
        </w:rPr>
        <w:t>提供 /套（含完工图 / 套），不足的由承包人自行复制，费用自理；</w:t>
      </w:r>
    </w:p>
    <w:p w14:paraId="510A96E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发包人向承包人提供图纸的内容：</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E4B057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1.6.4 承包人文件</w:t>
      </w:r>
    </w:p>
    <w:p w14:paraId="3F1D63E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需要由承包人提供的文件，包括：</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bCs/>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658E34D6">
      <w:pPr>
        <w:adjustRightInd w:val="0"/>
        <w:snapToGrid w:val="0"/>
        <w:spacing w:line="360" w:lineRule="auto"/>
        <w:ind w:firstLine="420" w:firstLineChars="200"/>
        <w:rPr>
          <w:rFonts w:cs="宋体"/>
          <w:b/>
          <w:bCs/>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承包人提供的文件的期限为：</w:t>
      </w:r>
      <w:r>
        <w:rPr>
          <w:rFonts w:hint="eastAsia" w:cs="宋体"/>
          <w:b/>
          <w:bCs/>
          <w:color w:val="000000" w:themeColor="text1"/>
          <w:sz w:val="21"/>
          <w:szCs w:val="21"/>
          <w:highlight w:val="none"/>
          <w:u w:val="single"/>
          <w14:textFill>
            <w14:solidFill>
              <w14:schemeClr w14:val="tx1"/>
            </w14:solidFill>
          </w14:textFill>
        </w:rPr>
        <w:t xml:space="preserve"> 执行通用条款 </w:t>
      </w:r>
      <w:r>
        <w:rPr>
          <w:rFonts w:hint="eastAsia" w:cs="宋体"/>
          <w:b/>
          <w:bCs/>
          <w:color w:val="000000" w:themeColor="text1"/>
          <w:sz w:val="21"/>
          <w:szCs w:val="21"/>
          <w:highlight w:val="none"/>
          <w14:textFill>
            <w14:solidFill>
              <w14:schemeClr w14:val="tx1"/>
            </w14:solidFill>
          </w14:textFill>
        </w:rPr>
        <w:t>；</w:t>
      </w:r>
    </w:p>
    <w:p w14:paraId="1B8DDE1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承包人提供的文件的数量为：</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bCs/>
          <w:color w:val="000000" w:themeColor="text1"/>
          <w:sz w:val="21"/>
          <w:szCs w:val="21"/>
          <w:highlight w:val="none"/>
          <w:u w:val="single"/>
          <w14:textFill>
            <w14:solidFill>
              <w14:schemeClr w14:val="tx1"/>
            </w14:solidFill>
          </w14:textFill>
        </w:rPr>
        <w:t xml:space="preserve">电子版一套，纸质版每包2套 </w:t>
      </w:r>
      <w:r>
        <w:rPr>
          <w:rFonts w:hint="eastAsia" w:cs="宋体"/>
          <w:color w:val="000000" w:themeColor="text1"/>
          <w:sz w:val="21"/>
          <w:szCs w:val="21"/>
          <w:highlight w:val="none"/>
          <w14:textFill>
            <w14:solidFill>
              <w14:schemeClr w14:val="tx1"/>
            </w14:solidFill>
          </w14:textFill>
        </w:rPr>
        <w:t>；</w:t>
      </w:r>
    </w:p>
    <w:p w14:paraId="2C8EFFB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承包人提供的文件的形式为：</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bCs/>
          <w:color w:val="000000" w:themeColor="text1"/>
          <w:sz w:val="21"/>
          <w:szCs w:val="21"/>
          <w:highlight w:val="none"/>
          <w:u w:val="single"/>
          <w14:textFill>
            <w14:solidFill>
              <w14:schemeClr w14:val="tx1"/>
            </w14:solidFill>
          </w14:textFill>
        </w:rPr>
        <w:t xml:space="preserve">电子版一套，纸质版每包2套  </w:t>
      </w:r>
      <w:r>
        <w:rPr>
          <w:rFonts w:hint="eastAsia" w:cs="宋体"/>
          <w:b/>
          <w:bCs/>
          <w:color w:val="000000" w:themeColor="text1"/>
          <w:sz w:val="21"/>
          <w:szCs w:val="21"/>
          <w:highlight w:val="none"/>
          <w14:textFill>
            <w14:solidFill>
              <w14:schemeClr w14:val="tx1"/>
            </w14:solidFill>
          </w14:textFill>
        </w:rPr>
        <w:t>；</w:t>
      </w:r>
    </w:p>
    <w:p w14:paraId="04F4C8A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发包人审批承包人文件的期限：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bCs/>
          <w:color w:val="000000" w:themeColor="text1"/>
          <w:sz w:val="21"/>
          <w:szCs w:val="21"/>
          <w:highlight w:val="none"/>
          <w:u w:val="single"/>
          <w14:textFill>
            <w14:solidFill>
              <w14:schemeClr w14:val="tx1"/>
            </w14:solidFill>
          </w14:textFill>
        </w:rPr>
        <w:t xml:space="preserve">执行通用条款 </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3DC278D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1.6.5 图纸和承包人文件的保管</w:t>
      </w:r>
    </w:p>
    <w:p w14:paraId="68A2EFE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关于图纸和承包人文件保管的约定：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bCs/>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DDB41CC">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1.7 联络</w:t>
      </w:r>
    </w:p>
    <w:p w14:paraId="6F77FBC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1.7.1 发包人和承包人应当在</w:t>
      </w:r>
      <w:r>
        <w:rPr>
          <w:rFonts w:hint="eastAsia" w:cs="宋体"/>
          <w:color w:val="000000" w:themeColor="text1"/>
          <w:sz w:val="21"/>
          <w:szCs w:val="21"/>
          <w:highlight w:val="none"/>
          <w:u w:val="single"/>
          <w14:textFill>
            <w14:solidFill>
              <w14:schemeClr w14:val="tx1"/>
            </w14:solidFill>
          </w14:textFill>
        </w:rPr>
        <w:t>7</w:t>
      </w:r>
      <w:r>
        <w:rPr>
          <w:rFonts w:hint="eastAsia" w:cs="宋体"/>
          <w:color w:val="000000" w:themeColor="text1"/>
          <w:sz w:val="21"/>
          <w:szCs w:val="21"/>
          <w:highlight w:val="none"/>
          <w14:textFill>
            <w14:solidFill>
              <w14:schemeClr w14:val="tx1"/>
            </w14:solidFill>
          </w14:textFill>
        </w:rPr>
        <w:t>天内将与合同有关的通知、批准、证明、证书、指示、指令、要求、请求、同意、意见、确定和决定等书面函件送达对方当事人。</w:t>
      </w:r>
    </w:p>
    <w:p w14:paraId="69023AB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1.7.2 发包人接收文件的地点：</w:t>
      </w:r>
      <w:r>
        <w:rPr>
          <w:rFonts w:hint="eastAsia" w:cs="宋体"/>
          <w:color w:val="000000" w:themeColor="text1"/>
          <w:sz w:val="21"/>
          <w:szCs w:val="21"/>
          <w:highlight w:val="none"/>
          <w:u w:val="single"/>
          <w14:textFill>
            <w14:solidFill>
              <w14:schemeClr w14:val="tx1"/>
            </w14:solidFill>
          </w14:textFill>
        </w:rPr>
        <w:t xml:space="preserve"> 发包人指定地点 </w:t>
      </w:r>
      <w:r>
        <w:rPr>
          <w:rFonts w:hint="eastAsia" w:cs="宋体"/>
          <w:color w:val="000000" w:themeColor="text1"/>
          <w:sz w:val="21"/>
          <w:szCs w:val="21"/>
          <w:highlight w:val="none"/>
          <w14:textFill>
            <w14:solidFill>
              <w14:schemeClr w14:val="tx1"/>
            </w14:solidFill>
          </w14:textFill>
        </w:rPr>
        <w:t>；</w:t>
      </w:r>
    </w:p>
    <w:p w14:paraId="15932E1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发包人指定的接收人为：</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A5ADC6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承包人接收文件的地点：</w:t>
      </w:r>
      <w:r>
        <w:rPr>
          <w:rFonts w:hint="eastAsia" w:cs="宋体"/>
          <w:color w:val="000000" w:themeColor="text1"/>
          <w:sz w:val="21"/>
          <w:szCs w:val="21"/>
          <w:highlight w:val="none"/>
          <w:u w:val="single"/>
          <w14:textFill>
            <w14:solidFill>
              <w14:schemeClr w14:val="tx1"/>
            </w14:solidFill>
          </w14:textFill>
        </w:rPr>
        <w:t xml:space="preserve"> 发包人指定地点 </w:t>
      </w:r>
      <w:r>
        <w:rPr>
          <w:rFonts w:hint="eastAsia" w:cs="宋体"/>
          <w:color w:val="000000" w:themeColor="text1"/>
          <w:sz w:val="21"/>
          <w:szCs w:val="21"/>
          <w:highlight w:val="none"/>
          <w14:textFill>
            <w14:solidFill>
              <w14:schemeClr w14:val="tx1"/>
            </w14:solidFill>
          </w14:textFill>
        </w:rPr>
        <w:t>；</w:t>
      </w:r>
    </w:p>
    <w:p w14:paraId="1AC624E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承包人指定的接收人为：</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3E8352D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监理人接收文件的地点：</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p w14:paraId="4F0DEB8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监理人指定的接收人为：</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p w14:paraId="641189AF">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1.10 交通运输</w:t>
      </w:r>
    </w:p>
    <w:p w14:paraId="0FDBF12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w:t>
      </w:r>
      <w:bookmarkStart w:id="93" w:name="_Toc300934943"/>
      <w:bookmarkStart w:id="94" w:name="_Toc318581155"/>
      <w:bookmarkStart w:id="95" w:name="_Toc303539100"/>
      <w:bookmarkStart w:id="96" w:name="_Toc304295521"/>
      <w:bookmarkStart w:id="97" w:name="_Toc312677986"/>
      <w:r>
        <w:rPr>
          <w:rFonts w:hint="eastAsia" w:cs="宋体"/>
          <w:color w:val="000000" w:themeColor="text1"/>
          <w:sz w:val="21"/>
          <w:szCs w:val="21"/>
          <w:highlight w:val="none"/>
          <w14:textFill>
            <w14:solidFill>
              <w14:schemeClr w14:val="tx1"/>
            </w14:solidFill>
          </w14:textFill>
        </w:rPr>
        <w:t>.10.1 出入现场的权利</w:t>
      </w:r>
    </w:p>
    <w:p w14:paraId="03BEC18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关于出入现场的权利的约定：</w:t>
      </w:r>
      <w:r>
        <w:rPr>
          <w:rFonts w:hint="eastAsia" w:cs="宋体"/>
          <w:color w:val="000000" w:themeColor="text1"/>
          <w:sz w:val="21"/>
          <w:szCs w:val="21"/>
          <w:highlight w:val="none"/>
          <w:u w:val="single"/>
          <w14:textFill>
            <w14:solidFill>
              <w14:schemeClr w14:val="tx1"/>
            </w14:solidFill>
          </w14:textFill>
        </w:rPr>
        <w:t xml:space="preserve"> 非本项目相关人员不得随意出入 </w:t>
      </w:r>
      <w:r>
        <w:rPr>
          <w:rFonts w:hint="eastAsia" w:cs="宋体"/>
          <w:color w:val="000000" w:themeColor="text1"/>
          <w:sz w:val="21"/>
          <w:szCs w:val="21"/>
          <w:highlight w:val="none"/>
          <w14:textFill>
            <w14:solidFill>
              <w14:schemeClr w14:val="tx1"/>
            </w14:solidFill>
          </w14:textFill>
        </w:rPr>
        <w:t>。</w:t>
      </w:r>
    </w:p>
    <w:bookmarkEnd w:id="93"/>
    <w:bookmarkEnd w:id="94"/>
    <w:bookmarkEnd w:id="95"/>
    <w:bookmarkEnd w:id="96"/>
    <w:bookmarkEnd w:id="97"/>
    <w:p w14:paraId="48123A0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w:t>
      </w:r>
      <w:bookmarkStart w:id="98" w:name="_Toc303539101"/>
      <w:bookmarkStart w:id="99" w:name="_Toc300934944"/>
      <w:bookmarkStart w:id="100" w:name="_Toc312677987"/>
      <w:bookmarkStart w:id="101" w:name="_Toc318581156"/>
      <w:bookmarkStart w:id="102" w:name="_Toc304295522"/>
      <w:r>
        <w:rPr>
          <w:rFonts w:hint="eastAsia" w:cs="宋体"/>
          <w:color w:val="000000" w:themeColor="text1"/>
          <w:sz w:val="21"/>
          <w:szCs w:val="21"/>
          <w:highlight w:val="none"/>
          <w14:textFill>
            <w14:solidFill>
              <w14:schemeClr w14:val="tx1"/>
            </w14:solidFill>
          </w14:textFill>
        </w:rPr>
        <w:t>.10.3 场内交通</w:t>
      </w:r>
    </w:p>
    <w:p w14:paraId="7E48A894">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关于场外交通和场内交通的边界的约定：</w:t>
      </w:r>
      <w:r>
        <w:rPr>
          <w:rFonts w:hint="eastAsia" w:cs="宋体"/>
          <w:color w:val="000000" w:themeColor="text1"/>
          <w:sz w:val="21"/>
          <w:szCs w:val="21"/>
          <w:highlight w:val="none"/>
          <w:u w:val="single"/>
          <w14:textFill>
            <w14:solidFill>
              <w14:schemeClr w14:val="tx1"/>
            </w14:solidFill>
          </w14:textFill>
        </w:rPr>
        <w:t xml:space="preserve"> 承包人在进行合同约定的各项工作时，不得侵害发包人与他人使用公用道路、水源、市政管网等公共设施的权利，避免对邻近的公共设施产生干扰。承包人占用或使用他人的施工场地，影响他人作业或生活的，应承担相应责任 </w:t>
      </w:r>
      <w:r>
        <w:rPr>
          <w:rFonts w:hint="eastAsia" w:cs="宋体"/>
          <w:color w:val="000000" w:themeColor="text1"/>
          <w:sz w:val="21"/>
          <w:szCs w:val="21"/>
          <w:highlight w:val="none"/>
          <w14:textFill>
            <w14:solidFill>
              <w14:schemeClr w14:val="tx1"/>
            </w14:solidFill>
          </w14:textFill>
        </w:rPr>
        <w:t>。</w:t>
      </w:r>
    </w:p>
    <w:p w14:paraId="44784301">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关于发包人向承包人免费提供满足工程施工需要的场内道路和交通设施的约定：</w:t>
      </w:r>
      <w:r>
        <w:rPr>
          <w:rFonts w:hint="eastAsia" w:cs="宋体"/>
          <w:color w:val="000000" w:themeColor="text1"/>
          <w:sz w:val="21"/>
          <w:szCs w:val="21"/>
          <w:highlight w:val="none"/>
          <w:u w:val="single"/>
          <w14:textFill>
            <w14:solidFill>
              <w14:schemeClr w14:val="tx1"/>
            </w14:solidFill>
          </w14:textFill>
        </w:rPr>
        <w:t xml:space="preserve"> 发包人应为在施工场地或附近实施与工程有关的其他各项工作提供可能的条件。</w:t>
      </w:r>
      <w:bookmarkEnd w:id="98"/>
      <w:bookmarkEnd w:id="99"/>
      <w:bookmarkEnd w:id="100"/>
      <w:bookmarkEnd w:id="101"/>
      <w:bookmarkEnd w:id="102"/>
      <w:bookmarkStart w:id="103" w:name="_Toc318581157"/>
    </w:p>
    <w:p w14:paraId="54AF665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1.10.4 超大件和超重件的运输</w:t>
      </w:r>
    </w:p>
    <w:p w14:paraId="67F5DD7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运输超大件或超重件所需的道路和桥梁临时加固改造费用和其他有关费用由</w:t>
      </w:r>
      <w:r>
        <w:rPr>
          <w:rFonts w:hint="eastAsia" w:cs="宋体"/>
          <w:color w:val="000000" w:themeColor="text1"/>
          <w:sz w:val="21"/>
          <w:szCs w:val="21"/>
          <w:highlight w:val="none"/>
          <w:u w:val="single"/>
          <w14:textFill>
            <w14:solidFill>
              <w14:schemeClr w14:val="tx1"/>
            </w14:solidFill>
          </w14:textFill>
        </w:rPr>
        <w:t xml:space="preserve"> 承包人 </w:t>
      </w:r>
      <w:r>
        <w:rPr>
          <w:rFonts w:hint="eastAsia" w:cs="宋体"/>
          <w:color w:val="000000" w:themeColor="text1"/>
          <w:sz w:val="21"/>
          <w:szCs w:val="21"/>
          <w:highlight w:val="none"/>
          <w14:textFill>
            <w14:solidFill>
              <w14:schemeClr w14:val="tx1"/>
            </w14:solidFill>
          </w14:textFill>
        </w:rPr>
        <w:t>承担。</w:t>
      </w:r>
    </w:p>
    <w:bookmarkEnd w:id="103"/>
    <w:p w14:paraId="5E3CF69D">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1.11 知识产权</w:t>
      </w:r>
    </w:p>
    <w:p w14:paraId="63CDD893">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1.11.1 关于发包人提供给承包人的图纸、发包人为实施工程自行编制或委托编制的技术规范以及反映发包人关于合同要求或其他类似性质的文件的著作权的归属：</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6AFA5CB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关于发包人提供的上述文件的使用限制的要求：</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21C2AB4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1.11.2 关于承包人为实施工程所编制文件的著作权的归属：</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44306B8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关于承包人提供的上述文件的使用限制的要求：</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099D32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1.11.4 承包人在施工过程中所采用的专利、专有技术、技术秘密的使用费的承担方式：</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7845CF49">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1.13 工程量清单错误的修正</w:t>
      </w:r>
    </w:p>
    <w:p w14:paraId="292E211A">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出现工程量清单错误时，是否调整合同价格：</w:t>
      </w:r>
      <w:r>
        <w:rPr>
          <w:rFonts w:hint="eastAsia" w:cs="宋体"/>
          <w:color w:val="000000" w:themeColor="text1"/>
          <w:sz w:val="21"/>
          <w:szCs w:val="21"/>
          <w:highlight w:val="none"/>
          <w:u w:val="single"/>
          <w14:textFill>
            <w14:solidFill>
              <w14:schemeClr w14:val="tx1"/>
            </w14:solidFill>
          </w14:textFill>
        </w:rPr>
        <w:t xml:space="preserve">  除专用合同条款另有约定外，发包人提供的工程量清单，应被认为是准确的和完整的。出现下列情形之一时，发包人应予以修正，并相应调整合同价格：</w:t>
      </w:r>
    </w:p>
    <w:p w14:paraId="69B8A667">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（1）工程量清单存在缺项、漏项的；</w:t>
      </w:r>
    </w:p>
    <w:p w14:paraId="6BD4B3F4">
      <w:pPr>
        <w:adjustRightInd w:val="0"/>
        <w:snapToGrid w:val="0"/>
        <w:spacing w:line="360" w:lineRule="auto"/>
        <w:ind w:firstLine="420" w:firstLineChars="200"/>
        <w:rPr>
          <w:rFonts w:cs="宋体"/>
          <w:b/>
          <w:bCs/>
          <w:i/>
          <w:iCs/>
          <w:color w:val="000000" w:themeColor="text1"/>
          <w:kern w:val="2"/>
          <w:sz w:val="21"/>
          <w:szCs w:val="21"/>
          <w:highlight w:val="non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（2）未按照国家现行计量规范强制性规定计量的。</w:t>
      </w:r>
      <w:r>
        <w:rPr>
          <w:rFonts w:hint="eastAsia" w:cs="宋体"/>
          <w:b/>
          <w:bCs/>
          <w:i/>
          <w:iCs/>
          <w:color w:val="000000" w:themeColor="text1"/>
          <w:kern w:val="2"/>
          <w:sz w:val="21"/>
          <w:szCs w:val="21"/>
          <w:highlight w:val="none"/>
          <w14:textFill>
            <w14:solidFill>
              <w14:schemeClr w14:val="tx1"/>
            </w14:solidFill>
          </w14:textFill>
        </w:rPr>
        <w:t xml:space="preserve"> </w:t>
      </w:r>
    </w:p>
    <w:p w14:paraId="5A087F1E">
      <w:pPr>
        <w:adjustRightInd w:val="0"/>
        <w:snapToGrid w:val="0"/>
        <w:spacing w:line="360" w:lineRule="auto"/>
        <w:ind w:firstLine="420" w:firstLineChars="200"/>
        <w:rPr>
          <w:rFonts w:cs="宋体"/>
          <w:b/>
          <w:bCs/>
          <w:i/>
          <w:iCs/>
          <w:color w:val="000000" w:themeColor="text1"/>
          <w:kern w:val="2"/>
          <w:sz w:val="21"/>
          <w:szCs w:val="21"/>
          <w:highlight w:val="none"/>
          <w:shd w:val="clear" w:color="FFFFFF" w:fill="D9D9D9"/>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允许调整合同价格的工程量偏差范围：</w:t>
      </w:r>
      <w:r>
        <w:rPr>
          <w:rFonts w:hint="eastAsia" w:cs="宋体"/>
          <w:color w:val="000000" w:themeColor="text1"/>
          <w:sz w:val="21"/>
          <w:szCs w:val="21"/>
          <w:highlight w:val="none"/>
          <w:u w:val="single"/>
          <w14:textFill>
            <w14:solidFill>
              <w14:schemeClr w14:val="tx1"/>
            </w14:solidFill>
          </w14:textFill>
        </w:rPr>
        <w:t>/</w:t>
      </w:r>
      <w:r>
        <w:rPr>
          <w:rFonts w:hint="eastAsia" w:cs="宋体"/>
          <w:b/>
          <w:bCs/>
          <w:i/>
          <w:iCs/>
          <w:color w:val="000000" w:themeColor="text1"/>
          <w:kern w:val="2"/>
          <w:sz w:val="21"/>
          <w:szCs w:val="21"/>
          <w:highlight w:val="none"/>
          <w14:textFill>
            <w14:solidFill>
              <w14:schemeClr w14:val="tx1"/>
            </w14:solidFill>
          </w14:textFill>
        </w:rPr>
        <w:t xml:space="preserve"> （备注：与合同补充条款相对应）。</w:t>
      </w:r>
    </w:p>
    <w:p w14:paraId="130175E5">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104" w:name="_Toc351203634"/>
      <w:r>
        <w:rPr>
          <w:rFonts w:hint="eastAsia" w:cs="宋体"/>
          <w:color w:val="000000" w:themeColor="text1"/>
          <w:sz w:val="21"/>
          <w:szCs w:val="21"/>
          <w:highlight w:val="none"/>
          <w14:textFill>
            <w14:solidFill>
              <w14:schemeClr w14:val="tx1"/>
            </w14:solidFill>
          </w14:textFill>
        </w:rPr>
        <w:t>2</w:t>
      </w:r>
      <w:bookmarkStart w:id="105" w:name="_Toc296503157"/>
      <w:bookmarkStart w:id="106" w:name="_Toc292559867"/>
      <w:bookmarkStart w:id="107" w:name="_Toc296944496"/>
      <w:bookmarkStart w:id="108" w:name="_Toc296890985"/>
      <w:bookmarkStart w:id="109" w:name="_Toc296347156"/>
      <w:bookmarkStart w:id="110" w:name="_Toc297048343"/>
      <w:bookmarkStart w:id="111" w:name="_Toc297120457"/>
      <w:bookmarkStart w:id="112" w:name="_Toc296891197"/>
      <w:bookmarkStart w:id="113" w:name="_Toc292559362"/>
      <w:bookmarkStart w:id="114" w:name="_Toc296346658"/>
      <w:r>
        <w:rPr>
          <w:rFonts w:hint="eastAsia" w:cs="宋体"/>
          <w:color w:val="000000" w:themeColor="text1"/>
          <w:sz w:val="21"/>
          <w:szCs w:val="21"/>
          <w:highlight w:val="none"/>
          <w14:textFill>
            <w14:solidFill>
              <w14:schemeClr w14:val="tx1"/>
            </w14:solidFill>
          </w14:textFill>
        </w:rPr>
        <w:t>. 发包人</w:t>
      </w:r>
      <w:bookmarkEnd w:id="104"/>
    </w:p>
    <w:bookmarkEnd w:id="105"/>
    <w:bookmarkEnd w:id="106"/>
    <w:bookmarkEnd w:id="107"/>
    <w:bookmarkEnd w:id="108"/>
    <w:bookmarkEnd w:id="109"/>
    <w:bookmarkEnd w:id="110"/>
    <w:bookmarkEnd w:id="111"/>
    <w:bookmarkEnd w:id="112"/>
    <w:bookmarkEnd w:id="113"/>
    <w:bookmarkEnd w:id="114"/>
    <w:p w14:paraId="3A149D6C">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2.2 发包人代表</w:t>
      </w:r>
    </w:p>
    <w:p w14:paraId="43E7F9C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发包人代表：</w:t>
      </w:r>
    </w:p>
    <w:p w14:paraId="3566DE7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姓    名：</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671C03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身份证号：</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4E7EC4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职    务：</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206021A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联系电话：</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22F7F6E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电子信箱：</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DC80A0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通信地址：</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E36AAE2">
      <w:pPr>
        <w:adjustRightInd w:val="0"/>
        <w:snapToGrid w:val="0"/>
        <w:spacing w:line="360" w:lineRule="auto"/>
        <w:ind w:firstLine="420" w:firstLineChars="200"/>
        <w:rPr>
          <w:rFonts w:cs="宋体"/>
          <w:b/>
          <w:strike/>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发包人对发包人代表的授权范围如下：</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324653E1">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2.4 施工现场、施工条件和基础资料的提供</w:t>
      </w:r>
    </w:p>
    <w:p w14:paraId="4F0CA5E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2.4.1 提供施工现场</w:t>
      </w:r>
    </w:p>
    <w:p w14:paraId="334617A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关于发包人移交施工现场的期限要求：</w:t>
      </w:r>
      <w:r>
        <w:rPr>
          <w:rFonts w:hint="eastAsia" w:cs="宋体"/>
          <w:color w:val="000000" w:themeColor="text1"/>
          <w:sz w:val="21"/>
          <w:szCs w:val="21"/>
          <w:highlight w:val="none"/>
          <w:u w:val="single"/>
          <w14:textFill>
            <w14:solidFill>
              <w14:schemeClr w14:val="tx1"/>
            </w14:solidFill>
          </w14:textFill>
        </w:rPr>
        <w:t>开工日期7天前</w:t>
      </w:r>
      <w:r>
        <w:rPr>
          <w:rFonts w:hint="eastAsia" w:cs="宋体"/>
          <w:color w:val="000000" w:themeColor="text1"/>
          <w:sz w:val="21"/>
          <w:szCs w:val="21"/>
          <w:highlight w:val="none"/>
          <w14:textFill>
            <w14:solidFill>
              <w14:schemeClr w14:val="tx1"/>
            </w14:solidFill>
          </w14:textFill>
        </w:rPr>
        <w:t>。</w:t>
      </w:r>
    </w:p>
    <w:p w14:paraId="2305BE4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2.4.2 提供施工条件</w:t>
      </w:r>
    </w:p>
    <w:p w14:paraId="2E627401">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关于发包人应负责提供施工所需要的条件，包括：</w:t>
      </w:r>
      <w:r>
        <w:rPr>
          <w:rFonts w:hint="eastAsia" w:cs="宋体"/>
          <w:b/>
          <w:bCs/>
          <w:color w:val="000000" w:themeColor="text1"/>
          <w:sz w:val="21"/>
          <w:szCs w:val="21"/>
          <w:highlight w:val="none"/>
          <w:u w:val="single"/>
          <w14:textFill>
            <w14:solidFill>
              <w14:schemeClr w14:val="tx1"/>
            </w14:solidFill>
          </w14:textFill>
        </w:rPr>
        <w:t>执行通用条款。</w:t>
      </w:r>
    </w:p>
    <w:p w14:paraId="120910A6">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2.5 资金来源证明及支付担保</w:t>
      </w:r>
    </w:p>
    <w:p w14:paraId="00D0725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发包人提供资金来源证明的期限要求：</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57BE683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发包人是否提供支付担保：</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3EB1CBB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发包人提供支付担保的形式：</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45E0414F">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115" w:name="_Toc351203635"/>
      <w:r>
        <w:rPr>
          <w:rFonts w:hint="eastAsia" w:cs="宋体"/>
          <w:color w:val="000000" w:themeColor="text1"/>
          <w:sz w:val="21"/>
          <w:szCs w:val="21"/>
          <w:highlight w:val="none"/>
          <w14:textFill>
            <w14:solidFill>
              <w14:schemeClr w14:val="tx1"/>
            </w14:solidFill>
          </w14:textFill>
        </w:rPr>
        <w:t>3</w:t>
      </w:r>
      <w:bookmarkStart w:id="116" w:name="_Toc296944497"/>
      <w:bookmarkStart w:id="117" w:name="_Toc296347157"/>
      <w:bookmarkStart w:id="118" w:name="_Toc296503158"/>
      <w:bookmarkStart w:id="119" w:name="_Toc292559363"/>
      <w:bookmarkStart w:id="120" w:name="_Toc292559868"/>
      <w:bookmarkStart w:id="121" w:name="_Toc296890986"/>
      <w:bookmarkStart w:id="122" w:name="_Toc296891198"/>
      <w:bookmarkStart w:id="123" w:name="_Toc297120458"/>
      <w:bookmarkStart w:id="124" w:name="_Toc297048344"/>
      <w:bookmarkStart w:id="125" w:name="_Toc296346659"/>
      <w:r>
        <w:rPr>
          <w:rFonts w:hint="eastAsia" w:cs="宋体"/>
          <w:color w:val="000000" w:themeColor="text1"/>
          <w:sz w:val="21"/>
          <w:szCs w:val="21"/>
          <w:highlight w:val="none"/>
          <w14:textFill>
            <w14:solidFill>
              <w14:schemeClr w14:val="tx1"/>
            </w14:solidFill>
          </w14:textFill>
        </w:rPr>
        <w:t>. 承包人</w:t>
      </w:r>
      <w:bookmarkEnd w:id="115"/>
    </w:p>
    <w:bookmarkEnd w:id="116"/>
    <w:bookmarkEnd w:id="117"/>
    <w:bookmarkEnd w:id="118"/>
    <w:bookmarkEnd w:id="119"/>
    <w:bookmarkEnd w:id="120"/>
    <w:bookmarkEnd w:id="121"/>
    <w:bookmarkEnd w:id="122"/>
    <w:bookmarkEnd w:id="123"/>
    <w:bookmarkEnd w:id="124"/>
    <w:bookmarkEnd w:id="125"/>
    <w:p w14:paraId="47363EC7">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3.1 承包人的一般义务</w:t>
      </w:r>
    </w:p>
    <w:p w14:paraId="0713324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（9）承包人提交的完工资料的内容：</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p w14:paraId="067CD3C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承包人需要提交的完工资料套数：</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7DD4D75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承包人提交的完工资料的费用承担：</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p w14:paraId="695666A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承包人提交的完工资料移交时间：</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32AD995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承包人提交的完工资料形式要求：</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8E09C0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（10）承包人应履行的其他义务：</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6BCEE1A7">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3.2 项目经理</w:t>
      </w:r>
    </w:p>
    <w:p w14:paraId="7AB3C27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3.2.1 项目经理：</w:t>
      </w:r>
    </w:p>
    <w:p w14:paraId="5D37762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姓    名：</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33BC1E1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身份证号：</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52DC32F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建造师执业资格等级：</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649C5EA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建造师注册证书号：</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5DE7676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建造师执业印章号：</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177ED7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安全生产考核合格证书号：</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0DD7D1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联系电话：</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0C13CDA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电子信箱：</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6EC5E073">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通信地址：</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384098F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承包人对项目经理的授权范围如下：</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2139C31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关于项目经理每月在施工现场的时间要求：</w:t>
      </w:r>
      <w:r>
        <w:rPr>
          <w:rFonts w:hint="eastAsia" w:cs="宋体"/>
          <w:color w:val="000000" w:themeColor="text1"/>
          <w:sz w:val="21"/>
          <w:szCs w:val="21"/>
          <w:highlight w:val="none"/>
          <w:u w:val="single"/>
          <w14:textFill>
            <w14:solidFill>
              <w14:schemeClr w14:val="tx1"/>
            </w14:solidFill>
          </w14:textFill>
        </w:rPr>
        <w:t>见《专用合同条款数据表》。</w:t>
      </w:r>
    </w:p>
    <w:p w14:paraId="3FFEA831">
      <w:pPr>
        <w:adjustRightInd w:val="0"/>
        <w:snapToGrid w:val="0"/>
        <w:spacing w:line="360" w:lineRule="auto"/>
        <w:ind w:firstLine="420" w:firstLineChars="200"/>
        <w:rPr>
          <w:rFonts w:cs="宋体"/>
          <w:b/>
          <w:bCs/>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承包人未提交劳动合同，以及没有为项目经理缴纳社会保险证明的违约责任：</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bCs/>
          <w:color w:val="000000" w:themeColor="text1"/>
          <w:sz w:val="21"/>
          <w:szCs w:val="21"/>
          <w:highlight w:val="none"/>
          <w:u w:val="single"/>
          <w14:textFill>
            <w14:solidFill>
              <w14:schemeClr w14:val="tx1"/>
            </w14:solidFill>
          </w14:textFill>
        </w:rPr>
        <w:t xml:space="preserve">向发包人支付人民币壹万元的违约金，违约金从履约保证金中扣除，同时发包人有权解除合同  </w:t>
      </w:r>
      <w:r>
        <w:rPr>
          <w:rFonts w:hint="eastAsia" w:cs="宋体"/>
          <w:b/>
          <w:bCs/>
          <w:color w:val="000000" w:themeColor="text1"/>
          <w:sz w:val="21"/>
          <w:szCs w:val="21"/>
          <w:highlight w:val="none"/>
          <w14:textFill>
            <w14:solidFill>
              <w14:schemeClr w14:val="tx1"/>
            </w14:solidFill>
          </w14:textFill>
        </w:rPr>
        <w:t>。</w:t>
      </w:r>
    </w:p>
    <w:p w14:paraId="27874149">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项目经理未经批准，擅自离开施工现场的违约责任：</w:t>
      </w:r>
      <w:r>
        <w:rPr>
          <w:rFonts w:hint="eastAsia" w:cs="宋体"/>
          <w:color w:val="000000" w:themeColor="text1"/>
          <w:sz w:val="21"/>
          <w:szCs w:val="21"/>
          <w:highlight w:val="none"/>
          <w:u w:val="single"/>
          <w14:textFill>
            <w14:solidFill>
              <w14:schemeClr w14:val="tx1"/>
            </w14:solidFill>
          </w14:textFill>
        </w:rPr>
        <w:t>承包人未能按照承诺到岗尽职的，发包人将视情况严重程度对其作出相应处理，给予警告并发出整改通知。如仍未及时整改，发包人有权责令其停工整改直至解除合同。发包人还将停止支付工程款项，扣留任何未付的工程进度款项补偿发包人的有关损失或工期延误的损失，并就此向承包人索赔。</w:t>
      </w:r>
    </w:p>
    <w:p w14:paraId="0AE04D1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3.2.3 承包人擅自更换项目经理的违约责任：</w:t>
      </w:r>
    </w:p>
    <w:p w14:paraId="59F9137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承包人不得擅自更换投标时所报项目经理，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w:t>
      </w:r>
    </w:p>
    <w:p w14:paraId="436D707C">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3.2.4 承包人无正当理由拒绝更换项目经理的违约责任：</w:t>
      </w:r>
      <w:r>
        <w:rPr>
          <w:rFonts w:hint="eastAsia" w:cs="宋体"/>
          <w:color w:val="000000" w:themeColor="text1"/>
          <w:sz w:val="21"/>
          <w:szCs w:val="21"/>
          <w:highlight w:val="none"/>
          <w:u w:val="single"/>
          <w14:textFill>
            <w14:solidFill>
              <w14:schemeClr w14:val="tx1"/>
            </w14:solidFill>
          </w14:textFill>
        </w:rPr>
        <w:t xml:space="preserve"> 向发包人支付人民币</w:t>
      </w:r>
      <w:r>
        <w:rPr>
          <w:rFonts w:hint="eastAsia" w:cs="宋体"/>
          <w:b/>
          <w:bCs/>
          <w:color w:val="000000" w:themeColor="text1"/>
          <w:sz w:val="21"/>
          <w:szCs w:val="21"/>
          <w:highlight w:val="none"/>
          <w:u w:val="single"/>
          <w14:textFill>
            <w14:solidFill>
              <w14:schemeClr w14:val="tx1"/>
            </w14:solidFill>
          </w14:textFill>
        </w:rPr>
        <w:t>壹</w:t>
      </w:r>
    </w:p>
    <w:p w14:paraId="5881293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xml:space="preserve">万元违约金，同时承包人承担上述违约给发包人造成的一切损失。 </w:t>
      </w:r>
      <w:r>
        <w:rPr>
          <w:rFonts w:hint="eastAsia" w:cs="宋体"/>
          <w:color w:val="000000" w:themeColor="text1"/>
          <w:sz w:val="21"/>
          <w:szCs w:val="21"/>
          <w:highlight w:val="none"/>
          <w14:textFill>
            <w14:solidFill>
              <w14:schemeClr w14:val="tx1"/>
            </w14:solidFill>
          </w14:textFill>
        </w:rPr>
        <w:t>。</w:t>
      </w:r>
    </w:p>
    <w:p w14:paraId="6E176A4A">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3.3 承包人人员</w:t>
      </w:r>
    </w:p>
    <w:p w14:paraId="1355790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3.3.1 承包人提交项目管理机构及施工现场管理人员安排报告的期限：</w:t>
      </w:r>
      <w:r>
        <w:rPr>
          <w:rFonts w:hint="eastAsia" w:cs="宋体"/>
          <w:color w:val="000000" w:themeColor="text1"/>
          <w:sz w:val="21"/>
          <w:szCs w:val="21"/>
          <w:highlight w:val="none"/>
          <w:u w:val="single"/>
          <w14:textFill>
            <w14:solidFill>
              <w14:schemeClr w14:val="tx1"/>
            </w14:solidFill>
          </w14:textFill>
        </w:rPr>
        <w:t>合同签订时提供</w:t>
      </w:r>
      <w:r>
        <w:rPr>
          <w:rFonts w:hint="eastAsia" w:cs="宋体"/>
          <w:color w:val="000000" w:themeColor="text1"/>
          <w:sz w:val="21"/>
          <w:szCs w:val="21"/>
          <w:highlight w:val="none"/>
          <w14:textFill>
            <w14:solidFill>
              <w14:schemeClr w14:val="tx1"/>
            </w14:solidFill>
          </w14:textFill>
        </w:rPr>
        <w:t>。</w:t>
      </w:r>
    </w:p>
    <w:p w14:paraId="51106A1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3.3.3 承包人无正当理由拒绝撤换主要施工管理人员的违约责任：</w:t>
      </w:r>
      <w:r>
        <w:rPr>
          <w:rFonts w:hint="eastAsia" w:cs="宋体"/>
          <w:color w:val="000000" w:themeColor="text1"/>
          <w:sz w:val="21"/>
          <w:szCs w:val="21"/>
          <w:highlight w:val="none"/>
          <w:u w:val="single"/>
          <w14:textFill>
            <w14:solidFill>
              <w14:schemeClr w14:val="tx1"/>
            </w14:solidFill>
          </w14:textFill>
        </w:rPr>
        <w:t xml:space="preserve"> 发包人有权解除合同，由此造成的损失由承包人自行承担，承包人还应赔偿由此造成发包人的全部损失。 </w:t>
      </w:r>
      <w:r>
        <w:rPr>
          <w:rFonts w:hint="eastAsia" w:cs="宋体"/>
          <w:color w:val="000000" w:themeColor="text1"/>
          <w:sz w:val="21"/>
          <w:szCs w:val="21"/>
          <w:highlight w:val="none"/>
          <w14:textFill>
            <w14:solidFill>
              <w14:schemeClr w14:val="tx1"/>
            </w14:solidFill>
          </w14:textFill>
        </w:rPr>
        <w:t>。</w:t>
      </w:r>
    </w:p>
    <w:p w14:paraId="7DC2D3D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3.3.4 承包人主要施工管理人员离开施工现场的批准要求：</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3644BC23">
      <w:pPr>
        <w:adjustRightInd w:val="0"/>
        <w:snapToGrid w:val="0"/>
        <w:spacing w:line="360" w:lineRule="auto"/>
        <w:ind w:firstLine="424" w:firstLineChars="202"/>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3.3.5 承包人擅自更换主要施工管理人员的违约责任：</w:t>
      </w:r>
      <w:r>
        <w:rPr>
          <w:rFonts w:hint="eastAsia" w:cs="宋体"/>
          <w:color w:val="000000" w:themeColor="text1"/>
          <w:sz w:val="21"/>
          <w:szCs w:val="21"/>
          <w:highlight w:val="none"/>
          <w:u w:val="single"/>
          <w14:textFill>
            <w14:solidFill>
              <w14:schemeClr w14:val="tx1"/>
            </w14:solidFill>
          </w14:textFill>
        </w:rPr>
        <w:t>承包人不得擅自更换主要管理人员，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发包人如认为有必要，可要求对上述人员中的部分人员作出更好的调整。</w:t>
      </w:r>
    </w:p>
    <w:p w14:paraId="05F26203">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承包人主要施工管理人员擅自离开施工现场的违约责任：</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3EA6B1A8">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w:t>
      </w:r>
      <w:bookmarkStart w:id="126" w:name="_Toc296347158"/>
      <w:bookmarkStart w:id="127" w:name="_Toc292559364"/>
      <w:bookmarkStart w:id="128" w:name="_Toc296503159"/>
      <w:bookmarkStart w:id="129" w:name="_Toc296890987"/>
      <w:bookmarkStart w:id="130" w:name="_Toc312677988"/>
      <w:bookmarkStart w:id="131" w:name="_Toc296346660"/>
      <w:bookmarkStart w:id="132" w:name="_Toc296944498"/>
      <w:bookmarkStart w:id="133" w:name="_Toc300934945"/>
      <w:bookmarkStart w:id="134" w:name="_Toc297216151"/>
      <w:bookmarkStart w:id="135" w:name="_Toc296891199"/>
      <w:bookmarkStart w:id="136" w:name="_Toc304295523"/>
      <w:bookmarkStart w:id="137" w:name="_Toc297048345"/>
      <w:bookmarkStart w:id="138" w:name="_Toc292559869"/>
      <w:bookmarkStart w:id="139" w:name="_Toc297123492"/>
      <w:bookmarkStart w:id="140" w:name="_Toc303539102"/>
      <w:bookmarkStart w:id="141" w:name="_Toc297120459"/>
      <w:r>
        <w:rPr>
          <w:rFonts w:hint="eastAsia" w:cs="宋体"/>
          <w:bCs/>
          <w:color w:val="000000" w:themeColor="text1"/>
          <w:sz w:val="21"/>
          <w:szCs w:val="21"/>
          <w:highlight w:val="none"/>
          <w14:textFill>
            <w14:solidFill>
              <w14:schemeClr w14:val="tx1"/>
            </w14:solidFill>
          </w14:textFill>
        </w:rPr>
        <w:t>.5 分包</w:t>
      </w:r>
    </w:p>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14:paraId="1BFA461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w:t>
      </w:r>
      <w:bookmarkStart w:id="142" w:name="_Toc297216152"/>
      <w:bookmarkStart w:id="143" w:name="_Toc303539103"/>
      <w:bookmarkStart w:id="144" w:name="_Toc297048346"/>
      <w:bookmarkStart w:id="145" w:name="_Toc296347159"/>
      <w:bookmarkStart w:id="146" w:name="_Toc296891200"/>
      <w:bookmarkStart w:id="147" w:name="_Toc292559870"/>
      <w:bookmarkStart w:id="148" w:name="_Toc297123493"/>
      <w:bookmarkStart w:id="149" w:name="_Toc296346661"/>
      <w:bookmarkStart w:id="150" w:name="_Toc296944499"/>
      <w:bookmarkStart w:id="151" w:name="_Toc300934946"/>
      <w:bookmarkStart w:id="152" w:name="_Toc304295524"/>
      <w:bookmarkStart w:id="153" w:name="_Toc296890988"/>
      <w:bookmarkStart w:id="154" w:name="_Toc292559365"/>
      <w:bookmarkStart w:id="155" w:name="_Toc297120460"/>
      <w:bookmarkStart w:id="156" w:name="_Toc296503160"/>
      <w:bookmarkStart w:id="157" w:name="_Toc312677989"/>
      <w:bookmarkStart w:id="158" w:name="_Toc318581158"/>
      <w:r>
        <w:rPr>
          <w:rFonts w:hint="eastAsia" w:cs="宋体"/>
          <w:color w:val="000000" w:themeColor="text1"/>
          <w:sz w:val="21"/>
          <w:szCs w:val="21"/>
          <w:highlight w:val="none"/>
          <w14:textFill>
            <w14:solidFill>
              <w14:schemeClr w14:val="tx1"/>
            </w14:solidFill>
          </w14:textFill>
        </w:rPr>
        <w:t>.5.1 分包的一般约定</w:t>
      </w:r>
    </w:p>
    <w:p w14:paraId="6B5F7B7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禁止分包的工程包括：</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910EE15">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主体结构、关键性工作的范围：</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Start w:id="159" w:name="_Toc304295525"/>
      <w:bookmarkStart w:id="160" w:name="_Toc300934947"/>
      <w:bookmarkStart w:id="161" w:name="_Toc303539104"/>
      <w:bookmarkStart w:id="162" w:name="_Toc297120461"/>
      <w:bookmarkStart w:id="163" w:name="_Toc296346662"/>
      <w:bookmarkStart w:id="164" w:name="_Toc296347160"/>
      <w:bookmarkStart w:id="165" w:name="_Toc297048347"/>
      <w:bookmarkStart w:id="166" w:name="_Toc296891201"/>
      <w:bookmarkStart w:id="167" w:name="_Toc296944500"/>
      <w:bookmarkStart w:id="168" w:name="_Toc297123494"/>
      <w:bookmarkStart w:id="169" w:name="_Toc296503161"/>
      <w:bookmarkStart w:id="170" w:name="_Toc297216153"/>
      <w:bookmarkStart w:id="171" w:name="_Toc296890989"/>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14:paraId="298A71B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w:t>
      </w:r>
      <w:bookmarkStart w:id="172" w:name="_Toc318581159"/>
      <w:bookmarkStart w:id="173" w:name="_Toc312677990"/>
      <w:r>
        <w:rPr>
          <w:rFonts w:hint="eastAsia" w:cs="宋体"/>
          <w:color w:val="000000" w:themeColor="text1"/>
          <w:sz w:val="21"/>
          <w:szCs w:val="21"/>
          <w:highlight w:val="none"/>
          <w14:textFill>
            <w14:solidFill>
              <w14:schemeClr w14:val="tx1"/>
            </w14:solidFill>
          </w14:textFill>
        </w:rPr>
        <w:t>.5.2 分包的确定</w:t>
      </w:r>
    </w:p>
    <w:p w14:paraId="3F3994BB">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允许分包的专业工程包括：</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F0BB19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其他关于分包的约定：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EA79CC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3.5.4 分包合同价款</w:t>
      </w:r>
    </w:p>
    <w:p w14:paraId="1F376D3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关于分包合同价款支付的约定：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bookmarkEnd w:id="172"/>
    <w:bookmarkEnd w:id="173"/>
    <w:p w14:paraId="2C65C3C7">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3.6 工程照管与成品、半成品保护</w:t>
      </w:r>
    </w:p>
    <w:p w14:paraId="5714793E">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承包人负责照管工程及工程相关的材料、工程设备的起始时间：</w:t>
      </w:r>
      <w:r>
        <w:rPr>
          <w:rFonts w:hint="eastAsia" w:cs="宋体"/>
          <w:color w:val="000000" w:themeColor="text1"/>
          <w:sz w:val="21"/>
          <w:szCs w:val="21"/>
          <w:highlight w:val="none"/>
          <w:u w:val="single"/>
          <w14:textFill>
            <w14:solidFill>
              <w14:schemeClr w14:val="tx1"/>
            </w14:solidFill>
          </w14:textFill>
        </w:rPr>
        <w:t>自发包人向承包人移交施工现场之日起，承包人应负责照管工程及工程相关的材料、工程设备，直到颁发工程接收证书之日止。</w:t>
      </w:r>
    </w:p>
    <w:p w14:paraId="477C1218">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3.7 履约保证金</w:t>
      </w:r>
    </w:p>
    <w:p w14:paraId="7DCF030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承包人是否提供履约保证金：</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09B30081">
      <w:pPr>
        <w:adjustRightInd w:val="0"/>
        <w:snapToGrid w:val="0"/>
        <w:spacing w:line="360" w:lineRule="auto"/>
        <w:ind w:left="-70" w:leftChars="-35" w:firstLine="497" w:firstLineChars="237"/>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承包人提供履约保证金的形式：</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3326FEC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履约保证金的金额：</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7A07D3D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履约保证金提交期限的要求：</w:t>
      </w:r>
      <w:r>
        <w:rPr>
          <w:rFonts w:hint="eastAsia" w:cs="宋体"/>
          <w:color w:val="000000" w:themeColor="text1"/>
          <w:sz w:val="21"/>
          <w:szCs w:val="21"/>
          <w:highlight w:val="none"/>
          <w:u w:val="single"/>
          <w14:textFill>
            <w14:solidFill>
              <w14:schemeClr w14:val="tx1"/>
            </w14:solidFill>
          </w14:textFill>
        </w:rPr>
        <w:t>见《专用合同条款数据表》。</w:t>
      </w:r>
    </w:p>
    <w:p w14:paraId="1956622E">
      <w:pPr>
        <w:adjustRightInd w:val="0"/>
        <w:snapToGrid w:val="0"/>
        <w:spacing w:line="360" w:lineRule="auto"/>
        <w:ind w:firstLine="420" w:firstLineChars="200"/>
        <w:rPr>
          <w:rFonts w:cs="宋体"/>
          <w:strike/>
          <w:color w:val="000000" w:themeColor="text1"/>
          <w:sz w:val="21"/>
          <w:szCs w:val="21"/>
          <w:highlight w:val="none"/>
          <w14:textFill>
            <w14:solidFill>
              <w14:schemeClr w14:val="tx1"/>
            </w14:solidFill>
          </w14:textFill>
        </w:rPr>
      </w:pPr>
      <w:r>
        <w:rPr>
          <w:rFonts w:hint="eastAsia" w:cs="宋体"/>
          <w:bCs/>
          <w:snapToGrid w:val="0"/>
          <w:color w:val="000000" w:themeColor="text1"/>
          <w:sz w:val="21"/>
          <w:szCs w:val="21"/>
          <w:highlight w:val="none"/>
          <w14:textFill>
            <w14:solidFill>
              <w14:schemeClr w14:val="tx1"/>
            </w14:solidFill>
          </w14:textFill>
        </w:rPr>
        <w:t>履约保证金退还时限：</w:t>
      </w:r>
      <w:r>
        <w:rPr>
          <w:rFonts w:hint="eastAsia" w:cs="宋体"/>
          <w:color w:val="000000" w:themeColor="text1"/>
          <w:sz w:val="21"/>
          <w:szCs w:val="21"/>
          <w:highlight w:val="none"/>
          <w:u w:val="single"/>
          <w14:textFill>
            <w14:solidFill>
              <w14:schemeClr w14:val="tx1"/>
            </w14:solidFill>
          </w14:textFill>
        </w:rPr>
        <w:t>见《专用合同条款数据表》。</w:t>
      </w:r>
    </w:p>
    <w:p w14:paraId="2201436C">
      <w:pPr>
        <w:snapToGrid w:val="0"/>
        <w:spacing w:before="312" w:beforeLines="100" w:after="312" w:afterLines="100" w:line="360" w:lineRule="auto"/>
        <w:outlineLvl w:val="2"/>
        <w:rPr>
          <w:rFonts w:cs="宋体"/>
          <w:bCs/>
          <w:color w:val="000000" w:themeColor="text1"/>
          <w:sz w:val="21"/>
          <w:szCs w:val="21"/>
          <w:highlight w:val="none"/>
          <w14:textFill>
            <w14:solidFill>
              <w14:schemeClr w14:val="tx1"/>
            </w14:solidFill>
          </w14:textFill>
        </w:rPr>
      </w:pPr>
      <w:bookmarkStart w:id="174" w:name="_Toc351203636"/>
      <w:r>
        <w:rPr>
          <w:rFonts w:hint="eastAsia" w:cs="宋体"/>
          <w:color w:val="000000" w:themeColor="text1"/>
          <w:sz w:val="21"/>
          <w:szCs w:val="21"/>
          <w:highlight w:val="none"/>
          <w14:textFill>
            <w14:solidFill>
              <w14:schemeClr w14:val="tx1"/>
            </w14:solidFill>
          </w14:textFill>
        </w:rPr>
        <w:t>4</w:t>
      </w:r>
      <w:bookmarkStart w:id="175" w:name="_Toc292559366"/>
      <w:bookmarkStart w:id="176" w:name="_Toc296503162"/>
      <w:bookmarkStart w:id="177" w:name="_Toc296891202"/>
      <w:bookmarkStart w:id="178" w:name="_Toc296347161"/>
      <w:bookmarkStart w:id="179" w:name="_Toc296346663"/>
      <w:bookmarkStart w:id="180" w:name="_Toc267251413"/>
      <w:bookmarkStart w:id="181" w:name="_Toc297120462"/>
      <w:bookmarkStart w:id="182" w:name="_Toc297048348"/>
      <w:bookmarkStart w:id="183" w:name="_Toc296890990"/>
      <w:bookmarkStart w:id="184" w:name="_Toc296944501"/>
      <w:bookmarkStart w:id="185" w:name="_Toc292559871"/>
      <w:r>
        <w:rPr>
          <w:rFonts w:hint="eastAsia" w:cs="宋体"/>
          <w:color w:val="000000" w:themeColor="text1"/>
          <w:sz w:val="21"/>
          <w:szCs w:val="21"/>
          <w:highlight w:val="none"/>
          <w14:textFill>
            <w14:solidFill>
              <w14:schemeClr w14:val="tx1"/>
            </w14:solidFill>
          </w14:textFill>
        </w:rPr>
        <w:t>. 监</w:t>
      </w:r>
      <w:bookmarkEnd w:id="175"/>
      <w:bookmarkEnd w:id="176"/>
      <w:bookmarkEnd w:id="177"/>
      <w:bookmarkEnd w:id="178"/>
      <w:bookmarkEnd w:id="179"/>
      <w:bookmarkEnd w:id="180"/>
      <w:bookmarkEnd w:id="181"/>
      <w:bookmarkEnd w:id="182"/>
      <w:bookmarkEnd w:id="183"/>
      <w:bookmarkEnd w:id="184"/>
      <w:bookmarkEnd w:id="185"/>
      <w:r>
        <w:rPr>
          <w:rFonts w:hint="eastAsia" w:cs="宋体"/>
          <w:color w:val="000000" w:themeColor="text1"/>
          <w:sz w:val="21"/>
          <w:szCs w:val="21"/>
          <w:highlight w:val="none"/>
          <w14:textFill>
            <w14:solidFill>
              <w14:schemeClr w14:val="tx1"/>
            </w14:solidFill>
          </w14:textFill>
        </w:rPr>
        <w:t>理人</w:t>
      </w:r>
      <w:bookmarkEnd w:id="174"/>
      <w:bookmarkStart w:id="186" w:name="_Toc267251418"/>
      <w:bookmarkStart w:id="187" w:name="_Toc351203637"/>
      <w:r>
        <w:rPr>
          <w:rFonts w:hint="eastAsia" w:cs="宋体"/>
          <w:bCs/>
          <w:color w:val="000000" w:themeColor="text1"/>
          <w:sz w:val="21"/>
          <w:szCs w:val="21"/>
          <w:highlight w:val="none"/>
          <w14:textFill>
            <w14:solidFill>
              <w14:schemeClr w14:val="tx1"/>
            </w14:solidFill>
          </w14:textFill>
        </w:rPr>
        <w:t>//</w:t>
      </w:r>
    </w:p>
    <w:p w14:paraId="25844F5E">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w:t>
      </w:r>
      <w:bookmarkEnd w:id="186"/>
      <w:bookmarkStart w:id="188" w:name="_Toc296890991"/>
      <w:bookmarkStart w:id="189" w:name="_Toc292559367"/>
      <w:bookmarkStart w:id="190" w:name="_Toc292559872"/>
      <w:bookmarkStart w:id="191" w:name="_Toc296891203"/>
      <w:bookmarkStart w:id="192" w:name="_Toc297048349"/>
      <w:bookmarkStart w:id="193" w:name="_Toc296346664"/>
      <w:bookmarkStart w:id="194" w:name="_Toc296503163"/>
      <w:bookmarkStart w:id="195" w:name="_Toc296944502"/>
      <w:bookmarkStart w:id="196" w:name="_Toc296347162"/>
      <w:bookmarkStart w:id="197" w:name="_Toc297120463"/>
      <w:r>
        <w:rPr>
          <w:rFonts w:hint="eastAsia" w:cs="宋体"/>
          <w:color w:val="000000" w:themeColor="text1"/>
          <w:sz w:val="21"/>
          <w:szCs w:val="21"/>
          <w:highlight w:val="none"/>
          <w14:textFill>
            <w14:solidFill>
              <w14:schemeClr w14:val="tx1"/>
            </w14:solidFill>
          </w14:textFill>
        </w:rPr>
        <w:t>. 工程质量</w:t>
      </w:r>
      <w:bookmarkEnd w:id="187"/>
    </w:p>
    <w:p w14:paraId="5FE5876A">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5.1 质量要求</w:t>
      </w:r>
    </w:p>
    <w:p w14:paraId="0388C52E">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w:t>
      </w:r>
      <w:bookmarkStart w:id="198" w:name="_Toc300934949"/>
      <w:bookmarkStart w:id="199" w:name="_Toc297123496"/>
      <w:bookmarkStart w:id="200" w:name="_Toc297216155"/>
      <w:bookmarkStart w:id="201" w:name="_Toc303539106"/>
      <w:bookmarkStart w:id="202" w:name="_Toc318581164"/>
      <w:bookmarkStart w:id="203" w:name="_Toc312677997"/>
      <w:bookmarkStart w:id="204" w:name="_Toc304295527"/>
      <w:r>
        <w:rPr>
          <w:rFonts w:hint="eastAsia" w:cs="宋体"/>
          <w:color w:val="000000" w:themeColor="text1"/>
          <w:sz w:val="21"/>
          <w:szCs w:val="21"/>
          <w:highlight w:val="none"/>
          <w14:textFill>
            <w14:solidFill>
              <w14:schemeClr w14:val="tx1"/>
            </w14:solidFill>
          </w14:textFill>
        </w:rPr>
        <w:t>.1.1 特殊质量标准和要求：</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310116C1">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关于工程奖项的约定：</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11D2C7ED">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bookmarkStart w:id="205" w:name="_Toc351203638"/>
      <w:r>
        <w:rPr>
          <w:rFonts w:hint="eastAsia" w:cs="宋体"/>
          <w:color w:val="000000" w:themeColor="text1"/>
          <w:sz w:val="21"/>
          <w:szCs w:val="21"/>
          <w:highlight w:val="none"/>
          <w14:textFill>
            <w14:solidFill>
              <w14:schemeClr w14:val="tx1"/>
            </w14:solidFill>
          </w14:textFill>
        </w:rPr>
        <w:t>关于建造要求：</w:t>
      </w:r>
    </w:p>
    <w:p w14:paraId="5E4C9275">
      <w:pPr>
        <w:pStyle w:val="13"/>
        <w:snapToGrid w:val="0"/>
        <w:spacing w:line="360" w:lineRule="auto"/>
        <w:ind w:firstLine="480"/>
        <w:rPr>
          <w:rFonts w:hAnsi="宋体" w:cs="宋体"/>
          <w:color w:val="000000" w:themeColor="text1"/>
          <w:sz w:val="21"/>
          <w:szCs w:val="21"/>
          <w:highlight w:val="none"/>
          <w14:textFill>
            <w14:solidFill>
              <w14:schemeClr w14:val="tx1"/>
            </w14:solidFill>
          </w14:textFill>
        </w:rPr>
      </w:pPr>
      <w:r>
        <w:rPr>
          <w:rFonts w:hint="eastAsia" w:hAnsi="宋体" w:cs="宋体"/>
          <w:color w:val="000000" w:themeColor="text1"/>
          <w:sz w:val="21"/>
          <w:szCs w:val="21"/>
          <w:highlight w:val="none"/>
          <w14:textFill>
            <w14:solidFill>
              <w14:schemeClr w14:val="tx1"/>
            </w14:solidFill>
          </w14:textFill>
        </w:rPr>
        <w:t>（1）绿色建筑等级要求：</w:t>
      </w:r>
      <w:r>
        <w:rPr>
          <w:rFonts w:hint="eastAsia" w:hAnsi="宋体" w:cs="宋体"/>
          <w:color w:val="000000" w:themeColor="text1"/>
          <w:sz w:val="21"/>
          <w:szCs w:val="21"/>
          <w:highlight w:val="none"/>
          <w:u w:val="single"/>
          <w14:textFill>
            <w14:solidFill>
              <w14:schemeClr w14:val="tx1"/>
            </w14:solidFill>
          </w14:textFill>
        </w:rPr>
        <w:t>见《专用合同条款数据表》</w:t>
      </w:r>
      <w:r>
        <w:rPr>
          <w:rFonts w:hint="eastAsia" w:hAnsi="宋体" w:cs="宋体"/>
          <w:color w:val="000000" w:themeColor="text1"/>
          <w:sz w:val="21"/>
          <w:szCs w:val="21"/>
          <w:highlight w:val="none"/>
          <w14:textFill>
            <w14:solidFill>
              <w14:schemeClr w14:val="tx1"/>
            </w14:solidFill>
          </w14:textFill>
        </w:rPr>
        <w:t>；</w:t>
      </w:r>
    </w:p>
    <w:p w14:paraId="3A9B77A8">
      <w:pPr>
        <w:pStyle w:val="13"/>
        <w:snapToGrid w:val="0"/>
        <w:spacing w:line="360" w:lineRule="auto"/>
        <w:ind w:firstLine="480"/>
        <w:rPr>
          <w:rFonts w:hAnsi="宋体" w:cs="宋体"/>
          <w:color w:val="000000" w:themeColor="text1"/>
          <w:sz w:val="21"/>
          <w:szCs w:val="21"/>
          <w:highlight w:val="none"/>
          <w14:textFill>
            <w14:solidFill>
              <w14:schemeClr w14:val="tx1"/>
            </w14:solidFill>
          </w14:textFill>
        </w:rPr>
      </w:pPr>
      <w:r>
        <w:rPr>
          <w:rFonts w:hint="eastAsia" w:hAnsi="宋体" w:cs="宋体"/>
          <w:color w:val="000000" w:themeColor="text1"/>
          <w:sz w:val="21"/>
          <w:szCs w:val="21"/>
          <w:highlight w:val="none"/>
          <w14:textFill>
            <w14:solidFill>
              <w14:schemeClr w14:val="tx1"/>
            </w14:solidFill>
          </w14:textFill>
        </w:rPr>
        <w:t>（2）智慧工地管理要求：</w:t>
      </w:r>
      <w:r>
        <w:rPr>
          <w:rFonts w:hint="eastAsia" w:hAnsi="宋体" w:cs="宋体"/>
          <w:color w:val="000000" w:themeColor="text1"/>
          <w:sz w:val="21"/>
          <w:szCs w:val="21"/>
          <w:highlight w:val="none"/>
          <w:u w:val="single"/>
          <w14:textFill>
            <w14:solidFill>
              <w14:schemeClr w14:val="tx1"/>
            </w14:solidFill>
          </w14:textFill>
        </w:rPr>
        <w:t>见《专用合同条款数据表》</w:t>
      </w:r>
      <w:r>
        <w:rPr>
          <w:rFonts w:hint="eastAsia" w:hAnsi="宋体" w:cs="宋体"/>
          <w:color w:val="000000" w:themeColor="text1"/>
          <w:sz w:val="21"/>
          <w:szCs w:val="21"/>
          <w:highlight w:val="none"/>
          <w14:textFill>
            <w14:solidFill>
              <w14:schemeClr w14:val="tx1"/>
            </w14:solidFill>
          </w14:textFill>
        </w:rPr>
        <w:t>；</w:t>
      </w:r>
    </w:p>
    <w:p w14:paraId="794A4A1C">
      <w:pPr>
        <w:pStyle w:val="13"/>
        <w:snapToGrid w:val="0"/>
        <w:spacing w:line="360" w:lineRule="auto"/>
        <w:ind w:firstLine="480"/>
        <w:rPr>
          <w:rFonts w:hAnsi="宋体" w:cs="宋体"/>
          <w:color w:val="000000" w:themeColor="text1"/>
          <w:sz w:val="21"/>
          <w:szCs w:val="21"/>
          <w:highlight w:val="none"/>
          <w14:textFill>
            <w14:solidFill>
              <w14:schemeClr w14:val="tx1"/>
            </w14:solidFill>
          </w14:textFill>
        </w:rPr>
      </w:pPr>
      <w:r>
        <w:rPr>
          <w:rFonts w:hint="eastAsia" w:hAnsi="宋体" w:cs="宋体"/>
          <w:color w:val="000000" w:themeColor="text1"/>
          <w:sz w:val="21"/>
          <w:szCs w:val="21"/>
          <w:highlight w:val="none"/>
          <w14:textFill>
            <w14:solidFill>
              <w14:schemeClr w14:val="tx1"/>
            </w14:solidFill>
          </w14:textFill>
        </w:rPr>
        <w:t>（3）建筑垃圾减量化目标：</w:t>
      </w:r>
      <w:r>
        <w:rPr>
          <w:rFonts w:hint="eastAsia" w:hAnsi="宋体" w:cs="宋体"/>
          <w:color w:val="000000" w:themeColor="text1"/>
          <w:sz w:val="21"/>
          <w:szCs w:val="21"/>
          <w:highlight w:val="none"/>
          <w:u w:val="single"/>
          <w14:textFill>
            <w14:solidFill>
              <w14:schemeClr w14:val="tx1"/>
            </w14:solidFill>
          </w14:textFill>
        </w:rPr>
        <w:t>见《专用合同条款数据表》</w:t>
      </w:r>
      <w:r>
        <w:rPr>
          <w:rFonts w:hint="eastAsia" w:hAnsi="宋体" w:cs="宋体"/>
          <w:color w:val="000000" w:themeColor="text1"/>
          <w:sz w:val="21"/>
          <w:szCs w:val="21"/>
          <w:highlight w:val="none"/>
          <w14:textFill>
            <w14:solidFill>
              <w14:schemeClr w14:val="tx1"/>
            </w14:solidFill>
          </w14:textFill>
        </w:rPr>
        <w:t>；</w:t>
      </w:r>
    </w:p>
    <w:p w14:paraId="320A0B75">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（4）装配式建筑装配率要求：</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466667F0">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61AE3342">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5.3 隐蔽工程检查</w:t>
      </w:r>
    </w:p>
    <w:p w14:paraId="72F15958">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5.3.2 承包人提前通知监理人隐蔽工程检查的期限的约定：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2FFD742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监理人不能按时进行检查时，应提前</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小时提交书面延期要求。</w:t>
      </w:r>
    </w:p>
    <w:p w14:paraId="295E380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关于延期最长不得超过：</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小时。</w:t>
      </w:r>
    </w:p>
    <w:p w14:paraId="1E97B33E">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5</w:t>
      </w:r>
      <w:bookmarkStart w:id="206" w:name="_Toc337558762"/>
      <w:r>
        <w:rPr>
          <w:rFonts w:hint="eastAsia" w:cs="宋体"/>
          <w:bCs/>
          <w:color w:val="000000" w:themeColor="text1"/>
          <w:sz w:val="21"/>
          <w:szCs w:val="21"/>
          <w:highlight w:val="none"/>
          <w14:textFill>
            <w14:solidFill>
              <w14:schemeClr w14:val="tx1"/>
            </w14:solidFill>
          </w14:textFill>
        </w:rPr>
        <w:t>.4 不合格工程的处理</w:t>
      </w:r>
    </w:p>
    <w:bookmarkEnd w:id="206"/>
    <w:p w14:paraId="3CC4176F">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本款补充5.4.3项：</w:t>
      </w:r>
    </w:p>
    <w:p w14:paraId="49C3C2DB">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5.4.3 /。</w:t>
      </w:r>
    </w:p>
    <w:p w14:paraId="76173AF9">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本条补充5.6款：</w:t>
      </w:r>
    </w:p>
    <w:p w14:paraId="743E667A">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bookmarkStart w:id="207" w:name="_Toc532377348"/>
      <w:r>
        <w:rPr>
          <w:rFonts w:hint="eastAsia" w:cs="宋体"/>
          <w:bCs/>
          <w:color w:val="000000" w:themeColor="text1"/>
          <w:sz w:val="21"/>
          <w:szCs w:val="21"/>
          <w:highlight w:val="none"/>
          <w14:textFill>
            <w14:solidFill>
              <w14:schemeClr w14:val="tx1"/>
            </w14:solidFill>
          </w14:textFill>
        </w:rPr>
        <w:t>5.6 质量事故的处理</w:t>
      </w:r>
      <w:bookmarkEnd w:id="207"/>
    </w:p>
    <w:p w14:paraId="18EE58A0">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5.6.1 合同履行过程中，发生工程质量事故的调查处理按照国家现行规定处理。</w:t>
      </w:r>
    </w:p>
    <w:p w14:paraId="0ACAA0CF">
      <w:pPr>
        <w:snapToGrid w:val="0"/>
        <w:spacing w:line="360" w:lineRule="auto"/>
        <w:ind w:firstLine="420" w:firstLineChars="200"/>
        <w:jc w:val="left"/>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5.6.2 发包人在对工程质量、安全和环境保护、水土保持等建设全过程管理中发现有技术、质量和其他问题的，可通过监理人责令承包人返工或整改；对存在的隐患，有权责令承包人予以解决，承包人按照合同中其他条款约定承担违约责任。</w:t>
      </w:r>
    </w:p>
    <w:p w14:paraId="1A87DEE6">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6. 安全文明施工与环境保护</w:t>
      </w:r>
      <w:bookmarkEnd w:id="205"/>
    </w:p>
    <w:p w14:paraId="697ECBC9">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6.1 安全文明施工</w:t>
      </w:r>
    </w:p>
    <w:p w14:paraId="405CBAA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6.1.1 项目安全生产的达标目标及相应事项的约定：</w:t>
      </w:r>
      <w:r>
        <w:rPr>
          <w:rFonts w:hint="eastAsia" w:cs="宋体"/>
          <w:color w:val="000000" w:themeColor="text1"/>
          <w:sz w:val="21"/>
          <w:szCs w:val="21"/>
          <w:highlight w:val="none"/>
          <w:u w:val="single"/>
          <w14:textFill>
            <w14:solidFill>
              <w14:schemeClr w14:val="tx1"/>
            </w14:solidFill>
          </w14:textFill>
        </w:rPr>
        <w:t xml:space="preserve">  执行国家、省、市有关安全生产规定，确保安全生产的达标  </w:t>
      </w:r>
      <w:r>
        <w:rPr>
          <w:rFonts w:hint="eastAsia" w:cs="宋体"/>
          <w:color w:val="000000" w:themeColor="text1"/>
          <w:sz w:val="21"/>
          <w:szCs w:val="21"/>
          <w:highlight w:val="none"/>
          <w14:textFill>
            <w14:solidFill>
              <w14:schemeClr w14:val="tx1"/>
            </w14:solidFill>
          </w14:textFill>
        </w:rPr>
        <w:t>。</w:t>
      </w:r>
    </w:p>
    <w:p w14:paraId="40709FCF">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6.1.4 关于治安保卫的特别约定：</w:t>
      </w:r>
      <w:r>
        <w:rPr>
          <w:rFonts w:hint="eastAsia" w:cs="宋体"/>
          <w:color w:val="000000" w:themeColor="text1"/>
          <w:sz w:val="21"/>
          <w:szCs w:val="21"/>
          <w:highlight w:val="none"/>
          <w:u w:val="single"/>
          <w14:textFill>
            <w14:solidFill>
              <w14:schemeClr w14:val="tx1"/>
            </w14:solidFill>
          </w14:textFill>
        </w:rPr>
        <w:t xml:space="preserve"> 执行国家、省、市有关治安保卫规定  </w:t>
      </w:r>
      <w:r>
        <w:rPr>
          <w:rFonts w:hint="eastAsia" w:cs="宋体"/>
          <w:color w:val="000000" w:themeColor="text1"/>
          <w:sz w:val="21"/>
          <w:szCs w:val="21"/>
          <w:highlight w:val="none"/>
          <w14:textFill>
            <w14:solidFill>
              <w14:schemeClr w14:val="tx1"/>
            </w14:solidFill>
          </w14:textFill>
        </w:rPr>
        <w:t>。</w:t>
      </w:r>
    </w:p>
    <w:p w14:paraId="3BAFA29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关于编制施工场地治安管理计划的约定：</w:t>
      </w:r>
      <w:r>
        <w:rPr>
          <w:rFonts w:hint="eastAsia" w:cs="宋体"/>
          <w:color w:val="000000" w:themeColor="text1"/>
          <w:sz w:val="21"/>
          <w:szCs w:val="21"/>
          <w:highlight w:val="none"/>
          <w:u w:val="single"/>
          <w14:textFill>
            <w14:solidFill>
              <w14:schemeClr w14:val="tx1"/>
            </w14:solidFill>
          </w14:textFill>
        </w:rPr>
        <w:t xml:space="preserve">  执行国家、省、市有关治安管理规定  </w:t>
      </w:r>
      <w:r>
        <w:rPr>
          <w:rFonts w:hint="eastAsia" w:cs="宋体"/>
          <w:color w:val="000000" w:themeColor="text1"/>
          <w:sz w:val="21"/>
          <w:szCs w:val="21"/>
          <w:highlight w:val="none"/>
          <w14:textFill>
            <w14:solidFill>
              <w14:schemeClr w14:val="tx1"/>
            </w14:solidFill>
          </w14:textFill>
        </w:rPr>
        <w:t>。</w:t>
      </w:r>
    </w:p>
    <w:p w14:paraId="5BFC4A6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6.1.5 文明施工</w:t>
      </w:r>
    </w:p>
    <w:p w14:paraId="78BF0DF5">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合同当事人对文明施工的要求：</w:t>
      </w:r>
      <w:r>
        <w:rPr>
          <w:rFonts w:hint="eastAsia" w:cs="宋体"/>
          <w:color w:val="000000" w:themeColor="text1"/>
          <w:sz w:val="21"/>
          <w:szCs w:val="21"/>
          <w:highlight w:val="none"/>
          <w:u w:val="single"/>
          <w14:textFill>
            <w14:solidFill>
              <w14:schemeClr w14:val="tx1"/>
            </w14:solidFill>
          </w14:textFill>
        </w:rPr>
        <w:t xml:space="preserve">  执行国家、省、市有关规定，确保文明施工  </w:t>
      </w:r>
      <w:r>
        <w:rPr>
          <w:rFonts w:hint="eastAsia" w:cs="宋体"/>
          <w:color w:val="000000" w:themeColor="text1"/>
          <w:sz w:val="21"/>
          <w:szCs w:val="21"/>
          <w:highlight w:val="none"/>
          <w14:textFill>
            <w14:solidFill>
              <w14:schemeClr w14:val="tx1"/>
            </w14:solidFill>
          </w14:textFill>
        </w:rPr>
        <w:t>。</w:t>
      </w:r>
    </w:p>
    <w:p w14:paraId="5487673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6.1.6 关于安全文明施工费支付比例和支付期限的约定：</w:t>
      </w:r>
      <w:r>
        <w:rPr>
          <w:rFonts w:hint="eastAsia" w:cs="宋体"/>
          <w:color w:val="000000" w:themeColor="text1"/>
          <w:sz w:val="21"/>
          <w:szCs w:val="21"/>
          <w:highlight w:val="none"/>
          <w:u w:val="single"/>
          <w14:textFill>
            <w14:solidFill>
              <w14:schemeClr w14:val="tx1"/>
            </w14:solidFill>
          </w14:textFill>
        </w:rPr>
        <w:t xml:space="preserve"> 与工程进度款同期支付 </w:t>
      </w:r>
      <w:r>
        <w:rPr>
          <w:rFonts w:hint="eastAsia" w:cs="宋体"/>
          <w:color w:val="000000" w:themeColor="text1"/>
          <w:sz w:val="21"/>
          <w:szCs w:val="21"/>
          <w:highlight w:val="none"/>
          <w14:textFill>
            <w14:solidFill>
              <w14:schemeClr w14:val="tx1"/>
            </w14:solidFill>
          </w14:textFill>
        </w:rPr>
        <w:t>。</w:t>
      </w:r>
    </w:p>
    <w:bookmarkEnd w:id="198"/>
    <w:bookmarkEnd w:id="199"/>
    <w:bookmarkEnd w:id="200"/>
    <w:bookmarkEnd w:id="201"/>
    <w:bookmarkEnd w:id="202"/>
    <w:bookmarkEnd w:id="203"/>
    <w:bookmarkEnd w:id="204"/>
    <w:p w14:paraId="698F8284">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208" w:name="_Toc351203639"/>
      <w:r>
        <w:rPr>
          <w:rFonts w:hint="eastAsia" w:cs="宋体"/>
          <w:color w:val="000000" w:themeColor="text1"/>
          <w:sz w:val="21"/>
          <w:szCs w:val="21"/>
          <w:highlight w:val="none"/>
          <w14:textFill>
            <w14:solidFill>
              <w14:schemeClr w14:val="tx1"/>
            </w14:solidFill>
          </w14:textFill>
        </w:rPr>
        <w:t>7. 工期和进度</w:t>
      </w:r>
      <w:bookmarkEnd w:id="208"/>
    </w:p>
    <w:p w14:paraId="418F047A">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7.1 施工组织设计</w:t>
      </w:r>
    </w:p>
    <w:p w14:paraId="26ABA63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7.1.1 合同当事人约定的施工组织设计应包括的其他内容：</w:t>
      </w:r>
      <w:r>
        <w:rPr>
          <w:rFonts w:hint="eastAsia" w:cs="宋体"/>
          <w:color w:val="000000" w:themeColor="text1"/>
          <w:sz w:val="21"/>
          <w:szCs w:val="21"/>
          <w:highlight w:val="none"/>
          <w:u w:val="single"/>
          <w14:textFill>
            <w14:solidFill>
              <w14:schemeClr w14:val="tx1"/>
            </w14:solidFill>
          </w14:textFill>
        </w:rPr>
        <w:t>总进度计划须含网络图、横道图。</w:t>
      </w:r>
    </w:p>
    <w:p w14:paraId="221398E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7.1.2 施工组织设计的提交和修改</w:t>
      </w:r>
    </w:p>
    <w:p w14:paraId="64DD3CAA">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承包人提交详细施工组织设计的期限的约定：</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166D3DC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发包人和监理人在收到详细的施工组织设计后确认或提出修改意见的期限：</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77E86E22">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w:t>
      </w:r>
      <w:bookmarkStart w:id="209" w:name="_Toc297123514"/>
      <w:bookmarkStart w:id="210" w:name="_Toc304295541"/>
      <w:bookmarkStart w:id="211" w:name="_Toc312678005"/>
      <w:bookmarkStart w:id="212" w:name="_Toc312677479"/>
      <w:bookmarkStart w:id="213" w:name="_Toc303539123"/>
      <w:bookmarkStart w:id="214" w:name="_Toc300934966"/>
      <w:bookmarkStart w:id="215" w:name="_Toc297216173"/>
      <w:r>
        <w:rPr>
          <w:rFonts w:hint="eastAsia" w:cs="宋体"/>
          <w:bCs/>
          <w:color w:val="000000" w:themeColor="text1"/>
          <w:sz w:val="21"/>
          <w:szCs w:val="21"/>
          <w:highlight w:val="none"/>
          <w14:textFill>
            <w14:solidFill>
              <w14:schemeClr w14:val="tx1"/>
            </w14:solidFill>
          </w14:textFill>
        </w:rPr>
        <w:t>.2 施工进度计划</w:t>
      </w:r>
    </w:p>
    <w:p w14:paraId="2AD602F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7.2.2 施工进度计划的修订</w:t>
      </w:r>
    </w:p>
    <w:p w14:paraId="6F3BA34D">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发包人和监理人在收到修订的施工进度计划后确认或提出修改意见的期限：</w:t>
      </w:r>
      <w:r>
        <w:rPr>
          <w:rFonts w:hint="eastAsia" w:cs="宋体"/>
          <w:color w:val="000000" w:themeColor="text1"/>
          <w:sz w:val="21"/>
          <w:szCs w:val="21"/>
          <w:highlight w:val="none"/>
          <w:u w:val="single"/>
          <w14:textFill>
            <w14:solidFill>
              <w14:schemeClr w14:val="tx1"/>
            </w14:solidFill>
          </w14:textFill>
        </w:rPr>
        <w:t xml:space="preserve">  执行通用条</w:t>
      </w:r>
    </w:p>
    <w:p w14:paraId="5DF4B35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款</w:t>
      </w:r>
    </w:p>
    <w:p w14:paraId="0F8FE51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E54AC2D">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7.3 开工</w:t>
      </w:r>
    </w:p>
    <w:p w14:paraId="315E07C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7.3.1 开工准备</w:t>
      </w:r>
    </w:p>
    <w:p w14:paraId="7F5C1C9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关于承包人提交工程开工报审表的期限：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0BC12CB7">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关于发包人应完成的其他开工准备工作及期限：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0CDD1EF5">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关于承包人应完成的其他开工准备工作及期限：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9F9528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7.3.2 开工通知</w:t>
      </w:r>
    </w:p>
    <w:p w14:paraId="0CDEECD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因发包人原因造成监理人未能在计划开工日期之日起</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天内发出开工通知的，承包人有权提出价格调整要求，或者解除合同。</w:t>
      </w:r>
    </w:p>
    <w:bookmarkEnd w:id="209"/>
    <w:bookmarkEnd w:id="210"/>
    <w:bookmarkEnd w:id="211"/>
    <w:bookmarkEnd w:id="212"/>
    <w:bookmarkEnd w:id="213"/>
    <w:bookmarkEnd w:id="214"/>
    <w:bookmarkEnd w:id="215"/>
    <w:p w14:paraId="5F31B77F">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7.4 测量放线</w:t>
      </w:r>
    </w:p>
    <w:p w14:paraId="11595B7B">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7.4.1 发包人通过监理人向承包人提供测量基准点、基准线和水准点及其书面资料的期限：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2C173715">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w:t>
      </w:r>
      <w:bookmarkStart w:id="216" w:name="_Toc312678010"/>
      <w:bookmarkStart w:id="217" w:name="_Toc297216175"/>
      <w:bookmarkStart w:id="218" w:name="_Toc297123516"/>
      <w:bookmarkStart w:id="219" w:name="_Toc304295546"/>
      <w:bookmarkStart w:id="220" w:name="_Toc303539125"/>
      <w:bookmarkStart w:id="221" w:name="_Toc312677484"/>
      <w:bookmarkStart w:id="222" w:name="_Toc300934968"/>
      <w:r>
        <w:rPr>
          <w:rFonts w:hint="eastAsia" w:cs="宋体"/>
          <w:bCs/>
          <w:color w:val="000000" w:themeColor="text1"/>
          <w:sz w:val="21"/>
          <w:szCs w:val="21"/>
          <w:highlight w:val="none"/>
          <w14:textFill>
            <w14:solidFill>
              <w14:schemeClr w14:val="tx1"/>
            </w14:solidFill>
          </w14:textFill>
        </w:rPr>
        <w:t>.5 工期延误</w:t>
      </w:r>
    </w:p>
    <w:bookmarkEnd w:id="216"/>
    <w:bookmarkEnd w:id="217"/>
    <w:bookmarkEnd w:id="218"/>
    <w:bookmarkEnd w:id="219"/>
    <w:bookmarkEnd w:id="220"/>
    <w:bookmarkEnd w:id="221"/>
    <w:bookmarkEnd w:id="222"/>
    <w:p w14:paraId="11A8D95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7.5.1 因发包人原因导致工期延误</w:t>
      </w:r>
    </w:p>
    <w:p w14:paraId="15A7186E">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（7）因发包人原因导致工期延误的其他情形：</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4660F96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w:t>
      </w:r>
      <w:bookmarkStart w:id="223" w:name="_Toc303539127"/>
      <w:bookmarkStart w:id="224" w:name="_Toc297216177"/>
      <w:bookmarkStart w:id="225" w:name="_Toc297123518"/>
      <w:bookmarkStart w:id="226" w:name="_Toc318581169"/>
      <w:bookmarkStart w:id="227" w:name="_Toc312678012"/>
      <w:bookmarkStart w:id="228" w:name="_Toc304295548"/>
      <w:bookmarkStart w:id="229" w:name="_Toc300934970"/>
      <w:bookmarkStart w:id="230" w:name="_Toc312677486"/>
      <w:r>
        <w:rPr>
          <w:rFonts w:hint="eastAsia" w:cs="宋体"/>
          <w:color w:val="000000" w:themeColor="text1"/>
          <w:sz w:val="21"/>
          <w:szCs w:val="21"/>
          <w:highlight w:val="none"/>
          <w14:textFill>
            <w14:solidFill>
              <w14:schemeClr w14:val="tx1"/>
            </w14:solidFill>
          </w14:textFill>
        </w:rPr>
        <w:t>.5.2 因承包人原因导致工期延误</w:t>
      </w:r>
    </w:p>
    <w:bookmarkEnd w:id="223"/>
    <w:bookmarkEnd w:id="224"/>
    <w:bookmarkEnd w:id="225"/>
    <w:bookmarkEnd w:id="226"/>
    <w:bookmarkEnd w:id="227"/>
    <w:bookmarkEnd w:id="228"/>
    <w:bookmarkEnd w:id="229"/>
    <w:bookmarkEnd w:id="230"/>
    <w:p w14:paraId="36DEEED0">
      <w:pPr>
        <w:adjustRightInd w:val="0"/>
        <w:snapToGrid w:val="0"/>
        <w:spacing w:line="360" w:lineRule="auto"/>
        <w:ind w:firstLine="422" w:firstLineChars="200"/>
        <w:rPr>
          <w:rFonts w:cs="宋体"/>
          <w:b/>
          <w:bCs/>
          <w:color w:val="000000" w:themeColor="text1"/>
          <w:sz w:val="21"/>
          <w:szCs w:val="21"/>
          <w:highlight w:val="none"/>
          <w:u w:val="single"/>
          <w14:textFill>
            <w14:solidFill>
              <w14:schemeClr w14:val="tx1"/>
            </w14:solidFill>
          </w14:textFill>
        </w:rPr>
      </w:pPr>
      <w:r>
        <w:rPr>
          <w:rFonts w:hint="eastAsia" w:cs="宋体"/>
          <w:b/>
          <w:bCs/>
          <w:color w:val="000000" w:themeColor="text1"/>
          <w:sz w:val="21"/>
          <w:szCs w:val="21"/>
          <w:highlight w:val="none"/>
          <w:u w:val="single"/>
          <w14:textFill>
            <w14:solidFill>
              <w14:schemeClr w14:val="tx1"/>
            </w14:solidFill>
          </w14:textFill>
        </w:rPr>
        <w:t>因</w:t>
      </w:r>
      <w:bookmarkStart w:id="231" w:name="_Toc312678013"/>
      <w:bookmarkStart w:id="232" w:name="_Toc312677487"/>
      <w:bookmarkStart w:id="233" w:name="_Toc318581170"/>
      <w:r>
        <w:rPr>
          <w:rFonts w:hint="eastAsia" w:cs="宋体"/>
          <w:b/>
          <w:bCs/>
          <w:color w:val="000000" w:themeColor="text1"/>
          <w:sz w:val="21"/>
          <w:szCs w:val="21"/>
          <w:highlight w:val="none"/>
          <w:u w:val="single"/>
          <w14:textFill>
            <w14:solidFill>
              <w14:schemeClr w14:val="tx1"/>
            </w14:solidFill>
          </w14:textFill>
        </w:rPr>
        <w:t>承包人原因造成工期延误，逾期完工违约金的计算方法为：每延期完工一天，承包人支付发包人签约合同价款的</w:t>
      </w:r>
      <w:r>
        <w:rPr>
          <w:rFonts w:hint="eastAsia" w:cs="宋体"/>
          <w:b/>
          <w:bCs/>
          <w:color w:val="000000" w:themeColor="text1"/>
          <w:sz w:val="21"/>
          <w:szCs w:val="21"/>
          <w:highlight w:val="none"/>
          <w:u w:val="single"/>
          <w:lang w:val="en-US" w:eastAsia="zh-CN"/>
          <w14:textFill>
            <w14:solidFill>
              <w14:schemeClr w14:val="tx1"/>
            </w14:solidFill>
          </w14:textFill>
        </w:rPr>
        <w:t>千</w:t>
      </w:r>
      <w:r>
        <w:rPr>
          <w:rFonts w:hint="eastAsia" w:cs="宋体"/>
          <w:b/>
          <w:bCs/>
          <w:color w:val="000000" w:themeColor="text1"/>
          <w:sz w:val="21"/>
          <w:szCs w:val="21"/>
          <w:highlight w:val="none"/>
          <w:u w:val="single"/>
          <w14:textFill>
            <w14:solidFill>
              <w14:schemeClr w14:val="tx1"/>
            </w14:solidFill>
          </w14:textFill>
        </w:rPr>
        <w:t>分之</w:t>
      </w:r>
      <w:r>
        <w:rPr>
          <w:rFonts w:hint="eastAsia" w:cs="宋体"/>
          <w:b/>
          <w:bCs/>
          <w:color w:val="000000" w:themeColor="text1"/>
          <w:sz w:val="21"/>
          <w:szCs w:val="21"/>
          <w:highlight w:val="none"/>
          <w:u w:val="single"/>
          <w:lang w:val="en-US" w:eastAsia="zh-CN"/>
          <w14:textFill>
            <w14:solidFill>
              <w14:schemeClr w14:val="tx1"/>
            </w14:solidFill>
          </w14:textFill>
        </w:rPr>
        <w:t>一</w:t>
      </w:r>
      <w:r>
        <w:rPr>
          <w:rFonts w:hint="eastAsia" w:cs="宋体"/>
          <w:b/>
          <w:bCs/>
          <w:color w:val="000000" w:themeColor="text1"/>
          <w:sz w:val="21"/>
          <w:szCs w:val="21"/>
          <w:highlight w:val="none"/>
          <w:u w:val="single"/>
          <w14:textFill>
            <w14:solidFill>
              <w14:schemeClr w14:val="tx1"/>
            </w14:solidFill>
          </w14:textFill>
        </w:rPr>
        <w:t>的违约金；因承包人责任导致工程延期 28 天以上的，每天按签约合同价款的</w:t>
      </w:r>
      <w:r>
        <w:rPr>
          <w:rFonts w:hint="eastAsia" w:cs="宋体"/>
          <w:b/>
          <w:bCs/>
          <w:color w:val="000000" w:themeColor="text1"/>
          <w:sz w:val="21"/>
          <w:szCs w:val="21"/>
          <w:highlight w:val="none"/>
          <w:u w:val="single"/>
          <w:lang w:val="en-US" w:eastAsia="zh-CN"/>
          <w14:textFill>
            <w14:solidFill>
              <w14:schemeClr w14:val="tx1"/>
            </w14:solidFill>
          </w14:textFill>
        </w:rPr>
        <w:t>千</w:t>
      </w:r>
      <w:r>
        <w:rPr>
          <w:rFonts w:hint="eastAsia" w:cs="宋体"/>
          <w:b/>
          <w:bCs/>
          <w:color w:val="000000" w:themeColor="text1"/>
          <w:sz w:val="21"/>
          <w:szCs w:val="21"/>
          <w:highlight w:val="none"/>
          <w:u w:val="single"/>
          <w14:textFill>
            <w14:solidFill>
              <w14:schemeClr w14:val="tx1"/>
            </w14:solidFill>
          </w14:textFill>
        </w:rPr>
        <w:t>分之五向发包人支付违约金；延期完工56天以上的，发包人有权解除合同，并追究连带损失。</w:t>
      </w:r>
      <w:bookmarkEnd w:id="231"/>
      <w:bookmarkEnd w:id="232"/>
    </w:p>
    <w:bookmarkEnd w:id="233"/>
    <w:p w14:paraId="615B3992">
      <w:pPr>
        <w:adjustRightInd w:val="0"/>
        <w:snapToGrid w:val="0"/>
        <w:spacing w:line="360" w:lineRule="auto"/>
        <w:ind w:firstLine="420" w:firstLineChars="200"/>
        <w:rPr>
          <w:rFonts w:cs="宋体"/>
          <w:b/>
          <w:bCs/>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因承包人原因造成工期延误，逾</w:t>
      </w:r>
      <w:bookmarkStart w:id="234" w:name="_Toc312678014"/>
      <w:bookmarkStart w:id="235" w:name="_Toc318581171"/>
      <w:r>
        <w:rPr>
          <w:rFonts w:hint="eastAsia" w:cs="宋体"/>
          <w:color w:val="000000" w:themeColor="text1"/>
          <w:sz w:val="21"/>
          <w:szCs w:val="21"/>
          <w:highlight w:val="none"/>
          <w14:textFill>
            <w14:solidFill>
              <w14:schemeClr w14:val="tx1"/>
            </w14:solidFill>
          </w14:textFill>
        </w:rPr>
        <w:t>期完工违约金的上限：</w:t>
      </w:r>
      <w:r>
        <w:rPr>
          <w:rFonts w:hint="eastAsia" w:cs="宋体"/>
          <w:b/>
          <w:bCs/>
          <w:color w:val="000000" w:themeColor="text1"/>
          <w:sz w:val="21"/>
          <w:szCs w:val="21"/>
          <w:highlight w:val="none"/>
          <w:u w:val="single"/>
          <w14:textFill>
            <w14:solidFill>
              <w14:schemeClr w14:val="tx1"/>
            </w14:solidFill>
          </w14:textFill>
        </w:rPr>
        <w:t>违约金最高限额为签约合同价款的10%。</w:t>
      </w:r>
    </w:p>
    <w:bookmarkEnd w:id="234"/>
    <w:bookmarkEnd w:id="235"/>
    <w:p w14:paraId="03BC7175">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w:t>
      </w:r>
      <w:bookmarkStart w:id="236" w:name="_Toc297123519"/>
      <w:bookmarkStart w:id="237" w:name="_Toc297216178"/>
      <w:bookmarkStart w:id="238" w:name="_Toc304295549"/>
      <w:bookmarkStart w:id="239" w:name="_Toc300934971"/>
      <w:bookmarkStart w:id="240" w:name="_Toc312678015"/>
      <w:bookmarkStart w:id="241" w:name="_Toc303539128"/>
      <w:r>
        <w:rPr>
          <w:rFonts w:hint="eastAsia" w:cs="宋体"/>
          <w:bCs/>
          <w:color w:val="000000" w:themeColor="text1"/>
          <w:sz w:val="21"/>
          <w:szCs w:val="21"/>
          <w:highlight w:val="none"/>
          <w14:textFill>
            <w14:solidFill>
              <w14:schemeClr w14:val="tx1"/>
            </w14:solidFill>
          </w14:textFill>
        </w:rPr>
        <w:t>.6 不</w:t>
      </w:r>
      <w:bookmarkEnd w:id="236"/>
      <w:bookmarkEnd w:id="237"/>
      <w:bookmarkEnd w:id="238"/>
      <w:bookmarkEnd w:id="239"/>
      <w:bookmarkEnd w:id="240"/>
      <w:bookmarkEnd w:id="241"/>
      <w:r>
        <w:rPr>
          <w:rFonts w:hint="eastAsia" w:cs="宋体"/>
          <w:bCs/>
          <w:color w:val="000000" w:themeColor="text1"/>
          <w:sz w:val="21"/>
          <w:szCs w:val="21"/>
          <w:highlight w:val="none"/>
          <w14:textFill>
            <w14:solidFill>
              <w14:schemeClr w14:val="tx1"/>
            </w14:solidFill>
          </w14:textFill>
        </w:rPr>
        <w:t>利物质条件</w:t>
      </w:r>
    </w:p>
    <w:p w14:paraId="6F5939B1">
      <w:pPr>
        <w:adjustRightInd w:val="0"/>
        <w:snapToGrid w:val="0"/>
        <w:spacing w:line="360" w:lineRule="auto"/>
        <w:ind w:firstLine="420" w:firstLineChars="200"/>
        <w:rPr>
          <w:rFonts w:cs="宋体"/>
          <w:b/>
          <w:color w:val="000000" w:themeColor="text1"/>
          <w:sz w:val="21"/>
          <w:szCs w:val="21"/>
          <w:highlight w:val="none"/>
          <w:u w:val="single"/>
          <w14:textFill>
            <w14:solidFill>
              <w14:schemeClr w14:val="tx1"/>
            </w14:solidFill>
          </w14:textFill>
        </w:rPr>
      </w:pPr>
      <w:bookmarkStart w:id="242" w:name="_Toc297123520"/>
      <w:bookmarkStart w:id="243" w:name="_Toc300934972"/>
      <w:bookmarkStart w:id="244" w:name="_Toc312678016"/>
      <w:bookmarkStart w:id="245" w:name="_Toc303539129"/>
      <w:bookmarkStart w:id="246" w:name="_Toc304295550"/>
      <w:bookmarkStart w:id="247" w:name="_Toc318581172"/>
      <w:bookmarkStart w:id="248" w:name="_Toc297216179"/>
      <w:r>
        <w:rPr>
          <w:rFonts w:hint="eastAsia" w:cs="宋体"/>
          <w:color w:val="000000" w:themeColor="text1"/>
          <w:sz w:val="21"/>
          <w:szCs w:val="21"/>
          <w:highlight w:val="none"/>
          <w14:textFill>
            <w14:solidFill>
              <w14:schemeClr w14:val="tx1"/>
            </w14:solidFill>
          </w14:textFill>
        </w:rPr>
        <w:t>不利物质条件的其他情形和有关约定：</w:t>
      </w:r>
      <w:r>
        <w:rPr>
          <w:rFonts w:hint="eastAsia" w:cs="宋体"/>
          <w:color w:val="000000" w:themeColor="text1"/>
          <w:sz w:val="21"/>
          <w:szCs w:val="21"/>
          <w:highlight w:val="none"/>
          <w:u w:val="single"/>
          <w14:textFill>
            <w14:solidFill>
              <w14:schemeClr w14:val="tx1"/>
            </w14:solidFill>
          </w14:textFill>
        </w:rPr>
        <w:t xml:space="preserve"> 执行通用条款</w:t>
      </w:r>
      <w:r>
        <w:rPr>
          <w:rFonts w:hint="eastAsia" w:cs="宋体"/>
          <w:color w:val="000000" w:themeColor="text1"/>
          <w:sz w:val="21"/>
          <w:szCs w:val="21"/>
          <w:highlight w:val="none"/>
          <w14:textFill>
            <w14:solidFill>
              <w14:schemeClr w14:val="tx1"/>
            </w14:solidFill>
          </w14:textFill>
        </w:rPr>
        <w:t>。</w:t>
      </w:r>
    </w:p>
    <w:bookmarkEnd w:id="242"/>
    <w:bookmarkEnd w:id="243"/>
    <w:bookmarkEnd w:id="244"/>
    <w:bookmarkEnd w:id="245"/>
    <w:bookmarkEnd w:id="246"/>
    <w:bookmarkEnd w:id="247"/>
    <w:bookmarkEnd w:id="248"/>
    <w:p w14:paraId="4D07313D">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w:t>
      </w:r>
      <w:bookmarkStart w:id="249" w:name="_Toc297216180"/>
      <w:bookmarkStart w:id="250" w:name="_Toc300934973"/>
      <w:bookmarkStart w:id="251" w:name="_Toc304295551"/>
      <w:bookmarkStart w:id="252" w:name="_Toc303539130"/>
      <w:bookmarkStart w:id="253" w:name="_Toc312678017"/>
      <w:bookmarkStart w:id="254" w:name="_Toc297123521"/>
      <w:r>
        <w:rPr>
          <w:rFonts w:hint="eastAsia" w:cs="宋体"/>
          <w:bCs/>
          <w:color w:val="000000" w:themeColor="text1"/>
          <w:sz w:val="21"/>
          <w:szCs w:val="21"/>
          <w:highlight w:val="none"/>
          <w14:textFill>
            <w14:solidFill>
              <w14:schemeClr w14:val="tx1"/>
            </w14:solidFill>
          </w14:textFill>
        </w:rPr>
        <w:t>.7 异常恶劣的气候条件</w:t>
      </w:r>
    </w:p>
    <w:bookmarkEnd w:id="249"/>
    <w:bookmarkEnd w:id="250"/>
    <w:bookmarkEnd w:id="251"/>
    <w:bookmarkEnd w:id="252"/>
    <w:bookmarkEnd w:id="253"/>
    <w:bookmarkEnd w:id="254"/>
    <w:p w14:paraId="27F8C76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发包人和承包人同意以下情形视为异常恶劣的气候条件：</w:t>
      </w:r>
    </w:p>
    <w:p w14:paraId="0E0696E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（1）平均风力达 10 级以上，或者阵风 12 级以上并可能持续。</w:t>
      </w:r>
    </w:p>
    <w:p w14:paraId="2DD7152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（2）3 小时内降雨量将达 50 毫米以上，或者已达 50 毫米以上且降雨可能</w:t>
      </w:r>
    </w:p>
    <w:p w14:paraId="2F5228DE">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持续。</w:t>
      </w:r>
    </w:p>
    <w:p w14:paraId="7DF6A7FC">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7.9 提前完工</w:t>
      </w:r>
    </w:p>
    <w:p w14:paraId="7A97587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7.9.2 提前完工的奖励：</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p w14:paraId="1B2AD3FC">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255" w:name="_Toc351203640"/>
      <w:r>
        <w:rPr>
          <w:rFonts w:hint="eastAsia" w:cs="宋体"/>
          <w:color w:val="000000" w:themeColor="text1"/>
          <w:sz w:val="21"/>
          <w:szCs w:val="21"/>
          <w:highlight w:val="none"/>
          <w14:textFill>
            <w14:solidFill>
              <w14:schemeClr w14:val="tx1"/>
            </w14:solidFill>
          </w14:textFill>
        </w:rPr>
        <w:t>8. 材料与设备</w:t>
      </w:r>
      <w:bookmarkEnd w:id="255"/>
    </w:p>
    <w:bookmarkEnd w:id="188"/>
    <w:bookmarkEnd w:id="189"/>
    <w:bookmarkEnd w:id="190"/>
    <w:bookmarkEnd w:id="191"/>
    <w:bookmarkEnd w:id="192"/>
    <w:bookmarkEnd w:id="193"/>
    <w:bookmarkEnd w:id="194"/>
    <w:bookmarkEnd w:id="195"/>
    <w:bookmarkEnd w:id="196"/>
    <w:bookmarkEnd w:id="197"/>
    <w:p w14:paraId="551327E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w:t>
      </w:r>
      <w:bookmarkStart w:id="256" w:name="_Toc296944506"/>
      <w:bookmarkStart w:id="257" w:name="_Toc292559877"/>
      <w:bookmarkStart w:id="258" w:name="_Toc297216186"/>
      <w:bookmarkStart w:id="259" w:name="_Toc297120467"/>
      <w:bookmarkStart w:id="260" w:name="_Toc303539136"/>
      <w:bookmarkStart w:id="261" w:name="_Toc280868654"/>
      <w:bookmarkStart w:id="262" w:name="_Toc292559372"/>
      <w:bookmarkStart w:id="263" w:name="_Toc296890995"/>
      <w:bookmarkStart w:id="264" w:name="_Toc312678019"/>
      <w:bookmarkStart w:id="265" w:name="_Toc296347166"/>
      <w:bookmarkStart w:id="266" w:name="_Toc297123527"/>
      <w:bookmarkStart w:id="267" w:name="_Toc304295556"/>
      <w:bookmarkStart w:id="268" w:name="_Toc297048353"/>
      <w:bookmarkStart w:id="269" w:name="_Toc296346668"/>
      <w:bookmarkStart w:id="270" w:name="_Toc296503167"/>
      <w:bookmarkStart w:id="271" w:name="_Toc300934979"/>
      <w:bookmarkStart w:id="272" w:name="_Toc296891207"/>
      <w:bookmarkStart w:id="273" w:name="_Toc312677493"/>
      <w:bookmarkStart w:id="274" w:name="_Toc280868656"/>
      <w:bookmarkStart w:id="275" w:name="_Toc280868655"/>
      <w:bookmarkStart w:id="276" w:name="_Toc267251424"/>
      <w:r>
        <w:rPr>
          <w:rFonts w:hint="eastAsia" w:cs="宋体"/>
          <w:color w:val="000000" w:themeColor="text1"/>
          <w:sz w:val="21"/>
          <w:szCs w:val="21"/>
          <w:highlight w:val="none"/>
          <w14:textFill>
            <w14:solidFill>
              <w14:schemeClr w14:val="tx1"/>
            </w14:solidFill>
          </w14:textFill>
        </w:rPr>
        <w:t>.4 材料与工程设备的保管与使用</w:t>
      </w:r>
    </w:p>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14:paraId="5AEF0CC7">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w:t>
      </w:r>
      <w:bookmarkStart w:id="277" w:name="_Toc292559878"/>
      <w:bookmarkStart w:id="278" w:name="_Toc292559373"/>
      <w:bookmarkStart w:id="279" w:name="_Toc304295557"/>
      <w:bookmarkStart w:id="280" w:name="_Toc296503168"/>
      <w:bookmarkStart w:id="281" w:name="_Toc296346669"/>
      <w:bookmarkStart w:id="282" w:name="_Toc296891208"/>
      <w:bookmarkStart w:id="283" w:name="_Toc297048354"/>
      <w:bookmarkStart w:id="284" w:name="_Toc296944507"/>
      <w:bookmarkStart w:id="285" w:name="_Toc297216187"/>
      <w:bookmarkStart w:id="286" w:name="_Toc318581173"/>
      <w:bookmarkStart w:id="287" w:name="_Toc312677494"/>
      <w:bookmarkStart w:id="288" w:name="_Toc312678020"/>
      <w:bookmarkStart w:id="289" w:name="_Toc296347167"/>
      <w:bookmarkStart w:id="290" w:name="_Toc303539137"/>
      <w:bookmarkStart w:id="291" w:name="_Toc300934980"/>
      <w:bookmarkStart w:id="292" w:name="_Toc297123528"/>
      <w:bookmarkStart w:id="293" w:name="_Toc297120468"/>
      <w:bookmarkStart w:id="294" w:name="_Toc296890996"/>
      <w:r>
        <w:rPr>
          <w:rFonts w:hint="eastAsia" w:cs="宋体"/>
          <w:color w:val="000000" w:themeColor="text1"/>
          <w:sz w:val="21"/>
          <w:szCs w:val="21"/>
          <w:highlight w:val="none"/>
          <w14:textFill>
            <w14:solidFill>
              <w14:schemeClr w14:val="tx1"/>
            </w14:solidFill>
          </w14:textFill>
        </w:rPr>
        <w:t>.4.1 发包人供应的材料设备的保管费用的承担：</w:t>
      </w:r>
      <w:r>
        <w:rPr>
          <w:rFonts w:hint="eastAsia" w:cs="宋体"/>
          <w:color w:val="000000" w:themeColor="text1"/>
          <w:sz w:val="21"/>
          <w:szCs w:val="21"/>
          <w:highlight w:val="none"/>
          <w:u w:val="single"/>
          <w14:textFill>
            <w14:solidFill>
              <w14:schemeClr w14:val="tx1"/>
            </w14:solidFill>
          </w14:textFill>
        </w:rPr>
        <w:t xml:space="preserve"> 发包人供应的材料和工程设备使用前，由承包人负责检验，相关检验和保管费用由承包人承担 </w:t>
      </w:r>
      <w:r>
        <w:rPr>
          <w:rFonts w:hint="eastAsia" w:cs="宋体"/>
          <w:color w:val="000000" w:themeColor="text1"/>
          <w:sz w:val="21"/>
          <w:szCs w:val="21"/>
          <w:highlight w:val="none"/>
          <w14:textFill>
            <w14:solidFill>
              <w14:schemeClr w14:val="tx1"/>
            </w14:solidFill>
          </w14:textFill>
        </w:rPr>
        <w:t>。</w:t>
      </w:r>
      <w:bookmarkEnd w:id="277"/>
      <w:bookmarkEnd w:id="278"/>
    </w:p>
    <w:p w14:paraId="1FCA2728">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8.6 样品</w:t>
      </w:r>
    </w:p>
    <w:p w14:paraId="294CDC7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8.6.1 样品的报送与封存</w:t>
      </w:r>
    </w:p>
    <w:p w14:paraId="04B3484F">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需要承包人报送样品的材料或工程设备，样品的种类、名称、规格、数量要求：/</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6CE9A83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8.8 施工设备和临时设施</w:t>
      </w:r>
    </w:p>
    <w:p w14:paraId="5AE6EB3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8.8.1 承包人提供的施工设备和临时设施</w:t>
      </w:r>
    </w:p>
    <w:p w14:paraId="67DAA7D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关于修建临时设施费用承担的约定：</w:t>
      </w:r>
      <w:r>
        <w:rPr>
          <w:rFonts w:hint="eastAsia" w:cs="宋体"/>
          <w:color w:val="000000" w:themeColor="text1"/>
          <w:sz w:val="21"/>
          <w:szCs w:val="21"/>
          <w:highlight w:val="none"/>
          <w:u w:val="single"/>
          <w14:textFill>
            <w14:solidFill>
              <w14:schemeClr w14:val="tx1"/>
            </w14:solidFill>
          </w14:textFill>
        </w:rPr>
        <w:t xml:space="preserve">承包人承担 </w:t>
      </w:r>
      <w:r>
        <w:rPr>
          <w:rFonts w:hint="eastAsia" w:cs="宋体"/>
          <w:color w:val="000000" w:themeColor="text1"/>
          <w:sz w:val="21"/>
          <w:szCs w:val="21"/>
          <w:highlight w:val="none"/>
          <w14:textFill>
            <w14:solidFill>
              <w14:schemeClr w14:val="tx1"/>
            </w14:solidFill>
          </w14:textFill>
        </w:rPr>
        <w:t>。</w:t>
      </w:r>
    </w:p>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14:paraId="4A651362">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295" w:name="_Toc351203641"/>
      <w:r>
        <w:rPr>
          <w:rFonts w:hint="eastAsia" w:cs="宋体"/>
          <w:color w:val="000000" w:themeColor="text1"/>
          <w:sz w:val="21"/>
          <w:szCs w:val="21"/>
          <w:highlight w:val="none"/>
          <w14:textFill>
            <w14:solidFill>
              <w14:schemeClr w14:val="tx1"/>
            </w14:solidFill>
          </w14:textFill>
        </w:rPr>
        <w:t>9</w:t>
      </w:r>
      <w:bookmarkEnd w:id="274"/>
      <w:bookmarkEnd w:id="275"/>
      <w:bookmarkEnd w:id="276"/>
      <w:bookmarkStart w:id="296" w:name="_Toc303539139"/>
      <w:bookmarkStart w:id="297" w:name="_Toc297216192"/>
      <w:bookmarkStart w:id="298" w:name="_Toc300934982"/>
      <w:bookmarkStart w:id="299" w:name="_Toc297123533"/>
      <w:bookmarkStart w:id="300" w:name="_Toc312677495"/>
      <w:bookmarkStart w:id="301" w:name="_Toc304295559"/>
      <w:bookmarkStart w:id="302" w:name="_Toc312678021"/>
      <w:bookmarkStart w:id="303" w:name="_Toc292559378"/>
      <w:bookmarkStart w:id="304" w:name="_Toc296891001"/>
      <w:bookmarkStart w:id="305" w:name="_Toc267251427"/>
      <w:bookmarkStart w:id="306" w:name="_Toc296346674"/>
      <w:bookmarkStart w:id="307" w:name="_Toc297120473"/>
      <w:bookmarkStart w:id="308" w:name="_Toc292559883"/>
      <w:bookmarkStart w:id="309" w:name="_Toc296503173"/>
      <w:bookmarkStart w:id="310" w:name="_Toc267251428"/>
      <w:bookmarkStart w:id="311" w:name="_Toc296347172"/>
      <w:bookmarkStart w:id="312" w:name="_Toc296944512"/>
      <w:bookmarkStart w:id="313" w:name="_Toc296891213"/>
      <w:bookmarkStart w:id="314" w:name="_Toc297048359"/>
      <w:r>
        <w:rPr>
          <w:rFonts w:hint="eastAsia" w:cs="宋体"/>
          <w:color w:val="000000" w:themeColor="text1"/>
          <w:sz w:val="21"/>
          <w:szCs w:val="21"/>
          <w:highlight w:val="none"/>
          <w14:textFill>
            <w14:solidFill>
              <w14:schemeClr w14:val="tx1"/>
            </w14:solidFill>
          </w14:textFill>
        </w:rPr>
        <w:t>. 试验与检验</w:t>
      </w:r>
      <w:bookmarkEnd w:id="295"/>
    </w:p>
    <w:bookmarkEnd w:id="296"/>
    <w:bookmarkEnd w:id="297"/>
    <w:bookmarkEnd w:id="298"/>
    <w:bookmarkEnd w:id="299"/>
    <w:bookmarkEnd w:id="300"/>
    <w:bookmarkEnd w:id="301"/>
    <w:bookmarkEnd w:id="302"/>
    <w:p w14:paraId="22A56641">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9</w:t>
      </w:r>
      <w:bookmarkStart w:id="315" w:name="_Toc300934983"/>
      <w:bookmarkStart w:id="316" w:name="_Toc297216193"/>
      <w:bookmarkStart w:id="317" w:name="_Toc312678022"/>
      <w:bookmarkStart w:id="318" w:name="_Toc304295560"/>
      <w:bookmarkStart w:id="319" w:name="_Toc297123534"/>
      <w:bookmarkStart w:id="320" w:name="_Toc312677496"/>
      <w:bookmarkStart w:id="321" w:name="_Toc303539140"/>
      <w:r>
        <w:rPr>
          <w:rFonts w:hint="eastAsia" w:cs="宋体"/>
          <w:bCs/>
          <w:color w:val="000000" w:themeColor="text1"/>
          <w:sz w:val="21"/>
          <w:szCs w:val="21"/>
          <w:highlight w:val="none"/>
          <w14:textFill>
            <w14:solidFill>
              <w14:schemeClr w14:val="tx1"/>
            </w14:solidFill>
          </w14:textFill>
        </w:rPr>
        <w:t>.1 试验设备与试验人员</w:t>
      </w:r>
    </w:p>
    <w:bookmarkEnd w:id="315"/>
    <w:bookmarkEnd w:id="316"/>
    <w:bookmarkEnd w:id="317"/>
    <w:bookmarkEnd w:id="318"/>
    <w:bookmarkEnd w:id="319"/>
    <w:bookmarkEnd w:id="320"/>
    <w:bookmarkEnd w:id="321"/>
    <w:p w14:paraId="3E50825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9</w:t>
      </w:r>
      <w:bookmarkStart w:id="322" w:name="_Toc297216194"/>
      <w:bookmarkStart w:id="323" w:name="_Toc312678023"/>
      <w:bookmarkStart w:id="324" w:name="_Toc300934984"/>
      <w:bookmarkStart w:id="325" w:name="_Toc303539141"/>
      <w:bookmarkStart w:id="326" w:name="_Toc312677497"/>
      <w:bookmarkStart w:id="327" w:name="_Toc297123535"/>
      <w:bookmarkStart w:id="328" w:name="_Toc304295561"/>
      <w:bookmarkStart w:id="329" w:name="_Toc318581174"/>
      <w:r>
        <w:rPr>
          <w:rFonts w:hint="eastAsia" w:cs="宋体"/>
          <w:color w:val="000000" w:themeColor="text1"/>
          <w:sz w:val="21"/>
          <w:szCs w:val="21"/>
          <w:highlight w:val="none"/>
          <w14:textFill>
            <w14:solidFill>
              <w14:schemeClr w14:val="tx1"/>
            </w14:solidFill>
          </w14:textFill>
        </w:rPr>
        <w:t>.1.2 试验设备</w:t>
      </w:r>
    </w:p>
    <w:p w14:paraId="31A40178">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施工现场需要配置的试验场所</w:t>
      </w:r>
      <w:bookmarkEnd w:id="322"/>
      <w:bookmarkEnd w:id="323"/>
      <w:bookmarkEnd w:id="324"/>
      <w:bookmarkEnd w:id="325"/>
      <w:bookmarkEnd w:id="326"/>
      <w:bookmarkEnd w:id="327"/>
      <w:bookmarkEnd w:id="328"/>
      <w:bookmarkStart w:id="330" w:name="_Toc304295562"/>
      <w:bookmarkStart w:id="331" w:name="_Toc297123536"/>
      <w:bookmarkStart w:id="332" w:name="_Toc312677498"/>
      <w:bookmarkStart w:id="333" w:name="_Toc300934985"/>
      <w:bookmarkStart w:id="334" w:name="_Toc297216195"/>
      <w:bookmarkStart w:id="335" w:name="_Toc312678024"/>
      <w:bookmarkStart w:id="336" w:name="_Toc303539142"/>
      <w:r>
        <w:rPr>
          <w:rFonts w:hint="eastAsia" w:cs="宋体"/>
          <w:color w:val="000000" w:themeColor="text1"/>
          <w:sz w:val="21"/>
          <w:szCs w:val="21"/>
          <w:highlight w:val="none"/>
          <w14:textFill>
            <w14:solidFill>
              <w14:schemeClr w14:val="tx1"/>
            </w14:solidFill>
          </w14:textFill>
        </w:rPr>
        <w:t xml:space="preserve">：  </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7BD91A3A">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施工现场需要配备的试验设备：</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52D027C4">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施工现场需要具备的其他试验条件：</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16927E6B">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 xml:space="preserve">9.4 现场工艺试验 </w:t>
      </w:r>
    </w:p>
    <w:p w14:paraId="0D089E26">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现场工艺试验的有关约定：</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bookmarkEnd w:id="329"/>
    <w:bookmarkEnd w:id="330"/>
    <w:bookmarkEnd w:id="331"/>
    <w:bookmarkEnd w:id="332"/>
    <w:bookmarkEnd w:id="333"/>
    <w:bookmarkEnd w:id="334"/>
    <w:bookmarkEnd w:id="335"/>
    <w:bookmarkEnd w:id="336"/>
    <w:p w14:paraId="1EA7D207">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337" w:name="_Toc351203642"/>
      <w:r>
        <w:rPr>
          <w:rFonts w:hint="eastAsia" w:cs="宋体"/>
          <w:color w:val="000000" w:themeColor="text1"/>
          <w:sz w:val="21"/>
          <w:szCs w:val="21"/>
          <w:highlight w:val="none"/>
          <w14:textFill>
            <w14:solidFill>
              <w14:schemeClr w14:val="tx1"/>
            </w14:solidFill>
          </w14:textFill>
        </w:rPr>
        <w:t>1</w:t>
      </w:r>
      <w:bookmarkEnd w:id="303"/>
      <w:bookmarkEnd w:id="304"/>
      <w:bookmarkEnd w:id="305"/>
      <w:bookmarkEnd w:id="306"/>
      <w:bookmarkEnd w:id="307"/>
      <w:bookmarkEnd w:id="308"/>
      <w:bookmarkEnd w:id="309"/>
      <w:bookmarkEnd w:id="310"/>
      <w:bookmarkEnd w:id="311"/>
      <w:bookmarkEnd w:id="312"/>
      <w:bookmarkEnd w:id="313"/>
      <w:bookmarkEnd w:id="314"/>
      <w:bookmarkStart w:id="338" w:name="_Toc296891021"/>
      <w:bookmarkStart w:id="339" w:name="_Toc296347192"/>
      <w:bookmarkStart w:id="340" w:name="_Toc303539146"/>
      <w:bookmarkStart w:id="341" w:name="_Toc300934989"/>
      <w:bookmarkStart w:id="342" w:name="_Toc296503193"/>
      <w:bookmarkStart w:id="343" w:name="_Toc296944532"/>
      <w:bookmarkStart w:id="344" w:name="_Toc296346694"/>
      <w:bookmarkStart w:id="345" w:name="_Toc297216199"/>
      <w:bookmarkStart w:id="346" w:name="_Toc297048379"/>
      <w:bookmarkStart w:id="347" w:name="_Toc297120493"/>
      <w:bookmarkStart w:id="348" w:name="_Toc292559398"/>
      <w:bookmarkStart w:id="349" w:name="_Toc292559903"/>
      <w:bookmarkStart w:id="350" w:name="_Toc304295566"/>
      <w:bookmarkStart w:id="351" w:name="_Toc297123540"/>
      <w:bookmarkStart w:id="352" w:name="_Toc296891233"/>
      <w:bookmarkStart w:id="353" w:name="_Toc312678025"/>
      <w:bookmarkStart w:id="354" w:name="_Toc312677499"/>
      <w:bookmarkStart w:id="355" w:name="_Toc267251440"/>
      <w:bookmarkStart w:id="356" w:name="_Toc267251439"/>
      <w:bookmarkStart w:id="357" w:name="_Toc267251433"/>
      <w:bookmarkStart w:id="358" w:name="_Toc267251437"/>
      <w:bookmarkStart w:id="359" w:name="_Toc267251441"/>
      <w:bookmarkStart w:id="360" w:name="_Toc267251435"/>
      <w:bookmarkStart w:id="361" w:name="_Toc267251442"/>
      <w:r>
        <w:rPr>
          <w:rFonts w:hint="eastAsia" w:cs="宋体"/>
          <w:color w:val="000000" w:themeColor="text1"/>
          <w:sz w:val="21"/>
          <w:szCs w:val="21"/>
          <w:highlight w:val="none"/>
          <w14:textFill>
            <w14:solidFill>
              <w14:schemeClr w14:val="tx1"/>
            </w14:solidFill>
          </w14:textFill>
        </w:rPr>
        <w:t>0. 变更</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bookmarkEnd w:id="353"/>
    <w:bookmarkEnd w:id="354"/>
    <w:p w14:paraId="27310F31">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w:t>
      </w:r>
      <w:bookmarkStart w:id="362" w:name="_Toc297216200"/>
      <w:bookmarkStart w:id="363" w:name="_Toc300934990"/>
      <w:bookmarkStart w:id="364" w:name="_Toc312678026"/>
      <w:bookmarkStart w:id="365" w:name="_Toc296944533"/>
      <w:bookmarkStart w:id="366" w:name="_Toc304295567"/>
      <w:bookmarkStart w:id="367" w:name="_Toc303539147"/>
      <w:bookmarkStart w:id="368" w:name="_Toc296503194"/>
      <w:bookmarkStart w:id="369" w:name="_Toc296346695"/>
      <w:bookmarkStart w:id="370" w:name="_Toc296891022"/>
      <w:bookmarkStart w:id="371" w:name="_Toc296891234"/>
      <w:bookmarkStart w:id="372" w:name="_Toc297120494"/>
      <w:bookmarkStart w:id="373" w:name="_Toc296347193"/>
      <w:bookmarkStart w:id="374" w:name="_Toc312677500"/>
      <w:bookmarkStart w:id="375" w:name="_Toc297123541"/>
      <w:bookmarkStart w:id="376" w:name="_Toc292559904"/>
      <w:bookmarkStart w:id="377" w:name="_Toc292559399"/>
      <w:bookmarkStart w:id="378" w:name="_Toc297048380"/>
      <w:r>
        <w:rPr>
          <w:rFonts w:hint="eastAsia" w:cs="宋体"/>
          <w:bCs/>
          <w:color w:val="000000" w:themeColor="text1"/>
          <w:sz w:val="21"/>
          <w:szCs w:val="21"/>
          <w:highlight w:val="none"/>
          <w14:textFill>
            <w14:solidFill>
              <w14:schemeClr w14:val="tx1"/>
            </w14:solidFill>
          </w14:textFill>
        </w:rPr>
        <w:t>0.1 变更的范围</w:t>
      </w:r>
    </w:p>
    <w:p w14:paraId="20208A91">
      <w:pPr>
        <w:keepNext/>
        <w:keepLines/>
        <w:snapToGrid w:val="0"/>
        <w:spacing w:before="120" w:after="120" w:line="360" w:lineRule="auto"/>
        <w:ind w:firstLine="420" w:firstLineChars="200"/>
        <w:outlineLvl w:val="3"/>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 xml:space="preserve">关于变更的范围的约定：执行通用合同条款，但发包人发布的变更指令，承包人须无条件执行，承包人拒不执行的，发包人有权委托第三方进行实施，变更工程价款金额为发包人与第三方签订的承包合同额，变更工程价款由本合同承包人承担，在结算时由发包人予以扣除。并且每发生一次拒绝执行情况，承包人须向发包人支付5万元/次的违约金  。 </w:t>
      </w:r>
    </w:p>
    <w:p w14:paraId="1B70A642">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10.4 变更估价</w:t>
      </w:r>
    </w:p>
    <w:p w14:paraId="4BA6F3B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10.4.1 变更估价原则</w:t>
      </w:r>
    </w:p>
    <w:p w14:paraId="5EDF8C3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关于变更估价的约定：</w:t>
      </w:r>
    </w:p>
    <w:p w14:paraId="4113F02E">
      <w:pPr>
        <w:adjustRightInd w:val="0"/>
        <w:snapToGrid w:val="0"/>
        <w:spacing w:line="360" w:lineRule="auto"/>
        <w:ind w:firstLine="422" w:firstLineChars="200"/>
        <w:rPr>
          <w:rFonts w:cs="宋体"/>
          <w:color w:val="000000" w:themeColor="text1"/>
          <w:sz w:val="21"/>
          <w:szCs w:val="21"/>
          <w:highlight w:val="none"/>
          <w14:textFill>
            <w14:solidFill>
              <w14:schemeClr w14:val="tx1"/>
            </w14:solidFill>
          </w14:textFill>
        </w:rPr>
      </w:pPr>
      <w:r>
        <w:rPr>
          <w:rFonts w:hint="eastAsia" w:cs="宋体"/>
          <w:b/>
          <w:color w:val="000000" w:themeColor="text1"/>
          <w:sz w:val="21"/>
          <w:szCs w:val="21"/>
          <w:highlight w:val="none"/>
          <w14:textFill>
            <w14:solidFill>
              <w14:schemeClr w14:val="tx1"/>
            </w14:solidFill>
          </w14:textFill>
        </w:rPr>
        <w:t>10.4.1.1 因工程变更引起已标价工程量清单项目或其工程数量发生变化时，按下列规定调整：</w:t>
      </w:r>
      <w:r>
        <w:rPr>
          <w:rFonts w:hint="eastAsia" w:cs="宋体"/>
          <w:color w:val="000000" w:themeColor="text1"/>
          <w:sz w:val="21"/>
          <w:szCs w:val="21"/>
          <w:highlight w:val="none"/>
          <w14:textFill>
            <w14:solidFill>
              <w14:schemeClr w14:val="tx1"/>
            </w14:solidFill>
          </w14:textFill>
        </w:rPr>
        <w:t xml:space="preserve">由于设计（工程）变更、签证等引起的合同外的工程量变化，按实际调整。设计（工程）变更、签证引起新的工程量清单项目，其相应综合单价按以下规则由承包人提出，经发包人、发包人或其委托的审核单位共同确认后作为结算依据，变更、签证程序执行安徽省相关文件规定。 </w:t>
      </w:r>
    </w:p>
    <w:p w14:paraId="34F1DD64">
      <w:pPr>
        <w:numPr>
          <w:ilvl w:val="0"/>
          <w:numId w:val="12"/>
        </w:num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eastAsia="zh-CN"/>
          <w14:textFill>
            <w14:solidFill>
              <w14:schemeClr w14:val="tx1"/>
            </w14:solidFill>
          </w14:textFill>
        </w:rPr>
        <w:t>最高限价</w:t>
      </w:r>
      <w:r>
        <w:rPr>
          <w:rFonts w:hint="eastAsia" w:cs="宋体"/>
          <w:color w:val="000000" w:themeColor="text1"/>
          <w:sz w:val="21"/>
          <w:szCs w:val="21"/>
          <w:highlight w:val="none"/>
          <w14:textFill>
            <w14:solidFill>
              <w14:schemeClr w14:val="tx1"/>
            </w14:solidFill>
          </w14:textFill>
        </w:rPr>
        <w:t>中已列项目，按采购文件中的要求进行计算。</w:t>
      </w:r>
    </w:p>
    <w:p w14:paraId="3DC72683">
      <w:pPr>
        <w:numPr>
          <w:ilvl w:val="0"/>
          <w:numId w:val="12"/>
        </w:num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如工程量清单与施工图纸不一致；工程量清单描述不清的；工程量清单中未列的项目及数量有差异的项目，由承包人在</w:t>
      </w:r>
      <w:r>
        <w:rPr>
          <w:rFonts w:hint="eastAsia" w:cs="宋体"/>
          <w:color w:val="000000" w:themeColor="text1"/>
          <w:sz w:val="21"/>
          <w:szCs w:val="21"/>
          <w:highlight w:val="none"/>
          <w:lang w:eastAsia="zh-CN"/>
          <w14:textFill>
            <w14:solidFill>
              <w14:schemeClr w14:val="tx1"/>
            </w14:solidFill>
          </w14:textFill>
        </w:rPr>
        <w:t>响应报价</w:t>
      </w:r>
      <w:r>
        <w:rPr>
          <w:rFonts w:hint="eastAsia" w:cs="宋体"/>
          <w:color w:val="000000" w:themeColor="text1"/>
          <w:sz w:val="21"/>
          <w:szCs w:val="21"/>
          <w:highlight w:val="none"/>
          <w14:textFill>
            <w14:solidFill>
              <w14:schemeClr w14:val="tx1"/>
            </w14:solidFill>
          </w14:textFill>
        </w:rPr>
        <w:t>中自行考虑费用，视为承包人已列入投标总价中。</w:t>
      </w:r>
    </w:p>
    <w:p w14:paraId="1C1D399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c.工程变更中的报价：发包人</w:t>
      </w:r>
      <w:r>
        <w:rPr>
          <w:rFonts w:hint="eastAsia" w:cs="宋体"/>
          <w:color w:val="000000" w:themeColor="text1"/>
          <w:sz w:val="21"/>
          <w:szCs w:val="21"/>
          <w:highlight w:val="none"/>
          <w:lang w:eastAsia="zh-CN"/>
          <w14:textFill>
            <w14:solidFill>
              <w14:schemeClr w14:val="tx1"/>
            </w14:solidFill>
          </w14:textFill>
        </w:rPr>
        <w:t>最高限价</w:t>
      </w:r>
      <w:r>
        <w:rPr>
          <w:rFonts w:hint="eastAsia" w:cs="宋体"/>
          <w:color w:val="000000" w:themeColor="text1"/>
          <w:sz w:val="21"/>
          <w:szCs w:val="21"/>
          <w:highlight w:val="none"/>
          <w14:textFill>
            <w14:solidFill>
              <w14:schemeClr w14:val="tx1"/>
            </w14:solidFill>
          </w14:textFill>
        </w:rPr>
        <w:t>中有相同或类似综合单价的，按相同或类似综合单价*投标下浮率记取；承包人</w:t>
      </w:r>
      <w:r>
        <w:rPr>
          <w:rFonts w:hint="eastAsia" w:cs="宋体"/>
          <w:color w:val="000000" w:themeColor="text1"/>
          <w:sz w:val="21"/>
          <w:szCs w:val="21"/>
          <w:highlight w:val="none"/>
          <w:lang w:eastAsia="zh-CN"/>
          <w14:textFill>
            <w14:solidFill>
              <w14:schemeClr w14:val="tx1"/>
            </w14:solidFill>
          </w14:textFill>
        </w:rPr>
        <w:t>响应报价</w:t>
      </w:r>
      <w:r>
        <w:rPr>
          <w:rFonts w:hint="eastAsia" w:cs="宋体"/>
          <w:color w:val="000000" w:themeColor="text1"/>
          <w:sz w:val="21"/>
          <w:szCs w:val="21"/>
          <w:highlight w:val="none"/>
          <w14:textFill>
            <w14:solidFill>
              <w14:schemeClr w14:val="tx1"/>
            </w14:solidFill>
          </w14:textFill>
        </w:rPr>
        <w:t>中无相同或类似综合单价的，参照采购文件重新组价；其中材料价格按发包人</w:t>
      </w:r>
      <w:r>
        <w:rPr>
          <w:rFonts w:hint="eastAsia" w:cs="宋体"/>
          <w:color w:val="000000" w:themeColor="text1"/>
          <w:sz w:val="21"/>
          <w:szCs w:val="21"/>
          <w:highlight w:val="none"/>
          <w:lang w:eastAsia="zh-CN"/>
          <w14:textFill>
            <w14:solidFill>
              <w14:schemeClr w14:val="tx1"/>
            </w14:solidFill>
          </w14:textFill>
        </w:rPr>
        <w:t>最高限价</w:t>
      </w:r>
      <w:r>
        <w:rPr>
          <w:rFonts w:hint="eastAsia" w:cs="宋体"/>
          <w:color w:val="000000" w:themeColor="text1"/>
          <w:sz w:val="21"/>
          <w:szCs w:val="21"/>
          <w:highlight w:val="none"/>
          <w14:textFill>
            <w14:solidFill>
              <w14:schemeClr w14:val="tx1"/>
            </w14:solidFill>
          </w14:textFill>
        </w:rPr>
        <w:t>中的材料价格执行；若</w:t>
      </w:r>
      <w:r>
        <w:rPr>
          <w:rFonts w:hint="eastAsia" w:cs="宋体"/>
          <w:color w:val="000000" w:themeColor="text1"/>
          <w:sz w:val="21"/>
          <w:szCs w:val="21"/>
          <w:highlight w:val="none"/>
          <w:lang w:eastAsia="zh-CN"/>
          <w14:textFill>
            <w14:solidFill>
              <w14:schemeClr w14:val="tx1"/>
            </w14:solidFill>
          </w14:textFill>
        </w:rPr>
        <w:t>最高限价</w:t>
      </w:r>
      <w:r>
        <w:rPr>
          <w:rFonts w:hint="eastAsia" w:cs="宋体"/>
          <w:color w:val="000000" w:themeColor="text1"/>
          <w:sz w:val="21"/>
          <w:szCs w:val="21"/>
          <w:highlight w:val="none"/>
          <w14:textFill>
            <w14:solidFill>
              <w14:schemeClr w14:val="tx1"/>
            </w14:solidFill>
          </w14:textFill>
        </w:rPr>
        <w:t>中没有，执行编制</w:t>
      </w:r>
      <w:r>
        <w:rPr>
          <w:rFonts w:hint="eastAsia" w:cs="宋体"/>
          <w:color w:val="000000" w:themeColor="text1"/>
          <w:sz w:val="21"/>
          <w:szCs w:val="21"/>
          <w:highlight w:val="none"/>
          <w:lang w:eastAsia="zh-CN"/>
          <w14:textFill>
            <w14:solidFill>
              <w14:schemeClr w14:val="tx1"/>
            </w14:solidFill>
          </w14:textFill>
        </w:rPr>
        <w:t>最高限价</w:t>
      </w:r>
      <w:r>
        <w:rPr>
          <w:rFonts w:hint="eastAsia" w:cs="宋体"/>
          <w:color w:val="000000" w:themeColor="text1"/>
          <w:sz w:val="21"/>
          <w:szCs w:val="21"/>
          <w:highlight w:val="none"/>
          <w14:textFill>
            <w14:solidFill>
              <w14:schemeClr w14:val="tx1"/>
            </w14:solidFill>
          </w14:textFill>
        </w:rPr>
        <w:t>时采用的安徽省建设工程造价管理总站项目所在地同期发布的信息价，发布的信息价中若没有，按照项目周边地区发布的信息价格执行。重新组价部分按最高限价与承包人</w:t>
      </w:r>
      <w:r>
        <w:rPr>
          <w:rFonts w:hint="eastAsia" w:cs="宋体"/>
          <w:color w:val="000000" w:themeColor="text1"/>
          <w:sz w:val="21"/>
          <w:szCs w:val="21"/>
          <w:highlight w:val="none"/>
          <w:lang w:eastAsia="zh-CN"/>
          <w14:textFill>
            <w14:solidFill>
              <w14:schemeClr w14:val="tx1"/>
            </w14:solidFill>
          </w14:textFill>
        </w:rPr>
        <w:t>响应报价</w:t>
      </w:r>
      <w:r>
        <w:rPr>
          <w:rFonts w:hint="eastAsia" w:cs="宋体"/>
          <w:color w:val="000000" w:themeColor="text1"/>
          <w:sz w:val="21"/>
          <w:szCs w:val="21"/>
          <w:highlight w:val="none"/>
          <w14:textFill>
            <w14:solidFill>
              <w14:schemeClr w14:val="tx1"/>
            </w14:solidFill>
          </w14:textFill>
        </w:rPr>
        <w:t>的</w:t>
      </w:r>
      <w:r>
        <w:rPr>
          <w:rFonts w:hint="eastAsia" w:cs="宋体"/>
          <w:b/>
          <w:bCs/>
          <w:color w:val="000000" w:themeColor="text1"/>
          <w:sz w:val="21"/>
          <w:szCs w:val="21"/>
          <w:highlight w:val="none"/>
          <w14:textFill>
            <w14:solidFill>
              <w14:schemeClr w14:val="tx1"/>
            </w14:solidFill>
          </w14:textFill>
        </w:rPr>
        <w:t>投标下浮率</w:t>
      </w:r>
      <w:r>
        <w:rPr>
          <w:rFonts w:hint="eastAsia" w:cs="宋体"/>
          <w:color w:val="000000" w:themeColor="text1"/>
          <w:sz w:val="21"/>
          <w:szCs w:val="21"/>
          <w:highlight w:val="none"/>
          <w14:textFill>
            <w14:solidFill>
              <w14:schemeClr w14:val="tx1"/>
            </w14:solidFill>
          </w14:textFill>
        </w:rPr>
        <w:t xml:space="preserve">同比例下浮后进行结算。 </w:t>
      </w:r>
    </w:p>
    <w:p w14:paraId="28384DEC">
      <w:pPr>
        <w:adjustRightInd w:val="0"/>
        <w:snapToGrid w:val="0"/>
        <w:spacing w:before="93" w:beforeLines="30" w:line="360" w:lineRule="auto"/>
        <w:ind w:firstLine="420" w:firstLineChars="200"/>
        <w:rPr>
          <w:rFonts w:cs="宋体"/>
          <w:b/>
          <w:strike/>
          <w:color w:val="000000" w:themeColor="text1"/>
          <w:sz w:val="21"/>
          <w:szCs w:val="21"/>
          <w:highlight w:val="none"/>
          <w:u w:val="singl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10.4.1.2 工程变更引起施工方案改变并使措施项目发生变化时，承包人提出调整措施项目费的，应事前将拟实施的方案提交发包人确认，并应详细说明与原方案措施项目相比的变化情况。拟实施的方案经发承包双方确认后执行，并应按照下列规定调整措施项目费：</w:t>
      </w:r>
      <w:r>
        <w:rPr>
          <w:rFonts w:hint="eastAsia" w:cs="宋体"/>
          <w:bCs/>
          <w:color w:val="000000" w:themeColor="text1"/>
          <w:sz w:val="21"/>
          <w:szCs w:val="21"/>
          <w:highlight w:val="none"/>
          <w:u w:val="single"/>
          <w14:textFill>
            <w14:solidFill>
              <w14:schemeClr w14:val="tx1"/>
            </w14:solidFill>
          </w14:textFill>
        </w:rPr>
        <w:t>/</w:t>
      </w:r>
      <w:r>
        <w:rPr>
          <w:rFonts w:hint="eastAsia" w:cs="宋体"/>
          <w:b/>
          <w:color w:val="000000" w:themeColor="text1"/>
          <w:sz w:val="21"/>
          <w:szCs w:val="21"/>
          <w:highlight w:val="none"/>
          <w:u w:val="single"/>
          <w14:textFill>
            <w14:solidFill>
              <w14:schemeClr w14:val="tx1"/>
            </w14:solidFill>
          </w14:textFill>
        </w:rPr>
        <w:t>。</w:t>
      </w:r>
    </w:p>
    <w:p w14:paraId="13122350">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Start w:id="379" w:name="_Toc300934993"/>
      <w:bookmarkStart w:id="380" w:name="_Toc292559907"/>
      <w:bookmarkStart w:id="381" w:name="_Toc297123544"/>
      <w:bookmarkStart w:id="382" w:name="_Toc297048383"/>
      <w:bookmarkStart w:id="383" w:name="_Toc297120497"/>
      <w:bookmarkStart w:id="384" w:name="_Toc296944536"/>
      <w:bookmarkStart w:id="385" w:name="_Toc296891025"/>
      <w:bookmarkStart w:id="386" w:name="_Toc296503197"/>
      <w:bookmarkStart w:id="387" w:name="_Toc296347196"/>
      <w:bookmarkStart w:id="388" w:name="_Toc292559402"/>
      <w:bookmarkStart w:id="389" w:name="_Toc296346698"/>
      <w:bookmarkStart w:id="390" w:name="_Toc303539150"/>
      <w:bookmarkStart w:id="391" w:name="_Toc297216203"/>
      <w:bookmarkStart w:id="392" w:name="_Toc296891237"/>
      <w:bookmarkStart w:id="393" w:name="_Toc312678029"/>
      <w:bookmarkStart w:id="394" w:name="_Toc304295570"/>
      <w:bookmarkStart w:id="395" w:name="_Toc312677503"/>
      <w:r>
        <w:rPr>
          <w:rFonts w:hint="eastAsia" w:cs="宋体"/>
          <w:bCs/>
          <w:color w:val="000000" w:themeColor="text1"/>
          <w:sz w:val="21"/>
          <w:szCs w:val="21"/>
          <w:highlight w:val="none"/>
          <w14:textFill>
            <w14:solidFill>
              <w14:schemeClr w14:val="tx1"/>
            </w14:solidFill>
          </w14:textFill>
        </w:rPr>
        <w:t>0.5 承</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Start w:id="396" w:name="_Toc296891243"/>
      <w:bookmarkStart w:id="397" w:name="_Toc296503203"/>
      <w:bookmarkStart w:id="398" w:name="_Toc297123545"/>
      <w:bookmarkStart w:id="399" w:name="_Toc297216204"/>
      <w:bookmarkStart w:id="400" w:name="_Toc296891031"/>
      <w:bookmarkStart w:id="401" w:name="_Toc297048389"/>
      <w:bookmarkStart w:id="402" w:name="_Toc297120503"/>
      <w:bookmarkStart w:id="403" w:name="_Toc303539151"/>
      <w:bookmarkStart w:id="404" w:name="_Toc296346704"/>
      <w:bookmarkStart w:id="405" w:name="_Toc296347202"/>
      <w:bookmarkStart w:id="406" w:name="_Toc292559408"/>
      <w:bookmarkStart w:id="407" w:name="_Toc300934994"/>
      <w:bookmarkStart w:id="408" w:name="_Toc292559913"/>
      <w:bookmarkStart w:id="409" w:name="_Toc296944542"/>
      <w:r>
        <w:rPr>
          <w:rFonts w:hint="eastAsia" w:cs="宋体"/>
          <w:bCs/>
          <w:color w:val="000000" w:themeColor="text1"/>
          <w:sz w:val="21"/>
          <w:szCs w:val="21"/>
          <w:highlight w:val="none"/>
          <w14:textFill>
            <w14:solidFill>
              <w14:schemeClr w14:val="tx1"/>
            </w14:solidFill>
          </w14:textFill>
        </w:rPr>
        <w:t>包人的合理化建议</w:t>
      </w:r>
    </w:p>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14:paraId="39E17FF7">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监理人审查承包人合理化建议的期限：</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AF700A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发包人审批承包人合理化建议的期限：</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0E09296">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w:t>
      </w:r>
      <w:bookmarkStart w:id="410" w:name="_Toc296503204"/>
      <w:bookmarkStart w:id="411" w:name="_Toc297123546"/>
      <w:bookmarkStart w:id="412" w:name="_Toc292559914"/>
      <w:bookmarkStart w:id="413" w:name="_Toc296944543"/>
      <w:bookmarkStart w:id="414" w:name="_Toc297216205"/>
      <w:bookmarkStart w:id="415" w:name="_Toc318581175"/>
      <w:bookmarkStart w:id="416" w:name="_Toc296891244"/>
      <w:bookmarkStart w:id="417" w:name="_Toc297120504"/>
      <w:bookmarkStart w:id="418" w:name="_Toc296891032"/>
      <w:bookmarkStart w:id="419" w:name="_Toc297048390"/>
      <w:bookmarkStart w:id="420" w:name="_Toc312677504"/>
      <w:bookmarkStart w:id="421" w:name="_Toc292559409"/>
      <w:bookmarkStart w:id="422" w:name="_Toc300934995"/>
      <w:bookmarkStart w:id="423" w:name="_Toc303539152"/>
      <w:bookmarkStart w:id="424" w:name="_Toc312678030"/>
      <w:bookmarkStart w:id="425" w:name="_Toc304295571"/>
      <w:bookmarkStart w:id="426" w:name="_Toc296347203"/>
      <w:bookmarkStart w:id="427" w:name="_Toc296346705"/>
      <w:r>
        <w:rPr>
          <w:rFonts w:hint="eastAsia" w:cs="宋体"/>
          <w:color w:val="000000" w:themeColor="text1"/>
          <w:sz w:val="21"/>
          <w:szCs w:val="21"/>
          <w:highlight w:val="none"/>
          <w14:textFill>
            <w14:solidFill>
              <w14:schemeClr w14:val="tx1"/>
            </w14:solidFill>
          </w14:textFill>
        </w:rPr>
        <w:t>包人提出的合理化建议降低了合同价格或者提高了工程经济效益的奖励的方法和金额为：</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14:paraId="12643367">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w:t>
      </w:r>
      <w:bookmarkStart w:id="428" w:name="_Toc296347198"/>
      <w:bookmarkStart w:id="429" w:name="_Toc297048385"/>
      <w:bookmarkStart w:id="430" w:name="_Toc292559404"/>
      <w:bookmarkStart w:id="431" w:name="_Toc297216207"/>
      <w:bookmarkStart w:id="432" w:name="_Toc296891027"/>
      <w:bookmarkStart w:id="433" w:name="_Toc292559909"/>
      <w:bookmarkStart w:id="434" w:name="_Toc297120499"/>
      <w:bookmarkStart w:id="435" w:name="_Toc296503199"/>
      <w:bookmarkStart w:id="436" w:name="_Toc300934997"/>
      <w:bookmarkStart w:id="437" w:name="_Toc312677507"/>
      <w:bookmarkStart w:id="438" w:name="_Toc304295574"/>
      <w:bookmarkStart w:id="439" w:name="_Toc296944538"/>
      <w:bookmarkStart w:id="440" w:name="_Toc296346700"/>
      <w:bookmarkStart w:id="441" w:name="_Toc312678033"/>
      <w:bookmarkStart w:id="442" w:name="_Toc303539154"/>
      <w:bookmarkStart w:id="443" w:name="_Toc296891239"/>
      <w:bookmarkStart w:id="444" w:name="_Toc297123548"/>
      <w:r>
        <w:rPr>
          <w:rFonts w:hint="eastAsia" w:cs="宋体"/>
          <w:bCs/>
          <w:color w:val="000000" w:themeColor="text1"/>
          <w:sz w:val="21"/>
          <w:szCs w:val="21"/>
          <w:highlight w:val="none"/>
          <w14:textFill>
            <w14:solidFill>
              <w14:schemeClr w14:val="tx1"/>
            </w14:solidFill>
          </w14:textFill>
        </w:rPr>
        <w:t>0.7 暂估价</w:t>
      </w:r>
    </w:p>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14:paraId="29149EA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暂</w:t>
      </w:r>
      <w:bookmarkStart w:id="445" w:name="_Toc312678034"/>
      <w:bookmarkStart w:id="446" w:name="_Toc318581176"/>
      <w:bookmarkStart w:id="447" w:name="_Toc312677508"/>
      <w:r>
        <w:rPr>
          <w:rFonts w:hint="eastAsia" w:cs="宋体"/>
          <w:color w:val="000000" w:themeColor="text1"/>
          <w:sz w:val="21"/>
          <w:szCs w:val="21"/>
          <w:highlight w:val="none"/>
          <w14:textFill>
            <w14:solidFill>
              <w14:schemeClr w14:val="tx1"/>
            </w14:solidFill>
          </w14:textFill>
        </w:rPr>
        <w:t>估价材料和工程设备的明细见附件12：《暂估价一览表》。</w:t>
      </w:r>
    </w:p>
    <w:bookmarkEnd w:id="445"/>
    <w:bookmarkEnd w:id="446"/>
    <w:bookmarkEnd w:id="447"/>
    <w:p w14:paraId="17175B4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w:t>
      </w:r>
      <w:bookmarkStart w:id="448" w:name="_Toc318581177"/>
      <w:bookmarkStart w:id="449" w:name="_Toc312678035"/>
      <w:bookmarkStart w:id="450" w:name="_Toc312677509"/>
      <w:r>
        <w:rPr>
          <w:rFonts w:hint="eastAsia" w:cs="宋体"/>
          <w:color w:val="000000" w:themeColor="text1"/>
          <w:sz w:val="21"/>
          <w:szCs w:val="21"/>
          <w:highlight w:val="none"/>
          <w14:textFill>
            <w14:solidFill>
              <w14:schemeClr w14:val="tx1"/>
            </w14:solidFill>
          </w14:textFill>
        </w:rPr>
        <w:t>0.7.1 依法必须招标的暂估价项目/。</w:t>
      </w:r>
    </w:p>
    <w:bookmarkEnd w:id="448"/>
    <w:bookmarkEnd w:id="449"/>
    <w:bookmarkEnd w:id="450"/>
    <w:p w14:paraId="7614F71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10.7.2 不属于依法必须招标的暂估价项目</w:t>
      </w:r>
    </w:p>
    <w:p w14:paraId="1D5776A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对于不属于依法必须招标的暂估价项目的确认和批准采取第</w:t>
      </w:r>
      <w:r>
        <w:rPr>
          <w:rFonts w:hint="eastAsia" w:cs="宋体"/>
          <w:color w:val="000000" w:themeColor="text1"/>
          <w:sz w:val="21"/>
          <w:szCs w:val="21"/>
          <w:highlight w:val="none"/>
          <w:u w:val="single"/>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种方式确定。</w:t>
      </w:r>
    </w:p>
    <w:p w14:paraId="3F6FF47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第3种方式：承包人直接实施的暂估价项目</w:t>
      </w:r>
    </w:p>
    <w:p w14:paraId="4501F5C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承包人直接实施的暂估价项目的约定：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773EEC38">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10.8 暂列金额</w:t>
      </w:r>
    </w:p>
    <w:p w14:paraId="43F9162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合同当事人关于暂列金额使用的约定：</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45D2DE82">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451" w:name="_Toc351203643"/>
      <w:r>
        <w:rPr>
          <w:rFonts w:hint="eastAsia" w:cs="宋体"/>
          <w:color w:val="000000" w:themeColor="text1"/>
          <w:sz w:val="21"/>
          <w:szCs w:val="21"/>
          <w:highlight w:val="none"/>
          <w14:textFill>
            <w14:solidFill>
              <w14:schemeClr w14:val="tx1"/>
            </w14:solidFill>
          </w14:textFill>
        </w:rPr>
        <w:t>11. 价格调整</w:t>
      </w:r>
      <w:bookmarkEnd w:id="451"/>
    </w:p>
    <w:p w14:paraId="45AEF7FE">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bookmarkStart w:id="452" w:name="_Toc297123550"/>
      <w:bookmarkStart w:id="453" w:name="_Toc296944540"/>
      <w:bookmarkStart w:id="454" w:name="_Toc297120501"/>
      <w:bookmarkStart w:id="455" w:name="_Toc292559911"/>
      <w:bookmarkStart w:id="456" w:name="_Toc296891029"/>
      <w:bookmarkStart w:id="457" w:name="_Toc304295577"/>
      <w:bookmarkStart w:id="458" w:name="_Toc300935000"/>
      <w:bookmarkStart w:id="459" w:name="_Toc296346702"/>
      <w:bookmarkStart w:id="460" w:name="_Toc296503201"/>
      <w:bookmarkStart w:id="461" w:name="_Toc296347200"/>
      <w:bookmarkStart w:id="462" w:name="_Toc296891241"/>
      <w:bookmarkStart w:id="463" w:name="_Toc297216209"/>
      <w:bookmarkStart w:id="464" w:name="_Toc292559406"/>
      <w:bookmarkStart w:id="465" w:name="_Toc297048387"/>
      <w:bookmarkStart w:id="466" w:name="_Toc303539157"/>
      <w:bookmarkStart w:id="467" w:name="_Toc312678039"/>
      <w:r>
        <w:rPr>
          <w:rFonts w:hint="eastAsia" w:cs="宋体"/>
          <w:bCs/>
          <w:color w:val="000000" w:themeColor="text1"/>
          <w:sz w:val="21"/>
          <w:szCs w:val="21"/>
          <w:highlight w:val="none"/>
          <w14:textFill>
            <w14:solidFill>
              <w14:schemeClr w14:val="tx1"/>
            </w14:solidFill>
          </w14:textFill>
        </w:rPr>
        <w:t>11.1 市场价格波动引起的调整</w:t>
      </w:r>
    </w:p>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14:paraId="646CB22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市场价格波动是否调整合同价格的约定：</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38FB44B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因市场价格波动调整合同价格，采用以下第</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种方式对合同价格进行调整：</w:t>
      </w:r>
    </w:p>
    <w:p w14:paraId="1A87929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第1种方式：采用价格指数进行价格调整。</w:t>
      </w:r>
    </w:p>
    <w:p w14:paraId="5E10A07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关于各可调因子、定值和变值权重，以及基本价格指数及其来源的约定：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w:t>
      </w:r>
    </w:p>
    <w:p w14:paraId="3EE8289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第2种方式：采用造价信息进行价格调整。</w:t>
      </w:r>
    </w:p>
    <w:p w14:paraId="6B69969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（1）可调整价格的主要材料范围的约定：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4CC252F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（2）主要材料价差调整周期的约定：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55F5347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（3）主要材料价差调整计算方法的约定：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3AEB245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（4）主要材料价差调整时间的约定：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69DE907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（2）关于基准价格的约定：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A585A0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①承包人在已标价工程量清单或预算书中载明的材料单价低于基准价格的：专用合同条款合同履行期间材料单价涨幅以基准价格为基础超过</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%时，或材料单价跌幅以已标价工程量清单或预算书中载明材料单价为基础超过</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%时，其超过部分据实调整。</w:t>
      </w:r>
    </w:p>
    <w:p w14:paraId="4A81A41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②承包人在已标价工程量清单或预算书中载明的材料单价高于基准价格的：专用合同条款合同履行期间材料单价跌幅以基准价格为基础超过</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%时，材料单价涨幅以已标价工程量清单或预算书中载明材料单价为基础超过</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%时，其超过部分据实调整。</w:t>
      </w:r>
    </w:p>
    <w:p w14:paraId="6A81DEE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③承包人在已标价工程量清单或预算书中载明的材料单价等于基准单价的：专用合同条款合同履行期间材料单价涨跌幅以基准单价为基础超过±</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%时，其超过部分据实调整。</w:t>
      </w:r>
    </w:p>
    <w:p w14:paraId="1350184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第3种方式：其他价格调整方式：</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bookmarkEnd w:id="355"/>
    <w:bookmarkEnd w:id="356"/>
    <w:bookmarkEnd w:id="357"/>
    <w:bookmarkEnd w:id="358"/>
    <w:bookmarkEnd w:id="359"/>
    <w:bookmarkEnd w:id="360"/>
    <w:p w14:paraId="02BF7080">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468" w:name="_Toc296891033"/>
      <w:bookmarkStart w:id="469" w:name="_Toc296891245"/>
      <w:bookmarkStart w:id="470" w:name="_Toc297048391"/>
      <w:bookmarkStart w:id="471" w:name="_Toc296944544"/>
      <w:bookmarkStart w:id="472" w:name="_Toc292559915"/>
      <w:bookmarkStart w:id="473" w:name="_Toc297120505"/>
      <w:bookmarkStart w:id="474" w:name="_Toc296346706"/>
      <w:bookmarkStart w:id="475" w:name="_Toc292559410"/>
      <w:bookmarkStart w:id="476" w:name="_Toc296503205"/>
      <w:bookmarkStart w:id="477" w:name="_Toc296347204"/>
      <w:bookmarkStart w:id="478" w:name="_Toc351203644"/>
      <w:bookmarkStart w:id="479" w:name="_Toc304295579"/>
      <w:bookmarkStart w:id="480" w:name="_Toc297123552"/>
      <w:bookmarkStart w:id="481" w:name="_Toc300935002"/>
      <w:bookmarkStart w:id="482" w:name="_Toc303539159"/>
      <w:bookmarkStart w:id="483" w:name="_Toc297216211"/>
      <w:bookmarkStart w:id="484" w:name="_Toc312678040"/>
      <w:r>
        <w:rPr>
          <w:rFonts w:hint="eastAsia" w:cs="宋体"/>
          <w:color w:val="000000" w:themeColor="text1"/>
          <w:sz w:val="21"/>
          <w:szCs w:val="21"/>
          <w:highlight w:val="none"/>
          <w14:textFill>
            <w14:solidFill>
              <w14:schemeClr w14:val="tx1"/>
            </w14:solidFill>
          </w14:textFill>
        </w:rPr>
        <w:t xml:space="preserve">12. </w:t>
      </w:r>
      <w:bookmarkEnd w:id="468"/>
      <w:bookmarkEnd w:id="469"/>
      <w:bookmarkEnd w:id="470"/>
      <w:bookmarkEnd w:id="471"/>
      <w:bookmarkEnd w:id="472"/>
      <w:bookmarkEnd w:id="473"/>
      <w:bookmarkEnd w:id="474"/>
      <w:bookmarkEnd w:id="475"/>
      <w:bookmarkEnd w:id="476"/>
      <w:bookmarkEnd w:id="477"/>
      <w:r>
        <w:rPr>
          <w:rFonts w:hint="eastAsia" w:cs="宋体"/>
          <w:color w:val="000000" w:themeColor="text1"/>
          <w:sz w:val="21"/>
          <w:szCs w:val="21"/>
          <w:highlight w:val="none"/>
          <w14:textFill>
            <w14:solidFill>
              <w14:schemeClr w14:val="tx1"/>
            </w14:solidFill>
          </w14:textFill>
        </w:rPr>
        <w:t>合同价格、计量与支付</w:t>
      </w:r>
      <w:bookmarkEnd w:id="478"/>
    </w:p>
    <w:bookmarkEnd w:id="479"/>
    <w:bookmarkEnd w:id="480"/>
    <w:bookmarkEnd w:id="481"/>
    <w:bookmarkEnd w:id="482"/>
    <w:bookmarkEnd w:id="483"/>
    <w:bookmarkEnd w:id="484"/>
    <w:p w14:paraId="054B8DC9">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bookmarkStart w:id="485" w:name="_Toc292559916"/>
      <w:bookmarkStart w:id="486" w:name="_Toc292559411"/>
      <w:bookmarkStart w:id="487" w:name="_Toc267251461"/>
      <w:bookmarkStart w:id="488" w:name="_Toc296944545"/>
      <w:bookmarkStart w:id="489" w:name="_Toc296891246"/>
      <w:bookmarkStart w:id="490" w:name="_Toc296346707"/>
      <w:bookmarkStart w:id="491" w:name="_Toc296891034"/>
      <w:bookmarkStart w:id="492" w:name="_Toc297120506"/>
      <w:bookmarkStart w:id="493" w:name="_Toc297048392"/>
      <w:bookmarkStart w:id="494" w:name="_Toc296347205"/>
      <w:bookmarkStart w:id="495" w:name="_Toc296503206"/>
      <w:bookmarkStart w:id="496" w:name="_Toc304295580"/>
      <w:bookmarkStart w:id="497" w:name="_Toc300935003"/>
      <w:bookmarkStart w:id="498" w:name="_Toc297123553"/>
      <w:bookmarkStart w:id="499" w:name="_Toc297216212"/>
      <w:bookmarkStart w:id="500" w:name="_Toc303539160"/>
      <w:bookmarkStart w:id="501" w:name="_Toc312678041"/>
      <w:r>
        <w:rPr>
          <w:rFonts w:hint="eastAsia" w:cs="宋体"/>
          <w:bCs/>
          <w:color w:val="000000" w:themeColor="text1"/>
          <w:sz w:val="21"/>
          <w:szCs w:val="21"/>
          <w:highlight w:val="none"/>
          <w14:textFill>
            <w14:solidFill>
              <w14:schemeClr w14:val="tx1"/>
            </w14:solidFill>
          </w14:textFill>
        </w:rPr>
        <w:t>12.1 合</w:t>
      </w:r>
      <w:bookmarkEnd w:id="485"/>
      <w:bookmarkEnd w:id="486"/>
      <w:bookmarkEnd w:id="487"/>
      <w:r>
        <w:rPr>
          <w:rFonts w:hint="eastAsia" w:cs="宋体"/>
          <w:bCs/>
          <w:color w:val="000000" w:themeColor="text1"/>
          <w:sz w:val="21"/>
          <w:szCs w:val="21"/>
          <w:highlight w:val="none"/>
          <w14:textFill>
            <w14:solidFill>
              <w14:schemeClr w14:val="tx1"/>
            </w14:solidFill>
          </w14:textFill>
        </w:rPr>
        <w:t>同价</w:t>
      </w:r>
      <w:bookmarkEnd w:id="488"/>
      <w:bookmarkEnd w:id="489"/>
      <w:bookmarkEnd w:id="490"/>
      <w:bookmarkEnd w:id="491"/>
      <w:bookmarkEnd w:id="492"/>
      <w:bookmarkEnd w:id="493"/>
      <w:bookmarkEnd w:id="494"/>
      <w:bookmarkEnd w:id="495"/>
      <w:r>
        <w:rPr>
          <w:rFonts w:hint="eastAsia" w:cs="宋体"/>
          <w:bCs/>
          <w:color w:val="000000" w:themeColor="text1"/>
          <w:sz w:val="21"/>
          <w:szCs w:val="21"/>
          <w:highlight w:val="none"/>
          <w14:textFill>
            <w14:solidFill>
              <w14:schemeClr w14:val="tx1"/>
            </w14:solidFill>
          </w14:textFill>
        </w:rPr>
        <w:t>格形式</w:t>
      </w:r>
    </w:p>
    <w:bookmarkEnd w:id="496"/>
    <w:bookmarkEnd w:id="497"/>
    <w:bookmarkEnd w:id="498"/>
    <w:bookmarkEnd w:id="499"/>
    <w:bookmarkEnd w:id="500"/>
    <w:bookmarkEnd w:id="501"/>
    <w:p w14:paraId="3E8AFCB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（1）单价合同。</w:t>
      </w:r>
    </w:p>
    <w:p w14:paraId="750EA947">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综合单价包含的风险范围：</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4E80F66A">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风险费用的计算方法：</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447A107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风险范围以外合同价格的调整方法：</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19D62B1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（2）总价合同。</w:t>
      </w:r>
    </w:p>
    <w:p w14:paraId="483F582F">
      <w:pPr>
        <w:adjustRightInd w:val="0"/>
        <w:snapToGrid w:val="0"/>
        <w:spacing w:line="360" w:lineRule="auto"/>
        <w:ind w:firstLine="420" w:firstLineChars="200"/>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总价包含的风险范围：</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4126EC9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风险费用的计算方法：</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0D4E93A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风险范围以外合同价格的调整方法：</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1A8335C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（3）其他价格方式：</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36B1D68D">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bookmarkStart w:id="502" w:name="_Toc300935004"/>
      <w:bookmarkStart w:id="503" w:name="_Toc303539161"/>
      <w:bookmarkStart w:id="504" w:name="_Toc297123554"/>
      <w:bookmarkStart w:id="505" w:name="_Toc304295581"/>
      <w:bookmarkStart w:id="506" w:name="_Toc297216213"/>
      <w:bookmarkStart w:id="507" w:name="_Toc312678042"/>
      <w:bookmarkStart w:id="508" w:name="_Toc297120507"/>
      <w:bookmarkStart w:id="509" w:name="_Toc296347206"/>
      <w:bookmarkStart w:id="510" w:name="_Toc296944546"/>
      <w:bookmarkStart w:id="511" w:name="_Toc292559412"/>
      <w:bookmarkStart w:id="512" w:name="_Toc296891035"/>
      <w:bookmarkStart w:id="513" w:name="_Toc297048393"/>
      <w:bookmarkStart w:id="514" w:name="_Toc296891247"/>
      <w:bookmarkStart w:id="515" w:name="_Toc296503207"/>
      <w:bookmarkStart w:id="516" w:name="_Toc296346708"/>
      <w:bookmarkStart w:id="517" w:name="_Toc292559917"/>
      <w:r>
        <w:rPr>
          <w:rFonts w:hint="eastAsia" w:cs="宋体"/>
          <w:bCs/>
          <w:color w:val="000000" w:themeColor="text1"/>
          <w:sz w:val="21"/>
          <w:szCs w:val="21"/>
          <w:highlight w:val="none"/>
          <w14:textFill>
            <w14:solidFill>
              <w14:schemeClr w14:val="tx1"/>
            </w14:solidFill>
          </w14:textFill>
        </w:rPr>
        <w:t>12.2 预付款</w:t>
      </w:r>
    </w:p>
    <w:bookmarkEnd w:id="502"/>
    <w:bookmarkEnd w:id="503"/>
    <w:bookmarkEnd w:id="504"/>
    <w:bookmarkEnd w:id="505"/>
    <w:bookmarkEnd w:id="506"/>
    <w:bookmarkEnd w:id="507"/>
    <w:p w14:paraId="5F80A3D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12.2.1 预付款的支付</w:t>
      </w:r>
    </w:p>
    <w:p w14:paraId="651AF11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预付款支付比例或金额：</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559F9B6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预付款支付期限：</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6718AF8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预付款扣回的方式：</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3912BF5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12.2.2 预付款担保</w:t>
      </w:r>
    </w:p>
    <w:p w14:paraId="1F43124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承包人提交预付款担保的期限：</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6B21AF1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预付款担保的形式为：</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bookmarkEnd w:id="508"/>
    <w:bookmarkEnd w:id="509"/>
    <w:bookmarkEnd w:id="510"/>
    <w:bookmarkEnd w:id="511"/>
    <w:bookmarkEnd w:id="512"/>
    <w:bookmarkEnd w:id="513"/>
    <w:bookmarkEnd w:id="514"/>
    <w:bookmarkEnd w:id="515"/>
    <w:bookmarkEnd w:id="516"/>
    <w:bookmarkEnd w:id="517"/>
    <w:p w14:paraId="0647227C">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12.3 计量</w:t>
      </w:r>
    </w:p>
    <w:p w14:paraId="72029EC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12.3.1 计量原则</w:t>
      </w:r>
    </w:p>
    <w:p w14:paraId="699206D1">
      <w:pPr>
        <w:adjustRightInd w:val="0"/>
        <w:snapToGrid w:val="0"/>
        <w:spacing w:line="360" w:lineRule="auto"/>
        <w:ind w:firstLine="420" w:firstLineChars="200"/>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工程量计算规则：</w:t>
      </w:r>
      <w:r>
        <w:rPr>
          <w:rFonts w:hint="eastAsia" w:cs="宋体"/>
          <w:color w:val="000000" w:themeColor="text1"/>
          <w:sz w:val="21"/>
          <w:szCs w:val="21"/>
          <w:highlight w:val="none"/>
          <w:u w:val="single"/>
          <w14:textFill>
            <w14:solidFill>
              <w14:schemeClr w14:val="tx1"/>
            </w14:solidFill>
          </w14:textFill>
        </w:rPr>
        <w:t>按招标工程量清单及</w:t>
      </w:r>
      <w:r>
        <w:rPr>
          <w:rFonts w:hint="eastAsia" w:cs="宋体"/>
          <w:color w:val="000000" w:themeColor="text1"/>
          <w:sz w:val="21"/>
          <w:szCs w:val="21"/>
          <w:highlight w:val="none"/>
          <w:u w:val="single"/>
          <w:lang w:eastAsia="zh-CN"/>
          <w14:textFill>
            <w14:solidFill>
              <w14:schemeClr w14:val="tx1"/>
            </w14:solidFill>
          </w14:textFill>
        </w:rPr>
        <w:t>最高限价</w:t>
      </w:r>
      <w:r>
        <w:rPr>
          <w:rFonts w:hint="eastAsia" w:cs="宋体"/>
          <w:color w:val="000000" w:themeColor="text1"/>
          <w:sz w:val="21"/>
          <w:szCs w:val="21"/>
          <w:highlight w:val="none"/>
          <w:u w:val="single"/>
          <w14:textFill>
            <w14:solidFill>
              <w14:schemeClr w14:val="tx1"/>
            </w14:solidFill>
          </w14:textFill>
        </w:rPr>
        <w:t>所采用的规范及配套文件等</w:t>
      </w:r>
      <w:r>
        <w:rPr>
          <w:rFonts w:hint="eastAsia" w:cs="宋体"/>
          <w:b/>
          <w:color w:val="000000" w:themeColor="text1"/>
          <w:sz w:val="21"/>
          <w:szCs w:val="21"/>
          <w:highlight w:val="none"/>
          <w14:textFill>
            <w14:solidFill>
              <w14:schemeClr w14:val="tx1"/>
            </w14:solidFill>
          </w14:textFill>
        </w:rPr>
        <w:t>。</w:t>
      </w:r>
    </w:p>
    <w:p w14:paraId="221C678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12.3.2 计量周期</w:t>
      </w:r>
    </w:p>
    <w:p w14:paraId="36BD6E14">
      <w:pPr>
        <w:adjustRightInd w:val="0"/>
        <w:snapToGrid w:val="0"/>
        <w:spacing w:line="360" w:lineRule="auto"/>
        <w:ind w:firstLine="420" w:firstLineChars="200"/>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关于计量周期的约定</w:t>
      </w:r>
      <w:r>
        <w:rPr>
          <w:rFonts w:hint="eastAsia" w:cs="宋体"/>
          <w:b/>
          <w:color w:val="000000" w:themeColor="text1"/>
          <w:sz w:val="21"/>
          <w:szCs w:val="21"/>
          <w:highlight w:val="none"/>
          <w14:textFill>
            <w14:solidFill>
              <w14:schemeClr w14:val="tx1"/>
            </w14:solidFill>
          </w14:textFill>
        </w:rPr>
        <w:t>：</w:t>
      </w:r>
      <w:r>
        <w:rPr>
          <w:rFonts w:hint="eastAsia" w:cs="宋体"/>
          <w:color w:val="000000" w:themeColor="text1"/>
          <w:sz w:val="21"/>
          <w:szCs w:val="21"/>
          <w:highlight w:val="none"/>
          <w:u w:val="single"/>
          <w14:textFill>
            <w14:solidFill>
              <w14:schemeClr w14:val="tx1"/>
            </w14:solidFill>
          </w14:textFill>
        </w:rPr>
        <w:t xml:space="preserve"> 根据项目实际情况，由合同甲方确定 </w:t>
      </w:r>
      <w:r>
        <w:rPr>
          <w:rFonts w:hint="eastAsia" w:cs="宋体"/>
          <w:b/>
          <w:color w:val="000000" w:themeColor="text1"/>
          <w:sz w:val="21"/>
          <w:szCs w:val="21"/>
          <w:highlight w:val="none"/>
          <w14:textFill>
            <w14:solidFill>
              <w14:schemeClr w14:val="tx1"/>
            </w14:solidFill>
          </w14:textFill>
        </w:rPr>
        <w:t>。</w:t>
      </w:r>
    </w:p>
    <w:p w14:paraId="1C34D7A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12.3.3 单价合同的计量</w:t>
      </w:r>
    </w:p>
    <w:p w14:paraId="3241C1B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关于单价合同计量的约定：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1FB23F9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12.3.4 总价合同的计量</w:t>
      </w:r>
    </w:p>
    <w:p w14:paraId="143F163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关于总价合同计量的约定：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534528C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12.3.5 总价合同采用支付分解表计量支付的，是否适用第12.3.4项〔总价合同的计量〕约定进行计量：</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color w:val="000000" w:themeColor="text1"/>
          <w:sz w:val="21"/>
          <w:szCs w:val="21"/>
          <w:highlight w:val="none"/>
          <w14:textFill>
            <w14:solidFill>
              <w14:schemeClr w14:val="tx1"/>
            </w14:solidFill>
          </w14:textFill>
        </w:rPr>
        <w:t>。</w:t>
      </w:r>
    </w:p>
    <w:p w14:paraId="1F3B505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12.3.6 其他价格形式合同的计量</w:t>
      </w:r>
    </w:p>
    <w:p w14:paraId="4185C37E">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其他价格形式的计量方式和程序：</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3A980DB">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12.4 工程进度款支付</w:t>
      </w:r>
    </w:p>
    <w:p w14:paraId="58C1215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bookmarkStart w:id="518" w:name="_Toc296891039"/>
      <w:bookmarkStart w:id="519" w:name="_Toc296944550"/>
      <w:bookmarkStart w:id="520" w:name="_Toc297123556"/>
      <w:bookmarkStart w:id="521" w:name="_Toc292559416"/>
      <w:bookmarkStart w:id="522" w:name="_Toc297120511"/>
      <w:bookmarkStart w:id="523" w:name="_Toc292559921"/>
      <w:bookmarkStart w:id="524" w:name="_Toc303539163"/>
      <w:bookmarkStart w:id="525" w:name="_Toc300935006"/>
      <w:bookmarkStart w:id="526" w:name="_Toc296891251"/>
      <w:bookmarkStart w:id="527" w:name="_Toc297216215"/>
      <w:bookmarkStart w:id="528" w:name="_Toc296347210"/>
      <w:bookmarkStart w:id="529" w:name="_Toc296503211"/>
      <w:bookmarkStart w:id="530" w:name="_Toc297048397"/>
      <w:bookmarkStart w:id="531" w:name="_Toc296346712"/>
      <w:r>
        <w:rPr>
          <w:rFonts w:hint="eastAsia" w:cs="宋体"/>
          <w:color w:val="000000" w:themeColor="text1"/>
          <w:sz w:val="21"/>
          <w:szCs w:val="21"/>
          <w:highlight w:val="none"/>
          <w14:textFill>
            <w14:solidFill>
              <w14:schemeClr w14:val="tx1"/>
            </w14:solidFill>
          </w14:textFill>
        </w:rPr>
        <w:t>12.4.1 付款周期</w:t>
      </w:r>
    </w:p>
    <w:p w14:paraId="04298B0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关于付款周期的约定：</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48C8809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12.4.2 进度付款申请单的编制</w:t>
      </w:r>
    </w:p>
    <w:p w14:paraId="4EFAC96C">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关于进度付款申请单编制的约定：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060E0B8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Fonts w:hint="eastAsia" w:cs="宋体"/>
          <w:color w:val="000000" w:themeColor="text1"/>
          <w:sz w:val="21"/>
          <w:szCs w:val="21"/>
          <w:highlight w:val="none"/>
          <w14:textFill>
            <w14:solidFill>
              <w14:schemeClr w14:val="tx1"/>
            </w14:solidFill>
          </w14:textFill>
        </w:rPr>
        <w:t>2.4.3 进度付款申请单的提交</w:t>
      </w:r>
    </w:p>
    <w:p w14:paraId="63DD04F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（1）单价合同进度付款申请单提交的约定：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31149083">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（2）总价合同进度付款申请单提交的约定：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7CF8B31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（3）其他价格形式合同进度付款申请单提交的约定：</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6BFAD6A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12.4.4 进度款审核和支付</w:t>
      </w:r>
    </w:p>
    <w:p w14:paraId="110A0DDB">
      <w:pPr>
        <w:adjustRightInd w:val="0"/>
        <w:snapToGrid w:val="0"/>
        <w:spacing w:line="360" w:lineRule="auto"/>
        <w:ind w:firstLine="420" w:firstLineChars="200"/>
        <w:rPr>
          <w:rFonts w:cs="宋体"/>
          <w:b/>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（1）监理人审查并报送发包人的期限：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9C232CB">
      <w:pPr>
        <w:adjustRightInd w:val="0"/>
        <w:snapToGrid w:val="0"/>
        <w:spacing w:line="360" w:lineRule="auto"/>
        <w:ind w:firstLine="420" w:firstLineChars="200"/>
        <w:rPr>
          <w:rFonts w:cs="宋体"/>
          <w:b/>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发包人完成审批并签发进度款支付证书的期限：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3A238457">
      <w:pPr>
        <w:adjustRightInd w:val="0"/>
        <w:snapToGrid w:val="0"/>
        <w:spacing w:line="360" w:lineRule="auto"/>
        <w:ind w:firstLine="420" w:firstLineChars="200"/>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（2）发包人支付进度款的期限：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7F98DB56">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发包人逾期支付进度款的违约金的计算方式</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26237B5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12.4.6 支付分解表的编制</w:t>
      </w:r>
    </w:p>
    <w:p w14:paraId="3A4061D9">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（2）总价合同支付分解表的编制与审批：</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52F68B1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（3）单价合同的总价项目支付分解表的编制与审批：</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5743A3BC">
      <w:pPr>
        <w:adjustRightInd w:val="0"/>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12.4.7 农民工工资管理</w:t>
      </w:r>
    </w:p>
    <w:p w14:paraId="58ED5915">
      <w:pPr>
        <w:adjustRightInd w:val="0"/>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w:t>
      </w:r>
      <w:r>
        <w:rPr>
          <w:rFonts w:hint="eastAsia" w:cs="宋体"/>
          <w:bCs/>
          <w:color w:val="000000" w:themeColor="text1"/>
          <w:sz w:val="21"/>
          <w:szCs w:val="21"/>
          <w:highlight w:val="none"/>
          <w14:textFill>
            <w14:solidFill>
              <w14:schemeClr w14:val="tx1"/>
            </w14:solidFill>
          </w14:textFill>
        </w:rPr>
        <w:t>本工程农民工工资实行专用账户管理，承包人设立的专用账户开户行为</w:t>
      </w:r>
      <w:r>
        <w:rPr>
          <w:rFonts w:hint="eastAsia" w:cs="宋体"/>
          <w:bCs/>
          <w:color w:val="000000" w:themeColor="text1"/>
          <w:sz w:val="21"/>
          <w:szCs w:val="21"/>
          <w:highlight w:val="none"/>
          <w:u w:val="single"/>
          <w14:textFill>
            <w14:solidFill>
              <w14:schemeClr w14:val="tx1"/>
            </w14:solidFill>
          </w14:textFill>
        </w:rPr>
        <w:t xml:space="preserve">：/  </w:t>
      </w:r>
      <w:r>
        <w:rPr>
          <w:rFonts w:hint="eastAsia" w:cs="宋体"/>
          <w:bCs/>
          <w:color w:val="000000" w:themeColor="text1"/>
          <w:sz w:val="21"/>
          <w:szCs w:val="21"/>
          <w:highlight w:val="none"/>
          <w14:textFill>
            <w14:solidFill>
              <w14:schemeClr w14:val="tx1"/>
            </w14:solidFill>
          </w14:textFill>
        </w:rPr>
        <w:t>，账号：</w:t>
      </w:r>
      <w:r>
        <w:rPr>
          <w:rFonts w:hint="eastAsia" w:cs="宋体"/>
          <w:bCs/>
          <w:color w:val="000000" w:themeColor="text1"/>
          <w:sz w:val="21"/>
          <w:szCs w:val="21"/>
          <w:highlight w:val="none"/>
          <w:u w:val="single"/>
          <w14:textFill>
            <w14:solidFill>
              <w14:schemeClr w14:val="tx1"/>
            </w14:solidFill>
          </w14:textFill>
        </w:rPr>
        <w:t xml:space="preserve"> /  </w:t>
      </w:r>
      <w:r>
        <w:rPr>
          <w:rFonts w:hint="eastAsia" w:cs="宋体"/>
          <w:bCs/>
          <w:color w:val="000000" w:themeColor="text1"/>
          <w:sz w:val="21"/>
          <w:szCs w:val="21"/>
          <w:highlight w:val="none"/>
          <w14:textFill>
            <w14:solidFill>
              <w14:schemeClr w14:val="tx1"/>
            </w14:solidFill>
          </w14:textFill>
        </w:rPr>
        <w:t>;</w:t>
      </w:r>
    </w:p>
    <w:p w14:paraId="247F6926">
      <w:pPr>
        <w:adjustRightInd w:val="0"/>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w:t>
      </w:r>
      <w:r>
        <w:rPr>
          <w:rFonts w:hint="eastAsia" w:cs="宋体"/>
          <w:bCs/>
          <w:color w:val="000000" w:themeColor="text1"/>
          <w:sz w:val="21"/>
          <w:szCs w:val="21"/>
          <w:highlight w:val="none"/>
          <w14:textFill>
            <w14:solidFill>
              <w14:schemeClr w14:val="tx1"/>
            </w14:solidFill>
          </w14:textFill>
        </w:rPr>
        <w:t>本工程工资性工程款</w:t>
      </w:r>
      <w:r>
        <w:rPr>
          <w:rFonts w:hint="eastAsia" w:cs="宋体"/>
          <w:bCs/>
          <w:color w:val="000000" w:themeColor="text1"/>
          <w:sz w:val="21"/>
          <w:szCs w:val="21"/>
          <w:highlight w:val="none"/>
          <w:u w:val="single"/>
          <w14:textFill>
            <w14:solidFill>
              <w14:schemeClr w14:val="tx1"/>
            </w14:solidFill>
          </w14:textFill>
        </w:rPr>
        <w:t xml:space="preserve">  /  </w:t>
      </w:r>
      <w:r>
        <w:rPr>
          <w:rFonts w:hint="eastAsia" w:cs="宋体"/>
          <w:bCs/>
          <w:color w:val="000000" w:themeColor="text1"/>
          <w:sz w:val="21"/>
          <w:szCs w:val="21"/>
          <w:highlight w:val="none"/>
          <w14:textFill>
            <w14:solidFill>
              <w14:schemeClr w14:val="tx1"/>
            </w14:solidFill>
          </w14:textFill>
        </w:rPr>
        <w:t>元。</w:t>
      </w:r>
    </w:p>
    <w:p w14:paraId="46F1AD92">
      <w:pPr>
        <w:adjustRightInd w:val="0"/>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w:t>
      </w:r>
      <w:r>
        <w:rPr>
          <w:rFonts w:hint="eastAsia" w:cs="宋体"/>
          <w:bCs/>
          <w:color w:val="000000" w:themeColor="text1"/>
          <w:sz w:val="21"/>
          <w:szCs w:val="21"/>
          <w:highlight w:val="none"/>
          <w14:textFill>
            <w14:solidFill>
              <w14:schemeClr w14:val="tx1"/>
            </w14:solidFill>
          </w14:textFill>
        </w:rPr>
        <w:t>发包人于每月25日前将工资性工程进度款转入农民工工资专用账户。</w:t>
      </w:r>
    </w:p>
    <w:p w14:paraId="409CA0EA">
      <w:pPr>
        <w:adjustRightInd w:val="0"/>
        <w:snapToGrid w:val="0"/>
        <w:spacing w:line="360" w:lineRule="auto"/>
        <w:ind w:firstLine="420" w:firstLineChars="200"/>
        <w:rPr>
          <w:rFonts w:cs="宋体"/>
          <w:bCs/>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w:t>
      </w:r>
      <w:r>
        <w:rPr>
          <w:rFonts w:hint="eastAsia" w:cs="宋体"/>
          <w:bCs/>
          <w:color w:val="000000" w:themeColor="text1"/>
          <w:sz w:val="21"/>
          <w:szCs w:val="21"/>
          <w:highlight w:val="none"/>
          <w14:textFill>
            <w14:solidFill>
              <w14:schemeClr w14:val="tx1"/>
            </w14:solidFill>
          </w14:textFill>
        </w:rPr>
        <w:t>承包人每月25日前上报本工程农民工工资清单，每月10日前委托开设农民工工资专用账户的银行支付农民工工资。</w:t>
      </w:r>
    </w:p>
    <w:p w14:paraId="53D619E8">
      <w:pPr>
        <w:adjustRightInd w:val="0"/>
        <w:snapToGrid w:val="0"/>
        <w:spacing w:line="360" w:lineRule="auto"/>
        <w:ind w:firstLine="420" w:firstLineChars="200"/>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w:t>
      </w:r>
      <w:r>
        <w:rPr>
          <w:rFonts w:hint="eastAsia" w:cs="宋体"/>
          <w:bCs/>
          <w:color w:val="000000" w:themeColor="text1"/>
          <w:sz w:val="21"/>
          <w:szCs w:val="21"/>
          <w:highlight w:val="none"/>
          <w14:textFill>
            <w14:solidFill>
              <w14:schemeClr w14:val="tx1"/>
            </w14:solidFill>
          </w14:textFill>
        </w:rPr>
        <w:t>工程完工后，经项目部农民工维权组确认无农民工工资拖欠后，发、承双方办理农民工工资专用账户撤销手续，农民工工资专用账户余额划至本合同约定的承包人账户。</w:t>
      </w:r>
    </w:p>
    <w:bookmarkEnd w:id="361"/>
    <w:p w14:paraId="57ACBE82">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532" w:name="_Toc351203645"/>
      <w:bookmarkStart w:id="533" w:name="_Toc297048405"/>
      <w:bookmarkStart w:id="534" w:name="_Toc292559929"/>
      <w:bookmarkStart w:id="535" w:name="_Toc297123564"/>
      <w:bookmarkStart w:id="536" w:name="_Toc296347218"/>
      <w:bookmarkStart w:id="537" w:name="_Toc297120519"/>
      <w:bookmarkStart w:id="538" w:name="_Toc296346720"/>
      <w:bookmarkStart w:id="539" w:name="_Toc296891259"/>
      <w:bookmarkStart w:id="540" w:name="_Toc292559424"/>
      <w:bookmarkStart w:id="541" w:name="_Toc296503219"/>
      <w:bookmarkStart w:id="542" w:name="_Toc312678053"/>
      <w:bookmarkStart w:id="543" w:name="_Toc296944558"/>
      <w:bookmarkStart w:id="544" w:name="_Toc296891047"/>
      <w:bookmarkStart w:id="545" w:name="_Toc297216223"/>
      <w:bookmarkStart w:id="546" w:name="_Toc303539172"/>
      <w:bookmarkStart w:id="547" w:name="_Toc300935015"/>
      <w:bookmarkStart w:id="548" w:name="_Toc304295593"/>
      <w:r>
        <w:rPr>
          <w:rFonts w:hint="eastAsia" w:cs="宋体"/>
          <w:color w:val="000000" w:themeColor="text1"/>
          <w:sz w:val="21"/>
          <w:szCs w:val="21"/>
          <w:highlight w:val="none"/>
          <w14:textFill>
            <w14:solidFill>
              <w14:schemeClr w14:val="tx1"/>
            </w14:solidFill>
          </w14:textFill>
        </w:rPr>
        <w:t>13. 验收和工程试车</w:t>
      </w:r>
      <w:bookmarkEnd w:id="532"/>
    </w:p>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14:paraId="19156A47">
      <w:pPr>
        <w:keepNext/>
        <w:keepLines/>
        <w:snapToGrid w:val="0"/>
        <w:spacing w:before="120" w:after="120" w:line="360" w:lineRule="auto"/>
        <w:jc w:val="left"/>
        <w:outlineLvl w:val="2"/>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13.1 分部分项工程验收</w:t>
      </w:r>
    </w:p>
    <w:p w14:paraId="659AF29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13.1.2 监理人不能按时进行验收时，应提前</w:t>
      </w:r>
      <w:r>
        <w:rPr>
          <w:rFonts w:hint="eastAsia" w:cs="宋体"/>
          <w:color w:val="000000" w:themeColor="text1"/>
          <w:sz w:val="21"/>
          <w:szCs w:val="21"/>
          <w:highlight w:val="none"/>
          <w:u w:val="single"/>
          <w14:textFill>
            <w14:solidFill>
              <w14:schemeClr w14:val="tx1"/>
            </w14:solidFill>
          </w14:textFill>
        </w:rPr>
        <w:t>24</w:t>
      </w:r>
      <w:r>
        <w:rPr>
          <w:rFonts w:hint="eastAsia" w:cs="宋体"/>
          <w:color w:val="000000" w:themeColor="text1"/>
          <w:sz w:val="21"/>
          <w:szCs w:val="21"/>
          <w:highlight w:val="none"/>
          <w14:textFill>
            <w14:solidFill>
              <w14:schemeClr w14:val="tx1"/>
            </w14:solidFill>
          </w14:textFill>
        </w:rPr>
        <w:t>小时提交书面延期要求。</w:t>
      </w:r>
    </w:p>
    <w:p w14:paraId="04599208">
      <w:pPr>
        <w:adjustRightInd w:val="0"/>
        <w:snapToGrid w:val="0"/>
        <w:spacing w:line="360" w:lineRule="auto"/>
        <w:ind w:firstLine="420" w:firstLineChars="200"/>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关于延期最长不得超过：</w:t>
      </w:r>
      <w:r>
        <w:rPr>
          <w:rFonts w:hint="eastAsia" w:cs="宋体"/>
          <w:color w:val="000000" w:themeColor="text1"/>
          <w:sz w:val="21"/>
          <w:szCs w:val="21"/>
          <w:highlight w:val="none"/>
          <w:u w:val="single"/>
          <w14:textFill>
            <w14:solidFill>
              <w14:schemeClr w14:val="tx1"/>
            </w14:solidFill>
          </w14:textFill>
        </w:rPr>
        <w:t>48</w:t>
      </w:r>
      <w:r>
        <w:rPr>
          <w:rFonts w:hint="eastAsia" w:cs="宋体"/>
          <w:color w:val="000000" w:themeColor="text1"/>
          <w:sz w:val="21"/>
          <w:szCs w:val="21"/>
          <w:highlight w:val="none"/>
          <w14:textFill>
            <w14:solidFill>
              <w14:schemeClr w14:val="tx1"/>
            </w14:solidFill>
          </w14:textFill>
        </w:rPr>
        <w:t>小时。</w:t>
      </w:r>
    </w:p>
    <w:p w14:paraId="7B43E417">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bookmarkStart w:id="549" w:name="_Toc297216224"/>
      <w:bookmarkStart w:id="550" w:name="_Toc300935016"/>
      <w:bookmarkStart w:id="551" w:name="_Toc312678056"/>
      <w:bookmarkStart w:id="552" w:name="_Toc297120523"/>
      <w:bookmarkStart w:id="553" w:name="_Toc296944562"/>
      <w:bookmarkStart w:id="554" w:name="_Toc304295596"/>
      <w:bookmarkStart w:id="555" w:name="_Toc296347222"/>
      <w:bookmarkStart w:id="556" w:name="_Toc296891051"/>
      <w:bookmarkStart w:id="557" w:name="_Toc296346724"/>
      <w:bookmarkStart w:id="558" w:name="_Toc296503223"/>
      <w:bookmarkStart w:id="559" w:name="_Toc292559428"/>
      <w:bookmarkStart w:id="560" w:name="_Toc297123565"/>
      <w:bookmarkStart w:id="561" w:name="_Toc296891263"/>
      <w:bookmarkStart w:id="562" w:name="_Toc303539173"/>
      <w:bookmarkStart w:id="563" w:name="_Toc297048409"/>
      <w:bookmarkStart w:id="564" w:name="_Toc292559933"/>
      <w:bookmarkStart w:id="565" w:name="_Toc267251473"/>
      <w:bookmarkStart w:id="566" w:name="_Toc267251475"/>
      <w:bookmarkStart w:id="567" w:name="_Toc267251470"/>
      <w:bookmarkStart w:id="568" w:name="_Toc267251474"/>
      <w:bookmarkStart w:id="569" w:name="_Toc267251471"/>
      <w:bookmarkStart w:id="570" w:name="_Toc267251476"/>
      <w:bookmarkStart w:id="571" w:name="_Toc267251472"/>
      <w:r>
        <w:rPr>
          <w:rFonts w:hint="eastAsia" w:cs="宋体"/>
          <w:bCs/>
          <w:color w:val="000000" w:themeColor="text1"/>
          <w:sz w:val="21"/>
          <w:szCs w:val="21"/>
          <w:highlight w:val="none"/>
          <w14:textFill>
            <w14:solidFill>
              <w14:schemeClr w14:val="tx1"/>
            </w14:solidFill>
          </w14:textFill>
        </w:rPr>
        <w:t>13.2 完工验收</w:t>
      </w:r>
    </w:p>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14:paraId="7692467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bookmarkStart w:id="572" w:name="_Toc280868704"/>
      <w:bookmarkStart w:id="573" w:name="_Toc280868705"/>
      <w:bookmarkStart w:id="574" w:name="_Toc280868706"/>
      <w:bookmarkStart w:id="575" w:name="_Toc280868707"/>
      <w:bookmarkStart w:id="576" w:name="_Toc280868708"/>
      <w:bookmarkStart w:id="577" w:name="_Toc280868709"/>
      <w:r>
        <w:rPr>
          <w:rFonts w:hint="eastAsia" w:cs="宋体"/>
          <w:color w:val="000000" w:themeColor="text1"/>
          <w:sz w:val="21"/>
          <w:szCs w:val="21"/>
          <w:highlight w:val="none"/>
          <w14:textFill>
            <w14:solidFill>
              <w14:schemeClr w14:val="tx1"/>
            </w14:solidFill>
          </w14:textFill>
        </w:rPr>
        <w:t>13.2.2 完工验收程序</w:t>
      </w:r>
    </w:p>
    <w:bookmarkEnd w:id="572"/>
    <w:p w14:paraId="64A6CDE6">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关于完工验收程序的约定：</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6E35DC1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发包人不按照本项约定组织完工验收、颁发工程接收证书的违约金的计算方法：</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bookmarkEnd w:id="573"/>
    <w:p w14:paraId="2348B7D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13.2.5 移交、接收全部与部分工程</w:t>
      </w:r>
    </w:p>
    <w:bookmarkEnd w:id="574"/>
    <w:p w14:paraId="37C1A58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承包人向发包人移交工程的期限：</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1AF7C72B">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发包人未按本合同约定接收全部或部分工程的，违约金的计算方法为：</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bookmarkEnd w:id="575"/>
    <w:p w14:paraId="2EA08D05">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承包人未按时移交工程的，违约金的计算方法为：</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604ECED5">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13.3 工程试车</w:t>
      </w:r>
    </w:p>
    <w:bookmarkEnd w:id="576"/>
    <w:p w14:paraId="4A61AF4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13.3.1 试车程序</w:t>
      </w:r>
    </w:p>
    <w:p w14:paraId="208EE25C">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工程试车内容：</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248E9E8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（1）单机无负荷试车费用由</w:t>
      </w:r>
      <w:r>
        <w:rPr>
          <w:rFonts w:hint="eastAsia" w:cs="宋体"/>
          <w:color w:val="000000" w:themeColor="text1"/>
          <w:sz w:val="21"/>
          <w:szCs w:val="21"/>
          <w:highlight w:val="none"/>
          <w:u w:val="single"/>
          <w14:textFill>
            <w14:solidFill>
              <w14:schemeClr w14:val="tx1"/>
            </w14:solidFill>
          </w14:textFill>
        </w:rPr>
        <w:t>试车消耗的生产性原材料由发包人承担；试车其他费用（包括试车所需水电油等费用）由承包人在</w:t>
      </w:r>
      <w:r>
        <w:rPr>
          <w:rFonts w:hint="eastAsia" w:cs="宋体"/>
          <w:color w:val="000000" w:themeColor="text1"/>
          <w:sz w:val="21"/>
          <w:szCs w:val="21"/>
          <w:highlight w:val="none"/>
          <w:u w:val="single"/>
          <w:lang w:eastAsia="zh-CN"/>
          <w14:textFill>
            <w14:solidFill>
              <w14:schemeClr w14:val="tx1"/>
            </w14:solidFill>
          </w14:textFill>
        </w:rPr>
        <w:t>响应报价</w:t>
      </w:r>
      <w:r>
        <w:rPr>
          <w:rFonts w:hint="eastAsia" w:cs="宋体"/>
          <w:color w:val="000000" w:themeColor="text1"/>
          <w:sz w:val="21"/>
          <w:szCs w:val="21"/>
          <w:highlight w:val="none"/>
          <w:u w:val="single"/>
          <w14:textFill>
            <w14:solidFill>
              <w14:schemeClr w14:val="tx1"/>
            </w14:solidFill>
          </w14:textFill>
        </w:rPr>
        <w:t>中综合考虑并</w:t>
      </w:r>
      <w:r>
        <w:rPr>
          <w:rFonts w:hint="eastAsia" w:cs="宋体"/>
          <w:color w:val="000000" w:themeColor="text1"/>
          <w:sz w:val="21"/>
          <w:szCs w:val="21"/>
          <w:highlight w:val="none"/>
          <w14:textFill>
            <w14:solidFill>
              <w14:schemeClr w14:val="tx1"/>
            </w14:solidFill>
          </w14:textFill>
        </w:rPr>
        <w:t>承担；</w:t>
      </w:r>
    </w:p>
    <w:p w14:paraId="0E64FA0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（2）无负荷联动试车费用由</w:t>
      </w:r>
      <w:r>
        <w:rPr>
          <w:rFonts w:hint="eastAsia" w:cs="宋体"/>
          <w:color w:val="000000" w:themeColor="text1"/>
          <w:sz w:val="21"/>
          <w:szCs w:val="21"/>
          <w:highlight w:val="none"/>
          <w:u w:val="single"/>
          <w14:textFill>
            <w14:solidFill>
              <w14:schemeClr w14:val="tx1"/>
            </w14:solidFill>
          </w14:textFill>
        </w:rPr>
        <w:t>试车消耗的生产性原材料由发包人承担；试车其他费用（包括试车所需水电油等费用）由承包人在</w:t>
      </w:r>
      <w:r>
        <w:rPr>
          <w:rFonts w:hint="eastAsia" w:cs="宋体"/>
          <w:color w:val="000000" w:themeColor="text1"/>
          <w:sz w:val="21"/>
          <w:szCs w:val="21"/>
          <w:highlight w:val="none"/>
          <w:u w:val="single"/>
          <w:lang w:eastAsia="zh-CN"/>
          <w14:textFill>
            <w14:solidFill>
              <w14:schemeClr w14:val="tx1"/>
            </w14:solidFill>
          </w14:textFill>
        </w:rPr>
        <w:t>响应报价</w:t>
      </w:r>
      <w:r>
        <w:rPr>
          <w:rFonts w:hint="eastAsia" w:cs="宋体"/>
          <w:color w:val="000000" w:themeColor="text1"/>
          <w:sz w:val="21"/>
          <w:szCs w:val="21"/>
          <w:highlight w:val="none"/>
          <w:u w:val="single"/>
          <w14:textFill>
            <w14:solidFill>
              <w14:schemeClr w14:val="tx1"/>
            </w14:solidFill>
          </w14:textFill>
        </w:rPr>
        <w:t>中综合考虑并</w:t>
      </w:r>
      <w:r>
        <w:rPr>
          <w:rFonts w:hint="eastAsia" w:cs="宋体"/>
          <w:color w:val="000000" w:themeColor="text1"/>
          <w:sz w:val="21"/>
          <w:szCs w:val="21"/>
          <w:highlight w:val="none"/>
          <w14:textFill>
            <w14:solidFill>
              <w14:schemeClr w14:val="tx1"/>
            </w14:solidFill>
          </w14:textFill>
        </w:rPr>
        <w:t>承担。</w:t>
      </w:r>
    </w:p>
    <w:p w14:paraId="52D9064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13.3.3 投料试车</w:t>
      </w:r>
    </w:p>
    <w:p w14:paraId="6AD3D2C6">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关于投料试车相关事项的约定：</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5B49DA1C">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13.6 完工退场</w:t>
      </w:r>
    </w:p>
    <w:p w14:paraId="3B41387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13.6.1 完工退场</w:t>
      </w:r>
    </w:p>
    <w:p w14:paraId="5020145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承包人完成完工退场的期限：</w:t>
      </w:r>
      <w:r>
        <w:rPr>
          <w:rFonts w:hint="eastAsia" w:cs="宋体"/>
          <w:color w:val="000000" w:themeColor="text1"/>
          <w:sz w:val="21"/>
          <w:szCs w:val="21"/>
          <w:highlight w:val="none"/>
          <w:u w:val="single"/>
          <w14:textFill>
            <w14:solidFill>
              <w14:schemeClr w14:val="tx1"/>
            </w14:solidFill>
          </w14:textFill>
        </w:rPr>
        <w:t xml:space="preserve">  10日历天  </w:t>
      </w:r>
      <w:r>
        <w:rPr>
          <w:rFonts w:hint="eastAsia" w:cs="宋体"/>
          <w:color w:val="000000" w:themeColor="text1"/>
          <w:sz w:val="21"/>
          <w:szCs w:val="21"/>
          <w:highlight w:val="none"/>
          <w14:textFill>
            <w14:solidFill>
              <w14:schemeClr w14:val="tx1"/>
            </w14:solidFill>
          </w14:textFill>
        </w:rPr>
        <w:t>。</w:t>
      </w:r>
    </w:p>
    <w:p w14:paraId="79B8D851">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578" w:name="_Toc351203646"/>
      <w:r>
        <w:rPr>
          <w:rFonts w:hint="eastAsia" w:cs="宋体"/>
          <w:color w:val="000000" w:themeColor="text1"/>
          <w:sz w:val="21"/>
          <w:szCs w:val="21"/>
          <w:highlight w:val="none"/>
          <w14:textFill>
            <w14:solidFill>
              <w14:schemeClr w14:val="tx1"/>
            </w14:solidFill>
          </w14:textFill>
        </w:rPr>
        <w:t>14. 完工结算</w:t>
      </w:r>
      <w:bookmarkEnd w:id="578"/>
    </w:p>
    <w:p w14:paraId="434F9AA7">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14.1 完工结算申请</w:t>
      </w:r>
    </w:p>
    <w:p w14:paraId="5FECE2F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承包人提交完工结算申请单的期限：</w:t>
      </w:r>
      <w:r>
        <w:rPr>
          <w:rFonts w:hint="eastAsia" w:cs="宋体"/>
          <w:color w:val="000000" w:themeColor="text1"/>
          <w:sz w:val="21"/>
          <w:szCs w:val="21"/>
          <w:highlight w:val="none"/>
          <w:u w:val="single"/>
          <w14:textFill>
            <w14:solidFill>
              <w14:schemeClr w14:val="tx1"/>
            </w14:solidFill>
          </w14:textFill>
        </w:rPr>
        <w:t>承包人应在工程完工验收合格后28天内</w:t>
      </w:r>
      <w:r>
        <w:rPr>
          <w:rFonts w:hint="eastAsia" w:cs="宋体"/>
          <w:color w:val="000000" w:themeColor="text1"/>
          <w:sz w:val="21"/>
          <w:szCs w:val="21"/>
          <w:highlight w:val="none"/>
          <w14:textFill>
            <w14:solidFill>
              <w14:schemeClr w14:val="tx1"/>
            </w14:solidFill>
          </w14:textFill>
        </w:rPr>
        <w:t>。</w:t>
      </w:r>
    </w:p>
    <w:p w14:paraId="1DCCFA7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完工结算申请单应包括的内容：</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5BB0CEE3">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14.2 完工结算审核</w:t>
      </w:r>
    </w:p>
    <w:p w14:paraId="28FDD4C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发包人审批完工付款申请单的期限：</w:t>
      </w:r>
      <w:r>
        <w:rPr>
          <w:rFonts w:hint="eastAsia" w:cs="宋体"/>
          <w:color w:val="000000" w:themeColor="text1"/>
          <w:sz w:val="21"/>
          <w:szCs w:val="21"/>
          <w:highlight w:val="none"/>
          <w:u w:val="single"/>
          <w14:textFill>
            <w14:solidFill>
              <w14:schemeClr w14:val="tx1"/>
            </w14:solidFill>
          </w14:textFill>
        </w:rPr>
        <w:t>发包人应在收到承包人提交的经审核的完工结算申请单后依据相关法律规定完成审批</w:t>
      </w:r>
      <w:r>
        <w:rPr>
          <w:rFonts w:hint="eastAsia" w:cs="宋体"/>
          <w:color w:val="000000" w:themeColor="text1"/>
          <w:sz w:val="21"/>
          <w:szCs w:val="21"/>
          <w:highlight w:val="none"/>
          <w14:textFill>
            <w14:solidFill>
              <w14:schemeClr w14:val="tx1"/>
            </w14:solidFill>
          </w14:textFill>
        </w:rPr>
        <w:t>。</w:t>
      </w:r>
    </w:p>
    <w:p w14:paraId="2CD78E03">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发包人完成完工付款的期限：</w:t>
      </w:r>
      <w:r>
        <w:rPr>
          <w:rFonts w:hint="eastAsia" w:cs="宋体"/>
          <w:color w:val="000000" w:themeColor="text1"/>
          <w:sz w:val="21"/>
          <w:szCs w:val="21"/>
          <w:highlight w:val="none"/>
          <w:u w:val="single"/>
          <w14:textFill>
            <w14:solidFill>
              <w14:schemeClr w14:val="tx1"/>
            </w14:solidFill>
          </w14:textFill>
        </w:rPr>
        <w:t>发包人应在签发完工付款证书后依据相关法律规定，完成对承包人的完工付款</w:t>
      </w:r>
      <w:r>
        <w:rPr>
          <w:rFonts w:hint="eastAsia" w:cs="宋体"/>
          <w:color w:val="000000" w:themeColor="text1"/>
          <w:sz w:val="21"/>
          <w:szCs w:val="21"/>
          <w:highlight w:val="none"/>
          <w14:textFill>
            <w14:solidFill>
              <w14:schemeClr w14:val="tx1"/>
            </w14:solidFill>
          </w14:textFill>
        </w:rPr>
        <w:t>。</w:t>
      </w:r>
    </w:p>
    <w:p w14:paraId="646FCEC5">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关于完工付款证书异议部分复核的方式和程序：</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305C58E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14.4 最终结清</w:t>
      </w:r>
    </w:p>
    <w:p w14:paraId="61CC2B2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14.4.1 最终结清申请单</w:t>
      </w:r>
    </w:p>
    <w:p w14:paraId="70A053B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承包人提交最终结清申请单的份数：</w:t>
      </w:r>
      <w:r>
        <w:rPr>
          <w:rFonts w:hint="eastAsia" w:cs="宋体"/>
          <w:color w:val="000000" w:themeColor="text1"/>
          <w:sz w:val="21"/>
          <w:szCs w:val="21"/>
          <w:highlight w:val="none"/>
          <w:u w:val="single"/>
          <w14:textFill>
            <w14:solidFill>
              <w14:schemeClr w14:val="tx1"/>
            </w14:solidFill>
          </w14:textFill>
        </w:rPr>
        <w:t xml:space="preserve">   4份    </w:t>
      </w:r>
      <w:r>
        <w:rPr>
          <w:rFonts w:hint="eastAsia" w:cs="宋体"/>
          <w:color w:val="000000" w:themeColor="text1"/>
          <w:sz w:val="21"/>
          <w:szCs w:val="21"/>
          <w:highlight w:val="none"/>
          <w14:textFill>
            <w14:solidFill>
              <w14:schemeClr w14:val="tx1"/>
            </w14:solidFill>
          </w14:textFill>
        </w:rPr>
        <w:t>。</w:t>
      </w:r>
    </w:p>
    <w:p w14:paraId="51B806BE">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承包人提交最终结算申请单的期限：</w:t>
      </w:r>
      <w:r>
        <w:rPr>
          <w:rFonts w:hint="eastAsia" w:cs="宋体"/>
          <w:color w:val="000000" w:themeColor="text1"/>
          <w:sz w:val="21"/>
          <w:szCs w:val="21"/>
          <w:highlight w:val="none"/>
          <w:u w:val="single"/>
          <w14:textFill>
            <w14:solidFill>
              <w14:schemeClr w14:val="tx1"/>
            </w14:solidFill>
          </w14:textFill>
        </w:rPr>
        <w:t>缺陷责任期终止证书颁发后7天内</w:t>
      </w:r>
      <w:r>
        <w:rPr>
          <w:rFonts w:hint="eastAsia" w:cs="宋体"/>
          <w:color w:val="000000" w:themeColor="text1"/>
          <w:sz w:val="21"/>
          <w:szCs w:val="21"/>
          <w:highlight w:val="none"/>
          <w14:textFill>
            <w14:solidFill>
              <w14:schemeClr w14:val="tx1"/>
            </w14:solidFill>
          </w14:textFill>
        </w:rPr>
        <w:t xml:space="preserve">。 </w:t>
      </w:r>
    </w:p>
    <w:p w14:paraId="1BE785A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14.4.2 最终结清证书和支付</w:t>
      </w:r>
    </w:p>
    <w:p w14:paraId="1BFF67A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（1）发包人完成最终结清申请单的审批并颁发最终结清证书的期限：</w:t>
      </w:r>
      <w:r>
        <w:rPr>
          <w:rFonts w:hint="eastAsia" w:cs="宋体"/>
          <w:color w:val="000000" w:themeColor="text1"/>
          <w:sz w:val="21"/>
          <w:szCs w:val="21"/>
          <w:highlight w:val="none"/>
          <w:u w:val="single"/>
          <w14:textFill>
            <w14:solidFill>
              <w14:schemeClr w14:val="tx1"/>
            </w14:solidFill>
          </w14:textFill>
        </w:rPr>
        <w:t>收到承包人提交的最终结清申请单后14天内</w:t>
      </w:r>
      <w:r>
        <w:rPr>
          <w:rFonts w:hint="eastAsia" w:cs="宋体"/>
          <w:color w:val="000000" w:themeColor="text1"/>
          <w:sz w:val="21"/>
          <w:szCs w:val="21"/>
          <w:highlight w:val="none"/>
          <w14:textFill>
            <w14:solidFill>
              <w14:schemeClr w14:val="tx1"/>
            </w14:solidFill>
          </w14:textFill>
        </w:rPr>
        <w:t>。</w:t>
      </w:r>
    </w:p>
    <w:p w14:paraId="30395C6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（2）发包人完成支付的期限：</w:t>
      </w:r>
      <w:r>
        <w:rPr>
          <w:rFonts w:hint="eastAsia" w:cs="宋体"/>
          <w:color w:val="000000" w:themeColor="text1"/>
          <w:sz w:val="21"/>
          <w:szCs w:val="21"/>
          <w:highlight w:val="none"/>
          <w:u w:val="single"/>
          <w14:textFill>
            <w14:solidFill>
              <w14:schemeClr w14:val="tx1"/>
            </w14:solidFill>
          </w14:textFill>
        </w:rPr>
        <w:t>颁发最终结清证书后7天内完成支付</w:t>
      </w:r>
      <w:r>
        <w:rPr>
          <w:rFonts w:hint="eastAsia" w:cs="宋体"/>
          <w:color w:val="000000" w:themeColor="text1"/>
          <w:sz w:val="21"/>
          <w:szCs w:val="21"/>
          <w:highlight w:val="none"/>
          <w14:textFill>
            <w14:solidFill>
              <w14:schemeClr w14:val="tx1"/>
            </w14:solidFill>
          </w14:textFill>
        </w:rPr>
        <w:t>。</w:t>
      </w:r>
    </w:p>
    <w:bookmarkEnd w:id="565"/>
    <w:bookmarkEnd w:id="566"/>
    <w:bookmarkEnd w:id="567"/>
    <w:bookmarkEnd w:id="568"/>
    <w:bookmarkEnd w:id="569"/>
    <w:bookmarkEnd w:id="570"/>
    <w:bookmarkEnd w:id="571"/>
    <w:bookmarkEnd w:id="577"/>
    <w:p w14:paraId="239A74E5">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579" w:name="_Toc351203647"/>
      <w:bookmarkStart w:id="580" w:name="_Toc267251483"/>
      <w:bookmarkStart w:id="581" w:name="_Toc267251484"/>
      <w:bookmarkStart w:id="582" w:name="_Toc267251482"/>
      <w:bookmarkStart w:id="583" w:name="_Toc267251485"/>
      <w:bookmarkStart w:id="584" w:name="_Toc267251488"/>
      <w:bookmarkStart w:id="585" w:name="_Toc267251486"/>
      <w:bookmarkStart w:id="586" w:name="_Toc267251490"/>
      <w:bookmarkStart w:id="587" w:name="_Toc267251489"/>
      <w:bookmarkStart w:id="588" w:name="_Toc267251492"/>
      <w:bookmarkStart w:id="589" w:name="_Toc267251499"/>
      <w:bookmarkStart w:id="590" w:name="_Toc267251503"/>
      <w:bookmarkStart w:id="591" w:name="_Toc267251495"/>
      <w:bookmarkStart w:id="592" w:name="_Toc267251498"/>
      <w:bookmarkStart w:id="593" w:name="_Toc267251502"/>
      <w:bookmarkStart w:id="594" w:name="_Toc267251494"/>
      <w:bookmarkStart w:id="595" w:name="_Toc267251497"/>
      <w:bookmarkStart w:id="596" w:name="_Toc267251493"/>
      <w:bookmarkStart w:id="597" w:name="_Toc267251491"/>
      <w:bookmarkStart w:id="598" w:name="_Toc267251496"/>
      <w:bookmarkStart w:id="599" w:name="_Toc267251501"/>
      <w:bookmarkStart w:id="600" w:name="_Toc267251504"/>
      <w:bookmarkStart w:id="601" w:name="_Toc267251506"/>
      <w:bookmarkStart w:id="602" w:name="_Toc267251507"/>
      <w:bookmarkStart w:id="603" w:name="_Toc267251508"/>
      <w:bookmarkStart w:id="604" w:name="_Toc267251510"/>
      <w:bookmarkStart w:id="605" w:name="_Toc267251511"/>
      <w:bookmarkStart w:id="606" w:name="_Toc267251515"/>
      <w:bookmarkStart w:id="607" w:name="_Toc267251513"/>
      <w:bookmarkStart w:id="608" w:name="_Toc267251514"/>
      <w:bookmarkStart w:id="609" w:name="_Toc267251509"/>
      <w:r>
        <w:rPr>
          <w:rFonts w:hint="eastAsia" w:cs="宋体"/>
          <w:color w:val="000000" w:themeColor="text1"/>
          <w:sz w:val="21"/>
          <w:szCs w:val="21"/>
          <w:highlight w:val="none"/>
          <w14:textFill>
            <w14:solidFill>
              <w14:schemeClr w14:val="tx1"/>
            </w14:solidFill>
          </w14:textFill>
        </w:rPr>
        <w:t>15. 缺陷责任期与保修</w:t>
      </w:r>
      <w:bookmarkEnd w:id="579"/>
    </w:p>
    <w:p w14:paraId="778345BC">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15.2 缺陷责任期</w:t>
      </w:r>
      <w:bookmarkEnd w:id="580"/>
    </w:p>
    <w:p w14:paraId="0217479E">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缺陷责任期的具体期限：</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522337DD">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15.3 质量保证金</w:t>
      </w:r>
    </w:p>
    <w:p w14:paraId="2C22ED5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关于是否扣留质量保证金的约定：</w:t>
      </w:r>
      <w:r>
        <w:rPr>
          <w:rFonts w:hint="eastAsia" w:cs="宋体"/>
          <w:color w:val="000000" w:themeColor="text1"/>
          <w:sz w:val="21"/>
          <w:szCs w:val="21"/>
          <w:highlight w:val="none"/>
          <w:u w:val="single"/>
          <w14:textFill>
            <w14:solidFill>
              <w14:schemeClr w14:val="tx1"/>
            </w14:solidFill>
          </w14:textFill>
        </w:rPr>
        <w:t xml:space="preserve">  见《专用合同条款数据表》 </w:t>
      </w:r>
      <w:r>
        <w:rPr>
          <w:rFonts w:hint="eastAsia" w:cs="宋体"/>
          <w:color w:val="000000" w:themeColor="text1"/>
          <w:sz w:val="21"/>
          <w:szCs w:val="21"/>
          <w:highlight w:val="none"/>
          <w14:textFill>
            <w14:solidFill>
              <w14:schemeClr w14:val="tx1"/>
            </w14:solidFill>
          </w14:textFill>
        </w:rPr>
        <w:t>。在工程项目完工前，承包人按专用合同条款第3.7款提供履约保证金的，发包人不得同时预留工程质量保证金。</w:t>
      </w:r>
    </w:p>
    <w:p w14:paraId="52F8A542">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15.3.1 承包人提供质量保证金的方式</w:t>
      </w:r>
    </w:p>
    <w:p w14:paraId="27E8AFB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质量保证金可采用以下任意一种方式：</w:t>
      </w:r>
    </w:p>
    <w:p w14:paraId="24A9D80C">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（1）由银行业金融机构、工程担保公司、保险机构出具银行保函、工程质量保险等担保方式，担保/保证金额为：</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22D212A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7022B01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（3）其他方式：</w:t>
      </w:r>
      <w:r>
        <w:rPr>
          <w:rFonts w:hint="eastAsia" w:cs="宋体"/>
          <w:color w:val="000000" w:themeColor="text1"/>
          <w:sz w:val="21"/>
          <w:szCs w:val="21"/>
          <w:highlight w:val="none"/>
          <w:u w:val="single"/>
          <w14:textFill>
            <w14:solidFill>
              <w14:schemeClr w14:val="tx1"/>
            </w14:solidFill>
          </w14:textFill>
        </w:rPr>
        <w:t>见《专用合同条款数据表》</w:t>
      </w:r>
      <w:r>
        <w:rPr>
          <w:rFonts w:hint="eastAsia" w:cs="宋体"/>
          <w:color w:val="000000" w:themeColor="text1"/>
          <w:sz w:val="21"/>
          <w:szCs w:val="21"/>
          <w:highlight w:val="none"/>
          <w14:textFill>
            <w14:solidFill>
              <w14:schemeClr w14:val="tx1"/>
            </w14:solidFill>
          </w14:textFill>
        </w:rPr>
        <w:t>。</w:t>
      </w:r>
    </w:p>
    <w:p w14:paraId="7DCB36C0">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15.3.2 质量保证金的扣留 ：</w:t>
      </w:r>
      <w:r>
        <w:rPr>
          <w:rFonts w:hint="eastAsia" w:cs="宋体"/>
          <w:color w:val="000000" w:themeColor="text1"/>
          <w:sz w:val="21"/>
          <w:szCs w:val="21"/>
          <w:highlight w:val="none"/>
          <w:u w:val="single"/>
          <w14:textFill>
            <w14:solidFill>
              <w14:schemeClr w14:val="tx1"/>
            </w14:solidFill>
          </w14:textFill>
        </w:rPr>
        <w:t>见合同专用条款</w:t>
      </w:r>
    </w:p>
    <w:p w14:paraId="78006B7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质量保证金的扣留采取以下第</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种方式：</w:t>
      </w:r>
    </w:p>
    <w:p w14:paraId="4326CC7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（1）在支付工程进度款时逐次扣留，在此情形下，质量保证金的计算基数不包括预付款的支付、扣回以及价格调整的金额；</w:t>
      </w:r>
    </w:p>
    <w:p w14:paraId="427E687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（2）工程完工结算时一次性扣留质量保证金；</w:t>
      </w:r>
    </w:p>
    <w:p w14:paraId="067A6D6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（3）其他扣留方式：</w:t>
      </w:r>
      <w:r>
        <w:rPr>
          <w:rFonts w:hint="eastAsia" w:cs="宋体"/>
          <w:color w:val="000000" w:themeColor="text1"/>
          <w:sz w:val="21"/>
          <w:szCs w:val="21"/>
          <w:highlight w:val="none"/>
          <w:u w:val="single"/>
          <w14:textFill>
            <w14:solidFill>
              <w14:schemeClr w14:val="tx1"/>
            </w14:solidFill>
          </w14:textFill>
        </w:rPr>
        <w:t xml:space="preserve"> 见合同专用条款 </w:t>
      </w:r>
      <w:r>
        <w:rPr>
          <w:rFonts w:hint="eastAsia" w:cs="宋体"/>
          <w:color w:val="000000" w:themeColor="text1"/>
          <w:sz w:val="21"/>
          <w:szCs w:val="21"/>
          <w:highlight w:val="none"/>
          <w14:textFill>
            <w14:solidFill>
              <w14:schemeClr w14:val="tx1"/>
            </w14:solidFill>
          </w14:textFill>
        </w:rPr>
        <w:t>。</w:t>
      </w:r>
    </w:p>
    <w:p w14:paraId="21C3EFE5">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关于质量保证金的补充约定：</w:t>
      </w:r>
    </w:p>
    <w:p w14:paraId="74D6F81C">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①在工程项目完工前，承包人按专用合同条款第3.7款提供履约保证金的，可在工程进入缺陷责任期时按照多退少补原则转为质量保证金；</w:t>
      </w:r>
    </w:p>
    <w:p w14:paraId="75F934C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②……</w:t>
      </w:r>
      <w:r>
        <w:rPr>
          <w:rFonts w:hint="eastAsia" w:cs="宋体"/>
          <w:color w:val="000000" w:themeColor="text1"/>
          <w:sz w:val="21"/>
          <w:szCs w:val="21"/>
          <w:highlight w:val="none"/>
          <w14:textFill>
            <w14:solidFill>
              <w14:schemeClr w14:val="tx1"/>
            </w14:solidFill>
          </w14:textFill>
        </w:rPr>
        <w:t>。</w:t>
      </w:r>
    </w:p>
    <w:bookmarkEnd w:id="581"/>
    <w:bookmarkEnd w:id="582"/>
    <w:p w14:paraId="746B3BDD">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15.4 保修</w:t>
      </w:r>
    </w:p>
    <w:bookmarkEnd w:id="583"/>
    <w:p w14:paraId="50E491A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15.4.1 保修责任</w:t>
      </w:r>
    </w:p>
    <w:p w14:paraId="6BB5BEEA">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工程保修期为：</w:t>
      </w:r>
      <w:r>
        <w:rPr>
          <w:rFonts w:hint="eastAsia" w:cs="宋体"/>
          <w:color w:val="000000" w:themeColor="text1"/>
          <w:sz w:val="21"/>
          <w:szCs w:val="21"/>
          <w:highlight w:val="none"/>
          <w:u w:val="single"/>
          <w14:textFill>
            <w14:solidFill>
              <w14:schemeClr w14:val="tx1"/>
            </w14:solidFill>
          </w14:textFill>
        </w:rPr>
        <w:t>执行《工程质量保修书》规定</w:t>
      </w:r>
      <w:r>
        <w:rPr>
          <w:rFonts w:hint="eastAsia" w:cs="宋体"/>
          <w:color w:val="000000" w:themeColor="text1"/>
          <w:sz w:val="21"/>
          <w:szCs w:val="21"/>
          <w:highlight w:val="none"/>
          <w14:textFill>
            <w14:solidFill>
              <w14:schemeClr w14:val="tx1"/>
            </w14:solidFill>
          </w14:textFill>
        </w:rPr>
        <w:t>。</w:t>
      </w:r>
    </w:p>
    <w:p w14:paraId="3669F6C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15.4.3 修复通知</w:t>
      </w:r>
    </w:p>
    <w:p w14:paraId="1A2C9C71">
      <w:pPr>
        <w:adjustRightInd w:val="0"/>
        <w:snapToGrid w:val="0"/>
        <w:spacing w:line="360" w:lineRule="auto"/>
        <w:ind w:firstLine="420" w:firstLineChars="200"/>
        <w:rPr>
          <w:rFonts w:cs="宋体"/>
          <w:b/>
          <w:bCs/>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承包人收到保修通知并到达工程现场的合理时间：</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b/>
          <w:bCs/>
          <w:color w:val="000000" w:themeColor="text1"/>
          <w:sz w:val="21"/>
          <w:szCs w:val="21"/>
          <w:highlight w:val="none"/>
          <w:u w:val="single"/>
          <w14:textFill>
            <w14:solidFill>
              <w14:schemeClr w14:val="tx1"/>
            </w14:solidFill>
          </w14:textFill>
        </w:rPr>
        <w:t xml:space="preserve">承包人收到保修通知并到达工程现场的合理时间：渗水、漏水、给排水管道或供电设施等出现故障影响正常使用的情况下，承包人须在发包人通知后 4 小时内赶到现场并于承包人赶到现场后 6 小时内完成维修；如损坏的零部件暂时缺货，承包人也应在这 6 小时内采取临时措施保证受影响的设施或线路能维持使用，并在此后 7 天内完成所缺零部件的采购和设施的维修工作。发生紧急抢修事故的，承包人在接到事故通知后，应当立即到达事故现场抢修。其他情况下，承包人须在发包人通知后 24 小时内赶到现场，并于赶到现场之日起 2 日内完成通知所涉及之保修、维修项目；遇损坏的零部件缺货等特殊情况，也必须在赶到现场之日起 7 天内完成保修、维修项目 </w:t>
      </w:r>
      <w:r>
        <w:rPr>
          <w:rFonts w:hint="eastAsia" w:cs="宋体"/>
          <w:b/>
          <w:bCs/>
          <w:color w:val="000000" w:themeColor="text1"/>
          <w:sz w:val="21"/>
          <w:szCs w:val="21"/>
          <w:highlight w:val="none"/>
          <w14:textFill>
            <w14:solidFill>
              <w14:schemeClr w14:val="tx1"/>
            </w14:solidFill>
          </w14:textFill>
        </w:rPr>
        <w:t>。</w:t>
      </w:r>
    </w:p>
    <w:bookmarkEnd w:id="584"/>
    <w:bookmarkEnd w:id="585"/>
    <w:bookmarkEnd w:id="586"/>
    <w:bookmarkEnd w:id="587"/>
    <w:p w14:paraId="3C7A495B">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610" w:name="_Toc351203648"/>
      <w:bookmarkStart w:id="611" w:name="_Toc280868717"/>
      <w:bookmarkStart w:id="612" w:name="_Toc280868718"/>
      <w:r>
        <w:rPr>
          <w:rFonts w:hint="eastAsia" w:cs="宋体"/>
          <w:color w:val="000000" w:themeColor="text1"/>
          <w:sz w:val="21"/>
          <w:szCs w:val="21"/>
          <w:highlight w:val="none"/>
          <w14:textFill>
            <w14:solidFill>
              <w14:schemeClr w14:val="tx1"/>
            </w14:solidFill>
          </w14:textFill>
        </w:rPr>
        <w:t>16. 违约</w:t>
      </w:r>
      <w:bookmarkEnd w:id="610"/>
    </w:p>
    <w:p w14:paraId="3A5D0BA4">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16.1 发包人违约</w:t>
      </w:r>
    </w:p>
    <w:p w14:paraId="1E94556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16.1.1 发包人违约的情形</w:t>
      </w:r>
    </w:p>
    <w:p w14:paraId="3B9D9E3F">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发包人违约的其他情形：</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28CCAF7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16.1.2 发包人违约的责任</w:t>
      </w:r>
    </w:p>
    <w:p w14:paraId="4F73C371">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发包人违约责任的承担方式和计算方法：</w:t>
      </w:r>
    </w:p>
    <w:p w14:paraId="271D98C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（1）因发包人原因未能在计划开工日期前7天内下达开工通知的违约责任：</w:t>
      </w:r>
      <w:r>
        <w:rPr>
          <w:rFonts w:hint="eastAsia" w:cs="宋体"/>
          <w:color w:val="000000" w:themeColor="text1"/>
          <w:sz w:val="21"/>
          <w:szCs w:val="21"/>
          <w:highlight w:val="none"/>
          <w:u w:val="single"/>
          <w14:textFill>
            <w14:solidFill>
              <w14:schemeClr w14:val="tx1"/>
            </w14:solidFill>
          </w14:textFill>
        </w:rPr>
        <w:t xml:space="preserve"> 发包人通知承包人推迟开工日期，完工工期相应顺延  </w:t>
      </w:r>
      <w:r>
        <w:rPr>
          <w:rFonts w:hint="eastAsia" w:cs="宋体"/>
          <w:color w:val="000000" w:themeColor="text1"/>
          <w:sz w:val="21"/>
          <w:szCs w:val="21"/>
          <w:highlight w:val="none"/>
          <w14:textFill>
            <w14:solidFill>
              <w14:schemeClr w14:val="tx1"/>
            </w14:solidFill>
          </w14:textFill>
        </w:rPr>
        <w:t>。</w:t>
      </w:r>
    </w:p>
    <w:p w14:paraId="357AABC9">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（2）因发包人原因未能按合同约定支付合同价款的违约责任：</w:t>
      </w:r>
      <w:r>
        <w:rPr>
          <w:rFonts w:hint="eastAsia" w:cs="宋体"/>
          <w:color w:val="000000" w:themeColor="text1"/>
          <w:sz w:val="21"/>
          <w:szCs w:val="21"/>
          <w:highlight w:val="none"/>
          <w:u w:val="single"/>
          <w14:textFill>
            <w14:solidFill>
              <w14:schemeClr w14:val="tx1"/>
            </w14:solidFill>
          </w14:textFill>
        </w:rPr>
        <w:t xml:space="preserve">  双方协商解决 </w:t>
      </w:r>
      <w:r>
        <w:rPr>
          <w:rFonts w:hint="eastAsia" w:cs="宋体"/>
          <w:color w:val="000000" w:themeColor="text1"/>
          <w:sz w:val="21"/>
          <w:szCs w:val="21"/>
          <w:highlight w:val="none"/>
          <w14:textFill>
            <w14:solidFill>
              <w14:schemeClr w14:val="tx1"/>
            </w14:solidFill>
          </w14:textFill>
        </w:rPr>
        <w:t>。</w:t>
      </w:r>
    </w:p>
    <w:p w14:paraId="3E1D1F47">
      <w:pPr>
        <w:adjustRightInd w:val="0"/>
        <w:snapToGrid w:val="0"/>
        <w:spacing w:line="360" w:lineRule="auto"/>
        <w:ind w:firstLine="420" w:firstLineChars="200"/>
        <w:rPr>
          <w:rFonts w:cs="宋体"/>
          <w:b/>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（3）发包人违反第10.1款〔变更的范围〕第（2）项约定，自行实施被取消的工作或转由他人实施的违约责任：</w:t>
      </w:r>
      <w:r>
        <w:rPr>
          <w:rFonts w:hint="eastAsia" w:cs="宋体"/>
          <w:b/>
          <w:bCs/>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7E45B7C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（4）发包人提供的材料、工程设备的规格、数量或质量不符合合同约定，或因发包人原因导致交货日期延误或交货地点变更等情况的违约责任：</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53A8A7C8">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（5）因发包人违反合同约定造成暂停施工的违约责任：</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083996F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（6）发包人无正当理由没有在约定期限内发出复工指示，导致承包人无法复工的违约责任：</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246196D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（7）其他：</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w:t>
      </w:r>
    </w:p>
    <w:p w14:paraId="4EE47B6A">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16.1.3 因发包人违约解除合同</w:t>
      </w:r>
    </w:p>
    <w:p w14:paraId="2E5F6C0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承包人按16.1.1项〔发包人违约的情形〕约定暂停施工满</w:t>
      </w:r>
      <w:r>
        <w:rPr>
          <w:rFonts w:hint="eastAsia" w:cs="宋体"/>
          <w:color w:val="000000" w:themeColor="text1"/>
          <w:sz w:val="21"/>
          <w:szCs w:val="21"/>
          <w:highlight w:val="none"/>
          <w:u w:val="single"/>
          <w14:textFill>
            <w14:solidFill>
              <w14:schemeClr w14:val="tx1"/>
            </w14:solidFill>
          </w14:textFill>
        </w:rPr>
        <w:t>28</w:t>
      </w:r>
      <w:r>
        <w:rPr>
          <w:rFonts w:hint="eastAsia" w:cs="宋体"/>
          <w:color w:val="000000" w:themeColor="text1"/>
          <w:sz w:val="21"/>
          <w:szCs w:val="21"/>
          <w:highlight w:val="none"/>
          <w14:textFill>
            <w14:solidFill>
              <w14:schemeClr w14:val="tx1"/>
            </w14:solidFill>
          </w14:textFill>
        </w:rPr>
        <w:t>天后发包人仍不纠正其违约行为并致使合同目的不能实现的，承包人有权解除合同。</w:t>
      </w:r>
    </w:p>
    <w:p w14:paraId="1DBFE5D8">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16.2 承包人违约</w:t>
      </w:r>
    </w:p>
    <w:p w14:paraId="65E143C4">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16.2.1 承包人违约的情形</w:t>
      </w:r>
    </w:p>
    <w:p w14:paraId="0DF1AE2B">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承包人违约的其他情形：</w:t>
      </w:r>
      <w:r>
        <w:rPr>
          <w:rFonts w:hint="eastAsia" w:cs="宋体"/>
          <w:color w:val="000000" w:themeColor="text1"/>
          <w:sz w:val="21"/>
          <w:szCs w:val="21"/>
          <w:highlight w:val="none"/>
          <w:u w:val="single"/>
          <w14:textFill>
            <w14:solidFill>
              <w14:schemeClr w14:val="tx1"/>
            </w14:solidFill>
          </w14:textFill>
        </w:rPr>
        <w:t xml:space="preserve">   执行通用条款   </w:t>
      </w:r>
      <w:r>
        <w:rPr>
          <w:rFonts w:hint="eastAsia" w:cs="宋体"/>
          <w:color w:val="000000" w:themeColor="text1"/>
          <w:sz w:val="21"/>
          <w:szCs w:val="21"/>
          <w:highlight w:val="none"/>
          <w14:textFill>
            <w14:solidFill>
              <w14:schemeClr w14:val="tx1"/>
            </w14:solidFill>
          </w14:textFill>
        </w:rPr>
        <w:t>。</w:t>
      </w:r>
    </w:p>
    <w:p w14:paraId="0BB353AF">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16.2.2 承包人违约的责任</w:t>
      </w:r>
    </w:p>
    <w:p w14:paraId="799E0C8E">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承包人违约责任的承担方式和计算方法：</w:t>
      </w:r>
      <w:r>
        <w:rPr>
          <w:rFonts w:hint="eastAsia" w:cs="宋体"/>
          <w:color w:val="000000" w:themeColor="text1"/>
          <w:sz w:val="21"/>
          <w:szCs w:val="21"/>
          <w:highlight w:val="none"/>
          <w:u w:val="single"/>
          <w14:textFill>
            <w14:solidFill>
              <w14:schemeClr w14:val="tx1"/>
            </w14:solidFill>
          </w14:textFill>
        </w:rPr>
        <w:t xml:space="preserve"> </w:t>
      </w:r>
    </w:p>
    <w:p w14:paraId="3F549554">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（1）若工程质量达不到合格标准的，发包人将按签约合同总价的10%向承包人收取违约金；同时发包人有权解除合同，不再支付后续款项，就已付工程款向承包人要求返还；由此造成的损失均由承包人承担。</w:t>
      </w:r>
    </w:p>
    <w:p w14:paraId="2AF1872A">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2）因承包人原因造成工程不合格的，发包人有权随时要求承包人采取补救措施，直至达到合同要求的质量标准，由此增加的费用和（或）延误的工期由承包人承担；承包人未按照发包人要求采取补救措施的，或限期未完成补救措施的，或采取补救措施仍不合格的，该部分费用工程结算时不予认可，且发包人给予承包人该分项的 2%/次的违约处罚，造成发包人损失的（含其他经济利益损失），承包人应予赔偿。造成工程不合格且无法补救的，发包人有权利立即解除合同，承包人必须无条件服从，承包人应全额退还发包人已付工程款，且发包人不退还承包人的履约保证金，造成发包人其他损失（含时间损失等）的，承包人应予赔偿。</w:t>
      </w:r>
    </w:p>
    <w:p w14:paraId="2D935B36">
      <w:pPr>
        <w:adjustRightInd w:val="0"/>
        <w:snapToGrid w:val="0"/>
        <w:spacing w:line="360" w:lineRule="auto"/>
        <w:ind w:firstLine="420" w:firstLineChars="200"/>
        <w:rPr>
          <w:rFonts w:cs="宋体"/>
          <w:b/>
          <w:bCs/>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（3）</w:t>
      </w:r>
      <w:r>
        <w:rPr>
          <w:rFonts w:hint="eastAsia" w:cs="宋体"/>
          <w:b/>
          <w:bCs/>
          <w:color w:val="000000" w:themeColor="text1"/>
          <w:sz w:val="21"/>
          <w:szCs w:val="21"/>
          <w:highlight w:val="none"/>
          <w:u w:val="single"/>
          <w14:textFill>
            <w14:solidFill>
              <w14:schemeClr w14:val="tx1"/>
            </w14:solidFill>
          </w14:textFill>
        </w:rPr>
        <w:t>因承包人原因造成工期延误，逾期完工违约金的计算方法为：每延期完工一天，承包人支付发包人签约合同价款的</w:t>
      </w:r>
      <w:r>
        <w:rPr>
          <w:rFonts w:hint="eastAsia" w:cs="宋体"/>
          <w:b/>
          <w:bCs/>
          <w:color w:val="000000" w:themeColor="text1"/>
          <w:sz w:val="21"/>
          <w:szCs w:val="21"/>
          <w:highlight w:val="none"/>
          <w:u w:val="single"/>
          <w:lang w:val="en-US" w:eastAsia="zh-CN"/>
          <w14:textFill>
            <w14:solidFill>
              <w14:schemeClr w14:val="tx1"/>
            </w14:solidFill>
          </w14:textFill>
        </w:rPr>
        <w:t>千</w:t>
      </w:r>
      <w:r>
        <w:rPr>
          <w:rFonts w:hint="eastAsia" w:cs="宋体"/>
          <w:b/>
          <w:bCs/>
          <w:color w:val="000000" w:themeColor="text1"/>
          <w:sz w:val="21"/>
          <w:szCs w:val="21"/>
          <w:highlight w:val="none"/>
          <w:u w:val="single"/>
          <w14:textFill>
            <w14:solidFill>
              <w14:schemeClr w14:val="tx1"/>
            </w14:solidFill>
          </w14:textFill>
        </w:rPr>
        <w:t>分之</w:t>
      </w:r>
      <w:r>
        <w:rPr>
          <w:rFonts w:hint="eastAsia" w:cs="宋体"/>
          <w:b/>
          <w:bCs/>
          <w:color w:val="000000" w:themeColor="text1"/>
          <w:sz w:val="21"/>
          <w:szCs w:val="21"/>
          <w:highlight w:val="none"/>
          <w:u w:val="single"/>
          <w:lang w:val="en-US" w:eastAsia="zh-CN"/>
          <w14:textFill>
            <w14:solidFill>
              <w14:schemeClr w14:val="tx1"/>
            </w14:solidFill>
          </w14:textFill>
        </w:rPr>
        <w:t>一</w:t>
      </w:r>
      <w:r>
        <w:rPr>
          <w:rFonts w:hint="eastAsia" w:cs="宋体"/>
          <w:b/>
          <w:bCs/>
          <w:color w:val="000000" w:themeColor="text1"/>
          <w:sz w:val="21"/>
          <w:szCs w:val="21"/>
          <w:highlight w:val="none"/>
          <w:u w:val="single"/>
          <w14:textFill>
            <w14:solidFill>
              <w14:schemeClr w14:val="tx1"/>
            </w14:solidFill>
          </w14:textFill>
        </w:rPr>
        <w:t>的违约金；因承包人责任导致工程延期 28 天以上的，每天按签约合同价款的</w:t>
      </w:r>
      <w:r>
        <w:rPr>
          <w:rFonts w:hint="eastAsia" w:cs="宋体"/>
          <w:b/>
          <w:bCs/>
          <w:color w:val="000000" w:themeColor="text1"/>
          <w:sz w:val="21"/>
          <w:szCs w:val="21"/>
          <w:highlight w:val="none"/>
          <w:u w:val="single"/>
          <w:lang w:val="en-US" w:eastAsia="zh-CN"/>
          <w14:textFill>
            <w14:solidFill>
              <w14:schemeClr w14:val="tx1"/>
            </w14:solidFill>
          </w14:textFill>
        </w:rPr>
        <w:t>千</w:t>
      </w:r>
      <w:r>
        <w:rPr>
          <w:rFonts w:hint="eastAsia" w:cs="宋体"/>
          <w:b/>
          <w:bCs/>
          <w:color w:val="000000" w:themeColor="text1"/>
          <w:sz w:val="21"/>
          <w:szCs w:val="21"/>
          <w:highlight w:val="none"/>
          <w:u w:val="single"/>
          <w14:textFill>
            <w14:solidFill>
              <w14:schemeClr w14:val="tx1"/>
            </w14:solidFill>
          </w14:textFill>
        </w:rPr>
        <w:t>分之五向发包人支付违约金；延期完工56天以上的，发包人有权解除合同，并追究连带损失。</w:t>
      </w:r>
    </w:p>
    <w:p w14:paraId="0A4C9B32">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（4）本项目不得发生重大质量事故或者在一年内不得发生两次以上较大质量事故，否则发包人有权要求承包人支付叁拾万元/次的违约金。</w:t>
      </w:r>
    </w:p>
    <w:p w14:paraId="37EA8ECD">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5）承包人未履行合同义务或未按合同约定履行义务的，承包人应立即纠正违约事项，赔偿因其违约给发包人造成的损失，支付违约金。除本合同已有约定外，承包人违约金按每发生一起违约事项人民币壹仟元的标准计算，违约状态持续时，以每日人民币壹仟元元计算，各项违约责任独立存在，违约金应予以累加。</w:t>
      </w:r>
    </w:p>
    <w:p w14:paraId="3C752CCF">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xml:space="preserve">（6）合同当事人对工程质量有争议的，由发包人聘请的第三方检测机构进行检测评定，属于质量未达到本合同有关质量约定条款的，由承包人进行返工，并承担一切费用（含检测费用） </w:t>
      </w:r>
      <w:r>
        <w:rPr>
          <w:rFonts w:hint="eastAsia" w:cs="宋体"/>
          <w:color w:val="000000" w:themeColor="text1"/>
          <w:sz w:val="21"/>
          <w:szCs w:val="21"/>
          <w:highlight w:val="none"/>
          <w14:textFill>
            <w14:solidFill>
              <w14:schemeClr w14:val="tx1"/>
            </w14:solidFill>
          </w14:textFill>
        </w:rPr>
        <w:t>。</w:t>
      </w:r>
    </w:p>
    <w:p w14:paraId="7644CEF9">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16.2.3 因承包人违约解除合同</w:t>
      </w:r>
    </w:p>
    <w:p w14:paraId="48C5152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关于承包人违约解除合同的特别约定：</w:t>
      </w:r>
      <w:r>
        <w:rPr>
          <w:rFonts w:hint="eastAsia" w:cs="宋体"/>
          <w:color w:val="000000" w:themeColor="text1"/>
          <w:sz w:val="21"/>
          <w:szCs w:val="21"/>
          <w:highlight w:val="none"/>
          <w:u w:val="single"/>
          <w14:textFill>
            <w14:solidFill>
              <w14:schemeClr w14:val="tx1"/>
            </w14:solidFill>
          </w14:textFill>
        </w:rPr>
        <w:t xml:space="preserve"> （1）承包人将其承包的全部工程转包给他人或者肢解以后以分包的名义分别转包给他人。</w:t>
      </w:r>
    </w:p>
    <w:p w14:paraId="4BC85167">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（2）承包人未经发包人事先书面同意将部分工程分包他人。</w:t>
      </w:r>
    </w:p>
    <w:p w14:paraId="5EE7C205">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xml:space="preserve">（3）工程质量达不到合格标准  </w:t>
      </w:r>
      <w:r>
        <w:rPr>
          <w:rFonts w:hint="eastAsia" w:cs="宋体"/>
          <w:color w:val="000000" w:themeColor="text1"/>
          <w:sz w:val="21"/>
          <w:szCs w:val="21"/>
          <w:highlight w:val="none"/>
          <w14:textFill>
            <w14:solidFill>
              <w14:schemeClr w14:val="tx1"/>
            </w14:solidFill>
          </w14:textFill>
        </w:rPr>
        <w:t>。</w:t>
      </w:r>
    </w:p>
    <w:p w14:paraId="7C0B1F57">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发包人继续使用承包人在施工现场的材料、设备、临时工程、承包人文件和由承包人或以其名义编制的其他文件的费用承担方式：</w:t>
      </w:r>
      <w:r>
        <w:rPr>
          <w:rFonts w:hint="eastAsia" w:cs="宋体"/>
          <w:color w:val="000000" w:themeColor="text1"/>
          <w:sz w:val="21"/>
          <w:szCs w:val="21"/>
          <w:highlight w:val="none"/>
          <w:u w:val="single"/>
          <w14:textFill>
            <w14:solidFill>
              <w14:schemeClr w14:val="tx1"/>
            </w14:solidFill>
          </w14:textFill>
        </w:rPr>
        <w:t xml:space="preserve">  由承包人承担 </w:t>
      </w:r>
      <w:r>
        <w:rPr>
          <w:rFonts w:hint="eastAsia" w:cs="宋体"/>
          <w:color w:val="000000" w:themeColor="text1"/>
          <w:sz w:val="21"/>
          <w:szCs w:val="21"/>
          <w:highlight w:val="none"/>
          <w14:textFill>
            <w14:solidFill>
              <w14:schemeClr w14:val="tx1"/>
            </w14:solidFill>
          </w14:textFill>
        </w:rPr>
        <w:t>。</w:t>
      </w:r>
    </w:p>
    <w:p w14:paraId="51BE5187">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613" w:name="_Toc351203649"/>
      <w:r>
        <w:rPr>
          <w:rFonts w:hint="eastAsia" w:cs="宋体"/>
          <w:color w:val="000000" w:themeColor="text1"/>
          <w:sz w:val="21"/>
          <w:szCs w:val="21"/>
          <w:highlight w:val="none"/>
          <w14:textFill>
            <w14:solidFill>
              <w14:schemeClr w14:val="tx1"/>
            </w14:solidFill>
          </w14:textFill>
        </w:rPr>
        <w:t>17. 不可抗力</w:t>
      </w:r>
      <w:bookmarkEnd w:id="613"/>
      <w:r>
        <w:rPr>
          <w:rFonts w:hint="eastAsia" w:cs="宋体"/>
          <w:color w:val="000000" w:themeColor="text1"/>
          <w:sz w:val="21"/>
          <w:szCs w:val="21"/>
          <w:highlight w:val="none"/>
          <w14:textFill>
            <w14:solidFill>
              <w14:schemeClr w14:val="tx1"/>
            </w14:solidFill>
          </w14:textFill>
        </w:rPr>
        <w:t xml:space="preserve"> </w:t>
      </w:r>
      <w:bookmarkEnd w:id="611"/>
    </w:p>
    <w:p w14:paraId="0D4A8AE0">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17.1 不可抗力的确认</w:t>
      </w:r>
    </w:p>
    <w:p w14:paraId="7FBE7D40">
      <w:pPr>
        <w:adjustRightInd w:val="0"/>
        <w:snapToGrid w:val="0"/>
        <w:spacing w:line="360" w:lineRule="auto"/>
        <w:ind w:firstLine="420" w:firstLineChars="200"/>
        <w:rPr>
          <w:rFonts w:cs="宋体"/>
          <w:b/>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除通用合同条款约定的不可抗力事件之外，视为不可抗力的其他情形：</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49D80433">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17.4 因不可抗力解除合同</w:t>
      </w:r>
    </w:p>
    <w:p w14:paraId="7F25ED6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合同解除后，发包人应在商定或确定发包人应支付款项后</w:t>
      </w:r>
      <w:r>
        <w:rPr>
          <w:rFonts w:hint="eastAsia" w:cs="宋体"/>
          <w:color w:val="000000" w:themeColor="text1"/>
          <w:sz w:val="21"/>
          <w:szCs w:val="21"/>
          <w:highlight w:val="none"/>
          <w:u w:val="single"/>
          <w14:textFill>
            <w14:solidFill>
              <w14:schemeClr w14:val="tx1"/>
            </w14:solidFill>
          </w14:textFill>
        </w:rPr>
        <w:t>28</w:t>
      </w:r>
      <w:r>
        <w:rPr>
          <w:rFonts w:hint="eastAsia" w:cs="宋体"/>
          <w:color w:val="000000" w:themeColor="text1"/>
          <w:sz w:val="21"/>
          <w:szCs w:val="21"/>
          <w:highlight w:val="none"/>
          <w14:textFill>
            <w14:solidFill>
              <w14:schemeClr w14:val="tx1"/>
            </w14:solidFill>
          </w14:textFill>
        </w:rPr>
        <w:t>天内完成款项的支付。</w:t>
      </w:r>
    </w:p>
    <w:p w14:paraId="6D121A5A">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614" w:name="_Toc351203650"/>
      <w:r>
        <w:rPr>
          <w:rFonts w:hint="eastAsia" w:cs="宋体"/>
          <w:color w:val="000000" w:themeColor="text1"/>
          <w:sz w:val="21"/>
          <w:szCs w:val="21"/>
          <w:highlight w:val="none"/>
          <w14:textFill>
            <w14:solidFill>
              <w14:schemeClr w14:val="tx1"/>
            </w14:solidFill>
          </w14:textFill>
        </w:rPr>
        <w:t>18. 保险</w:t>
      </w:r>
      <w:bookmarkEnd w:id="614"/>
    </w:p>
    <w:bookmarkEnd w:id="612"/>
    <w:p w14:paraId="6A89F1E4">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18.1 工程保险</w:t>
      </w:r>
    </w:p>
    <w:p w14:paraId="4911BA21">
      <w:pPr>
        <w:adjustRightInd w:val="0"/>
        <w:snapToGrid w:val="0"/>
        <w:spacing w:line="360" w:lineRule="auto"/>
        <w:ind w:firstLine="420" w:firstLineChars="200"/>
        <w:rPr>
          <w:rFonts w:cs="宋体"/>
          <w:b/>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关于工程保险的特别约定：</w:t>
      </w:r>
      <w:r>
        <w:rPr>
          <w:rFonts w:hint="eastAsia" w:cs="宋体"/>
          <w:b/>
          <w:color w:val="000000" w:themeColor="text1"/>
          <w:sz w:val="21"/>
          <w:szCs w:val="21"/>
          <w:highlight w:val="none"/>
          <w:u w:val="single"/>
          <w14:textFill>
            <w14:solidFill>
              <w14:schemeClr w14:val="tx1"/>
            </w14:solidFill>
          </w14:textFill>
        </w:rPr>
        <w:t xml:space="preserve">   乙方应投保建筑工程一切险或安装工程一切险    </w:t>
      </w:r>
      <w:r>
        <w:rPr>
          <w:rFonts w:hint="eastAsia" w:cs="宋体"/>
          <w:b/>
          <w:color w:val="000000" w:themeColor="text1"/>
          <w:sz w:val="21"/>
          <w:szCs w:val="21"/>
          <w:highlight w:val="none"/>
          <w14:textFill>
            <w14:solidFill>
              <w14:schemeClr w14:val="tx1"/>
            </w14:solidFill>
          </w14:textFill>
        </w:rPr>
        <w:t>。</w:t>
      </w:r>
    </w:p>
    <w:p w14:paraId="481E58F5">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18.3 其他保险</w:t>
      </w:r>
    </w:p>
    <w:p w14:paraId="4F478818">
      <w:pPr>
        <w:adjustRightInd w:val="0"/>
        <w:snapToGrid w:val="0"/>
        <w:spacing w:line="360" w:lineRule="auto"/>
        <w:ind w:firstLine="420" w:firstLineChars="200"/>
        <w:rPr>
          <w:rFonts w:cs="宋体"/>
          <w:b/>
          <w:bCs/>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关于其他保险的约定：</w:t>
      </w:r>
      <w:r>
        <w:rPr>
          <w:rFonts w:hint="eastAsia" w:cs="宋体"/>
          <w:b/>
          <w:bCs/>
          <w:color w:val="000000" w:themeColor="text1"/>
          <w:sz w:val="21"/>
          <w:szCs w:val="21"/>
          <w:highlight w:val="none"/>
          <w:u w:val="single"/>
          <w14:textFill>
            <w14:solidFill>
              <w14:schemeClr w14:val="tx1"/>
            </w14:solidFill>
          </w14:textFill>
        </w:rPr>
        <w:t>乙方须为本项目所有从业人员购买以下保险（三者任选其一）：雇主责任险或团体意外险或安全生产责任险，其保险费已包含在签约合同价中。</w:t>
      </w:r>
    </w:p>
    <w:p w14:paraId="063CD97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承包人是否应为其施工设备等办理财产保险：</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p w14:paraId="676E538F">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18.7 通知义务</w:t>
      </w:r>
    </w:p>
    <w:p w14:paraId="0E8885CB">
      <w:pPr>
        <w:adjustRightInd w:val="0"/>
        <w:snapToGrid w:val="0"/>
        <w:spacing w:line="360" w:lineRule="auto"/>
        <w:ind w:firstLine="420" w:firstLineChars="200"/>
        <w:rPr>
          <w:rFonts w:cs="宋体"/>
          <w:b/>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关于变更保险合同时的通知义务的约定：</w:t>
      </w:r>
      <w:r>
        <w:rPr>
          <w:rFonts w:hint="eastAsia" w:cs="宋体"/>
          <w:color w:val="000000" w:themeColor="text1"/>
          <w:sz w:val="21"/>
          <w:szCs w:val="21"/>
          <w:highlight w:val="none"/>
          <w:u w:val="single"/>
          <w14:textFill>
            <w14:solidFill>
              <w14:schemeClr w14:val="tx1"/>
            </w14:solidFill>
          </w14:textFill>
        </w:rPr>
        <w:t>执行通用条款</w:t>
      </w:r>
      <w:r>
        <w:rPr>
          <w:rFonts w:hint="eastAsia" w:cs="宋体"/>
          <w:color w:val="000000" w:themeColor="text1"/>
          <w:sz w:val="21"/>
          <w:szCs w:val="21"/>
          <w:highlight w:val="none"/>
          <w14:textFill>
            <w14:solidFill>
              <w14:schemeClr w14:val="tx1"/>
            </w14:solidFill>
          </w14:textFill>
        </w:rPr>
        <w:t>。</w:t>
      </w:r>
    </w:p>
    <w:bookmarkEnd w:id="588"/>
    <w:bookmarkEnd w:id="589"/>
    <w:bookmarkEnd w:id="590"/>
    <w:bookmarkEnd w:id="591"/>
    <w:bookmarkEnd w:id="592"/>
    <w:bookmarkEnd w:id="593"/>
    <w:bookmarkEnd w:id="594"/>
    <w:bookmarkEnd w:id="595"/>
    <w:bookmarkEnd w:id="596"/>
    <w:bookmarkEnd w:id="597"/>
    <w:bookmarkEnd w:id="598"/>
    <w:bookmarkEnd w:id="599"/>
    <w:p w14:paraId="2681855A">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bookmarkStart w:id="615" w:name="_Toc351203651"/>
      <w:r>
        <w:rPr>
          <w:rFonts w:hint="eastAsia" w:cs="宋体"/>
          <w:color w:val="000000" w:themeColor="text1"/>
          <w:sz w:val="21"/>
          <w:szCs w:val="21"/>
          <w:highlight w:val="none"/>
          <w14:textFill>
            <w14:solidFill>
              <w14:schemeClr w14:val="tx1"/>
            </w14:solidFill>
          </w14:textFill>
        </w:rPr>
        <w:t>20. 争议解决</w:t>
      </w:r>
      <w:bookmarkEnd w:id="615"/>
    </w:p>
    <w:bookmarkEnd w:id="600"/>
    <w:bookmarkEnd w:id="601"/>
    <w:p w14:paraId="51E5A7E9">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20.3 争</w:t>
      </w:r>
      <w:bookmarkEnd w:id="602"/>
      <w:r>
        <w:rPr>
          <w:rFonts w:hint="eastAsia" w:cs="宋体"/>
          <w:bCs/>
          <w:color w:val="000000" w:themeColor="text1"/>
          <w:sz w:val="21"/>
          <w:szCs w:val="21"/>
          <w:highlight w:val="none"/>
          <w14:textFill>
            <w14:solidFill>
              <w14:schemeClr w14:val="tx1"/>
            </w14:solidFill>
          </w14:textFill>
        </w:rPr>
        <w:t>议评审</w:t>
      </w:r>
    </w:p>
    <w:p w14:paraId="726763CB">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合同当事人是否同意将工程争议提交争议评审小组决定：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036C4DE6">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20.3.1 争议评审小组的确定</w:t>
      </w:r>
    </w:p>
    <w:p w14:paraId="6CF51A70">
      <w:pPr>
        <w:adjustRightInd w:val="0"/>
        <w:snapToGrid w:val="0"/>
        <w:spacing w:line="360" w:lineRule="auto"/>
        <w:ind w:firstLine="420" w:firstLineChars="200"/>
        <w:rPr>
          <w:rFonts w:cs="宋体"/>
          <w:color w:val="000000" w:themeColor="text1"/>
          <w:sz w:val="21"/>
          <w:szCs w:val="21"/>
          <w:highlight w:val="none"/>
          <w:u w:val="singl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争议评审小组成员的确定：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2042923">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选定争议评审员的期限：</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44AACD4D">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争议评审小组成员的报酬承担方式：</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6792D58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其他事项的约定：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071715C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20.3.2 争议评审小组的决定</w:t>
      </w:r>
    </w:p>
    <w:p w14:paraId="1BAB5CCB">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合同当事人关于本项的约定：</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w:t>
      </w:r>
    </w:p>
    <w:p w14:paraId="1813A7FF">
      <w:pPr>
        <w:keepNext/>
        <w:keepLines/>
        <w:snapToGrid w:val="0"/>
        <w:spacing w:before="120" w:after="120" w:line="360" w:lineRule="auto"/>
        <w:ind w:firstLine="420" w:firstLineChars="200"/>
        <w:outlineLvl w:val="3"/>
        <w:rPr>
          <w:rFonts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20.4 仲裁或诉讼</w:t>
      </w:r>
      <w:bookmarkEnd w:id="603"/>
    </w:p>
    <w:bookmarkEnd w:id="604"/>
    <w:bookmarkEnd w:id="605"/>
    <w:bookmarkEnd w:id="606"/>
    <w:bookmarkEnd w:id="607"/>
    <w:bookmarkEnd w:id="608"/>
    <w:bookmarkEnd w:id="609"/>
    <w:p w14:paraId="4520A9B8">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因合同及合同有关事项发生的争议，按下列</w:t>
      </w:r>
      <w:r>
        <w:rPr>
          <w:rFonts w:hint="eastAsia" w:cs="宋体"/>
          <w:b/>
          <w:bCs/>
          <w:color w:val="000000" w:themeColor="text1"/>
          <w:sz w:val="21"/>
          <w:szCs w:val="21"/>
          <w:highlight w:val="none"/>
          <w14:textFill>
            <w14:solidFill>
              <w14:schemeClr w14:val="tx1"/>
            </w14:solidFill>
          </w14:textFill>
        </w:rPr>
        <w:t>第</w:t>
      </w:r>
      <w:r>
        <w:rPr>
          <w:rFonts w:hint="eastAsia" w:cs="宋体"/>
          <w:b/>
          <w:bCs/>
          <w:color w:val="000000" w:themeColor="text1"/>
          <w:sz w:val="21"/>
          <w:szCs w:val="21"/>
          <w:highlight w:val="none"/>
          <w:u w:val="single"/>
          <w14:textFill>
            <w14:solidFill>
              <w14:schemeClr w14:val="tx1"/>
            </w14:solidFill>
          </w14:textFill>
        </w:rPr>
        <w:t xml:space="preserve"> 2 </w:t>
      </w:r>
      <w:r>
        <w:rPr>
          <w:rFonts w:hint="eastAsia" w:cs="宋体"/>
          <w:b/>
          <w:bCs/>
          <w:color w:val="000000" w:themeColor="text1"/>
          <w:sz w:val="21"/>
          <w:szCs w:val="21"/>
          <w:highlight w:val="none"/>
          <w14:textFill>
            <w14:solidFill>
              <w14:schemeClr w14:val="tx1"/>
            </w14:solidFill>
          </w14:textFill>
        </w:rPr>
        <w:t>种</w:t>
      </w:r>
      <w:r>
        <w:rPr>
          <w:rFonts w:hint="eastAsia" w:cs="宋体"/>
          <w:color w:val="000000" w:themeColor="text1"/>
          <w:sz w:val="21"/>
          <w:szCs w:val="21"/>
          <w:highlight w:val="none"/>
          <w14:textFill>
            <w14:solidFill>
              <w14:schemeClr w14:val="tx1"/>
            </w14:solidFill>
          </w14:textFill>
        </w:rPr>
        <w:t>方式解决：</w:t>
      </w:r>
    </w:p>
    <w:p w14:paraId="111BC7A5">
      <w:pPr>
        <w:numPr>
          <w:ilvl w:val="0"/>
          <w:numId w:val="13"/>
        </w:num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向</w:t>
      </w:r>
      <w:r>
        <w:rPr>
          <w:rFonts w:hint="eastAsia" w:cs="宋体"/>
          <w:color w:val="000000" w:themeColor="text1"/>
          <w:sz w:val="21"/>
          <w:szCs w:val="21"/>
          <w:highlight w:val="none"/>
          <w:u w:val="single"/>
          <w14:textFill>
            <w14:solidFill>
              <w14:schemeClr w14:val="tx1"/>
            </w14:solidFill>
          </w14:textFill>
        </w:rPr>
        <w:t xml:space="preserve"> 甲方法人证书登记的住所地 </w:t>
      </w:r>
      <w:r>
        <w:rPr>
          <w:rFonts w:hint="eastAsia" w:cs="宋体"/>
          <w:color w:val="000000" w:themeColor="text1"/>
          <w:sz w:val="21"/>
          <w:szCs w:val="21"/>
          <w:highlight w:val="none"/>
          <w14:textFill>
            <w14:solidFill>
              <w14:schemeClr w14:val="tx1"/>
            </w14:solidFill>
          </w14:textFill>
        </w:rPr>
        <w:t>仲裁委员会申请仲裁；</w:t>
      </w:r>
    </w:p>
    <w:p w14:paraId="71C6C993">
      <w:pPr>
        <w:adjustRightInd w:val="0"/>
        <w:snapToGrid w:val="0"/>
        <w:spacing w:line="360" w:lineRule="auto"/>
        <w:ind w:firstLine="420" w:firstLineChars="200"/>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（2）向</w:t>
      </w:r>
      <w:r>
        <w:rPr>
          <w:rFonts w:hint="eastAsia" w:cs="宋体"/>
          <w:color w:val="000000" w:themeColor="text1"/>
          <w:sz w:val="21"/>
          <w:szCs w:val="21"/>
          <w:highlight w:val="none"/>
          <w:u w:val="single"/>
          <w14:textFill>
            <w14:solidFill>
              <w14:schemeClr w14:val="tx1"/>
            </w14:solidFill>
          </w14:textFill>
        </w:rPr>
        <w:t>甲方法人证书登记的住所地</w:t>
      </w:r>
      <w:r>
        <w:rPr>
          <w:rFonts w:hint="eastAsia" w:cs="宋体"/>
          <w:color w:val="000000" w:themeColor="text1"/>
          <w:sz w:val="21"/>
          <w:szCs w:val="21"/>
          <w:highlight w:val="none"/>
          <w14:textFill>
            <w14:solidFill>
              <w14:schemeClr w14:val="tx1"/>
            </w14:solidFill>
          </w14:textFill>
        </w:rPr>
        <w:t>人民法院起诉。</w:t>
      </w:r>
    </w:p>
    <w:p w14:paraId="722FF4ED">
      <w:pPr>
        <w:snapToGrid w:val="0"/>
        <w:spacing w:before="312" w:beforeLines="100" w:after="312" w:afterLines="100" w:line="360" w:lineRule="auto"/>
        <w:outlineLvl w:val="2"/>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 xml:space="preserve">21. 补充条款 </w:t>
      </w:r>
    </w:p>
    <w:p w14:paraId="34D410EC">
      <w:pPr>
        <w:pStyle w:val="19"/>
        <w:ind w:firstLine="420" w:firstLineChars="200"/>
        <w:rPr>
          <w:color w:val="000000" w:themeColor="text1"/>
          <w:highlight w:val="none"/>
          <w:lang w:val="en-US"/>
          <w14:textFill>
            <w14:solidFill>
              <w14:schemeClr w14:val="tx1"/>
            </w14:solidFill>
          </w14:textFill>
        </w:rPr>
      </w:pP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u w:val="single"/>
          <w:lang w:val="en-US"/>
          <w14:textFill>
            <w14:solidFill>
              <w14:schemeClr w14:val="tx1"/>
            </w14:solidFill>
          </w14:textFill>
        </w:rPr>
        <w:t xml:space="preserve">               </w:t>
      </w:r>
    </w:p>
    <w:p w14:paraId="469A0C12">
      <w:pPr>
        <w:snapToGrid w:val="0"/>
        <w:spacing w:line="360" w:lineRule="auto"/>
        <w:rPr>
          <w:rFonts w:cs="宋体"/>
          <w:b/>
          <w:color w:val="000000" w:themeColor="text1"/>
          <w:sz w:val="21"/>
          <w:szCs w:val="21"/>
          <w:highlight w:val="none"/>
          <w14:textFill>
            <w14:solidFill>
              <w14:schemeClr w14:val="tx1"/>
            </w14:solidFill>
          </w14:textFill>
        </w:rPr>
      </w:pPr>
    </w:p>
    <w:p w14:paraId="1ECDDC51">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发包人：  （公章）                           承包人：  （公章）</w:t>
      </w:r>
    </w:p>
    <w:p w14:paraId="5A89D7BB">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法定代表人或其委托代理人：                 法定代表人或其委托代理人：</w:t>
      </w:r>
    </w:p>
    <w:p w14:paraId="752605A2">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（签字）                                  （签字）</w:t>
      </w:r>
    </w:p>
    <w:p w14:paraId="4EB31CD9">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组织机构代码：</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组织机构代码：</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w:t>
      </w:r>
    </w:p>
    <w:p w14:paraId="48669A8E">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地  址：</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地  址：</w:t>
      </w:r>
      <w:r>
        <w:rPr>
          <w:rFonts w:hint="eastAsia" w:cs="宋体"/>
          <w:color w:val="000000" w:themeColor="text1"/>
          <w:sz w:val="21"/>
          <w:szCs w:val="21"/>
          <w:highlight w:val="none"/>
          <w:u w:val="single"/>
          <w14:textFill>
            <w14:solidFill>
              <w14:schemeClr w14:val="tx1"/>
            </w14:solidFill>
          </w14:textFill>
        </w:rPr>
        <w:t xml:space="preserve">        </w:t>
      </w:r>
    </w:p>
    <w:p w14:paraId="23441EBE">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邮政编码：</w:t>
      </w:r>
      <w:r>
        <w:rPr>
          <w:rFonts w:hint="eastAsia" w:cs="宋体"/>
          <w:color w:val="000000" w:themeColor="text1"/>
          <w:sz w:val="21"/>
          <w:szCs w:val="21"/>
          <w:highlight w:val="none"/>
          <w:u w:val="single"/>
          <w14:textFill>
            <w14:solidFill>
              <w14:schemeClr w14:val="tx1"/>
            </w14:solidFill>
          </w14:textFill>
        </w:rPr>
        <w:t xml:space="preserve">      </w:t>
      </w:r>
      <w:r>
        <w:rPr>
          <w:rFonts w:hint="eastAsia" w:cs="宋体"/>
          <w:color w:val="000000" w:themeColor="text1"/>
          <w:sz w:val="21"/>
          <w:szCs w:val="21"/>
          <w:highlight w:val="none"/>
          <w14:textFill>
            <w14:solidFill>
              <w14:schemeClr w14:val="tx1"/>
            </w14:solidFill>
          </w14:textFill>
        </w:rPr>
        <w:t xml:space="preserve">               邮政编码：</w:t>
      </w:r>
      <w:r>
        <w:rPr>
          <w:rFonts w:hint="eastAsia" w:cs="宋体"/>
          <w:color w:val="000000" w:themeColor="text1"/>
          <w:sz w:val="21"/>
          <w:szCs w:val="21"/>
          <w:highlight w:val="none"/>
          <w:u w:val="single"/>
          <w14:textFill>
            <w14:solidFill>
              <w14:schemeClr w14:val="tx1"/>
            </w14:solidFill>
          </w14:textFill>
        </w:rPr>
        <w:t xml:space="preserve">   </w:t>
      </w:r>
    </w:p>
    <w:p w14:paraId="075C1ABF">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法定代表人：</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法定代表人：</w:t>
      </w:r>
      <w:r>
        <w:rPr>
          <w:rFonts w:hint="eastAsia" w:cs="宋体"/>
          <w:color w:val="000000" w:themeColor="text1"/>
          <w:sz w:val="21"/>
          <w:szCs w:val="21"/>
          <w:highlight w:val="none"/>
          <w:u w:val="single"/>
          <w14:textFill>
            <w14:solidFill>
              <w14:schemeClr w14:val="tx1"/>
            </w14:solidFill>
          </w14:textFill>
        </w:rPr>
        <w:t xml:space="preserve">             </w:t>
      </w:r>
    </w:p>
    <w:p w14:paraId="737ABBF1">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委托代理人：</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委托代理人：</w:t>
      </w:r>
      <w:r>
        <w:rPr>
          <w:rFonts w:hint="eastAsia" w:cs="宋体"/>
          <w:color w:val="000000" w:themeColor="text1"/>
          <w:sz w:val="21"/>
          <w:szCs w:val="21"/>
          <w:highlight w:val="none"/>
          <w:u w:val="single"/>
          <w14:textFill>
            <w14:solidFill>
              <w14:schemeClr w14:val="tx1"/>
            </w14:solidFill>
          </w14:textFill>
        </w:rPr>
        <w:t xml:space="preserve">             </w:t>
      </w:r>
    </w:p>
    <w:p w14:paraId="46891359">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电  话：</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电  话：</w:t>
      </w:r>
      <w:r>
        <w:rPr>
          <w:rFonts w:hint="eastAsia" w:cs="宋体"/>
          <w:color w:val="000000" w:themeColor="text1"/>
          <w:sz w:val="21"/>
          <w:szCs w:val="21"/>
          <w:highlight w:val="none"/>
          <w:u w:val="single"/>
          <w14:textFill>
            <w14:solidFill>
              <w14:schemeClr w14:val="tx1"/>
            </w14:solidFill>
          </w14:textFill>
        </w:rPr>
        <w:t xml:space="preserve">     </w:t>
      </w:r>
    </w:p>
    <w:p w14:paraId="13B80E7B">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传  真：</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传  真：</w:t>
      </w:r>
      <w:r>
        <w:rPr>
          <w:rFonts w:hint="eastAsia" w:cs="宋体"/>
          <w:color w:val="000000" w:themeColor="text1"/>
          <w:sz w:val="21"/>
          <w:szCs w:val="21"/>
          <w:highlight w:val="none"/>
          <w:u w:val="single"/>
          <w14:textFill>
            <w14:solidFill>
              <w14:schemeClr w14:val="tx1"/>
            </w14:solidFill>
          </w14:textFill>
        </w:rPr>
        <w:t xml:space="preserve">     </w:t>
      </w:r>
    </w:p>
    <w:p w14:paraId="171053A9">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电子信箱：</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电子信箱：</w:t>
      </w:r>
      <w:r>
        <w:rPr>
          <w:rFonts w:hint="eastAsia" w:cs="宋体"/>
          <w:color w:val="000000" w:themeColor="text1"/>
          <w:sz w:val="21"/>
          <w:szCs w:val="21"/>
          <w:highlight w:val="none"/>
          <w:u w:val="single"/>
          <w14:textFill>
            <w14:solidFill>
              <w14:schemeClr w14:val="tx1"/>
            </w14:solidFill>
          </w14:textFill>
        </w:rPr>
        <w:t xml:space="preserve">   </w:t>
      </w:r>
    </w:p>
    <w:p w14:paraId="68663F1A">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开户银行：</w:t>
      </w:r>
      <w:r>
        <w:rPr>
          <w:rFonts w:hint="eastAsia" w:cs="宋体"/>
          <w:color w:val="000000" w:themeColor="text1"/>
          <w:sz w:val="21"/>
          <w:szCs w:val="21"/>
          <w:highlight w:val="none"/>
          <w:u w:val="single"/>
          <w14:textFill>
            <w14:solidFill>
              <w14:schemeClr w14:val="tx1"/>
            </w14:solidFill>
          </w14:textFill>
        </w:rPr>
        <w:t xml:space="preserve">   </w:t>
      </w:r>
      <w:r>
        <w:rPr>
          <w:rFonts w:hint="eastAsia" w:cs="宋体"/>
          <w:color w:val="000000" w:themeColor="text1"/>
          <w:sz w:val="21"/>
          <w:szCs w:val="21"/>
          <w:highlight w:val="none"/>
          <w14:textFill>
            <w14:solidFill>
              <w14:schemeClr w14:val="tx1"/>
            </w14:solidFill>
          </w14:textFill>
        </w:rPr>
        <w:t xml:space="preserve">                开户银行：</w:t>
      </w:r>
      <w:r>
        <w:rPr>
          <w:rFonts w:hint="eastAsia" w:cs="宋体"/>
          <w:color w:val="000000" w:themeColor="text1"/>
          <w:sz w:val="21"/>
          <w:szCs w:val="21"/>
          <w:highlight w:val="none"/>
          <w:u w:val="single"/>
          <w14:textFill>
            <w14:solidFill>
              <w14:schemeClr w14:val="tx1"/>
            </w14:solidFill>
          </w14:textFill>
        </w:rPr>
        <w:t xml:space="preserve">   </w:t>
      </w:r>
    </w:p>
    <w:p w14:paraId="358FB7F1">
      <w:pPr>
        <w:snapToGrid w:val="0"/>
        <w:spacing w:line="360" w:lineRule="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账  号：</w:t>
      </w:r>
      <w:r>
        <w:rPr>
          <w:rFonts w:hint="eastAsia" w:cs="宋体"/>
          <w:color w:val="000000" w:themeColor="text1"/>
          <w:sz w:val="21"/>
          <w:szCs w:val="21"/>
          <w:highlight w:val="none"/>
          <w:u w:val="single"/>
          <w14:textFill>
            <w14:solidFill>
              <w14:schemeClr w14:val="tx1"/>
            </w14:solidFill>
          </w14:textFill>
        </w:rPr>
        <w:t xml:space="preserve">       </w:t>
      </w:r>
      <w:r>
        <w:rPr>
          <w:rFonts w:hint="eastAsia" w:cs="宋体"/>
          <w:color w:val="000000" w:themeColor="text1"/>
          <w:sz w:val="21"/>
          <w:szCs w:val="21"/>
          <w:highlight w:val="none"/>
          <w14:textFill>
            <w14:solidFill>
              <w14:schemeClr w14:val="tx1"/>
            </w14:solidFill>
          </w14:textFill>
        </w:rPr>
        <w:t xml:space="preserve">                账  号：</w:t>
      </w:r>
      <w:r>
        <w:rPr>
          <w:rFonts w:hint="eastAsia" w:cs="宋体"/>
          <w:color w:val="000000" w:themeColor="text1"/>
          <w:sz w:val="21"/>
          <w:szCs w:val="21"/>
          <w:highlight w:val="none"/>
          <w:u w:val="single"/>
          <w14:textFill>
            <w14:solidFill>
              <w14:schemeClr w14:val="tx1"/>
            </w14:solidFill>
          </w14:textFill>
        </w:rPr>
        <w:t xml:space="preserve">     </w:t>
      </w:r>
    </w:p>
    <w:p w14:paraId="659056D0">
      <w:pPr>
        <w:spacing w:before="312" w:beforeLines="100" w:after="312" w:afterLines="100"/>
        <w:outlineLvl w:val="2"/>
        <w:rPr>
          <w:rFonts w:ascii="Times New Roman" w:eastAsia="黑体"/>
          <w:color w:val="000000" w:themeColor="text1"/>
          <w:sz w:val="24"/>
          <w:szCs w:val="24"/>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br w:type="page"/>
      </w:r>
      <w:bookmarkStart w:id="616" w:name="_Toc128950236"/>
      <w:r>
        <w:rPr>
          <w:rFonts w:hint="eastAsia" w:ascii="Times New Roman" w:eastAsia="黑体"/>
          <w:color w:val="000000" w:themeColor="text1"/>
          <w:sz w:val="24"/>
          <w:szCs w:val="24"/>
          <w:highlight w:val="none"/>
          <w14:textFill>
            <w14:solidFill>
              <w14:schemeClr w14:val="tx1"/>
            </w14:solidFill>
          </w14:textFill>
        </w:rPr>
        <w:t>附</w:t>
      </w:r>
      <w:bookmarkStart w:id="617" w:name="_Toc267261692"/>
      <w:bookmarkStart w:id="618" w:name="_Toc296347224"/>
      <w:bookmarkStart w:id="619" w:name="_Toc296891053"/>
      <w:bookmarkStart w:id="620" w:name="_Toc296944564"/>
      <w:bookmarkStart w:id="621" w:name="_Toc296503225"/>
      <w:bookmarkStart w:id="622" w:name="_Toc296346726"/>
      <w:bookmarkStart w:id="623" w:name="_Toc296891265"/>
      <w:r>
        <w:rPr>
          <w:rFonts w:hint="eastAsia" w:ascii="Times New Roman" w:eastAsia="黑体"/>
          <w:color w:val="000000" w:themeColor="text1"/>
          <w:sz w:val="24"/>
          <w:szCs w:val="24"/>
          <w:highlight w:val="none"/>
          <w14:textFill>
            <w14:solidFill>
              <w14:schemeClr w14:val="tx1"/>
            </w14:solidFill>
          </w14:textFill>
        </w:rPr>
        <w:t>件1：</w:t>
      </w:r>
      <w:bookmarkEnd w:id="616"/>
      <w:bookmarkEnd w:id="617"/>
      <w:bookmarkEnd w:id="618"/>
      <w:bookmarkEnd w:id="619"/>
      <w:bookmarkEnd w:id="620"/>
      <w:bookmarkEnd w:id="621"/>
      <w:bookmarkEnd w:id="622"/>
      <w:bookmarkEnd w:id="623"/>
      <w:bookmarkStart w:id="624" w:name="_Toc128950238"/>
      <w:bookmarkStart w:id="625" w:name="_Toc128950243"/>
      <w:r>
        <w:rPr>
          <w:rFonts w:hint="eastAsia" w:ascii="Times New Roman" w:eastAsia="黑体"/>
          <w:color w:val="000000" w:themeColor="text1"/>
          <w:sz w:val="24"/>
          <w:szCs w:val="24"/>
          <w:highlight w:val="none"/>
          <w14:textFill>
            <w14:solidFill>
              <w14:schemeClr w14:val="tx1"/>
            </w14:solidFill>
          </w14:textFill>
        </w:rPr>
        <w:t>廉政协议</w:t>
      </w:r>
    </w:p>
    <w:p w14:paraId="6D5F6797">
      <w:pPr>
        <w:spacing w:line="440" w:lineRule="exact"/>
        <w:jc w:val="center"/>
        <w:rPr>
          <w:rFonts w:ascii="Times New Roman" w:hAnsi="Times New Roman" w:eastAsia="黑体" w:cs="Times New Roman"/>
          <w:color w:val="000000" w:themeColor="text1"/>
          <w:sz w:val="28"/>
          <w:szCs w:val="28"/>
          <w:highlight w:val="none"/>
          <w14:textFill>
            <w14:solidFill>
              <w14:schemeClr w14:val="tx1"/>
            </w14:solidFill>
          </w14:textFill>
        </w:rPr>
      </w:pPr>
      <w:r>
        <w:rPr>
          <w:rFonts w:ascii="Times New Roman" w:hAnsi="Times New Roman" w:eastAsia="黑体" w:cs="Times New Roman"/>
          <w:color w:val="000000" w:themeColor="text1"/>
          <w:sz w:val="28"/>
          <w:szCs w:val="28"/>
          <w:highlight w:val="none"/>
          <w14:textFill>
            <w14:solidFill>
              <w14:schemeClr w14:val="tx1"/>
            </w14:solidFill>
          </w14:textFill>
        </w:rPr>
        <w:t>廉政协议书</w:t>
      </w:r>
    </w:p>
    <w:p w14:paraId="0015F9A1">
      <w:pPr>
        <w:widowControl/>
        <w:adjustRightInd w:val="0"/>
        <w:snapToGrid w:val="0"/>
        <w:spacing w:line="360" w:lineRule="auto"/>
        <w:ind w:firstLine="400" w:firstLineChars="200"/>
        <w:jc w:val="left"/>
        <w:rPr>
          <w:rFonts w:ascii="Times New Roman" w:hAnsi="Times New Roman" w:cs="Times New Roman"/>
          <w:color w:val="000000" w:themeColor="text1"/>
          <w:szCs w:val="21"/>
          <w:highlight w:val="none"/>
          <w14:textFill>
            <w14:solidFill>
              <w14:schemeClr w14:val="tx1"/>
            </w14:solidFill>
          </w14:textFill>
        </w:rPr>
      </w:pPr>
      <w:bookmarkStart w:id="626" w:name="OLE_LINK11"/>
      <w:bookmarkStart w:id="627" w:name="OLE_LINK10"/>
    </w:p>
    <w:bookmarkEnd w:id="626"/>
    <w:bookmarkEnd w:id="627"/>
    <w:p w14:paraId="66164D02">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为促进双方诚信经营、廉洁从业，防范商业贿赂，保护国家、集体和当事人的合法权益，根据国家有关法律法规和安徽省廉政建设的规定，</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（以下称甲方）与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以下称乙方），特此订立本协议共同遵照执行。</w:t>
      </w:r>
    </w:p>
    <w:p w14:paraId="0095366D">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第一条 甲乙双方的权利和义务</w:t>
      </w:r>
    </w:p>
    <w:p w14:paraId="7755958A">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2956B3D7">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（二）严格执行</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的合同要求，自觉履行合同约定的相关义务。</w:t>
      </w:r>
    </w:p>
    <w:p w14:paraId="7E3E02E9">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（三）在业务活动中坚持公开、公正、诚信、透明的原则，不得损害国家、集体利益。</w:t>
      </w:r>
    </w:p>
    <w:p w14:paraId="2C02B39C">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（四）建立健全廉政制度，开展廉政教育，公布举报电话，监督并认真查处违法违纪行为。</w:t>
      </w:r>
    </w:p>
    <w:p w14:paraId="7EB13106">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（五）发现对方在业务活动中有违反廉政规定的行为，应及时提醒对方纠正。情节严重的，应向其上级有关部门举报、建议给予处理，并有权要求告知处理结果。</w:t>
      </w:r>
    </w:p>
    <w:p w14:paraId="6EB2ACB6">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第二条 甲方的义务</w:t>
      </w:r>
    </w:p>
    <w:p w14:paraId="5798B3EF">
      <w:pPr>
        <w:widowControl/>
        <w:spacing w:line="360" w:lineRule="auto"/>
        <w:ind w:firstLine="600" w:firstLineChars="25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（一）甲方及其工作人员不得索要或接受乙方的礼金、有价证券和贵重物品，不得在乙方报销任何应由甲方单位或个人支付的费用等。</w:t>
      </w:r>
    </w:p>
    <w:p w14:paraId="183BAE5F">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449D1E1F">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（三） 甲方及其工作人员不得要求或者接受乙方为其住房装修、婚丧嫁娶活动、配偶子女工作安排以及出国出境、旅游等提供方便等。</w:t>
      </w:r>
    </w:p>
    <w:p w14:paraId="5A995A29">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（四） 甲方工作人员不得在乙方有股权关联的企业兼职，不得向乙方介绍家属或者亲友从事与甲方业务有关的经济活动。</w:t>
      </w:r>
    </w:p>
    <w:p w14:paraId="4824BB00">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（五）甲方工作人员不得以明显低于市场的价格向乙方购买房屋、汽车等物品；不得以明显高于市场的价格向乙方出售房屋、汽车等物品；不得以其他交易形式非法收受请托人财物。</w:t>
      </w:r>
    </w:p>
    <w:p w14:paraId="4426BC40">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（六）甲方工作人员不得利用职务之便收受乙方以回扣、手续费、加班费、咨询费、劳务费、协调费、辛苦费等各种名义给予或赠送的钱物。</w:t>
      </w:r>
    </w:p>
    <w:p w14:paraId="1D10C782">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（七）甲方工作人员不得接受乙方给予或赠送的干股或红利。</w:t>
      </w:r>
    </w:p>
    <w:p w14:paraId="27C27B0E">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（八）甲方任何人不得以个人的名义向乙方推荐设备、部件等供货商以及其他合作单位。</w:t>
      </w:r>
    </w:p>
    <w:p w14:paraId="6AF77DBB">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第三条 乙方的义务</w:t>
      </w:r>
    </w:p>
    <w:p w14:paraId="339F713C">
      <w:pPr>
        <w:widowControl/>
        <w:spacing w:line="360" w:lineRule="auto"/>
        <w:ind w:firstLine="600" w:firstLineChars="25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（一）乙方不得以任何理由向甲方及其工作人员行贿或馈赠礼金、有价证券、贵重礼品。</w:t>
      </w:r>
    </w:p>
    <w:p w14:paraId="06C7DFD8">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（二）乙方不得以任何名义为甲方及其工作人员报销应由甲方单位或个人支付的任何费用。</w:t>
      </w:r>
    </w:p>
    <w:p w14:paraId="3CE31B2A">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（三）乙方不得以任何理由安排甲方工作人员参加可能影响相关业务公开、公正、公平性的宴请及娱乐活动。</w:t>
      </w:r>
    </w:p>
    <w:p w14:paraId="6F95EED9">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（四）乙方不得为甲方单位和个人购置或提供通讯工具和高档办公用品等物品，也不得为甲方提供与工作无关的房屋、汽车等。</w:t>
      </w:r>
    </w:p>
    <w:p w14:paraId="65F8FDCE">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（五）乙方不得与甲方工作人员就合同中的质量、数量、价格、工程量、验收等条款进行私下商谈或者达成默契。</w:t>
      </w:r>
    </w:p>
    <w:p w14:paraId="1C2DB529">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（六）乙方不得以回扣、手续费、加班费、咨询费、劳务费、协调费、辛苦费等各种名义向甲方工作人员给予或赠送钱物。</w:t>
      </w:r>
    </w:p>
    <w:p w14:paraId="208B99E6">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（七）乙方不得向甲方工作人员提供干股或红利。</w:t>
      </w:r>
    </w:p>
    <w:p w14:paraId="269BC248">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第四条 违约责任</w:t>
      </w:r>
    </w:p>
    <w:p w14:paraId="407900B3">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7D1CA3DF">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（二）乙方及其工作人员违反本协议第一、三条规定。根据具体情节和造成的后果，甲方有权对乙方采取以下一种或多种处理办法：</w:t>
      </w:r>
    </w:p>
    <w:p w14:paraId="4EC7A1D7">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1. 全额收取乙方合同履约保证金不予退还； </w:t>
      </w:r>
    </w:p>
    <w:p w14:paraId="5B988A73">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2. 追究乙方其他违约责任；</w:t>
      </w:r>
    </w:p>
    <w:p w14:paraId="06043359">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3. 终止或解除双方已签订的包括本合同在内的所有合同；</w:t>
      </w:r>
    </w:p>
    <w:p w14:paraId="6A32A171">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4. 乙方一定期限内（6个月至3年，具体由甲方根据情况而定）不得参与甲方作为发包人（业主）的工程项目投标。</w:t>
      </w:r>
    </w:p>
    <w:p w14:paraId="33684A29">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甲方作出的处理意见，乙方应无条件接受并承担给甲方造成的损失，全额返还通过不正当手段从甲方获取的非法所得，并承担相应的法律责任。</w:t>
      </w:r>
    </w:p>
    <w:p w14:paraId="42F1E621">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第五条 双方约定</w:t>
      </w:r>
    </w:p>
    <w:p w14:paraId="551654A8">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本协议由双方或双方上级单位负责监督。可由甲方或甲方上级单位的纪检监察部门约请乙方或乙方上级单位的纪检监察部门对本协议履行情况进行检查，提出在本协议规定范围内的裁定意见。</w:t>
      </w:r>
    </w:p>
    <w:p w14:paraId="54BA949C">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第六条  本协议有效期为甲乙双方签署之日起至合同终止。  </w:t>
      </w:r>
    </w:p>
    <w:p w14:paraId="14E40DE0">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第七条  本协议作为合同的附件，与本合同具有同等法律效力。</w:t>
      </w:r>
    </w:p>
    <w:p w14:paraId="0BF4FEC1">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 </w:t>
      </w:r>
    </w:p>
    <w:p w14:paraId="50DDE451">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甲方（盖章）： </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乙方（盖章）：</w:t>
      </w:r>
      <w:r>
        <w:rPr>
          <w:rFonts w:hint="eastAsia" w:cs="宋体"/>
          <w:color w:val="000000" w:themeColor="text1"/>
          <w:sz w:val="24"/>
          <w:szCs w:val="24"/>
          <w:highlight w:val="none"/>
          <w:u w:val="single"/>
          <w14:textFill>
            <w14:solidFill>
              <w14:schemeClr w14:val="tx1"/>
            </w14:solidFill>
          </w14:textFill>
        </w:rPr>
        <w:t xml:space="preserve">             </w:t>
      </w:r>
    </w:p>
    <w:p w14:paraId="6B8CC5B9">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法定代表人或                          法定代表人或</w:t>
      </w:r>
    </w:p>
    <w:p w14:paraId="128A434B">
      <w:pPr>
        <w:widowControl/>
        <w:spacing w:line="360" w:lineRule="auto"/>
        <w:ind w:firstLine="480" w:firstLineChars="200"/>
        <w:jc w:val="lef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授权代表：</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(签字)         授权代表：</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(签字)</w:t>
      </w:r>
    </w:p>
    <w:p w14:paraId="5D445C1A">
      <w:pPr>
        <w:spacing w:before="312" w:beforeLines="100" w:after="312" w:afterLines="100"/>
        <w:rPr>
          <w:rFonts w:ascii="Times New Roman" w:eastAsia="黑体"/>
          <w:color w:val="000000" w:themeColor="text1"/>
          <w:sz w:val="24"/>
          <w:szCs w:val="24"/>
          <w:highlight w:val="none"/>
          <w14:textFill>
            <w14:solidFill>
              <w14:schemeClr w14:val="tx1"/>
            </w14:solidFill>
          </w14:textFill>
        </w:rPr>
      </w:pPr>
    </w:p>
    <w:p w14:paraId="228E32B4">
      <w:pPr>
        <w:rPr>
          <w:color w:val="000000" w:themeColor="text1"/>
          <w:highlight w:val="none"/>
          <w14:textFill>
            <w14:solidFill>
              <w14:schemeClr w14:val="tx1"/>
            </w14:solidFill>
          </w14:textFill>
        </w:rPr>
      </w:pPr>
    </w:p>
    <w:p w14:paraId="443BF463">
      <w:pPr>
        <w:rPr>
          <w:rFonts w:ascii="Times New Roman" w:eastAsia="黑体"/>
          <w:color w:val="000000" w:themeColor="text1"/>
          <w:sz w:val="24"/>
          <w:szCs w:val="24"/>
          <w:highlight w:val="none"/>
          <w14:textFill>
            <w14:solidFill>
              <w14:schemeClr w14:val="tx1"/>
            </w14:solidFill>
          </w14:textFill>
        </w:rPr>
      </w:pPr>
      <w:r>
        <w:rPr>
          <w:rFonts w:hint="eastAsia" w:ascii="Times New Roman" w:eastAsia="黑体"/>
          <w:color w:val="000000" w:themeColor="text1"/>
          <w:sz w:val="24"/>
          <w:szCs w:val="24"/>
          <w:highlight w:val="none"/>
          <w14:textFill>
            <w14:solidFill>
              <w14:schemeClr w14:val="tx1"/>
            </w14:solidFill>
          </w14:textFill>
        </w:rPr>
        <w:br w:type="page"/>
      </w:r>
    </w:p>
    <w:p w14:paraId="4B1B615E">
      <w:pPr>
        <w:spacing w:before="156" w:beforeLines="50" w:after="156" w:afterLines="50" w:line="360" w:lineRule="auto"/>
        <w:jc w:val="left"/>
        <w:outlineLvl w:val="2"/>
        <w:rPr>
          <w:rFonts w:ascii="Times New Roman" w:eastAsia="黑体"/>
          <w:color w:val="000000" w:themeColor="text1"/>
          <w:sz w:val="24"/>
          <w:szCs w:val="24"/>
          <w:highlight w:val="none"/>
          <w14:textFill>
            <w14:solidFill>
              <w14:schemeClr w14:val="tx1"/>
            </w14:solidFill>
          </w14:textFill>
        </w:rPr>
      </w:pPr>
      <w:r>
        <w:rPr>
          <w:rFonts w:hint="eastAsia" w:ascii="Times New Roman" w:eastAsia="黑体"/>
          <w:color w:val="000000" w:themeColor="text1"/>
          <w:sz w:val="24"/>
          <w:szCs w:val="24"/>
          <w:highlight w:val="none"/>
          <w14:textFill>
            <w14:solidFill>
              <w14:schemeClr w14:val="tx1"/>
            </w14:solidFill>
          </w14:textFill>
        </w:rPr>
        <w:t>附件2：安全生产合同</w:t>
      </w:r>
      <w:bookmarkStart w:id="628" w:name="_Toc11475"/>
      <w:bookmarkStart w:id="629" w:name="_Toc23792"/>
      <w:bookmarkStart w:id="630" w:name="bookmark1864"/>
    </w:p>
    <w:p w14:paraId="74732019">
      <w:pPr>
        <w:spacing w:before="156" w:beforeLines="50" w:after="156" w:afterLines="50" w:line="360" w:lineRule="auto"/>
        <w:jc w:val="center"/>
        <w:rPr>
          <w:rFonts w:cs="宋体"/>
          <w:b/>
          <w:color w:val="000000" w:themeColor="text1"/>
          <w:sz w:val="28"/>
          <w:szCs w:val="28"/>
          <w:highlight w:val="none"/>
          <w14:textFill>
            <w14:solidFill>
              <w14:schemeClr w14:val="tx1"/>
            </w14:solidFill>
          </w14:textFill>
        </w:rPr>
      </w:pPr>
      <w:r>
        <w:rPr>
          <w:rFonts w:hint="eastAsia" w:cs="宋体"/>
          <w:b/>
          <w:color w:val="000000" w:themeColor="text1"/>
          <w:sz w:val="28"/>
          <w:szCs w:val="28"/>
          <w:highlight w:val="none"/>
          <w14:textFill>
            <w14:solidFill>
              <w14:schemeClr w14:val="tx1"/>
            </w14:solidFill>
          </w14:textFill>
        </w:rPr>
        <w:t>安全生产合同</w:t>
      </w:r>
      <w:bookmarkEnd w:id="628"/>
      <w:bookmarkEnd w:id="629"/>
    </w:p>
    <w:p w14:paraId="7FA34DD3">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为在</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（项目名称）合同的实施过程中创造安全、高效的施工环境，切实搞好本项目的安全管理工作，本项目甲方</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（甲方名称，以下简称“甲方”）与乙方</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（乙方名称，以下简称“乙方”）特此签订安全生产合同：</w:t>
      </w:r>
    </w:p>
    <w:bookmarkEnd w:id="630"/>
    <w:p w14:paraId="36ED837A">
      <w:pPr>
        <w:widowControl/>
        <w:adjustRightInd w:val="0"/>
        <w:snapToGrid w:val="0"/>
        <w:spacing w:line="360" w:lineRule="auto"/>
        <w:ind w:firstLine="480" w:firstLineChars="200"/>
        <w:jc w:val="left"/>
        <w:rPr>
          <w:rFonts w:asciiTheme="minorEastAsia" w:hAnsiTheme="minorEastAsia" w:eastAsiaTheme="minorEastAsia" w:cstheme="minorEastAsia"/>
          <w:bCs/>
          <w:color w:val="000000" w:themeColor="text1"/>
          <w:sz w:val="24"/>
          <w:szCs w:val="24"/>
          <w:highlight w:val="none"/>
          <w14:textFill>
            <w14:solidFill>
              <w14:schemeClr w14:val="tx1"/>
            </w14:solidFill>
          </w14:textFill>
        </w:rPr>
      </w:pPr>
      <w:bookmarkStart w:id="631" w:name="bookmark1868"/>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一、</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甲方职责</w:t>
      </w:r>
    </w:p>
    <w:p w14:paraId="50D9A17B">
      <w:pPr>
        <w:widowControl/>
        <w:adjustRightInd w:val="0"/>
        <w:snapToGrid w:val="0"/>
        <w:spacing w:line="360" w:lineRule="auto"/>
        <w:ind w:firstLine="480" w:firstLineChars="200"/>
        <w:jc w:val="left"/>
        <w:rPr>
          <w:rFonts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1.甲方依据《中华人民共和国安全生产法》等法律法规规定责任，全面履行自己应有的权利和义务。</w:t>
      </w:r>
    </w:p>
    <w:p w14:paraId="4814D46F">
      <w:pPr>
        <w:widowControl/>
        <w:adjustRightInd w:val="0"/>
        <w:snapToGrid w:val="0"/>
        <w:spacing w:line="360" w:lineRule="auto"/>
        <w:ind w:firstLine="480" w:firstLineChars="200"/>
        <w:jc w:val="left"/>
        <w:rPr>
          <w:rFonts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2.甲方对乙方施工安全具有监督、检查和指导的权利。</w:t>
      </w:r>
    </w:p>
    <w:bookmarkEnd w:id="631"/>
    <w:p w14:paraId="62267D9D">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二、</w:t>
      </w:r>
      <w:bookmarkStart w:id="632" w:name="bookmark1869"/>
      <w:bookmarkEnd w:id="632"/>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乙方职责</w:t>
      </w:r>
    </w:p>
    <w:p w14:paraId="79ADE153">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1.乙方要严格执行国家已发布的有关法律法规和地方政府有关安全管理的规定，严格各项安全生产的规章制度和方案。</w:t>
      </w:r>
    </w:p>
    <w:p w14:paraId="1EAA1F92">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2.乙方在开工前，</w:t>
      </w:r>
      <w:r>
        <w:rPr>
          <w:rFonts w:hint="eastAsia" w:asciiTheme="minorEastAsia" w:hAnsiTheme="minorEastAsia" w:eastAsiaTheme="minorEastAsia" w:cstheme="minorEastAsia"/>
          <w:bCs/>
          <w:color w:val="000000" w:themeColor="text1"/>
          <w:kern w:val="2"/>
          <w:sz w:val="24"/>
          <w:szCs w:val="24"/>
          <w:highlight w:val="none"/>
          <w14:textFill>
            <w14:solidFill>
              <w14:schemeClr w14:val="tx1"/>
            </w14:solidFill>
          </w14:textFill>
        </w:rPr>
        <w:t>必须</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进行安全技术交底，落实施工过程中所有安全技术措施和人身防护用品，未经落实的不得进行施工。</w:t>
      </w:r>
      <w:r>
        <w:rPr>
          <w:rFonts w:hint="eastAsia" w:asciiTheme="minorEastAsia" w:hAnsiTheme="minorEastAsia" w:eastAsiaTheme="minorEastAsia" w:cstheme="minorEastAsia"/>
          <w:bCs/>
          <w:color w:val="000000" w:themeColor="text1"/>
          <w:kern w:val="2"/>
          <w:sz w:val="24"/>
          <w:szCs w:val="24"/>
          <w:highlight w:val="none"/>
          <w14:textFill>
            <w14:solidFill>
              <w14:schemeClr w14:val="tx1"/>
            </w14:solidFill>
          </w14:textFill>
        </w:rPr>
        <w:t>明确各级人员的安全生产责任，</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对所有参与现场作业的人员进行安全教育，使其具备安全意识和应对突发情况的能力。临水临空等安全风险较大的作业应有现场安全监督人员现场监督，并通知管理单位技术人员到场。</w:t>
      </w:r>
    </w:p>
    <w:p w14:paraId="7F89E599">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3.乙方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等特殊工种的人员，并将特种作业人员名单和特种作业证上报甲方审查，无证人员禁止从事特种作业；施工现场如出现特种作业无证操作现象时，项目负责人必须承担管理责任。</w:t>
      </w:r>
    </w:p>
    <w:p w14:paraId="683A1C4F">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4.乙方水上及临水作业，操作人员必须穿戴好救生衣，不得穿带钉易滑的硬底鞋，每次工作前对所用的救生衣进行检查确保其安全有效，禁止单人独自作业，室外作业时，当风力较大，影响作业安全时，立即停止作业，人员在船上走动或操作时，船只要固定牢靠，船上配备救生圈等救生器具。</w:t>
      </w:r>
    </w:p>
    <w:p w14:paraId="185CFB1D">
      <w:pPr>
        <w:spacing w:line="360" w:lineRule="auto"/>
        <w:ind w:firstLine="480" w:firstLineChars="200"/>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如遇交叉作业，如开闸放水期间等，禁止进行水上及临近项目作业。交叉作业时应设置安全栏杆、安全网、防护棚和示警围栏，防止安全生产事故。</w:t>
      </w:r>
    </w:p>
    <w:p w14:paraId="421A370A">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5.乙方现场临时用电，严格执行国家相关标准规定。清洁电气设备时停电作业，电源箱或开关握柄挂“有人操作，严禁合闸”的警示牌，并设专人看管，现场临时架设的线路，严禁搭在钢筋、脚手架上，必须安设绝缘支承物。</w:t>
      </w:r>
    </w:p>
    <w:p w14:paraId="02BE5A9F">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6.乙方高空作业时，禁止穿硬底和带钉易滑的鞋，患有心脏病、高血压、精神病、癫痫病患者禁止从事高空操作，高空作业操作人员要系安全带，并且安全带要固定牢靠。</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攀爬和悬空高处作业人员以及搭设高处作业安全设施的人员，必须经过专业技术培训，持证上岗，并定期进行身体检查。非作业人员不准在高处作业面上。</w:t>
      </w:r>
    </w:p>
    <w:p w14:paraId="5BA72D06">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7.遇高温天气，应结合天气、施工进度等实际情况，加强作业人员身心关怀，合理安排作业时间，及时安排休息避暑，并配备防暑降温等必需的应急药品、物品，避免人员中暑、疲劳作业等情况。</w:t>
      </w:r>
    </w:p>
    <w:p w14:paraId="37771FEA">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8.操作人员上岗，必须按规定穿戴防护用品。施工负责人和安全检查员应随时检查劳动防护用品的穿戴情况，不按规定穿戴防护用品的人员不得上岗。</w:t>
      </w:r>
    </w:p>
    <w:p w14:paraId="70103197">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9.乙方应根据工程特点，合理安排身体素质、技术水平高、安全责任心强的人员上岗，施工过程中职业健康、环境保护、劳动卫生、安全生产等有关工作，做到安全文明施工，坚决防范各类安全事故发生。</w:t>
      </w:r>
    </w:p>
    <w:p w14:paraId="384B690A">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10.安全生产费用专款专用、据实支付，由乙方严格按照《企业安全生产费用提取和使用管理办法》规定的支出范围使用，乙方在申请办理工程开工安全生产措施备案时，保证安全生产的措施方案应包含安全生产费用使用计划。</w:t>
      </w:r>
    </w:p>
    <w:p w14:paraId="40096FC9">
      <w:pPr>
        <w:autoSpaceDE w:val="0"/>
        <w:autoSpaceDN w:val="0"/>
        <w:adjustRightInd w:val="0"/>
        <w:snapToGrid w:val="0"/>
        <w:spacing w:line="360" w:lineRule="auto"/>
        <w:ind w:firstLine="482" w:firstLineChars="200"/>
        <w:jc w:val="left"/>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11.乙方不得违章指挥或强令作业人员冒险作业，也不能强迫作业人员超体能连续工作。作业过程中，应加强人员管理，确保人员工作安全，防范安全生产事故，乙方在履行本合同过程中发生的任何工伤或意外伤亡等，均由乙方负责处理并承担全部费用；若因此给甲方或第三方造成损失，由乙方予以全额赔偿。</w:t>
      </w:r>
    </w:p>
    <w:p w14:paraId="451252FA">
      <w:pPr>
        <w:autoSpaceDE w:val="0"/>
        <w:autoSpaceDN w:val="0"/>
        <w:adjustRightInd w:val="0"/>
        <w:snapToGrid w:val="0"/>
        <w:spacing w:line="360" w:lineRule="auto"/>
        <w:ind w:firstLine="482" w:firstLineChars="200"/>
        <w:jc w:val="left"/>
        <w:rPr>
          <w:rFonts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12.项目实施前，本项目所有从业人员购买以下保险（三者任选其一）：</w:t>
      </w:r>
      <w:r>
        <w:rPr>
          <w:rFonts w:hint="eastAsia" w:cs="宋体"/>
          <w:b/>
          <w:bCs/>
          <w:color w:val="000000" w:themeColor="text1"/>
          <w:sz w:val="24"/>
          <w:szCs w:val="24"/>
          <w:highlight w:val="none"/>
          <w:u w:val="single"/>
          <w14:textFill>
            <w14:solidFill>
              <w14:schemeClr w14:val="tx1"/>
            </w14:solidFill>
          </w14:textFill>
        </w:rPr>
        <w:t>雇主责任险或团体意外险或安全生产责任险</w:t>
      </w: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，其保险费已包含在签约合同价中。</w:t>
      </w:r>
    </w:p>
    <w:p w14:paraId="6B061C4E">
      <w:pPr>
        <w:spacing w:line="360" w:lineRule="auto"/>
        <w:ind w:firstLine="482" w:firstLineChars="200"/>
        <w:rPr>
          <w:rFonts w:cs="宋体"/>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13.</w:t>
      </w:r>
      <w:r>
        <w:rPr>
          <w:rFonts w:hint="eastAsia" w:cs="宋体"/>
          <w:b/>
          <w:bCs/>
          <w:color w:val="000000" w:themeColor="text1"/>
          <w:sz w:val="24"/>
          <w:szCs w:val="24"/>
          <w:highlight w:val="none"/>
          <w14:textFill>
            <w14:solidFill>
              <w14:schemeClr w14:val="tx1"/>
            </w14:solidFill>
          </w14:textFill>
        </w:rPr>
        <w:t>乙方承诺，作业过程中如出现作业人员未有效佩戴现场安全防护必需的安全帽、安全绳、救生衣以及其他必需的作业防护等安全防护用品，发生不安全行为的，每出现一次，从合同结算价中自愿核减1000元，减完为止。</w:t>
      </w:r>
    </w:p>
    <w:p w14:paraId="6478D438">
      <w:pPr>
        <w:spacing w:line="360" w:lineRule="auto"/>
        <w:ind w:firstLine="482" w:firstLineChars="200"/>
        <w:rPr>
          <w:rFonts w:cs="宋体"/>
          <w:b/>
          <w:bCs/>
          <w:color w:val="000000" w:themeColor="text1"/>
          <w:sz w:val="24"/>
          <w:szCs w:val="24"/>
          <w:highlight w:val="none"/>
          <w14:textFill>
            <w14:solidFill>
              <w14:schemeClr w14:val="tx1"/>
            </w14:solidFill>
          </w14:textFill>
        </w:rPr>
      </w:pPr>
      <w:r>
        <w:rPr>
          <w:rFonts w:hint="eastAsia" w:cs="宋体"/>
          <w:b/>
          <w:bCs/>
          <w:color w:val="000000" w:themeColor="text1"/>
          <w:sz w:val="24"/>
          <w:szCs w:val="24"/>
          <w:highlight w:val="none"/>
          <w14:textFill>
            <w14:solidFill>
              <w14:schemeClr w14:val="tx1"/>
            </w14:solidFill>
          </w14:textFill>
        </w:rPr>
        <w:t>14.乙方承诺，作业过程中，不使用对周边水体、环境有害的用品用具和方式方法。若因此对周边水体、环境及第三方造成损害，乙方依法承担全部责任。</w:t>
      </w:r>
    </w:p>
    <w:p w14:paraId="0A725A2A">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三、本合同由双方法定代表人或其授权的代理人签署并加盖单位章后生效，全部工程完工验收后失效。</w:t>
      </w:r>
    </w:p>
    <w:p w14:paraId="5FF9AD5C">
      <w:pPr>
        <w:spacing w:line="360" w:lineRule="auto"/>
        <w:ind w:firstLine="480" w:firstLineChars="200"/>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四、本合同正本—式</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份，副本</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份，合同双方各执正本—份，副本</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份，当正本与副本的内容不一致时，以正本为准。</w:t>
      </w:r>
    </w:p>
    <w:p w14:paraId="087C93CB">
      <w:pPr>
        <w:spacing w:line="360" w:lineRule="auto"/>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甲方：</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（盖单位章）          乙方：</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（盖单位章）</w:t>
      </w:r>
    </w:p>
    <w:p w14:paraId="2E3E7F68">
      <w:pPr>
        <w:spacing w:line="360" w:lineRule="auto"/>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法定代表人或其委托代理人：</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（签字）  法定代表人或其委托代理人：</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（签字）</w:t>
      </w:r>
    </w:p>
    <w:p w14:paraId="2EAA7626">
      <w:pPr>
        <w:spacing w:line="360" w:lineRule="auto"/>
        <w:ind w:firstLine="840"/>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xml:space="preserve">日                </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w:t>
      </w:r>
    </w:p>
    <w:p w14:paraId="5C836093">
      <w:pPr>
        <w:rPr>
          <w:rFonts w:ascii="Times New Roman" w:eastAsia="黑体"/>
          <w:color w:val="000000" w:themeColor="text1"/>
          <w:sz w:val="24"/>
          <w:szCs w:val="24"/>
          <w:highlight w:val="none"/>
          <w14:textFill>
            <w14:solidFill>
              <w14:schemeClr w14:val="tx1"/>
            </w14:solidFill>
          </w14:textFill>
        </w:rPr>
      </w:pPr>
      <w:r>
        <w:rPr>
          <w:rFonts w:hint="eastAsia" w:ascii="Times New Roman" w:eastAsia="黑体"/>
          <w:color w:val="000000" w:themeColor="text1"/>
          <w:sz w:val="24"/>
          <w:szCs w:val="24"/>
          <w:highlight w:val="none"/>
          <w14:textFill>
            <w14:solidFill>
              <w14:schemeClr w14:val="tx1"/>
            </w14:solidFill>
          </w14:textFill>
        </w:rPr>
        <w:br w:type="page"/>
      </w:r>
    </w:p>
    <w:p w14:paraId="371CE043">
      <w:pPr>
        <w:spacing w:before="312" w:beforeLines="100" w:after="312" w:afterLines="100"/>
        <w:outlineLvl w:val="2"/>
        <w:rPr>
          <w:rFonts w:ascii="Times New Roman" w:eastAsia="黑体" w:cs="宋体"/>
          <w:color w:val="000000" w:themeColor="text1"/>
          <w:sz w:val="24"/>
          <w:szCs w:val="24"/>
          <w:highlight w:val="none"/>
          <w14:textFill>
            <w14:solidFill>
              <w14:schemeClr w14:val="tx1"/>
            </w14:solidFill>
          </w14:textFill>
        </w:rPr>
      </w:pPr>
      <w:r>
        <w:rPr>
          <w:rFonts w:hint="eastAsia" w:ascii="Times New Roman" w:eastAsia="黑体" w:cs="宋体"/>
          <w:color w:val="000000" w:themeColor="text1"/>
          <w:sz w:val="24"/>
          <w:szCs w:val="24"/>
          <w:highlight w:val="none"/>
          <w14:textFill>
            <w14:solidFill>
              <w14:schemeClr w14:val="tx1"/>
            </w14:solidFill>
          </w14:textFill>
        </w:rPr>
        <w:t>附</w:t>
      </w:r>
      <w:bookmarkStart w:id="633" w:name="_Toc296891054"/>
      <w:bookmarkStart w:id="634" w:name="_Toc296503226"/>
      <w:bookmarkStart w:id="635" w:name="_Toc267261693"/>
      <w:bookmarkStart w:id="636" w:name="_Toc296346727"/>
      <w:bookmarkStart w:id="637" w:name="_Toc296891266"/>
      <w:bookmarkStart w:id="638" w:name="_Toc296944565"/>
      <w:bookmarkStart w:id="639" w:name="_Toc296347225"/>
      <w:r>
        <w:rPr>
          <w:rFonts w:hint="eastAsia" w:ascii="Times New Roman" w:eastAsia="黑体" w:cs="宋体"/>
          <w:color w:val="000000" w:themeColor="text1"/>
          <w:sz w:val="24"/>
          <w:szCs w:val="24"/>
          <w:highlight w:val="none"/>
          <w14:textFill>
            <w14:solidFill>
              <w14:schemeClr w14:val="tx1"/>
            </w14:solidFill>
          </w14:textFill>
        </w:rPr>
        <w:t>件3：</w:t>
      </w:r>
      <w:bookmarkEnd w:id="633"/>
      <w:bookmarkEnd w:id="634"/>
      <w:bookmarkEnd w:id="635"/>
      <w:bookmarkEnd w:id="636"/>
      <w:bookmarkEnd w:id="637"/>
      <w:bookmarkEnd w:id="638"/>
      <w:bookmarkEnd w:id="639"/>
      <w:r>
        <w:rPr>
          <w:rFonts w:hint="eastAsia" w:ascii="Times New Roman" w:eastAsia="黑体" w:cs="宋体"/>
          <w:color w:val="000000" w:themeColor="text1"/>
          <w:sz w:val="24"/>
          <w:szCs w:val="24"/>
          <w:highlight w:val="none"/>
          <w14:textFill>
            <w14:solidFill>
              <w14:schemeClr w14:val="tx1"/>
            </w14:solidFill>
          </w14:textFill>
        </w:rPr>
        <w:t>工程质量保修书</w:t>
      </w:r>
      <w:bookmarkEnd w:id="624"/>
    </w:p>
    <w:p w14:paraId="69D443A7">
      <w:pPr>
        <w:adjustRightInd w:val="0"/>
        <w:snapToGrid w:val="0"/>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工程质量保修书</w:t>
      </w:r>
    </w:p>
    <w:p w14:paraId="0F344B4B">
      <w:pPr>
        <w:adjustRightInd w:val="0"/>
        <w:snapToGrid w:val="0"/>
        <w:spacing w:line="360" w:lineRule="auto"/>
        <w:ind w:firstLine="480" w:firstLineChars="200"/>
        <w:rPr>
          <w:rFonts w:cs="宋体"/>
          <w:color w:val="000000" w:themeColor="text1"/>
          <w:position w:val="14"/>
          <w:sz w:val="24"/>
          <w:szCs w:val="24"/>
          <w:highlight w:val="none"/>
          <w14:textFill>
            <w14:solidFill>
              <w14:schemeClr w14:val="tx1"/>
            </w14:solidFill>
          </w14:textFill>
        </w:rPr>
      </w:pPr>
      <w:r>
        <w:rPr>
          <w:rFonts w:hint="eastAsia" w:cs="宋体"/>
          <w:bCs/>
          <w:color w:val="000000" w:themeColor="text1"/>
          <w:position w:val="14"/>
          <w:sz w:val="24"/>
          <w:szCs w:val="24"/>
          <w:highlight w:val="none"/>
          <w14:textFill>
            <w14:solidFill>
              <w14:schemeClr w14:val="tx1"/>
            </w14:solidFill>
          </w14:textFill>
        </w:rPr>
        <w:t>甲方</w:t>
      </w:r>
      <w:r>
        <w:rPr>
          <w:rFonts w:hint="eastAsia" w:cs="宋体"/>
          <w:color w:val="000000" w:themeColor="text1"/>
          <w:position w:val="14"/>
          <w:sz w:val="24"/>
          <w:szCs w:val="24"/>
          <w:highlight w:val="none"/>
          <w14:textFill>
            <w14:solidFill>
              <w14:schemeClr w14:val="tx1"/>
            </w14:solidFill>
          </w14:textFill>
        </w:rPr>
        <w:t>：_______________________________</w:t>
      </w:r>
    </w:p>
    <w:p w14:paraId="643925C1">
      <w:pPr>
        <w:widowControl/>
        <w:adjustRightInd w:val="0"/>
        <w:snapToGrid w:val="0"/>
        <w:spacing w:line="360" w:lineRule="auto"/>
        <w:ind w:firstLine="480" w:firstLineChars="200"/>
        <w:jc w:val="left"/>
        <w:rPr>
          <w:rFonts w:cs="宋体"/>
          <w:color w:val="000000" w:themeColor="text1"/>
          <w:position w:val="14"/>
          <w:sz w:val="24"/>
          <w:szCs w:val="24"/>
          <w:highlight w:val="none"/>
          <w14:textFill>
            <w14:solidFill>
              <w14:schemeClr w14:val="tx1"/>
            </w14:solidFill>
          </w14:textFill>
        </w:rPr>
      </w:pPr>
      <w:r>
        <w:rPr>
          <w:rFonts w:hint="eastAsia" w:cs="宋体"/>
          <w:bCs/>
          <w:color w:val="000000" w:themeColor="text1"/>
          <w:position w:val="14"/>
          <w:sz w:val="24"/>
          <w:szCs w:val="24"/>
          <w:highlight w:val="none"/>
          <w14:textFill>
            <w14:solidFill>
              <w14:schemeClr w14:val="tx1"/>
            </w14:solidFill>
          </w14:textFill>
        </w:rPr>
        <w:t>乙方</w:t>
      </w:r>
      <w:r>
        <w:rPr>
          <w:rFonts w:hint="eastAsia" w:cs="宋体"/>
          <w:color w:val="000000" w:themeColor="text1"/>
          <w:position w:val="14"/>
          <w:sz w:val="24"/>
          <w:szCs w:val="24"/>
          <w:highlight w:val="none"/>
          <w14:textFill>
            <w14:solidFill>
              <w14:schemeClr w14:val="tx1"/>
            </w14:solidFill>
          </w14:textFill>
        </w:rPr>
        <w:t>：_______________________________</w:t>
      </w:r>
    </w:p>
    <w:p w14:paraId="7F6A4F13">
      <w:pPr>
        <w:widowControl/>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甲方、乙方根据《中华人民共和国建筑法》等，经协商一致，对______________________工程签订工程质量保修书。</w:t>
      </w:r>
    </w:p>
    <w:p w14:paraId="2C6896AC">
      <w:pPr>
        <w:widowControl/>
        <w:adjustRightInd w:val="0"/>
        <w:snapToGrid w:val="0"/>
        <w:spacing w:line="360" w:lineRule="auto"/>
        <w:ind w:firstLine="482" w:firstLineChars="200"/>
        <w:jc w:val="left"/>
        <w:rPr>
          <w:rFonts w:cs="宋体"/>
          <w:b/>
          <w:bCs/>
          <w:color w:val="000000" w:themeColor="text1"/>
          <w:position w:val="6"/>
          <w:sz w:val="24"/>
          <w:szCs w:val="24"/>
          <w:highlight w:val="none"/>
          <w14:textFill>
            <w14:solidFill>
              <w14:schemeClr w14:val="tx1"/>
            </w14:solidFill>
          </w14:textFill>
        </w:rPr>
      </w:pPr>
      <w:r>
        <w:rPr>
          <w:rFonts w:hint="eastAsia" w:cs="宋体"/>
          <w:b/>
          <w:bCs/>
          <w:color w:val="000000" w:themeColor="text1"/>
          <w:position w:val="6"/>
          <w:sz w:val="24"/>
          <w:szCs w:val="24"/>
          <w:highlight w:val="none"/>
          <w14:textFill>
            <w14:solidFill>
              <w14:schemeClr w14:val="tx1"/>
            </w14:solidFill>
          </w14:textFill>
        </w:rPr>
        <w:t>一、工程质量保修范围和内容</w:t>
      </w:r>
    </w:p>
    <w:p w14:paraId="4369073F">
      <w:pPr>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按照有关法律、法规、规章的管理规定，双方约定由施工单位在质量保修期内，承担本工程的质量保修责任。</w:t>
      </w:r>
    </w:p>
    <w:p w14:paraId="2F47CFA8">
      <w:pPr>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质量保修范围和内容：______________________。</w:t>
      </w:r>
      <w:r>
        <w:rPr>
          <w:rFonts w:hint="eastAsia" w:cs="宋体"/>
          <w:bCs/>
          <w:color w:val="000000" w:themeColor="text1"/>
          <w:position w:val="6"/>
          <w:sz w:val="24"/>
          <w:szCs w:val="24"/>
          <w:highlight w:val="none"/>
          <w14:textFill>
            <w14:solidFill>
              <w14:schemeClr w14:val="tx1"/>
            </w14:solidFill>
          </w14:textFill>
        </w:rPr>
        <w:t>因不可抗力或使用不当造成的质量缺陷，不属保修范围。</w:t>
      </w:r>
    </w:p>
    <w:p w14:paraId="70F63CB7">
      <w:pPr>
        <w:widowControl/>
        <w:adjustRightInd w:val="0"/>
        <w:snapToGrid w:val="0"/>
        <w:spacing w:line="360" w:lineRule="auto"/>
        <w:ind w:firstLine="482" w:firstLineChars="200"/>
        <w:jc w:val="left"/>
        <w:rPr>
          <w:rFonts w:cs="宋体"/>
          <w:b/>
          <w:bCs/>
          <w:color w:val="000000" w:themeColor="text1"/>
          <w:position w:val="6"/>
          <w:sz w:val="24"/>
          <w:szCs w:val="24"/>
          <w:highlight w:val="none"/>
          <w14:textFill>
            <w14:solidFill>
              <w14:schemeClr w14:val="tx1"/>
            </w14:solidFill>
          </w14:textFill>
        </w:rPr>
      </w:pPr>
      <w:r>
        <w:rPr>
          <w:rFonts w:hint="eastAsia" w:cs="宋体"/>
          <w:b/>
          <w:bCs/>
          <w:color w:val="000000" w:themeColor="text1"/>
          <w:position w:val="6"/>
          <w:sz w:val="24"/>
          <w:szCs w:val="24"/>
          <w:highlight w:val="none"/>
          <w14:textFill>
            <w14:solidFill>
              <w14:schemeClr w14:val="tx1"/>
            </w14:solidFill>
          </w14:textFill>
        </w:rPr>
        <w:t>二、质量保修期</w:t>
      </w:r>
    </w:p>
    <w:p w14:paraId="31842CC5">
      <w:pPr>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双方按照有关法律、法规、规章的管理规定，约定本工程的质量保修期如下：</w:t>
      </w:r>
    </w:p>
    <w:p w14:paraId="36B657CF">
      <w:pPr>
        <w:widowControl/>
        <w:adjustRightInd w:val="0"/>
        <w:snapToGrid w:val="0"/>
        <w:spacing w:line="360" w:lineRule="auto"/>
        <w:ind w:left="400" w:leftChars="200" w:firstLine="67" w:firstLineChars="28"/>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1. 主体结构和基础工程，为</w:t>
      </w:r>
      <w:r>
        <w:rPr>
          <w:rFonts w:hint="eastAsia" w:cs="宋体"/>
          <w:color w:val="000000" w:themeColor="text1"/>
          <w:position w:val="6"/>
          <w:sz w:val="24"/>
          <w:szCs w:val="24"/>
          <w:highlight w:val="none"/>
          <w:u w:val="single"/>
          <w14:textFill>
            <w14:solidFill>
              <w14:schemeClr w14:val="tx1"/>
            </w14:solidFill>
          </w14:textFill>
        </w:rPr>
        <w:t xml:space="preserve">     </w:t>
      </w:r>
      <w:r>
        <w:rPr>
          <w:rFonts w:hint="eastAsia" w:cs="宋体"/>
          <w:color w:val="000000" w:themeColor="text1"/>
          <w:position w:val="6"/>
          <w:sz w:val="24"/>
          <w:szCs w:val="24"/>
          <w:highlight w:val="none"/>
          <w14:textFill>
            <w14:solidFill>
              <w14:schemeClr w14:val="tx1"/>
            </w14:solidFill>
          </w14:textFill>
        </w:rPr>
        <w:t>年；</w:t>
      </w:r>
    </w:p>
    <w:p w14:paraId="0C537CAA">
      <w:pPr>
        <w:widowControl/>
        <w:adjustRightInd w:val="0"/>
        <w:snapToGrid w:val="0"/>
        <w:spacing w:line="360" w:lineRule="auto"/>
        <w:ind w:left="400" w:leftChars="200" w:firstLine="67" w:firstLineChars="28"/>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2. _____________工程，为</w:t>
      </w:r>
      <w:r>
        <w:rPr>
          <w:rFonts w:hint="eastAsia" w:cs="宋体"/>
          <w:color w:val="000000" w:themeColor="text1"/>
          <w:position w:val="6"/>
          <w:sz w:val="24"/>
          <w:szCs w:val="24"/>
          <w:highlight w:val="none"/>
          <w:u w:val="single"/>
          <w14:textFill>
            <w14:solidFill>
              <w14:schemeClr w14:val="tx1"/>
            </w14:solidFill>
          </w14:textFill>
        </w:rPr>
        <w:t xml:space="preserve">     </w:t>
      </w:r>
      <w:r>
        <w:rPr>
          <w:rFonts w:hint="eastAsia" w:cs="宋体"/>
          <w:color w:val="000000" w:themeColor="text1"/>
          <w:position w:val="6"/>
          <w:sz w:val="24"/>
          <w:szCs w:val="24"/>
          <w:highlight w:val="none"/>
          <w14:textFill>
            <w14:solidFill>
              <w14:schemeClr w14:val="tx1"/>
            </w14:solidFill>
          </w14:textFill>
        </w:rPr>
        <w:t>年；</w:t>
      </w:r>
    </w:p>
    <w:p w14:paraId="79E23EC6">
      <w:pPr>
        <w:widowControl/>
        <w:adjustRightInd w:val="0"/>
        <w:snapToGrid w:val="0"/>
        <w:spacing w:line="360" w:lineRule="auto"/>
        <w:ind w:left="400" w:leftChars="200" w:firstLine="67" w:firstLineChars="28"/>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3. _____________工程，为</w:t>
      </w:r>
      <w:r>
        <w:rPr>
          <w:rFonts w:hint="eastAsia" w:cs="宋体"/>
          <w:color w:val="000000" w:themeColor="text1"/>
          <w:position w:val="6"/>
          <w:sz w:val="24"/>
          <w:szCs w:val="24"/>
          <w:highlight w:val="none"/>
          <w:u w:val="single"/>
          <w14:textFill>
            <w14:solidFill>
              <w14:schemeClr w14:val="tx1"/>
            </w14:solidFill>
          </w14:textFill>
        </w:rPr>
        <w:t xml:space="preserve">     </w:t>
      </w:r>
      <w:r>
        <w:rPr>
          <w:rFonts w:hint="eastAsia" w:cs="宋体"/>
          <w:color w:val="000000" w:themeColor="text1"/>
          <w:position w:val="6"/>
          <w:sz w:val="24"/>
          <w:szCs w:val="24"/>
          <w:highlight w:val="none"/>
          <w14:textFill>
            <w14:solidFill>
              <w14:schemeClr w14:val="tx1"/>
            </w14:solidFill>
          </w14:textFill>
        </w:rPr>
        <w:t>年；</w:t>
      </w:r>
    </w:p>
    <w:p w14:paraId="778F3AE5">
      <w:pPr>
        <w:adjustRightInd w:val="0"/>
        <w:snapToGrid w:val="0"/>
        <w:spacing w:line="360" w:lineRule="auto"/>
        <w:ind w:left="342" w:leftChars="171" w:firstLine="120" w:firstLineChars="50"/>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 xml:space="preserve">4. _____________工程，为 </w:t>
      </w:r>
      <w:r>
        <w:rPr>
          <w:rFonts w:hint="eastAsia" w:cs="宋体"/>
          <w:color w:val="000000" w:themeColor="text1"/>
          <w:position w:val="6"/>
          <w:sz w:val="24"/>
          <w:szCs w:val="24"/>
          <w:highlight w:val="none"/>
          <w:u w:val="single"/>
          <w14:textFill>
            <w14:solidFill>
              <w14:schemeClr w14:val="tx1"/>
            </w14:solidFill>
          </w14:textFill>
        </w:rPr>
        <w:t xml:space="preserve">     </w:t>
      </w:r>
      <w:r>
        <w:rPr>
          <w:rFonts w:hint="eastAsia" w:cs="宋体"/>
          <w:color w:val="000000" w:themeColor="text1"/>
          <w:position w:val="6"/>
          <w:sz w:val="24"/>
          <w:szCs w:val="24"/>
          <w:highlight w:val="none"/>
          <w14:textFill>
            <w14:solidFill>
              <w14:schemeClr w14:val="tx1"/>
            </w14:solidFill>
          </w14:textFill>
        </w:rPr>
        <w:t>年；</w:t>
      </w:r>
    </w:p>
    <w:p w14:paraId="4CD364E4">
      <w:pPr>
        <w:adjustRightInd w:val="0"/>
        <w:snapToGrid w:val="0"/>
        <w:spacing w:line="360" w:lineRule="auto"/>
        <w:ind w:left="342" w:leftChars="171" w:firstLine="120" w:firstLineChars="50"/>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质量保修期自工程完工验收合格之日起计算。</w:t>
      </w:r>
    </w:p>
    <w:p w14:paraId="64D268DA">
      <w:pPr>
        <w:adjustRightInd w:val="0"/>
        <w:snapToGrid w:val="0"/>
        <w:spacing w:line="360" w:lineRule="auto"/>
        <w:ind w:firstLine="482" w:firstLineChars="200"/>
        <w:rPr>
          <w:rFonts w:cs="宋体"/>
          <w:b/>
          <w:color w:val="000000" w:themeColor="text1"/>
          <w:sz w:val="24"/>
          <w:szCs w:val="24"/>
          <w:highlight w:val="none"/>
          <w14:textFill>
            <w14:solidFill>
              <w14:schemeClr w14:val="tx1"/>
            </w14:solidFill>
          </w14:textFill>
        </w:rPr>
      </w:pPr>
      <w:r>
        <w:rPr>
          <w:rFonts w:hint="eastAsia" w:cs="宋体"/>
          <w:b/>
          <w:color w:val="000000" w:themeColor="text1"/>
          <w:sz w:val="24"/>
          <w:szCs w:val="24"/>
          <w:highlight w:val="none"/>
          <w14:textFill>
            <w14:solidFill>
              <w14:schemeClr w14:val="tx1"/>
            </w14:solidFill>
          </w14:textFill>
        </w:rPr>
        <w:t>三、缺陷责任期</w:t>
      </w:r>
    </w:p>
    <w:p w14:paraId="770D4DDB">
      <w:pPr>
        <w:adjustRightInd w:val="0"/>
        <w:snapToGrid w:val="0"/>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工程缺陷责任期为</w:t>
      </w:r>
      <w:r>
        <w:rPr>
          <w:rFonts w:hint="eastAsia" w:cs="宋体"/>
          <w:color w:val="000000" w:themeColor="text1"/>
          <w:sz w:val="24"/>
          <w:szCs w:val="24"/>
          <w:highlight w:val="none"/>
          <w:u w:val="single"/>
          <w14:textFill>
            <w14:solidFill>
              <w14:schemeClr w14:val="tx1"/>
            </w14:solidFill>
          </w14:textFill>
        </w:rPr>
        <w:t xml:space="preserve"> 12个月 </w:t>
      </w:r>
      <w:r>
        <w:rPr>
          <w:rFonts w:hint="eastAsia" w:cs="宋体"/>
          <w:color w:val="000000" w:themeColor="text1"/>
          <w:sz w:val="24"/>
          <w:szCs w:val="24"/>
          <w:highlight w:val="none"/>
          <w14:textFill>
            <w14:solidFill>
              <w14:schemeClr w14:val="tx1"/>
            </w14:solidFill>
          </w14:textFill>
        </w:rPr>
        <w:t>，缺陷责任期自工程完工验收合格之日起计算。单位工程先于全部工程进行验收，单位工程缺陷责任期自单位工程验收合格之日起算。</w:t>
      </w:r>
    </w:p>
    <w:p w14:paraId="5470C285">
      <w:pPr>
        <w:adjustRightInd w:val="0"/>
        <w:snapToGrid w:val="0"/>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缺陷责任期终止后，甲方应退还剩余的质量保证金。</w:t>
      </w:r>
    </w:p>
    <w:p w14:paraId="04E33AD1">
      <w:pPr>
        <w:widowControl/>
        <w:adjustRightInd w:val="0"/>
        <w:snapToGrid w:val="0"/>
        <w:spacing w:line="360" w:lineRule="auto"/>
        <w:ind w:firstLine="482" w:firstLineChars="200"/>
        <w:jc w:val="left"/>
        <w:rPr>
          <w:rFonts w:cs="宋体"/>
          <w:b/>
          <w:bCs/>
          <w:color w:val="000000" w:themeColor="text1"/>
          <w:position w:val="6"/>
          <w:sz w:val="24"/>
          <w:szCs w:val="24"/>
          <w:highlight w:val="none"/>
          <w14:textFill>
            <w14:solidFill>
              <w14:schemeClr w14:val="tx1"/>
            </w14:solidFill>
          </w14:textFill>
        </w:rPr>
      </w:pPr>
      <w:r>
        <w:rPr>
          <w:rFonts w:hint="eastAsia" w:cs="宋体"/>
          <w:b/>
          <w:color w:val="000000" w:themeColor="text1"/>
          <w:sz w:val="24"/>
          <w:szCs w:val="24"/>
          <w:highlight w:val="none"/>
          <w14:textFill>
            <w14:solidFill>
              <w14:schemeClr w14:val="tx1"/>
            </w14:solidFill>
          </w14:textFill>
        </w:rPr>
        <w:t>四、质量保修责任</w:t>
      </w:r>
    </w:p>
    <w:p w14:paraId="1C5416E1">
      <w:pPr>
        <w:widowControl/>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1. 属于保修范围、内容的项目，乙方应当在接到保修通知之日起7天内派人保修。乙方不在约定期限内派人保修的，甲方可以委托他人修理。</w:t>
      </w:r>
    </w:p>
    <w:p w14:paraId="60FE7CFE">
      <w:pPr>
        <w:widowControl/>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2. 发生紧急抢修事故的，乙方在接到事故通知后，应当立即到达事故现场抢修。</w:t>
      </w:r>
    </w:p>
    <w:p w14:paraId="1E0E1283">
      <w:pPr>
        <w:widowControl/>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3. 对于涉及结构安全的质量问题，应当立即向当地建设行政主管部门报告，采取安全防范措施；由原设计单位或者具有相应资质等级的设计单位提出保修方案，乙方实施保修。</w:t>
      </w:r>
    </w:p>
    <w:p w14:paraId="1CE8F732">
      <w:pPr>
        <w:widowControl/>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4. 质量保修完成后，由甲方组织验收。</w:t>
      </w:r>
    </w:p>
    <w:p w14:paraId="305FF735">
      <w:pPr>
        <w:widowControl/>
        <w:adjustRightInd w:val="0"/>
        <w:snapToGrid w:val="0"/>
        <w:spacing w:line="360" w:lineRule="auto"/>
        <w:ind w:firstLine="482" w:firstLineChars="200"/>
        <w:jc w:val="left"/>
        <w:rPr>
          <w:rFonts w:cs="宋体"/>
          <w:b/>
          <w:bCs/>
          <w:color w:val="000000" w:themeColor="text1"/>
          <w:position w:val="6"/>
          <w:sz w:val="24"/>
          <w:szCs w:val="24"/>
          <w:highlight w:val="none"/>
          <w14:textFill>
            <w14:solidFill>
              <w14:schemeClr w14:val="tx1"/>
            </w14:solidFill>
          </w14:textFill>
        </w:rPr>
      </w:pPr>
      <w:r>
        <w:rPr>
          <w:rFonts w:hint="eastAsia" w:cs="宋体"/>
          <w:b/>
          <w:bCs/>
          <w:color w:val="000000" w:themeColor="text1"/>
          <w:position w:val="6"/>
          <w:sz w:val="24"/>
          <w:szCs w:val="24"/>
          <w:highlight w:val="none"/>
          <w14:textFill>
            <w14:solidFill>
              <w14:schemeClr w14:val="tx1"/>
            </w14:solidFill>
          </w14:textFill>
        </w:rPr>
        <w:t>五、保修费用</w:t>
      </w:r>
    </w:p>
    <w:p w14:paraId="6C9B6F03">
      <w:pPr>
        <w:widowControl/>
        <w:adjustRightInd w:val="0"/>
        <w:snapToGrid w:val="0"/>
        <w:spacing w:line="360" w:lineRule="auto"/>
        <w:ind w:firstLine="480" w:firstLineChars="200"/>
        <w:jc w:val="left"/>
        <w:rPr>
          <w:rFonts w:cs="宋体"/>
          <w:color w:val="000000" w:themeColor="text1"/>
          <w:position w:val="6"/>
          <w:sz w:val="24"/>
          <w:szCs w:val="24"/>
          <w:highlight w:val="none"/>
          <w14:textFill>
            <w14:solidFill>
              <w14:schemeClr w14:val="tx1"/>
            </w14:solidFill>
          </w14:textFill>
        </w:rPr>
      </w:pPr>
      <w:r>
        <w:rPr>
          <w:rFonts w:hint="eastAsia" w:cs="宋体"/>
          <w:color w:val="000000" w:themeColor="text1"/>
          <w:position w:val="6"/>
          <w:sz w:val="24"/>
          <w:szCs w:val="24"/>
          <w:highlight w:val="none"/>
          <w14:textFill>
            <w14:solidFill>
              <w14:schemeClr w14:val="tx1"/>
            </w14:solidFill>
          </w14:textFill>
        </w:rPr>
        <w:t>保修费用由造成质量缺陷的责任方承担。</w:t>
      </w:r>
    </w:p>
    <w:p w14:paraId="21FEC03A">
      <w:pPr>
        <w:widowControl/>
        <w:adjustRightInd w:val="0"/>
        <w:snapToGrid w:val="0"/>
        <w:spacing w:line="360" w:lineRule="auto"/>
        <w:ind w:firstLine="480" w:firstLineChars="200"/>
        <w:jc w:val="left"/>
        <w:rPr>
          <w:rFonts w:cs="宋体"/>
          <w:b/>
          <w:color w:val="000000" w:themeColor="text1"/>
          <w:sz w:val="24"/>
          <w:szCs w:val="24"/>
          <w:highlight w:val="none"/>
          <w14:textFill>
            <w14:solidFill>
              <w14:schemeClr w14:val="tx1"/>
            </w14:solidFill>
          </w14:textFill>
        </w:rPr>
      </w:pPr>
      <w:r>
        <w:rPr>
          <w:rFonts w:hint="eastAsia" w:cs="宋体"/>
          <w:bCs/>
          <w:color w:val="000000" w:themeColor="text1"/>
          <w:position w:val="6"/>
          <w:sz w:val="24"/>
          <w:szCs w:val="24"/>
          <w:highlight w:val="none"/>
          <w14:textFill>
            <w14:solidFill>
              <w14:schemeClr w14:val="tx1"/>
            </w14:solidFill>
          </w14:textFill>
        </w:rPr>
        <w:t>六、</w:t>
      </w:r>
      <w:r>
        <w:rPr>
          <w:rFonts w:hint="eastAsia" w:cs="宋体"/>
          <w:b/>
          <w:color w:val="000000" w:themeColor="text1"/>
          <w:sz w:val="24"/>
          <w:szCs w:val="24"/>
          <w:highlight w:val="none"/>
          <w14:textFill>
            <w14:solidFill>
              <w14:schemeClr w14:val="tx1"/>
            </w14:solidFill>
          </w14:textFill>
        </w:rPr>
        <w:t>双方约定的其他工程质量保修事项：</w:t>
      </w:r>
      <w:r>
        <w:rPr>
          <w:rFonts w:hint="eastAsia" w:cs="宋体"/>
          <w:b/>
          <w:color w:val="000000" w:themeColor="text1"/>
          <w:sz w:val="24"/>
          <w:szCs w:val="24"/>
          <w:highlight w:val="none"/>
          <w:u w:val="single"/>
          <w14:textFill>
            <w14:solidFill>
              <w14:schemeClr w14:val="tx1"/>
            </w14:solidFill>
          </w14:textFill>
        </w:rPr>
        <w:t xml:space="preserve">             </w:t>
      </w:r>
      <w:r>
        <w:rPr>
          <w:rFonts w:hint="eastAsia" w:cs="宋体"/>
          <w:b/>
          <w:color w:val="000000" w:themeColor="text1"/>
          <w:sz w:val="24"/>
          <w:szCs w:val="24"/>
          <w:highlight w:val="none"/>
          <w14:textFill>
            <w14:solidFill>
              <w14:schemeClr w14:val="tx1"/>
            </w14:solidFill>
          </w14:textFill>
        </w:rPr>
        <w:t>。</w:t>
      </w:r>
    </w:p>
    <w:p w14:paraId="4521278B">
      <w:pPr>
        <w:widowControl/>
        <w:adjustRightInd w:val="0"/>
        <w:snapToGrid w:val="0"/>
        <w:spacing w:line="360" w:lineRule="auto"/>
        <w:ind w:firstLine="480" w:firstLineChars="200"/>
        <w:jc w:val="left"/>
        <w:rPr>
          <w:rFonts w:cs="宋体"/>
          <w:bCs/>
          <w:color w:val="000000" w:themeColor="text1"/>
          <w:sz w:val="24"/>
          <w:szCs w:val="24"/>
          <w:highlight w:val="none"/>
          <w14:textFill>
            <w14:solidFill>
              <w14:schemeClr w14:val="tx1"/>
            </w14:solidFill>
          </w14:textFill>
        </w:rPr>
      </w:pPr>
      <w:r>
        <w:rPr>
          <w:rFonts w:hint="eastAsia" w:cs="宋体"/>
          <w:bCs/>
          <w:color w:val="000000" w:themeColor="text1"/>
          <w:position w:val="6"/>
          <w:sz w:val="24"/>
          <w:szCs w:val="24"/>
          <w:highlight w:val="none"/>
          <w14:textFill>
            <w14:solidFill>
              <w14:schemeClr w14:val="tx1"/>
            </w14:solidFill>
          </w14:textFill>
        </w:rPr>
        <w:t>本工程质量保修书，由施工合同甲方、乙方双方在完工验收前共同签署，作为施工合同附件，其有效期限至保修期满。</w:t>
      </w:r>
    </w:p>
    <w:p w14:paraId="23F6DB5C">
      <w:pPr>
        <w:adjustRightInd w:val="0"/>
        <w:snapToGrid w:val="0"/>
        <w:spacing w:line="360" w:lineRule="auto"/>
        <w:ind w:firstLine="420"/>
        <w:rPr>
          <w:rFonts w:cs="宋体"/>
          <w:color w:val="000000" w:themeColor="text1"/>
          <w:sz w:val="24"/>
          <w:szCs w:val="24"/>
          <w:highlight w:val="none"/>
          <w14:textFill>
            <w14:solidFill>
              <w14:schemeClr w14:val="tx1"/>
            </w14:solidFill>
          </w14:textFill>
        </w:rPr>
      </w:pPr>
    </w:p>
    <w:p w14:paraId="504A266C">
      <w:pPr>
        <w:adjustRightInd w:val="0"/>
        <w:snapToGrid w:val="0"/>
        <w:spacing w:line="360" w:lineRule="auto"/>
        <w:rPr>
          <w:rFonts w:cs="宋体"/>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甲方（公章）：</w:t>
      </w:r>
      <w:r>
        <w:rPr>
          <w:rFonts w:hint="eastAsia" w:cs="宋体"/>
          <w:color w:val="000000" w:themeColor="text1"/>
          <w:sz w:val="24"/>
          <w:szCs w:val="24"/>
          <w:highlight w:val="none"/>
          <w:u w:val="single"/>
          <w14:textFill>
            <w14:solidFill>
              <w14:schemeClr w14:val="tx1"/>
            </w14:solidFill>
          </w14:textFill>
        </w:rPr>
        <w:t xml:space="preserve">        </w:t>
      </w:r>
      <w:r>
        <w:rPr>
          <w:rFonts w:hint="eastAsia" w:cs="宋体"/>
          <w:color w:val="000000" w:themeColor="text1"/>
          <w:sz w:val="24"/>
          <w:szCs w:val="24"/>
          <w:highlight w:val="none"/>
          <w14:textFill>
            <w14:solidFill>
              <w14:schemeClr w14:val="tx1"/>
            </w14:solidFill>
          </w14:textFill>
        </w:rPr>
        <w:t xml:space="preserve">           乙方（公章）：</w:t>
      </w:r>
      <w:r>
        <w:rPr>
          <w:rFonts w:hint="eastAsia" w:cs="宋体"/>
          <w:color w:val="000000" w:themeColor="text1"/>
          <w:sz w:val="24"/>
          <w:szCs w:val="24"/>
          <w:highlight w:val="none"/>
          <w:u w:val="single"/>
          <w14:textFill>
            <w14:solidFill>
              <w14:schemeClr w14:val="tx1"/>
            </w14:solidFill>
          </w14:textFill>
        </w:rPr>
        <w:t xml:space="preserve">        </w:t>
      </w:r>
    </w:p>
    <w:p w14:paraId="47B0DA72">
      <w:pPr>
        <w:adjustRightInd w:val="0"/>
        <w:snapToGrid w:val="0"/>
        <w:spacing w:line="360" w:lineRule="auto"/>
        <w:rPr>
          <w:rFonts w:cs="宋体"/>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地  址：</w:t>
      </w:r>
      <w:r>
        <w:rPr>
          <w:rFonts w:hint="eastAsia" w:cs="宋体"/>
          <w:color w:val="000000" w:themeColor="text1"/>
          <w:sz w:val="24"/>
          <w:szCs w:val="24"/>
          <w:highlight w:val="none"/>
          <w:u w:val="single"/>
          <w14:textFill>
            <w14:solidFill>
              <w14:schemeClr w14:val="tx1"/>
            </w14:solidFill>
          </w14:textFill>
        </w:rPr>
        <w:t xml:space="preserve">     </w:t>
      </w:r>
      <w:r>
        <w:rPr>
          <w:rFonts w:hint="eastAsia" w:cs="宋体"/>
          <w:color w:val="000000" w:themeColor="text1"/>
          <w:sz w:val="24"/>
          <w:szCs w:val="24"/>
          <w:highlight w:val="none"/>
          <w14:textFill>
            <w14:solidFill>
              <w14:schemeClr w14:val="tx1"/>
            </w14:solidFill>
          </w14:textFill>
        </w:rPr>
        <w:t xml:space="preserve">              地  址：</w:t>
      </w:r>
      <w:r>
        <w:rPr>
          <w:rFonts w:hint="eastAsia" w:cs="宋体"/>
          <w:color w:val="000000" w:themeColor="text1"/>
          <w:sz w:val="24"/>
          <w:szCs w:val="24"/>
          <w:highlight w:val="none"/>
          <w:u w:val="single"/>
          <w14:textFill>
            <w14:solidFill>
              <w14:schemeClr w14:val="tx1"/>
            </w14:solidFill>
          </w14:textFill>
        </w:rPr>
        <w:t xml:space="preserve">       </w:t>
      </w:r>
    </w:p>
    <w:p w14:paraId="66B91FC1">
      <w:pPr>
        <w:adjustRightInd w:val="0"/>
        <w:snapToGrid w:val="0"/>
        <w:spacing w:line="360" w:lineRule="auto"/>
        <w:rPr>
          <w:rFonts w:cs="宋体"/>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法定代表人（签字）：</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法定代表人（签字）：</w:t>
      </w:r>
      <w:r>
        <w:rPr>
          <w:rFonts w:hint="eastAsia" w:cs="宋体"/>
          <w:color w:val="000000" w:themeColor="text1"/>
          <w:sz w:val="24"/>
          <w:szCs w:val="24"/>
          <w:highlight w:val="none"/>
          <w:u w:val="single"/>
          <w14:textFill>
            <w14:solidFill>
              <w14:schemeClr w14:val="tx1"/>
            </w14:solidFill>
          </w14:textFill>
        </w:rPr>
        <w:t xml:space="preserve">       </w:t>
      </w:r>
    </w:p>
    <w:p w14:paraId="67040EDF">
      <w:pPr>
        <w:adjustRightInd w:val="0"/>
        <w:snapToGrid w:val="0"/>
        <w:spacing w:line="360" w:lineRule="auto"/>
        <w:rPr>
          <w:rFonts w:cs="宋体"/>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委托代理人（签字）：</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委托代理人（签字）：</w:t>
      </w:r>
      <w:r>
        <w:rPr>
          <w:rFonts w:hint="eastAsia" w:cs="宋体"/>
          <w:color w:val="000000" w:themeColor="text1"/>
          <w:sz w:val="24"/>
          <w:szCs w:val="24"/>
          <w:highlight w:val="none"/>
          <w:u w:val="single"/>
          <w14:textFill>
            <w14:solidFill>
              <w14:schemeClr w14:val="tx1"/>
            </w14:solidFill>
          </w14:textFill>
        </w:rPr>
        <w:t xml:space="preserve">       </w:t>
      </w:r>
    </w:p>
    <w:p w14:paraId="21BB6019">
      <w:pPr>
        <w:adjustRightInd w:val="0"/>
        <w:snapToGrid w:val="0"/>
        <w:spacing w:line="360" w:lineRule="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电  话：</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电  话：</w:t>
      </w:r>
      <w:r>
        <w:rPr>
          <w:rFonts w:hint="eastAsia" w:cs="宋体"/>
          <w:color w:val="000000" w:themeColor="text1"/>
          <w:sz w:val="24"/>
          <w:szCs w:val="24"/>
          <w:highlight w:val="none"/>
          <w:u w:val="single"/>
          <w14:textFill>
            <w14:solidFill>
              <w14:schemeClr w14:val="tx1"/>
            </w14:solidFill>
          </w14:textFill>
        </w:rPr>
        <w:t xml:space="preserve">     </w:t>
      </w:r>
    </w:p>
    <w:p w14:paraId="2C6265D1">
      <w:pPr>
        <w:adjustRightInd w:val="0"/>
        <w:snapToGrid w:val="0"/>
        <w:spacing w:line="360" w:lineRule="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传  真：</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传  真：</w:t>
      </w:r>
      <w:r>
        <w:rPr>
          <w:rFonts w:hint="eastAsia" w:cs="宋体"/>
          <w:color w:val="000000" w:themeColor="text1"/>
          <w:sz w:val="24"/>
          <w:szCs w:val="24"/>
          <w:highlight w:val="none"/>
          <w:u w:val="single"/>
          <w14:textFill>
            <w14:solidFill>
              <w14:schemeClr w14:val="tx1"/>
            </w14:solidFill>
          </w14:textFill>
        </w:rPr>
        <w:t xml:space="preserve">     </w:t>
      </w:r>
    </w:p>
    <w:p w14:paraId="55E8C862">
      <w:pPr>
        <w:adjustRightInd w:val="0"/>
        <w:snapToGrid w:val="0"/>
        <w:spacing w:line="360" w:lineRule="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开户银行：</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开户银行：</w:t>
      </w:r>
      <w:r>
        <w:rPr>
          <w:rFonts w:hint="eastAsia" w:cs="宋体"/>
          <w:color w:val="000000" w:themeColor="text1"/>
          <w:sz w:val="24"/>
          <w:szCs w:val="24"/>
          <w:highlight w:val="none"/>
          <w:u w:val="single"/>
          <w14:textFill>
            <w14:solidFill>
              <w14:schemeClr w14:val="tx1"/>
            </w14:solidFill>
          </w14:textFill>
        </w:rPr>
        <w:t xml:space="preserve">   </w:t>
      </w:r>
    </w:p>
    <w:p w14:paraId="5E5C400D">
      <w:pPr>
        <w:adjustRightInd w:val="0"/>
        <w:snapToGrid w:val="0"/>
        <w:spacing w:line="360" w:lineRule="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账  号：</w:t>
      </w:r>
      <w:r>
        <w:rPr>
          <w:rFonts w:hint="eastAsia" w:cs="宋体"/>
          <w:color w:val="000000" w:themeColor="text1"/>
          <w:sz w:val="24"/>
          <w:szCs w:val="24"/>
          <w:highlight w:val="none"/>
          <w:u w:val="single"/>
          <w14:textFill>
            <w14:solidFill>
              <w14:schemeClr w14:val="tx1"/>
            </w14:solidFill>
          </w14:textFill>
        </w:rPr>
        <w:t xml:space="preserve">       </w:t>
      </w:r>
      <w:r>
        <w:rPr>
          <w:rFonts w:hint="eastAsia" w:cs="宋体"/>
          <w:color w:val="000000" w:themeColor="text1"/>
          <w:sz w:val="24"/>
          <w:szCs w:val="24"/>
          <w:highlight w:val="none"/>
          <w14:textFill>
            <w14:solidFill>
              <w14:schemeClr w14:val="tx1"/>
            </w14:solidFill>
          </w14:textFill>
        </w:rPr>
        <w:t xml:space="preserve">              账  号：</w:t>
      </w:r>
      <w:r>
        <w:rPr>
          <w:rFonts w:hint="eastAsia" w:cs="宋体"/>
          <w:color w:val="000000" w:themeColor="text1"/>
          <w:sz w:val="24"/>
          <w:szCs w:val="24"/>
          <w:highlight w:val="none"/>
          <w:u w:val="single"/>
          <w14:textFill>
            <w14:solidFill>
              <w14:schemeClr w14:val="tx1"/>
            </w14:solidFill>
          </w14:textFill>
        </w:rPr>
        <w:t xml:space="preserve">     </w:t>
      </w:r>
    </w:p>
    <w:p w14:paraId="14121482">
      <w:pPr>
        <w:adjustRightInd w:val="0"/>
        <w:snapToGrid w:val="0"/>
        <w:spacing w:line="360" w:lineRule="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邮政编码：</w:t>
      </w:r>
      <w:r>
        <w:rPr>
          <w:rFonts w:hint="eastAsia" w:cs="宋体"/>
          <w:color w:val="000000" w:themeColor="text1"/>
          <w:sz w:val="24"/>
          <w:szCs w:val="24"/>
          <w:highlight w:val="none"/>
          <w:u w:val="single"/>
          <w14:textFill>
            <w14:solidFill>
              <w14:schemeClr w14:val="tx1"/>
            </w14:solidFill>
          </w14:textFill>
        </w:rPr>
        <w:t xml:space="preserve">     </w:t>
      </w:r>
      <w:r>
        <w:rPr>
          <w:rFonts w:hint="eastAsia" w:cs="宋体"/>
          <w:color w:val="000000" w:themeColor="text1"/>
          <w:sz w:val="24"/>
          <w:szCs w:val="24"/>
          <w:highlight w:val="none"/>
          <w14:textFill>
            <w14:solidFill>
              <w14:schemeClr w14:val="tx1"/>
            </w14:solidFill>
          </w14:textFill>
        </w:rPr>
        <w:t xml:space="preserve">              邮政编码：</w:t>
      </w:r>
      <w:r>
        <w:rPr>
          <w:rFonts w:hint="eastAsia" w:cs="宋体"/>
          <w:color w:val="000000" w:themeColor="text1"/>
          <w:sz w:val="24"/>
          <w:szCs w:val="24"/>
          <w:highlight w:val="none"/>
          <w:u w:val="single"/>
          <w14:textFill>
            <w14:solidFill>
              <w14:schemeClr w14:val="tx1"/>
            </w14:solidFill>
          </w14:textFill>
        </w:rPr>
        <w:t xml:space="preserve">   </w:t>
      </w:r>
    </w:p>
    <w:p w14:paraId="14A97447">
      <w:pPr>
        <w:spacing w:before="312" w:beforeLines="100" w:after="312" w:afterLines="100"/>
        <w:outlineLvl w:val="2"/>
        <w:rPr>
          <w:rFonts w:ascii="Times New Roman" w:eastAsia="黑体"/>
          <w:color w:val="000000" w:themeColor="text1"/>
          <w:sz w:val="24"/>
          <w:szCs w:val="24"/>
          <w:highlight w:val="none"/>
          <w14:textFill>
            <w14:solidFill>
              <w14:schemeClr w14:val="tx1"/>
            </w14:solidFill>
          </w14:textFill>
        </w:rPr>
      </w:pPr>
      <w:r>
        <w:rPr>
          <w:rFonts w:ascii="Times New Roman" w:eastAsia="黑体"/>
          <w:b/>
          <w:bCs/>
          <w:color w:val="000000" w:themeColor="text1"/>
          <w:sz w:val="24"/>
          <w:szCs w:val="24"/>
          <w:highlight w:val="none"/>
          <w14:textFill>
            <w14:solidFill>
              <w14:schemeClr w14:val="tx1"/>
            </w14:solidFill>
          </w14:textFill>
        </w:rPr>
        <w:br w:type="page"/>
      </w:r>
      <w:r>
        <w:rPr>
          <w:rFonts w:hint="eastAsia" w:ascii="Times New Roman" w:eastAsia="黑体" w:cs="宋体"/>
          <w:color w:val="000000" w:themeColor="text1"/>
          <w:sz w:val="24"/>
          <w:szCs w:val="24"/>
          <w:highlight w:val="none"/>
          <w14:textFill>
            <w14:solidFill>
              <w14:schemeClr w14:val="tx1"/>
            </w14:solidFill>
          </w14:textFill>
        </w:rPr>
        <w:t>附</w:t>
      </w:r>
      <w:bookmarkStart w:id="640" w:name="_Toc296503231"/>
      <w:bookmarkStart w:id="641" w:name="_Toc296944570"/>
      <w:bookmarkStart w:id="642" w:name="_Toc296347230"/>
      <w:bookmarkStart w:id="643" w:name="_Toc296346732"/>
      <w:bookmarkStart w:id="644" w:name="_Toc296891059"/>
      <w:bookmarkStart w:id="645" w:name="_Toc296891271"/>
      <w:r>
        <w:rPr>
          <w:rFonts w:hint="eastAsia" w:ascii="Times New Roman" w:eastAsia="黑体" w:cs="宋体"/>
          <w:color w:val="000000" w:themeColor="text1"/>
          <w:sz w:val="24"/>
          <w:szCs w:val="24"/>
          <w:highlight w:val="none"/>
          <w14:textFill>
            <w14:solidFill>
              <w14:schemeClr w14:val="tx1"/>
            </w14:solidFill>
          </w14:textFill>
        </w:rPr>
        <w:t>件4：</w:t>
      </w:r>
      <w:bookmarkEnd w:id="625"/>
      <w:bookmarkEnd w:id="640"/>
      <w:bookmarkEnd w:id="641"/>
      <w:bookmarkEnd w:id="642"/>
      <w:bookmarkEnd w:id="643"/>
      <w:bookmarkEnd w:id="644"/>
      <w:bookmarkEnd w:id="645"/>
      <w:r>
        <w:rPr>
          <w:rFonts w:hint="eastAsia" w:ascii="Times New Roman" w:eastAsia="黑体"/>
          <w:color w:val="000000" w:themeColor="text1"/>
          <w:sz w:val="24"/>
          <w:szCs w:val="24"/>
          <w:highlight w:val="none"/>
          <w14:textFill>
            <w14:solidFill>
              <w14:schemeClr w14:val="tx1"/>
            </w14:solidFill>
          </w14:textFill>
        </w:rPr>
        <w:t>项目经理质量终身责任制承诺</w:t>
      </w:r>
    </w:p>
    <w:p w14:paraId="43DE9259">
      <w:pPr>
        <w:spacing w:before="156" w:beforeLines="50" w:after="156" w:afterLines="50" w:line="360" w:lineRule="auto"/>
        <w:jc w:val="center"/>
        <w:rPr>
          <w:rFonts w:cs="宋体"/>
          <w:b/>
          <w:color w:val="000000" w:themeColor="text1"/>
          <w:sz w:val="24"/>
          <w:szCs w:val="24"/>
          <w:highlight w:val="none"/>
          <w14:textFill>
            <w14:solidFill>
              <w14:schemeClr w14:val="tx1"/>
            </w14:solidFill>
          </w14:textFill>
        </w:rPr>
      </w:pPr>
      <w:bookmarkStart w:id="646" w:name="_Toc19417"/>
      <w:bookmarkStart w:id="647" w:name="_Toc14540"/>
      <w:bookmarkStart w:id="648" w:name="_Toc128950250"/>
      <w:r>
        <w:rPr>
          <w:rFonts w:hint="eastAsia" w:cs="宋体"/>
          <w:b/>
          <w:color w:val="000000" w:themeColor="text1"/>
          <w:sz w:val="24"/>
          <w:szCs w:val="24"/>
          <w:highlight w:val="none"/>
          <w14:textFill>
            <w14:solidFill>
              <w14:schemeClr w14:val="tx1"/>
            </w14:solidFill>
          </w14:textFill>
        </w:rPr>
        <w:t>项目经理质量终身责任制承诺</w:t>
      </w:r>
      <w:bookmarkEnd w:id="646"/>
      <w:bookmarkEnd w:id="647"/>
      <w:bookmarkEnd w:id="648"/>
    </w:p>
    <w:p w14:paraId="4CA12FE8">
      <w:pPr>
        <w:spacing w:line="360" w:lineRule="auto"/>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致：</w:t>
      </w:r>
      <w:r>
        <w:rPr>
          <w:rFonts w:hint="eastAsia" w:cs="宋体"/>
          <w:bCs/>
          <w:color w:val="000000" w:themeColor="text1"/>
          <w:sz w:val="24"/>
          <w:szCs w:val="24"/>
          <w:highlight w:val="none"/>
          <w:u w:val="single"/>
          <w14:textFill>
            <w14:solidFill>
              <w14:schemeClr w14:val="tx1"/>
            </w14:solidFill>
          </w14:textFill>
        </w:rPr>
        <w:t>（采购人）</w:t>
      </w:r>
    </w:p>
    <w:p w14:paraId="5EB7AD5F">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本人作为施工项目经理，承担相关质量终身责任，现郑重承诺如下：</w:t>
      </w:r>
    </w:p>
    <w:p w14:paraId="47830A66">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一、在取得施工许可证后进行施工。</w:t>
      </w:r>
    </w:p>
    <w:p w14:paraId="0932D2AF">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二、严格执行施工规范及标准。</w:t>
      </w:r>
    </w:p>
    <w:p w14:paraId="7DC93F10">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三、严格按规定配备施工项目部关键岗位人员，并确保所有人员到岗履职。</w:t>
      </w:r>
    </w:p>
    <w:p w14:paraId="2C85518F">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四、严格按照经施工图审查机构审查合格的工程设计文件及合同约定的质量标准精心组织施工。</w:t>
      </w:r>
    </w:p>
    <w:p w14:paraId="1196A176">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五、施工中采用合格的建筑材料、建筑构配件和设备等，并严格按规定执行见证取样制度。</w:t>
      </w:r>
    </w:p>
    <w:p w14:paraId="5ABCDC6B">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六、建立、健全质量检查、验收制度，严格工序管理，做好隐蔽工程质量的检查和记录。</w:t>
      </w:r>
    </w:p>
    <w:p w14:paraId="1A60E9B0">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七、对施工中出现的质量问题，及时进行整改。严格依法依规履行义务。</w:t>
      </w:r>
    </w:p>
    <w:p w14:paraId="12F1BF3C">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八、履行相关工程质量检查、验收及事故处理等职责。</w:t>
      </w:r>
    </w:p>
    <w:p w14:paraId="5F422069">
      <w:pPr>
        <w:spacing w:line="360" w:lineRule="auto"/>
        <w:ind w:firstLine="480" w:firstLineChars="2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九、履行其他法律法规规定的职责。</w:t>
      </w:r>
    </w:p>
    <w:p w14:paraId="06E23E28">
      <w:pPr>
        <w:spacing w:line="360" w:lineRule="auto"/>
        <w:ind w:left="342" w:leftChars="171" w:firstLine="720" w:firstLineChars="300"/>
        <w:rPr>
          <w:rFonts w:cs="宋体"/>
          <w:bCs/>
          <w:color w:val="000000" w:themeColor="text1"/>
          <w:sz w:val="24"/>
          <w:szCs w:val="24"/>
          <w:highlight w:val="none"/>
          <w14:textFill>
            <w14:solidFill>
              <w14:schemeClr w14:val="tx1"/>
            </w14:solidFill>
          </w14:textFill>
        </w:rPr>
      </w:pPr>
    </w:p>
    <w:p w14:paraId="30772820">
      <w:pPr>
        <w:spacing w:line="360" w:lineRule="auto"/>
        <w:ind w:left="342" w:leftChars="171" w:firstLine="720" w:firstLineChars="300"/>
        <w:rPr>
          <w:rFonts w:cs="宋体"/>
          <w:bCs/>
          <w:color w:val="000000" w:themeColor="text1"/>
          <w:sz w:val="24"/>
          <w:szCs w:val="24"/>
          <w:highlight w:val="none"/>
          <w14:textFill>
            <w14:solidFill>
              <w14:schemeClr w14:val="tx1"/>
            </w14:solidFill>
          </w14:textFill>
        </w:rPr>
      </w:pPr>
    </w:p>
    <w:p w14:paraId="664B11D0">
      <w:pPr>
        <w:spacing w:line="360" w:lineRule="auto"/>
        <w:ind w:left="342" w:leftChars="171" w:firstLine="720" w:firstLineChars="3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项目经理：</w:t>
      </w:r>
      <w:r>
        <w:rPr>
          <w:rFonts w:hint="eastAsia" w:cs="宋体"/>
          <w:bCs/>
          <w:color w:val="000000" w:themeColor="text1"/>
          <w:sz w:val="24"/>
          <w:szCs w:val="24"/>
          <w:highlight w:val="none"/>
          <w:u w:val="single"/>
          <w14:textFill>
            <w14:solidFill>
              <w14:schemeClr w14:val="tx1"/>
            </w14:solidFill>
          </w14:textFill>
        </w:rPr>
        <w:t xml:space="preserve">                   </w:t>
      </w:r>
      <w:r>
        <w:rPr>
          <w:rFonts w:hint="eastAsia" w:cs="宋体"/>
          <w:bCs/>
          <w:color w:val="000000" w:themeColor="text1"/>
          <w:sz w:val="24"/>
          <w:szCs w:val="24"/>
          <w:highlight w:val="none"/>
          <w14:textFill>
            <w14:solidFill>
              <w14:schemeClr w14:val="tx1"/>
            </w14:solidFill>
          </w14:textFill>
        </w:rPr>
        <w:t>（签字）</w:t>
      </w:r>
    </w:p>
    <w:p w14:paraId="68F74F9F">
      <w:pPr>
        <w:spacing w:line="360" w:lineRule="auto"/>
        <w:ind w:left="342" w:leftChars="171" w:firstLine="720" w:firstLineChars="300"/>
        <w:rPr>
          <w:rFonts w:cs="宋体"/>
          <w:bCs/>
          <w:color w:val="000000" w:themeColor="text1"/>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日期：_____年____月____日</w:t>
      </w:r>
    </w:p>
    <w:p w14:paraId="72B678A6">
      <w:pPr>
        <w:pStyle w:val="19"/>
        <w:rPr>
          <w:rFonts w:ascii="宋体" w:hAnsi="宋体" w:eastAsia="宋体" w:cs="宋体"/>
          <w:bCs/>
          <w:color w:val="000000" w:themeColor="text1"/>
          <w:sz w:val="24"/>
          <w:highlight w:val="none"/>
          <w14:textFill>
            <w14:solidFill>
              <w14:schemeClr w14:val="tx1"/>
            </w14:solidFill>
          </w14:textFill>
        </w:rPr>
      </w:pPr>
    </w:p>
    <w:p w14:paraId="5D3F7C1A">
      <w:pPr>
        <w:pStyle w:val="270"/>
        <w:ind w:left="200" w:right="200" w:firstLine="240"/>
        <w:rPr>
          <w:rFonts w:hAnsi="宋体" w:cs="宋体"/>
          <w:color w:val="000000" w:themeColor="text1"/>
          <w:sz w:val="24"/>
          <w:szCs w:val="24"/>
          <w:highlight w:val="none"/>
          <w14:textFill>
            <w14:solidFill>
              <w14:schemeClr w14:val="tx1"/>
            </w14:solidFill>
          </w14:textFill>
        </w:rPr>
        <w:sectPr>
          <w:headerReference r:id="rId7" w:type="default"/>
          <w:footerReference r:id="rId8" w:type="default"/>
          <w:pgSz w:w="11906" w:h="16838"/>
          <w:pgMar w:top="1361" w:right="1361" w:bottom="1361" w:left="1361" w:header="851" w:footer="992" w:gutter="0"/>
          <w:pgNumType w:start="1"/>
          <w:cols w:space="720" w:num="1"/>
          <w:docGrid w:type="lines" w:linePitch="312" w:charSpace="0"/>
        </w:sectPr>
      </w:pPr>
    </w:p>
    <w:p w14:paraId="6788DEC3">
      <w:pPr>
        <w:spacing w:before="312" w:beforeLines="100" w:after="312" w:afterLines="100"/>
        <w:outlineLvl w:val="2"/>
        <w:rPr>
          <w:rFonts w:ascii="Times New Roman" w:eastAsia="黑体" w:cs="宋体"/>
          <w:color w:val="000000" w:themeColor="text1"/>
          <w:sz w:val="24"/>
          <w:szCs w:val="24"/>
          <w:highlight w:val="none"/>
          <w14:textFill>
            <w14:solidFill>
              <w14:schemeClr w14:val="tx1"/>
            </w14:solidFill>
          </w14:textFill>
        </w:rPr>
      </w:pPr>
      <w:bookmarkStart w:id="649" w:name="_Toc128950244"/>
      <w:r>
        <w:rPr>
          <w:rFonts w:hint="eastAsia" w:ascii="Times New Roman" w:eastAsia="黑体"/>
          <w:color w:val="000000" w:themeColor="text1"/>
          <w:sz w:val="24"/>
          <w:szCs w:val="24"/>
          <w:highlight w:val="none"/>
          <w14:textFill>
            <w14:solidFill>
              <w14:schemeClr w14:val="tx1"/>
            </w14:solidFill>
          </w14:textFill>
        </w:rPr>
        <w:t>附件</w:t>
      </w:r>
      <w:r>
        <w:rPr>
          <w:rFonts w:hint="eastAsia" w:ascii="Times New Roman" w:eastAsia="黑体" w:cs="宋体"/>
          <w:color w:val="000000" w:themeColor="text1"/>
          <w:sz w:val="24"/>
          <w:szCs w:val="24"/>
          <w:highlight w:val="none"/>
          <w14:textFill>
            <w14:solidFill>
              <w14:schemeClr w14:val="tx1"/>
            </w14:solidFill>
          </w14:textFill>
        </w:rPr>
        <w:t>5：乙方主要施工管理人员表</w:t>
      </w:r>
    </w:p>
    <w:p w14:paraId="08D6DF92">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乙方主要施工管理人员表</w:t>
      </w:r>
    </w:p>
    <w:tbl>
      <w:tblPr>
        <w:tblStyle w:val="53"/>
        <w:tblW w:w="836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66"/>
        <w:gridCol w:w="1049"/>
        <w:gridCol w:w="840"/>
        <w:gridCol w:w="840"/>
        <w:gridCol w:w="2142"/>
        <w:gridCol w:w="1925"/>
      </w:tblGrid>
      <w:tr w14:paraId="38529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566" w:type="dxa"/>
            <w:tcBorders>
              <w:top w:val="single" w:color="auto" w:sz="12" w:space="0"/>
              <w:bottom w:val="double" w:color="auto" w:sz="6" w:space="0"/>
            </w:tcBorders>
            <w:vAlign w:val="center"/>
          </w:tcPr>
          <w:p w14:paraId="364B99C3">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名称</w:t>
            </w:r>
          </w:p>
        </w:tc>
        <w:tc>
          <w:tcPr>
            <w:tcW w:w="1049" w:type="dxa"/>
            <w:tcBorders>
              <w:top w:val="single" w:color="auto" w:sz="12" w:space="0"/>
              <w:bottom w:val="double" w:color="auto" w:sz="6" w:space="0"/>
            </w:tcBorders>
            <w:vAlign w:val="center"/>
          </w:tcPr>
          <w:p w14:paraId="0D56B0C0">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姓名</w:t>
            </w:r>
          </w:p>
        </w:tc>
        <w:tc>
          <w:tcPr>
            <w:tcW w:w="840" w:type="dxa"/>
            <w:tcBorders>
              <w:top w:val="single" w:color="auto" w:sz="12" w:space="0"/>
              <w:bottom w:val="double" w:color="auto" w:sz="6" w:space="0"/>
            </w:tcBorders>
            <w:vAlign w:val="center"/>
          </w:tcPr>
          <w:p w14:paraId="51C7603C">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职务</w:t>
            </w:r>
          </w:p>
        </w:tc>
        <w:tc>
          <w:tcPr>
            <w:tcW w:w="840" w:type="dxa"/>
            <w:tcBorders>
              <w:top w:val="single" w:color="auto" w:sz="12" w:space="0"/>
              <w:bottom w:val="double" w:color="auto" w:sz="6" w:space="0"/>
            </w:tcBorders>
            <w:vAlign w:val="center"/>
          </w:tcPr>
          <w:p w14:paraId="68C3B742">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职称</w:t>
            </w:r>
          </w:p>
        </w:tc>
        <w:tc>
          <w:tcPr>
            <w:tcW w:w="2142" w:type="dxa"/>
            <w:tcBorders>
              <w:top w:val="single" w:color="auto" w:sz="12" w:space="0"/>
              <w:bottom w:val="double" w:color="auto" w:sz="6" w:space="0"/>
            </w:tcBorders>
            <w:vAlign w:val="center"/>
          </w:tcPr>
          <w:p w14:paraId="375A5A89">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主要资历、经验及承担过的项目</w:t>
            </w:r>
          </w:p>
        </w:tc>
        <w:tc>
          <w:tcPr>
            <w:tcW w:w="1925" w:type="dxa"/>
            <w:tcBorders>
              <w:top w:val="single" w:color="auto" w:sz="12" w:space="0"/>
              <w:bottom w:val="double" w:color="auto" w:sz="6" w:space="0"/>
            </w:tcBorders>
            <w:vAlign w:val="center"/>
          </w:tcPr>
          <w:p w14:paraId="20500167">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身份证号码</w:t>
            </w:r>
          </w:p>
        </w:tc>
      </w:tr>
      <w:tr w14:paraId="506BA6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6437" w:type="dxa"/>
            <w:gridSpan w:val="5"/>
            <w:tcBorders>
              <w:top w:val="double" w:color="auto" w:sz="6" w:space="0"/>
            </w:tcBorders>
            <w:vAlign w:val="center"/>
          </w:tcPr>
          <w:p w14:paraId="53BB9AED">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一、总部人员</w:t>
            </w:r>
          </w:p>
        </w:tc>
        <w:tc>
          <w:tcPr>
            <w:tcW w:w="1925" w:type="dxa"/>
            <w:tcBorders>
              <w:top w:val="double" w:color="auto" w:sz="6" w:space="0"/>
            </w:tcBorders>
            <w:vAlign w:val="center"/>
          </w:tcPr>
          <w:p w14:paraId="5F335C60">
            <w:pPr>
              <w:keepNext/>
              <w:spacing w:line="360" w:lineRule="auto"/>
              <w:jc w:val="center"/>
              <w:rPr>
                <w:rFonts w:cs="宋体"/>
                <w:color w:val="000000" w:themeColor="text1"/>
                <w:sz w:val="24"/>
                <w:szCs w:val="24"/>
                <w:highlight w:val="none"/>
                <w14:textFill>
                  <w14:solidFill>
                    <w14:schemeClr w14:val="tx1"/>
                  </w14:solidFill>
                </w14:textFill>
              </w:rPr>
            </w:pPr>
          </w:p>
        </w:tc>
      </w:tr>
      <w:tr w14:paraId="3F6F8C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tcBorders>
              <w:top w:val="nil"/>
              <w:bottom w:val="nil"/>
            </w:tcBorders>
            <w:vAlign w:val="center"/>
          </w:tcPr>
          <w:p w14:paraId="4CDB2A29">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项目主管领导</w:t>
            </w:r>
          </w:p>
        </w:tc>
        <w:tc>
          <w:tcPr>
            <w:tcW w:w="1049" w:type="dxa"/>
            <w:tcBorders>
              <w:top w:val="nil"/>
            </w:tcBorders>
            <w:vAlign w:val="center"/>
          </w:tcPr>
          <w:p w14:paraId="0EED4CF3">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tcBorders>
              <w:top w:val="nil"/>
            </w:tcBorders>
            <w:vAlign w:val="center"/>
          </w:tcPr>
          <w:p w14:paraId="40ADC8E4">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tcBorders>
              <w:top w:val="nil"/>
            </w:tcBorders>
            <w:vAlign w:val="center"/>
          </w:tcPr>
          <w:p w14:paraId="660098A9">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tcBorders>
              <w:top w:val="nil"/>
            </w:tcBorders>
            <w:vAlign w:val="center"/>
          </w:tcPr>
          <w:p w14:paraId="3FED7053">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tcBorders>
              <w:top w:val="nil"/>
            </w:tcBorders>
            <w:vAlign w:val="center"/>
          </w:tcPr>
          <w:p w14:paraId="12FAED55">
            <w:pPr>
              <w:keepNext/>
              <w:spacing w:line="360" w:lineRule="auto"/>
              <w:jc w:val="center"/>
              <w:rPr>
                <w:rFonts w:cs="宋体"/>
                <w:color w:val="000000" w:themeColor="text1"/>
                <w:sz w:val="24"/>
                <w:szCs w:val="24"/>
                <w:highlight w:val="none"/>
                <w14:textFill>
                  <w14:solidFill>
                    <w14:schemeClr w14:val="tx1"/>
                  </w14:solidFill>
                </w14:textFill>
              </w:rPr>
            </w:pPr>
          </w:p>
        </w:tc>
      </w:tr>
      <w:tr w14:paraId="36CA99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restart"/>
            <w:vAlign w:val="center"/>
          </w:tcPr>
          <w:p w14:paraId="357973C8">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其他人员</w:t>
            </w:r>
          </w:p>
        </w:tc>
        <w:tc>
          <w:tcPr>
            <w:tcW w:w="1049" w:type="dxa"/>
            <w:vAlign w:val="center"/>
          </w:tcPr>
          <w:p w14:paraId="0F5B9B4C">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48616BB4">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5C6DC1F7">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79B6F7F2">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7B52E93C">
            <w:pPr>
              <w:keepNext/>
              <w:spacing w:line="360" w:lineRule="auto"/>
              <w:jc w:val="center"/>
              <w:rPr>
                <w:rFonts w:cs="宋体"/>
                <w:color w:val="000000" w:themeColor="text1"/>
                <w:sz w:val="24"/>
                <w:szCs w:val="24"/>
                <w:highlight w:val="none"/>
                <w14:textFill>
                  <w14:solidFill>
                    <w14:schemeClr w14:val="tx1"/>
                  </w14:solidFill>
                </w14:textFill>
              </w:rPr>
            </w:pPr>
          </w:p>
        </w:tc>
      </w:tr>
      <w:tr w14:paraId="576726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continue"/>
            <w:vAlign w:val="center"/>
          </w:tcPr>
          <w:p w14:paraId="156C194E">
            <w:pPr>
              <w:spacing w:line="360" w:lineRule="auto"/>
              <w:jc w:val="center"/>
              <w:rPr>
                <w:rFonts w:cs="宋体"/>
                <w:color w:val="000000" w:themeColor="text1"/>
                <w:sz w:val="24"/>
                <w:szCs w:val="24"/>
                <w:highlight w:val="none"/>
                <w14:textFill>
                  <w14:solidFill>
                    <w14:schemeClr w14:val="tx1"/>
                  </w14:solidFill>
                </w14:textFill>
              </w:rPr>
            </w:pPr>
          </w:p>
        </w:tc>
        <w:tc>
          <w:tcPr>
            <w:tcW w:w="1049" w:type="dxa"/>
            <w:vAlign w:val="center"/>
          </w:tcPr>
          <w:p w14:paraId="6F1375BD">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5898BA89">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763902BE">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042B1F39">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05598C47">
            <w:pPr>
              <w:keepNext/>
              <w:spacing w:line="360" w:lineRule="auto"/>
              <w:jc w:val="center"/>
              <w:rPr>
                <w:rFonts w:cs="宋体"/>
                <w:color w:val="000000" w:themeColor="text1"/>
                <w:sz w:val="24"/>
                <w:szCs w:val="24"/>
                <w:highlight w:val="none"/>
                <w14:textFill>
                  <w14:solidFill>
                    <w14:schemeClr w14:val="tx1"/>
                  </w14:solidFill>
                </w14:textFill>
              </w:rPr>
            </w:pPr>
          </w:p>
        </w:tc>
      </w:tr>
      <w:tr w14:paraId="71F33F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continue"/>
            <w:tcBorders>
              <w:bottom w:val="nil"/>
            </w:tcBorders>
            <w:vAlign w:val="center"/>
          </w:tcPr>
          <w:p w14:paraId="2B40E599">
            <w:pPr>
              <w:spacing w:line="360" w:lineRule="auto"/>
              <w:jc w:val="center"/>
              <w:rPr>
                <w:rFonts w:cs="宋体"/>
                <w:color w:val="000000" w:themeColor="text1"/>
                <w:sz w:val="24"/>
                <w:szCs w:val="24"/>
                <w:highlight w:val="none"/>
                <w14:textFill>
                  <w14:solidFill>
                    <w14:schemeClr w14:val="tx1"/>
                  </w14:solidFill>
                </w14:textFill>
              </w:rPr>
            </w:pPr>
          </w:p>
        </w:tc>
        <w:tc>
          <w:tcPr>
            <w:tcW w:w="1049" w:type="dxa"/>
            <w:vAlign w:val="center"/>
          </w:tcPr>
          <w:p w14:paraId="73B4D786">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7BBD31AD">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2427BFBF">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23F3CCA5">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5AFE89A4">
            <w:pPr>
              <w:keepNext/>
              <w:spacing w:line="360" w:lineRule="auto"/>
              <w:jc w:val="center"/>
              <w:rPr>
                <w:rFonts w:cs="宋体"/>
                <w:color w:val="000000" w:themeColor="text1"/>
                <w:sz w:val="24"/>
                <w:szCs w:val="24"/>
                <w:highlight w:val="none"/>
                <w14:textFill>
                  <w14:solidFill>
                    <w14:schemeClr w14:val="tx1"/>
                  </w14:solidFill>
                </w14:textFill>
              </w:rPr>
            </w:pPr>
          </w:p>
        </w:tc>
      </w:tr>
      <w:tr w14:paraId="522F12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6437" w:type="dxa"/>
            <w:gridSpan w:val="5"/>
            <w:vAlign w:val="center"/>
          </w:tcPr>
          <w:p w14:paraId="1BCAAE8F">
            <w:pPr>
              <w:keepNext/>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二、现场人员</w:t>
            </w:r>
          </w:p>
        </w:tc>
        <w:tc>
          <w:tcPr>
            <w:tcW w:w="1925" w:type="dxa"/>
            <w:vAlign w:val="center"/>
          </w:tcPr>
          <w:p w14:paraId="4997734C">
            <w:pPr>
              <w:keepNext/>
              <w:spacing w:line="360" w:lineRule="auto"/>
              <w:jc w:val="center"/>
              <w:rPr>
                <w:rFonts w:cs="宋体"/>
                <w:color w:val="000000" w:themeColor="text1"/>
                <w:sz w:val="24"/>
                <w:szCs w:val="24"/>
                <w:highlight w:val="none"/>
                <w14:textFill>
                  <w14:solidFill>
                    <w14:schemeClr w14:val="tx1"/>
                  </w14:solidFill>
                </w14:textFill>
              </w:rPr>
            </w:pPr>
          </w:p>
        </w:tc>
      </w:tr>
      <w:tr w14:paraId="6A31B4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Align w:val="center"/>
          </w:tcPr>
          <w:p w14:paraId="72D889C8">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项目经理</w:t>
            </w:r>
          </w:p>
        </w:tc>
        <w:tc>
          <w:tcPr>
            <w:tcW w:w="1049" w:type="dxa"/>
            <w:vAlign w:val="center"/>
          </w:tcPr>
          <w:p w14:paraId="782AA428">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16E87EF5">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705B2A2F">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746E3B37">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43E2ADC8">
            <w:pPr>
              <w:keepNext/>
              <w:spacing w:line="360" w:lineRule="auto"/>
              <w:jc w:val="center"/>
              <w:rPr>
                <w:rFonts w:cs="宋体"/>
                <w:color w:val="000000" w:themeColor="text1"/>
                <w:sz w:val="24"/>
                <w:szCs w:val="24"/>
                <w:highlight w:val="none"/>
                <w14:textFill>
                  <w14:solidFill>
                    <w14:schemeClr w14:val="tx1"/>
                  </w14:solidFill>
                </w14:textFill>
              </w:rPr>
            </w:pPr>
          </w:p>
        </w:tc>
      </w:tr>
      <w:tr w14:paraId="560732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Align w:val="center"/>
          </w:tcPr>
          <w:p w14:paraId="0FF168C7">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项目副经理</w:t>
            </w:r>
          </w:p>
        </w:tc>
        <w:tc>
          <w:tcPr>
            <w:tcW w:w="1049" w:type="dxa"/>
            <w:vAlign w:val="center"/>
          </w:tcPr>
          <w:p w14:paraId="3B4D4108">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1DC4A63A">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1C29BC24">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082365FB">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510C0ACD">
            <w:pPr>
              <w:keepNext/>
              <w:spacing w:line="360" w:lineRule="auto"/>
              <w:jc w:val="center"/>
              <w:rPr>
                <w:rFonts w:cs="宋体"/>
                <w:color w:val="000000" w:themeColor="text1"/>
                <w:sz w:val="24"/>
                <w:szCs w:val="24"/>
                <w:highlight w:val="none"/>
                <w14:textFill>
                  <w14:solidFill>
                    <w14:schemeClr w14:val="tx1"/>
                  </w14:solidFill>
                </w14:textFill>
              </w:rPr>
            </w:pPr>
          </w:p>
        </w:tc>
      </w:tr>
      <w:tr w14:paraId="3C4699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Align w:val="center"/>
          </w:tcPr>
          <w:p w14:paraId="6D211639">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项目技术负责人</w:t>
            </w:r>
          </w:p>
        </w:tc>
        <w:tc>
          <w:tcPr>
            <w:tcW w:w="1049" w:type="dxa"/>
            <w:vAlign w:val="center"/>
          </w:tcPr>
          <w:p w14:paraId="295E84A4">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2A134BD7">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41513CCA">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6495E85F">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6600804B">
            <w:pPr>
              <w:keepNext/>
              <w:spacing w:line="360" w:lineRule="auto"/>
              <w:jc w:val="center"/>
              <w:rPr>
                <w:rFonts w:cs="宋体"/>
                <w:color w:val="000000" w:themeColor="text1"/>
                <w:sz w:val="24"/>
                <w:szCs w:val="24"/>
                <w:highlight w:val="none"/>
                <w14:textFill>
                  <w14:solidFill>
                    <w14:schemeClr w14:val="tx1"/>
                  </w14:solidFill>
                </w14:textFill>
              </w:rPr>
            </w:pPr>
          </w:p>
        </w:tc>
      </w:tr>
      <w:tr w14:paraId="3D7BD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Align w:val="center"/>
          </w:tcPr>
          <w:p w14:paraId="7B867401">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施工员</w:t>
            </w:r>
          </w:p>
        </w:tc>
        <w:tc>
          <w:tcPr>
            <w:tcW w:w="1049" w:type="dxa"/>
            <w:vAlign w:val="center"/>
          </w:tcPr>
          <w:p w14:paraId="701D4F35">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2F74A668">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2920AAE4">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6548AEC3">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3065690D">
            <w:pPr>
              <w:keepNext/>
              <w:spacing w:line="360" w:lineRule="auto"/>
              <w:jc w:val="center"/>
              <w:rPr>
                <w:rFonts w:cs="宋体"/>
                <w:color w:val="000000" w:themeColor="text1"/>
                <w:sz w:val="24"/>
                <w:szCs w:val="24"/>
                <w:highlight w:val="none"/>
                <w14:textFill>
                  <w14:solidFill>
                    <w14:schemeClr w14:val="tx1"/>
                  </w14:solidFill>
                </w14:textFill>
              </w:rPr>
            </w:pPr>
          </w:p>
        </w:tc>
      </w:tr>
      <w:tr w14:paraId="465212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Align w:val="center"/>
          </w:tcPr>
          <w:p w14:paraId="52A7C442">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质检员（质量员）</w:t>
            </w:r>
          </w:p>
        </w:tc>
        <w:tc>
          <w:tcPr>
            <w:tcW w:w="1049" w:type="dxa"/>
            <w:vAlign w:val="center"/>
          </w:tcPr>
          <w:p w14:paraId="0920EE99">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4F6E1628">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4D54EDAC">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4E2EC3F6">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7320A475">
            <w:pPr>
              <w:keepNext/>
              <w:spacing w:line="360" w:lineRule="auto"/>
              <w:jc w:val="center"/>
              <w:rPr>
                <w:rFonts w:cs="宋体"/>
                <w:color w:val="000000" w:themeColor="text1"/>
                <w:sz w:val="24"/>
                <w:szCs w:val="24"/>
                <w:highlight w:val="none"/>
                <w14:textFill>
                  <w14:solidFill>
                    <w14:schemeClr w14:val="tx1"/>
                  </w14:solidFill>
                </w14:textFill>
              </w:rPr>
            </w:pPr>
          </w:p>
        </w:tc>
      </w:tr>
      <w:tr w14:paraId="67CC25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Align w:val="center"/>
          </w:tcPr>
          <w:p w14:paraId="559D2F17">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安全员</w:t>
            </w:r>
          </w:p>
        </w:tc>
        <w:tc>
          <w:tcPr>
            <w:tcW w:w="1049" w:type="dxa"/>
            <w:vAlign w:val="center"/>
          </w:tcPr>
          <w:p w14:paraId="0A2456BB">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2F200173">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79E4777C">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4CC8C0AA">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4C9413E5">
            <w:pPr>
              <w:keepNext/>
              <w:spacing w:line="360" w:lineRule="auto"/>
              <w:jc w:val="center"/>
              <w:rPr>
                <w:rFonts w:cs="宋体"/>
                <w:color w:val="000000" w:themeColor="text1"/>
                <w:sz w:val="24"/>
                <w:szCs w:val="24"/>
                <w:highlight w:val="none"/>
                <w14:textFill>
                  <w14:solidFill>
                    <w14:schemeClr w14:val="tx1"/>
                  </w14:solidFill>
                </w14:textFill>
              </w:rPr>
            </w:pPr>
          </w:p>
        </w:tc>
      </w:tr>
      <w:tr w14:paraId="1CE59A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Align w:val="center"/>
          </w:tcPr>
          <w:p w14:paraId="1DD08C91">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资料员</w:t>
            </w:r>
          </w:p>
        </w:tc>
        <w:tc>
          <w:tcPr>
            <w:tcW w:w="1049" w:type="dxa"/>
            <w:vAlign w:val="center"/>
          </w:tcPr>
          <w:p w14:paraId="64AD6666">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6B3E3B15">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4D6D8146">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7D0542F4">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4DE67364">
            <w:pPr>
              <w:keepNext/>
              <w:spacing w:line="360" w:lineRule="auto"/>
              <w:jc w:val="center"/>
              <w:rPr>
                <w:rFonts w:cs="宋体"/>
                <w:color w:val="000000" w:themeColor="text1"/>
                <w:sz w:val="24"/>
                <w:szCs w:val="24"/>
                <w:highlight w:val="none"/>
                <w14:textFill>
                  <w14:solidFill>
                    <w14:schemeClr w14:val="tx1"/>
                  </w14:solidFill>
                </w14:textFill>
              </w:rPr>
            </w:pPr>
          </w:p>
        </w:tc>
      </w:tr>
      <w:tr w14:paraId="191723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restart"/>
            <w:vAlign w:val="center"/>
          </w:tcPr>
          <w:p w14:paraId="2F6F506F">
            <w:pPr>
              <w:spacing w:line="360" w:lineRule="auto"/>
              <w:jc w:val="center"/>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其他人员</w:t>
            </w:r>
          </w:p>
        </w:tc>
        <w:tc>
          <w:tcPr>
            <w:tcW w:w="1049" w:type="dxa"/>
            <w:vAlign w:val="center"/>
          </w:tcPr>
          <w:p w14:paraId="5C6D7622">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6E59DEF3">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08CB0000">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6ECBACE1">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16B42C60">
            <w:pPr>
              <w:keepNext/>
              <w:spacing w:line="360" w:lineRule="auto"/>
              <w:jc w:val="center"/>
              <w:rPr>
                <w:rFonts w:cs="宋体"/>
                <w:color w:val="000000" w:themeColor="text1"/>
                <w:sz w:val="24"/>
                <w:szCs w:val="24"/>
                <w:highlight w:val="none"/>
                <w14:textFill>
                  <w14:solidFill>
                    <w14:schemeClr w14:val="tx1"/>
                  </w14:solidFill>
                </w14:textFill>
              </w:rPr>
            </w:pPr>
          </w:p>
        </w:tc>
      </w:tr>
      <w:tr w14:paraId="78747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continue"/>
            <w:vAlign w:val="center"/>
          </w:tcPr>
          <w:p w14:paraId="27B73AE2">
            <w:pPr>
              <w:keepNext/>
              <w:spacing w:line="360" w:lineRule="auto"/>
              <w:jc w:val="center"/>
              <w:rPr>
                <w:rFonts w:cs="宋体"/>
                <w:color w:val="000000" w:themeColor="text1"/>
                <w:sz w:val="24"/>
                <w:szCs w:val="24"/>
                <w:highlight w:val="none"/>
                <w14:textFill>
                  <w14:solidFill>
                    <w14:schemeClr w14:val="tx1"/>
                  </w14:solidFill>
                </w14:textFill>
              </w:rPr>
            </w:pPr>
          </w:p>
        </w:tc>
        <w:tc>
          <w:tcPr>
            <w:tcW w:w="1049" w:type="dxa"/>
            <w:tcBorders>
              <w:bottom w:val="nil"/>
            </w:tcBorders>
            <w:vAlign w:val="center"/>
          </w:tcPr>
          <w:p w14:paraId="3B5AB69C">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tcBorders>
              <w:bottom w:val="nil"/>
            </w:tcBorders>
            <w:vAlign w:val="center"/>
          </w:tcPr>
          <w:p w14:paraId="221C5597">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tcBorders>
              <w:bottom w:val="nil"/>
            </w:tcBorders>
            <w:vAlign w:val="center"/>
          </w:tcPr>
          <w:p w14:paraId="340C504E">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tcBorders>
              <w:bottom w:val="nil"/>
            </w:tcBorders>
            <w:vAlign w:val="center"/>
          </w:tcPr>
          <w:p w14:paraId="5771A0FE">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tcBorders>
              <w:bottom w:val="nil"/>
            </w:tcBorders>
            <w:vAlign w:val="center"/>
          </w:tcPr>
          <w:p w14:paraId="3D3A1640">
            <w:pPr>
              <w:keepNext/>
              <w:spacing w:line="360" w:lineRule="auto"/>
              <w:jc w:val="center"/>
              <w:rPr>
                <w:rFonts w:cs="宋体"/>
                <w:color w:val="000000" w:themeColor="text1"/>
                <w:sz w:val="24"/>
                <w:szCs w:val="24"/>
                <w:highlight w:val="none"/>
                <w14:textFill>
                  <w14:solidFill>
                    <w14:schemeClr w14:val="tx1"/>
                  </w14:solidFill>
                </w14:textFill>
              </w:rPr>
            </w:pPr>
          </w:p>
        </w:tc>
      </w:tr>
      <w:tr w14:paraId="225846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continue"/>
            <w:vAlign w:val="center"/>
          </w:tcPr>
          <w:p w14:paraId="270FE8EF">
            <w:pPr>
              <w:keepNext/>
              <w:spacing w:line="360" w:lineRule="auto"/>
              <w:jc w:val="center"/>
              <w:rPr>
                <w:rFonts w:cs="宋体"/>
                <w:color w:val="000000" w:themeColor="text1"/>
                <w:sz w:val="24"/>
                <w:szCs w:val="24"/>
                <w:highlight w:val="none"/>
                <w14:textFill>
                  <w14:solidFill>
                    <w14:schemeClr w14:val="tx1"/>
                  </w14:solidFill>
                </w14:textFill>
              </w:rPr>
            </w:pPr>
          </w:p>
        </w:tc>
        <w:tc>
          <w:tcPr>
            <w:tcW w:w="1049" w:type="dxa"/>
            <w:vAlign w:val="center"/>
          </w:tcPr>
          <w:p w14:paraId="2867D717">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32B36506">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27375E97">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12347E4E">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02DE39B3">
            <w:pPr>
              <w:keepNext/>
              <w:spacing w:line="360" w:lineRule="auto"/>
              <w:jc w:val="center"/>
              <w:rPr>
                <w:rFonts w:cs="宋体"/>
                <w:color w:val="000000" w:themeColor="text1"/>
                <w:sz w:val="24"/>
                <w:szCs w:val="24"/>
                <w:highlight w:val="none"/>
                <w14:textFill>
                  <w14:solidFill>
                    <w14:schemeClr w14:val="tx1"/>
                  </w14:solidFill>
                </w14:textFill>
              </w:rPr>
            </w:pPr>
          </w:p>
        </w:tc>
      </w:tr>
      <w:tr w14:paraId="563183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continue"/>
            <w:vAlign w:val="center"/>
          </w:tcPr>
          <w:p w14:paraId="2FA1A203">
            <w:pPr>
              <w:keepNext/>
              <w:spacing w:line="360" w:lineRule="auto"/>
              <w:jc w:val="center"/>
              <w:rPr>
                <w:rFonts w:cs="宋体"/>
                <w:color w:val="000000" w:themeColor="text1"/>
                <w:sz w:val="24"/>
                <w:szCs w:val="24"/>
                <w:highlight w:val="none"/>
                <w14:textFill>
                  <w14:solidFill>
                    <w14:schemeClr w14:val="tx1"/>
                  </w14:solidFill>
                </w14:textFill>
              </w:rPr>
            </w:pPr>
          </w:p>
        </w:tc>
        <w:tc>
          <w:tcPr>
            <w:tcW w:w="1049" w:type="dxa"/>
            <w:vAlign w:val="center"/>
          </w:tcPr>
          <w:p w14:paraId="66D10EA6">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7D2BF408">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1A3DCF2B">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50416CA0">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78F12551">
            <w:pPr>
              <w:keepNext/>
              <w:spacing w:line="360" w:lineRule="auto"/>
              <w:jc w:val="center"/>
              <w:rPr>
                <w:rFonts w:cs="宋体"/>
                <w:color w:val="000000" w:themeColor="text1"/>
                <w:sz w:val="24"/>
                <w:szCs w:val="24"/>
                <w:highlight w:val="none"/>
                <w14:textFill>
                  <w14:solidFill>
                    <w14:schemeClr w14:val="tx1"/>
                  </w14:solidFill>
                </w14:textFill>
              </w:rPr>
            </w:pPr>
          </w:p>
        </w:tc>
      </w:tr>
      <w:tr w14:paraId="76CA1B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continue"/>
            <w:vAlign w:val="center"/>
          </w:tcPr>
          <w:p w14:paraId="449053B9">
            <w:pPr>
              <w:keepNext/>
              <w:spacing w:line="360" w:lineRule="auto"/>
              <w:jc w:val="center"/>
              <w:rPr>
                <w:rFonts w:cs="宋体"/>
                <w:color w:val="000000" w:themeColor="text1"/>
                <w:sz w:val="24"/>
                <w:szCs w:val="24"/>
                <w:highlight w:val="none"/>
                <w14:textFill>
                  <w14:solidFill>
                    <w14:schemeClr w14:val="tx1"/>
                  </w14:solidFill>
                </w14:textFill>
              </w:rPr>
            </w:pPr>
          </w:p>
        </w:tc>
        <w:tc>
          <w:tcPr>
            <w:tcW w:w="1049" w:type="dxa"/>
            <w:vAlign w:val="center"/>
          </w:tcPr>
          <w:p w14:paraId="6FE8AD15">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4C44E667">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vAlign w:val="center"/>
          </w:tcPr>
          <w:p w14:paraId="0A47ED4A">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vAlign w:val="center"/>
          </w:tcPr>
          <w:p w14:paraId="0466EAA1">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vAlign w:val="center"/>
          </w:tcPr>
          <w:p w14:paraId="7B43E58C">
            <w:pPr>
              <w:keepNext/>
              <w:spacing w:line="360" w:lineRule="auto"/>
              <w:jc w:val="center"/>
              <w:rPr>
                <w:rFonts w:cs="宋体"/>
                <w:color w:val="000000" w:themeColor="text1"/>
                <w:sz w:val="24"/>
                <w:szCs w:val="24"/>
                <w:highlight w:val="none"/>
                <w14:textFill>
                  <w14:solidFill>
                    <w14:schemeClr w14:val="tx1"/>
                  </w14:solidFill>
                </w14:textFill>
              </w:rPr>
            </w:pPr>
          </w:p>
        </w:tc>
      </w:tr>
      <w:tr w14:paraId="06263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6" w:type="dxa"/>
            <w:vMerge w:val="continue"/>
            <w:tcBorders>
              <w:bottom w:val="single" w:color="auto" w:sz="12" w:space="0"/>
            </w:tcBorders>
            <w:vAlign w:val="center"/>
          </w:tcPr>
          <w:p w14:paraId="428DF037">
            <w:pPr>
              <w:keepNext/>
              <w:spacing w:line="360" w:lineRule="auto"/>
              <w:jc w:val="center"/>
              <w:rPr>
                <w:rFonts w:cs="宋体"/>
                <w:color w:val="000000" w:themeColor="text1"/>
                <w:sz w:val="24"/>
                <w:szCs w:val="24"/>
                <w:highlight w:val="none"/>
                <w14:textFill>
                  <w14:solidFill>
                    <w14:schemeClr w14:val="tx1"/>
                  </w14:solidFill>
                </w14:textFill>
              </w:rPr>
            </w:pPr>
          </w:p>
        </w:tc>
        <w:tc>
          <w:tcPr>
            <w:tcW w:w="1049" w:type="dxa"/>
            <w:tcBorders>
              <w:bottom w:val="single" w:color="auto" w:sz="12" w:space="0"/>
            </w:tcBorders>
            <w:vAlign w:val="center"/>
          </w:tcPr>
          <w:p w14:paraId="5A454B6A">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tcBorders>
              <w:bottom w:val="single" w:color="auto" w:sz="12" w:space="0"/>
            </w:tcBorders>
            <w:vAlign w:val="center"/>
          </w:tcPr>
          <w:p w14:paraId="2F6B0EC1">
            <w:pPr>
              <w:keepNext/>
              <w:spacing w:line="360" w:lineRule="auto"/>
              <w:jc w:val="center"/>
              <w:rPr>
                <w:rFonts w:cs="宋体"/>
                <w:color w:val="000000" w:themeColor="text1"/>
                <w:sz w:val="24"/>
                <w:szCs w:val="24"/>
                <w:highlight w:val="none"/>
                <w14:textFill>
                  <w14:solidFill>
                    <w14:schemeClr w14:val="tx1"/>
                  </w14:solidFill>
                </w14:textFill>
              </w:rPr>
            </w:pPr>
          </w:p>
        </w:tc>
        <w:tc>
          <w:tcPr>
            <w:tcW w:w="840" w:type="dxa"/>
            <w:tcBorders>
              <w:bottom w:val="single" w:color="auto" w:sz="12" w:space="0"/>
            </w:tcBorders>
            <w:vAlign w:val="center"/>
          </w:tcPr>
          <w:p w14:paraId="3921D582">
            <w:pPr>
              <w:keepNext/>
              <w:spacing w:line="360" w:lineRule="auto"/>
              <w:jc w:val="center"/>
              <w:rPr>
                <w:rFonts w:cs="宋体"/>
                <w:color w:val="000000" w:themeColor="text1"/>
                <w:sz w:val="24"/>
                <w:szCs w:val="24"/>
                <w:highlight w:val="none"/>
                <w14:textFill>
                  <w14:solidFill>
                    <w14:schemeClr w14:val="tx1"/>
                  </w14:solidFill>
                </w14:textFill>
              </w:rPr>
            </w:pPr>
          </w:p>
        </w:tc>
        <w:tc>
          <w:tcPr>
            <w:tcW w:w="2142" w:type="dxa"/>
            <w:tcBorders>
              <w:bottom w:val="single" w:color="auto" w:sz="12" w:space="0"/>
            </w:tcBorders>
            <w:vAlign w:val="center"/>
          </w:tcPr>
          <w:p w14:paraId="6208BC6F">
            <w:pPr>
              <w:keepNext/>
              <w:spacing w:line="360" w:lineRule="auto"/>
              <w:jc w:val="center"/>
              <w:rPr>
                <w:rFonts w:cs="宋体"/>
                <w:color w:val="000000" w:themeColor="text1"/>
                <w:sz w:val="24"/>
                <w:szCs w:val="24"/>
                <w:highlight w:val="none"/>
                <w14:textFill>
                  <w14:solidFill>
                    <w14:schemeClr w14:val="tx1"/>
                  </w14:solidFill>
                </w14:textFill>
              </w:rPr>
            </w:pPr>
          </w:p>
        </w:tc>
        <w:tc>
          <w:tcPr>
            <w:tcW w:w="1925" w:type="dxa"/>
            <w:tcBorders>
              <w:bottom w:val="single" w:color="auto" w:sz="12" w:space="0"/>
            </w:tcBorders>
            <w:vAlign w:val="center"/>
          </w:tcPr>
          <w:p w14:paraId="0431D0DC">
            <w:pPr>
              <w:keepNext/>
              <w:spacing w:line="360" w:lineRule="auto"/>
              <w:jc w:val="center"/>
              <w:rPr>
                <w:rFonts w:cs="宋体"/>
                <w:color w:val="000000" w:themeColor="text1"/>
                <w:sz w:val="24"/>
                <w:szCs w:val="24"/>
                <w:highlight w:val="none"/>
                <w14:textFill>
                  <w14:solidFill>
                    <w14:schemeClr w14:val="tx1"/>
                  </w14:solidFill>
                </w14:textFill>
              </w:rPr>
            </w:pPr>
          </w:p>
        </w:tc>
      </w:tr>
    </w:tbl>
    <w:p w14:paraId="02EFB32C">
      <w:pPr>
        <w:spacing w:before="312" w:beforeLines="100" w:after="312" w:afterLines="100"/>
        <w:rPr>
          <w:rFonts w:ascii="Times New Roman" w:eastAsia="黑体"/>
          <w:color w:val="000000" w:themeColor="text1"/>
          <w:sz w:val="24"/>
          <w:szCs w:val="24"/>
          <w:highlight w:val="none"/>
          <w14:textFill>
            <w14:solidFill>
              <w14:schemeClr w14:val="tx1"/>
            </w14:solidFill>
          </w14:textFill>
        </w:rPr>
      </w:pPr>
    </w:p>
    <w:p w14:paraId="40B94BF1">
      <w:pPr>
        <w:rPr>
          <w:rFonts w:ascii="Times New Roman" w:eastAsia="黑体"/>
          <w:color w:val="000000" w:themeColor="text1"/>
          <w:sz w:val="24"/>
          <w:szCs w:val="24"/>
          <w:highlight w:val="none"/>
          <w14:textFill>
            <w14:solidFill>
              <w14:schemeClr w14:val="tx1"/>
            </w14:solidFill>
          </w14:textFill>
        </w:rPr>
      </w:pPr>
      <w:r>
        <w:rPr>
          <w:rFonts w:hint="eastAsia" w:ascii="Times New Roman" w:eastAsia="黑体"/>
          <w:color w:val="000000" w:themeColor="text1"/>
          <w:sz w:val="24"/>
          <w:szCs w:val="24"/>
          <w:highlight w:val="none"/>
          <w14:textFill>
            <w14:solidFill>
              <w14:schemeClr w14:val="tx1"/>
            </w14:solidFill>
          </w14:textFill>
        </w:rPr>
        <w:br w:type="page"/>
      </w:r>
    </w:p>
    <w:p w14:paraId="1FA335CC">
      <w:pPr>
        <w:spacing w:before="312" w:beforeLines="100" w:after="312" w:afterLines="100"/>
        <w:outlineLvl w:val="2"/>
        <w:rPr>
          <w:rFonts w:ascii="Times New Roman" w:eastAsia="黑体"/>
          <w:color w:val="000000" w:themeColor="text1"/>
          <w:sz w:val="24"/>
          <w:szCs w:val="24"/>
          <w:highlight w:val="none"/>
          <w14:textFill>
            <w14:solidFill>
              <w14:schemeClr w14:val="tx1"/>
            </w14:solidFill>
          </w14:textFill>
        </w:rPr>
      </w:pPr>
      <w:r>
        <w:rPr>
          <w:rFonts w:hint="eastAsia" w:ascii="Times New Roman" w:eastAsia="黑体"/>
          <w:color w:val="000000" w:themeColor="text1"/>
          <w:sz w:val="24"/>
          <w:szCs w:val="24"/>
          <w:highlight w:val="none"/>
          <w14:textFill>
            <w14:solidFill>
              <w14:schemeClr w14:val="tx1"/>
            </w14:solidFill>
          </w14:textFill>
        </w:rPr>
        <w:t>附件6：履约保证金</w:t>
      </w:r>
      <w:bookmarkEnd w:id="649"/>
      <w:r>
        <w:rPr>
          <w:rFonts w:hint="eastAsia" w:ascii="Times New Roman" w:eastAsia="黑体"/>
          <w:color w:val="000000" w:themeColor="text1"/>
          <w:sz w:val="24"/>
          <w:szCs w:val="24"/>
          <w:highlight w:val="none"/>
          <w14:textFill>
            <w14:solidFill>
              <w14:schemeClr w14:val="tx1"/>
            </w14:solidFill>
          </w14:textFill>
        </w:rPr>
        <w:t>格式</w:t>
      </w:r>
    </w:p>
    <w:p w14:paraId="53538409">
      <w:pPr>
        <w:spacing w:line="360" w:lineRule="auto"/>
        <w:jc w:val="center"/>
        <w:rPr>
          <w:rFonts w:cs="宋体"/>
          <w:b/>
          <w:bCs/>
          <w:color w:val="000000" w:themeColor="text1"/>
          <w:sz w:val="24"/>
          <w:szCs w:val="24"/>
          <w:highlight w:val="none"/>
          <w14:textFill>
            <w14:solidFill>
              <w14:schemeClr w14:val="tx1"/>
            </w14:solidFill>
          </w14:textFill>
        </w:rPr>
      </w:pPr>
      <w:r>
        <w:rPr>
          <w:rFonts w:hint="eastAsia" w:cs="宋体"/>
          <w:b/>
          <w:bCs/>
          <w:color w:val="000000" w:themeColor="text1"/>
          <w:sz w:val="24"/>
          <w:szCs w:val="24"/>
          <w:highlight w:val="none"/>
          <w14:textFill>
            <w14:solidFill>
              <w14:schemeClr w14:val="tx1"/>
            </w14:solidFill>
          </w14:textFill>
        </w:rPr>
        <w:t>履约保函示范文本</w:t>
      </w:r>
    </w:p>
    <w:p w14:paraId="45FD3E90">
      <w:pPr>
        <w:wordWrap w:val="0"/>
        <w:spacing w:line="360" w:lineRule="auto"/>
        <w:jc w:val="right"/>
        <w:rPr>
          <w:rFonts w:ascii="Times New Roman"/>
          <w:color w:val="000000" w:themeColor="text1"/>
          <w:sz w:val="24"/>
          <w:szCs w:val="24"/>
          <w:highlight w:val="none"/>
          <w14:textFill>
            <w14:solidFill>
              <w14:schemeClr w14:val="tx1"/>
            </w14:solidFill>
          </w14:textFill>
        </w:rPr>
      </w:pPr>
      <w:r>
        <w:rPr>
          <w:rFonts w:hint="eastAsia" w:ascii="Times New Roman"/>
          <w:color w:val="000000" w:themeColor="text1"/>
          <w:sz w:val="24"/>
          <w:szCs w:val="24"/>
          <w:highlight w:val="none"/>
          <w14:textFill>
            <w14:solidFill>
              <w14:schemeClr w14:val="tx1"/>
            </w14:solidFill>
          </w14:textFill>
        </w:rPr>
        <w:t>编号：</w:t>
      </w:r>
      <w:r>
        <w:rPr>
          <w:rFonts w:hint="eastAsia" w:ascii="Times New Roman"/>
          <w:color w:val="000000" w:themeColor="text1"/>
          <w:sz w:val="24"/>
          <w:szCs w:val="24"/>
          <w:highlight w:val="none"/>
          <w:u w:val="single"/>
          <w14:textFill>
            <w14:solidFill>
              <w14:schemeClr w14:val="tx1"/>
            </w14:solidFill>
          </w14:textFill>
        </w:rPr>
        <w:t xml:space="preserve"> </w:t>
      </w:r>
      <w:r>
        <w:rPr>
          <w:rFonts w:ascii="Times New Roman"/>
          <w:color w:val="000000" w:themeColor="text1"/>
          <w:sz w:val="24"/>
          <w:szCs w:val="24"/>
          <w:highlight w:val="none"/>
          <w:u w:val="single"/>
          <w14:textFill>
            <w14:solidFill>
              <w14:schemeClr w14:val="tx1"/>
            </w14:solidFill>
          </w14:textFill>
        </w:rPr>
        <w:t xml:space="preserve">          </w:t>
      </w:r>
    </w:p>
    <w:p w14:paraId="1F55E65E">
      <w:pPr>
        <w:spacing w:line="360" w:lineRule="auto"/>
        <w:rPr>
          <w:rFonts w:ascii="Times New Roman"/>
          <w:color w:val="000000" w:themeColor="text1"/>
          <w:sz w:val="24"/>
          <w:szCs w:val="24"/>
          <w:highlight w:val="none"/>
          <w14:textFill>
            <w14:solidFill>
              <w14:schemeClr w14:val="tx1"/>
            </w14:solidFill>
          </w14:textFill>
        </w:rPr>
      </w:pPr>
    </w:p>
    <w:p w14:paraId="3D7365A3">
      <w:pPr>
        <w:spacing w:line="360" w:lineRule="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（受益人名称）： </w:t>
      </w:r>
    </w:p>
    <w:p w14:paraId="0F0EEE9E">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鉴于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（以下简称“受益人”）与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（以下简称“申请人”）于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月</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日就</w:t>
      </w:r>
      <w:r>
        <w:rPr>
          <w:rFonts w:hint="eastAsia" w:cs="宋体"/>
          <w:snapToGrid w:val="0"/>
          <w:color w:val="000000" w:themeColor="text1"/>
          <w:sz w:val="24"/>
          <w:szCs w:val="24"/>
          <w:highlight w:val="none"/>
          <w:u w:val="single"/>
          <w14:textFill>
            <w14:solidFill>
              <w14:schemeClr w14:val="tx1"/>
            </w14:solidFill>
          </w14:textFill>
        </w:rPr>
        <w:t xml:space="preserve">        </w:t>
      </w:r>
      <w:r>
        <w:rPr>
          <w:rFonts w:hint="eastAsia" w:cs="宋体"/>
          <w:snapToGrid w:val="0"/>
          <w:color w:val="000000" w:themeColor="text1"/>
          <w:sz w:val="24"/>
          <w:szCs w:val="24"/>
          <w:highlight w:val="none"/>
          <w14:textFill>
            <w14:solidFill>
              <w14:schemeClr w14:val="tx1"/>
            </w14:solidFill>
          </w14:textFill>
        </w:rPr>
        <w:t>（项目编号）的</w:t>
      </w:r>
      <w:r>
        <w:rPr>
          <w:rFonts w:hint="eastAsia" w:cs="宋体"/>
          <w:snapToGrid w:val="0"/>
          <w:color w:val="000000" w:themeColor="text1"/>
          <w:sz w:val="24"/>
          <w:szCs w:val="24"/>
          <w:highlight w:val="none"/>
          <w:u w:val="single"/>
          <w14:textFill>
            <w14:solidFill>
              <w14:schemeClr w14:val="tx1"/>
            </w14:solidFill>
          </w14:textFill>
        </w:rPr>
        <w:t xml:space="preserve">         </w:t>
      </w:r>
      <w:r>
        <w:rPr>
          <w:rFonts w:hint="eastAsia" w:cs="宋体"/>
          <w:snapToGrid w:val="0"/>
          <w:color w:val="000000" w:themeColor="text1"/>
          <w:sz w:val="24"/>
          <w:szCs w:val="24"/>
          <w:highlight w:val="none"/>
          <w14:textFill>
            <w14:solidFill>
              <w14:schemeClr w14:val="tx1"/>
            </w14:solidFill>
          </w14:textFill>
        </w:rPr>
        <w:t>（项目名称）</w:t>
      </w:r>
      <w:r>
        <w:rPr>
          <w:rFonts w:hint="eastAsia" w:cs="宋体"/>
          <w:color w:val="000000" w:themeColor="text1"/>
          <w:sz w:val="24"/>
          <w:szCs w:val="24"/>
          <w:highlight w:val="none"/>
          <w14:textFill>
            <w14:solidFill>
              <w14:schemeClr w14:val="tx1"/>
            </w14:solidFill>
          </w14:textFill>
        </w:rPr>
        <w:t>有关事项协商一致共同签订</w:t>
      </w:r>
      <w:r>
        <w:rPr>
          <w:rFonts w:hint="eastAsia" w:cs="宋体"/>
          <w:color w:val="000000" w:themeColor="text1"/>
          <w:sz w:val="24"/>
          <w:szCs w:val="24"/>
          <w:highlight w:val="none"/>
          <w:u w:val="single"/>
          <w14:textFill>
            <w14:solidFill>
              <w14:schemeClr w14:val="tx1"/>
            </w14:solidFill>
          </w14:textFill>
        </w:rPr>
        <w:t>《        》</w:t>
      </w:r>
      <w:r>
        <w:rPr>
          <w:rFonts w:hint="eastAsia" w:cs="宋体"/>
          <w:color w:val="000000" w:themeColor="text1"/>
          <w:sz w:val="24"/>
          <w:szCs w:val="24"/>
          <w:highlight w:val="none"/>
          <w14:textFill>
            <w14:solidFill>
              <w14:schemeClr w14:val="tx1"/>
            </w14:solidFill>
          </w14:textFill>
        </w:rPr>
        <w:t xml:space="preserve">（以下简称“基础合同”），开立人根据基础合同了解到申请人为基础合同项下之乙方，受益人为基础合同项下之甲方，基于申请人的请求，开立人同意就申请人履行与受益人签订的基础合同项下的义务，向受益人提供不可撤销、不可转让的见索即付独立保函（以下简称“本保函”）。 </w:t>
      </w:r>
    </w:p>
    <w:p w14:paraId="4AE4D30D">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一、本保函担保范围：乙方未按照基础合同的约定履行义务，应当向受益人承担的违约责任和赔偿因此造成的损失、利息、律师费、诉讼费用等实现债权的费用。</w:t>
      </w:r>
    </w:p>
    <w:p w14:paraId="478187A4">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二、本保函担保金额最高不超过人民币（大写）</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元（¥</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w:t>
      </w:r>
    </w:p>
    <w:p w14:paraId="4F3D8A53">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三、本保函有效期自开立之日起至基础合同约定的缺陷责任期满之日止。 </w:t>
      </w:r>
    </w:p>
    <w:p w14:paraId="06F073A3">
      <w:pPr>
        <w:spacing w:line="360" w:lineRule="auto"/>
        <w:ind w:firstLine="480"/>
        <w:rPr>
          <w:rFonts w:cs="宋体"/>
          <w:color w:val="000000" w:themeColor="text1"/>
          <w:sz w:val="24"/>
          <w:szCs w:val="24"/>
          <w:highlight w:val="none"/>
          <w14:textFill>
            <w14:solidFill>
              <w14:schemeClr w14:val="tx1"/>
            </w14:solidFill>
          </w14:textFill>
        </w:rPr>
      </w:pPr>
      <w:bookmarkStart w:id="650" w:name="_Hlk40302764"/>
      <w:r>
        <w:rPr>
          <w:rFonts w:hint="eastAsia" w:cs="宋体"/>
          <w:color w:val="000000" w:themeColor="text1"/>
          <w:sz w:val="24"/>
          <w:szCs w:val="24"/>
          <w:highlight w:val="none"/>
          <w14:textFill>
            <w14:solidFill>
              <w14:schemeClr w14:val="tx1"/>
            </w14:solidFill>
          </w14:textFill>
        </w:rPr>
        <w:t>四、开立人承诺，在收到受益人发来的书面付款通知后的七日内无条件支付，前述书面付款通知即为付款要求之单据，且应满足以下要求：</w:t>
      </w:r>
    </w:p>
    <w:bookmarkEnd w:id="650"/>
    <w:p w14:paraId="5190F3C1">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（1）付款通知到达的日期在本保函的有效期内；</w:t>
      </w:r>
    </w:p>
    <w:p w14:paraId="40E40E27">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（2）载明要求支付的金额；</w:t>
      </w:r>
    </w:p>
    <w:p w14:paraId="07FFBC3F">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（3）载明申请人违反合同义务的条款和内容；</w:t>
      </w:r>
    </w:p>
    <w:p w14:paraId="78E57AB3">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（4）声明不存在合同文件约定或我国法律规定免除申请人或开立人支付责任的情形；</w:t>
      </w:r>
    </w:p>
    <w:p w14:paraId="16A11F9D">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（5）付款通知应在本保函有效期内到达的地址是：</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w:t>
      </w:r>
    </w:p>
    <w:p w14:paraId="3E4683CE">
      <w:pPr>
        <w:spacing w:line="360" w:lineRule="auto"/>
        <w:ind w:firstLine="480" w:firstLineChars="200"/>
        <w:rPr>
          <w:rFonts w:cs="宋体"/>
          <w:color w:val="000000" w:themeColor="text1"/>
          <w:sz w:val="24"/>
          <w:szCs w:val="24"/>
          <w:highlight w:val="none"/>
          <w14:textFill>
            <w14:solidFill>
              <w14:schemeClr w14:val="tx1"/>
            </w14:solidFill>
          </w14:textFill>
        </w:rPr>
      </w:pPr>
      <w:bookmarkStart w:id="651" w:name="_Hlk40303486"/>
      <w:r>
        <w:rPr>
          <w:rFonts w:hint="eastAsia" w:cs="宋体"/>
          <w:color w:val="000000" w:themeColor="text1"/>
          <w:sz w:val="24"/>
          <w:szCs w:val="24"/>
          <w:highlight w:val="none"/>
          <w14:textFill>
            <w14:solidFill>
              <w14:schemeClr w14:val="tx1"/>
            </w14:solidFill>
          </w14:textFill>
        </w:rPr>
        <w:t>受益人发出的书面付款通知应由其法定代表人（负责人）或授权代理人签字并加盖公章。</w:t>
      </w:r>
      <w:bookmarkEnd w:id="651"/>
    </w:p>
    <w:p w14:paraId="323B5166">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五、本保函项下的权利不得转让，不得设定担保。受益人未经我方书面同意转 让本保函或其项下任何权利，对我方不发生法律效力。 </w:t>
      </w:r>
    </w:p>
    <w:p w14:paraId="28AE8E8C">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六、与本保函有关的基础合同不成立、不生效、无效、被撤销、被解除，不影响本保函的独立有效。 </w:t>
      </w:r>
    </w:p>
    <w:p w14:paraId="4B9F5831">
      <w:pPr>
        <w:spacing w:line="360" w:lineRule="auto"/>
        <w:ind w:firstLine="480" w:firstLineChars="200"/>
        <w:rPr>
          <w:rFonts w:cs="宋体"/>
          <w:color w:val="000000" w:themeColor="text1"/>
          <w:sz w:val="24"/>
          <w:szCs w:val="24"/>
          <w:highlight w:val="none"/>
          <w14:textFill>
            <w14:solidFill>
              <w14:schemeClr w14:val="tx1"/>
            </w14:solidFill>
          </w14:textFill>
        </w:rPr>
      </w:pPr>
      <w:bookmarkStart w:id="652" w:name="_Hlk40303383"/>
      <w:bookmarkStart w:id="653" w:name="_Hlk40354981"/>
      <w:r>
        <w:rPr>
          <w:rFonts w:hint="eastAsia" w:cs="宋体"/>
          <w:color w:val="000000" w:themeColor="text1"/>
          <w:sz w:val="24"/>
          <w:szCs w:val="24"/>
          <w:highlight w:val="none"/>
          <w14:textFill>
            <w14:solidFill>
              <w14:schemeClr w14:val="tx1"/>
            </w14:solidFill>
          </w14:textFill>
        </w:rPr>
        <w:t xml:space="preserve">七、本保函项下的义务和责任均在保函有效期到期后自动消灭。 </w:t>
      </w:r>
    </w:p>
    <w:p w14:paraId="3B0726A5">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八、本保函适用的法律为中华人民共和国法律，因本保函产生的纠纷案件，</w:t>
      </w:r>
      <w:bookmarkEnd w:id="652"/>
      <w:r>
        <w:rPr>
          <w:rFonts w:hint="eastAsia" w:cs="宋体"/>
          <w:color w:val="000000" w:themeColor="text1"/>
          <w:sz w:val="24"/>
          <w:szCs w:val="24"/>
          <w:highlight w:val="none"/>
          <w14:textFill>
            <w14:solidFill>
              <w14:schemeClr w14:val="tx1"/>
            </w14:solidFill>
          </w14:textFill>
        </w:rPr>
        <w:t xml:space="preserve">由受益人所在地人民法院管辖。 </w:t>
      </w:r>
    </w:p>
    <w:bookmarkEnd w:id="653"/>
    <w:p w14:paraId="1C624F6D">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九、本保函自我方法定代表人或授权代表签字并加盖公章之日起生效。 </w:t>
      </w:r>
    </w:p>
    <w:p w14:paraId="028DC704">
      <w:pPr>
        <w:spacing w:line="360" w:lineRule="auto"/>
        <w:ind w:firstLine="480" w:firstLineChars="200"/>
        <w:rPr>
          <w:rFonts w:cs="宋体"/>
          <w:color w:val="000000" w:themeColor="text1"/>
          <w:sz w:val="24"/>
          <w:szCs w:val="24"/>
          <w:highlight w:val="none"/>
          <w14:textFill>
            <w14:solidFill>
              <w14:schemeClr w14:val="tx1"/>
            </w14:solidFill>
          </w14:textFill>
        </w:rPr>
      </w:pPr>
    </w:p>
    <w:p w14:paraId="1418A3B2">
      <w:pPr>
        <w:spacing w:line="360" w:lineRule="auto"/>
        <w:ind w:firstLine="480" w:firstLineChars="200"/>
        <w:rPr>
          <w:rFonts w:cs="宋体"/>
          <w:color w:val="000000" w:themeColor="text1"/>
          <w:sz w:val="24"/>
          <w:szCs w:val="24"/>
          <w:highlight w:val="none"/>
          <w14:textFill>
            <w14:solidFill>
              <w14:schemeClr w14:val="tx1"/>
            </w14:solidFill>
          </w14:textFill>
        </w:rPr>
      </w:pPr>
    </w:p>
    <w:p w14:paraId="104CA2D6">
      <w:pPr>
        <w:spacing w:line="360" w:lineRule="auto"/>
        <w:ind w:firstLine="480" w:firstLineChars="200"/>
        <w:rPr>
          <w:rFonts w:cs="宋体"/>
          <w:color w:val="000000" w:themeColor="text1"/>
          <w:sz w:val="24"/>
          <w:szCs w:val="24"/>
          <w:highlight w:val="none"/>
          <w14:textFill>
            <w14:solidFill>
              <w14:schemeClr w14:val="tx1"/>
            </w14:solidFill>
          </w14:textFill>
        </w:rPr>
      </w:pPr>
    </w:p>
    <w:p w14:paraId="670F9493">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开 立 人：</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（公章） </w:t>
      </w:r>
    </w:p>
    <w:p w14:paraId="5BC3CB61">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法定代表人（或授权代表）：</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（签字） </w:t>
      </w:r>
    </w:p>
    <w:p w14:paraId="015E2B5F">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地    址：</w:t>
      </w:r>
      <w:r>
        <w:rPr>
          <w:rFonts w:hint="eastAsia" w:cs="宋体"/>
          <w:color w:val="000000" w:themeColor="text1"/>
          <w:sz w:val="24"/>
          <w:szCs w:val="24"/>
          <w:highlight w:val="none"/>
          <w:u w:val="single"/>
          <w14:textFill>
            <w14:solidFill>
              <w14:schemeClr w14:val="tx1"/>
            </w14:solidFill>
          </w14:textFill>
        </w:rPr>
        <w:t xml:space="preserve">                                       </w:t>
      </w:r>
    </w:p>
    <w:p w14:paraId="14B29AE7">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邮政编码：</w:t>
      </w:r>
      <w:r>
        <w:rPr>
          <w:rFonts w:hint="eastAsia" w:cs="宋体"/>
          <w:color w:val="000000" w:themeColor="text1"/>
          <w:sz w:val="24"/>
          <w:szCs w:val="24"/>
          <w:highlight w:val="none"/>
          <w:u w:val="single"/>
          <w14:textFill>
            <w14:solidFill>
              <w14:schemeClr w14:val="tx1"/>
            </w14:solidFill>
          </w14:textFill>
        </w:rPr>
        <w:t xml:space="preserve">                 </w:t>
      </w:r>
    </w:p>
    <w:p w14:paraId="22ED5D06">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电    话：</w:t>
      </w:r>
      <w:r>
        <w:rPr>
          <w:rFonts w:hint="eastAsia" w:cs="宋体"/>
          <w:color w:val="000000" w:themeColor="text1"/>
          <w:sz w:val="24"/>
          <w:szCs w:val="24"/>
          <w:highlight w:val="none"/>
          <w:u w:val="single"/>
          <w14:textFill>
            <w14:solidFill>
              <w14:schemeClr w14:val="tx1"/>
            </w14:solidFill>
          </w14:textFill>
        </w:rPr>
        <w:t xml:space="preserve">                 </w:t>
      </w:r>
    </w:p>
    <w:p w14:paraId="07166AA4">
      <w:pPr>
        <w:spacing w:line="360" w:lineRule="auto"/>
        <w:ind w:firstLine="480" w:firstLineChars="200"/>
        <w:rPr>
          <w:rFonts w:cs="宋体"/>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传    真：</w:t>
      </w:r>
      <w:r>
        <w:rPr>
          <w:rFonts w:hint="eastAsia" w:cs="宋体"/>
          <w:color w:val="000000" w:themeColor="text1"/>
          <w:sz w:val="24"/>
          <w:szCs w:val="24"/>
          <w:highlight w:val="none"/>
          <w:u w:val="single"/>
          <w14:textFill>
            <w14:solidFill>
              <w14:schemeClr w14:val="tx1"/>
            </w14:solidFill>
          </w14:textFill>
        </w:rPr>
        <w:t xml:space="preserve">                 </w:t>
      </w:r>
    </w:p>
    <w:p w14:paraId="0205BAEF">
      <w:pPr>
        <w:spacing w:line="360" w:lineRule="auto"/>
        <w:ind w:left="1432" w:leftChars="200" w:hanging="1032" w:hangingChars="43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开立时间：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月</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日</w:t>
      </w:r>
    </w:p>
    <w:p w14:paraId="30E11823">
      <w:pPr>
        <w:spacing w:before="312" w:beforeLines="100" w:after="312" w:afterLines="100"/>
        <w:outlineLvl w:val="2"/>
        <w:rPr>
          <w:rFonts w:ascii="Times New Roman" w:eastAsia="黑体"/>
          <w:color w:val="000000" w:themeColor="text1"/>
          <w:sz w:val="24"/>
          <w:szCs w:val="24"/>
          <w:highlight w:val="none"/>
          <w14:textFill>
            <w14:solidFill>
              <w14:schemeClr w14:val="tx1"/>
            </w14:solidFill>
          </w14:textFill>
        </w:rPr>
      </w:pPr>
      <w:r>
        <w:rPr>
          <w:rFonts w:ascii="Times New Roman" w:eastAsia="黑体"/>
          <w:bCs/>
          <w:color w:val="000000" w:themeColor="text1"/>
          <w:sz w:val="24"/>
          <w:szCs w:val="24"/>
          <w:highlight w:val="none"/>
          <w14:textFill>
            <w14:solidFill>
              <w14:schemeClr w14:val="tx1"/>
            </w14:solidFill>
          </w14:textFill>
        </w:rPr>
        <w:br w:type="page"/>
      </w:r>
      <w:bookmarkStart w:id="654" w:name="_Toc128950245"/>
      <w:bookmarkStart w:id="655" w:name="_Toc296891060"/>
      <w:bookmarkStart w:id="656" w:name="_Toc296346733"/>
      <w:bookmarkStart w:id="657" w:name="_Toc296503232"/>
      <w:bookmarkStart w:id="658" w:name="_Toc296944571"/>
      <w:bookmarkStart w:id="659" w:name="_Toc296347231"/>
      <w:bookmarkStart w:id="660" w:name="_Toc267261702"/>
      <w:bookmarkStart w:id="661" w:name="_Toc296891272"/>
      <w:r>
        <w:rPr>
          <w:rFonts w:hint="eastAsia" w:ascii="Times New Roman" w:eastAsia="黑体"/>
          <w:color w:val="000000" w:themeColor="text1"/>
          <w:sz w:val="24"/>
          <w:szCs w:val="24"/>
          <w:highlight w:val="none"/>
          <w14:textFill>
            <w14:solidFill>
              <w14:schemeClr w14:val="tx1"/>
            </w14:solidFill>
          </w14:textFill>
        </w:rPr>
        <w:t>附件7：预付款担保</w:t>
      </w:r>
      <w:bookmarkEnd w:id="654"/>
      <w:r>
        <w:rPr>
          <w:rFonts w:hint="eastAsia" w:ascii="Times New Roman" w:eastAsia="黑体"/>
          <w:color w:val="000000" w:themeColor="text1"/>
          <w:sz w:val="24"/>
          <w:szCs w:val="24"/>
          <w:highlight w:val="none"/>
          <w14:textFill>
            <w14:solidFill>
              <w14:schemeClr w14:val="tx1"/>
            </w14:solidFill>
          </w14:textFill>
        </w:rPr>
        <w:t>格式</w:t>
      </w:r>
    </w:p>
    <w:bookmarkEnd w:id="655"/>
    <w:bookmarkEnd w:id="656"/>
    <w:bookmarkEnd w:id="657"/>
    <w:bookmarkEnd w:id="658"/>
    <w:bookmarkEnd w:id="659"/>
    <w:bookmarkEnd w:id="660"/>
    <w:bookmarkEnd w:id="661"/>
    <w:p w14:paraId="4667C67A">
      <w:pPr>
        <w:spacing w:line="360" w:lineRule="auto"/>
        <w:jc w:val="center"/>
        <w:rPr>
          <w:rFonts w:cs="宋体"/>
          <w:b/>
          <w:bCs/>
          <w:color w:val="000000" w:themeColor="text1"/>
          <w:sz w:val="24"/>
          <w:szCs w:val="24"/>
          <w:highlight w:val="none"/>
          <w14:textFill>
            <w14:solidFill>
              <w14:schemeClr w14:val="tx1"/>
            </w14:solidFill>
          </w14:textFill>
        </w:rPr>
      </w:pPr>
      <w:r>
        <w:rPr>
          <w:rFonts w:hint="eastAsia" w:cs="宋体"/>
          <w:b/>
          <w:bCs/>
          <w:color w:val="000000" w:themeColor="text1"/>
          <w:sz w:val="24"/>
          <w:szCs w:val="24"/>
          <w:highlight w:val="none"/>
          <w14:textFill>
            <w14:solidFill>
              <w14:schemeClr w14:val="tx1"/>
            </w14:solidFill>
          </w14:textFill>
        </w:rPr>
        <w:t>预付款保函示范文本</w:t>
      </w:r>
    </w:p>
    <w:p w14:paraId="163621A8">
      <w:pPr>
        <w:wordWrap w:val="0"/>
        <w:spacing w:line="360" w:lineRule="auto"/>
        <w:jc w:val="right"/>
        <w:rPr>
          <w:rFonts w:ascii="Times New Roman"/>
          <w:color w:val="000000" w:themeColor="text1"/>
          <w:sz w:val="24"/>
          <w:szCs w:val="24"/>
          <w:highlight w:val="none"/>
          <w14:textFill>
            <w14:solidFill>
              <w14:schemeClr w14:val="tx1"/>
            </w14:solidFill>
          </w14:textFill>
        </w:rPr>
      </w:pPr>
      <w:r>
        <w:rPr>
          <w:rFonts w:hint="eastAsia" w:ascii="Times New Roman"/>
          <w:color w:val="000000" w:themeColor="text1"/>
          <w:sz w:val="24"/>
          <w:szCs w:val="24"/>
          <w:highlight w:val="none"/>
          <w14:textFill>
            <w14:solidFill>
              <w14:schemeClr w14:val="tx1"/>
            </w14:solidFill>
          </w14:textFill>
        </w:rPr>
        <w:t>编号：</w:t>
      </w:r>
      <w:r>
        <w:rPr>
          <w:rFonts w:hint="eastAsia" w:ascii="Times New Roman"/>
          <w:color w:val="000000" w:themeColor="text1"/>
          <w:sz w:val="24"/>
          <w:szCs w:val="24"/>
          <w:highlight w:val="none"/>
          <w:u w:val="single"/>
          <w14:textFill>
            <w14:solidFill>
              <w14:schemeClr w14:val="tx1"/>
            </w14:solidFill>
          </w14:textFill>
        </w:rPr>
        <w:t xml:space="preserve"> </w:t>
      </w:r>
      <w:r>
        <w:rPr>
          <w:rFonts w:ascii="Times New Roman"/>
          <w:color w:val="000000" w:themeColor="text1"/>
          <w:sz w:val="24"/>
          <w:szCs w:val="24"/>
          <w:highlight w:val="none"/>
          <w:u w:val="single"/>
          <w14:textFill>
            <w14:solidFill>
              <w14:schemeClr w14:val="tx1"/>
            </w14:solidFill>
          </w14:textFill>
        </w:rPr>
        <w:t xml:space="preserve">          </w:t>
      </w:r>
    </w:p>
    <w:p w14:paraId="35B5F868">
      <w:pPr>
        <w:spacing w:line="360" w:lineRule="auto"/>
        <w:rPr>
          <w:rFonts w:ascii="Times New Roman"/>
          <w:color w:val="000000" w:themeColor="text1"/>
          <w:sz w:val="24"/>
          <w:szCs w:val="24"/>
          <w:highlight w:val="none"/>
          <w14:textFill>
            <w14:solidFill>
              <w14:schemeClr w14:val="tx1"/>
            </w14:solidFill>
          </w14:textFill>
        </w:rPr>
      </w:pPr>
    </w:p>
    <w:p w14:paraId="21078779">
      <w:pPr>
        <w:spacing w:line="360" w:lineRule="auto"/>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（受益人名称）： </w:t>
      </w:r>
    </w:p>
    <w:p w14:paraId="38E4F0B1">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鉴于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（以下简称“受益人”）与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（以下简称“申请人”）于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月</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日就</w:t>
      </w:r>
      <w:r>
        <w:rPr>
          <w:rFonts w:hint="eastAsia" w:cs="宋体"/>
          <w:snapToGrid w:val="0"/>
          <w:color w:val="000000" w:themeColor="text1"/>
          <w:sz w:val="24"/>
          <w:szCs w:val="24"/>
          <w:highlight w:val="none"/>
          <w:u w:val="single"/>
          <w14:textFill>
            <w14:solidFill>
              <w14:schemeClr w14:val="tx1"/>
            </w14:solidFill>
          </w14:textFill>
        </w:rPr>
        <w:t xml:space="preserve">        </w:t>
      </w:r>
      <w:r>
        <w:rPr>
          <w:rFonts w:hint="eastAsia" w:cs="宋体"/>
          <w:snapToGrid w:val="0"/>
          <w:color w:val="000000" w:themeColor="text1"/>
          <w:sz w:val="24"/>
          <w:szCs w:val="24"/>
          <w:highlight w:val="none"/>
          <w14:textFill>
            <w14:solidFill>
              <w14:schemeClr w14:val="tx1"/>
            </w14:solidFill>
          </w14:textFill>
        </w:rPr>
        <w:t>（项目编号）的</w:t>
      </w:r>
      <w:r>
        <w:rPr>
          <w:rFonts w:hint="eastAsia" w:cs="宋体"/>
          <w:snapToGrid w:val="0"/>
          <w:color w:val="000000" w:themeColor="text1"/>
          <w:sz w:val="24"/>
          <w:szCs w:val="24"/>
          <w:highlight w:val="none"/>
          <w:u w:val="single"/>
          <w14:textFill>
            <w14:solidFill>
              <w14:schemeClr w14:val="tx1"/>
            </w14:solidFill>
          </w14:textFill>
        </w:rPr>
        <w:t xml:space="preserve">     </w:t>
      </w:r>
      <w:r>
        <w:rPr>
          <w:rFonts w:hint="eastAsia" w:cs="宋体"/>
          <w:snapToGrid w:val="0"/>
          <w:color w:val="000000" w:themeColor="text1"/>
          <w:sz w:val="24"/>
          <w:szCs w:val="24"/>
          <w:highlight w:val="none"/>
          <w14:textFill>
            <w14:solidFill>
              <w14:schemeClr w14:val="tx1"/>
            </w14:solidFill>
          </w14:textFill>
        </w:rPr>
        <w:t>（项目名称）</w:t>
      </w:r>
      <w:r>
        <w:rPr>
          <w:rFonts w:hint="eastAsia" w:cs="宋体"/>
          <w:color w:val="000000" w:themeColor="text1"/>
          <w:sz w:val="24"/>
          <w:szCs w:val="24"/>
          <w:highlight w:val="none"/>
          <w14:textFill>
            <w14:solidFill>
              <w14:schemeClr w14:val="tx1"/>
            </w14:solidFill>
          </w14:textFill>
        </w:rPr>
        <w:t>有关事项协商一致共同签订</w:t>
      </w:r>
      <w:r>
        <w:rPr>
          <w:rFonts w:hint="eastAsia" w:cs="宋体"/>
          <w:color w:val="000000" w:themeColor="text1"/>
          <w:sz w:val="24"/>
          <w:szCs w:val="24"/>
          <w:highlight w:val="none"/>
          <w:u w:val="single"/>
          <w14:textFill>
            <w14:solidFill>
              <w14:schemeClr w14:val="tx1"/>
            </w14:solidFill>
          </w14:textFill>
        </w:rPr>
        <w:t>《        》</w:t>
      </w:r>
      <w:r>
        <w:rPr>
          <w:rFonts w:hint="eastAsia" w:cs="宋体"/>
          <w:color w:val="000000" w:themeColor="text1"/>
          <w:sz w:val="24"/>
          <w:szCs w:val="24"/>
          <w:highlight w:val="none"/>
          <w14:textFill>
            <w14:solidFill>
              <w14:schemeClr w14:val="tx1"/>
            </w14:solidFill>
          </w14:textFill>
        </w:rPr>
        <w:t xml:space="preserve">（以下简称“基础合同”），开立人根据主合同了解到申请人为主合同项下之乙方，受益人为主合同项下之甲方，基于申请人的请求，开立人同意就申请人按照合同约定正确和合理地为合同目的使用预付款，向受益人提供不可撤销、不可转让的见索即付独立保函（以下简称“本保函”）。 </w:t>
      </w:r>
    </w:p>
    <w:p w14:paraId="41F297EF">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一、本保函担保范围：申请人未按照合同约定正确和合理地为合同目的使用预付款，应当向受益人承担的违约责任和赔偿因此造成的损失、利息、律师费、诉讼费用等实现债权的费用。</w:t>
      </w:r>
    </w:p>
    <w:p w14:paraId="12BB794E">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二、本保函担保金额最高不超过人民币（大写）</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元（¥</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w:t>
      </w:r>
    </w:p>
    <w:p w14:paraId="3D2951C5">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三、本保函有效期自开立之日起至甲方全额扣回预付款之日止。</w:t>
      </w:r>
    </w:p>
    <w:p w14:paraId="7532C163">
      <w:pPr>
        <w:spacing w:line="400" w:lineRule="exact"/>
        <w:ind w:firstLine="48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四、开立人承诺，在收到受益人发来的书面付款通知后的七日内无条件支付，前述书面付款通知即为付款要求之单据，且应满足以下要求：</w:t>
      </w:r>
    </w:p>
    <w:p w14:paraId="3731F677">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（1）付款通知到达的日期在本保函的有效期内；</w:t>
      </w:r>
    </w:p>
    <w:p w14:paraId="12C904AE">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（2）载明要求支付的金额；</w:t>
      </w:r>
    </w:p>
    <w:p w14:paraId="44C54BB2">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（3）载明申请人违反合同义务的条款和内容；</w:t>
      </w:r>
    </w:p>
    <w:p w14:paraId="5FF5C640">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（4）声明不存在合同文件约定或我国法律规定免除申请人或开立人支付责任的情形；</w:t>
      </w:r>
    </w:p>
    <w:p w14:paraId="72C3763D">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（5）付款通知应在本保函有效期内到达的地址是：</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w:t>
      </w:r>
    </w:p>
    <w:p w14:paraId="4F9BFF11">
      <w:pPr>
        <w:spacing w:line="400" w:lineRule="exac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    受益人发出的书面付款通知应由其法定代表人（负责人）或授权代理人签字并加盖公章。</w:t>
      </w:r>
    </w:p>
    <w:p w14:paraId="2E950139">
      <w:pPr>
        <w:spacing w:line="400" w:lineRule="exact"/>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五、本保函项下的权利不得转让，不得设定担保。受益人未经开立人书面同意转让本保函或其项下任何权利，对开立人不发生法律效力。 </w:t>
      </w:r>
    </w:p>
    <w:p w14:paraId="255CBD94">
      <w:pPr>
        <w:spacing w:line="400" w:lineRule="exact"/>
        <w:ind w:firstLine="480" w:firstLineChars="200"/>
        <w:rPr>
          <w:rStyle w:val="61"/>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六、本保函项下的基础交易不成立、不生效、无效、被撤销、被解除，不影响本保函的独立有效。</w:t>
      </w:r>
    </w:p>
    <w:p w14:paraId="71E19062">
      <w:pPr>
        <w:spacing w:line="400" w:lineRule="exact"/>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七、本保函项下的义务和责任均在保函有效期到期后自动消灭。 </w:t>
      </w:r>
    </w:p>
    <w:p w14:paraId="756CF396">
      <w:pPr>
        <w:spacing w:line="400" w:lineRule="exact"/>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八、本保函适用的法律为中华人民共和国法律，因本保函产生的纠纷案件，由受益人所在地人民法院管辖。 </w:t>
      </w:r>
    </w:p>
    <w:p w14:paraId="6FC9C896">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九、本保函自我方法定代表人或授权代表签字并加盖公章之日起生效。 </w:t>
      </w:r>
    </w:p>
    <w:p w14:paraId="2B210F84">
      <w:pPr>
        <w:spacing w:line="360" w:lineRule="auto"/>
        <w:ind w:firstLine="480" w:firstLineChars="200"/>
        <w:rPr>
          <w:rFonts w:cs="宋体"/>
          <w:color w:val="000000" w:themeColor="text1"/>
          <w:sz w:val="24"/>
          <w:szCs w:val="24"/>
          <w:highlight w:val="none"/>
          <w14:textFill>
            <w14:solidFill>
              <w14:schemeClr w14:val="tx1"/>
            </w14:solidFill>
          </w14:textFill>
        </w:rPr>
      </w:pPr>
    </w:p>
    <w:p w14:paraId="2E5CF985">
      <w:pPr>
        <w:spacing w:line="360" w:lineRule="auto"/>
        <w:ind w:firstLine="480" w:firstLineChars="200"/>
        <w:rPr>
          <w:rFonts w:cs="宋体"/>
          <w:color w:val="000000" w:themeColor="text1"/>
          <w:sz w:val="24"/>
          <w:szCs w:val="24"/>
          <w:highlight w:val="none"/>
          <w14:textFill>
            <w14:solidFill>
              <w14:schemeClr w14:val="tx1"/>
            </w14:solidFill>
          </w14:textFill>
        </w:rPr>
      </w:pPr>
    </w:p>
    <w:p w14:paraId="3FDD307E">
      <w:pPr>
        <w:spacing w:line="360" w:lineRule="auto"/>
        <w:ind w:firstLine="480" w:firstLineChars="200"/>
        <w:rPr>
          <w:rFonts w:cs="宋体"/>
          <w:color w:val="000000" w:themeColor="text1"/>
          <w:sz w:val="24"/>
          <w:szCs w:val="24"/>
          <w:highlight w:val="none"/>
          <w14:textFill>
            <w14:solidFill>
              <w14:schemeClr w14:val="tx1"/>
            </w14:solidFill>
          </w14:textFill>
        </w:rPr>
      </w:pPr>
    </w:p>
    <w:p w14:paraId="239A2F10">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开 立 人：</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（公章） </w:t>
      </w:r>
    </w:p>
    <w:p w14:paraId="6D0C31C1">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法定代表人（或授权代表）：</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（签字） </w:t>
      </w:r>
    </w:p>
    <w:p w14:paraId="07DDBB1E">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地    址：</w:t>
      </w:r>
      <w:r>
        <w:rPr>
          <w:rFonts w:hint="eastAsia" w:cs="宋体"/>
          <w:color w:val="000000" w:themeColor="text1"/>
          <w:sz w:val="24"/>
          <w:szCs w:val="24"/>
          <w:highlight w:val="none"/>
          <w:u w:val="single"/>
          <w14:textFill>
            <w14:solidFill>
              <w14:schemeClr w14:val="tx1"/>
            </w14:solidFill>
          </w14:textFill>
        </w:rPr>
        <w:t xml:space="preserve">                                       </w:t>
      </w:r>
    </w:p>
    <w:p w14:paraId="60602711">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邮政编码：</w:t>
      </w:r>
      <w:r>
        <w:rPr>
          <w:rFonts w:hint="eastAsia" w:cs="宋体"/>
          <w:color w:val="000000" w:themeColor="text1"/>
          <w:sz w:val="24"/>
          <w:szCs w:val="24"/>
          <w:highlight w:val="none"/>
          <w:u w:val="single"/>
          <w14:textFill>
            <w14:solidFill>
              <w14:schemeClr w14:val="tx1"/>
            </w14:solidFill>
          </w14:textFill>
        </w:rPr>
        <w:t xml:space="preserve">                 </w:t>
      </w:r>
    </w:p>
    <w:p w14:paraId="63C7A7B7">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电    话：</w:t>
      </w:r>
      <w:r>
        <w:rPr>
          <w:rFonts w:hint="eastAsia" w:cs="宋体"/>
          <w:color w:val="000000" w:themeColor="text1"/>
          <w:sz w:val="24"/>
          <w:szCs w:val="24"/>
          <w:highlight w:val="none"/>
          <w:u w:val="single"/>
          <w14:textFill>
            <w14:solidFill>
              <w14:schemeClr w14:val="tx1"/>
            </w14:solidFill>
          </w14:textFill>
        </w:rPr>
        <w:t xml:space="preserve">                 </w:t>
      </w:r>
    </w:p>
    <w:p w14:paraId="7D7A10F0">
      <w:pPr>
        <w:spacing w:line="360" w:lineRule="auto"/>
        <w:ind w:firstLine="480" w:firstLineChars="200"/>
        <w:rPr>
          <w:rFonts w:cs="宋体"/>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传    真：</w:t>
      </w:r>
      <w:r>
        <w:rPr>
          <w:rFonts w:hint="eastAsia" w:cs="宋体"/>
          <w:color w:val="000000" w:themeColor="text1"/>
          <w:sz w:val="24"/>
          <w:szCs w:val="24"/>
          <w:highlight w:val="none"/>
          <w:u w:val="single"/>
          <w14:textFill>
            <w14:solidFill>
              <w14:schemeClr w14:val="tx1"/>
            </w14:solidFill>
          </w14:textFill>
        </w:rPr>
        <w:t xml:space="preserve">                 </w:t>
      </w:r>
    </w:p>
    <w:p w14:paraId="4EE8B1E3">
      <w:pPr>
        <w:spacing w:line="360" w:lineRule="auto"/>
        <w:ind w:left="1432" w:leftChars="200" w:hanging="1032" w:hangingChars="43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开立时间：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月</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日</w:t>
      </w:r>
    </w:p>
    <w:p w14:paraId="4FFD1E1E">
      <w:pPr>
        <w:spacing w:before="312" w:beforeLines="100" w:after="312" w:afterLines="100"/>
        <w:outlineLvl w:val="2"/>
        <w:rPr>
          <w:rFonts w:ascii="Times New Roman" w:eastAsia="黑体"/>
          <w:color w:val="000000" w:themeColor="text1"/>
          <w:sz w:val="24"/>
          <w:szCs w:val="24"/>
          <w:highlight w:val="none"/>
          <w14:textFill>
            <w14:solidFill>
              <w14:schemeClr w14:val="tx1"/>
            </w14:solidFill>
          </w14:textFill>
        </w:rPr>
      </w:pPr>
      <w:r>
        <w:rPr>
          <w:rFonts w:ascii="Times New Roman" w:eastAsia="黑体"/>
          <w:b/>
          <w:bCs/>
          <w:color w:val="000000" w:themeColor="text1"/>
          <w:sz w:val="24"/>
          <w:szCs w:val="24"/>
          <w:highlight w:val="none"/>
          <w14:textFill>
            <w14:solidFill>
              <w14:schemeClr w14:val="tx1"/>
            </w14:solidFill>
          </w14:textFill>
        </w:rPr>
        <w:br w:type="page"/>
      </w:r>
      <w:bookmarkStart w:id="662" w:name="_Toc128950246"/>
      <w:r>
        <w:rPr>
          <w:rFonts w:hint="eastAsia" w:ascii="Times New Roman" w:eastAsia="黑体"/>
          <w:color w:val="000000" w:themeColor="text1"/>
          <w:sz w:val="24"/>
          <w:szCs w:val="24"/>
          <w:highlight w:val="none"/>
          <w14:textFill>
            <w14:solidFill>
              <w14:schemeClr w14:val="tx1"/>
            </w14:solidFill>
          </w14:textFill>
        </w:rPr>
        <w:t>附</w:t>
      </w:r>
      <w:bookmarkStart w:id="663" w:name="_Toc296503233"/>
      <w:bookmarkStart w:id="664" w:name="_Toc296346734"/>
      <w:bookmarkStart w:id="665" w:name="_Toc296347232"/>
      <w:bookmarkStart w:id="666" w:name="_Toc296944572"/>
      <w:bookmarkStart w:id="667" w:name="_Toc296891061"/>
      <w:bookmarkStart w:id="668" w:name="_Toc296891273"/>
      <w:r>
        <w:rPr>
          <w:rFonts w:hint="eastAsia" w:ascii="Times New Roman" w:eastAsia="黑体"/>
          <w:color w:val="000000" w:themeColor="text1"/>
          <w:sz w:val="24"/>
          <w:szCs w:val="24"/>
          <w:highlight w:val="none"/>
          <w14:textFill>
            <w14:solidFill>
              <w14:schemeClr w14:val="tx1"/>
            </w14:solidFill>
          </w14:textFill>
        </w:rPr>
        <w:t>件8：支付担保</w:t>
      </w:r>
      <w:bookmarkEnd w:id="662"/>
      <w:bookmarkEnd w:id="663"/>
      <w:bookmarkEnd w:id="664"/>
      <w:bookmarkEnd w:id="665"/>
      <w:bookmarkEnd w:id="666"/>
      <w:bookmarkEnd w:id="667"/>
      <w:bookmarkEnd w:id="668"/>
      <w:r>
        <w:rPr>
          <w:rFonts w:hint="eastAsia" w:ascii="Times New Roman" w:eastAsia="黑体"/>
          <w:color w:val="000000" w:themeColor="text1"/>
          <w:sz w:val="24"/>
          <w:szCs w:val="24"/>
          <w:highlight w:val="none"/>
          <w14:textFill>
            <w14:solidFill>
              <w14:schemeClr w14:val="tx1"/>
            </w14:solidFill>
          </w14:textFill>
        </w:rPr>
        <w:t>格式</w:t>
      </w:r>
    </w:p>
    <w:p w14:paraId="3C7937C5">
      <w:pPr>
        <w:spacing w:line="360" w:lineRule="auto"/>
        <w:jc w:val="center"/>
        <w:rPr>
          <w:rFonts w:cs="宋体"/>
          <w:b/>
          <w:bCs/>
          <w:color w:val="000000" w:themeColor="text1"/>
          <w:sz w:val="24"/>
          <w:szCs w:val="24"/>
          <w:highlight w:val="none"/>
          <w14:textFill>
            <w14:solidFill>
              <w14:schemeClr w14:val="tx1"/>
            </w14:solidFill>
          </w14:textFill>
        </w:rPr>
      </w:pPr>
      <w:r>
        <w:rPr>
          <w:rFonts w:hint="eastAsia" w:cs="宋体"/>
          <w:b/>
          <w:bCs/>
          <w:color w:val="000000" w:themeColor="text1"/>
          <w:sz w:val="24"/>
          <w:szCs w:val="24"/>
          <w:highlight w:val="none"/>
          <w14:textFill>
            <w14:solidFill>
              <w14:schemeClr w14:val="tx1"/>
            </w14:solidFill>
          </w14:textFill>
        </w:rPr>
        <w:t>支付保函示范文本</w:t>
      </w:r>
    </w:p>
    <w:p w14:paraId="115D565D">
      <w:pPr>
        <w:wordWrap w:val="0"/>
        <w:spacing w:line="360" w:lineRule="auto"/>
        <w:jc w:val="right"/>
        <w:rPr>
          <w:rFonts w:ascii="Times New Roman"/>
          <w:color w:val="000000" w:themeColor="text1"/>
          <w:sz w:val="24"/>
          <w:szCs w:val="24"/>
          <w:highlight w:val="none"/>
          <w14:textFill>
            <w14:solidFill>
              <w14:schemeClr w14:val="tx1"/>
            </w14:solidFill>
          </w14:textFill>
        </w:rPr>
      </w:pPr>
      <w:r>
        <w:rPr>
          <w:rFonts w:hint="eastAsia" w:ascii="Times New Roman"/>
          <w:color w:val="000000" w:themeColor="text1"/>
          <w:sz w:val="24"/>
          <w:szCs w:val="24"/>
          <w:highlight w:val="none"/>
          <w14:textFill>
            <w14:solidFill>
              <w14:schemeClr w14:val="tx1"/>
            </w14:solidFill>
          </w14:textFill>
        </w:rPr>
        <w:t>编号：</w:t>
      </w:r>
      <w:r>
        <w:rPr>
          <w:rFonts w:hint="eastAsia" w:ascii="Times New Roman"/>
          <w:color w:val="000000" w:themeColor="text1"/>
          <w:sz w:val="24"/>
          <w:szCs w:val="24"/>
          <w:highlight w:val="none"/>
          <w:u w:val="single"/>
          <w14:textFill>
            <w14:solidFill>
              <w14:schemeClr w14:val="tx1"/>
            </w14:solidFill>
          </w14:textFill>
        </w:rPr>
        <w:t xml:space="preserve"> </w:t>
      </w:r>
      <w:r>
        <w:rPr>
          <w:rFonts w:ascii="Times New Roman"/>
          <w:color w:val="000000" w:themeColor="text1"/>
          <w:sz w:val="24"/>
          <w:szCs w:val="24"/>
          <w:highlight w:val="none"/>
          <w:u w:val="single"/>
          <w14:textFill>
            <w14:solidFill>
              <w14:schemeClr w14:val="tx1"/>
            </w14:solidFill>
          </w14:textFill>
        </w:rPr>
        <w:t xml:space="preserve">          </w:t>
      </w:r>
    </w:p>
    <w:p w14:paraId="44C6E070">
      <w:pPr>
        <w:spacing w:line="360" w:lineRule="auto"/>
        <w:rPr>
          <w:rFonts w:ascii="Times New Roman"/>
          <w:color w:val="000000" w:themeColor="text1"/>
          <w:sz w:val="24"/>
          <w:szCs w:val="24"/>
          <w:highlight w:val="none"/>
          <w14:textFill>
            <w14:solidFill>
              <w14:schemeClr w14:val="tx1"/>
            </w14:solidFill>
          </w14:textFill>
        </w:rPr>
      </w:pPr>
    </w:p>
    <w:p w14:paraId="1C9CFA70">
      <w:pPr>
        <w:spacing w:line="360" w:lineRule="auto"/>
        <w:rPr>
          <w:rFonts w:cs="宋体"/>
          <w:color w:val="000000" w:themeColor="text1"/>
          <w:sz w:val="24"/>
          <w:szCs w:val="24"/>
          <w:highlight w:val="none"/>
          <w14:textFill>
            <w14:solidFill>
              <w14:schemeClr w14:val="tx1"/>
            </w14:solidFill>
          </w14:textFill>
        </w:rPr>
      </w:pPr>
      <w:bookmarkStart w:id="669" w:name="_Hlk40355074"/>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（受益人名称）： </w:t>
      </w:r>
    </w:p>
    <w:bookmarkEnd w:id="669"/>
    <w:p w14:paraId="4D4054AE">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鉴于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（以下简称“受益人”）与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（以下简称“申请人”）于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月</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日就</w:t>
      </w:r>
      <w:r>
        <w:rPr>
          <w:rFonts w:hint="eastAsia" w:cs="宋体"/>
          <w:snapToGrid w:val="0"/>
          <w:color w:val="000000" w:themeColor="text1"/>
          <w:sz w:val="24"/>
          <w:szCs w:val="24"/>
          <w:highlight w:val="none"/>
          <w:u w:val="single"/>
          <w14:textFill>
            <w14:solidFill>
              <w14:schemeClr w14:val="tx1"/>
            </w14:solidFill>
          </w14:textFill>
        </w:rPr>
        <w:t xml:space="preserve">        </w:t>
      </w:r>
      <w:r>
        <w:rPr>
          <w:rFonts w:hint="eastAsia" w:cs="宋体"/>
          <w:snapToGrid w:val="0"/>
          <w:color w:val="000000" w:themeColor="text1"/>
          <w:sz w:val="24"/>
          <w:szCs w:val="24"/>
          <w:highlight w:val="none"/>
          <w14:textFill>
            <w14:solidFill>
              <w14:schemeClr w14:val="tx1"/>
            </w14:solidFill>
          </w14:textFill>
        </w:rPr>
        <w:t>（项目编号）的</w:t>
      </w:r>
      <w:r>
        <w:rPr>
          <w:rFonts w:hint="eastAsia" w:cs="宋体"/>
          <w:snapToGrid w:val="0"/>
          <w:color w:val="000000" w:themeColor="text1"/>
          <w:sz w:val="24"/>
          <w:szCs w:val="24"/>
          <w:highlight w:val="none"/>
          <w:u w:val="single"/>
          <w14:textFill>
            <w14:solidFill>
              <w14:schemeClr w14:val="tx1"/>
            </w14:solidFill>
          </w14:textFill>
        </w:rPr>
        <w:t xml:space="preserve">         </w:t>
      </w:r>
      <w:r>
        <w:rPr>
          <w:rFonts w:hint="eastAsia" w:cs="宋体"/>
          <w:snapToGrid w:val="0"/>
          <w:color w:val="000000" w:themeColor="text1"/>
          <w:sz w:val="24"/>
          <w:szCs w:val="24"/>
          <w:highlight w:val="none"/>
          <w14:textFill>
            <w14:solidFill>
              <w14:schemeClr w14:val="tx1"/>
            </w14:solidFill>
          </w14:textFill>
        </w:rPr>
        <w:t>（项目名称）</w:t>
      </w:r>
      <w:r>
        <w:rPr>
          <w:rFonts w:hint="eastAsia" w:cs="宋体"/>
          <w:color w:val="000000" w:themeColor="text1"/>
          <w:sz w:val="24"/>
          <w:szCs w:val="24"/>
          <w:highlight w:val="none"/>
          <w14:textFill>
            <w14:solidFill>
              <w14:schemeClr w14:val="tx1"/>
            </w14:solidFill>
          </w14:textFill>
        </w:rPr>
        <w:t>有关事项协商一致共同签订</w:t>
      </w:r>
      <w:r>
        <w:rPr>
          <w:rFonts w:hint="eastAsia" w:cs="宋体"/>
          <w:color w:val="000000" w:themeColor="text1"/>
          <w:sz w:val="24"/>
          <w:szCs w:val="24"/>
          <w:highlight w:val="none"/>
          <w:u w:val="single"/>
          <w14:textFill>
            <w14:solidFill>
              <w14:schemeClr w14:val="tx1"/>
            </w14:solidFill>
          </w14:textFill>
        </w:rPr>
        <w:t>《        》</w:t>
      </w:r>
      <w:r>
        <w:rPr>
          <w:rFonts w:hint="eastAsia" w:cs="宋体"/>
          <w:color w:val="000000" w:themeColor="text1"/>
          <w:sz w:val="24"/>
          <w:szCs w:val="24"/>
          <w:highlight w:val="none"/>
          <w14:textFill>
            <w14:solidFill>
              <w14:schemeClr w14:val="tx1"/>
            </w14:solidFill>
          </w14:textFill>
        </w:rPr>
        <w:t xml:space="preserve">（以下简称基础合同”），开立人根据基础合同了解到申请人为基础合同项下之甲方，受益人为基础合同项下之乙方，基于申请人的请求，开立人同意就申请人履行与受益人签订的基础合同项下的工程款（指基础合同约定的除工程质量保修金以外的工程款）付款义务，向受益人提供不可撤销、不可转让的见索即付独立保函（以下简称“本保函”）。 </w:t>
      </w:r>
    </w:p>
    <w:p w14:paraId="37FD87AE">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一、本保函担保范围：申请人未履行基础合同约定的工程款支付义务，应当向受益人承担的违约责任和赔偿因此造成的损失、利息、律师费、诉讼费用等实现债权的费用。</w:t>
      </w:r>
    </w:p>
    <w:p w14:paraId="144AEA57">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二、本保函担保金额最高不超过人民币（大写）</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元（¥</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 </w:t>
      </w:r>
    </w:p>
    <w:p w14:paraId="190CD410">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三、本保函有效期自开立之日起至基础合同约定的除工程质量保修金以外的全部工程结算款项支付之日后</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日止。 </w:t>
      </w:r>
    </w:p>
    <w:p w14:paraId="1C303618">
      <w:pPr>
        <w:spacing w:line="400" w:lineRule="exact"/>
        <w:ind w:firstLine="48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四、开立人承诺，在收到受益人发来的书面付款通知后的七日内无条件支付，前述书面付款通知即为付款要求之单据，且应满足以下要求：</w:t>
      </w:r>
    </w:p>
    <w:p w14:paraId="0097E6C1">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（1）付款通知到达的日期在本保函的有效期内；</w:t>
      </w:r>
    </w:p>
    <w:p w14:paraId="5E7C17C9">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（2）载明要求支付的金额；</w:t>
      </w:r>
    </w:p>
    <w:p w14:paraId="59A95129">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（3）载明申请人违反合同义务的条款和内容；</w:t>
      </w:r>
    </w:p>
    <w:p w14:paraId="4F9B80B6">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（4）声明不存在合同文件约定或我国法律规定免除申请人或开立人支付责任的情形；</w:t>
      </w:r>
    </w:p>
    <w:p w14:paraId="1BA5B8C3">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（5）付款通知应在本保函有效期内到达的地址是：</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w:t>
      </w:r>
    </w:p>
    <w:p w14:paraId="3FADC0DF">
      <w:pPr>
        <w:spacing w:line="400" w:lineRule="exact"/>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    受益人发出的书面付款通知应由其法定代表人（负责人）或授权代理人签字并加盖公章。</w:t>
      </w:r>
    </w:p>
    <w:p w14:paraId="07CCEF0D">
      <w:pPr>
        <w:spacing w:line="400" w:lineRule="exact"/>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五、本保函项下的权利不得转让，不得设定担保。受益人未经开立人书面同意转让本保函或其项下任何权利，对开立人不发生法律效力。 </w:t>
      </w:r>
    </w:p>
    <w:p w14:paraId="5BFB7680">
      <w:pPr>
        <w:spacing w:line="400" w:lineRule="exact"/>
        <w:ind w:firstLine="480" w:firstLineChars="200"/>
        <w:rPr>
          <w:rStyle w:val="61"/>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六、本保函项下的基础交易不成立、不生效、无效、被撤销、被解除，不影响本保函的独立有效。</w:t>
      </w:r>
    </w:p>
    <w:p w14:paraId="58FDEFDB">
      <w:pPr>
        <w:spacing w:line="400" w:lineRule="exact"/>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七、本保函项下的义务和责任均在保函有效期到期后自动消灭。 </w:t>
      </w:r>
    </w:p>
    <w:p w14:paraId="20E778DB">
      <w:pPr>
        <w:spacing w:line="400" w:lineRule="exact"/>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八、本保函适用的法律为中华人民共和国法律，因本保函产生的纠纷案件，由申请人所在地人民法院管辖。 </w:t>
      </w:r>
    </w:p>
    <w:p w14:paraId="6B142A4B">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 xml:space="preserve">九、本保函自我方法定代表人或授权代表签字并加盖公章之日起生效。 </w:t>
      </w:r>
    </w:p>
    <w:p w14:paraId="7FA77D0C">
      <w:pPr>
        <w:spacing w:line="360" w:lineRule="auto"/>
        <w:ind w:firstLine="480" w:firstLineChars="200"/>
        <w:rPr>
          <w:rFonts w:cs="宋体"/>
          <w:color w:val="000000" w:themeColor="text1"/>
          <w:sz w:val="24"/>
          <w:szCs w:val="24"/>
          <w:highlight w:val="none"/>
          <w14:textFill>
            <w14:solidFill>
              <w14:schemeClr w14:val="tx1"/>
            </w14:solidFill>
          </w14:textFill>
        </w:rPr>
      </w:pPr>
    </w:p>
    <w:p w14:paraId="577534A9">
      <w:pPr>
        <w:spacing w:line="360" w:lineRule="auto"/>
        <w:ind w:firstLine="480" w:firstLineChars="200"/>
        <w:rPr>
          <w:rFonts w:cs="宋体"/>
          <w:color w:val="000000" w:themeColor="text1"/>
          <w:sz w:val="24"/>
          <w:szCs w:val="24"/>
          <w:highlight w:val="none"/>
          <w14:textFill>
            <w14:solidFill>
              <w14:schemeClr w14:val="tx1"/>
            </w14:solidFill>
          </w14:textFill>
        </w:rPr>
      </w:pPr>
    </w:p>
    <w:p w14:paraId="4672289C">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开 立 人：</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（公章） </w:t>
      </w:r>
    </w:p>
    <w:p w14:paraId="248CD41F">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法定代表人（或授权代表）：</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 xml:space="preserve">（签字） </w:t>
      </w:r>
    </w:p>
    <w:p w14:paraId="49B26EDF">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地    址：</w:t>
      </w:r>
      <w:r>
        <w:rPr>
          <w:rFonts w:hint="eastAsia" w:cs="宋体"/>
          <w:color w:val="000000" w:themeColor="text1"/>
          <w:sz w:val="24"/>
          <w:szCs w:val="24"/>
          <w:highlight w:val="none"/>
          <w:u w:val="single"/>
          <w14:textFill>
            <w14:solidFill>
              <w14:schemeClr w14:val="tx1"/>
            </w14:solidFill>
          </w14:textFill>
        </w:rPr>
        <w:t xml:space="preserve">                                       </w:t>
      </w:r>
    </w:p>
    <w:p w14:paraId="5D543109">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邮政编码：</w:t>
      </w:r>
      <w:r>
        <w:rPr>
          <w:rFonts w:hint="eastAsia" w:cs="宋体"/>
          <w:color w:val="000000" w:themeColor="text1"/>
          <w:sz w:val="24"/>
          <w:szCs w:val="24"/>
          <w:highlight w:val="none"/>
          <w:u w:val="single"/>
          <w14:textFill>
            <w14:solidFill>
              <w14:schemeClr w14:val="tx1"/>
            </w14:solidFill>
          </w14:textFill>
        </w:rPr>
        <w:t xml:space="preserve">                 </w:t>
      </w:r>
    </w:p>
    <w:p w14:paraId="01E9FFD0">
      <w:pPr>
        <w:spacing w:line="360" w:lineRule="auto"/>
        <w:ind w:firstLine="480" w:firstLineChars="20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电    话：</w:t>
      </w:r>
      <w:r>
        <w:rPr>
          <w:rFonts w:hint="eastAsia" w:cs="宋体"/>
          <w:color w:val="000000" w:themeColor="text1"/>
          <w:sz w:val="24"/>
          <w:szCs w:val="24"/>
          <w:highlight w:val="none"/>
          <w:u w:val="single"/>
          <w14:textFill>
            <w14:solidFill>
              <w14:schemeClr w14:val="tx1"/>
            </w14:solidFill>
          </w14:textFill>
        </w:rPr>
        <w:t xml:space="preserve">                 </w:t>
      </w:r>
    </w:p>
    <w:p w14:paraId="0907845D">
      <w:pPr>
        <w:spacing w:line="360" w:lineRule="auto"/>
        <w:ind w:firstLine="480" w:firstLineChars="200"/>
        <w:rPr>
          <w:rFonts w:cs="宋体"/>
          <w:color w:val="000000" w:themeColor="text1"/>
          <w:sz w:val="24"/>
          <w:szCs w:val="24"/>
          <w:highlight w:val="none"/>
          <w:u w:val="singl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传    真：</w:t>
      </w:r>
      <w:r>
        <w:rPr>
          <w:rFonts w:hint="eastAsia" w:cs="宋体"/>
          <w:color w:val="000000" w:themeColor="text1"/>
          <w:sz w:val="24"/>
          <w:szCs w:val="24"/>
          <w:highlight w:val="none"/>
          <w:u w:val="single"/>
          <w14:textFill>
            <w14:solidFill>
              <w14:schemeClr w14:val="tx1"/>
            </w14:solidFill>
          </w14:textFill>
        </w:rPr>
        <w:t xml:space="preserve">                 </w:t>
      </w:r>
    </w:p>
    <w:p w14:paraId="006DA74D">
      <w:pPr>
        <w:spacing w:line="360" w:lineRule="auto"/>
        <w:ind w:left="1432" w:leftChars="200" w:hanging="1032" w:hangingChars="430"/>
        <w:rPr>
          <w:rFonts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开立时间：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年</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月</w:t>
      </w:r>
      <w:r>
        <w:rPr>
          <w:rFonts w:hint="eastAsia" w:cs="宋体"/>
          <w:color w:val="000000" w:themeColor="text1"/>
          <w:sz w:val="24"/>
          <w:szCs w:val="24"/>
          <w:highlight w:val="none"/>
          <w:u w:val="single"/>
          <w14:textFill>
            <w14:solidFill>
              <w14:schemeClr w14:val="tx1"/>
            </w14:solidFill>
          </w14:textFill>
        </w:rPr>
        <w:t xml:space="preserve">    </w:t>
      </w:r>
      <w:r>
        <w:rPr>
          <w:rFonts w:hint="eastAsia" w:cs="宋体"/>
          <w:color w:val="000000" w:themeColor="text1"/>
          <w:sz w:val="24"/>
          <w:szCs w:val="24"/>
          <w:highlight w:val="none"/>
          <w14:textFill>
            <w14:solidFill>
              <w14:schemeClr w14:val="tx1"/>
            </w14:solidFill>
          </w14:textFill>
        </w:rPr>
        <w:t>日</w:t>
      </w:r>
    </w:p>
    <w:p w14:paraId="09B7F255">
      <w:pPr>
        <w:widowControl/>
        <w:jc w:val="left"/>
        <w:rPr>
          <w:b/>
          <w:color w:val="000000" w:themeColor="text1"/>
          <w:sz w:val="24"/>
          <w:highlight w:val="none"/>
          <w14:textFill>
            <w14:solidFill>
              <w14:schemeClr w14:val="tx1"/>
            </w14:solidFill>
          </w14:textFill>
        </w:rPr>
      </w:pPr>
    </w:p>
    <w:p w14:paraId="70D86865">
      <w:pPr>
        <w:widowControl/>
        <w:jc w:val="left"/>
        <w:rPr>
          <w:b/>
          <w:color w:val="000000" w:themeColor="text1"/>
          <w:sz w:val="24"/>
          <w:highlight w:val="none"/>
          <w14:textFill>
            <w14:solidFill>
              <w14:schemeClr w14:val="tx1"/>
            </w14:solidFill>
          </w14:textFill>
        </w:rPr>
      </w:pPr>
    </w:p>
    <w:p w14:paraId="3929CE00">
      <w:pPr>
        <w:rPr>
          <w:rFonts w:asciiTheme="minorEastAsia" w:hAnsiTheme="minorEastAsia" w:eastAsiaTheme="minorEastAsia"/>
          <w:b/>
          <w:color w:val="000000" w:themeColor="text1"/>
          <w:sz w:val="28"/>
          <w:highlight w:val="none"/>
          <w14:textFill>
            <w14:solidFill>
              <w14:schemeClr w14:val="tx1"/>
            </w14:solidFill>
          </w14:textFill>
        </w:rPr>
      </w:pPr>
      <w:bookmarkStart w:id="670" w:name="_Toc22734"/>
      <w:r>
        <w:rPr>
          <w:rFonts w:hint="eastAsia" w:asciiTheme="minorEastAsia" w:hAnsiTheme="minorEastAsia" w:eastAsiaTheme="minorEastAsia"/>
          <w:b/>
          <w:color w:val="000000" w:themeColor="text1"/>
          <w:sz w:val="28"/>
          <w:highlight w:val="none"/>
          <w14:textFill>
            <w14:solidFill>
              <w14:schemeClr w14:val="tx1"/>
            </w14:solidFill>
          </w14:textFill>
        </w:rPr>
        <w:br w:type="page"/>
      </w:r>
    </w:p>
    <w:p w14:paraId="13D0AABF">
      <w:pPr>
        <w:spacing w:line="360" w:lineRule="auto"/>
        <w:jc w:val="center"/>
        <w:outlineLvl w:val="0"/>
        <w:rPr>
          <w:rFonts w:asciiTheme="minorEastAsia" w:hAnsiTheme="minorEastAsia" w:eastAsiaTheme="minorEastAsia"/>
          <w:b/>
          <w:color w:val="000000" w:themeColor="text1"/>
          <w:sz w:val="28"/>
          <w:highlight w:val="none"/>
          <w14:textFill>
            <w14:solidFill>
              <w14:schemeClr w14:val="tx1"/>
            </w14:solidFill>
          </w14:textFill>
        </w:rPr>
      </w:pPr>
      <w:r>
        <w:rPr>
          <w:rFonts w:hint="eastAsia" w:asciiTheme="minorEastAsia" w:hAnsiTheme="minorEastAsia" w:eastAsiaTheme="minorEastAsia"/>
          <w:b/>
          <w:color w:val="000000" w:themeColor="text1"/>
          <w:sz w:val="28"/>
          <w:highlight w:val="none"/>
          <w14:textFill>
            <w14:solidFill>
              <w14:schemeClr w14:val="tx1"/>
            </w14:solidFill>
          </w14:textFill>
        </w:rPr>
        <w:t>第六章  响应文件格式</w:t>
      </w:r>
      <w:bookmarkEnd w:id="670"/>
    </w:p>
    <w:p w14:paraId="47332592">
      <w:pPr>
        <w:spacing w:line="900" w:lineRule="exact"/>
        <w:jc w:val="center"/>
        <w:rPr>
          <w:rFonts w:asciiTheme="minorEastAsia" w:hAnsiTheme="minorEastAsia" w:eastAsiaTheme="minorEastAsia"/>
          <w:b/>
          <w:color w:val="000000" w:themeColor="text1"/>
          <w:sz w:val="72"/>
          <w:highlight w:val="none"/>
          <w14:textFill>
            <w14:solidFill>
              <w14:schemeClr w14:val="tx1"/>
            </w14:solidFill>
          </w14:textFill>
        </w:rPr>
      </w:pPr>
    </w:p>
    <w:p w14:paraId="1035371F">
      <w:pPr>
        <w:spacing w:line="900" w:lineRule="exact"/>
        <w:jc w:val="center"/>
        <w:rPr>
          <w:rFonts w:asciiTheme="minorEastAsia" w:hAnsiTheme="minorEastAsia" w:eastAsiaTheme="minorEastAsia"/>
          <w:b/>
          <w:color w:val="000000" w:themeColor="text1"/>
          <w:sz w:val="72"/>
          <w:highlight w:val="none"/>
          <w14:textFill>
            <w14:solidFill>
              <w14:schemeClr w14:val="tx1"/>
            </w14:solidFill>
          </w14:textFill>
        </w:rPr>
      </w:pPr>
      <w:r>
        <w:rPr>
          <w:rFonts w:hint="eastAsia" w:asciiTheme="minorEastAsia" w:hAnsiTheme="minorEastAsia" w:eastAsiaTheme="minorEastAsia"/>
          <w:b/>
          <w:color w:val="000000" w:themeColor="text1"/>
          <w:sz w:val="72"/>
          <w:highlight w:val="none"/>
          <w14:textFill>
            <w14:solidFill>
              <w14:schemeClr w14:val="tx1"/>
            </w14:solidFill>
          </w14:textFill>
        </w:rPr>
        <w:t>响</w:t>
      </w:r>
    </w:p>
    <w:p w14:paraId="64905502">
      <w:pPr>
        <w:spacing w:line="900" w:lineRule="exact"/>
        <w:jc w:val="center"/>
        <w:rPr>
          <w:rFonts w:asciiTheme="minorEastAsia" w:hAnsiTheme="minorEastAsia" w:eastAsiaTheme="minorEastAsia"/>
          <w:b/>
          <w:color w:val="000000" w:themeColor="text1"/>
          <w:sz w:val="72"/>
          <w:highlight w:val="none"/>
          <w14:textFill>
            <w14:solidFill>
              <w14:schemeClr w14:val="tx1"/>
            </w14:solidFill>
          </w14:textFill>
        </w:rPr>
      </w:pPr>
    </w:p>
    <w:p w14:paraId="101A2923">
      <w:pPr>
        <w:spacing w:line="900" w:lineRule="exact"/>
        <w:jc w:val="center"/>
        <w:rPr>
          <w:rFonts w:asciiTheme="minorEastAsia" w:hAnsiTheme="minorEastAsia" w:eastAsiaTheme="minorEastAsia"/>
          <w:b/>
          <w:color w:val="000000" w:themeColor="text1"/>
          <w:sz w:val="72"/>
          <w:highlight w:val="none"/>
          <w14:textFill>
            <w14:solidFill>
              <w14:schemeClr w14:val="tx1"/>
            </w14:solidFill>
          </w14:textFill>
        </w:rPr>
      </w:pPr>
      <w:r>
        <w:rPr>
          <w:rFonts w:hint="eastAsia" w:asciiTheme="minorEastAsia" w:hAnsiTheme="minorEastAsia" w:eastAsiaTheme="minorEastAsia"/>
          <w:b/>
          <w:color w:val="000000" w:themeColor="text1"/>
          <w:sz w:val="72"/>
          <w:highlight w:val="none"/>
          <w14:textFill>
            <w14:solidFill>
              <w14:schemeClr w14:val="tx1"/>
            </w14:solidFill>
          </w14:textFill>
        </w:rPr>
        <w:t>应</w:t>
      </w:r>
    </w:p>
    <w:p w14:paraId="56A8DD69">
      <w:pPr>
        <w:spacing w:line="900" w:lineRule="exact"/>
        <w:jc w:val="center"/>
        <w:rPr>
          <w:rFonts w:asciiTheme="minorEastAsia" w:hAnsiTheme="minorEastAsia" w:eastAsiaTheme="minorEastAsia"/>
          <w:b/>
          <w:color w:val="000000" w:themeColor="text1"/>
          <w:sz w:val="72"/>
          <w:highlight w:val="none"/>
          <w14:textFill>
            <w14:solidFill>
              <w14:schemeClr w14:val="tx1"/>
            </w14:solidFill>
          </w14:textFill>
        </w:rPr>
      </w:pPr>
    </w:p>
    <w:p w14:paraId="2742D9BE">
      <w:pPr>
        <w:spacing w:line="900" w:lineRule="exact"/>
        <w:jc w:val="center"/>
        <w:rPr>
          <w:rFonts w:asciiTheme="minorEastAsia" w:hAnsiTheme="minorEastAsia" w:eastAsiaTheme="minorEastAsia"/>
          <w:b/>
          <w:color w:val="000000" w:themeColor="text1"/>
          <w:sz w:val="72"/>
          <w:highlight w:val="none"/>
          <w14:textFill>
            <w14:solidFill>
              <w14:schemeClr w14:val="tx1"/>
            </w14:solidFill>
          </w14:textFill>
        </w:rPr>
      </w:pPr>
      <w:r>
        <w:rPr>
          <w:rFonts w:hint="eastAsia" w:asciiTheme="minorEastAsia" w:hAnsiTheme="minorEastAsia" w:eastAsiaTheme="minorEastAsia"/>
          <w:b/>
          <w:color w:val="000000" w:themeColor="text1"/>
          <w:sz w:val="72"/>
          <w:highlight w:val="none"/>
          <w14:textFill>
            <w14:solidFill>
              <w14:schemeClr w14:val="tx1"/>
            </w14:solidFill>
          </w14:textFill>
        </w:rPr>
        <w:t>文</w:t>
      </w:r>
    </w:p>
    <w:p w14:paraId="4AA80445">
      <w:pPr>
        <w:spacing w:line="900" w:lineRule="exact"/>
        <w:jc w:val="center"/>
        <w:rPr>
          <w:rFonts w:asciiTheme="minorEastAsia" w:hAnsiTheme="minorEastAsia" w:eastAsiaTheme="minorEastAsia"/>
          <w:b/>
          <w:color w:val="000000" w:themeColor="text1"/>
          <w:sz w:val="72"/>
          <w:highlight w:val="none"/>
          <w14:textFill>
            <w14:solidFill>
              <w14:schemeClr w14:val="tx1"/>
            </w14:solidFill>
          </w14:textFill>
        </w:rPr>
      </w:pPr>
    </w:p>
    <w:p w14:paraId="2AB8B863">
      <w:pPr>
        <w:jc w:val="center"/>
        <w:rPr>
          <w:rFonts w:asciiTheme="minorEastAsia" w:hAnsiTheme="minorEastAsia" w:eastAsiaTheme="minorEastAsia"/>
          <w:b/>
          <w:color w:val="000000" w:themeColor="text1"/>
          <w:sz w:val="72"/>
          <w:highlight w:val="none"/>
          <w14:textFill>
            <w14:solidFill>
              <w14:schemeClr w14:val="tx1"/>
            </w14:solidFill>
          </w14:textFill>
        </w:rPr>
      </w:pPr>
      <w:r>
        <w:rPr>
          <w:rFonts w:hint="eastAsia" w:asciiTheme="minorEastAsia" w:hAnsiTheme="minorEastAsia" w:eastAsiaTheme="minorEastAsia"/>
          <w:b/>
          <w:color w:val="000000" w:themeColor="text1"/>
          <w:sz w:val="72"/>
          <w:highlight w:val="none"/>
          <w14:textFill>
            <w14:solidFill>
              <w14:schemeClr w14:val="tx1"/>
            </w14:solidFill>
          </w14:textFill>
        </w:rPr>
        <w:t>件</w:t>
      </w:r>
    </w:p>
    <w:p w14:paraId="0B868855">
      <w:pPr>
        <w:spacing w:after="156" w:afterLines="50"/>
        <w:jc w:val="center"/>
        <w:rPr>
          <w:rFonts w:asciiTheme="minorEastAsia" w:hAnsiTheme="minorEastAsia" w:eastAsiaTheme="minorEastAsia"/>
          <w:b/>
          <w:color w:val="000000" w:themeColor="text1"/>
          <w:sz w:val="72"/>
          <w:highlight w:val="none"/>
          <w14:textFill>
            <w14:solidFill>
              <w14:schemeClr w14:val="tx1"/>
            </w14:solidFill>
          </w14:textFill>
        </w:rPr>
      </w:pPr>
    </w:p>
    <w:p w14:paraId="4328DA9A">
      <w:pPr>
        <w:spacing w:after="156" w:afterLines="50" w:line="500" w:lineRule="exact"/>
        <w:jc w:val="center"/>
        <w:rPr>
          <w:rFonts w:asciiTheme="minorEastAsia" w:hAnsiTheme="minorEastAsia" w:eastAsiaTheme="minorEastAsia"/>
          <w:b/>
          <w:color w:val="000000" w:themeColor="text1"/>
          <w:sz w:val="28"/>
          <w:szCs w:val="28"/>
          <w:highlight w:val="none"/>
          <w14:textFill>
            <w14:solidFill>
              <w14:schemeClr w14:val="tx1"/>
            </w14:solidFill>
          </w14:textFill>
        </w:rPr>
      </w:pPr>
    </w:p>
    <w:p w14:paraId="115728DB">
      <w:pPr>
        <w:tabs>
          <w:tab w:val="left" w:pos="2410"/>
        </w:tabs>
        <w:autoSpaceDE w:val="0"/>
        <w:autoSpaceDN w:val="0"/>
        <w:adjustRightInd w:val="0"/>
        <w:snapToGrid w:val="0"/>
        <w:spacing w:line="360" w:lineRule="auto"/>
        <w:ind w:firstLine="1928" w:firstLineChars="600"/>
        <w:rPr>
          <w:b/>
          <w:color w:val="000000" w:themeColor="text1"/>
          <w:spacing w:val="20"/>
          <w:sz w:val="32"/>
          <w:szCs w:val="32"/>
          <w:highlight w:val="none"/>
          <w14:textFill>
            <w14:solidFill>
              <w14:schemeClr w14:val="tx1"/>
            </w14:solidFill>
          </w14:textFill>
        </w:rPr>
      </w:pPr>
      <w:r>
        <w:rPr>
          <w:rFonts w:hint="eastAsia" w:asciiTheme="minorEastAsia" w:hAnsiTheme="minorEastAsia" w:eastAsiaTheme="minorEastAsia"/>
          <w:b/>
          <w:color w:val="000000" w:themeColor="text1"/>
          <w:sz w:val="32"/>
          <w:highlight w:val="none"/>
          <w14:textFill>
            <w14:solidFill>
              <w14:schemeClr w14:val="tx1"/>
            </w14:solidFill>
          </w14:textFill>
        </w:rPr>
        <w:t>项目名称：</w:t>
      </w:r>
      <w:r>
        <w:rPr>
          <w:rFonts w:hint="eastAsia" w:asciiTheme="minorEastAsia" w:hAnsiTheme="minorEastAsia" w:eastAsiaTheme="minorEastAsia"/>
          <w:b/>
          <w:color w:val="000000" w:themeColor="text1"/>
          <w:sz w:val="32"/>
          <w:highlight w:val="none"/>
          <w:u w:val="single"/>
          <w14:textFill>
            <w14:solidFill>
              <w14:schemeClr w14:val="tx1"/>
            </w14:solidFill>
          </w14:textFill>
        </w:rPr>
        <w:t xml:space="preserve">                  </w:t>
      </w:r>
    </w:p>
    <w:p w14:paraId="57C7040B">
      <w:pPr>
        <w:tabs>
          <w:tab w:val="left" w:pos="2410"/>
        </w:tabs>
        <w:autoSpaceDE w:val="0"/>
        <w:autoSpaceDN w:val="0"/>
        <w:adjustRightInd w:val="0"/>
        <w:snapToGrid w:val="0"/>
        <w:spacing w:line="360" w:lineRule="auto"/>
        <w:ind w:firstLine="1928" w:firstLineChars="600"/>
        <w:rPr>
          <w:rFonts w:asciiTheme="minorEastAsia" w:hAnsiTheme="minorEastAsia" w:eastAsiaTheme="minorEastAsia"/>
          <w:b/>
          <w:color w:val="000000" w:themeColor="text1"/>
          <w:sz w:val="32"/>
          <w:highlight w:val="none"/>
          <w:u w:val="single"/>
          <w14:textFill>
            <w14:solidFill>
              <w14:schemeClr w14:val="tx1"/>
            </w14:solidFill>
          </w14:textFill>
        </w:rPr>
      </w:pPr>
      <w:r>
        <w:rPr>
          <w:rFonts w:hint="eastAsia" w:asciiTheme="minorEastAsia" w:hAnsiTheme="minorEastAsia" w:eastAsiaTheme="minorEastAsia"/>
          <w:b/>
          <w:color w:val="000000" w:themeColor="text1"/>
          <w:sz w:val="32"/>
          <w:highlight w:val="none"/>
          <w14:textFill>
            <w14:solidFill>
              <w14:schemeClr w14:val="tx1"/>
            </w14:solidFill>
          </w14:textFill>
        </w:rPr>
        <w:t>项目编号：</w:t>
      </w:r>
      <w:r>
        <w:rPr>
          <w:rFonts w:hint="eastAsia" w:asciiTheme="minorEastAsia" w:hAnsiTheme="minorEastAsia" w:eastAsiaTheme="minorEastAsia"/>
          <w:b/>
          <w:color w:val="000000" w:themeColor="text1"/>
          <w:sz w:val="32"/>
          <w:highlight w:val="none"/>
          <w:u w:val="single"/>
          <w14:textFill>
            <w14:solidFill>
              <w14:schemeClr w14:val="tx1"/>
            </w14:solidFill>
          </w14:textFill>
        </w:rPr>
        <w:t xml:space="preserve">                  </w:t>
      </w:r>
    </w:p>
    <w:p w14:paraId="08F2F377">
      <w:pPr>
        <w:tabs>
          <w:tab w:val="left" w:pos="2410"/>
        </w:tabs>
        <w:autoSpaceDE w:val="0"/>
        <w:autoSpaceDN w:val="0"/>
        <w:adjustRightInd w:val="0"/>
        <w:snapToGrid w:val="0"/>
        <w:spacing w:line="360" w:lineRule="auto"/>
        <w:ind w:firstLine="1928" w:firstLineChars="600"/>
        <w:rPr>
          <w:rFonts w:asciiTheme="minorEastAsia" w:hAnsiTheme="minorEastAsia" w:eastAsiaTheme="minorEastAsia"/>
          <w:b/>
          <w:color w:val="000000" w:themeColor="text1"/>
          <w:sz w:val="32"/>
          <w:highlight w:val="none"/>
          <w:u w:val="single"/>
          <w14:textFill>
            <w14:solidFill>
              <w14:schemeClr w14:val="tx1"/>
            </w14:solidFill>
          </w14:textFill>
        </w:rPr>
      </w:pPr>
      <w:r>
        <w:rPr>
          <w:rFonts w:hint="eastAsia" w:asciiTheme="minorEastAsia" w:hAnsiTheme="minorEastAsia" w:eastAsiaTheme="minorEastAsia"/>
          <w:b/>
          <w:color w:val="000000" w:themeColor="text1"/>
          <w:sz w:val="32"/>
          <w:highlight w:val="none"/>
          <w14:textFill>
            <w14:solidFill>
              <w14:schemeClr w14:val="tx1"/>
            </w14:solidFill>
          </w14:textFill>
        </w:rPr>
        <w:t>供 应 商：</w:t>
      </w:r>
      <w:r>
        <w:rPr>
          <w:rFonts w:hint="eastAsia" w:asciiTheme="minorEastAsia" w:hAnsiTheme="minorEastAsia" w:eastAsiaTheme="minorEastAsia"/>
          <w:b/>
          <w:color w:val="000000" w:themeColor="text1"/>
          <w:sz w:val="32"/>
          <w:highlight w:val="none"/>
          <w:u w:val="single"/>
          <w14:textFill>
            <w14:solidFill>
              <w14:schemeClr w14:val="tx1"/>
            </w14:solidFill>
          </w14:textFill>
        </w:rPr>
        <w:t xml:space="preserve">                  </w:t>
      </w:r>
    </w:p>
    <w:p w14:paraId="6B72CB0F">
      <w:pPr>
        <w:spacing w:after="156" w:afterLines="50" w:line="500" w:lineRule="exact"/>
        <w:jc w:val="center"/>
        <w:rPr>
          <w:rFonts w:asciiTheme="minorEastAsia" w:hAnsiTheme="minorEastAsia" w:eastAsiaTheme="minorEastAsia"/>
          <w:b/>
          <w:color w:val="000000" w:themeColor="text1"/>
          <w:sz w:val="32"/>
          <w:highlight w:val="none"/>
          <w14:textFill>
            <w14:solidFill>
              <w14:schemeClr w14:val="tx1"/>
            </w14:solidFill>
          </w14:textFill>
        </w:rPr>
      </w:pPr>
      <w:r>
        <w:rPr>
          <w:rFonts w:hint="eastAsia" w:asciiTheme="minorEastAsia" w:hAnsiTheme="minorEastAsia" w:eastAsiaTheme="minorEastAsia"/>
          <w:b/>
          <w:color w:val="000000" w:themeColor="text1"/>
          <w:sz w:val="32"/>
          <w:highlight w:val="none"/>
          <w:u w:val="single"/>
          <w14:textFill>
            <w14:solidFill>
              <w14:schemeClr w14:val="tx1"/>
            </w14:solidFill>
          </w14:textFill>
        </w:rPr>
        <w:t xml:space="preserve">    </w:t>
      </w:r>
      <w:bookmarkStart w:id="671" w:name="_Toc24911"/>
      <w:bookmarkStart w:id="672" w:name="_Toc19892"/>
      <w:r>
        <w:rPr>
          <w:rFonts w:hint="eastAsia" w:asciiTheme="minorEastAsia" w:hAnsiTheme="minorEastAsia" w:eastAsiaTheme="minorEastAsia"/>
          <w:b/>
          <w:color w:val="000000" w:themeColor="text1"/>
          <w:sz w:val="32"/>
          <w:highlight w:val="none"/>
          <w14:textFill>
            <w14:solidFill>
              <w14:schemeClr w14:val="tx1"/>
            </w14:solidFill>
          </w14:textFill>
        </w:rPr>
        <w:t>年</w:t>
      </w:r>
      <w:r>
        <w:rPr>
          <w:rFonts w:hint="eastAsia" w:asciiTheme="minorEastAsia" w:hAnsiTheme="minorEastAsia" w:eastAsiaTheme="minorEastAsia"/>
          <w:b/>
          <w:color w:val="000000" w:themeColor="text1"/>
          <w:sz w:val="32"/>
          <w:highlight w:val="none"/>
          <w:u w:val="single"/>
          <w14:textFill>
            <w14:solidFill>
              <w14:schemeClr w14:val="tx1"/>
            </w14:solidFill>
          </w14:textFill>
        </w:rPr>
        <w:t xml:space="preserve">  </w:t>
      </w:r>
      <w:r>
        <w:rPr>
          <w:rFonts w:hint="eastAsia" w:asciiTheme="minorEastAsia" w:hAnsiTheme="minorEastAsia" w:eastAsiaTheme="minorEastAsia"/>
          <w:b/>
          <w:color w:val="000000" w:themeColor="text1"/>
          <w:sz w:val="32"/>
          <w:highlight w:val="none"/>
          <w14:textFill>
            <w14:solidFill>
              <w14:schemeClr w14:val="tx1"/>
            </w14:solidFill>
          </w14:textFill>
        </w:rPr>
        <w:t>月</w:t>
      </w:r>
      <w:r>
        <w:rPr>
          <w:rFonts w:hint="eastAsia" w:asciiTheme="minorEastAsia" w:hAnsiTheme="minorEastAsia" w:eastAsiaTheme="minorEastAsia"/>
          <w:b/>
          <w:color w:val="000000" w:themeColor="text1"/>
          <w:sz w:val="32"/>
          <w:highlight w:val="none"/>
          <w:u w:val="single"/>
          <w14:textFill>
            <w14:solidFill>
              <w14:schemeClr w14:val="tx1"/>
            </w14:solidFill>
          </w14:textFill>
        </w:rPr>
        <w:t xml:space="preserve">  </w:t>
      </w:r>
      <w:r>
        <w:rPr>
          <w:rFonts w:hint="eastAsia" w:asciiTheme="minorEastAsia" w:hAnsiTheme="minorEastAsia" w:eastAsiaTheme="minorEastAsia"/>
          <w:b/>
          <w:color w:val="000000" w:themeColor="text1"/>
          <w:sz w:val="32"/>
          <w:highlight w:val="none"/>
          <w14:textFill>
            <w14:solidFill>
              <w14:schemeClr w14:val="tx1"/>
            </w14:solidFill>
          </w14:textFill>
        </w:rPr>
        <w:t>日</w:t>
      </w:r>
      <w:bookmarkEnd w:id="671"/>
      <w:bookmarkEnd w:id="672"/>
    </w:p>
    <w:p w14:paraId="2DE4EC72">
      <w:pPr>
        <w:widowControl/>
        <w:jc w:val="left"/>
        <w:rPr>
          <w:rFonts w:asciiTheme="minorEastAsia" w:hAnsiTheme="minorEastAsia" w:eastAsiaTheme="minorEastAsia"/>
          <w:b/>
          <w:color w:val="000000" w:themeColor="text1"/>
          <w:sz w:val="28"/>
          <w:highlight w:val="none"/>
          <w14:textFill>
            <w14:solidFill>
              <w14:schemeClr w14:val="tx1"/>
            </w14:solidFill>
          </w14:textFill>
        </w:rPr>
      </w:pPr>
      <w:r>
        <w:rPr>
          <w:rFonts w:asciiTheme="minorEastAsia" w:hAnsiTheme="minorEastAsia" w:eastAsiaTheme="minorEastAsia"/>
          <w:b/>
          <w:color w:val="000000" w:themeColor="text1"/>
          <w:sz w:val="28"/>
          <w:highlight w:val="none"/>
          <w14:textFill>
            <w14:solidFill>
              <w14:schemeClr w14:val="tx1"/>
            </w14:solidFill>
          </w14:textFill>
        </w:rPr>
        <w:br w:type="page"/>
      </w:r>
    </w:p>
    <w:p w14:paraId="424F9DC4">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673" w:name="_Toc461056631"/>
      <w:bookmarkStart w:id="674" w:name="_Toc461053086"/>
      <w:bookmarkStart w:id="675" w:name="_Toc21496"/>
      <w:bookmarkStart w:id="676" w:name="_Toc520983587"/>
      <w:bookmarkStart w:id="677" w:name="_Toc28280"/>
      <w:r>
        <w:rPr>
          <w:rFonts w:hint="eastAsia" w:asciiTheme="minorEastAsia" w:hAnsiTheme="minorEastAsia" w:eastAsiaTheme="minorEastAsia"/>
          <w:b/>
          <w:color w:val="000000" w:themeColor="text1"/>
          <w:sz w:val="24"/>
          <w:highlight w:val="none"/>
          <w14:textFill>
            <w14:solidFill>
              <w14:schemeClr w14:val="tx1"/>
            </w14:solidFill>
          </w14:textFill>
        </w:rPr>
        <w:t>一</w:t>
      </w:r>
      <w:bookmarkEnd w:id="673"/>
      <w:bookmarkEnd w:id="674"/>
      <w:r>
        <w:rPr>
          <w:rFonts w:hint="eastAsia" w:asciiTheme="minorEastAsia" w:hAnsiTheme="minorEastAsia" w:eastAsiaTheme="minorEastAsia"/>
          <w:b/>
          <w:color w:val="000000" w:themeColor="text1"/>
          <w:sz w:val="24"/>
          <w:highlight w:val="none"/>
          <w14:textFill>
            <w14:solidFill>
              <w14:schemeClr w14:val="tx1"/>
            </w14:solidFill>
          </w14:textFill>
        </w:rPr>
        <w:t>、报价表格式</w:t>
      </w:r>
      <w:bookmarkEnd w:id="675"/>
      <w:bookmarkEnd w:id="676"/>
      <w:bookmarkEnd w:id="677"/>
    </w:p>
    <w:p w14:paraId="03644591">
      <w:pPr>
        <w:spacing w:before="156" w:beforeLines="50" w:after="156" w:afterLines="50" w:line="360" w:lineRule="auto"/>
        <w:jc w:val="left"/>
        <w:outlineLvl w:val="9"/>
        <w:rPr>
          <w:rFonts w:cs="@仿宋_GB2312"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仿宋_GB2312" w:asciiTheme="minorEastAsia" w:hAnsiTheme="minorEastAsia" w:eastAsiaTheme="minorEastAsia"/>
          <w:b/>
          <w:color w:val="000000" w:themeColor="text1"/>
          <w:kern w:val="2"/>
          <w:sz w:val="24"/>
          <w:szCs w:val="24"/>
          <w:highlight w:val="none"/>
          <w14:textFill>
            <w14:solidFill>
              <w14:schemeClr w14:val="tx1"/>
            </w14:solidFill>
          </w14:textFill>
        </w:rPr>
        <w:t>1-1 报价表</w:t>
      </w:r>
    </w:p>
    <w:p w14:paraId="38CD8B97">
      <w:pPr>
        <w:snapToGrid w:val="0"/>
        <w:spacing w:line="360" w:lineRule="auto"/>
        <w:jc w:val="left"/>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项目名称：</w:t>
      </w:r>
      <w:r>
        <w:rPr>
          <w:rFonts w:hint="eastAsia" w:cs="宋体" w:asciiTheme="minorEastAsia" w:hAnsiTheme="minorEastAsia" w:eastAsiaTheme="minorEastAsia"/>
          <w:b/>
          <w:color w:val="000000" w:themeColor="text1"/>
          <w:kern w:val="2"/>
          <w:sz w:val="24"/>
          <w:szCs w:val="24"/>
          <w:highlight w:val="none"/>
          <w:u w:val="single"/>
          <w14:textFill>
            <w14:solidFill>
              <w14:schemeClr w14:val="tx1"/>
            </w14:solidFill>
          </w14:textFill>
        </w:rPr>
        <w:t xml:space="preserve"> </w:t>
      </w:r>
      <w:r>
        <w:rPr>
          <w:rFonts w:hint="eastAsia" w:cs="宋体" w:asciiTheme="minorEastAsia" w:hAnsiTheme="minorEastAsia" w:eastAsiaTheme="minorEastAsia"/>
          <w:b/>
          <w:color w:val="000000" w:themeColor="text1"/>
          <w:kern w:val="2"/>
          <w:sz w:val="24"/>
          <w:szCs w:val="24"/>
          <w:highlight w:val="none"/>
          <w:u w:val="single"/>
          <w:lang w:val="en-US" w:eastAsia="zh-CN"/>
          <w14:textFill>
            <w14:solidFill>
              <w14:schemeClr w14:val="tx1"/>
            </w14:solidFill>
          </w14:textFill>
        </w:rPr>
        <w:t xml:space="preserve">          </w:t>
      </w:r>
      <w:r>
        <w:rPr>
          <w:rFonts w:hint="eastAsia" w:cs="宋体" w:asciiTheme="minorEastAsia" w:hAnsiTheme="minorEastAsia" w:eastAsiaTheme="minorEastAsia"/>
          <w:b/>
          <w:color w:val="000000" w:themeColor="text1"/>
          <w:kern w:val="2"/>
          <w:sz w:val="24"/>
          <w:szCs w:val="24"/>
          <w:highlight w:val="none"/>
          <w:u w:val="single"/>
          <w14:textFill>
            <w14:solidFill>
              <w14:schemeClr w14:val="tx1"/>
            </w14:solidFill>
          </w14:textFill>
        </w:rPr>
        <w:t xml:space="preserve">    </w:t>
      </w:r>
    </w:p>
    <w:p w14:paraId="4070F75F">
      <w:pPr>
        <w:snapToGrid w:val="0"/>
        <w:spacing w:after="156" w:afterLines="50" w:line="360" w:lineRule="auto"/>
        <w:jc w:val="left"/>
        <w:rPr>
          <w:rFonts w:cs="宋体" w:asciiTheme="minorEastAsia" w:hAnsiTheme="minorEastAsia" w:eastAsiaTheme="minorEastAsia"/>
          <w:b/>
          <w:bCs/>
          <w:color w:val="000000" w:themeColor="text1"/>
          <w:kern w:val="2"/>
          <w:sz w:val="24"/>
          <w:szCs w:val="24"/>
          <w:highlight w:val="none"/>
          <w:u w:val="singl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项目编号：</w:t>
      </w:r>
      <w:r>
        <w:rPr>
          <w:rFonts w:hint="eastAsia" w:cs="宋体" w:asciiTheme="minorEastAsia" w:hAnsiTheme="minorEastAsia" w:eastAsiaTheme="minorEastAsia"/>
          <w:b/>
          <w:color w:val="000000" w:themeColor="text1"/>
          <w:kern w:val="2"/>
          <w:sz w:val="24"/>
          <w:szCs w:val="24"/>
          <w:highlight w:val="none"/>
          <w:u w:val="single"/>
          <w14:textFill>
            <w14:solidFill>
              <w14:schemeClr w14:val="tx1"/>
            </w14:solidFill>
          </w14:textFill>
        </w:rPr>
        <w:t xml:space="preserve"> </w:t>
      </w:r>
      <w:r>
        <w:rPr>
          <w:rFonts w:hint="eastAsia" w:cs="宋体" w:asciiTheme="minorEastAsia" w:hAnsiTheme="minorEastAsia" w:eastAsiaTheme="minorEastAsia"/>
          <w:b/>
          <w:color w:val="000000" w:themeColor="text1"/>
          <w:kern w:val="2"/>
          <w:sz w:val="24"/>
          <w:szCs w:val="24"/>
          <w:highlight w:val="none"/>
          <w:u w:val="single"/>
          <w:lang w:val="en-US" w:eastAsia="zh-CN"/>
          <w14:textFill>
            <w14:solidFill>
              <w14:schemeClr w14:val="tx1"/>
            </w14:solidFill>
          </w14:textFill>
        </w:rPr>
        <w:t xml:space="preserve">          </w:t>
      </w:r>
      <w:r>
        <w:rPr>
          <w:rFonts w:hint="eastAsia" w:cs="宋体" w:asciiTheme="minorEastAsia" w:hAnsiTheme="minorEastAsia" w:eastAsiaTheme="minorEastAsia"/>
          <w:b/>
          <w:color w:val="000000" w:themeColor="text1"/>
          <w:kern w:val="2"/>
          <w:sz w:val="24"/>
          <w:szCs w:val="24"/>
          <w:highlight w:val="none"/>
          <w:u w:val="single"/>
          <w14:textFill>
            <w14:solidFill>
              <w14:schemeClr w14:val="tx1"/>
            </w14:solidFill>
          </w14:textFill>
        </w:rPr>
        <w:t xml:space="preserve">    </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063"/>
      </w:tblGrid>
      <w:tr w14:paraId="1AED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48CED758">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供应商名称</w:t>
            </w:r>
          </w:p>
        </w:tc>
        <w:tc>
          <w:tcPr>
            <w:tcW w:w="6063" w:type="dxa"/>
            <w:tcBorders>
              <w:left w:val="single" w:color="auto" w:sz="4" w:space="0"/>
            </w:tcBorders>
          </w:tcPr>
          <w:p w14:paraId="42283105">
            <w:pP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p>
        </w:tc>
      </w:tr>
      <w:tr w14:paraId="6BB2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22CCB295">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磋商</w:t>
            </w: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范围</w:t>
            </w:r>
          </w:p>
        </w:tc>
        <w:tc>
          <w:tcPr>
            <w:tcW w:w="6063" w:type="dxa"/>
            <w:tcBorders>
              <w:left w:val="single" w:color="auto" w:sz="4" w:space="0"/>
            </w:tcBorders>
            <w:vAlign w:val="center"/>
          </w:tcPr>
          <w:p w14:paraId="21EBBCB2">
            <w:pPr>
              <w:widowControl/>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8"/>
                <w:highlight w:val="none"/>
                <w14:textFill>
                  <w14:solidFill>
                    <w14:schemeClr w14:val="tx1"/>
                  </w14:solidFill>
                </w14:textFill>
              </w:rPr>
              <w:t>第</w:t>
            </w:r>
            <w:r>
              <w:rPr>
                <w:rFonts w:hint="eastAsia" w:cs="@仿宋_GB2312" w:asciiTheme="minorEastAsia" w:hAnsiTheme="minorEastAsia" w:eastAsiaTheme="minorEastAsia"/>
                <w:color w:val="000000" w:themeColor="text1"/>
                <w:kern w:val="2"/>
                <w:sz w:val="24"/>
                <w:szCs w:val="28"/>
                <w:highlight w:val="none"/>
                <w:u w:val="single"/>
                <w14:textFill>
                  <w14:solidFill>
                    <w14:schemeClr w14:val="tx1"/>
                  </w14:solidFill>
                </w14:textFill>
              </w:rPr>
              <w:t xml:space="preserve">   </w:t>
            </w:r>
            <w:r>
              <w:rPr>
                <w:rFonts w:hint="eastAsia" w:cs="@仿宋_GB2312" w:asciiTheme="minorEastAsia" w:hAnsiTheme="minorEastAsia" w:eastAsiaTheme="minorEastAsia"/>
                <w:color w:val="000000" w:themeColor="text1"/>
                <w:kern w:val="2"/>
                <w:sz w:val="24"/>
                <w:szCs w:val="28"/>
                <w:highlight w:val="none"/>
                <w14:textFill>
                  <w14:solidFill>
                    <w14:schemeClr w14:val="tx1"/>
                  </w14:solidFill>
                </w14:textFill>
              </w:rPr>
              <w:t>包</w:t>
            </w:r>
          </w:p>
        </w:tc>
      </w:tr>
      <w:tr w14:paraId="031E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59" w:type="dxa"/>
            <w:tcBorders>
              <w:top w:val="single" w:color="auto" w:sz="4" w:space="0"/>
            </w:tcBorders>
            <w:vAlign w:val="center"/>
          </w:tcPr>
          <w:p w14:paraId="445CA664">
            <w:pPr>
              <w:spacing w:line="360" w:lineRule="auto"/>
              <w:jc w:val="center"/>
              <w:rPr>
                <w:rFonts w:cs="@仿宋_GB2312"/>
                <w:b/>
                <w:color w:val="000000" w:themeColor="text1"/>
                <w:kern w:val="2"/>
                <w:sz w:val="24"/>
                <w:highlight w:val="none"/>
                <w14:textFill>
                  <w14:solidFill>
                    <w14:schemeClr w14:val="tx1"/>
                  </w14:solidFill>
                </w14:textFill>
              </w:rPr>
            </w:pPr>
            <w:r>
              <w:rPr>
                <w:rFonts w:hint="eastAsia" w:cs="@仿宋_GB2312"/>
                <w:b/>
                <w:color w:val="000000" w:themeColor="text1"/>
                <w:kern w:val="2"/>
                <w:sz w:val="24"/>
                <w:highlight w:val="none"/>
                <w14:textFill>
                  <w14:solidFill>
                    <w14:schemeClr w14:val="tx1"/>
                  </w14:solidFill>
                </w14:textFill>
              </w:rPr>
              <w:t>报价</w:t>
            </w:r>
          </w:p>
          <w:p w14:paraId="316829B7">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（详见备注说明）</w:t>
            </w:r>
          </w:p>
        </w:tc>
        <w:tc>
          <w:tcPr>
            <w:tcW w:w="6063" w:type="dxa"/>
            <w:vAlign w:val="center"/>
          </w:tcPr>
          <w:p w14:paraId="04150DBA">
            <w:pPr>
              <w:snapToGrid w:val="0"/>
              <w:rPr>
                <w:rFonts w:cs="宋体" w:asciiTheme="minorEastAsia" w:hAnsiTheme="minorEastAsia" w:eastAsiaTheme="minorEastAsia"/>
                <w:color w:val="000000" w:themeColor="text1"/>
                <w:kern w:val="2"/>
                <w:sz w:val="24"/>
                <w:szCs w:val="24"/>
                <w:highlight w:val="none"/>
                <w14:textFill>
                  <w14:solidFill>
                    <w14:schemeClr w14:val="tx1"/>
                  </w14:solidFill>
                </w14:textFill>
              </w:rPr>
            </w:pPr>
          </w:p>
          <w:p w14:paraId="36BC4D8C">
            <w:pPr>
              <w:snapToGrid w:val="0"/>
              <w:spacing w:line="360" w:lineRule="auto"/>
              <w:jc w:val="left"/>
              <w:rPr>
                <w:rFonts w:cs="宋体"/>
                <w:bCs/>
                <w:color w:val="000000" w:themeColor="text1"/>
                <w:sz w:val="24"/>
                <w:szCs w:val="24"/>
                <w:highlight w:val="none"/>
                <w:u w:val="singl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大写：</w:t>
            </w:r>
            <w:r>
              <w:rPr>
                <w:rFonts w:hint="eastAsia" w:cs="宋体"/>
                <w:bCs/>
                <w:color w:val="000000" w:themeColor="text1"/>
                <w:sz w:val="24"/>
                <w:szCs w:val="24"/>
                <w:highlight w:val="none"/>
                <w:u w:val="single"/>
                <w14:textFill>
                  <w14:solidFill>
                    <w14:schemeClr w14:val="tx1"/>
                  </w14:solidFill>
                </w14:textFill>
              </w:rPr>
              <w:t xml:space="preserve">                     </w:t>
            </w:r>
          </w:p>
          <w:p w14:paraId="70F7B771">
            <w:pPr>
              <w:spacing w:line="360" w:lineRule="auto"/>
              <w:ind w:right="-670"/>
              <w:rPr>
                <w:rFonts w:asciiTheme="minorEastAsia" w:hAnsiTheme="minorEastAsia" w:eastAsiaTheme="minorEastAsia"/>
                <w:color w:val="000000" w:themeColor="text1"/>
                <w:sz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小写（元）：</w:t>
            </w:r>
            <w:r>
              <w:rPr>
                <w:rFonts w:hint="eastAsia" w:cs="宋体"/>
                <w:bCs/>
                <w:color w:val="000000" w:themeColor="text1"/>
                <w:sz w:val="24"/>
                <w:szCs w:val="24"/>
                <w:highlight w:val="none"/>
                <w:u w:val="single"/>
                <w14:textFill>
                  <w14:solidFill>
                    <w14:schemeClr w14:val="tx1"/>
                  </w14:solidFill>
                </w14:textFill>
              </w:rPr>
              <w:t xml:space="preserve">                     </w:t>
            </w:r>
          </w:p>
          <w:p w14:paraId="6A45641B">
            <w:pPr>
              <w:snapToGrid w:val="0"/>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p>
        </w:tc>
      </w:tr>
      <w:tr w14:paraId="3527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3EBAEBBF">
            <w:pPr>
              <w:snapToGrid w:val="0"/>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质量标准</w:t>
            </w:r>
          </w:p>
        </w:tc>
        <w:tc>
          <w:tcPr>
            <w:tcW w:w="6063" w:type="dxa"/>
            <w:vAlign w:val="center"/>
          </w:tcPr>
          <w:p w14:paraId="23F2D023">
            <w:pPr>
              <w:snapToGrid w:val="0"/>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合格</w:t>
            </w:r>
          </w:p>
        </w:tc>
      </w:tr>
      <w:tr w14:paraId="6B7F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4C26F085">
            <w:pPr>
              <w:snapToGrid w:val="0"/>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工    期</w:t>
            </w:r>
          </w:p>
        </w:tc>
        <w:tc>
          <w:tcPr>
            <w:tcW w:w="6063" w:type="dxa"/>
            <w:vAlign w:val="center"/>
          </w:tcPr>
          <w:p w14:paraId="0CE5EB45">
            <w:pPr>
              <w:snapToGrid w:val="0"/>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u w:val="single"/>
                <w14:textFill>
                  <w14:solidFill>
                    <w14:schemeClr w14:val="tx1"/>
                  </w14:solidFill>
                </w14:textFill>
              </w:rPr>
              <w:t>符合磋商文件要求</w:t>
            </w:r>
          </w:p>
        </w:tc>
      </w:tr>
      <w:tr w14:paraId="13DE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1522C717">
            <w:pPr>
              <w:snapToGrid w:val="0"/>
              <w:jc w:val="center"/>
              <w:rPr>
                <w:rFonts w:cs="宋体" w:asciiTheme="minorEastAsia" w:hAnsiTheme="minorEastAsia" w:eastAsiaTheme="minorEastAsia"/>
                <w:b/>
                <w:bCs/>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是否响应付款方式</w:t>
            </w:r>
          </w:p>
        </w:tc>
        <w:tc>
          <w:tcPr>
            <w:tcW w:w="6063" w:type="dxa"/>
            <w:vAlign w:val="center"/>
          </w:tcPr>
          <w:p w14:paraId="723C7194">
            <w:pPr>
              <w:snapToGrid w:val="0"/>
              <w:rPr>
                <w:rFonts w:cs="宋体" w:asciiTheme="minorEastAsia" w:hAnsiTheme="minorEastAsia" w:eastAsiaTheme="minorEastAsia"/>
                <w:bCs/>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kern w:val="2"/>
                <w:sz w:val="24"/>
                <w:szCs w:val="24"/>
                <w:highlight w:val="none"/>
                <w14:textFill>
                  <w14:solidFill>
                    <w14:schemeClr w14:val="tx1"/>
                  </w14:solidFill>
                </w14:textFill>
              </w:rPr>
              <w:t>是</w:t>
            </w:r>
          </w:p>
        </w:tc>
      </w:tr>
      <w:tr w14:paraId="747A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2459" w:type="dxa"/>
            <w:vAlign w:val="center"/>
          </w:tcPr>
          <w:p w14:paraId="4D418805">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备注说明</w:t>
            </w:r>
          </w:p>
        </w:tc>
        <w:tc>
          <w:tcPr>
            <w:tcW w:w="6063" w:type="dxa"/>
          </w:tcPr>
          <w:p w14:paraId="660BF9C9">
            <w:pP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p>
        </w:tc>
      </w:tr>
    </w:tbl>
    <w:p w14:paraId="1BF17343">
      <w:pPr>
        <w:spacing w:line="440" w:lineRule="exact"/>
        <w:ind w:firstLine="4800" w:firstLineChars="2000"/>
        <w:rPr>
          <w:rFonts w:cs="@仿宋_GB2312"/>
          <w:color w:val="000000" w:themeColor="text1"/>
          <w:kern w:val="2"/>
          <w:sz w:val="24"/>
          <w:szCs w:val="24"/>
          <w:highlight w:val="none"/>
          <w:u w:val="single"/>
          <w14:textFill>
            <w14:solidFill>
              <w14:schemeClr w14:val="tx1"/>
            </w14:solidFill>
          </w14:textFill>
        </w:rPr>
      </w:pPr>
      <w:r>
        <w:rPr>
          <w:rFonts w:hint="eastAsia" w:cs="@仿宋_GB2312"/>
          <w:color w:val="000000" w:themeColor="text1"/>
          <w:kern w:val="2"/>
          <w:sz w:val="24"/>
          <w:szCs w:val="24"/>
          <w:highlight w:val="none"/>
          <w14:textFill>
            <w14:solidFill>
              <w14:schemeClr w14:val="tx1"/>
            </w14:solidFill>
          </w14:textFill>
        </w:rPr>
        <w:t>供应商电子签章：</w:t>
      </w:r>
      <w:r>
        <w:rPr>
          <w:rFonts w:hint="eastAsia" w:cs="@仿宋_GB2312"/>
          <w:color w:val="000000" w:themeColor="text1"/>
          <w:kern w:val="2"/>
          <w:sz w:val="24"/>
          <w:szCs w:val="24"/>
          <w:highlight w:val="none"/>
          <w:u w:val="single"/>
          <w14:textFill>
            <w14:solidFill>
              <w14:schemeClr w14:val="tx1"/>
            </w14:solidFill>
          </w14:textFill>
        </w:rPr>
        <w:t xml:space="preserve">     </w:t>
      </w:r>
      <w:r>
        <w:rPr>
          <w:rFonts w:cs="@仿宋_GB2312"/>
          <w:color w:val="000000" w:themeColor="text1"/>
          <w:kern w:val="2"/>
          <w:sz w:val="24"/>
          <w:szCs w:val="24"/>
          <w:highlight w:val="none"/>
          <w:u w:val="single"/>
          <w14:textFill>
            <w14:solidFill>
              <w14:schemeClr w14:val="tx1"/>
            </w14:solidFill>
          </w14:textFill>
        </w:rPr>
        <w:t xml:space="preserve">    </w:t>
      </w:r>
      <w:r>
        <w:rPr>
          <w:rFonts w:hint="eastAsia" w:cs="@仿宋_GB2312"/>
          <w:color w:val="000000" w:themeColor="text1"/>
          <w:kern w:val="2"/>
          <w:sz w:val="24"/>
          <w:szCs w:val="24"/>
          <w:highlight w:val="none"/>
          <w:u w:val="single"/>
          <w14:textFill>
            <w14:solidFill>
              <w14:schemeClr w14:val="tx1"/>
            </w14:solidFill>
          </w14:textFill>
        </w:rPr>
        <w:t xml:space="preserve">    </w:t>
      </w:r>
    </w:p>
    <w:p w14:paraId="18DF9E98">
      <w:pPr>
        <w:spacing w:line="440" w:lineRule="exact"/>
        <w:ind w:firstLine="4800" w:firstLineChars="2000"/>
        <w:rPr>
          <w:rFonts w:cs="@仿宋_GB2312"/>
          <w:color w:val="000000" w:themeColor="text1"/>
          <w:kern w:val="2"/>
          <w:sz w:val="24"/>
          <w:szCs w:val="24"/>
          <w:highlight w:val="none"/>
          <w:u w:val="single"/>
          <w14:textFill>
            <w14:solidFill>
              <w14:schemeClr w14:val="tx1"/>
            </w14:solidFill>
          </w14:textFill>
        </w:rPr>
      </w:pPr>
      <w:r>
        <w:rPr>
          <w:rFonts w:hint="eastAsia" w:cs="@仿宋_GB2312"/>
          <w:color w:val="000000" w:themeColor="text1"/>
          <w:kern w:val="2"/>
          <w:sz w:val="24"/>
          <w:szCs w:val="24"/>
          <w:highlight w:val="none"/>
          <w14:textFill>
            <w14:solidFill>
              <w14:schemeClr w14:val="tx1"/>
            </w14:solidFill>
          </w14:textFill>
        </w:rPr>
        <w:t xml:space="preserve">日     </w:t>
      </w:r>
      <w:r>
        <w:rPr>
          <w:rFonts w:cs="@仿宋_GB2312"/>
          <w:color w:val="000000" w:themeColor="text1"/>
          <w:kern w:val="2"/>
          <w:sz w:val="24"/>
          <w:szCs w:val="24"/>
          <w:highlight w:val="none"/>
          <w14:textFill>
            <w14:solidFill>
              <w14:schemeClr w14:val="tx1"/>
            </w14:solidFill>
          </w14:textFill>
        </w:rPr>
        <w:t xml:space="preserve">    </w:t>
      </w:r>
      <w:r>
        <w:rPr>
          <w:rFonts w:hint="eastAsia" w:cs="@仿宋_GB2312"/>
          <w:color w:val="000000" w:themeColor="text1"/>
          <w:kern w:val="2"/>
          <w:sz w:val="24"/>
          <w:szCs w:val="24"/>
          <w:highlight w:val="none"/>
          <w14:textFill>
            <w14:solidFill>
              <w14:schemeClr w14:val="tx1"/>
            </w14:solidFill>
          </w14:textFill>
        </w:rPr>
        <w:t xml:space="preserve"> 期：</w:t>
      </w:r>
      <w:r>
        <w:rPr>
          <w:rFonts w:hint="eastAsia" w:cs="@仿宋_GB2312"/>
          <w:color w:val="000000" w:themeColor="text1"/>
          <w:kern w:val="2"/>
          <w:sz w:val="24"/>
          <w:szCs w:val="24"/>
          <w:highlight w:val="none"/>
          <w:u w:val="single"/>
          <w14:textFill>
            <w14:solidFill>
              <w14:schemeClr w14:val="tx1"/>
            </w14:solidFill>
          </w14:textFill>
        </w:rPr>
        <w:t xml:space="preserve">             </w:t>
      </w:r>
    </w:p>
    <w:p w14:paraId="55D3EB1C">
      <w:pPr>
        <w:adjustRightInd w:val="0"/>
        <w:snapToGrid w:val="0"/>
        <w:spacing w:line="360" w:lineRule="auto"/>
        <w:rPr>
          <w:rFonts w:cs="宋体" w:asciiTheme="minorEastAsia" w:hAnsiTheme="minorEastAsia" w:eastAsiaTheme="minorEastAsia"/>
          <w:b/>
          <w:bCs/>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注：</w:t>
      </w:r>
    </w:p>
    <w:p w14:paraId="3DEF6C5C">
      <w:pPr>
        <w:adjustRightInd w:val="0"/>
        <w:snapToGrid w:val="0"/>
        <w:spacing w:line="360" w:lineRule="auto"/>
        <w:ind w:firstLine="482" w:firstLineChars="200"/>
        <w:rPr>
          <w:rFonts w:cs="宋体" w:asciiTheme="minorEastAsia" w:hAnsiTheme="minorEastAsia" w:eastAsiaTheme="minorEastAsia"/>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1.本表内容根据磋商文件要求包括了磋商文件要求提供的全部内容的所有费用。</w:t>
      </w:r>
    </w:p>
    <w:p w14:paraId="251CE170">
      <w:pPr>
        <w:adjustRightInd w:val="0"/>
        <w:snapToGrid w:val="0"/>
        <w:spacing w:line="360" w:lineRule="auto"/>
        <w:ind w:firstLine="482" w:firstLineChars="200"/>
        <w:rPr>
          <w:rFonts w:cs="宋体" w:asciiTheme="minorEastAsia" w:hAnsiTheme="minorEastAsia" w:eastAsiaTheme="minorEastAsia"/>
          <w:b/>
          <w:bCs/>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2.特殊事项在备注中注明。</w:t>
      </w:r>
    </w:p>
    <w:p w14:paraId="60013B42">
      <w:pPr>
        <w:adjustRightInd w:val="0"/>
        <w:snapToGrid w:val="0"/>
        <w:spacing w:line="360" w:lineRule="auto"/>
        <w:ind w:firstLine="482" w:firstLineChars="200"/>
        <w:rPr>
          <w:b/>
          <w:bCs/>
          <w:color w:val="000000" w:themeColor="text1"/>
          <w:sz w:val="24"/>
          <w:szCs w:val="28"/>
          <w:highlight w:val="none"/>
          <w14:textFill>
            <w14:solidFill>
              <w14:schemeClr w14:val="tx1"/>
            </w14:solidFill>
          </w14:textFill>
        </w:rPr>
      </w:pPr>
      <w:r>
        <w:rPr>
          <w:rFonts w:hint="eastAsia"/>
          <w:b/>
          <w:bCs/>
          <w:color w:val="000000" w:themeColor="text1"/>
          <w:sz w:val="24"/>
          <w:szCs w:val="28"/>
          <w:highlight w:val="none"/>
          <w14:textFill>
            <w14:solidFill>
              <w14:schemeClr w14:val="tx1"/>
            </w14:solidFill>
          </w14:textFill>
        </w:rPr>
        <w:t>3.表中大写金额与小写金额不一致的，以大写金额为准。</w:t>
      </w:r>
    </w:p>
    <w:p w14:paraId="2A4B4E4F">
      <w:pPr>
        <w:adjustRightInd w:val="0"/>
        <w:snapToGrid w:val="0"/>
        <w:spacing w:line="360" w:lineRule="auto"/>
        <w:ind w:firstLine="482" w:firstLineChars="200"/>
        <w:rPr>
          <w:rFonts w:cs="宋体" w:asciiTheme="minorEastAsia" w:hAnsiTheme="minorEastAsia" w:eastAsiaTheme="minorEastAsia"/>
          <w:b/>
          <w:bCs/>
          <w:color w:val="000000" w:themeColor="text1"/>
          <w:kern w:val="2"/>
          <w:sz w:val="24"/>
          <w:szCs w:val="24"/>
          <w:highlight w:val="none"/>
          <w14:textFill>
            <w14:solidFill>
              <w14:schemeClr w14:val="tx1"/>
            </w14:solidFill>
          </w14:textFill>
        </w:rPr>
      </w:pPr>
      <w:r>
        <w:rPr>
          <w:rFonts w:cs="宋体" w:asciiTheme="minorEastAsia" w:hAnsiTheme="minorEastAsia" w:eastAsiaTheme="minorEastAsia"/>
          <w:b/>
          <w:bCs/>
          <w:color w:val="000000" w:themeColor="text1"/>
          <w:kern w:val="2"/>
          <w:sz w:val="24"/>
          <w:szCs w:val="24"/>
          <w:highlight w:val="none"/>
          <w14:textFill>
            <w14:solidFill>
              <w14:schemeClr w14:val="tx1"/>
            </w14:solidFill>
          </w14:textFill>
        </w:rPr>
        <w:br w:type="page"/>
      </w:r>
    </w:p>
    <w:p w14:paraId="260805CA">
      <w:pPr>
        <w:spacing w:line="360" w:lineRule="auto"/>
        <w:jc w:val="center"/>
        <w:rPr>
          <w:rFonts w:asciiTheme="minorEastAsia" w:hAnsiTheme="minorEastAsia" w:eastAsiaTheme="minorEastAsia"/>
          <w:b/>
          <w:color w:val="000000" w:themeColor="text1"/>
          <w:sz w:val="24"/>
          <w:highlight w:val="none"/>
          <w14:textFill>
            <w14:solidFill>
              <w14:schemeClr w14:val="tx1"/>
            </w14:solidFill>
          </w14:textFill>
        </w:rPr>
      </w:pPr>
      <w:bookmarkStart w:id="678" w:name="_Toc20879"/>
      <w:bookmarkStart w:id="679" w:name="_Toc22341"/>
      <w:bookmarkStart w:id="680" w:name="_Toc520983588"/>
      <w:r>
        <w:rPr>
          <w:rFonts w:hint="eastAsia" w:asciiTheme="minorEastAsia" w:hAnsiTheme="minorEastAsia" w:eastAsiaTheme="minorEastAsia"/>
          <w:b/>
          <w:color w:val="000000" w:themeColor="text1"/>
          <w:sz w:val="24"/>
          <w:highlight w:val="none"/>
          <w14:textFill>
            <w14:solidFill>
              <w14:schemeClr w14:val="tx1"/>
            </w14:solidFill>
          </w14:textFill>
        </w:rPr>
        <w:t>最后承诺报价表</w:t>
      </w:r>
      <w:bookmarkEnd w:id="678"/>
      <w:bookmarkEnd w:id="679"/>
      <w:bookmarkEnd w:id="680"/>
    </w:p>
    <w:p w14:paraId="1CD2EF1A">
      <w:pPr>
        <w:spacing w:before="156" w:beforeLines="50" w:after="156" w:afterLines="50" w:line="360" w:lineRule="auto"/>
        <w:ind w:firstLine="236" w:firstLineChars="98"/>
        <w:jc w:val="center"/>
        <w:outlineLvl w:val="9"/>
        <w:rPr>
          <w:b/>
          <w:color w:val="000000" w:themeColor="text1"/>
          <w:sz w:val="24"/>
          <w:szCs w:val="28"/>
          <w:highlight w:val="none"/>
          <w14:textFill>
            <w14:solidFill>
              <w14:schemeClr w14:val="tx1"/>
            </w14:solidFill>
          </w14:textFill>
        </w:rPr>
      </w:pPr>
      <w:bookmarkStart w:id="681" w:name="_Toc13333"/>
      <w:bookmarkStart w:id="682" w:name="_Toc8562"/>
      <w:r>
        <w:rPr>
          <w:rFonts w:hint="eastAsia"/>
          <w:b/>
          <w:color w:val="000000" w:themeColor="text1"/>
          <w:sz w:val="24"/>
          <w:szCs w:val="28"/>
          <w:highlight w:val="none"/>
          <w14:textFill>
            <w14:solidFill>
              <w14:schemeClr w14:val="tx1"/>
            </w14:solidFill>
          </w14:textFill>
        </w:rPr>
        <w:t>（第</w:t>
      </w:r>
      <w:r>
        <w:rPr>
          <w:rFonts w:hint="eastAsia"/>
          <w:b/>
          <w:color w:val="000000" w:themeColor="text1"/>
          <w:sz w:val="24"/>
          <w:szCs w:val="28"/>
          <w:highlight w:val="none"/>
          <w:u w:val="single"/>
          <w14:textFill>
            <w14:solidFill>
              <w14:schemeClr w14:val="tx1"/>
            </w14:solidFill>
          </w14:textFill>
        </w:rPr>
        <w:t xml:space="preserve">   </w:t>
      </w:r>
      <w:r>
        <w:rPr>
          <w:rFonts w:hint="eastAsia"/>
          <w:b/>
          <w:color w:val="000000" w:themeColor="text1"/>
          <w:sz w:val="24"/>
          <w:szCs w:val="28"/>
          <w:highlight w:val="none"/>
          <w14:textFill>
            <w14:solidFill>
              <w14:schemeClr w14:val="tx1"/>
            </w14:solidFill>
          </w14:textFill>
        </w:rPr>
        <w:t>次报价书）</w:t>
      </w:r>
      <w:bookmarkEnd w:id="681"/>
      <w:bookmarkEnd w:id="682"/>
    </w:p>
    <w:p w14:paraId="632B6E51">
      <w:pPr>
        <w:snapToGrid w:val="0"/>
        <w:spacing w:line="360" w:lineRule="auto"/>
        <w:jc w:val="left"/>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项目名称：</w:t>
      </w:r>
      <w:r>
        <w:rPr>
          <w:rFonts w:hint="eastAsia" w:cs="宋体" w:asciiTheme="minorEastAsia" w:hAnsiTheme="minorEastAsia" w:eastAsiaTheme="minorEastAsia"/>
          <w:b/>
          <w:color w:val="000000" w:themeColor="text1"/>
          <w:kern w:val="2"/>
          <w:sz w:val="24"/>
          <w:szCs w:val="24"/>
          <w:highlight w:val="none"/>
          <w:u w:val="single"/>
          <w14:textFill>
            <w14:solidFill>
              <w14:schemeClr w14:val="tx1"/>
            </w14:solidFill>
          </w14:textFill>
        </w:rPr>
        <w:t xml:space="preserve">          </w:t>
      </w:r>
    </w:p>
    <w:p w14:paraId="14340A45">
      <w:pPr>
        <w:snapToGrid w:val="0"/>
        <w:spacing w:after="156" w:afterLines="50" w:line="360" w:lineRule="auto"/>
        <w:jc w:val="left"/>
        <w:rPr>
          <w:rFonts w:cs="宋体" w:asciiTheme="minorEastAsia" w:hAnsiTheme="minorEastAsia" w:eastAsiaTheme="minorEastAsia"/>
          <w:b/>
          <w:bCs/>
          <w:color w:val="000000" w:themeColor="text1"/>
          <w:kern w:val="2"/>
          <w:sz w:val="24"/>
          <w:szCs w:val="24"/>
          <w:highlight w:val="none"/>
          <w:u w:val="singl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项目编号：</w:t>
      </w:r>
      <w:r>
        <w:rPr>
          <w:rFonts w:hint="eastAsia" w:cs="宋体" w:asciiTheme="minorEastAsia" w:hAnsiTheme="minorEastAsia" w:eastAsiaTheme="minorEastAsia"/>
          <w:b/>
          <w:color w:val="000000" w:themeColor="text1"/>
          <w:kern w:val="2"/>
          <w:sz w:val="24"/>
          <w:szCs w:val="24"/>
          <w:highlight w:val="none"/>
          <w:u w:val="single"/>
          <w14:textFill>
            <w14:solidFill>
              <w14:schemeClr w14:val="tx1"/>
            </w14:solidFill>
          </w14:textFill>
        </w:rPr>
        <w:t xml:space="preserve">          </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2"/>
        <w:gridCol w:w="5950"/>
      </w:tblGrid>
      <w:tr w14:paraId="76CE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572" w:type="dxa"/>
            <w:tcBorders>
              <w:top w:val="single" w:color="auto" w:sz="4" w:space="0"/>
              <w:left w:val="single" w:color="auto" w:sz="4" w:space="0"/>
              <w:bottom w:val="single" w:color="auto" w:sz="4" w:space="0"/>
              <w:right w:val="single" w:color="auto" w:sz="4" w:space="0"/>
            </w:tcBorders>
            <w:vAlign w:val="center"/>
          </w:tcPr>
          <w:p w14:paraId="2B7AC1AC">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供应商名称</w:t>
            </w:r>
          </w:p>
        </w:tc>
        <w:tc>
          <w:tcPr>
            <w:tcW w:w="5950" w:type="dxa"/>
            <w:tcBorders>
              <w:left w:val="single" w:color="auto" w:sz="4" w:space="0"/>
            </w:tcBorders>
          </w:tcPr>
          <w:p w14:paraId="1F64BDB3">
            <w:pP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p>
        </w:tc>
      </w:tr>
      <w:tr w14:paraId="06C9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572" w:type="dxa"/>
            <w:tcBorders>
              <w:top w:val="single" w:color="auto" w:sz="4" w:space="0"/>
              <w:left w:val="single" w:color="auto" w:sz="4" w:space="0"/>
              <w:bottom w:val="single" w:color="auto" w:sz="4" w:space="0"/>
              <w:right w:val="single" w:color="auto" w:sz="4" w:space="0"/>
            </w:tcBorders>
            <w:vAlign w:val="center"/>
          </w:tcPr>
          <w:p w14:paraId="63008B7E">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磋商</w:t>
            </w: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范围</w:t>
            </w:r>
          </w:p>
        </w:tc>
        <w:tc>
          <w:tcPr>
            <w:tcW w:w="5950" w:type="dxa"/>
            <w:tcBorders>
              <w:left w:val="single" w:color="auto" w:sz="4" w:space="0"/>
            </w:tcBorders>
            <w:vAlign w:val="center"/>
          </w:tcPr>
          <w:p w14:paraId="26F45763">
            <w:pPr>
              <w:widowControl/>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仿宋_GB2312" w:asciiTheme="minorEastAsia" w:hAnsiTheme="minorEastAsia" w:eastAsiaTheme="minorEastAsia"/>
                <w:color w:val="000000" w:themeColor="text1"/>
                <w:kern w:val="2"/>
                <w:sz w:val="24"/>
                <w:szCs w:val="28"/>
                <w:highlight w:val="none"/>
                <w14:textFill>
                  <w14:solidFill>
                    <w14:schemeClr w14:val="tx1"/>
                  </w14:solidFill>
                </w14:textFill>
              </w:rPr>
              <w:t>第</w:t>
            </w:r>
            <w:r>
              <w:rPr>
                <w:rFonts w:hint="eastAsia" w:cs="@仿宋_GB2312" w:asciiTheme="minorEastAsia" w:hAnsiTheme="minorEastAsia" w:eastAsiaTheme="minorEastAsia"/>
                <w:color w:val="000000" w:themeColor="text1"/>
                <w:kern w:val="2"/>
                <w:sz w:val="24"/>
                <w:szCs w:val="28"/>
                <w:highlight w:val="none"/>
                <w:u w:val="single"/>
                <w14:textFill>
                  <w14:solidFill>
                    <w14:schemeClr w14:val="tx1"/>
                  </w14:solidFill>
                </w14:textFill>
              </w:rPr>
              <w:t xml:space="preserve">   </w:t>
            </w:r>
            <w:r>
              <w:rPr>
                <w:rFonts w:hint="eastAsia" w:cs="@仿宋_GB2312" w:asciiTheme="minorEastAsia" w:hAnsiTheme="minorEastAsia" w:eastAsiaTheme="minorEastAsia"/>
                <w:color w:val="000000" w:themeColor="text1"/>
                <w:kern w:val="2"/>
                <w:sz w:val="24"/>
                <w:szCs w:val="28"/>
                <w:highlight w:val="none"/>
                <w14:textFill>
                  <w14:solidFill>
                    <w14:schemeClr w14:val="tx1"/>
                  </w14:solidFill>
                </w14:textFill>
              </w:rPr>
              <w:t>包</w:t>
            </w:r>
          </w:p>
        </w:tc>
      </w:tr>
      <w:tr w14:paraId="17FD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2572" w:type="dxa"/>
            <w:tcBorders>
              <w:top w:val="single" w:color="auto" w:sz="4" w:space="0"/>
            </w:tcBorders>
            <w:vAlign w:val="center"/>
          </w:tcPr>
          <w:p w14:paraId="709E5128">
            <w:pPr>
              <w:spacing w:line="360" w:lineRule="auto"/>
              <w:jc w:val="center"/>
              <w:rPr>
                <w:rFonts w:cs="@仿宋_GB2312"/>
                <w:b/>
                <w:color w:val="000000" w:themeColor="text1"/>
                <w:kern w:val="2"/>
                <w:sz w:val="24"/>
                <w:highlight w:val="none"/>
                <w14:textFill>
                  <w14:solidFill>
                    <w14:schemeClr w14:val="tx1"/>
                  </w14:solidFill>
                </w14:textFill>
              </w:rPr>
            </w:pPr>
            <w:r>
              <w:rPr>
                <w:rFonts w:hint="eastAsia" w:cs="@仿宋_GB2312"/>
                <w:b/>
                <w:bCs/>
                <w:color w:val="000000" w:themeColor="text1"/>
                <w:kern w:val="2"/>
                <w:sz w:val="24"/>
                <w:szCs w:val="28"/>
                <w:highlight w:val="none"/>
                <w14:textFill>
                  <w14:solidFill>
                    <w14:schemeClr w14:val="tx1"/>
                  </w14:solidFill>
                </w14:textFill>
              </w:rPr>
              <w:t>最后报价</w:t>
            </w:r>
          </w:p>
          <w:p w14:paraId="049C5688">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（详见备注说明）</w:t>
            </w:r>
          </w:p>
        </w:tc>
        <w:tc>
          <w:tcPr>
            <w:tcW w:w="5950" w:type="dxa"/>
            <w:vAlign w:val="center"/>
          </w:tcPr>
          <w:p w14:paraId="7CB06191">
            <w:pPr>
              <w:snapToGrid w:val="0"/>
              <w:spacing w:line="360" w:lineRule="auto"/>
              <w:jc w:val="left"/>
              <w:rPr>
                <w:rFonts w:cs="宋体"/>
                <w:bCs/>
                <w:color w:val="000000" w:themeColor="text1"/>
                <w:sz w:val="24"/>
                <w:szCs w:val="24"/>
                <w:highlight w:val="none"/>
                <w:u w:val="singl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大写：</w:t>
            </w:r>
            <w:r>
              <w:rPr>
                <w:rFonts w:hint="eastAsia" w:cs="宋体"/>
                <w:bCs/>
                <w:color w:val="000000" w:themeColor="text1"/>
                <w:sz w:val="24"/>
                <w:szCs w:val="24"/>
                <w:highlight w:val="none"/>
                <w:u w:val="single"/>
                <w14:textFill>
                  <w14:solidFill>
                    <w14:schemeClr w14:val="tx1"/>
                  </w14:solidFill>
                </w14:textFill>
              </w:rPr>
              <w:t xml:space="preserve">                     </w:t>
            </w:r>
          </w:p>
          <w:p w14:paraId="159BE06E">
            <w:pPr>
              <w:spacing w:line="360" w:lineRule="auto"/>
              <w:ind w:right="-670"/>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bCs/>
                <w:color w:val="000000" w:themeColor="text1"/>
                <w:sz w:val="24"/>
                <w:szCs w:val="24"/>
                <w:highlight w:val="none"/>
                <w14:textFill>
                  <w14:solidFill>
                    <w14:schemeClr w14:val="tx1"/>
                  </w14:solidFill>
                </w14:textFill>
              </w:rPr>
              <w:t>小写（元）：</w:t>
            </w:r>
            <w:r>
              <w:rPr>
                <w:rFonts w:hint="eastAsia" w:cs="宋体"/>
                <w:bCs/>
                <w:color w:val="000000" w:themeColor="text1"/>
                <w:sz w:val="24"/>
                <w:szCs w:val="24"/>
                <w:highlight w:val="none"/>
                <w:u w:val="single"/>
                <w14:textFill>
                  <w14:solidFill>
                    <w14:schemeClr w14:val="tx1"/>
                  </w14:solidFill>
                </w14:textFill>
              </w:rPr>
              <w:t xml:space="preserve">                     </w:t>
            </w:r>
          </w:p>
        </w:tc>
      </w:tr>
      <w:tr w14:paraId="75F6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572" w:type="dxa"/>
            <w:tcBorders>
              <w:top w:val="single" w:color="auto" w:sz="4" w:space="0"/>
            </w:tcBorders>
            <w:vAlign w:val="center"/>
          </w:tcPr>
          <w:p w14:paraId="7518917F">
            <w:pPr>
              <w:snapToGrid w:val="0"/>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质量标准</w:t>
            </w:r>
          </w:p>
        </w:tc>
        <w:tc>
          <w:tcPr>
            <w:tcW w:w="5950" w:type="dxa"/>
            <w:vAlign w:val="center"/>
          </w:tcPr>
          <w:p w14:paraId="4A929F4F">
            <w:pPr>
              <w:snapToGrid w:val="0"/>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合格</w:t>
            </w:r>
          </w:p>
        </w:tc>
      </w:tr>
      <w:tr w14:paraId="6E05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572" w:type="dxa"/>
            <w:tcBorders>
              <w:top w:val="single" w:color="auto" w:sz="4" w:space="0"/>
            </w:tcBorders>
            <w:vAlign w:val="center"/>
          </w:tcPr>
          <w:p w14:paraId="0CF46D34">
            <w:pPr>
              <w:snapToGrid w:val="0"/>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工    期</w:t>
            </w:r>
          </w:p>
        </w:tc>
        <w:tc>
          <w:tcPr>
            <w:tcW w:w="5950" w:type="dxa"/>
            <w:vAlign w:val="center"/>
          </w:tcPr>
          <w:p w14:paraId="180E0C94">
            <w:pPr>
              <w:snapToGrid w:val="0"/>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u w:val="single"/>
                <w14:textFill>
                  <w14:solidFill>
                    <w14:schemeClr w14:val="tx1"/>
                  </w14:solidFill>
                </w14:textFill>
              </w:rPr>
              <w:t>符合磋商文件要求</w:t>
            </w:r>
          </w:p>
        </w:tc>
      </w:tr>
      <w:tr w14:paraId="1F85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572" w:type="dxa"/>
            <w:tcBorders>
              <w:top w:val="single" w:color="auto" w:sz="4" w:space="0"/>
            </w:tcBorders>
            <w:vAlign w:val="center"/>
          </w:tcPr>
          <w:p w14:paraId="5DABBB6C">
            <w:pPr>
              <w:snapToGrid w:val="0"/>
              <w:jc w:val="center"/>
              <w:rPr>
                <w:rFonts w:cs="宋体" w:asciiTheme="minorEastAsia" w:hAnsiTheme="minorEastAsia" w:eastAsiaTheme="minorEastAsia"/>
                <w:b/>
                <w:bCs/>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bCs/>
                <w:color w:val="000000" w:themeColor="text1"/>
                <w:kern w:val="2"/>
                <w:sz w:val="24"/>
                <w:szCs w:val="24"/>
                <w:highlight w:val="none"/>
                <w14:textFill>
                  <w14:solidFill>
                    <w14:schemeClr w14:val="tx1"/>
                  </w14:solidFill>
                </w14:textFill>
              </w:rPr>
              <w:t>是否响应付款方式</w:t>
            </w:r>
          </w:p>
        </w:tc>
        <w:tc>
          <w:tcPr>
            <w:tcW w:w="5950" w:type="dxa"/>
            <w:vAlign w:val="center"/>
          </w:tcPr>
          <w:p w14:paraId="20420351">
            <w:pPr>
              <w:snapToGrid w:val="0"/>
              <w:rPr>
                <w:rFonts w:cs="宋体" w:asciiTheme="minorEastAsia" w:hAnsiTheme="minorEastAsia" w:eastAsiaTheme="minorEastAsia"/>
                <w:bCs/>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kern w:val="2"/>
                <w:sz w:val="24"/>
                <w:szCs w:val="24"/>
                <w:highlight w:val="none"/>
                <w14:textFill>
                  <w14:solidFill>
                    <w14:schemeClr w14:val="tx1"/>
                  </w14:solidFill>
                </w14:textFill>
              </w:rPr>
              <w:t>是</w:t>
            </w:r>
          </w:p>
        </w:tc>
      </w:tr>
      <w:tr w14:paraId="371D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2572" w:type="dxa"/>
            <w:vAlign w:val="center"/>
          </w:tcPr>
          <w:p w14:paraId="70356663">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备注说明</w:t>
            </w:r>
          </w:p>
        </w:tc>
        <w:tc>
          <w:tcPr>
            <w:tcW w:w="5950" w:type="dxa"/>
          </w:tcPr>
          <w:p w14:paraId="4BA5EA63">
            <w:pP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i/>
                <w:color w:val="000000" w:themeColor="text1"/>
                <w:kern w:val="2"/>
                <w:sz w:val="24"/>
                <w:szCs w:val="24"/>
                <w:highlight w:val="none"/>
                <w14:textFill>
                  <w14:solidFill>
                    <w14:schemeClr w14:val="tx1"/>
                  </w14:solidFill>
                </w14:textFill>
              </w:rPr>
              <w:t>（此处可补充磋商小组根据与供应商磋商情况变动的磋商文件的内容，包括采购需求中的技术、服务要求以及合同草案条款。）</w:t>
            </w:r>
          </w:p>
        </w:tc>
      </w:tr>
      <w:tr w14:paraId="712F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572" w:type="dxa"/>
            <w:vAlign w:val="center"/>
          </w:tcPr>
          <w:p w14:paraId="0877864E">
            <w:pPr>
              <w:jc w:val="cente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磋商小组签字</w:t>
            </w:r>
          </w:p>
        </w:tc>
        <w:tc>
          <w:tcPr>
            <w:tcW w:w="5950" w:type="dxa"/>
          </w:tcPr>
          <w:p w14:paraId="6C681D0C">
            <w:pPr>
              <w:rPr>
                <w:rFonts w:cs="宋体" w:asciiTheme="minorEastAsia" w:hAnsiTheme="minorEastAsia" w:eastAsiaTheme="minorEastAsia"/>
                <w:b/>
                <w:color w:val="000000" w:themeColor="text1"/>
                <w:kern w:val="2"/>
                <w:sz w:val="24"/>
                <w:szCs w:val="24"/>
                <w:highlight w:val="none"/>
                <w14:textFill>
                  <w14:solidFill>
                    <w14:schemeClr w14:val="tx1"/>
                  </w14:solidFill>
                </w14:textFill>
              </w:rPr>
            </w:pPr>
          </w:p>
        </w:tc>
      </w:tr>
    </w:tbl>
    <w:p w14:paraId="402324C9">
      <w:pPr>
        <w:spacing w:line="440" w:lineRule="exact"/>
        <w:ind w:firstLine="3600" w:firstLineChars="1500"/>
        <w:rPr>
          <w:rFonts w:cs="@仿宋_GB2312"/>
          <w:color w:val="000000" w:themeColor="text1"/>
          <w:kern w:val="2"/>
          <w:sz w:val="24"/>
          <w:szCs w:val="24"/>
          <w:highlight w:val="none"/>
          <w:u w:val="single"/>
          <w14:textFill>
            <w14:solidFill>
              <w14:schemeClr w14:val="tx1"/>
            </w14:solidFill>
          </w14:textFill>
        </w:rPr>
      </w:pPr>
      <w:r>
        <w:rPr>
          <w:rFonts w:hint="eastAsia" w:cs="@仿宋_GB2312"/>
          <w:color w:val="000000" w:themeColor="text1"/>
          <w:kern w:val="2"/>
          <w:sz w:val="24"/>
          <w:szCs w:val="24"/>
          <w:highlight w:val="none"/>
          <w14:textFill>
            <w14:solidFill>
              <w14:schemeClr w14:val="tx1"/>
            </w14:solidFill>
          </w14:textFill>
        </w:rPr>
        <w:t>供应商公章或授权代表签字：</w:t>
      </w:r>
      <w:r>
        <w:rPr>
          <w:rFonts w:hint="eastAsia" w:cs="@仿宋_GB2312"/>
          <w:color w:val="000000" w:themeColor="text1"/>
          <w:kern w:val="2"/>
          <w:sz w:val="24"/>
          <w:szCs w:val="24"/>
          <w:highlight w:val="none"/>
          <w:u w:val="single"/>
          <w14:textFill>
            <w14:solidFill>
              <w14:schemeClr w14:val="tx1"/>
            </w14:solidFill>
          </w14:textFill>
        </w:rPr>
        <w:t xml:space="preserve">     </w:t>
      </w:r>
      <w:r>
        <w:rPr>
          <w:rFonts w:cs="@仿宋_GB2312"/>
          <w:color w:val="000000" w:themeColor="text1"/>
          <w:kern w:val="2"/>
          <w:sz w:val="24"/>
          <w:szCs w:val="24"/>
          <w:highlight w:val="none"/>
          <w:u w:val="single"/>
          <w14:textFill>
            <w14:solidFill>
              <w14:schemeClr w14:val="tx1"/>
            </w14:solidFill>
          </w14:textFill>
        </w:rPr>
        <w:t xml:space="preserve">    </w:t>
      </w:r>
      <w:r>
        <w:rPr>
          <w:rFonts w:hint="eastAsia" w:cs="@仿宋_GB2312"/>
          <w:color w:val="000000" w:themeColor="text1"/>
          <w:kern w:val="2"/>
          <w:sz w:val="24"/>
          <w:szCs w:val="24"/>
          <w:highlight w:val="none"/>
          <w:u w:val="single"/>
          <w14:textFill>
            <w14:solidFill>
              <w14:schemeClr w14:val="tx1"/>
            </w14:solidFill>
          </w14:textFill>
        </w:rPr>
        <w:t xml:space="preserve">    </w:t>
      </w:r>
    </w:p>
    <w:p w14:paraId="1F471328">
      <w:pPr>
        <w:spacing w:line="440" w:lineRule="exact"/>
        <w:ind w:firstLine="4800" w:firstLineChars="2000"/>
        <w:rPr>
          <w:rFonts w:cs="宋体" w:asciiTheme="minorEastAsia" w:hAnsiTheme="minorEastAsia" w:eastAsiaTheme="minorEastAsia"/>
          <w:b/>
          <w:bCs/>
          <w:color w:val="000000" w:themeColor="text1"/>
          <w:kern w:val="2"/>
          <w:sz w:val="24"/>
          <w:szCs w:val="24"/>
          <w:highlight w:val="none"/>
          <w14:textFill>
            <w14:solidFill>
              <w14:schemeClr w14:val="tx1"/>
            </w14:solidFill>
          </w14:textFill>
        </w:rPr>
      </w:pPr>
      <w:r>
        <w:rPr>
          <w:rFonts w:hint="eastAsia" w:cs="@仿宋_GB2312"/>
          <w:color w:val="000000" w:themeColor="text1"/>
          <w:kern w:val="2"/>
          <w:sz w:val="24"/>
          <w:szCs w:val="24"/>
          <w:highlight w:val="none"/>
          <w14:textFill>
            <w14:solidFill>
              <w14:schemeClr w14:val="tx1"/>
            </w14:solidFill>
          </w14:textFill>
        </w:rPr>
        <w:t xml:space="preserve">日     </w:t>
      </w:r>
      <w:r>
        <w:rPr>
          <w:rFonts w:cs="@仿宋_GB2312"/>
          <w:color w:val="000000" w:themeColor="text1"/>
          <w:kern w:val="2"/>
          <w:sz w:val="24"/>
          <w:szCs w:val="24"/>
          <w:highlight w:val="none"/>
          <w14:textFill>
            <w14:solidFill>
              <w14:schemeClr w14:val="tx1"/>
            </w14:solidFill>
          </w14:textFill>
        </w:rPr>
        <w:t xml:space="preserve">    </w:t>
      </w:r>
      <w:r>
        <w:rPr>
          <w:rFonts w:hint="eastAsia" w:cs="@仿宋_GB2312"/>
          <w:color w:val="000000" w:themeColor="text1"/>
          <w:kern w:val="2"/>
          <w:sz w:val="24"/>
          <w:szCs w:val="24"/>
          <w:highlight w:val="none"/>
          <w14:textFill>
            <w14:solidFill>
              <w14:schemeClr w14:val="tx1"/>
            </w14:solidFill>
          </w14:textFill>
        </w:rPr>
        <w:t xml:space="preserve"> 期：</w:t>
      </w:r>
      <w:r>
        <w:rPr>
          <w:rFonts w:hint="eastAsia" w:cs="@仿宋_GB2312"/>
          <w:color w:val="000000" w:themeColor="text1"/>
          <w:kern w:val="2"/>
          <w:sz w:val="24"/>
          <w:szCs w:val="24"/>
          <w:highlight w:val="none"/>
          <w:u w:val="single"/>
          <w14:textFill>
            <w14:solidFill>
              <w14:schemeClr w14:val="tx1"/>
            </w14:solidFill>
          </w14:textFill>
        </w:rPr>
        <w:t xml:space="preserve">             </w:t>
      </w:r>
    </w:p>
    <w:p w14:paraId="04B69ABC">
      <w:pPr>
        <w:adjustRightInd w:val="0"/>
        <w:snapToGrid w:val="0"/>
        <w:spacing w:line="360" w:lineRule="auto"/>
        <w:rPr>
          <w:rFonts w:cs="宋体"/>
          <w:b/>
          <w:bCs/>
          <w:color w:val="000000" w:themeColor="text1"/>
          <w:kern w:val="2"/>
          <w:sz w:val="21"/>
          <w:szCs w:val="21"/>
          <w:highlight w:val="none"/>
          <w14:textFill>
            <w14:solidFill>
              <w14:schemeClr w14:val="tx1"/>
            </w14:solidFill>
          </w14:textFill>
        </w:rPr>
      </w:pPr>
      <w:r>
        <w:rPr>
          <w:rFonts w:hint="eastAsia" w:cs="宋体"/>
          <w:b/>
          <w:bCs/>
          <w:color w:val="000000" w:themeColor="text1"/>
          <w:kern w:val="2"/>
          <w:sz w:val="21"/>
          <w:szCs w:val="21"/>
          <w:highlight w:val="none"/>
          <w14:textFill>
            <w14:solidFill>
              <w14:schemeClr w14:val="tx1"/>
            </w14:solidFill>
          </w14:textFill>
        </w:rPr>
        <w:t>注：</w:t>
      </w:r>
    </w:p>
    <w:p w14:paraId="6C5AD06C">
      <w:pPr>
        <w:spacing w:line="360" w:lineRule="auto"/>
        <w:ind w:firstLine="422" w:firstLineChars="200"/>
        <w:jc w:val="left"/>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1.本页《报价表》由供应商在接到报价通知后依据磋商情况填写,并在规定30分钟内提交。供应商在填写最后承诺报价后，得出最终</w:t>
      </w:r>
      <w:r>
        <w:rPr>
          <w:rFonts w:hint="eastAsia"/>
          <w:b/>
          <w:bCs/>
          <w:color w:val="000000" w:themeColor="text1"/>
          <w:sz w:val="21"/>
          <w:szCs w:val="21"/>
          <w:highlight w:val="none"/>
          <w:lang w:val="en-US" w:eastAsia="zh-CN"/>
          <w14:textFill>
            <w14:solidFill>
              <w14:schemeClr w14:val="tx1"/>
            </w14:solidFill>
          </w14:textFill>
        </w:rPr>
        <w:t>报价</w:t>
      </w:r>
      <w:r>
        <w:rPr>
          <w:rFonts w:hint="eastAsia"/>
          <w:b/>
          <w:bCs/>
          <w:color w:val="000000" w:themeColor="text1"/>
          <w:sz w:val="21"/>
          <w:szCs w:val="21"/>
          <w:highlight w:val="none"/>
          <w14:textFill>
            <w14:solidFill>
              <w14:schemeClr w14:val="tx1"/>
            </w14:solidFill>
          </w14:textFill>
        </w:rPr>
        <w:t>下浮率作为单价结算依据。供应商最终的</w:t>
      </w:r>
      <w:r>
        <w:rPr>
          <w:rFonts w:hint="eastAsia"/>
          <w:b/>
          <w:bCs/>
          <w:color w:val="000000" w:themeColor="text1"/>
          <w:sz w:val="21"/>
          <w:szCs w:val="21"/>
          <w:highlight w:val="none"/>
          <w:lang w:val="en-US" w:eastAsia="zh-CN"/>
          <w14:textFill>
            <w14:solidFill>
              <w14:schemeClr w14:val="tx1"/>
            </w14:solidFill>
          </w14:textFill>
        </w:rPr>
        <w:t>报价</w:t>
      </w:r>
      <w:r>
        <w:rPr>
          <w:rFonts w:hint="eastAsia"/>
          <w:b/>
          <w:bCs/>
          <w:color w:val="000000" w:themeColor="text1"/>
          <w:sz w:val="21"/>
          <w:szCs w:val="21"/>
          <w:highlight w:val="none"/>
          <w14:textFill>
            <w14:solidFill>
              <w14:schemeClr w14:val="tx1"/>
            </w14:solidFill>
          </w14:textFill>
        </w:rPr>
        <w:t>下浮率=（</w:t>
      </w:r>
      <w:r>
        <w:rPr>
          <w:rFonts w:hint="eastAsia"/>
          <w:b/>
          <w:bCs/>
          <w:color w:val="000000" w:themeColor="text1"/>
          <w:sz w:val="21"/>
          <w:szCs w:val="21"/>
          <w:highlight w:val="none"/>
          <w:lang w:eastAsia="zh-CN"/>
          <w14:textFill>
            <w14:solidFill>
              <w14:schemeClr w14:val="tx1"/>
            </w14:solidFill>
          </w14:textFill>
        </w:rPr>
        <w:t>最高限价</w:t>
      </w:r>
      <w:r>
        <w:rPr>
          <w:rFonts w:hint="eastAsia"/>
          <w:b/>
          <w:bCs/>
          <w:color w:val="000000" w:themeColor="text1"/>
          <w:sz w:val="21"/>
          <w:szCs w:val="21"/>
          <w:highlight w:val="none"/>
          <w14:textFill>
            <w14:solidFill>
              <w14:schemeClr w14:val="tx1"/>
            </w14:solidFill>
          </w14:textFill>
        </w:rPr>
        <w:t>-最后承诺报价）/</w:t>
      </w:r>
      <w:r>
        <w:rPr>
          <w:rFonts w:hint="eastAsia"/>
          <w:b/>
          <w:bCs/>
          <w:color w:val="000000" w:themeColor="text1"/>
          <w:sz w:val="21"/>
          <w:szCs w:val="21"/>
          <w:highlight w:val="none"/>
          <w:lang w:eastAsia="zh-CN"/>
          <w14:textFill>
            <w14:solidFill>
              <w14:schemeClr w14:val="tx1"/>
            </w14:solidFill>
          </w14:textFill>
        </w:rPr>
        <w:t>最高限价</w:t>
      </w:r>
      <w:r>
        <w:rPr>
          <w:rFonts w:hint="eastAsia"/>
          <w:b/>
          <w:bCs/>
          <w:color w:val="000000" w:themeColor="text1"/>
          <w:sz w:val="21"/>
          <w:szCs w:val="21"/>
          <w:highlight w:val="none"/>
          <w14:textFill>
            <w14:solidFill>
              <w14:schemeClr w14:val="tx1"/>
            </w14:solidFill>
          </w14:textFill>
        </w:rPr>
        <w:t>×100%。此下浮率调整原则适用于合同内价格的计算及项目增减、变更时价格的计算（①以上</w:t>
      </w:r>
      <w:r>
        <w:rPr>
          <w:rFonts w:hint="eastAsia"/>
          <w:b/>
          <w:bCs/>
          <w:color w:val="000000" w:themeColor="text1"/>
          <w:sz w:val="21"/>
          <w:szCs w:val="21"/>
          <w:highlight w:val="none"/>
          <w:lang w:eastAsia="zh-CN"/>
          <w14:textFill>
            <w14:solidFill>
              <w14:schemeClr w14:val="tx1"/>
            </w14:solidFill>
          </w14:textFill>
        </w:rPr>
        <w:t>最高限价</w:t>
      </w:r>
      <w:r>
        <w:rPr>
          <w:rFonts w:hint="eastAsia"/>
          <w:b/>
          <w:bCs/>
          <w:color w:val="000000" w:themeColor="text1"/>
          <w:sz w:val="21"/>
          <w:szCs w:val="21"/>
          <w:highlight w:val="none"/>
          <w14:textFill>
            <w14:solidFill>
              <w14:schemeClr w14:val="tx1"/>
            </w14:solidFill>
          </w14:textFill>
        </w:rPr>
        <w:t>、最后承诺报价计算时均不含安全生产费；②计算结果保留小数点后两位，小数点后第三位“四舍五入”）。</w:t>
      </w:r>
    </w:p>
    <w:p w14:paraId="15C8FD4E">
      <w:pPr>
        <w:spacing w:line="360" w:lineRule="auto"/>
        <w:ind w:firstLine="422" w:firstLineChars="200"/>
        <w:jc w:val="left"/>
        <w:rPr>
          <w:rFonts w:hint="eastAsia" w:cs="宋体"/>
          <w:b/>
          <w:bCs/>
          <w:color w:val="000000" w:themeColor="text1"/>
          <w:sz w:val="21"/>
          <w:szCs w:val="21"/>
          <w:highlight w:val="none"/>
          <w14:textFill>
            <w14:solidFill>
              <w14:schemeClr w14:val="tx1"/>
            </w14:solidFill>
          </w14:textFill>
        </w:rPr>
      </w:pPr>
      <w:r>
        <w:rPr>
          <w:rFonts w:hint="eastAsia" w:cs="宋体"/>
          <w:b/>
          <w:bCs/>
          <w:color w:val="000000" w:themeColor="text1"/>
          <w:sz w:val="21"/>
          <w:szCs w:val="21"/>
          <w:highlight w:val="none"/>
          <w:lang w:val="en-US" w:eastAsia="zh-CN"/>
          <w14:textFill>
            <w14:solidFill>
              <w14:schemeClr w14:val="tx1"/>
            </w14:solidFill>
          </w14:textFill>
        </w:rPr>
        <w:t>2</w:t>
      </w:r>
      <w:r>
        <w:rPr>
          <w:rFonts w:hint="eastAsia" w:cs="宋体"/>
          <w:b/>
          <w:bCs/>
          <w:color w:val="000000" w:themeColor="text1"/>
          <w:sz w:val="21"/>
          <w:szCs w:val="21"/>
          <w:highlight w:val="none"/>
          <w14:textFill>
            <w14:solidFill>
              <w14:schemeClr w14:val="tx1"/>
            </w14:solidFill>
          </w14:textFill>
        </w:rPr>
        <w:t>.表中大写金额与小写金额不一致的，以大写金额为准。</w:t>
      </w:r>
    </w:p>
    <w:p w14:paraId="16B11214">
      <w:pPr>
        <w:spacing w:line="360" w:lineRule="auto"/>
        <w:ind w:firstLine="422" w:firstLineChars="200"/>
        <w:jc w:val="left"/>
        <w:rPr>
          <w:rFonts w:hint="eastAsia" w:cs="宋体"/>
          <w:b/>
          <w:bCs/>
          <w:color w:val="000000" w:themeColor="text1"/>
          <w:sz w:val="21"/>
          <w:szCs w:val="21"/>
          <w:highlight w:val="none"/>
          <w14:textFill>
            <w14:solidFill>
              <w14:schemeClr w14:val="tx1"/>
            </w14:solidFill>
          </w14:textFill>
        </w:rPr>
      </w:pPr>
    </w:p>
    <w:p w14:paraId="5AAA60E4">
      <w:pPr>
        <w:widowControl/>
        <w:jc w:val="left"/>
        <w:rPr>
          <w:bCs/>
          <w:color w:val="000000" w:themeColor="text1"/>
          <w:sz w:val="24"/>
          <w:highlight w:val="none"/>
          <w14:textFill>
            <w14:solidFill>
              <w14:schemeClr w14:val="tx1"/>
            </w14:solidFill>
          </w14:textFill>
        </w:rPr>
      </w:pPr>
    </w:p>
    <w:p w14:paraId="5553F693">
      <w:pPr>
        <w:keepNext/>
        <w:keepLines/>
        <w:spacing w:before="260" w:after="260" w:line="416" w:lineRule="auto"/>
        <w:jc w:val="center"/>
        <w:outlineLvl w:val="1"/>
        <w:rPr>
          <w:rFonts w:cs="@仿宋_GB2312" w:asciiTheme="minorEastAsia" w:hAnsiTheme="minorEastAsia" w:eastAsiaTheme="minorEastAsia"/>
          <w:b/>
          <w:bCs/>
          <w:color w:val="000000" w:themeColor="text1"/>
          <w:kern w:val="2"/>
          <w:sz w:val="24"/>
          <w:szCs w:val="24"/>
          <w:highlight w:val="none"/>
          <w14:textFill>
            <w14:solidFill>
              <w14:schemeClr w14:val="tx1"/>
            </w14:solidFill>
          </w14:textFill>
        </w:rPr>
      </w:pPr>
      <w:bookmarkStart w:id="683" w:name="_Toc22429"/>
      <w:bookmarkStart w:id="684" w:name="_Toc7943"/>
      <w:bookmarkStart w:id="685" w:name="_Toc520983591"/>
      <w:r>
        <w:rPr>
          <w:rFonts w:hint="eastAsia" w:cs="@仿宋_GB2312" w:asciiTheme="minorEastAsia" w:hAnsiTheme="minorEastAsia" w:eastAsiaTheme="minorEastAsia"/>
          <w:b/>
          <w:bCs/>
          <w:color w:val="000000" w:themeColor="text1"/>
          <w:kern w:val="2"/>
          <w:sz w:val="24"/>
          <w:szCs w:val="24"/>
          <w:highlight w:val="none"/>
          <w14:textFill>
            <w14:solidFill>
              <w14:schemeClr w14:val="tx1"/>
            </w14:solidFill>
          </w14:textFill>
        </w:rPr>
        <w:t>二、供应商综合情况简介</w:t>
      </w:r>
      <w:bookmarkEnd w:id="683"/>
      <w:bookmarkEnd w:id="684"/>
    </w:p>
    <w:p w14:paraId="112746E3">
      <w:pPr>
        <w:spacing w:before="156" w:beforeLines="50" w:after="156" w:afterLines="50" w:line="360" w:lineRule="auto"/>
        <w:ind w:firstLine="235" w:firstLineChars="98"/>
        <w:jc w:val="center"/>
        <w:rPr>
          <w:color w:val="000000" w:themeColor="text1"/>
          <w:sz w:val="24"/>
          <w:szCs w:val="28"/>
          <w:highlight w:val="none"/>
          <w14:textFill>
            <w14:solidFill>
              <w14:schemeClr w14:val="tx1"/>
            </w14:solidFill>
          </w14:textFill>
        </w:rPr>
      </w:pPr>
      <w:r>
        <w:rPr>
          <w:rFonts w:hint="eastAsia"/>
          <w:color w:val="000000" w:themeColor="text1"/>
          <w:sz w:val="24"/>
          <w:szCs w:val="28"/>
          <w:highlight w:val="none"/>
          <w14:textFill>
            <w14:solidFill>
              <w14:schemeClr w14:val="tx1"/>
            </w14:solidFill>
          </w14:textFill>
        </w:rPr>
        <w:t>（供应商可自行制作格式）</w:t>
      </w:r>
    </w:p>
    <w:p w14:paraId="2AD73201">
      <w:pPr>
        <w:widowControl/>
        <w:jc w:val="left"/>
        <w:rPr>
          <w:rFonts w:asciiTheme="minorEastAsia" w:hAnsiTheme="minorEastAsia" w:eastAsiaTheme="minorEastAsia"/>
          <w:b/>
          <w:color w:val="000000" w:themeColor="text1"/>
          <w:sz w:val="24"/>
          <w:highlight w:val="none"/>
          <w14:textFill>
            <w14:solidFill>
              <w14:schemeClr w14:val="tx1"/>
            </w14:solidFill>
          </w14:textFill>
        </w:rPr>
      </w:pPr>
      <w:r>
        <w:rPr>
          <w:rFonts w:asciiTheme="minorEastAsia" w:hAnsiTheme="minorEastAsia" w:eastAsiaTheme="minorEastAsia"/>
          <w:b/>
          <w:color w:val="000000" w:themeColor="text1"/>
          <w:sz w:val="24"/>
          <w:highlight w:val="none"/>
          <w14:textFill>
            <w14:solidFill>
              <w14:schemeClr w14:val="tx1"/>
            </w14:solidFill>
          </w14:textFill>
        </w:rPr>
        <w:br w:type="page"/>
      </w:r>
    </w:p>
    <w:p w14:paraId="1CA62B67">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686" w:name="_Toc28160"/>
      <w:bookmarkStart w:id="687" w:name="_Toc8006"/>
      <w:r>
        <w:rPr>
          <w:rFonts w:hint="eastAsia" w:asciiTheme="minorEastAsia" w:hAnsiTheme="minorEastAsia" w:eastAsiaTheme="minorEastAsia"/>
          <w:b/>
          <w:color w:val="000000" w:themeColor="text1"/>
          <w:sz w:val="24"/>
          <w:highlight w:val="none"/>
          <w14:textFill>
            <w14:solidFill>
              <w14:schemeClr w14:val="tx1"/>
            </w14:solidFill>
          </w14:textFill>
        </w:rPr>
        <w:t>三、磋商响应函</w:t>
      </w:r>
      <w:bookmarkEnd w:id="685"/>
      <w:bookmarkEnd w:id="686"/>
      <w:bookmarkEnd w:id="687"/>
    </w:p>
    <w:p w14:paraId="2DDBDC7F">
      <w:pPr>
        <w:spacing w:line="360" w:lineRule="auto"/>
        <w:rPr>
          <w:rFonts w:hint="default" w:cs="宋体" w:asciiTheme="minorEastAsia" w:hAnsiTheme="minorEastAsia" w:eastAsiaTheme="minorEastAsia"/>
          <w:b/>
          <w:color w:val="000000" w:themeColor="text1"/>
          <w:kern w:val="2"/>
          <w:sz w:val="24"/>
          <w:szCs w:val="24"/>
          <w:highlight w:val="none"/>
          <w:u w:val="single"/>
          <w:lang w:val="en-US" w:eastAsia="zh-CN"/>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致：</w:t>
      </w:r>
      <w:r>
        <w:rPr>
          <w:rFonts w:hint="eastAsia" w:cs="宋体" w:asciiTheme="minorEastAsia" w:hAnsiTheme="minorEastAsia" w:eastAsiaTheme="minorEastAsia"/>
          <w:b/>
          <w:color w:val="000000" w:themeColor="text1"/>
          <w:kern w:val="2"/>
          <w:sz w:val="24"/>
          <w:szCs w:val="24"/>
          <w:highlight w:val="none"/>
          <w:u w:val="single"/>
          <w:lang w:val="en-US" w:eastAsia="zh-CN"/>
          <w14:textFill>
            <w14:solidFill>
              <w14:schemeClr w14:val="tx1"/>
            </w14:solidFill>
          </w14:textFill>
        </w:rPr>
        <w:t xml:space="preserve">             </w:t>
      </w:r>
    </w:p>
    <w:p w14:paraId="66A6B1F3">
      <w:pPr>
        <w:spacing w:line="360" w:lineRule="auto"/>
        <w:ind w:firstLine="480" w:firstLineChars="200"/>
        <w:rPr>
          <w:rFonts w:cs="宋体" w:asciiTheme="minorEastAsia" w:hAnsiTheme="minorEastAsia" w:eastAsiaTheme="minorEastAsia"/>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kern w:val="2"/>
          <w:sz w:val="24"/>
          <w:szCs w:val="24"/>
          <w:highlight w:val="none"/>
          <w14:textFill>
            <w14:solidFill>
              <w14:schemeClr w14:val="tx1"/>
            </w14:solidFill>
          </w14:textFill>
        </w:rPr>
        <w:t>根据贵方的竞争性磋商公告和磋商邀请，我方兹宣布同意如下：</w:t>
      </w:r>
    </w:p>
    <w:p w14:paraId="2405B1DD">
      <w:pPr>
        <w:spacing w:line="360" w:lineRule="auto"/>
        <w:ind w:firstLine="480" w:firstLineChars="200"/>
        <w:rPr>
          <w:rFonts w:cs="宋体" w:asciiTheme="minorEastAsia" w:hAnsiTheme="minorEastAsia" w:eastAsiaTheme="minorEastAsia"/>
          <w:color w:val="000000" w:themeColor="text1"/>
          <w:kern w:val="2"/>
          <w:sz w:val="24"/>
          <w:szCs w:val="24"/>
          <w:highlight w:val="none"/>
          <w:u w:val="single"/>
          <w14:textFill>
            <w14:solidFill>
              <w14:schemeClr w14:val="tx1"/>
            </w14:solidFill>
          </w14:textFill>
        </w:rPr>
      </w:pPr>
      <w:r>
        <w:rPr>
          <w:rFonts w:hint="eastAsia" w:cs="宋体" w:asciiTheme="minorEastAsia" w:hAnsiTheme="minorEastAsia" w:eastAsiaTheme="minorEastAsia"/>
          <w:color w:val="000000" w:themeColor="text1"/>
          <w:kern w:val="2"/>
          <w:sz w:val="24"/>
          <w:szCs w:val="24"/>
          <w:highlight w:val="none"/>
          <w14:textFill>
            <w14:solidFill>
              <w14:schemeClr w14:val="tx1"/>
            </w14:solidFill>
          </w14:textFill>
        </w:rPr>
        <w:t>1.经踏勘项目现场和研究上述磋商文件的磋商须知、合同条款、图纸和工程建设技术标准及其他有关文件后，我方接受上述文件要求，并对工程量清单及</w:t>
      </w:r>
      <w:r>
        <w:rPr>
          <w:rFonts w:hint="eastAsia" w:cs="宋体" w:asciiTheme="minorEastAsia" w:hAnsiTheme="minorEastAsia" w:eastAsiaTheme="minorEastAsia"/>
          <w:color w:val="000000" w:themeColor="text1"/>
          <w:kern w:val="2"/>
          <w:sz w:val="24"/>
          <w:szCs w:val="24"/>
          <w:highlight w:val="none"/>
          <w:lang w:eastAsia="zh-CN"/>
          <w14:textFill>
            <w14:solidFill>
              <w14:schemeClr w14:val="tx1"/>
            </w14:solidFill>
          </w14:textFill>
        </w:rPr>
        <w:t>最高限价</w:t>
      </w:r>
      <w:r>
        <w:rPr>
          <w:rFonts w:hint="eastAsia" w:cs="宋体" w:asciiTheme="minorEastAsia" w:hAnsiTheme="minorEastAsia" w:eastAsiaTheme="minorEastAsia"/>
          <w:color w:val="000000" w:themeColor="text1"/>
          <w:kern w:val="2"/>
          <w:sz w:val="24"/>
          <w:szCs w:val="24"/>
          <w:highlight w:val="none"/>
          <w14:textFill>
            <w14:solidFill>
              <w14:schemeClr w14:val="tx1"/>
            </w14:solidFill>
          </w14:textFill>
        </w:rPr>
        <w:t>无异议。我方</w:t>
      </w:r>
      <w:r>
        <w:rPr>
          <w:rFonts w:hint="eastAsia" w:cs="宋体" w:asciiTheme="minorEastAsia" w:hAnsiTheme="minorEastAsia" w:eastAsiaTheme="minorEastAsia"/>
          <w:bCs/>
          <w:color w:val="000000" w:themeColor="text1"/>
          <w:kern w:val="2"/>
          <w:sz w:val="24"/>
          <w:szCs w:val="24"/>
          <w:highlight w:val="none"/>
          <w14:textFill>
            <w14:solidFill>
              <w14:schemeClr w14:val="tx1"/>
            </w14:solidFill>
          </w14:textFill>
        </w:rPr>
        <w:t>承诺按本磋商文件、施工图纸、合同条款和工程建设技术标准的条件、</w:t>
      </w:r>
      <w:r>
        <w:rPr>
          <w:rFonts w:hint="eastAsia" w:cs="宋体" w:asciiTheme="minorEastAsia" w:hAnsiTheme="minorEastAsia" w:eastAsiaTheme="minorEastAsia"/>
          <w:color w:val="000000" w:themeColor="text1"/>
          <w:kern w:val="2"/>
          <w:sz w:val="24"/>
          <w:szCs w:val="24"/>
          <w:highlight w:val="none"/>
          <w14:textFill>
            <w14:solidFill>
              <w14:schemeClr w14:val="tx1"/>
            </w14:solidFill>
          </w14:textFill>
        </w:rPr>
        <w:t>承担</w:t>
      </w:r>
      <w:r>
        <w:rPr>
          <w:rFonts w:hint="eastAsia" w:cs="宋体" w:asciiTheme="minorEastAsia" w:hAnsiTheme="minorEastAsia" w:eastAsiaTheme="minorEastAsia"/>
          <w:bCs/>
          <w:color w:val="000000" w:themeColor="text1"/>
          <w:kern w:val="2"/>
          <w:sz w:val="24"/>
          <w:szCs w:val="24"/>
          <w:highlight w:val="none"/>
          <w14:textFill>
            <w14:solidFill>
              <w14:schemeClr w14:val="tx1"/>
            </w14:solidFill>
          </w14:textFill>
        </w:rPr>
        <w:t>上述工程的施工、竣工，并承担任何质量缺陷保修责任。</w:t>
      </w:r>
    </w:p>
    <w:p w14:paraId="0985250F">
      <w:pPr>
        <w:spacing w:line="360" w:lineRule="auto"/>
        <w:ind w:firstLine="480" w:firstLineChars="200"/>
        <w:rPr>
          <w:rFonts w:cs="宋体" w:asciiTheme="minorEastAsia" w:hAnsiTheme="minorEastAsia" w:eastAsiaTheme="minorEastAsia"/>
          <w:color w:val="000000" w:themeColor="text1"/>
          <w:kern w:val="2"/>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kern w:val="2"/>
          <w:sz w:val="24"/>
          <w:szCs w:val="24"/>
          <w:highlight w:val="none"/>
          <w14:textFill>
            <w14:solidFill>
              <w14:schemeClr w14:val="tx1"/>
            </w14:solidFill>
          </w14:textFill>
        </w:rPr>
        <w:t>2.我方已详细审核并确认全部磋商文件及有关附件，充分理解磋商价格不得低于企业个别成本有关规定。我方经成本核算，所填报的磋商报价不低于企业个别成本。</w:t>
      </w:r>
    </w:p>
    <w:p w14:paraId="53EB65A6">
      <w:pPr>
        <w:spacing w:line="360" w:lineRule="auto"/>
        <w:ind w:firstLine="480" w:firstLineChars="2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3.</w:t>
      </w:r>
      <w:r>
        <w:rPr>
          <w:rFonts w:hint="eastAsia" w:cs="宋体"/>
          <w:color w:val="000000" w:themeColor="text1"/>
          <w:sz w:val="24"/>
          <w:szCs w:val="24"/>
          <w:highlight w:val="none"/>
          <w14:textFill>
            <w14:solidFill>
              <w14:schemeClr w14:val="tx1"/>
            </w14:solidFill>
          </w14:textFill>
        </w:rPr>
        <w:t>我方保证按磋商文件约定的工期和磋商文件或业主开工令的要求如期开工、工程质量达到合格标准、如期竣工并移交整个工程。</w:t>
      </w:r>
    </w:p>
    <w:p w14:paraId="08A769CC">
      <w:pPr>
        <w:spacing w:line="360" w:lineRule="auto"/>
        <w:ind w:firstLine="480" w:firstLineChars="2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4.我方同意所提交的响应文件在磋商文件规定的磋商有效期内有效，在此期间内如果成交，我方将受此约束。</w:t>
      </w:r>
    </w:p>
    <w:p w14:paraId="634806D1">
      <w:pPr>
        <w:spacing w:line="360" w:lineRule="auto"/>
        <w:ind w:firstLine="480" w:firstLineChars="200"/>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5.除非另外达成协议并生效，你方的成交通知书和本响应文件以及磋商文件、磋商文件澄清、修改、补充将成为约束双方的合同文件的组成部分。</w:t>
      </w:r>
    </w:p>
    <w:p w14:paraId="19927E72">
      <w:pPr>
        <w:spacing w:line="360" w:lineRule="auto"/>
        <w:ind w:firstLine="482" w:firstLineChars="200"/>
        <w:rPr>
          <w:rFonts w:hint="default" w:ascii="宋体" w:hAnsi="宋体" w:eastAsia="宋体" w:cs="宋体"/>
          <w:b/>
          <w:bCs/>
          <w:color w:val="FF0000"/>
          <w:kern w:val="2"/>
          <w:sz w:val="24"/>
          <w:szCs w:val="24"/>
          <w:highlight w:val="none"/>
          <w:lang w:val="en-US" w:eastAsia="zh-CN"/>
        </w:rPr>
      </w:pPr>
      <w:r>
        <w:rPr>
          <w:rFonts w:hint="eastAsia" w:ascii="宋体" w:hAnsi="宋体" w:eastAsia="宋体" w:cs="宋体"/>
          <w:b/>
          <w:bCs/>
          <w:color w:val="FF0000"/>
          <w:kern w:val="2"/>
          <w:sz w:val="24"/>
          <w:szCs w:val="24"/>
          <w:highlight w:val="none"/>
          <w:lang w:val="en-US" w:eastAsia="zh-CN"/>
        </w:rPr>
        <w:t>6.工程维护承诺</w:t>
      </w:r>
    </w:p>
    <w:p w14:paraId="4A659C51">
      <w:pPr>
        <w:spacing w:line="360" w:lineRule="auto"/>
        <w:ind w:firstLine="482" w:firstLineChars="200"/>
        <w:rPr>
          <w:rFonts w:hint="eastAsia" w:ascii="宋体" w:hAnsi="宋体" w:eastAsia="宋体" w:cs="宋体"/>
          <w:b/>
          <w:bCs/>
          <w:color w:val="FF0000"/>
          <w:kern w:val="2"/>
          <w:sz w:val="24"/>
          <w:szCs w:val="24"/>
          <w:highlight w:val="none"/>
        </w:rPr>
      </w:pPr>
      <w:r>
        <w:rPr>
          <w:rFonts w:hint="eastAsia" w:ascii="宋体" w:hAnsi="宋体" w:eastAsia="宋体" w:cs="宋体"/>
          <w:b/>
          <w:bCs/>
          <w:color w:val="FF0000"/>
          <w:kern w:val="2"/>
          <w:sz w:val="24"/>
          <w:szCs w:val="24"/>
          <w:highlight w:val="none"/>
          <w:lang w:eastAsia="zh-CN"/>
        </w:rPr>
        <w:t>（</w:t>
      </w:r>
      <w:r>
        <w:rPr>
          <w:rFonts w:hint="eastAsia" w:ascii="宋体" w:hAnsi="宋体" w:eastAsia="宋体" w:cs="宋体"/>
          <w:b/>
          <w:bCs/>
          <w:color w:val="FF0000"/>
          <w:kern w:val="2"/>
          <w:sz w:val="24"/>
          <w:szCs w:val="24"/>
          <w:highlight w:val="none"/>
          <w:lang w:val="en-US" w:eastAsia="zh-CN"/>
        </w:rPr>
        <w:t>1）</w:t>
      </w:r>
      <w:r>
        <w:rPr>
          <w:rFonts w:hint="eastAsia" w:ascii="宋体" w:hAnsi="宋体" w:eastAsia="宋体" w:cs="宋体"/>
          <w:b/>
          <w:bCs/>
          <w:color w:val="FF0000"/>
          <w:kern w:val="2"/>
          <w:sz w:val="24"/>
          <w:szCs w:val="24"/>
          <w:highlight w:val="none"/>
        </w:rPr>
        <w:t>质保期：</w:t>
      </w:r>
      <w:r>
        <w:rPr>
          <w:rFonts w:hint="eastAsia" w:ascii="宋体" w:hAnsi="宋体" w:eastAsia="宋体" w:cs="宋体"/>
          <w:b/>
          <w:bCs/>
          <w:color w:val="FF0000"/>
          <w:kern w:val="2"/>
          <w:sz w:val="24"/>
          <w:szCs w:val="24"/>
          <w:highlight w:val="none"/>
          <w:lang w:val="en-US" w:eastAsia="zh-CN"/>
        </w:rPr>
        <w:t>我方</w:t>
      </w:r>
      <w:r>
        <w:rPr>
          <w:rFonts w:hint="eastAsia" w:ascii="宋体" w:hAnsi="宋体" w:eastAsia="宋体" w:cs="宋体"/>
          <w:b/>
          <w:bCs/>
          <w:color w:val="FF0000"/>
          <w:kern w:val="2"/>
          <w:sz w:val="24"/>
          <w:szCs w:val="24"/>
          <w:highlight w:val="none"/>
        </w:rPr>
        <w:t>承诺</w:t>
      </w:r>
      <w:r>
        <w:rPr>
          <w:rFonts w:hint="eastAsia" w:ascii="宋体" w:hAnsi="宋体" w:eastAsia="宋体" w:cs="宋体"/>
          <w:b/>
          <w:bCs/>
          <w:color w:val="FF0000"/>
          <w:kern w:val="2"/>
          <w:sz w:val="24"/>
          <w:szCs w:val="24"/>
          <w:highlight w:val="none"/>
          <w:lang w:val="en-US" w:eastAsia="zh-CN"/>
        </w:rPr>
        <w:t>为本项目的</w:t>
      </w:r>
      <w:r>
        <w:rPr>
          <w:rFonts w:hint="eastAsia" w:ascii="宋体" w:hAnsi="宋体" w:eastAsia="宋体" w:cs="宋体"/>
          <w:b/>
          <w:bCs/>
          <w:color w:val="FF0000"/>
          <w:kern w:val="2"/>
          <w:sz w:val="24"/>
          <w:szCs w:val="24"/>
          <w:highlight w:val="none"/>
        </w:rPr>
        <w:t>配套主要设备提供</w:t>
      </w:r>
      <w:r>
        <w:rPr>
          <w:rFonts w:hint="eastAsia" w:cs="宋体"/>
          <w:b/>
          <w:bCs/>
          <w:color w:val="FF0000"/>
          <w:kern w:val="2"/>
          <w:sz w:val="24"/>
          <w:szCs w:val="24"/>
          <w:highlight w:val="none"/>
          <w:lang w:val="en-US" w:eastAsia="zh-CN"/>
        </w:rPr>
        <w:t>一年/二年/</w:t>
      </w:r>
      <w:r>
        <w:rPr>
          <w:rFonts w:hint="eastAsia" w:ascii="宋体" w:hAnsi="宋体" w:eastAsia="宋体" w:cs="宋体"/>
          <w:b/>
          <w:bCs/>
          <w:color w:val="FF0000"/>
          <w:kern w:val="2"/>
          <w:sz w:val="24"/>
          <w:szCs w:val="24"/>
          <w:highlight w:val="none"/>
        </w:rPr>
        <w:t>三年免费质保。</w:t>
      </w:r>
    </w:p>
    <w:p w14:paraId="452D1373">
      <w:pPr>
        <w:spacing w:line="360" w:lineRule="auto"/>
        <w:ind w:firstLine="482" w:firstLineChars="200"/>
        <w:rPr>
          <w:rFonts w:hint="eastAsia" w:ascii="宋体" w:hAnsi="宋体" w:eastAsia="宋体" w:cs="宋体"/>
          <w:b/>
          <w:bCs/>
          <w:color w:val="FF0000"/>
          <w:kern w:val="2"/>
          <w:sz w:val="24"/>
          <w:szCs w:val="24"/>
          <w:highlight w:val="none"/>
        </w:rPr>
      </w:pPr>
      <w:r>
        <w:rPr>
          <w:rFonts w:hint="eastAsia" w:ascii="宋体" w:hAnsi="宋体" w:eastAsia="宋体" w:cs="宋体"/>
          <w:b/>
          <w:bCs/>
          <w:color w:val="FF0000"/>
          <w:kern w:val="2"/>
          <w:sz w:val="24"/>
          <w:szCs w:val="24"/>
          <w:highlight w:val="none"/>
          <w:lang w:eastAsia="zh-CN"/>
        </w:rPr>
        <w:t>（</w:t>
      </w:r>
      <w:r>
        <w:rPr>
          <w:rFonts w:hint="eastAsia" w:ascii="宋体" w:hAnsi="宋体" w:eastAsia="宋体" w:cs="宋体"/>
          <w:b/>
          <w:bCs/>
          <w:color w:val="FF0000"/>
          <w:kern w:val="2"/>
          <w:sz w:val="24"/>
          <w:szCs w:val="24"/>
          <w:highlight w:val="none"/>
          <w:lang w:val="en-US" w:eastAsia="zh-CN"/>
        </w:rPr>
        <w:t>2）</w:t>
      </w:r>
      <w:r>
        <w:rPr>
          <w:rFonts w:hint="eastAsia" w:ascii="宋体" w:hAnsi="宋体" w:eastAsia="宋体" w:cs="宋体"/>
          <w:b/>
          <w:bCs/>
          <w:color w:val="FF0000"/>
          <w:kern w:val="2"/>
          <w:sz w:val="24"/>
          <w:szCs w:val="24"/>
          <w:highlight w:val="none"/>
        </w:rPr>
        <w:t>质保内容：</w:t>
      </w:r>
      <w:r>
        <w:rPr>
          <w:rFonts w:hint="eastAsia" w:ascii="宋体" w:hAnsi="宋体" w:eastAsia="宋体" w:cs="宋体"/>
          <w:b/>
          <w:bCs/>
          <w:color w:val="FF0000"/>
          <w:kern w:val="2"/>
          <w:sz w:val="24"/>
          <w:szCs w:val="24"/>
          <w:highlight w:val="none"/>
          <w:lang w:val="en-US" w:eastAsia="zh-CN"/>
        </w:rPr>
        <w:t>我方承诺</w:t>
      </w:r>
      <w:r>
        <w:rPr>
          <w:rFonts w:hint="eastAsia" w:ascii="宋体" w:hAnsi="宋体" w:eastAsia="宋体" w:cs="宋体"/>
          <w:b/>
          <w:bCs/>
          <w:color w:val="FF0000"/>
          <w:kern w:val="2"/>
          <w:sz w:val="24"/>
          <w:szCs w:val="24"/>
          <w:highlight w:val="none"/>
        </w:rPr>
        <w:t>为</w:t>
      </w:r>
      <w:r>
        <w:rPr>
          <w:rFonts w:hint="eastAsia" w:ascii="宋体" w:hAnsi="宋体" w:eastAsia="宋体" w:cs="宋体"/>
          <w:b/>
          <w:bCs/>
          <w:color w:val="FF0000"/>
          <w:kern w:val="2"/>
          <w:sz w:val="24"/>
          <w:szCs w:val="24"/>
          <w:highlight w:val="none"/>
          <w:lang w:val="en-US" w:eastAsia="zh-CN"/>
        </w:rPr>
        <w:t>合同甲方</w:t>
      </w:r>
      <w:r>
        <w:rPr>
          <w:rFonts w:hint="eastAsia" w:ascii="宋体" w:hAnsi="宋体" w:eastAsia="宋体" w:cs="宋体"/>
          <w:b/>
          <w:bCs/>
          <w:color w:val="FF0000"/>
          <w:kern w:val="2"/>
          <w:sz w:val="24"/>
          <w:szCs w:val="24"/>
          <w:highlight w:val="none"/>
        </w:rPr>
        <w:t>提供硬件质保和软件功能完善和技术支持。</w:t>
      </w:r>
    </w:p>
    <w:p w14:paraId="24ACF5AB">
      <w:pPr>
        <w:spacing w:line="360" w:lineRule="auto"/>
        <w:ind w:firstLine="482" w:firstLineChars="200"/>
        <w:rPr>
          <w:rFonts w:hint="eastAsia" w:ascii="宋体" w:hAnsi="宋体" w:eastAsia="宋体" w:cs="宋体"/>
          <w:b/>
          <w:bCs/>
          <w:color w:val="FF0000"/>
          <w:kern w:val="2"/>
          <w:sz w:val="24"/>
          <w:szCs w:val="24"/>
          <w:highlight w:val="none"/>
        </w:rPr>
      </w:pPr>
      <w:r>
        <w:rPr>
          <w:rFonts w:hint="eastAsia" w:ascii="宋体" w:hAnsi="宋体" w:eastAsia="宋体" w:cs="宋体"/>
          <w:b/>
          <w:bCs/>
          <w:color w:val="FF0000"/>
          <w:kern w:val="2"/>
          <w:sz w:val="24"/>
          <w:szCs w:val="24"/>
          <w:highlight w:val="none"/>
          <w:lang w:eastAsia="zh-CN"/>
        </w:rPr>
        <w:t>（</w:t>
      </w:r>
      <w:r>
        <w:rPr>
          <w:rFonts w:hint="eastAsia" w:ascii="宋体" w:hAnsi="宋体" w:eastAsia="宋体" w:cs="宋体"/>
          <w:b/>
          <w:bCs/>
          <w:color w:val="FF0000"/>
          <w:kern w:val="2"/>
          <w:sz w:val="24"/>
          <w:szCs w:val="24"/>
          <w:highlight w:val="none"/>
          <w:lang w:val="en-US" w:eastAsia="zh-CN"/>
        </w:rPr>
        <w:t>3）</w:t>
      </w:r>
      <w:r>
        <w:rPr>
          <w:rFonts w:hint="eastAsia" w:ascii="宋体" w:hAnsi="宋体" w:eastAsia="宋体" w:cs="宋体"/>
          <w:b/>
          <w:bCs/>
          <w:color w:val="FF0000"/>
          <w:kern w:val="2"/>
          <w:sz w:val="24"/>
          <w:szCs w:val="24"/>
          <w:highlight w:val="none"/>
        </w:rPr>
        <w:t>维护要求：</w:t>
      </w:r>
      <w:r>
        <w:rPr>
          <w:rFonts w:hint="eastAsia" w:ascii="宋体" w:hAnsi="宋体" w:eastAsia="宋体" w:cs="宋体"/>
          <w:b/>
          <w:bCs/>
          <w:color w:val="FF0000"/>
          <w:kern w:val="2"/>
          <w:sz w:val="24"/>
          <w:szCs w:val="24"/>
          <w:highlight w:val="none"/>
          <w:lang w:val="en-US" w:eastAsia="zh-CN"/>
        </w:rPr>
        <w:t>我方承诺</w:t>
      </w:r>
      <w:r>
        <w:rPr>
          <w:rFonts w:hint="eastAsia" w:ascii="宋体" w:hAnsi="宋体" w:eastAsia="宋体" w:cs="宋体"/>
          <w:b/>
          <w:bCs/>
          <w:color w:val="FF0000"/>
          <w:kern w:val="2"/>
          <w:sz w:val="24"/>
          <w:szCs w:val="24"/>
          <w:highlight w:val="none"/>
        </w:rPr>
        <w:t>在质保期内接到用户</w:t>
      </w:r>
      <w:r>
        <w:rPr>
          <w:rFonts w:hint="eastAsia" w:ascii="宋体" w:hAnsi="宋体" w:eastAsia="宋体" w:cs="宋体"/>
          <w:b/>
          <w:bCs/>
          <w:color w:val="FF0000"/>
          <w:kern w:val="2"/>
          <w:sz w:val="24"/>
          <w:szCs w:val="24"/>
          <w:highlight w:val="none"/>
          <w:lang w:eastAsia="zh-CN"/>
        </w:rPr>
        <w:t>（</w:t>
      </w:r>
      <w:r>
        <w:rPr>
          <w:rFonts w:hint="eastAsia" w:ascii="宋体" w:hAnsi="宋体" w:eastAsia="宋体" w:cs="宋体"/>
          <w:b/>
          <w:bCs/>
          <w:color w:val="FF0000"/>
          <w:kern w:val="2"/>
          <w:sz w:val="24"/>
          <w:szCs w:val="24"/>
          <w:highlight w:val="none"/>
          <w:lang w:val="en-US" w:eastAsia="zh-CN"/>
        </w:rPr>
        <w:t>合同甲方）</w:t>
      </w:r>
      <w:r>
        <w:rPr>
          <w:rFonts w:hint="eastAsia" w:ascii="宋体" w:hAnsi="宋体" w:eastAsia="宋体" w:cs="宋体"/>
          <w:b/>
          <w:bCs/>
          <w:color w:val="FF0000"/>
          <w:kern w:val="2"/>
          <w:sz w:val="24"/>
          <w:szCs w:val="24"/>
          <w:highlight w:val="none"/>
        </w:rPr>
        <w:t>电话后，在半小时内响应，2小时以内提供解决方案，若不能远程解决，</w:t>
      </w:r>
      <w:r>
        <w:rPr>
          <w:rFonts w:hint="eastAsia" w:ascii="宋体" w:hAnsi="宋体" w:eastAsia="宋体" w:cs="宋体"/>
          <w:b/>
          <w:bCs/>
          <w:color w:val="FF0000"/>
          <w:kern w:val="2"/>
          <w:sz w:val="24"/>
          <w:szCs w:val="24"/>
          <w:highlight w:val="none"/>
          <w:lang w:val="en-US" w:eastAsia="zh-CN"/>
        </w:rPr>
        <w:t>将</w:t>
      </w:r>
      <w:r>
        <w:rPr>
          <w:rFonts w:hint="eastAsia" w:ascii="宋体" w:hAnsi="宋体" w:eastAsia="宋体" w:cs="宋体"/>
          <w:b/>
          <w:bCs/>
          <w:color w:val="FF0000"/>
          <w:kern w:val="2"/>
          <w:sz w:val="24"/>
          <w:szCs w:val="24"/>
          <w:highlight w:val="none"/>
        </w:rPr>
        <w:t>在6小时内到达现场，24小时内解决问题，不能修复的采取无偿更换设备措施，以保证设备正常使用。</w:t>
      </w:r>
    </w:p>
    <w:p w14:paraId="24098BE5">
      <w:pPr>
        <w:spacing w:line="360" w:lineRule="auto"/>
        <w:ind w:firstLine="482" w:firstLineChars="200"/>
        <w:rPr>
          <w:rFonts w:hint="eastAsia" w:ascii="宋体" w:hAnsi="宋体" w:eastAsia="宋体" w:cs="宋体"/>
          <w:b/>
          <w:bCs/>
          <w:color w:val="FF0000"/>
          <w:kern w:val="2"/>
          <w:sz w:val="24"/>
          <w:szCs w:val="24"/>
          <w:highlight w:val="none"/>
        </w:rPr>
      </w:pPr>
      <w:r>
        <w:rPr>
          <w:rFonts w:hint="eastAsia" w:ascii="宋体" w:hAnsi="宋体" w:eastAsia="宋体" w:cs="宋体"/>
          <w:b/>
          <w:bCs/>
          <w:color w:val="FF0000"/>
          <w:kern w:val="2"/>
          <w:sz w:val="24"/>
          <w:szCs w:val="24"/>
          <w:highlight w:val="none"/>
          <w:lang w:val="en-US" w:eastAsia="zh-CN"/>
        </w:rPr>
        <w:t>7</w:t>
      </w:r>
      <w:r>
        <w:rPr>
          <w:rFonts w:hint="eastAsia" w:ascii="宋体" w:hAnsi="宋体" w:eastAsia="宋体" w:cs="宋体"/>
          <w:b/>
          <w:bCs/>
          <w:color w:val="FF0000"/>
          <w:kern w:val="2"/>
          <w:sz w:val="24"/>
          <w:szCs w:val="24"/>
          <w:highlight w:val="none"/>
        </w:rPr>
        <w:t>.其他补充说明：我方承诺在本项目响应中提供的投标授权委托代理人，以及响应文件中确定的项目管理人员，均与我单位具有劳动合同关系、且已依法缴纳社会保险。成交后如发现有虚假承诺，采购人有权解除合同，并追究违约责任，同时将相关违约行为报送监管部门，记不良行为记录，实施信用惩戒。</w:t>
      </w:r>
    </w:p>
    <w:p w14:paraId="1D4897AD">
      <w:pPr>
        <w:spacing w:line="360" w:lineRule="auto"/>
        <w:ind w:firstLine="480" w:firstLineChars="200"/>
        <w:rPr>
          <w:rFonts w:hint="eastAsia" w:ascii="宋体" w:hAnsi="宋体" w:eastAsia="宋体" w:cs="宋体"/>
          <w:color w:val="000000" w:themeColor="text1"/>
          <w:kern w:val="2"/>
          <w:sz w:val="24"/>
          <w:szCs w:val="24"/>
          <w:highlight w:val="none"/>
          <w14:textFill>
            <w14:solidFill>
              <w14:schemeClr w14:val="tx1"/>
            </w14:solidFill>
          </w14:textFill>
        </w:rPr>
      </w:pPr>
    </w:p>
    <w:p w14:paraId="04EF8644">
      <w:pPr>
        <w:spacing w:line="360" w:lineRule="auto"/>
        <w:ind w:firstLine="4800" w:firstLineChars="2000"/>
        <w:rPr>
          <w:rFonts w:cs="@仿宋_GB2312"/>
          <w:color w:val="000000" w:themeColor="text1"/>
          <w:kern w:val="2"/>
          <w:sz w:val="24"/>
          <w:highlight w:val="none"/>
          <w14:textFill>
            <w14:solidFill>
              <w14:schemeClr w14:val="tx1"/>
            </w14:solidFill>
          </w14:textFill>
        </w:rPr>
      </w:pPr>
      <w:r>
        <w:rPr>
          <w:rFonts w:hint="eastAsia" w:cs="@仿宋_GB2312"/>
          <w:color w:val="000000" w:themeColor="text1"/>
          <w:kern w:val="2"/>
          <w:sz w:val="24"/>
          <w:highlight w:val="none"/>
          <w14:textFill>
            <w14:solidFill>
              <w14:schemeClr w14:val="tx1"/>
            </w14:solidFill>
          </w14:textFill>
        </w:rPr>
        <w:t>供应商电子签章：</w:t>
      </w:r>
      <w:r>
        <w:rPr>
          <w:rFonts w:hint="eastAsia" w:cs="@仿宋_GB2312"/>
          <w:color w:val="000000" w:themeColor="text1"/>
          <w:kern w:val="2"/>
          <w:sz w:val="24"/>
          <w:highlight w:val="none"/>
          <w:u w:val="single"/>
          <w14:textFill>
            <w14:solidFill>
              <w14:schemeClr w14:val="tx1"/>
            </w14:solidFill>
          </w14:textFill>
        </w:rPr>
        <w:t xml:space="preserve">             </w:t>
      </w:r>
    </w:p>
    <w:p w14:paraId="73FE9DF1">
      <w:pPr>
        <w:spacing w:line="360" w:lineRule="auto"/>
        <w:ind w:firstLine="4800" w:firstLineChars="2000"/>
        <w:rPr>
          <w:rFonts w:cs="@仿宋_GB2312"/>
          <w:color w:val="000000" w:themeColor="text1"/>
          <w:kern w:val="2"/>
          <w:sz w:val="24"/>
          <w:highlight w:val="none"/>
          <w:u w:val="single"/>
          <w14:textFill>
            <w14:solidFill>
              <w14:schemeClr w14:val="tx1"/>
            </w14:solidFill>
          </w14:textFill>
        </w:rPr>
      </w:pPr>
      <w:r>
        <w:rPr>
          <w:rFonts w:hint="eastAsia" w:cs="@仿宋_GB2312"/>
          <w:color w:val="000000" w:themeColor="text1"/>
          <w:kern w:val="2"/>
          <w:sz w:val="24"/>
          <w:highlight w:val="none"/>
          <w14:textFill>
            <w14:solidFill>
              <w14:schemeClr w14:val="tx1"/>
            </w14:solidFill>
          </w14:textFill>
        </w:rPr>
        <w:t>日          期：</w:t>
      </w:r>
      <w:r>
        <w:rPr>
          <w:rFonts w:hint="eastAsia" w:cs="@仿宋_GB2312"/>
          <w:color w:val="000000" w:themeColor="text1"/>
          <w:kern w:val="2"/>
          <w:sz w:val="24"/>
          <w:highlight w:val="none"/>
          <w:u w:val="single"/>
          <w14:textFill>
            <w14:solidFill>
              <w14:schemeClr w14:val="tx1"/>
            </w14:solidFill>
          </w14:textFill>
        </w:rPr>
        <w:t xml:space="preserve">             </w:t>
      </w:r>
    </w:p>
    <w:p w14:paraId="09FE0C15">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22239E6">
      <w:pPr>
        <w:spacing w:line="360" w:lineRule="auto"/>
        <w:jc w:val="center"/>
        <w:outlineLvl w:val="1"/>
        <w:rPr>
          <w:b/>
          <w:i/>
          <w:color w:val="000000" w:themeColor="text1"/>
          <w:sz w:val="24"/>
          <w:highlight w:val="none"/>
          <w14:textFill>
            <w14:solidFill>
              <w14:schemeClr w14:val="tx1"/>
            </w14:solidFill>
          </w14:textFill>
        </w:rPr>
      </w:pPr>
      <w:bookmarkStart w:id="688" w:name="_Toc2947"/>
      <w:bookmarkStart w:id="689" w:name="_Toc20728"/>
      <w:r>
        <w:rPr>
          <w:rFonts w:hint="eastAsia" w:asciiTheme="minorEastAsia" w:hAnsiTheme="minorEastAsia" w:eastAsiaTheme="minorEastAsia"/>
          <w:b/>
          <w:color w:val="000000" w:themeColor="text1"/>
          <w:sz w:val="24"/>
          <w:highlight w:val="none"/>
          <w14:textFill>
            <w14:solidFill>
              <w14:schemeClr w14:val="tx1"/>
            </w14:solidFill>
          </w14:textFill>
        </w:rPr>
        <w:t>四、</w:t>
      </w:r>
      <w:bookmarkEnd w:id="688"/>
      <w:bookmarkStart w:id="690" w:name="_Toc8658"/>
      <w:r>
        <w:rPr>
          <w:rFonts w:hint="eastAsia" w:asciiTheme="minorEastAsia" w:hAnsiTheme="minorEastAsia" w:eastAsiaTheme="minorEastAsia"/>
          <w:b/>
          <w:color w:val="000000" w:themeColor="text1"/>
          <w:sz w:val="24"/>
          <w:highlight w:val="none"/>
          <w14:textFill>
            <w14:solidFill>
              <w14:schemeClr w14:val="tx1"/>
            </w14:solidFill>
          </w14:textFill>
        </w:rPr>
        <w:t>供应商资格声明书</w:t>
      </w:r>
      <w:bookmarkEnd w:id="689"/>
      <w:r>
        <w:rPr>
          <w:rFonts w:hint="eastAsia" w:asciiTheme="minorEastAsia" w:hAnsiTheme="minorEastAsia" w:eastAsiaTheme="minorEastAsia"/>
          <w:b/>
          <w:color w:val="000000" w:themeColor="text1"/>
          <w:sz w:val="24"/>
          <w:highlight w:val="none"/>
          <w14:textFill>
            <w14:solidFill>
              <w14:schemeClr w14:val="tx1"/>
            </w14:solidFill>
          </w14:textFill>
        </w:rPr>
        <w:t xml:space="preserve"> </w:t>
      </w:r>
    </w:p>
    <w:p w14:paraId="26141635">
      <w:pPr>
        <w:pStyle w:val="29"/>
        <w:spacing w:line="360" w:lineRule="auto"/>
        <w:rPr>
          <w:rFonts w:hint="default" w:eastAsia="宋体" w:asciiTheme="minorEastAsia" w:hAnsiTheme="minorEastAsia" w:cstheme="minorEastAsia"/>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lang w:val="en-US" w:eastAsia="zh-CN"/>
          <w14:textFill>
            <w14:solidFill>
              <w14:schemeClr w14:val="tx1"/>
            </w14:solidFill>
          </w14:textFill>
        </w:rPr>
        <w:t xml:space="preserve">              </w:t>
      </w:r>
    </w:p>
    <w:p w14:paraId="6BA4A739">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bidi="ar"/>
          <w14:textFill>
            <w14:solidFill>
              <w14:schemeClr w14:val="tx1"/>
            </w14:solidFill>
          </w14:textFill>
        </w:rPr>
        <w:t>在参与本次项目磋商中，我单位承诺：</w:t>
      </w:r>
    </w:p>
    <w:p w14:paraId="26B029D9">
      <w:pPr>
        <w:widowControl/>
        <w:spacing w:line="360" w:lineRule="auto"/>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bidi="ar"/>
          <w14:textFill>
            <w14:solidFill>
              <w14:schemeClr w14:val="tx1"/>
            </w14:solidFill>
          </w14:textFill>
        </w:rPr>
        <w:t>（一）具有良好的商业信誉和健全的财务会计制度；</w:t>
      </w:r>
    </w:p>
    <w:p w14:paraId="4F423249">
      <w:pPr>
        <w:widowControl/>
        <w:spacing w:line="360" w:lineRule="auto"/>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bidi="ar"/>
          <w14:textFill>
            <w14:solidFill>
              <w14:schemeClr w14:val="tx1"/>
            </w14:solidFill>
          </w14:textFill>
        </w:rPr>
        <w:t>（二）具有履行合同所必需的设备和专业技术能力；</w:t>
      </w:r>
    </w:p>
    <w:p w14:paraId="39900D29">
      <w:pPr>
        <w:widowControl/>
        <w:spacing w:line="360" w:lineRule="auto"/>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bidi="ar"/>
          <w14:textFill>
            <w14:solidFill>
              <w14:schemeClr w14:val="tx1"/>
            </w14:solidFill>
          </w14:textFill>
        </w:rPr>
        <w:t>（三）有依法缴纳税收和社会保障资金的良好记录；</w:t>
      </w:r>
    </w:p>
    <w:p w14:paraId="6655B449">
      <w:pPr>
        <w:widowControl/>
        <w:spacing w:line="360" w:lineRule="auto"/>
        <w:jc w:val="left"/>
        <w:rPr>
          <w:rFonts w:asciiTheme="minorEastAsia" w:hAnsiTheme="minorEastAsia" w:eastAsiaTheme="minorEastAsia" w:cstheme="minorEastAsia"/>
          <w:color w:val="000000" w:themeColor="text1"/>
          <w:sz w:val="24"/>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bidi="ar"/>
          <w14:textFill>
            <w14:solidFill>
              <w14:schemeClr w14:val="tx1"/>
            </w14:solidFill>
          </w14:textFill>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0F23EEC">
      <w:pPr>
        <w:spacing w:line="360" w:lineRule="auto"/>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五）我单位近三年内，未发生重大质量事故和重大安全事故（以有关行政管理部门的行政处罚决定或司法机关出具的有关法律文书为准），前述行政处罚已完成信用修复的，但自行政处罚作出机关或信用修复主管部门同意修复之日起满一年的，不受三年期限限制；</w:t>
      </w:r>
    </w:p>
    <w:p w14:paraId="68649483">
      <w:pPr>
        <w:spacing w:line="360" w:lineRule="auto"/>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（六）我单位在本项目磋商有效期内，在本项目所在区域未存在因质量事故、安全事故等被限期承包工程或市场不良行为等被限制磋商资格行为，且处于处罚期内的情况；</w:t>
      </w:r>
    </w:p>
    <w:p w14:paraId="75A248F1">
      <w:pPr>
        <w:spacing w:line="360" w:lineRule="auto"/>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（七）我单位</w:t>
      </w:r>
      <w:r>
        <w:rPr>
          <w:rFonts w:hint="eastAsia" w:cs="宋体"/>
          <w:color w:val="000000" w:themeColor="text1"/>
          <w:sz w:val="24"/>
          <w:szCs w:val="24"/>
          <w:highlight w:val="none"/>
          <w14:textFill>
            <w14:solidFill>
              <w14:schemeClr w14:val="tx1"/>
            </w14:solidFill>
          </w14:textFill>
        </w:rPr>
        <w:t>未被“信用中国”网站列入拖欠农民工工资失信联合惩戒对象名单</w:t>
      </w:r>
      <w:r>
        <w:rPr>
          <w:rFonts w:hint="eastAsia" w:cs="宋体"/>
          <w:color w:val="000000" w:themeColor="text1"/>
          <w:kern w:val="2"/>
          <w:sz w:val="24"/>
          <w:szCs w:val="24"/>
          <w:highlight w:val="none"/>
          <w14:textFill>
            <w14:solidFill>
              <w14:schemeClr w14:val="tx1"/>
            </w14:solidFill>
          </w14:textFill>
        </w:rPr>
        <w:t>；</w:t>
      </w:r>
    </w:p>
    <w:p w14:paraId="6DD54BAC">
      <w:pPr>
        <w:spacing w:line="360" w:lineRule="auto"/>
        <w:rPr>
          <w:rFonts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14:textFill>
            <w14:solidFill>
              <w14:schemeClr w14:val="tx1"/>
            </w14:solidFill>
          </w14:textFill>
        </w:rPr>
        <w:t>（八）为保护农民工的合法权益，不拖欠农民工工资，我单位中标后承诺做到:</w:t>
      </w:r>
    </w:p>
    <w:p w14:paraId="2AC4E4B8">
      <w:pPr>
        <w:spacing w:line="360" w:lineRule="auto"/>
        <w:rPr>
          <w:rFonts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14:textFill>
            <w14:solidFill>
              <w14:schemeClr w14:val="tx1"/>
            </w14:solidFill>
          </w14:textFill>
        </w:rPr>
        <w:t xml:space="preserve">   1.严格按照《中华人民共和国劳动法》规定，不克扣或者无故拖欠本项目履约过程中劳动者的工资及雇佣费用。</w:t>
      </w:r>
    </w:p>
    <w:p w14:paraId="5E873B96">
      <w:pPr>
        <w:spacing w:line="360" w:lineRule="auto"/>
        <w:rPr>
          <w:rFonts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14:textFill>
            <w14:solidFill>
              <w14:schemeClr w14:val="tx1"/>
            </w14:solidFill>
          </w14:textFill>
        </w:rPr>
        <w:t xml:space="preserve">   2.如果发生违反规定拖欠或克扣农民工工资行为，本单位支持甲方对我单位作出的任何措施（包括但不限于从履约保证金或工程进度款等款项中支付拖欠的农民工工资）。</w:t>
      </w:r>
    </w:p>
    <w:p w14:paraId="0505D40B">
      <w:pPr>
        <w:widowControl/>
        <w:spacing w:line="360" w:lineRule="auto"/>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bidi="ar"/>
          <w14:textFill>
            <w14:solidFill>
              <w14:schemeClr w14:val="tx1"/>
            </w14:solidFill>
          </w14:textFill>
        </w:rPr>
        <w:t>（九）我单位不存在为采购项目提供整体设计、规范编制或者项目管理、监理、检测等服务后，再参加该采购项目的其他采购活动的情形（单一来源采购项目除外）；</w:t>
      </w:r>
    </w:p>
    <w:p w14:paraId="4BA468B6">
      <w:pPr>
        <w:widowControl/>
        <w:spacing w:line="360" w:lineRule="auto"/>
        <w:jc w:val="left"/>
        <w:rPr>
          <w:rFonts w:asciiTheme="minorEastAsia" w:hAnsiTheme="minorEastAsia" w:eastAsiaTheme="minorEastAsia" w:cstheme="minorEastAsia"/>
          <w:b/>
          <w:bCs/>
          <w:color w:val="000000" w:themeColor="text1"/>
          <w:sz w:val="24"/>
          <w:szCs w:val="24"/>
          <w:highlight w:val="none"/>
          <w:lang w:bidi="ar"/>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lang w:bidi="ar"/>
          <w14:textFill>
            <w14:solidFill>
              <w14:schemeClr w14:val="tx1"/>
            </w14:solidFill>
          </w14:textFill>
        </w:rPr>
        <w:t>（十）与我单位存在单位负责人为同一人或者存在直接控股、管理关系的其他法人单位信息如下（如有，不论其是否参加同一合同项下的政府采购活动均须填写）：</w:t>
      </w:r>
    </w:p>
    <w:tbl>
      <w:tblPr>
        <w:tblStyle w:val="5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2901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D51E93A">
            <w:pPr>
              <w:widowControl/>
              <w:spacing w:before="156" w:beforeLines="50" w:after="10"/>
              <w:jc w:val="center"/>
              <w:rPr>
                <w:rFonts w:asciiTheme="minorEastAsia" w:hAnsiTheme="minorEastAsia" w:eastAsiaTheme="minorEastAsia" w:cstheme="minorEastAsia"/>
                <w:b/>
                <w:bCs/>
                <w:color w:val="000000" w:themeColor="text1"/>
                <w:sz w:val="24"/>
                <w:szCs w:val="24"/>
                <w:highlight w:val="none"/>
                <w:lang w:bidi="ar"/>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lang w:bidi="ar"/>
                <w14:textFill>
                  <w14:solidFill>
                    <w14:schemeClr w14:val="tx1"/>
                  </w14:solidFill>
                </w14:textFill>
              </w:rPr>
              <w:t>序号</w:t>
            </w:r>
          </w:p>
        </w:tc>
        <w:tc>
          <w:tcPr>
            <w:tcW w:w="2841" w:type="dxa"/>
          </w:tcPr>
          <w:p w14:paraId="4A6D517A">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lang w:val="en-US" w:bidi="ar"/>
                <w14:textFill>
                  <w14:solidFill>
                    <w14:schemeClr w14:val="tx1"/>
                  </w14:solidFill>
                </w14:textFill>
              </w:rPr>
              <w:t>单位名称</w:t>
            </w:r>
          </w:p>
        </w:tc>
        <w:tc>
          <w:tcPr>
            <w:tcW w:w="2841" w:type="dxa"/>
          </w:tcPr>
          <w:p w14:paraId="5EDB9574">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lang w:val="en-US" w:bidi="ar"/>
                <w14:textFill>
                  <w14:solidFill>
                    <w14:schemeClr w14:val="tx1"/>
                  </w14:solidFill>
                </w14:textFill>
              </w:rPr>
              <w:t>相互关系</w:t>
            </w:r>
          </w:p>
        </w:tc>
      </w:tr>
      <w:tr w14:paraId="642D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49AF7E2">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lang w:val="en-US" w:bidi="ar"/>
                <w14:textFill>
                  <w14:solidFill>
                    <w14:schemeClr w14:val="tx1"/>
                  </w14:solidFill>
                </w14:textFill>
              </w:rPr>
              <w:t>1</w:t>
            </w:r>
          </w:p>
        </w:tc>
        <w:tc>
          <w:tcPr>
            <w:tcW w:w="2841" w:type="dxa"/>
          </w:tcPr>
          <w:p w14:paraId="3824606F">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p>
        </w:tc>
        <w:tc>
          <w:tcPr>
            <w:tcW w:w="2841" w:type="dxa"/>
          </w:tcPr>
          <w:p w14:paraId="6694592A">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p>
        </w:tc>
      </w:tr>
      <w:tr w14:paraId="46F5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2B16039">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r>
              <w:rPr>
                <w:rFonts w:hint="eastAsia" w:asciiTheme="minorEastAsia" w:hAnsiTheme="minorEastAsia" w:eastAsiaTheme="minorEastAsia" w:cstheme="minorEastAsia"/>
                <w:b/>
                <w:bCs/>
                <w:color w:val="000000" w:themeColor="text1"/>
                <w:sz w:val="24"/>
                <w:highlight w:val="none"/>
                <w:lang w:val="en-US" w:bidi="ar"/>
                <w14:textFill>
                  <w14:solidFill>
                    <w14:schemeClr w14:val="tx1"/>
                  </w14:solidFill>
                </w14:textFill>
              </w:rPr>
              <w:t>2</w:t>
            </w:r>
          </w:p>
        </w:tc>
        <w:tc>
          <w:tcPr>
            <w:tcW w:w="2841" w:type="dxa"/>
          </w:tcPr>
          <w:p w14:paraId="29C55050">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p>
        </w:tc>
        <w:tc>
          <w:tcPr>
            <w:tcW w:w="2841" w:type="dxa"/>
          </w:tcPr>
          <w:p w14:paraId="11A6CC3B">
            <w:pPr>
              <w:pStyle w:val="19"/>
              <w:spacing w:before="156" w:beforeLines="50" w:after="10"/>
              <w:jc w:val="center"/>
              <w:rPr>
                <w:rFonts w:asciiTheme="minorEastAsia" w:hAnsiTheme="minorEastAsia" w:eastAsiaTheme="minorEastAsia" w:cstheme="minorEastAsia"/>
                <w:b/>
                <w:bCs/>
                <w:color w:val="000000" w:themeColor="text1"/>
                <w:sz w:val="24"/>
                <w:highlight w:val="none"/>
                <w:lang w:val="en-US" w:bidi="ar"/>
                <w14:textFill>
                  <w14:solidFill>
                    <w14:schemeClr w14:val="tx1"/>
                  </w14:solidFill>
                </w14:textFill>
              </w:rPr>
            </w:pPr>
          </w:p>
        </w:tc>
      </w:tr>
    </w:tbl>
    <w:p w14:paraId="59C6222B">
      <w:pPr>
        <w:spacing w:line="360" w:lineRule="auto"/>
        <w:ind w:firstLine="43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本单位对</w:t>
      </w:r>
      <w:r>
        <w:rPr>
          <w:rFonts w:hint="eastAsia" w:asciiTheme="minorEastAsia" w:hAnsiTheme="minorEastAsia" w:eastAsiaTheme="minorEastAsia"/>
          <w:color w:val="000000" w:themeColor="text1"/>
          <w:sz w:val="24"/>
          <w:highlight w:val="none"/>
          <w14:textFill>
            <w14:solidFill>
              <w14:schemeClr w14:val="tx1"/>
            </w14:solidFill>
          </w14:textFill>
        </w:rPr>
        <w:t>上述</w:t>
      </w:r>
      <w:r>
        <w:rPr>
          <w:rFonts w:hint="eastAsia"/>
          <w:color w:val="000000" w:themeColor="text1"/>
          <w:sz w:val="24"/>
          <w:highlight w:val="none"/>
          <w14:textFill>
            <w14:solidFill>
              <w14:schemeClr w14:val="tx1"/>
            </w14:solidFill>
          </w14:textFill>
        </w:rPr>
        <w:t>声明的真实性负责。如有虚假，将依法承担相应责任。</w:t>
      </w:r>
    </w:p>
    <w:p w14:paraId="2119ADEE">
      <w:pPr>
        <w:spacing w:line="360" w:lineRule="auto"/>
        <w:ind w:firstLine="4800" w:firstLineChars="2000"/>
        <w:rPr>
          <w:color w:val="000000" w:themeColor="text1"/>
          <w:sz w:val="24"/>
          <w:highlight w:val="none"/>
          <w:u w:val="single"/>
          <w14:textFill>
            <w14:solidFill>
              <w14:schemeClr w14:val="tx1"/>
            </w14:solidFill>
          </w14:textFill>
        </w:rPr>
      </w:pPr>
      <w:r>
        <w:rPr>
          <w:rFonts w:hint="eastAsia"/>
          <w:color w:val="000000" w:themeColor="text1"/>
          <w:sz w:val="24"/>
          <w:highlight w:val="none"/>
          <w14:textFill>
            <w14:solidFill>
              <w14:schemeClr w14:val="tx1"/>
            </w14:solidFill>
          </w14:textFill>
        </w:rPr>
        <w:t>供应商电子签章：</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14:textFill>
            <w14:solidFill>
              <w14:schemeClr w14:val="tx1"/>
            </w14:solidFill>
          </w14:textFill>
        </w:rPr>
        <w:t xml:space="preserve">    </w:t>
      </w:r>
    </w:p>
    <w:p w14:paraId="713242EC">
      <w:pPr>
        <w:spacing w:line="360" w:lineRule="auto"/>
        <w:jc w:val="center"/>
        <w:rPr>
          <w:rFonts w:asciiTheme="minorEastAsia" w:hAnsiTheme="minorEastAsia" w:eastAsiaTheme="minorEastAsia"/>
          <w:b/>
          <w:color w:val="000000" w:themeColor="text1"/>
          <w:sz w:val="24"/>
          <w:highlight w:val="none"/>
          <w14:textFill>
            <w14:solidFill>
              <w14:schemeClr w14:val="tx1"/>
            </w14:solidFill>
          </w14:textFill>
        </w:rPr>
        <w:sectPr>
          <w:headerReference r:id="rId9" w:type="default"/>
          <w:footerReference r:id="rId10" w:type="default"/>
          <w:pgSz w:w="11906" w:h="16838"/>
          <w:pgMar w:top="1440" w:right="1800" w:bottom="1440" w:left="1800" w:header="851" w:footer="992" w:gutter="0"/>
          <w:cols w:space="425" w:num="1"/>
          <w:docGrid w:type="lines" w:linePitch="312" w:charSpace="0"/>
        </w:sectPr>
      </w:pPr>
      <w:r>
        <w:rPr>
          <w:rFonts w:hint="eastAsia"/>
          <w:color w:val="000000" w:themeColor="text1"/>
          <w:sz w:val="24"/>
          <w:highlight w:val="none"/>
          <w14:textFill>
            <w14:solidFill>
              <w14:schemeClr w14:val="tx1"/>
            </w14:solidFill>
          </w14:textFill>
        </w:rPr>
        <w:t xml:space="preserve">                           日          期：</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 xml:space="preserve">         </w:t>
      </w:r>
      <w:bookmarkEnd w:id="690"/>
    </w:p>
    <w:p w14:paraId="303E522B">
      <w:pPr>
        <w:widowControl/>
        <w:jc w:val="center"/>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691" w:name="_Toc204594911"/>
      <w:bookmarkStart w:id="692" w:name="_Toc520983594"/>
      <w:bookmarkStart w:id="693" w:name="_Toc909"/>
      <w:bookmarkStart w:id="694" w:name="_Toc516969106"/>
      <w:bookmarkStart w:id="695" w:name="_Toc25503"/>
      <w:bookmarkStart w:id="696" w:name="_Toc121626298"/>
      <w:r>
        <w:rPr>
          <w:rFonts w:hint="eastAsia" w:asciiTheme="minorEastAsia" w:hAnsiTheme="minorEastAsia" w:eastAsiaTheme="minorEastAsia"/>
          <w:b/>
          <w:color w:val="000000" w:themeColor="text1"/>
          <w:sz w:val="24"/>
          <w:highlight w:val="none"/>
          <w14:textFill>
            <w14:solidFill>
              <w14:schemeClr w14:val="tx1"/>
            </w14:solidFill>
          </w14:textFill>
        </w:rPr>
        <w:t>五、授权书</w:t>
      </w:r>
      <w:bookmarkEnd w:id="691"/>
      <w:bookmarkEnd w:id="692"/>
      <w:bookmarkEnd w:id="693"/>
      <w:bookmarkEnd w:id="694"/>
      <w:bookmarkEnd w:id="695"/>
      <w:bookmarkEnd w:id="696"/>
    </w:p>
    <w:p w14:paraId="61E30DF7">
      <w:pPr>
        <w:spacing w:line="360" w:lineRule="auto"/>
        <w:jc w:val="center"/>
        <w:rPr>
          <w:rFonts w:asciiTheme="minorEastAsia" w:hAnsiTheme="minorEastAsia" w:eastAsiaTheme="minorEastAsia"/>
          <w:b/>
          <w:color w:val="000000" w:themeColor="text1"/>
          <w:sz w:val="24"/>
          <w:highlight w:val="none"/>
          <w14:textFill>
            <w14:solidFill>
              <w14:schemeClr w14:val="tx1"/>
            </w14:solidFill>
          </w14:textFill>
        </w:rPr>
      </w:pPr>
    </w:p>
    <w:p w14:paraId="5E9BAE78">
      <w:pPr>
        <w:pStyle w:val="27"/>
        <w:snapToGrid w:val="0"/>
        <w:spacing w:line="360" w:lineRule="auto"/>
        <w:ind w:firstLine="480" w:firstLineChars="200"/>
        <w:jc w:val="left"/>
        <w:rPr>
          <w:rFonts w:hAnsi="宋体" w:eastAsia="宋体"/>
          <w:color w:val="000000" w:themeColor="text1"/>
          <w:sz w:val="24"/>
          <w:szCs w:val="28"/>
          <w:highlight w:val="none"/>
          <w14:textFill>
            <w14:solidFill>
              <w14:schemeClr w14:val="tx1"/>
            </w14:solidFill>
          </w14:textFill>
        </w:rPr>
      </w:pPr>
      <w:r>
        <w:rPr>
          <w:rFonts w:hint="eastAsia" w:hAnsi="宋体" w:eastAsia="宋体"/>
          <w:color w:val="000000" w:themeColor="text1"/>
          <w:sz w:val="24"/>
          <w:szCs w:val="28"/>
          <w:highlight w:val="none"/>
          <w14:textFill>
            <w14:solidFill>
              <w14:schemeClr w14:val="tx1"/>
            </w14:solidFill>
          </w14:textFill>
        </w:rPr>
        <w:t>本授权书声明：</w:t>
      </w:r>
      <w:r>
        <w:rPr>
          <w:rFonts w:hint="eastAsia" w:hAnsi="宋体" w:eastAsia="宋体"/>
          <w:color w:val="000000" w:themeColor="text1"/>
          <w:sz w:val="24"/>
          <w:szCs w:val="28"/>
          <w:highlight w:val="none"/>
          <w:u w:val="single"/>
          <w14:textFill>
            <w14:solidFill>
              <w14:schemeClr w14:val="tx1"/>
            </w14:solidFill>
          </w14:textFill>
        </w:rPr>
        <w:t xml:space="preserve">           </w:t>
      </w:r>
      <w:r>
        <w:rPr>
          <w:rFonts w:hint="eastAsia" w:hAnsi="宋体" w:eastAsia="宋体"/>
          <w:color w:val="000000" w:themeColor="text1"/>
          <w:sz w:val="24"/>
          <w:szCs w:val="28"/>
          <w:highlight w:val="none"/>
          <w14:textFill>
            <w14:solidFill>
              <w14:schemeClr w14:val="tx1"/>
            </w14:solidFill>
          </w14:textFill>
        </w:rPr>
        <w:t>（供应商名称）授权</w:t>
      </w:r>
      <w:r>
        <w:rPr>
          <w:rFonts w:hint="eastAsia" w:hAnsi="宋体" w:eastAsia="宋体"/>
          <w:color w:val="000000" w:themeColor="text1"/>
          <w:sz w:val="24"/>
          <w:szCs w:val="28"/>
          <w:highlight w:val="none"/>
          <w:u w:val="single"/>
          <w14:textFill>
            <w14:solidFill>
              <w14:schemeClr w14:val="tx1"/>
            </w14:solidFill>
          </w14:textFill>
        </w:rPr>
        <w:t xml:space="preserve">       </w:t>
      </w:r>
      <w:r>
        <w:rPr>
          <w:rFonts w:hint="eastAsia" w:hAnsi="宋体" w:eastAsia="宋体"/>
          <w:color w:val="000000" w:themeColor="text1"/>
          <w:sz w:val="24"/>
          <w:szCs w:val="28"/>
          <w:highlight w:val="none"/>
          <w14:textFill>
            <w14:solidFill>
              <w14:schemeClr w14:val="tx1"/>
            </w14:solidFill>
          </w14:textFill>
        </w:rPr>
        <w:t>（供应商授权代表姓名）代表我方参加本项目</w:t>
      </w:r>
      <w:r>
        <w:rPr>
          <w:rFonts w:hint="eastAsia" w:hAnsi="宋体" w:eastAsia="宋体"/>
          <w:bCs/>
          <w:color w:val="000000" w:themeColor="text1"/>
          <w:sz w:val="24"/>
          <w:szCs w:val="28"/>
          <w:highlight w:val="none"/>
          <w14:textFill>
            <w14:solidFill>
              <w14:schemeClr w14:val="tx1"/>
            </w14:solidFill>
          </w14:textFill>
        </w:rPr>
        <w:t>采购活动</w:t>
      </w:r>
      <w:r>
        <w:rPr>
          <w:rFonts w:hint="eastAsia" w:hAnsi="宋体" w:eastAsia="宋体"/>
          <w:color w:val="000000" w:themeColor="text1"/>
          <w:sz w:val="24"/>
          <w:szCs w:val="28"/>
          <w:highlight w:val="none"/>
          <w14:textFill>
            <w14:solidFill>
              <w14:schemeClr w14:val="tx1"/>
            </w14:solidFill>
          </w14:textFill>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15812775">
      <w:pPr>
        <w:pStyle w:val="27"/>
        <w:snapToGrid w:val="0"/>
        <w:spacing w:line="360" w:lineRule="auto"/>
        <w:ind w:firstLine="480" w:firstLineChars="200"/>
        <w:jc w:val="left"/>
        <w:rPr>
          <w:rFonts w:hAnsi="宋体" w:eastAsia="宋体"/>
          <w:color w:val="000000" w:themeColor="text1"/>
          <w:sz w:val="24"/>
          <w:szCs w:val="28"/>
          <w:highlight w:val="none"/>
          <w14:textFill>
            <w14:solidFill>
              <w14:schemeClr w14:val="tx1"/>
            </w14:solidFill>
          </w14:textFill>
        </w:rPr>
      </w:pPr>
      <w:r>
        <w:rPr>
          <w:rFonts w:hint="eastAsia" w:hAnsi="宋体" w:eastAsia="宋体"/>
          <w:color w:val="000000" w:themeColor="text1"/>
          <w:sz w:val="24"/>
          <w:szCs w:val="28"/>
          <w:highlight w:val="none"/>
          <w14:textFill>
            <w14:solidFill>
              <w14:schemeClr w14:val="tx1"/>
            </w14:solidFill>
          </w14:textFill>
        </w:rPr>
        <w:t>本授权书自出具之日起生效。</w:t>
      </w:r>
    </w:p>
    <w:p w14:paraId="16D382A2">
      <w:pPr>
        <w:pStyle w:val="27"/>
        <w:snapToGrid w:val="0"/>
        <w:spacing w:line="360" w:lineRule="auto"/>
        <w:ind w:firstLine="480" w:firstLineChars="200"/>
        <w:jc w:val="left"/>
        <w:rPr>
          <w:rFonts w:hAnsi="宋体" w:eastAsia="宋体"/>
          <w:color w:val="000000" w:themeColor="text1"/>
          <w:sz w:val="24"/>
          <w:highlight w:val="none"/>
          <w14:textFill>
            <w14:solidFill>
              <w14:schemeClr w14:val="tx1"/>
            </w14:solidFill>
          </w14:textFill>
        </w:rPr>
      </w:pPr>
      <w:r>
        <w:rPr>
          <w:rFonts w:hint="eastAsia" w:hAnsi="宋体" w:eastAsia="宋体"/>
          <w:color w:val="000000" w:themeColor="text1"/>
          <w:sz w:val="24"/>
          <w:szCs w:val="28"/>
          <w:highlight w:val="none"/>
          <w14:textFill>
            <w14:solidFill>
              <w14:schemeClr w14:val="tx1"/>
            </w14:solidFill>
          </w14:textFill>
        </w:rPr>
        <w:t>授权代表</w:t>
      </w:r>
      <w:r>
        <w:rPr>
          <w:rFonts w:hint="eastAsia" w:hAnsi="宋体" w:eastAsia="宋体"/>
          <w:color w:val="000000" w:themeColor="text1"/>
          <w:sz w:val="24"/>
          <w:highlight w:val="none"/>
          <w14:textFill>
            <w14:solidFill>
              <w14:schemeClr w14:val="tx1"/>
            </w14:solidFill>
          </w14:textFill>
        </w:rPr>
        <w:t>身份证明扫描件：</w:t>
      </w:r>
    </w:p>
    <w:p w14:paraId="4B472D22">
      <w:pPr>
        <w:pStyle w:val="27"/>
        <w:snapToGrid w:val="0"/>
        <w:spacing w:line="360" w:lineRule="auto"/>
        <w:ind w:firstLine="480" w:firstLineChars="200"/>
        <w:jc w:val="left"/>
        <w:rPr>
          <w:rFonts w:hAnsi="宋体" w:eastAsia="宋体"/>
          <w:color w:val="000000" w:themeColor="text1"/>
          <w:sz w:val="24"/>
          <w:highlight w:val="none"/>
          <w14:textFill>
            <w14:solidFill>
              <w14:schemeClr w14:val="tx1"/>
            </w14:solidFill>
          </w14:textFill>
        </w:rPr>
      </w:pPr>
    </w:p>
    <w:p w14:paraId="049B589B">
      <w:pPr>
        <w:pStyle w:val="27"/>
        <w:snapToGrid w:val="0"/>
        <w:spacing w:line="360" w:lineRule="auto"/>
        <w:ind w:firstLine="480" w:firstLineChars="200"/>
        <w:jc w:val="left"/>
        <w:rPr>
          <w:rFonts w:hAnsi="宋体" w:eastAsia="宋体"/>
          <w:color w:val="000000" w:themeColor="text1"/>
          <w:sz w:val="24"/>
          <w:highlight w:val="none"/>
          <w14:textFill>
            <w14:solidFill>
              <w14:schemeClr w14:val="tx1"/>
            </w14:solidFill>
          </w14:textFill>
        </w:rPr>
      </w:pPr>
    </w:p>
    <w:p w14:paraId="56A2F152">
      <w:pPr>
        <w:pStyle w:val="27"/>
        <w:snapToGrid w:val="0"/>
        <w:spacing w:line="360" w:lineRule="auto"/>
        <w:ind w:firstLine="480" w:firstLineChars="200"/>
        <w:jc w:val="left"/>
        <w:rPr>
          <w:rFonts w:hAnsi="宋体" w:eastAsia="宋体"/>
          <w:color w:val="000000" w:themeColor="text1"/>
          <w:sz w:val="24"/>
          <w:highlight w:val="none"/>
          <w14:textFill>
            <w14:solidFill>
              <w14:schemeClr w14:val="tx1"/>
            </w14:solidFill>
          </w14:textFill>
        </w:rPr>
      </w:pPr>
    </w:p>
    <w:p w14:paraId="4410CDC6">
      <w:pPr>
        <w:pStyle w:val="27"/>
        <w:snapToGrid w:val="0"/>
        <w:spacing w:line="360" w:lineRule="auto"/>
        <w:ind w:firstLine="480" w:firstLineChars="200"/>
        <w:jc w:val="left"/>
        <w:rPr>
          <w:rFonts w:hAnsi="宋体" w:eastAsia="宋体"/>
          <w:color w:val="000000" w:themeColor="text1"/>
          <w:sz w:val="24"/>
          <w:highlight w:val="none"/>
          <w14:textFill>
            <w14:solidFill>
              <w14:schemeClr w14:val="tx1"/>
            </w14:solidFill>
          </w14:textFill>
        </w:rPr>
      </w:pPr>
    </w:p>
    <w:p w14:paraId="53B30FDA">
      <w:pPr>
        <w:pStyle w:val="27"/>
        <w:snapToGrid w:val="0"/>
        <w:spacing w:line="360" w:lineRule="auto"/>
        <w:ind w:firstLine="480" w:firstLineChars="200"/>
        <w:jc w:val="left"/>
        <w:rPr>
          <w:rFonts w:hAnsi="宋体" w:eastAsia="宋体"/>
          <w:color w:val="000000" w:themeColor="text1"/>
          <w:sz w:val="24"/>
          <w:szCs w:val="28"/>
          <w:highlight w:val="none"/>
          <w:u w:val="single"/>
          <w14:textFill>
            <w14:solidFill>
              <w14:schemeClr w14:val="tx1"/>
            </w14:solidFill>
          </w14:textFill>
        </w:rPr>
      </w:pPr>
      <w:r>
        <w:rPr>
          <w:rFonts w:hint="eastAsia" w:hAnsi="宋体" w:eastAsia="宋体"/>
          <w:color w:val="000000" w:themeColor="text1"/>
          <w:sz w:val="24"/>
          <w:szCs w:val="28"/>
          <w:highlight w:val="none"/>
          <w14:textFill>
            <w14:solidFill>
              <w14:schemeClr w14:val="tx1"/>
            </w14:solidFill>
          </w14:textFill>
        </w:rPr>
        <w:t>授权代表联系方式：</w:t>
      </w:r>
      <w:r>
        <w:rPr>
          <w:rFonts w:hint="eastAsia" w:hAnsi="宋体" w:eastAsia="宋体"/>
          <w:color w:val="000000" w:themeColor="text1"/>
          <w:sz w:val="24"/>
          <w:szCs w:val="28"/>
          <w:highlight w:val="none"/>
          <w:u w:val="single"/>
          <w14:textFill>
            <w14:solidFill>
              <w14:schemeClr w14:val="tx1"/>
            </w14:solidFill>
          </w14:textFill>
        </w:rPr>
        <w:t xml:space="preserve">          （请填写手机号码）</w:t>
      </w:r>
    </w:p>
    <w:p w14:paraId="1773FFC1">
      <w:pPr>
        <w:pStyle w:val="27"/>
        <w:snapToGrid w:val="0"/>
        <w:spacing w:line="360" w:lineRule="auto"/>
        <w:ind w:firstLine="480" w:firstLineChars="200"/>
        <w:jc w:val="left"/>
        <w:rPr>
          <w:rFonts w:hAnsi="宋体" w:eastAsia="宋体"/>
          <w:color w:val="000000" w:themeColor="text1"/>
          <w:sz w:val="24"/>
          <w:szCs w:val="28"/>
          <w:highlight w:val="none"/>
          <w14:textFill>
            <w14:solidFill>
              <w14:schemeClr w14:val="tx1"/>
            </w14:solidFill>
          </w14:textFill>
        </w:rPr>
      </w:pPr>
    </w:p>
    <w:p w14:paraId="5827559F">
      <w:pPr>
        <w:spacing w:line="360" w:lineRule="auto"/>
        <w:ind w:firstLine="360" w:firstLineChars="150"/>
        <w:rPr>
          <w:color w:val="000000" w:themeColor="text1"/>
          <w:sz w:val="24"/>
          <w:szCs w:val="28"/>
          <w:highlight w:val="none"/>
          <w14:textFill>
            <w14:solidFill>
              <w14:schemeClr w14:val="tx1"/>
            </w14:solidFill>
          </w14:textFill>
        </w:rPr>
      </w:pPr>
      <w:r>
        <w:rPr>
          <w:rFonts w:hint="eastAsia"/>
          <w:color w:val="000000" w:themeColor="text1"/>
          <w:sz w:val="24"/>
          <w:szCs w:val="28"/>
          <w:highlight w:val="none"/>
          <w14:textFill>
            <w14:solidFill>
              <w14:schemeClr w14:val="tx1"/>
            </w14:solidFill>
          </w14:textFill>
        </w:rPr>
        <w:t>特此声明。</w:t>
      </w:r>
    </w:p>
    <w:p w14:paraId="780C8BAD">
      <w:pPr>
        <w:spacing w:line="360" w:lineRule="auto"/>
        <w:rPr>
          <w:color w:val="000000" w:themeColor="text1"/>
          <w:sz w:val="24"/>
          <w:szCs w:val="28"/>
          <w:highlight w:val="none"/>
          <w14:textFill>
            <w14:solidFill>
              <w14:schemeClr w14:val="tx1"/>
            </w14:solidFill>
          </w14:textFill>
        </w:rPr>
      </w:pPr>
    </w:p>
    <w:p w14:paraId="145760AA">
      <w:pPr>
        <w:spacing w:line="360" w:lineRule="auto"/>
        <w:jc w:val="center"/>
        <w:rPr>
          <w:bCs/>
          <w:color w:val="000000" w:themeColor="text1"/>
          <w:sz w:val="24"/>
          <w:szCs w:val="28"/>
          <w:highlight w:val="none"/>
          <w14:textFill>
            <w14:solidFill>
              <w14:schemeClr w14:val="tx1"/>
            </w14:solidFill>
          </w14:textFill>
        </w:rPr>
      </w:pPr>
      <w:r>
        <w:rPr>
          <w:rFonts w:hint="eastAsia"/>
          <w:bCs/>
          <w:color w:val="000000" w:themeColor="text1"/>
          <w:sz w:val="24"/>
          <w:szCs w:val="28"/>
          <w:highlight w:val="none"/>
          <w14:textFill>
            <w14:solidFill>
              <w14:schemeClr w14:val="tx1"/>
            </w14:solidFill>
          </w14:textFill>
        </w:rPr>
        <w:t xml:space="preserve">                    供应商电子签章：</w:t>
      </w:r>
      <w:r>
        <w:rPr>
          <w:rFonts w:hint="eastAsia"/>
          <w:bCs/>
          <w:color w:val="000000" w:themeColor="text1"/>
          <w:sz w:val="24"/>
          <w:szCs w:val="28"/>
          <w:highlight w:val="none"/>
          <w:u w:val="single"/>
          <w14:textFill>
            <w14:solidFill>
              <w14:schemeClr w14:val="tx1"/>
            </w14:solidFill>
          </w14:textFill>
        </w:rPr>
        <w:t xml:space="preserve">                    </w:t>
      </w:r>
    </w:p>
    <w:p w14:paraId="77241420">
      <w:pPr>
        <w:spacing w:line="360" w:lineRule="auto"/>
        <w:rPr>
          <w:color w:val="000000" w:themeColor="text1"/>
          <w:sz w:val="24"/>
          <w:szCs w:val="28"/>
          <w:highlight w:val="none"/>
          <w14:textFill>
            <w14:solidFill>
              <w14:schemeClr w14:val="tx1"/>
            </w14:solidFill>
          </w14:textFill>
        </w:rPr>
      </w:pPr>
      <w:r>
        <w:rPr>
          <w:rFonts w:hint="eastAsia"/>
          <w:color w:val="000000" w:themeColor="text1"/>
          <w:sz w:val="24"/>
          <w:szCs w:val="28"/>
          <w:highlight w:val="none"/>
          <w14:textFill>
            <w14:solidFill>
              <w14:schemeClr w14:val="tx1"/>
            </w14:solidFill>
          </w14:textFill>
        </w:rPr>
        <w:t xml:space="preserve">                                        日          期：</w:t>
      </w:r>
      <w:r>
        <w:rPr>
          <w:rFonts w:hint="eastAsia"/>
          <w:color w:val="000000" w:themeColor="text1"/>
          <w:sz w:val="24"/>
          <w:szCs w:val="28"/>
          <w:highlight w:val="none"/>
          <w:u w:val="single"/>
          <w14:textFill>
            <w14:solidFill>
              <w14:schemeClr w14:val="tx1"/>
            </w14:solidFill>
          </w14:textFill>
        </w:rPr>
        <w:t xml:space="preserve">                    </w:t>
      </w:r>
    </w:p>
    <w:p w14:paraId="3E24FC92">
      <w:pPr>
        <w:spacing w:line="360" w:lineRule="auto"/>
        <w:rPr>
          <w:color w:val="000000" w:themeColor="text1"/>
          <w:sz w:val="24"/>
          <w:szCs w:val="28"/>
          <w:highlight w:val="none"/>
          <w14:textFill>
            <w14:solidFill>
              <w14:schemeClr w14:val="tx1"/>
            </w14:solidFill>
          </w14:textFill>
        </w:rPr>
      </w:pPr>
    </w:p>
    <w:p w14:paraId="2BFA4B13">
      <w:pPr>
        <w:pStyle w:val="27"/>
        <w:snapToGrid w:val="0"/>
        <w:spacing w:line="360" w:lineRule="auto"/>
        <w:jc w:val="left"/>
        <w:rPr>
          <w:rFonts w:hAnsi="宋体" w:eastAsia="宋体"/>
          <w:color w:val="000000" w:themeColor="text1"/>
          <w:sz w:val="24"/>
          <w:szCs w:val="28"/>
          <w:highlight w:val="none"/>
          <w14:textFill>
            <w14:solidFill>
              <w14:schemeClr w14:val="tx1"/>
            </w14:solidFill>
          </w14:textFill>
        </w:rPr>
      </w:pPr>
      <w:r>
        <w:rPr>
          <w:rFonts w:hint="eastAsia" w:hAnsi="宋体" w:eastAsia="宋体"/>
          <w:color w:val="000000" w:themeColor="text1"/>
          <w:sz w:val="24"/>
          <w:szCs w:val="28"/>
          <w:highlight w:val="none"/>
          <w14:textFill>
            <w14:solidFill>
              <w14:schemeClr w14:val="tx1"/>
            </w14:solidFill>
          </w14:textFill>
        </w:rPr>
        <w:t>注：</w:t>
      </w:r>
    </w:p>
    <w:p w14:paraId="3C1EF02B">
      <w:pPr>
        <w:pStyle w:val="27"/>
        <w:snapToGrid w:val="0"/>
        <w:spacing w:line="360" w:lineRule="auto"/>
        <w:jc w:val="left"/>
        <w:rPr>
          <w:rFonts w:hAnsi="宋体" w:eastAsia="宋体"/>
          <w:color w:val="000000" w:themeColor="text1"/>
          <w:sz w:val="24"/>
          <w:szCs w:val="28"/>
          <w:highlight w:val="none"/>
          <w14:textFill>
            <w14:solidFill>
              <w14:schemeClr w14:val="tx1"/>
            </w14:solidFill>
          </w14:textFill>
        </w:rPr>
      </w:pPr>
      <w:r>
        <w:rPr>
          <w:rFonts w:hint="eastAsia" w:hAnsi="宋体" w:eastAsia="宋体"/>
          <w:color w:val="000000" w:themeColor="text1"/>
          <w:sz w:val="24"/>
          <w:szCs w:val="28"/>
          <w:highlight w:val="none"/>
          <w14:textFill>
            <w14:solidFill>
              <w14:schemeClr w14:val="tx1"/>
            </w14:solidFill>
          </w14:textFill>
        </w:rPr>
        <w:t>1.本项目只允许有唯一的供应商授权代表，提供身份证明扫描件；</w:t>
      </w:r>
    </w:p>
    <w:p w14:paraId="09F07A6A">
      <w:pPr>
        <w:spacing w:line="360" w:lineRule="auto"/>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2.法定代表人参加磋商的无需提供授权书，仅提供身份证明扫描件。</w:t>
      </w:r>
    </w:p>
    <w:p w14:paraId="6994F159">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11FBD00E">
      <w:pPr>
        <w:keepNext/>
        <w:keepLines/>
        <w:spacing w:before="260" w:after="260" w:line="416" w:lineRule="auto"/>
        <w:jc w:val="center"/>
        <w:rPr>
          <w:rFonts w:cs="@仿宋_GB2312" w:asciiTheme="minorEastAsia" w:hAnsiTheme="minorEastAsia" w:eastAsiaTheme="minorEastAsia"/>
          <w:b/>
          <w:bCs/>
          <w:color w:val="000000" w:themeColor="text1"/>
          <w:kern w:val="2"/>
          <w:sz w:val="24"/>
          <w:szCs w:val="24"/>
          <w:highlight w:val="none"/>
          <w14:textFill>
            <w14:solidFill>
              <w14:schemeClr w14:val="tx1"/>
            </w14:solidFill>
          </w14:textFill>
        </w:rPr>
      </w:pPr>
      <w:bookmarkStart w:id="697" w:name="_Toc32351"/>
      <w:bookmarkStart w:id="698" w:name="_Toc12223"/>
      <w:r>
        <w:rPr>
          <w:rFonts w:hint="eastAsia" w:cs="@仿宋_GB2312" w:asciiTheme="minorEastAsia" w:hAnsiTheme="minorEastAsia" w:eastAsiaTheme="minorEastAsia"/>
          <w:b/>
          <w:bCs/>
          <w:color w:val="000000" w:themeColor="text1"/>
          <w:kern w:val="2"/>
          <w:sz w:val="24"/>
          <w:szCs w:val="24"/>
          <w:highlight w:val="none"/>
          <w14:textFill>
            <w14:solidFill>
              <w14:schemeClr w14:val="tx1"/>
            </w14:solidFill>
          </w14:textFill>
        </w:rPr>
        <w:t>法定代表人身份证明书</w:t>
      </w:r>
      <w:bookmarkEnd w:id="697"/>
      <w:bookmarkEnd w:id="698"/>
    </w:p>
    <w:p w14:paraId="04697212">
      <w:pPr>
        <w:autoSpaceDE w:val="0"/>
        <w:autoSpaceDN w:val="0"/>
        <w:adjustRightInd w:val="0"/>
        <w:spacing w:line="360" w:lineRule="auto"/>
        <w:jc w:val="center"/>
        <w:rPr>
          <w:rFonts w:ascii="@仿宋_GB2312" w:eastAsia="@仿宋_GB2312" w:cs="宋体"/>
          <w:b/>
          <w:color w:val="000000" w:themeColor="text1"/>
          <w:kern w:val="2"/>
          <w:sz w:val="21"/>
          <w:szCs w:val="24"/>
          <w:highlight w:val="none"/>
          <w:lang w:val="zh-CN"/>
          <w14:textFill>
            <w14:solidFill>
              <w14:schemeClr w14:val="tx1"/>
            </w14:solidFill>
          </w14:textFill>
        </w:rPr>
      </w:pPr>
    </w:p>
    <w:p w14:paraId="5C49CCDE">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单位名称：</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p>
    <w:p w14:paraId="1645408F">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单位性质：</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p>
    <w:p w14:paraId="79CA749A">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地    址：</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p>
    <w:p w14:paraId="66E84329">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成立时间：</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年</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月</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日</w:t>
      </w:r>
    </w:p>
    <w:p w14:paraId="7765689D">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经营期限：</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p>
    <w:p w14:paraId="086B3E62">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姓    名：</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 xml:space="preserve"> 性 </w:t>
      </w:r>
      <w:r>
        <w:rPr>
          <w:rFonts w:ascii="Calibri" w:hAnsi="Calibri" w:cs="Times New Roman"/>
          <w:color w:val="000000" w:themeColor="text1"/>
          <w:kern w:val="2"/>
          <w:sz w:val="24"/>
          <w:szCs w:val="28"/>
          <w:highlight w:val="non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 xml:space="preserve"> 别：</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p>
    <w:p w14:paraId="1544E615">
      <w:pPr>
        <w:snapToGrid w:val="0"/>
        <w:spacing w:line="360" w:lineRule="auto"/>
        <w:ind w:firstLine="480" w:firstLineChars="200"/>
        <w:jc w:val="left"/>
        <w:rPr>
          <w:rFonts w:ascii="Calibri" w:hAnsi="Calibri" w:cs="Times New Roman"/>
          <w:color w:val="000000" w:themeColor="text1"/>
          <w:kern w:val="2"/>
          <w:sz w:val="24"/>
          <w:szCs w:val="28"/>
          <w:highlight w:val="none"/>
          <w:u w:val="singl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年    龄：</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 xml:space="preserve"> 职    务：</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p>
    <w:p w14:paraId="0F3B7B1D">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14:textFill>
            <w14:solidFill>
              <w14:schemeClr w14:val="tx1"/>
            </w14:solidFill>
          </w14:textFill>
        </w:rPr>
        <w:t>联系</w:t>
      </w:r>
      <w:r>
        <w:rPr>
          <w:rFonts w:ascii="Calibri" w:hAnsi="Calibri" w:cs="Times New Roman"/>
          <w:color w:val="000000" w:themeColor="text1"/>
          <w:kern w:val="2"/>
          <w:sz w:val="24"/>
          <w:szCs w:val="28"/>
          <w:highlight w:val="none"/>
          <w14:textFill>
            <w14:solidFill>
              <w14:schemeClr w14:val="tx1"/>
            </w14:solidFill>
          </w14:textFill>
        </w:rPr>
        <w:t>电话</w:t>
      </w:r>
      <w:r>
        <w:rPr>
          <w:rFonts w:hint="eastAsia" w:ascii="Calibri" w:hAnsi="Calibri" w:cs="Times New Roman"/>
          <w:color w:val="000000" w:themeColor="text1"/>
          <w:kern w:val="2"/>
          <w:sz w:val="24"/>
          <w:szCs w:val="28"/>
          <w:highlight w:val="none"/>
          <w14:textFill>
            <w14:solidFill>
              <w14:schemeClr w14:val="tx1"/>
            </w14:solidFill>
          </w14:textFill>
        </w:rPr>
        <w:t>：</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 xml:space="preserve"> 手机号码：</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p>
    <w:p w14:paraId="77EEC5F3">
      <w:pPr>
        <w:snapToGrid w:val="0"/>
        <w:spacing w:line="360" w:lineRule="auto"/>
        <w:ind w:firstLine="480" w:firstLineChars="200"/>
        <w:jc w:val="left"/>
        <w:rPr>
          <w:rFonts w:ascii="Calibri" w:hAnsi="Calibri" w:cs="Times New Roman"/>
          <w:color w:val="000000" w:themeColor="text1"/>
          <w:kern w:val="2"/>
          <w:sz w:val="24"/>
          <w:szCs w:val="28"/>
          <w:highlight w:val="none"/>
          <w14:textFill>
            <w14:solidFill>
              <w14:schemeClr w14:val="tx1"/>
            </w14:solidFill>
          </w14:textFill>
        </w:rPr>
      </w:pP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w:t>
      </w:r>
      <w:r>
        <w:rPr>
          <w:rFonts w:hint="eastAsia" w:ascii="Calibri" w:hAnsi="Calibri" w:cs="Times New Roman"/>
          <w:color w:val="000000" w:themeColor="text1"/>
          <w:kern w:val="2"/>
          <w:sz w:val="24"/>
          <w:szCs w:val="28"/>
          <w:highlight w:val="none"/>
          <w14:textFill>
            <w14:solidFill>
              <w14:schemeClr w14:val="tx1"/>
            </w14:solidFill>
          </w14:textFill>
        </w:rPr>
        <w:t xml:space="preserve">系  </w:t>
      </w:r>
      <w:r>
        <w:rPr>
          <w:rFonts w:hint="eastAsia" w:ascii="Calibri" w:hAnsi="Calibri" w:cs="Times New Roman"/>
          <w:color w:val="000000" w:themeColor="text1"/>
          <w:kern w:val="2"/>
          <w:sz w:val="24"/>
          <w:szCs w:val="28"/>
          <w:highlight w:val="none"/>
          <w:u w:val="single"/>
          <w14:textFill>
            <w14:solidFill>
              <w14:schemeClr w14:val="tx1"/>
            </w14:solidFill>
          </w14:textFill>
        </w:rPr>
        <w:t xml:space="preserve">   （供应商单位名称）       </w:t>
      </w:r>
      <w:r>
        <w:rPr>
          <w:rFonts w:hint="eastAsia" w:ascii="Calibri" w:hAnsi="Calibri" w:cs="Times New Roman"/>
          <w:color w:val="000000" w:themeColor="text1"/>
          <w:kern w:val="2"/>
          <w:sz w:val="24"/>
          <w:szCs w:val="28"/>
          <w:highlight w:val="none"/>
          <w14:textFill>
            <w14:solidFill>
              <w14:schemeClr w14:val="tx1"/>
            </w14:solidFill>
          </w14:textFill>
        </w:rPr>
        <w:t>的法定代表人。</w:t>
      </w:r>
    </w:p>
    <w:p w14:paraId="1E2CE0E2">
      <w:pPr>
        <w:spacing w:before="62" w:beforeLines="20" w:after="62" w:afterLines="20" w:line="540" w:lineRule="exact"/>
        <w:ind w:firstLine="610"/>
        <w:rPr>
          <w:rFonts w:ascii="@仿宋_GB2312" w:hAnsi="Calibri" w:eastAsia="@仿宋_GB2312" w:cs="宋体"/>
          <w:color w:val="000000" w:themeColor="text1"/>
          <w:kern w:val="2"/>
          <w:sz w:val="24"/>
          <w:szCs w:val="24"/>
          <w:highlight w:val="none"/>
          <w14:textFill>
            <w14:solidFill>
              <w14:schemeClr w14:val="tx1"/>
            </w14:solidFill>
          </w14:textFill>
        </w:rPr>
      </w:pPr>
    </w:p>
    <w:p w14:paraId="3ABBFD44">
      <w:pPr>
        <w:spacing w:before="62" w:beforeLines="20" w:after="62" w:afterLines="20" w:line="540" w:lineRule="exact"/>
        <w:ind w:left="400" w:leftChars="200" w:firstLine="240" w:firstLineChars="100"/>
        <w:rPr>
          <w:rFonts w:ascii="Calibri" w:hAnsi="Calibri" w:cs="宋体"/>
          <w:color w:val="000000" w:themeColor="text1"/>
          <w:kern w:val="2"/>
          <w:sz w:val="24"/>
          <w:szCs w:val="24"/>
          <w:highlight w:val="none"/>
          <w14:textFill>
            <w14:solidFill>
              <w14:schemeClr w14:val="tx1"/>
            </w14:solidFill>
          </w14:textFill>
        </w:rPr>
      </w:pPr>
      <w:r>
        <w:rPr>
          <w:rFonts w:hint="eastAsia" w:ascii="Calibri" w:hAnsi="Calibri" w:cs="宋体"/>
          <w:color w:val="000000" w:themeColor="text1"/>
          <w:kern w:val="2"/>
          <w:sz w:val="24"/>
          <w:szCs w:val="24"/>
          <w:highlight w:val="none"/>
          <w14:textFill>
            <w14:solidFill>
              <w14:schemeClr w14:val="tx1"/>
            </w14:solidFill>
          </w14:textFill>
        </w:rPr>
        <w:t>特此证明。</w:t>
      </w:r>
    </w:p>
    <w:p w14:paraId="58EFF843">
      <w:pPr>
        <w:tabs>
          <w:tab w:val="left" w:pos="720"/>
          <w:tab w:val="left" w:pos="900"/>
        </w:tabs>
        <w:spacing w:before="62" w:beforeLines="20" w:after="62" w:afterLines="20" w:line="540" w:lineRule="exact"/>
        <w:ind w:firstLine="480" w:firstLineChars="200"/>
        <w:rPr>
          <w:rFonts w:ascii="Calibri" w:hAnsi="Calibri" w:cs="宋体"/>
          <w:color w:val="000000" w:themeColor="text1"/>
          <w:kern w:val="2"/>
          <w:sz w:val="24"/>
          <w:szCs w:val="24"/>
          <w:highlight w:val="none"/>
          <w14:textFill>
            <w14:solidFill>
              <w14:schemeClr w14:val="tx1"/>
            </w14:solidFill>
          </w14:textFill>
        </w:rPr>
      </w:pPr>
      <w:r>
        <w:rPr>
          <w:rFonts w:hint="eastAsia" w:ascii="Calibri" w:hAnsi="Calibri" w:cs="宋体"/>
          <w:color w:val="000000" w:themeColor="text1"/>
          <w:kern w:val="2"/>
          <w:sz w:val="24"/>
          <w:szCs w:val="24"/>
          <w:highlight w:val="none"/>
          <w14:textFill>
            <w14:solidFill>
              <w14:schemeClr w14:val="tx1"/>
            </w14:solidFill>
          </w14:textFill>
        </w:rPr>
        <w:t>附：法定代表人身份证扫描件</w:t>
      </w:r>
    </w:p>
    <w:p w14:paraId="09140506">
      <w:pPr>
        <w:tabs>
          <w:tab w:val="left" w:pos="720"/>
          <w:tab w:val="left" w:pos="900"/>
        </w:tabs>
        <w:spacing w:before="62" w:beforeLines="20" w:after="62" w:afterLines="20" w:line="540" w:lineRule="exact"/>
        <w:ind w:firstLine="480" w:firstLineChars="200"/>
        <w:rPr>
          <w:rFonts w:ascii="@仿宋_GB2312" w:hAnsi="Calibri" w:eastAsia="@仿宋_GB2312" w:cs="宋体"/>
          <w:color w:val="000000" w:themeColor="text1"/>
          <w:kern w:val="2"/>
          <w:sz w:val="24"/>
          <w:szCs w:val="24"/>
          <w:highlight w:val="none"/>
          <w14:textFill>
            <w14:solidFill>
              <w14:schemeClr w14:val="tx1"/>
            </w14:solidFill>
          </w14:textFill>
        </w:rPr>
      </w:pPr>
    </w:p>
    <w:p w14:paraId="6011731F">
      <w:pPr>
        <w:tabs>
          <w:tab w:val="left" w:pos="720"/>
          <w:tab w:val="left" w:pos="900"/>
        </w:tabs>
        <w:spacing w:before="62" w:beforeLines="20" w:after="62" w:afterLines="20" w:line="540" w:lineRule="exact"/>
        <w:ind w:firstLine="4560" w:firstLineChars="1900"/>
        <w:rPr>
          <w:rFonts w:ascii="@仿宋_GB2312" w:hAnsi="Calibri" w:eastAsia="@仿宋_GB2312" w:cs="宋体"/>
          <w:color w:val="000000" w:themeColor="text1"/>
          <w:kern w:val="2"/>
          <w:sz w:val="24"/>
          <w:szCs w:val="24"/>
          <w:highlight w:val="none"/>
          <w14:textFill>
            <w14:solidFill>
              <w14:schemeClr w14:val="tx1"/>
            </w14:solidFill>
          </w14:textFill>
        </w:rPr>
      </w:pPr>
    </w:p>
    <w:p w14:paraId="187A5218">
      <w:pPr>
        <w:spacing w:line="360" w:lineRule="auto"/>
        <w:ind w:firstLine="3840" w:firstLineChars="16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供应商电子签章：</w:t>
      </w:r>
      <w:r>
        <w:rPr>
          <w:rFonts w:cs="宋体"/>
          <w:color w:val="000000" w:themeColor="text1"/>
          <w:kern w:val="2"/>
          <w:sz w:val="24"/>
          <w:szCs w:val="24"/>
          <w:highlight w:val="none"/>
          <w:u w:val="single"/>
          <w14:textFill>
            <w14:solidFill>
              <w14:schemeClr w14:val="tx1"/>
            </w14:solidFill>
          </w14:textFill>
        </w:rPr>
        <w:t xml:space="preserve">        </w:t>
      </w:r>
      <w:r>
        <w:rPr>
          <w:rFonts w:hint="eastAsia" w:cs="宋体"/>
          <w:color w:val="000000" w:themeColor="text1"/>
          <w:kern w:val="2"/>
          <w:sz w:val="24"/>
          <w:szCs w:val="24"/>
          <w:highlight w:val="none"/>
          <w:u w:val="single"/>
          <w14:textFill>
            <w14:solidFill>
              <w14:schemeClr w14:val="tx1"/>
            </w14:solidFill>
          </w14:textFill>
        </w:rPr>
        <w:t xml:space="preserve">      </w:t>
      </w:r>
      <w:r>
        <w:rPr>
          <w:rFonts w:cs="宋体"/>
          <w:color w:val="000000" w:themeColor="text1"/>
          <w:kern w:val="2"/>
          <w:sz w:val="24"/>
          <w:szCs w:val="24"/>
          <w:highlight w:val="none"/>
          <w:u w:val="single"/>
          <w14:textFill>
            <w14:solidFill>
              <w14:schemeClr w14:val="tx1"/>
            </w14:solidFill>
          </w14:textFill>
        </w:rPr>
        <w:t xml:space="preserve">       </w:t>
      </w:r>
    </w:p>
    <w:p w14:paraId="27AC106D">
      <w:pPr>
        <w:spacing w:line="360" w:lineRule="auto"/>
        <w:ind w:firstLine="3840" w:firstLineChars="16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日</w:t>
      </w:r>
      <w:r>
        <w:rPr>
          <w:rFonts w:cs="宋体"/>
          <w:color w:val="000000" w:themeColor="text1"/>
          <w:kern w:val="2"/>
          <w:sz w:val="24"/>
          <w:szCs w:val="24"/>
          <w:highlight w:val="none"/>
          <w14:textFill>
            <w14:solidFill>
              <w14:schemeClr w14:val="tx1"/>
            </w14:solidFill>
          </w14:textFill>
        </w:rPr>
        <w:t xml:space="preserve">   </w:t>
      </w:r>
      <w:r>
        <w:rPr>
          <w:rFonts w:hint="eastAsia" w:cs="宋体"/>
          <w:color w:val="000000" w:themeColor="text1"/>
          <w:kern w:val="2"/>
          <w:sz w:val="24"/>
          <w:szCs w:val="24"/>
          <w:highlight w:val="none"/>
          <w14:textFill>
            <w14:solidFill>
              <w14:schemeClr w14:val="tx1"/>
            </w14:solidFill>
          </w14:textFill>
        </w:rPr>
        <w:t xml:space="preserve">    </w:t>
      </w:r>
      <w:r>
        <w:rPr>
          <w:rFonts w:cs="宋体"/>
          <w:color w:val="000000" w:themeColor="text1"/>
          <w:kern w:val="2"/>
          <w:sz w:val="24"/>
          <w:szCs w:val="24"/>
          <w:highlight w:val="none"/>
          <w14:textFill>
            <w14:solidFill>
              <w14:schemeClr w14:val="tx1"/>
            </w14:solidFill>
          </w14:textFill>
        </w:rPr>
        <w:t xml:space="preserve">   </w:t>
      </w:r>
      <w:r>
        <w:rPr>
          <w:rFonts w:hint="eastAsia" w:cs="宋体"/>
          <w:color w:val="000000" w:themeColor="text1"/>
          <w:kern w:val="2"/>
          <w:sz w:val="24"/>
          <w:szCs w:val="24"/>
          <w:highlight w:val="none"/>
          <w14:textFill>
            <w14:solidFill>
              <w14:schemeClr w14:val="tx1"/>
            </w14:solidFill>
          </w14:textFill>
        </w:rPr>
        <w:t>期：</w:t>
      </w:r>
      <w:r>
        <w:rPr>
          <w:rFonts w:cs="宋体"/>
          <w:color w:val="000000" w:themeColor="text1"/>
          <w:kern w:val="2"/>
          <w:sz w:val="24"/>
          <w:szCs w:val="24"/>
          <w:highlight w:val="none"/>
          <w:u w:val="single"/>
          <w14:textFill>
            <w14:solidFill>
              <w14:schemeClr w14:val="tx1"/>
            </w14:solidFill>
          </w14:textFill>
        </w:rPr>
        <w:t xml:space="preserve">           </w:t>
      </w:r>
      <w:r>
        <w:rPr>
          <w:rFonts w:hint="eastAsia" w:cs="宋体"/>
          <w:color w:val="000000" w:themeColor="text1"/>
          <w:kern w:val="2"/>
          <w:sz w:val="24"/>
          <w:szCs w:val="24"/>
          <w:highlight w:val="none"/>
          <w:u w:val="single"/>
          <w14:textFill>
            <w14:solidFill>
              <w14:schemeClr w14:val="tx1"/>
            </w14:solidFill>
          </w14:textFill>
        </w:rPr>
        <w:t xml:space="preserve"> </w:t>
      </w:r>
      <w:r>
        <w:rPr>
          <w:rFonts w:cs="宋体"/>
          <w:color w:val="000000" w:themeColor="text1"/>
          <w:kern w:val="2"/>
          <w:sz w:val="24"/>
          <w:szCs w:val="24"/>
          <w:highlight w:val="none"/>
          <w:u w:val="single"/>
          <w14:textFill>
            <w14:solidFill>
              <w14:schemeClr w14:val="tx1"/>
            </w14:solidFill>
          </w14:textFill>
        </w:rPr>
        <w:t xml:space="preserve">    </w:t>
      </w:r>
      <w:r>
        <w:rPr>
          <w:rFonts w:hint="eastAsia" w:cs="宋体"/>
          <w:color w:val="000000" w:themeColor="text1"/>
          <w:kern w:val="2"/>
          <w:sz w:val="24"/>
          <w:szCs w:val="24"/>
          <w:highlight w:val="none"/>
          <w:u w:val="single"/>
          <w14:textFill>
            <w14:solidFill>
              <w14:schemeClr w14:val="tx1"/>
            </w14:solidFill>
          </w14:textFill>
        </w:rPr>
        <w:t xml:space="preserve">  </w:t>
      </w:r>
      <w:r>
        <w:rPr>
          <w:rFonts w:cs="宋体"/>
          <w:color w:val="000000" w:themeColor="text1"/>
          <w:kern w:val="2"/>
          <w:sz w:val="24"/>
          <w:szCs w:val="24"/>
          <w:highlight w:val="none"/>
          <w:u w:val="single"/>
          <w14:textFill>
            <w14:solidFill>
              <w14:schemeClr w14:val="tx1"/>
            </w14:solidFill>
          </w14:textFill>
        </w:rPr>
        <w:t xml:space="preserve">   </w:t>
      </w:r>
    </w:p>
    <w:p w14:paraId="0EFEF7CC">
      <w:pPr>
        <w:widowControl/>
        <w:jc w:val="left"/>
        <w:rPr>
          <w:rFonts w:cs="@仿宋_GB2312" w:asciiTheme="minorEastAsia" w:hAnsiTheme="minorEastAsia" w:eastAsiaTheme="minorEastAsia"/>
          <w:b/>
          <w:bCs/>
          <w:color w:val="000000" w:themeColor="text1"/>
          <w:kern w:val="2"/>
          <w:sz w:val="24"/>
          <w:szCs w:val="24"/>
          <w:highlight w:val="none"/>
          <w14:textFill>
            <w14:solidFill>
              <w14:schemeClr w14:val="tx1"/>
            </w14:solidFill>
          </w14:textFill>
        </w:rPr>
      </w:pPr>
      <w:r>
        <w:rPr>
          <w:rFonts w:cs="@仿宋_GB2312" w:asciiTheme="minorEastAsia" w:hAnsiTheme="minorEastAsia" w:eastAsiaTheme="minorEastAsia"/>
          <w:color w:val="000000" w:themeColor="text1"/>
          <w:kern w:val="2"/>
          <w:sz w:val="24"/>
          <w:szCs w:val="24"/>
          <w:highlight w:val="none"/>
          <w14:textFill>
            <w14:solidFill>
              <w14:schemeClr w14:val="tx1"/>
            </w14:solidFill>
          </w14:textFill>
        </w:rPr>
        <w:br w:type="page"/>
      </w:r>
    </w:p>
    <w:p w14:paraId="66750A8C">
      <w:pPr>
        <w:keepNext/>
        <w:keepLines/>
        <w:spacing w:before="260" w:after="260" w:line="416" w:lineRule="auto"/>
        <w:jc w:val="center"/>
        <w:outlineLvl w:val="1"/>
        <w:rPr>
          <w:rFonts w:cs="@仿宋_GB2312" w:asciiTheme="minorEastAsia" w:hAnsiTheme="minorEastAsia" w:eastAsiaTheme="minorEastAsia"/>
          <w:b/>
          <w:bCs/>
          <w:color w:val="000000" w:themeColor="text1"/>
          <w:kern w:val="2"/>
          <w:sz w:val="24"/>
          <w:szCs w:val="24"/>
          <w:highlight w:val="none"/>
          <w14:textFill>
            <w14:solidFill>
              <w14:schemeClr w14:val="tx1"/>
            </w14:solidFill>
          </w14:textFill>
        </w:rPr>
      </w:pPr>
      <w:bookmarkStart w:id="699" w:name="_Toc4373"/>
      <w:bookmarkStart w:id="700" w:name="_Toc20099"/>
      <w:r>
        <w:rPr>
          <w:rFonts w:hint="eastAsia" w:cs="@仿宋_GB2312" w:asciiTheme="minorEastAsia" w:hAnsiTheme="minorEastAsia" w:eastAsiaTheme="minorEastAsia"/>
          <w:b/>
          <w:bCs/>
          <w:color w:val="000000" w:themeColor="text1"/>
          <w:kern w:val="2"/>
          <w:sz w:val="24"/>
          <w:szCs w:val="24"/>
          <w:highlight w:val="none"/>
          <w14:textFill>
            <w14:solidFill>
              <w14:schemeClr w14:val="tx1"/>
            </w14:solidFill>
          </w14:textFill>
        </w:rPr>
        <w:t>六、项目经理承诺书</w:t>
      </w:r>
      <w:bookmarkEnd w:id="699"/>
      <w:bookmarkEnd w:id="700"/>
    </w:p>
    <w:p w14:paraId="33229AF7">
      <w:pPr>
        <w:spacing w:line="360" w:lineRule="auto"/>
        <w:rPr>
          <w:rFonts w:hint="default" w:cs="宋体" w:asciiTheme="minorEastAsia" w:hAnsiTheme="minorEastAsia" w:eastAsiaTheme="minorEastAsia"/>
          <w:color w:val="000000" w:themeColor="text1"/>
          <w:kern w:val="2"/>
          <w:sz w:val="24"/>
          <w:szCs w:val="24"/>
          <w:highlight w:val="none"/>
          <w:lang w:val="en-US" w:eastAsia="zh-CN"/>
          <w14:textFill>
            <w14:solidFill>
              <w14:schemeClr w14:val="tx1"/>
            </w14:solidFill>
          </w14:textFill>
        </w:rPr>
      </w:pPr>
      <w:r>
        <w:rPr>
          <w:rFonts w:hint="eastAsia" w:cs="宋体" w:asciiTheme="minorEastAsia" w:hAnsiTheme="minorEastAsia" w:eastAsiaTheme="minorEastAsia"/>
          <w:b/>
          <w:color w:val="000000" w:themeColor="text1"/>
          <w:kern w:val="2"/>
          <w:sz w:val="24"/>
          <w:szCs w:val="24"/>
          <w:highlight w:val="none"/>
          <w14:textFill>
            <w14:solidFill>
              <w14:schemeClr w14:val="tx1"/>
            </w14:solidFill>
          </w14:textFill>
        </w:rPr>
        <w:t>致：</w:t>
      </w:r>
      <w:r>
        <w:rPr>
          <w:rFonts w:hint="eastAsia" w:cs="宋体" w:asciiTheme="minorEastAsia" w:hAnsiTheme="minorEastAsia" w:eastAsiaTheme="minorEastAsia"/>
          <w:b/>
          <w:color w:val="000000" w:themeColor="text1"/>
          <w:kern w:val="2"/>
          <w:sz w:val="24"/>
          <w:szCs w:val="24"/>
          <w:highlight w:val="none"/>
          <w:u w:val="single"/>
          <w:lang w:val="en-US" w:eastAsia="zh-CN"/>
          <w14:textFill>
            <w14:solidFill>
              <w14:schemeClr w14:val="tx1"/>
            </w14:solidFill>
          </w14:textFill>
        </w:rPr>
        <w:t xml:space="preserve">              </w:t>
      </w:r>
      <w:r>
        <w:rPr>
          <w:rFonts w:hint="eastAsia" w:cs="宋体" w:asciiTheme="minorEastAsia" w:hAnsiTheme="minorEastAsia" w:eastAsiaTheme="minorEastAsia"/>
          <w:b/>
          <w:color w:val="000000" w:themeColor="text1"/>
          <w:kern w:val="2"/>
          <w:sz w:val="24"/>
          <w:szCs w:val="24"/>
          <w:highlight w:val="none"/>
          <w:lang w:val="en-US" w:eastAsia="zh-CN"/>
          <w14:textFill>
            <w14:solidFill>
              <w14:schemeClr w14:val="tx1"/>
            </w14:solidFill>
          </w14:textFill>
        </w:rPr>
        <w:t xml:space="preserve"> </w:t>
      </w:r>
    </w:p>
    <w:p w14:paraId="519FC41B">
      <w:pPr>
        <w:spacing w:line="360" w:lineRule="auto"/>
        <w:ind w:firstLine="480" w:firstLineChars="2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本人作为我单位在本项目磋商担任的项目经理，郑重承诺：</w:t>
      </w:r>
    </w:p>
    <w:p w14:paraId="7933197F">
      <w:pPr>
        <w:spacing w:line="360" w:lineRule="auto"/>
        <w:ind w:firstLine="480" w:firstLineChars="2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一、本项目提供的项目经理业绩已经本人核实，工程实施过程中项目经理确为本人，合同（或竣工相关资料证明）的本人签字均为该工程实施时段所签，真实无误，不存在虚假和挂靠现象，也不存在为磋商而造假的行为。</w:t>
      </w:r>
    </w:p>
    <w:p w14:paraId="3866073C">
      <w:pPr>
        <w:spacing w:line="360" w:lineRule="auto"/>
        <w:ind w:firstLine="480" w:firstLineChars="2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二、本人承诺，一旦成交，将严格按照磋商文件规定履约。</w:t>
      </w:r>
    </w:p>
    <w:p w14:paraId="3D306A6E">
      <w:pPr>
        <w:spacing w:line="360" w:lineRule="auto"/>
        <w:ind w:firstLine="480" w:firstLineChars="2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三、本人声明，对以上承诺，一旦发现虚假现象，本人愿意承担相应法律责任，并随时无条件配合监管部门调查取证。</w:t>
      </w:r>
    </w:p>
    <w:p w14:paraId="056FCB71">
      <w:pPr>
        <w:spacing w:line="360" w:lineRule="auto"/>
        <w:ind w:firstLine="480" w:firstLineChars="20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四、</w:t>
      </w:r>
      <w:r>
        <w:rPr>
          <w:rFonts w:hint="eastAsia" w:cs="宋体"/>
          <w:b/>
          <w:bCs/>
          <w:color w:val="000000" w:themeColor="text1"/>
          <w:kern w:val="2"/>
          <w:sz w:val="24"/>
          <w:szCs w:val="24"/>
          <w:highlight w:val="none"/>
          <w14:textFill>
            <w14:solidFill>
              <w14:schemeClr w14:val="tx1"/>
            </w14:solidFill>
          </w14:textFill>
        </w:rPr>
        <w:t>本人声明与我单位具有劳动合同关系、且已依法缴纳社会保险</w:t>
      </w:r>
    </w:p>
    <w:p w14:paraId="2CDC5A7C">
      <w:pPr>
        <w:spacing w:line="360" w:lineRule="auto"/>
        <w:ind w:firstLine="480" w:firstLineChars="200"/>
        <w:rPr>
          <w:rFonts w:cs="宋体"/>
          <w:color w:val="000000" w:themeColor="text1"/>
          <w:kern w:val="2"/>
          <w:sz w:val="24"/>
          <w:szCs w:val="24"/>
          <w:highlight w:val="none"/>
          <w14:textFill>
            <w14:solidFill>
              <w14:schemeClr w14:val="tx1"/>
            </w14:solidFill>
          </w14:textFill>
        </w:rPr>
      </w:pPr>
    </w:p>
    <w:p w14:paraId="1C8815E0">
      <w:pPr>
        <w:spacing w:line="360" w:lineRule="auto"/>
        <w:ind w:firstLine="4200" w:firstLineChars="175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项目经理签字：</w:t>
      </w:r>
      <w:r>
        <w:rPr>
          <w:rFonts w:hint="eastAsia" w:cs="宋体"/>
          <w:color w:val="000000" w:themeColor="text1"/>
          <w:kern w:val="2"/>
          <w:sz w:val="24"/>
          <w:szCs w:val="24"/>
          <w:highlight w:val="none"/>
          <w:u w:val="single"/>
          <w14:textFill>
            <w14:solidFill>
              <w14:schemeClr w14:val="tx1"/>
            </w14:solidFill>
          </w14:textFill>
        </w:rPr>
        <w:t xml:space="preserve">                   </w:t>
      </w:r>
    </w:p>
    <w:p w14:paraId="2BBBE926">
      <w:pPr>
        <w:spacing w:line="360" w:lineRule="auto"/>
        <w:ind w:firstLine="4200" w:firstLineChars="175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身份证号：</w:t>
      </w:r>
      <w:r>
        <w:rPr>
          <w:rFonts w:hint="eastAsia" w:cs="宋体"/>
          <w:color w:val="000000" w:themeColor="text1"/>
          <w:kern w:val="2"/>
          <w:sz w:val="24"/>
          <w:szCs w:val="24"/>
          <w:highlight w:val="none"/>
          <w:u w:val="single"/>
          <w14:textFill>
            <w14:solidFill>
              <w14:schemeClr w14:val="tx1"/>
            </w14:solidFill>
          </w14:textFill>
        </w:rPr>
        <w:t xml:space="preserve">                       </w:t>
      </w:r>
    </w:p>
    <w:p w14:paraId="62EC282D">
      <w:pPr>
        <w:spacing w:line="360" w:lineRule="auto"/>
        <w:ind w:firstLine="4200" w:firstLineChars="1750"/>
        <w:rPr>
          <w:rFonts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日    期：</w:t>
      </w:r>
      <w:r>
        <w:rPr>
          <w:rFonts w:hint="eastAsia" w:cs="宋体"/>
          <w:color w:val="000000" w:themeColor="text1"/>
          <w:kern w:val="2"/>
          <w:sz w:val="24"/>
          <w:szCs w:val="24"/>
          <w:highlight w:val="none"/>
          <w:u w:val="single"/>
          <w14:textFill>
            <w14:solidFill>
              <w14:schemeClr w14:val="tx1"/>
            </w14:solidFill>
          </w14:textFill>
        </w:rPr>
        <w:t xml:space="preserve"> </w:t>
      </w:r>
      <w:r>
        <w:rPr>
          <w:rFonts w:cs="宋体"/>
          <w:color w:val="000000" w:themeColor="text1"/>
          <w:kern w:val="2"/>
          <w:sz w:val="24"/>
          <w:szCs w:val="24"/>
          <w:highlight w:val="none"/>
          <w:u w:val="single"/>
          <w14:textFill>
            <w14:solidFill>
              <w14:schemeClr w14:val="tx1"/>
            </w14:solidFill>
          </w14:textFill>
        </w:rPr>
        <w:t xml:space="preserve"> </w:t>
      </w:r>
      <w:r>
        <w:rPr>
          <w:rFonts w:hint="eastAsia" w:cs="宋体"/>
          <w:color w:val="000000" w:themeColor="text1"/>
          <w:kern w:val="2"/>
          <w:sz w:val="24"/>
          <w:szCs w:val="24"/>
          <w:highlight w:val="none"/>
          <w:u w:val="single"/>
          <w14:textFill>
            <w14:solidFill>
              <w14:schemeClr w14:val="tx1"/>
            </w14:solidFill>
          </w14:textFill>
        </w:rPr>
        <w:t xml:space="preserve">                     </w:t>
      </w:r>
    </w:p>
    <w:p w14:paraId="18CE2A3B">
      <w:pPr>
        <w:spacing w:line="360" w:lineRule="auto"/>
        <w:ind w:firstLine="480" w:firstLineChars="200"/>
        <w:rPr>
          <w:rFonts w:cs="宋体"/>
          <w:color w:val="000000" w:themeColor="text1"/>
          <w:kern w:val="2"/>
          <w:sz w:val="24"/>
          <w:szCs w:val="24"/>
          <w:highlight w:val="none"/>
          <w14:textFill>
            <w14:solidFill>
              <w14:schemeClr w14:val="tx1"/>
            </w14:solidFill>
          </w14:textFill>
        </w:rPr>
      </w:pPr>
    </w:p>
    <w:p w14:paraId="3836D1C8">
      <w:pPr>
        <w:spacing w:line="360" w:lineRule="auto"/>
        <w:ind w:firstLine="480" w:firstLineChars="200"/>
        <w:rPr>
          <w:rFonts w:cs="宋体" w:asciiTheme="minorEastAsia" w:hAnsiTheme="minorEastAsia" w:eastAsiaTheme="minorEastAsia"/>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注：本页后附项目经理身份证明扫描件。</w:t>
      </w:r>
    </w:p>
    <w:p w14:paraId="2A1AAFE9">
      <w:pPr>
        <w:autoSpaceDE w:val="0"/>
        <w:autoSpaceDN w:val="0"/>
        <w:adjustRightInd w:val="0"/>
        <w:spacing w:line="360" w:lineRule="auto"/>
        <w:jc w:val="center"/>
        <w:rPr>
          <w:rFonts w:ascii="@仿宋_GB2312" w:eastAsia="@仿宋_GB2312" w:cs="宋体"/>
          <w:color w:val="000000" w:themeColor="text1"/>
          <w:kern w:val="2"/>
          <w:sz w:val="24"/>
          <w:szCs w:val="24"/>
          <w:highlight w:val="none"/>
          <w:lang w:val="zh-CN"/>
          <w14:textFill>
            <w14:solidFill>
              <w14:schemeClr w14:val="tx1"/>
            </w14:solidFill>
          </w14:textFill>
        </w:rPr>
      </w:pPr>
      <w:bookmarkStart w:id="701" w:name="_Toc438648628"/>
      <w:r>
        <w:rPr>
          <w:rFonts w:hint="eastAsia" w:ascii="@仿宋_GB2312" w:eastAsia="@仿宋_GB2312" w:cs="宋体"/>
          <w:b/>
          <w:color w:val="000000" w:themeColor="text1"/>
          <w:kern w:val="2"/>
          <w:sz w:val="24"/>
          <w:szCs w:val="24"/>
          <w:highlight w:val="none"/>
          <w14:textFill>
            <w14:solidFill>
              <w14:schemeClr w14:val="tx1"/>
            </w14:solidFill>
          </w14:textFill>
        </w:rPr>
        <w:br w:type="page"/>
      </w:r>
      <w:bookmarkEnd w:id="701"/>
    </w:p>
    <w:p w14:paraId="5CDB57B5">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702" w:name="_Toc31589"/>
      <w:bookmarkStart w:id="703" w:name="_Toc28359"/>
      <w:r>
        <w:rPr>
          <w:rFonts w:hint="eastAsia" w:asciiTheme="minorEastAsia" w:hAnsiTheme="minorEastAsia" w:eastAsiaTheme="minorEastAsia"/>
          <w:b/>
          <w:color w:val="000000" w:themeColor="text1"/>
          <w:sz w:val="24"/>
          <w:highlight w:val="none"/>
          <w14:textFill>
            <w14:solidFill>
              <w14:schemeClr w14:val="tx1"/>
            </w14:solidFill>
          </w14:textFill>
        </w:rPr>
        <w:t>七、中小企业声明函</w:t>
      </w:r>
      <w:bookmarkEnd w:id="702"/>
      <w:bookmarkEnd w:id="703"/>
    </w:p>
    <w:p w14:paraId="65C0A154">
      <w:pPr>
        <w:spacing w:line="360" w:lineRule="auto"/>
        <w:ind w:firstLine="435"/>
        <w:rPr>
          <w:rFonts w:cs="@仿宋_GB2312"/>
          <w:color w:val="000000" w:themeColor="text1"/>
          <w:kern w:val="2"/>
          <w:sz w:val="24"/>
          <w:szCs w:val="24"/>
          <w:highlight w:val="none"/>
          <w:lang w:val="zh-CN"/>
          <w14:textFill>
            <w14:solidFill>
              <w14:schemeClr w14:val="tx1"/>
            </w14:solidFill>
          </w14:textFill>
        </w:rPr>
      </w:pPr>
      <w:r>
        <w:rPr>
          <w:rFonts w:hint="eastAsia" w:cs="@仿宋_GB2312"/>
          <w:color w:val="000000" w:themeColor="text1"/>
          <w:kern w:val="2"/>
          <w:sz w:val="24"/>
          <w:szCs w:val="24"/>
          <w:highlight w:val="none"/>
          <w:lang w:val="zh-CN"/>
          <w14:textFill>
            <w14:solidFill>
              <w14:schemeClr w14:val="tx1"/>
            </w14:solidFill>
          </w14:textFill>
        </w:rPr>
        <w:t>本公司（联合体）郑重声明，根据《政府采购促进中小企业发展管理办法》（财库﹝2020﹞46号）的规定，本公司（联合体）参加</w:t>
      </w:r>
      <w:r>
        <w:rPr>
          <w:rFonts w:hint="eastAsia" w:cs="@仿宋_GB2312"/>
          <w:color w:val="000000" w:themeColor="text1"/>
          <w:kern w:val="2"/>
          <w:sz w:val="24"/>
          <w:szCs w:val="24"/>
          <w:highlight w:val="none"/>
          <w:u w:val="single"/>
          <w:lang w:val="zh-CN"/>
          <w14:textFill>
            <w14:solidFill>
              <w14:schemeClr w14:val="tx1"/>
            </w14:solidFill>
          </w14:textFill>
        </w:rPr>
        <w:t>（单位</w:t>
      </w:r>
      <w:r>
        <w:rPr>
          <w:rFonts w:hint="eastAsia" w:cs="@仿宋_GB2312"/>
          <w:color w:val="000000" w:themeColor="text1"/>
          <w:kern w:val="2"/>
          <w:sz w:val="24"/>
          <w:szCs w:val="24"/>
          <w:highlight w:val="none"/>
          <w:u w:val="single"/>
          <w14:textFill>
            <w14:solidFill>
              <w14:schemeClr w14:val="tx1"/>
            </w14:solidFill>
          </w14:textFill>
        </w:rPr>
        <w:t>名称</w:t>
      </w:r>
      <w:r>
        <w:rPr>
          <w:rFonts w:hint="eastAsia" w:cs="@仿宋_GB2312"/>
          <w:color w:val="000000" w:themeColor="text1"/>
          <w:kern w:val="2"/>
          <w:sz w:val="24"/>
          <w:szCs w:val="24"/>
          <w:highlight w:val="none"/>
          <w:u w:val="single"/>
          <w:lang w:val="zh-CN"/>
          <w14:textFill>
            <w14:solidFill>
              <w14:schemeClr w14:val="tx1"/>
            </w14:solidFill>
          </w14:textFill>
        </w:rPr>
        <w:t>）</w:t>
      </w:r>
      <w:r>
        <w:rPr>
          <w:rFonts w:hint="eastAsia" w:cs="@仿宋_GB2312"/>
          <w:color w:val="000000" w:themeColor="text1"/>
          <w:kern w:val="2"/>
          <w:sz w:val="24"/>
          <w:szCs w:val="24"/>
          <w:highlight w:val="none"/>
          <w:lang w:val="zh-CN"/>
          <w14:textFill>
            <w14:solidFill>
              <w14:schemeClr w14:val="tx1"/>
            </w14:solidFill>
          </w14:textFill>
        </w:rPr>
        <w:t>的</w:t>
      </w:r>
      <w:r>
        <w:rPr>
          <w:rFonts w:hint="eastAsia" w:cs="@仿宋_GB2312"/>
          <w:color w:val="000000" w:themeColor="text1"/>
          <w:kern w:val="2"/>
          <w:sz w:val="24"/>
          <w:szCs w:val="24"/>
          <w:highlight w:val="none"/>
          <w:u w:val="single"/>
          <w:lang w:val="zh-CN"/>
          <w14:textFill>
            <w14:solidFill>
              <w14:schemeClr w14:val="tx1"/>
            </w14:solidFill>
          </w14:textFill>
        </w:rPr>
        <w:t>（项目</w:t>
      </w:r>
      <w:r>
        <w:rPr>
          <w:rFonts w:hint="eastAsia" w:cs="@仿宋_GB2312"/>
          <w:color w:val="000000" w:themeColor="text1"/>
          <w:kern w:val="2"/>
          <w:sz w:val="24"/>
          <w:szCs w:val="24"/>
          <w:highlight w:val="none"/>
          <w:u w:val="single"/>
          <w14:textFill>
            <w14:solidFill>
              <w14:schemeClr w14:val="tx1"/>
            </w14:solidFill>
          </w14:textFill>
        </w:rPr>
        <w:t>名称</w:t>
      </w:r>
      <w:r>
        <w:rPr>
          <w:rFonts w:hint="eastAsia" w:cs="@仿宋_GB2312"/>
          <w:color w:val="000000" w:themeColor="text1"/>
          <w:kern w:val="2"/>
          <w:sz w:val="24"/>
          <w:szCs w:val="24"/>
          <w:highlight w:val="none"/>
          <w:u w:val="single"/>
          <w:lang w:val="zh-CN"/>
          <w14:textFill>
            <w14:solidFill>
              <w14:schemeClr w14:val="tx1"/>
            </w14:solidFill>
          </w14:textFill>
        </w:rPr>
        <w:t>）</w:t>
      </w:r>
      <w:r>
        <w:rPr>
          <w:rFonts w:hint="eastAsia" w:cs="@仿宋_GB2312"/>
          <w:color w:val="000000" w:themeColor="text1"/>
          <w:kern w:val="2"/>
          <w:sz w:val="24"/>
          <w:szCs w:val="24"/>
          <w:highlight w:val="none"/>
          <w:lang w:val="zh-CN"/>
          <w14:textFill>
            <w14:solidFill>
              <w14:schemeClr w14:val="tx1"/>
            </w14:solidFill>
          </w14:textFill>
        </w:rPr>
        <w:t xml:space="preserve">采购活动，工程的施工单位全部为符合政策要求的中小企业。相关企业（含联合体中的中小企业、签订分包意向协议的中小企业）的具体情况如下： </w:t>
      </w:r>
    </w:p>
    <w:p w14:paraId="29FA06E8">
      <w:pPr>
        <w:spacing w:line="360" w:lineRule="auto"/>
        <w:ind w:firstLine="435"/>
        <w:rPr>
          <w:rFonts w:cs="@仿宋_GB2312"/>
          <w:color w:val="000000" w:themeColor="text1"/>
          <w:kern w:val="2"/>
          <w:sz w:val="24"/>
          <w:szCs w:val="24"/>
          <w:highlight w:val="none"/>
          <w:lang w:val="zh-CN"/>
          <w14:textFill>
            <w14:solidFill>
              <w14:schemeClr w14:val="tx1"/>
            </w14:solidFill>
          </w14:textFill>
        </w:rPr>
      </w:pPr>
      <w:r>
        <w:rPr>
          <w:rFonts w:hint="eastAsia" w:cs="@仿宋_GB2312"/>
          <w:color w:val="000000" w:themeColor="text1"/>
          <w:kern w:val="2"/>
          <w:sz w:val="24"/>
          <w:szCs w:val="24"/>
          <w:highlight w:val="none"/>
          <w:u w:val="single"/>
          <w:lang w:val="zh-CN"/>
          <w14:textFill>
            <w14:solidFill>
              <w14:schemeClr w14:val="tx1"/>
            </w14:solidFill>
          </w14:textFill>
        </w:rPr>
        <w:t xml:space="preserve">（标的名称） </w:t>
      </w:r>
      <w:r>
        <w:rPr>
          <w:rFonts w:hint="eastAsia" w:cs="@仿宋_GB2312"/>
          <w:color w:val="000000" w:themeColor="text1"/>
          <w:kern w:val="2"/>
          <w:sz w:val="24"/>
          <w:szCs w:val="24"/>
          <w:highlight w:val="none"/>
          <w:lang w:val="zh-CN"/>
          <w14:textFill>
            <w14:solidFill>
              <w14:schemeClr w14:val="tx1"/>
            </w14:solidFill>
          </w14:textFill>
        </w:rPr>
        <w:t>，属于</w:t>
      </w:r>
      <w:r>
        <w:rPr>
          <w:rFonts w:hint="eastAsia" w:cs="@仿宋_GB2312"/>
          <w:color w:val="000000" w:themeColor="text1"/>
          <w:kern w:val="2"/>
          <w:sz w:val="24"/>
          <w:szCs w:val="24"/>
          <w:highlight w:val="none"/>
          <w:u w:val="single"/>
          <w:lang w:val="zh-CN"/>
          <w14:textFill>
            <w14:solidFill>
              <w14:schemeClr w14:val="tx1"/>
            </w14:solidFill>
          </w14:textFill>
        </w:rPr>
        <w:t>（采购文件中明确的所属行业）</w:t>
      </w:r>
      <w:r>
        <w:rPr>
          <w:rFonts w:hint="eastAsia" w:cs="@仿宋_GB2312"/>
          <w:color w:val="000000" w:themeColor="text1"/>
          <w:kern w:val="2"/>
          <w:sz w:val="24"/>
          <w:szCs w:val="24"/>
          <w:highlight w:val="none"/>
          <w:lang w:val="zh-CN"/>
          <w14:textFill>
            <w14:solidFill>
              <w14:schemeClr w14:val="tx1"/>
            </w14:solidFill>
          </w14:textFill>
        </w:rPr>
        <w:t>行业；承建企业为</w:t>
      </w:r>
      <w:r>
        <w:rPr>
          <w:rFonts w:hint="eastAsia" w:cs="@仿宋_GB2312"/>
          <w:color w:val="000000" w:themeColor="text1"/>
          <w:kern w:val="2"/>
          <w:sz w:val="24"/>
          <w:szCs w:val="24"/>
          <w:highlight w:val="none"/>
          <w:u w:val="single"/>
          <w:lang w:val="zh-CN"/>
          <w14:textFill>
            <w14:solidFill>
              <w14:schemeClr w14:val="tx1"/>
            </w14:solidFill>
          </w14:textFill>
        </w:rPr>
        <w:t>（企业名称）</w:t>
      </w:r>
      <w:r>
        <w:rPr>
          <w:rFonts w:hint="eastAsia" w:cs="@仿宋_GB2312"/>
          <w:color w:val="000000" w:themeColor="text1"/>
          <w:kern w:val="2"/>
          <w:sz w:val="24"/>
          <w:szCs w:val="24"/>
          <w:highlight w:val="none"/>
          <w:lang w:val="zh-CN"/>
          <w14:textFill>
            <w14:solidFill>
              <w14:schemeClr w14:val="tx1"/>
            </w14:solidFill>
          </w14:textFill>
        </w:rPr>
        <w:t>，从业人员</w:t>
      </w:r>
      <w:r>
        <w:rPr>
          <w:rFonts w:hint="eastAsia" w:cs="@仿宋_GB2312"/>
          <w:color w:val="000000" w:themeColor="text1"/>
          <w:kern w:val="2"/>
          <w:sz w:val="24"/>
          <w:szCs w:val="24"/>
          <w:highlight w:val="none"/>
          <w:u w:val="single"/>
          <w:lang w:val="zh-CN"/>
          <w14:textFill>
            <w14:solidFill>
              <w14:schemeClr w14:val="tx1"/>
            </w14:solidFill>
          </w14:textFill>
        </w:rPr>
        <w:t xml:space="preserve">     </w:t>
      </w:r>
      <w:r>
        <w:rPr>
          <w:rFonts w:hint="eastAsia" w:cs="@仿宋_GB2312"/>
          <w:color w:val="000000" w:themeColor="text1"/>
          <w:kern w:val="2"/>
          <w:sz w:val="24"/>
          <w:szCs w:val="24"/>
          <w:highlight w:val="none"/>
          <w:lang w:val="zh-CN"/>
          <w14:textFill>
            <w14:solidFill>
              <w14:schemeClr w14:val="tx1"/>
            </w14:solidFill>
          </w14:textFill>
        </w:rPr>
        <w:t>人，营业收入为</w:t>
      </w:r>
      <w:r>
        <w:rPr>
          <w:rFonts w:hint="eastAsia" w:cs="@仿宋_GB2312"/>
          <w:color w:val="000000" w:themeColor="text1"/>
          <w:kern w:val="2"/>
          <w:sz w:val="24"/>
          <w:szCs w:val="24"/>
          <w:highlight w:val="none"/>
          <w:u w:val="single"/>
          <w:lang w:val="zh-CN"/>
          <w14:textFill>
            <w14:solidFill>
              <w14:schemeClr w14:val="tx1"/>
            </w14:solidFill>
          </w14:textFill>
        </w:rPr>
        <w:t xml:space="preserve">     </w:t>
      </w:r>
      <w:r>
        <w:rPr>
          <w:rFonts w:hint="eastAsia" w:cs="@仿宋_GB2312"/>
          <w:color w:val="000000" w:themeColor="text1"/>
          <w:kern w:val="2"/>
          <w:sz w:val="24"/>
          <w:szCs w:val="24"/>
          <w:highlight w:val="none"/>
          <w:lang w:val="zh-CN"/>
          <w14:textFill>
            <w14:solidFill>
              <w14:schemeClr w14:val="tx1"/>
            </w14:solidFill>
          </w14:textFill>
        </w:rPr>
        <w:t>万元，资产总额为</w:t>
      </w:r>
      <w:r>
        <w:rPr>
          <w:rFonts w:hint="eastAsia" w:cs="@仿宋_GB2312"/>
          <w:color w:val="000000" w:themeColor="text1"/>
          <w:kern w:val="2"/>
          <w:sz w:val="24"/>
          <w:szCs w:val="24"/>
          <w:highlight w:val="none"/>
          <w:u w:val="single"/>
          <w:lang w:val="zh-CN"/>
          <w14:textFill>
            <w14:solidFill>
              <w14:schemeClr w14:val="tx1"/>
            </w14:solidFill>
          </w14:textFill>
        </w:rPr>
        <w:t xml:space="preserve">     </w:t>
      </w:r>
      <w:r>
        <w:rPr>
          <w:rFonts w:hint="eastAsia" w:cs="@仿宋_GB2312"/>
          <w:color w:val="000000" w:themeColor="text1"/>
          <w:kern w:val="2"/>
          <w:sz w:val="24"/>
          <w:szCs w:val="24"/>
          <w:highlight w:val="none"/>
          <w:lang w:val="zh-CN"/>
          <w14:textFill>
            <w14:solidFill>
              <w14:schemeClr w14:val="tx1"/>
            </w14:solidFill>
          </w14:textFill>
        </w:rPr>
        <w:t>万元，属于</w:t>
      </w:r>
      <w:r>
        <w:rPr>
          <w:rFonts w:hint="eastAsia" w:cs="@仿宋_GB2312"/>
          <w:color w:val="000000" w:themeColor="text1"/>
          <w:kern w:val="2"/>
          <w:sz w:val="24"/>
          <w:szCs w:val="24"/>
          <w:highlight w:val="none"/>
          <w:u w:val="single"/>
          <w:lang w:val="zh-CN"/>
          <w14:textFill>
            <w14:solidFill>
              <w14:schemeClr w14:val="tx1"/>
            </w14:solidFill>
          </w14:textFill>
        </w:rPr>
        <w:t>（中型企业、小型企业、微型企业）</w:t>
      </w:r>
      <w:r>
        <w:rPr>
          <w:rFonts w:hint="eastAsia" w:cs="@仿宋_GB2312"/>
          <w:color w:val="000000" w:themeColor="text1"/>
          <w:kern w:val="2"/>
          <w:sz w:val="24"/>
          <w:szCs w:val="24"/>
          <w:highlight w:val="none"/>
          <w:lang w:val="zh-CN"/>
          <w14:textFill>
            <w14:solidFill>
              <w14:schemeClr w14:val="tx1"/>
            </w14:solidFill>
          </w14:textFill>
        </w:rPr>
        <w:t xml:space="preserve">； </w:t>
      </w:r>
    </w:p>
    <w:p w14:paraId="77E7C1A1">
      <w:pPr>
        <w:spacing w:line="360" w:lineRule="auto"/>
        <w:ind w:firstLine="435"/>
        <w:rPr>
          <w:rFonts w:cs="@仿宋_GB2312"/>
          <w:color w:val="000000" w:themeColor="text1"/>
          <w:kern w:val="2"/>
          <w:sz w:val="24"/>
          <w:szCs w:val="24"/>
          <w:highlight w:val="none"/>
          <w:lang w:val="zh-CN"/>
          <w14:textFill>
            <w14:solidFill>
              <w14:schemeClr w14:val="tx1"/>
            </w14:solidFill>
          </w14:textFill>
        </w:rPr>
      </w:pPr>
      <w:r>
        <w:rPr>
          <w:rFonts w:hint="eastAsia" w:cs="@仿宋_GB2312"/>
          <w:color w:val="000000" w:themeColor="text1"/>
          <w:kern w:val="2"/>
          <w:sz w:val="24"/>
          <w:szCs w:val="24"/>
          <w:highlight w:val="none"/>
          <w:lang w:val="zh-CN"/>
          <w14:textFill>
            <w14:solidFill>
              <w14:schemeClr w14:val="tx1"/>
            </w14:solidFill>
          </w14:textFill>
        </w:rPr>
        <w:t>以上企业，不属于大企业的分支机构，不存在控股股东为大企业的情形，也不存在与大企业的负责人为同一人的情形。</w:t>
      </w:r>
    </w:p>
    <w:p w14:paraId="29035390">
      <w:pPr>
        <w:spacing w:line="360" w:lineRule="auto"/>
        <w:ind w:firstLine="435"/>
        <w:rPr>
          <w:rFonts w:cs="@仿宋_GB2312" w:asciiTheme="minorEastAsia" w:hAnsiTheme="minorEastAsia" w:eastAsiaTheme="minorEastAsia"/>
          <w:color w:val="000000" w:themeColor="text1"/>
          <w:kern w:val="2"/>
          <w:sz w:val="24"/>
          <w:szCs w:val="24"/>
          <w:highlight w:val="none"/>
          <w14:textFill>
            <w14:solidFill>
              <w14:schemeClr w14:val="tx1"/>
            </w14:solidFill>
          </w14:textFill>
        </w:rPr>
      </w:pPr>
      <w:r>
        <w:rPr>
          <w:rFonts w:hint="eastAsia" w:cs="@仿宋_GB2312"/>
          <w:color w:val="000000" w:themeColor="text1"/>
          <w:kern w:val="2"/>
          <w:sz w:val="24"/>
          <w:szCs w:val="24"/>
          <w:highlight w:val="none"/>
          <w:lang w:val="zh-CN"/>
          <w14:textFill>
            <w14:solidFill>
              <w14:schemeClr w14:val="tx1"/>
            </w14:solidFill>
          </w14:textFill>
        </w:rPr>
        <w:t>本企业对上述声明内容的真实性负责。如有虚假，将依法承担相应责任。</w:t>
      </w:r>
    </w:p>
    <w:p w14:paraId="7FA97920">
      <w:pPr>
        <w:spacing w:line="360" w:lineRule="auto"/>
        <w:ind w:firstLine="4228" w:firstLineChars="1762"/>
        <w:rPr>
          <w:rFonts w:cs="@仿宋_GB2312" w:asciiTheme="minorEastAsia" w:hAnsiTheme="minorEastAsia" w:eastAsiaTheme="minorEastAsia"/>
          <w:color w:val="000000" w:themeColor="text1"/>
          <w:kern w:val="2"/>
          <w:sz w:val="24"/>
          <w:szCs w:val="24"/>
          <w:highlight w:val="none"/>
          <w:u w:val="single"/>
          <w14:textFill>
            <w14:solidFill>
              <w14:schemeClr w14:val="tx1"/>
            </w14:solidFill>
          </w14:textFill>
        </w:rPr>
      </w:pPr>
      <w:r>
        <w:rPr>
          <w:rFonts w:hint="eastAsia" w:cs="@仿宋_GB2312" w:asciiTheme="minorEastAsia" w:hAnsiTheme="minorEastAsia" w:eastAsiaTheme="minorEastAsia"/>
          <w:color w:val="000000" w:themeColor="text1"/>
          <w:kern w:val="2"/>
          <w:sz w:val="24"/>
          <w:szCs w:val="24"/>
          <w:highlight w:val="none"/>
          <w14:textFill>
            <w14:solidFill>
              <w14:schemeClr w14:val="tx1"/>
            </w14:solidFill>
          </w14:textFill>
        </w:rPr>
        <w:t>供应商</w:t>
      </w:r>
      <w:r>
        <w:rPr>
          <w:rFonts w:cs="@仿宋_GB2312" w:asciiTheme="minorEastAsia" w:hAnsiTheme="minorEastAsia" w:eastAsiaTheme="minorEastAsia"/>
          <w:color w:val="000000" w:themeColor="text1"/>
          <w:kern w:val="2"/>
          <w:sz w:val="24"/>
          <w:szCs w:val="24"/>
          <w:highlight w:val="none"/>
          <w14:textFill>
            <w14:solidFill>
              <w14:schemeClr w14:val="tx1"/>
            </w14:solidFill>
          </w14:textFill>
        </w:rPr>
        <w:t>电子签章</w:t>
      </w:r>
      <w:r>
        <w:rPr>
          <w:rFonts w:hint="eastAsia" w:cs="@仿宋_GB2312" w:asciiTheme="minorEastAsia" w:hAnsiTheme="minorEastAsia" w:eastAsiaTheme="minorEastAsia"/>
          <w:color w:val="000000" w:themeColor="text1"/>
          <w:kern w:val="2"/>
          <w:sz w:val="24"/>
          <w:szCs w:val="24"/>
          <w:highlight w:val="none"/>
          <w14:textFill>
            <w14:solidFill>
              <w14:schemeClr w14:val="tx1"/>
            </w14:solidFill>
          </w14:textFill>
        </w:rPr>
        <w:t>：</w:t>
      </w:r>
      <w:r>
        <w:rPr>
          <w:rFonts w:cs="@仿宋_GB2312" w:asciiTheme="minorEastAsia" w:hAnsiTheme="minorEastAsia" w:eastAsiaTheme="minorEastAsia"/>
          <w:color w:val="000000" w:themeColor="text1"/>
          <w:kern w:val="2"/>
          <w:sz w:val="24"/>
          <w:szCs w:val="24"/>
          <w:highlight w:val="none"/>
          <w:u w:val="single"/>
          <w14:textFill>
            <w14:solidFill>
              <w14:schemeClr w14:val="tx1"/>
            </w14:solidFill>
          </w14:textFill>
        </w:rPr>
        <w:t xml:space="preserve">             </w:t>
      </w:r>
    </w:p>
    <w:p w14:paraId="2398BB36">
      <w:pPr>
        <w:tabs>
          <w:tab w:val="left" w:pos="4620"/>
        </w:tabs>
        <w:spacing w:line="360" w:lineRule="auto"/>
        <w:ind w:firstLine="4252" w:firstLineChars="1772"/>
        <w:rPr>
          <w:rFonts w:cs="@仿宋_GB2312" w:asciiTheme="minorEastAsia" w:hAnsiTheme="minorEastAsia" w:eastAsiaTheme="minorEastAsia"/>
          <w:color w:val="000000" w:themeColor="text1"/>
          <w:kern w:val="2"/>
          <w:sz w:val="24"/>
          <w:szCs w:val="24"/>
          <w:highlight w:val="none"/>
          <w:u w:val="single"/>
          <w14:textFill>
            <w14:solidFill>
              <w14:schemeClr w14:val="tx1"/>
            </w14:solidFill>
          </w14:textFill>
        </w:rPr>
      </w:pPr>
      <w:r>
        <w:rPr>
          <w:rFonts w:hint="eastAsia" w:cs="@仿宋_GB2312" w:asciiTheme="minorEastAsia" w:hAnsiTheme="minorEastAsia" w:eastAsiaTheme="minorEastAsia"/>
          <w:color w:val="000000" w:themeColor="text1"/>
          <w:kern w:val="2"/>
          <w:sz w:val="24"/>
          <w:szCs w:val="24"/>
          <w:highlight w:val="none"/>
          <w14:textFill>
            <w14:solidFill>
              <w14:schemeClr w14:val="tx1"/>
            </w14:solidFill>
          </w14:textFill>
        </w:rPr>
        <w:t>日</w:t>
      </w:r>
      <w:r>
        <w:rPr>
          <w:rFonts w:cs="@仿宋_GB2312" w:asciiTheme="minorEastAsia" w:hAnsiTheme="minorEastAsia" w:eastAsiaTheme="minorEastAsia"/>
          <w:color w:val="000000" w:themeColor="text1"/>
          <w:kern w:val="2"/>
          <w:sz w:val="24"/>
          <w:szCs w:val="24"/>
          <w:highlight w:val="none"/>
          <w14:textFill>
            <w14:solidFill>
              <w14:schemeClr w14:val="tx1"/>
            </w14:solidFill>
          </w14:textFill>
        </w:rPr>
        <w:t xml:space="preserve">      </w:t>
      </w:r>
      <w:r>
        <w:rPr>
          <w:rFonts w:hint="eastAsia" w:cs="@仿宋_GB2312" w:asciiTheme="minorEastAsia" w:hAnsiTheme="minorEastAsia" w:eastAsiaTheme="minorEastAsia"/>
          <w:color w:val="000000" w:themeColor="text1"/>
          <w:kern w:val="2"/>
          <w:sz w:val="24"/>
          <w:szCs w:val="24"/>
          <w:highlight w:val="none"/>
          <w14:textFill>
            <w14:solidFill>
              <w14:schemeClr w14:val="tx1"/>
            </w14:solidFill>
          </w14:textFill>
        </w:rPr>
        <w:t xml:space="preserve">    期：</w:t>
      </w:r>
      <w:r>
        <w:rPr>
          <w:rFonts w:cs="@仿宋_GB2312" w:asciiTheme="minorEastAsia" w:hAnsiTheme="minorEastAsia" w:eastAsiaTheme="minorEastAsia"/>
          <w:color w:val="000000" w:themeColor="text1"/>
          <w:kern w:val="2"/>
          <w:sz w:val="24"/>
          <w:szCs w:val="24"/>
          <w:highlight w:val="none"/>
          <w:u w:val="single"/>
          <w14:textFill>
            <w14:solidFill>
              <w14:schemeClr w14:val="tx1"/>
            </w14:solidFill>
          </w14:textFill>
        </w:rPr>
        <w:t xml:space="preserve">             </w:t>
      </w:r>
    </w:p>
    <w:p w14:paraId="2D848F4A">
      <w:pPr>
        <w:tabs>
          <w:tab w:val="left" w:pos="4620"/>
        </w:tabs>
        <w:spacing w:line="360" w:lineRule="auto"/>
        <w:jc w:val="left"/>
        <w:rPr>
          <w:rFonts w:cs="@仿宋_GB2312" w:asciiTheme="minorEastAsia" w:hAnsiTheme="minorEastAsia" w:eastAsiaTheme="minorEastAsia"/>
          <w:color w:val="000000" w:themeColor="text1"/>
          <w:kern w:val="2"/>
          <w:sz w:val="24"/>
          <w:szCs w:val="24"/>
          <w:highlight w:val="none"/>
          <w14:textFill>
            <w14:solidFill>
              <w14:schemeClr w14:val="tx1"/>
            </w14:solidFill>
          </w14:textFill>
        </w:rPr>
      </w:pPr>
    </w:p>
    <w:p w14:paraId="5179D15D">
      <w:pPr>
        <w:tabs>
          <w:tab w:val="left" w:pos="4620"/>
        </w:tabs>
        <w:spacing w:line="360" w:lineRule="auto"/>
        <w:jc w:val="left"/>
        <w:rPr>
          <w:rFonts w:cs="@仿宋_GB2312" w:asciiTheme="minorEastAsia" w:hAnsiTheme="minorEastAsia" w:eastAsiaTheme="minorEastAsia"/>
          <w:b/>
          <w:color w:val="000000" w:themeColor="text1"/>
          <w:kern w:val="2"/>
          <w:sz w:val="21"/>
          <w:szCs w:val="24"/>
          <w:highlight w:val="none"/>
          <w14:textFill>
            <w14:solidFill>
              <w14:schemeClr w14:val="tx1"/>
            </w14:solidFill>
          </w14:textFill>
        </w:rPr>
      </w:pPr>
      <w:r>
        <w:rPr>
          <w:rFonts w:hint="eastAsia" w:cs="@仿宋_GB2312" w:asciiTheme="minorEastAsia" w:hAnsiTheme="minorEastAsia" w:eastAsiaTheme="minorEastAsia"/>
          <w:b/>
          <w:color w:val="000000" w:themeColor="text1"/>
          <w:kern w:val="2"/>
          <w:sz w:val="21"/>
          <w:szCs w:val="24"/>
          <w:highlight w:val="none"/>
          <w14:textFill>
            <w14:solidFill>
              <w14:schemeClr w14:val="tx1"/>
            </w14:solidFill>
          </w14:textFill>
        </w:rPr>
        <w:t>注：</w:t>
      </w:r>
    </w:p>
    <w:p w14:paraId="4961C190">
      <w:pPr>
        <w:tabs>
          <w:tab w:val="left" w:pos="4620"/>
        </w:tabs>
        <w:spacing w:line="360" w:lineRule="auto"/>
        <w:jc w:val="left"/>
        <w:rPr>
          <w:rFonts w:cs="@仿宋_GB2312" w:asciiTheme="minorEastAsia" w:hAnsiTheme="minorEastAsia" w:eastAsiaTheme="minorEastAsia"/>
          <w:color w:val="000000" w:themeColor="text1"/>
          <w:kern w:val="2"/>
          <w:sz w:val="21"/>
          <w:szCs w:val="24"/>
          <w:highlight w:val="none"/>
          <w14:textFill>
            <w14:solidFill>
              <w14:schemeClr w14:val="tx1"/>
            </w14:solidFill>
          </w14:textFill>
        </w:rPr>
      </w:pPr>
      <w:r>
        <w:rPr>
          <w:rFonts w:cs="@仿宋_GB2312" w:asciiTheme="minorEastAsia" w:hAnsiTheme="minorEastAsia" w:eastAsiaTheme="minorEastAsia"/>
          <w:color w:val="000000" w:themeColor="text1"/>
          <w:kern w:val="2"/>
          <w:sz w:val="21"/>
          <w:szCs w:val="24"/>
          <w:highlight w:val="none"/>
          <w14:textFill>
            <w14:solidFill>
              <w14:schemeClr w14:val="tx1"/>
            </w14:solidFill>
          </w14:textFill>
        </w:rPr>
        <w:t>1.从业人员、营业收入、资产总额填报上一年数据，无上一年数据的新成立企业可不填报。</w:t>
      </w:r>
    </w:p>
    <w:p w14:paraId="464B96EA">
      <w:pPr>
        <w:tabs>
          <w:tab w:val="left" w:pos="4620"/>
        </w:tabs>
        <w:spacing w:line="360" w:lineRule="auto"/>
        <w:jc w:val="left"/>
        <w:rPr>
          <w:rFonts w:cs="宋体"/>
          <w:b/>
          <w:bCs/>
          <w:color w:val="000000" w:themeColor="text1"/>
          <w:kern w:val="2"/>
          <w:sz w:val="21"/>
          <w:szCs w:val="21"/>
          <w:highlight w:val="none"/>
          <w14:textFill>
            <w14:solidFill>
              <w14:schemeClr w14:val="tx1"/>
            </w14:solidFill>
          </w14:textFill>
        </w:rPr>
      </w:pPr>
      <w:r>
        <w:rPr>
          <w:rFonts w:hint="eastAsia" w:cs="宋体"/>
          <w:b/>
          <w:bCs/>
          <w:color w:val="000000" w:themeColor="text1"/>
          <w:sz w:val="21"/>
          <w:szCs w:val="21"/>
          <w:highlight w:val="none"/>
          <w14:textFill>
            <w14:solidFill>
              <w14:schemeClr w14:val="tx1"/>
            </w14:solidFill>
          </w14:textFill>
        </w:rPr>
        <w:t>2.</w:t>
      </w:r>
      <w:r>
        <w:rPr>
          <w:rFonts w:hint="eastAsia" w:cs="宋体"/>
          <w:b/>
          <w:bCs/>
          <w:color w:val="000000" w:themeColor="text1"/>
          <w:kern w:val="2"/>
          <w:sz w:val="21"/>
          <w:szCs w:val="21"/>
          <w:highlight w:val="none"/>
          <w14:textFill>
            <w14:solidFill>
              <w14:schemeClr w14:val="tx1"/>
            </w14:solidFill>
          </w14:textFill>
        </w:rPr>
        <w:t>供应商应根据《政府采购促进中小企业发展管理办法》（财库﹝2020﹞46号）和《关于印发中小企业划型标准规定的通知》(工信部联企业〔2011〕300号)相关规定，如实填写中小企业声明函。</w:t>
      </w:r>
      <w:r>
        <w:rPr>
          <w:rFonts w:hint="eastAsia" w:cs="宋体"/>
          <w:b/>
          <w:bCs/>
          <w:color w:val="000000" w:themeColor="text1"/>
          <w:kern w:val="2"/>
          <w:sz w:val="21"/>
          <w:szCs w:val="21"/>
          <w:highlight w:val="none"/>
          <w:lang w:val="zh-CN"/>
          <w14:textFill>
            <w14:solidFill>
              <w14:schemeClr w14:val="tx1"/>
            </w14:solidFill>
          </w14:textFill>
        </w:rPr>
        <w:t>如有虚假，将依法承担相应责任。</w:t>
      </w:r>
      <w:r>
        <w:rPr>
          <w:rFonts w:hint="eastAsia" w:cs="宋体"/>
          <w:b/>
          <w:bCs/>
          <w:color w:val="000000" w:themeColor="text1"/>
          <w:kern w:val="2"/>
          <w:sz w:val="21"/>
          <w:szCs w:val="21"/>
          <w:highlight w:val="none"/>
          <w14:textFill>
            <w14:solidFill>
              <w14:schemeClr w14:val="tx1"/>
            </w14:solidFill>
          </w14:textFill>
        </w:rPr>
        <w:t>供应商自行登录工业和信息化部官网进行中小企业规模类型自测（查询网址https://www.miit.gov.cn/）。</w:t>
      </w:r>
    </w:p>
    <w:p w14:paraId="5CE97489">
      <w:pPr>
        <w:tabs>
          <w:tab w:val="left" w:pos="4620"/>
        </w:tabs>
        <w:spacing w:line="360" w:lineRule="auto"/>
        <w:jc w:val="left"/>
        <w:rPr>
          <w:rFonts w:cs="宋体"/>
          <w:b/>
          <w:bCs/>
          <w:color w:val="000000" w:themeColor="text1"/>
          <w:kern w:val="2"/>
          <w:sz w:val="21"/>
          <w:szCs w:val="21"/>
          <w:highlight w:val="none"/>
          <w14:textFill>
            <w14:solidFill>
              <w14:schemeClr w14:val="tx1"/>
            </w14:solidFill>
          </w14:textFill>
        </w:rPr>
      </w:pPr>
      <w:r>
        <w:rPr>
          <w:rFonts w:hint="eastAsia" w:cs="宋体"/>
          <w:b/>
          <w:bCs/>
          <w:color w:val="000000" w:themeColor="text1"/>
          <w:kern w:val="2"/>
          <w:sz w:val="21"/>
          <w:szCs w:val="21"/>
          <w:highlight w:val="none"/>
          <w14:textFill>
            <w14:solidFill>
              <w14:schemeClr w14:val="tx1"/>
            </w14:solidFill>
          </w14:textFill>
        </w:rPr>
        <w:t>3.上述“</w:t>
      </w:r>
      <w:r>
        <w:rPr>
          <w:rFonts w:hint="eastAsia" w:cs="宋体"/>
          <w:b/>
          <w:bCs/>
          <w:color w:val="000000" w:themeColor="text1"/>
          <w:kern w:val="2"/>
          <w:sz w:val="21"/>
          <w:szCs w:val="21"/>
          <w:highlight w:val="none"/>
          <w:u w:val="single"/>
          <w:lang w:val="zh-CN"/>
          <w14:textFill>
            <w14:solidFill>
              <w14:schemeClr w14:val="tx1"/>
            </w14:solidFill>
          </w14:textFill>
        </w:rPr>
        <w:t>标的名称</w:t>
      </w:r>
      <w:r>
        <w:rPr>
          <w:rFonts w:hint="eastAsia" w:cs="宋体"/>
          <w:b/>
          <w:bCs/>
          <w:color w:val="000000" w:themeColor="text1"/>
          <w:kern w:val="2"/>
          <w:sz w:val="21"/>
          <w:szCs w:val="21"/>
          <w:highlight w:val="none"/>
          <w14:textFill>
            <w14:solidFill>
              <w14:schemeClr w14:val="tx1"/>
            </w14:solidFill>
          </w14:textFill>
        </w:rPr>
        <w:t>”，详见第三章采购需求前附表中明确的“标的名称”。</w:t>
      </w:r>
    </w:p>
    <w:p w14:paraId="03288A55">
      <w:pPr>
        <w:tabs>
          <w:tab w:val="left" w:pos="4620"/>
        </w:tabs>
        <w:spacing w:line="360" w:lineRule="auto"/>
        <w:jc w:val="left"/>
        <w:rPr>
          <w:rFonts w:cs="宋体"/>
          <w:b/>
          <w:bCs/>
          <w:color w:val="000000" w:themeColor="text1"/>
          <w:kern w:val="2"/>
          <w:sz w:val="21"/>
          <w:szCs w:val="21"/>
          <w:highlight w:val="none"/>
          <w14:textFill>
            <w14:solidFill>
              <w14:schemeClr w14:val="tx1"/>
            </w14:solidFill>
          </w14:textFill>
        </w:rPr>
      </w:pPr>
      <w:r>
        <w:rPr>
          <w:rFonts w:hint="eastAsia" w:cs="宋体"/>
          <w:b/>
          <w:bCs/>
          <w:color w:val="000000" w:themeColor="text1"/>
          <w:kern w:val="2"/>
          <w:sz w:val="21"/>
          <w:szCs w:val="21"/>
          <w:highlight w:val="none"/>
          <w14:textFill>
            <w14:solidFill>
              <w14:schemeClr w14:val="tx1"/>
            </w14:solidFill>
          </w14:textFill>
        </w:rPr>
        <w:t>4.上述“</w:t>
      </w:r>
      <w:r>
        <w:rPr>
          <w:rFonts w:hint="eastAsia" w:cs="宋体"/>
          <w:b/>
          <w:bCs/>
          <w:color w:val="000000" w:themeColor="text1"/>
          <w:kern w:val="2"/>
          <w:sz w:val="21"/>
          <w:szCs w:val="21"/>
          <w:highlight w:val="none"/>
          <w:u w:val="single"/>
          <w14:textFill>
            <w14:solidFill>
              <w14:schemeClr w14:val="tx1"/>
            </w14:solidFill>
          </w14:textFill>
        </w:rPr>
        <w:t>采购文件中明确的所属行业</w:t>
      </w:r>
      <w:r>
        <w:rPr>
          <w:rFonts w:hint="eastAsia" w:cs="宋体"/>
          <w:b/>
          <w:bCs/>
          <w:color w:val="000000" w:themeColor="text1"/>
          <w:kern w:val="2"/>
          <w:sz w:val="21"/>
          <w:szCs w:val="21"/>
          <w:highlight w:val="none"/>
          <w14:textFill>
            <w14:solidFill>
              <w14:schemeClr w14:val="tx1"/>
            </w14:solidFill>
          </w14:textFill>
        </w:rPr>
        <w:t>”，详见第三章采购需求前附表中明确的“所属行业”。</w:t>
      </w:r>
    </w:p>
    <w:p w14:paraId="454F9B32">
      <w:pPr>
        <w:tabs>
          <w:tab w:val="left" w:pos="4620"/>
        </w:tabs>
        <w:spacing w:line="360" w:lineRule="auto"/>
        <w:jc w:val="left"/>
        <w:rPr>
          <w:rFonts w:cs="宋体"/>
          <w:b/>
          <w:bCs/>
          <w:color w:val="000000" w:themeColor="text1"/>
          <w:kern w:val="2"/>
          <w:sz w:val="21"/>
          <w:szCs w:val="21"/>
          <w:highlight w:val="none"/>
          <w14:textFill>
            <w14:solidFill>
              <w14:schemeClr w14:val="tx1"/>
            </w14:solidFill>
          </w14:textFill>
        </w:rPr>
      </w:pPr>
      <w:r>
        <w:rPr>
          <w:rFonts w:hint="eastAsia" w:cs="宋体"/>
          <w:b/>
          <w:bCs/>
          <w:color w:val="000000" w:themeColor="text1"/>
          <w:kern w:val="2"/>
          <w:sz w:val="21"/>
          <w:szCs w:val="21"/>
          <w:highlight w:val="none"/>
          <w14:textFill>
            <w14:solidFill>
              <w14:schemeClr w14:val="tx1"/>
            </w14:solidFill>
          </w14:textFill>
        </w:rPr>
        <w:t>5．</w:t>
      </w:r>
      <w:r>
        <w:rPr>
          <w:rFonts w:hint="eastAsia" w:cs="宋体"/>
          <w:b/>
          <w:bCs/>
          <w:color w:val="000000" w:themeColor="text1"/>
          <w:szCs w:val="21"/>
          <w:highlight w:val="none"/>
          <w14:textFill>
            <w14:solidFill>
              <w14:schemeClr w14:val="tx1"/>
            </w14:solidFill>
          </w14:textFill>
        </w:rPr>
        <w:t>填写示例：</w:t>
      </w:r>
      <w:r>
        <w:rPr>
          <w:rFonts w:hint="eastAsia" w:cs="宋体"/>
          <w:b/>
          <w:bCs/>
          <w:color w:val="000000" w:themeColor="text1"/>
          <w:szCs w:val="21"/>
          <w:highlight w:val="none"/>
          <w:u w:val="single"/>
          <w14:textFill>
            <w14:solidFill>
              <w14:schemeClr w14:val="tx1"/>
            </w14:solidFill>
          </w14:textFill>
        </w:rPr>
        <w:t>某标的名称</w:t>
      </w:r>
      <w:r>
        <w:rPr>
          <w:rFonts w:hint="eastAsia" w:cs="宋体"/>
          <w:b/>
          <w:bCs/>
          <w:color w:val="000000" w:themeColor="text1"/>
          <w:szCs w:val="21"/>
          <w:highlight w:val="none"/>
          <w14:textFill>
            <w14:solidFill>
              <w14:schemeClr w14:val="tx1"/>
            </w14:solidFill>
          </w14:textFill>
        </w:rPr>
        <w:t>（</w:t>
      </w:r>
      <w:r>
        <w:rPr>
          <w:rFonts w:hint="eastAsia" w:cs="宋体"/>
          <w:b/>
          <w:bCs/>
          <w:color w:val="000000" w:themeColor="text1"/>
          <w:szCs w:val="21"/>
          <w:highlight w:val="none"/>
          <w:u w:val="single"/>
          <w14:textFill>
            <w14:solidFill>
              <w14:schemeClr w14:val="tx1"/>
            </w14:solidFill>
          </w14:textFill>
        </w:rPr>
        <w:t>填写第三章采购需求前附表中明确的“标的名称”</w:t>
      </w:r>
      <w:r>
        <w:rPr>
          <w:rFonts w:hint="eastAsia" w:cs="宋体"/>
          <w:b/>
          <w:bCs/>
          <w:color w:val="000000" w:themeColor="text1"/>
          <w:szCs w:val="21"/>
          <w:highlight w:val="none"/>
          <w14:textFill>
            <w14:solidFill>
              <w14:schemeClr w14:val="tx1"/>
            </w14:solidFill>
          </w14:textFill>
        </w:rPr>
        <w:t>），属于</w:t>
      </w:r>
      <w:r>
        <w:rPr>
          <w:rFonts w:hint="eastAsia" w:cs="宋体"/>
          <w:b/>
          <w:bCs/>
          <w:color w:val="000000" w:themeColor="text1"/>
          <w:szCs w:val="21"/>
          <w:highlight w:val="none"/>
          <w:u w:val="single"/>
          <w14:textFill>
            <w14:solidFill>
              <w14:schemeClr w14:val="tx1"/>
            </w14:solidFill>
          </w14:textFill>
        </w:rPr>
        <w:t>（填写第三章采购需求前附表中明确的“所属行业”，如建筑业）</w:t>
      </w:r>
      <w:r>
        <w:rPr>
          <w:rFonts w:hint="eastAsia" w:cs="宋体"/>
          <w:b/>
          <w:bCs/>
          <w:color w:val="000000" w:themeColor="text1"/>
          <w:szCs w:val="21"/>
          <w:highlight w:val="none"/>
          <w14:textFill>
            <w14:solidFill>
              <w14:schemeClr w14:val="tx1"/>
            </w14:solidFill>
          </w14:textFill>
        </w:rPr>
        <w:t>行业；承建企业为</w:t>
      </w:r>
      <w:r>
        <w:rPr>
          <w:rFonts w:hint="eastAsia" w:cs="宋体"/>
          <w:b/>
          <w:bCs/>
          <w:color w:val="000000" w:themeColor="text1"/>
          <w:szCs w:val="21"/>
          <w:highlight w:val="none"/>
          <w:u w:val="single"/>
          <w:lang w:val="zh-CN"/>
          <w14:textFill>
            <w14:solidFill>
              <w14:schemeClr w14:val="tx1"/>
            </w14:solidFill>
          </w14:textFill>
        </w:rPr>
        <w:t>某公司</w:t>
      </w:r>
      <w:r>
        <w:rPr>
          <w:rFonts w:hint="eastAsia" w:cs="宋体"/>
          <w:b/>
          <w:bCs/>
          <w:color w:val="000000" w:themeColor="text1"/>
          <w:szCs w:val="21"/>
          <w:highlight w:val="none"/>
          <w14:textFill>
            <w14:solidFill>
              <w14:schemeClr w14:val="tx1"/>
            </w14:solidFill>
          </w14:textFill>
        </w:rPr>
        <w:t>，</w:t>
      </w:r>
      <w:r>
        <w:rPr>
          <w:rFonts w:hint="eastAsia" w:cs="宋体"/>
          <w:b/>
          <w:bCs/>
          <w:color w:val="000000" w:themeColor="text1"/>
          <w:szCs w:val="21"/>
          <w:highlight w:val="none"/>
          <w:lang w:val="zh-CN"/>
          <w14:textFill>
            <w14:solidFill>
              <w14:schemeClr w14:val="tx1"/>
            </w14:solidFill>
          </w14:textFill>
        </w:rPr>
        <w:t>从业人员</w:t>
      </w:r>
      <w:r>
        <w:rPr>
          <w:rFonts w:hint="eastAsia" w:cs="宋体"/>
          <w:b/>
          <w:bCs/>
          <w:color w:val="000000" w:themeColor="text1"/>
          <w:szCs w:val="21"/>
          <w:highlight w:val="none"/>
          <w:u w:val="single"/>
          <w14:textFill>
            <w14:solidFill>
              <w14:schemeClr w14:val="tx1"/>
            </w14:solidFill>
          </w14:textFill>
        </w:rPr>
        <w:t>100</w:t>
      </w:r>
      <w:r>
        <w:rPr>
          <w:rFonts w:hint="eastAsia" w:cs="宋体"/>
          <w:b/>
          <w:bCs/>
          <w:color w:val="000000" w:themeColor="text1"/>
          <w:szCs w:val="21"/>
          <w:highlight w:val="none"/>
          <w:lang w:val="zh-CN"/>
          <w14:textFill>
            <w14:solidFill>
              <w14:schemeClr w14:val="tx1"/>
            </w14:solidFill>
          </w14:textFill>
        </w:rPr>
        <w:t>人</w:t>
      </w:r>
      <w:r>
        <w:rPr>
          <w:rFonts w:hint="eastAsia" w:cs="宋体"/>
          <w:b/>
          <w:bCs/>
          <w:color w:val="000000" w:themeColor="text1"/>
          <w:szCs w:val="21"/>
          <w:highlight w:val="none"/>
          <w14:textFill>
            <w14:solidFill>
              <w14:schemeClr w14:val="tx1"/>
            </w14:solidFill>
          </w14:textFill>
        </w:rPr>
        <w:t>，</w:t>
      </w:r>
      <w:r>
        <w:rPr>
          <w:rFonts w:hint="eastAsia" w:cs="宋体"/>
          <w:b/>
          <w:bCs/>
          <w:color w:val="000000" w:themeColor="text1"/>
          <w:szCs w:val="21"/>
          <w:highlight w:val="none"/>
          <w:lang w:val="zh-CN"/>
          <w14:textFill>
            <w14:solidFill>
              <w14:schemeClr w14:val="tx1"/>
            </w14:solidFill>
          </w14:textFill>
        </w:rPr>
        <w:t>营业收入为</w:t>
      </w:r>
      <w:r>
        <w:rPr>
          <w:rFonts w:hint="eastAsia" w:cs="宋体"/>
          <w:b/>
          <w:bCs/>
          <w:color w:val="000000" w:themeColor="text1"/>
          <w:szCs w:val="21"/>
          <w:highlight w:val="none"/>
          <w:u w:val="single"/>
          <w14:textFill>
            <w14:solidFill>
              <w14:schemeClr w14:val="tx1"/>
            </w14:solidFill>
          </w14:textFill>
        </w:rPr>
        <w:t>10000</w:t>
      </w:r>
      <w:r>
        <w:rPr>
          <w:rFonts w:hint="eastAsia" w:cs="宋体"/>
          <w:b/>
          <w:bCs/>
          <w:color w:val="000000" w:themeColor="text1"/>
          <w:szCs w:val="21"/>
          <w:highlight w:val="none"/>
          <w:lang w:val="zh-CN"/>
          <w14:textFill>
            <w14:solidFill>
              <w14:schemeClr w14:val="tx1"/>
            </w14:solidFill>
          </w14:textFill>
        </w:rPr>
        <w:t>万元</w:t>
      </w:r>
      <w:r>
        <w:rPr>
          <w:rFonts w:hint="eastAsia" w:cs="宋体"/>
          <w:b/>
          <w:bCs/>
          <w:color w:val="000000" w:themeColor="text1"/>
          <w:szCs w:val="21"/>
          <w:highlight w:val="none"/>
          <w14:textFill>
            <w14:solidFill>
              <w14:schemeClr w14:val="tx1"/>
            </w14:solidFill>
          </w14:textFill>
        </w:rPr>
        <w:t>，</w:t>
      </w:r>
      <w:r>
        <w:rPr>
          <w:rFonts w:hint="eastAsia" w:cs="宋体"/>
          <w:b/>
          <w:bCs/>
          <w:color w:val="000000" w:themeColor="text1"/>
          <w:szCs w:val="21"/>
          <w:highlight w:val="none"/>
          <w:lang w:val="zh-CN"/>
          <w14:textFill>
            <w14:solidFill>
              <w14:schemeClr w14:val="tx1"/>
            </w14:solidFill>
          </w14:textFill>
        </w:rPr>
        <w:t>资产总额为</w:t>
      </w:r>
      <w:r>
        <w:rPr>
          <w:rFonts w:hint="eastAsia" w:cs="宋体"/>
          <w:b/>
          <w:bCs/>
          <w:color w:val="000000" w:themeColor="text1"/>
          <w:szCs w:val="21"/>
          <w:highlight w:val="none"/>
          <w:u w:val="single"/>
          <w14:textFill>
            <w14:solidFill>
              <w14:schemeClr w14:val="tx1"/>
            </w14:solidFill>
          </w14:textFill>
        </w:rPr>
        <w:t>5000</w:t>
      </w:r>
      <w:r>
        <w:rPr>
          <w:rFonts w:hint="eastAsia" w:cs="宋体"/>
          <w:b/>
          <w:bCs/>
          <w:color w:val="000000" w:themeColor="text1"/>
          <w:szCs w:val="21"/>
          <w:highlight w:val="none"/>
          <w:lang w:val="zh-CN"/>
          <w14:textFill>
            <w14:solidFill>
              <w14:schemeClr w14:val="tx1"/>
            </w14:solidFill>
          </w14:textFill>
        </w:rPr>
        <w:t>万元</w:t>
      </w:r>
      <w:r>
        <w:rPr>
          <w:rFonts w:hint="eastAsia" w:cs="宋体"/>
          <w:b/>
          <w:bCs/>
          <w:color w:val="000000" w:themeColor="text1"/>
          <w:szCs w:val="21"/>
          <w:highlight w:val="none"/>
          <w14:textFill>
            <w14:solidFill>
              <w14:schemeClr w14:val="tx1"/>
            </w14:solidFill>
          </w14:textFill>
        </w:rPr>
        <w:t>，</w:t>
      </w:r>
      <w:r>
        <w:rPr>
          <w:rFonts w:hint="eastAsia" w:cs="宋体"/>
          <w:b/>
          <w:bCs/>
          <w:color w:val="000000" w:themeColor="text1"/>
          <w:szCs w:val="21"/>
          <w:highlight w:val="none"/>
          <w:lang w:val="zh-CN"/>
          <w14:textFill>
            <w14:solidFill>
              <w14:schemeClr w14:val="tx1"/>
            </w14:solidFill>
          </w14:textFill>
        </w:rPr>
        <w:t>属于</w:t>
      </w:r>
      <w:r>
        <w:rPr>
          <w:rFonts w:hint="eastAsia" w:cs="宋体"/>
          <w:b/>
          <w:bCs/>
          <w:color w:val="000000" w:themeColor="text1"/>
          <w:szCs w:val="21"/>
          <w:highlight w:val="none"/>
          <w14:textFill>
            <w14:solidFill>
              <w14:schemeClr w14:val="tx1"/>
            </w14:solidFill>
          </w14:textFill>
        </w:rPr>
        <w:t>中</w:t>
      </w:r>
      <w:r>
        <w:rPr>
          <w:rFonts w:hint="eastAsia" w:cs="宋体"/>
          <w:b/>
          <w:bCs/>
          <w:color w:val="000000" w:themeColor="text1"/>
          <w:szCs w:val="21"/>
          <w:highlight w:val="none"/>
          <w:u w:val="single"/>
          <w:lang w:val="zh-CN"/>
          <w14:textFill>
            <w14:solidFill>
              <w14:schemeClr w14:val="tx1"/>
            </w14:solidFill>
          </w14:textFill>
        </w:rPr>
        <w:t>型</w:t>
      </w:r>
      <w:r>
        <w:rPr>
          <w:rFonts w:hint="eastAsia" w:cs="宋体"/>
          <w:b/>
          <w:bCs/>
          <w:color w:val="000000" w:themeColor="text1"/>
          <w:szCs w:val="21"/>
          <w:highlight w:val="none"/>
          <w:lang w:val="zh-CN"/>
          <w14:textFill>
            <w14:solidFill>
              <w14:schemeClr w14:val="tx1"/>
            </w14:solidFill>
          </w14:textFill>
        </w:rPr>
        <w:t>企业</w:t>
      </w:r>
      <w:r>
        <w:rPr>
          <w:rFonts w:hint="eastAsia" w:cs="宋体"/>
          <w:b/>
          <w:bCs/>
          <w:color w:val="000000" w:themeColor="text1"/>
          <w:szCs w:val="21"/>
          <w:highlight w:val="none"/>
          <w14:textFill>
            <w14:solidFill>
              <w14:schemeClr w14:val="tx1"/>
            </w14:solidFill>
          </w14:textFill>
        </w:rPr>
        <w:t>[供应商自行登录工业和信息化部官网进行中小企业规模类型自测（查询网址https://www.miit.gov.cn/）]</w:t>
      </w:r>
      <w:r>
        <w:rPr>
          <w:rFonts w:hint="eastAsia" w:cs="宋体"/>
          <w:b/>
          <w:bCs/>
          <w:color w:val="000000" w:themeColor="text1"/>
          <w:kern w:val="2"/>
          <w:sz w:val="21"/>
          <w:szCs w:val="21"/>
          <w:highlight w:val="none"/>
          <w:lang w:val="zh-CN"/>
          <w14:textFill>
            <w14:solidFill>
              <w14:schemeClr w14:val="tx1"/>
            </w14:solidFill>
          </w14:textFill>
        </w:rPr>
        <w:t>。</w:t>
      </w:r>
    </w:p>
    <w:p w14:paraId="1A01AF7A">
      <w:pPr>
        <w:widowControl/>
        <w:jc w:val="left"/>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br w:type="page"/>
      </w:r>
    </w:p>
    <w:p w14:paraId="4DB58B6C">
      <w:pPr>
        <w:spacing w:line="360" w:lineRule="auto"/>
        <w:jc w:val="center"/>
        <w:rPr>
          <w:rFonts w:asciiTheme="minorEastAsia" w:hAnsiTheme="minorEastAsia" w:eastAsiaTheme="minorEastAsia"/>
          <w:b/>
          <w:color w:val="000000" w:themeColor="text1"/>
          <w:sz w:val="24"/>
          <w:highlight w:val="none"/>
          <w14:textFill>
            <w14:solidFill>
              <w14:schemeClr w14:val="tx1"/>
            </w14:solidFill>
          </w14:textFill>
        </w:rPr>
      </w:pPr>
      <w:bookmarkStart w:id="704" w:name="_Toc17154"/>
      <w:bookmarkStart w:id="705" w:name="_Toc17813"/>
      <w:r>
        <w:rPr>
          <w:rFonts w:hint="eastAsia" w:asciiTheme="minorEastAsia" w:hAnsiTheme="minorEastAsia" w:eastAsiaTheme="minorEastAsia"/>
          <w:b/>
          <w:color w:val="000000" w:themeColor="text1"/>
          <w:sz w:val="24"/>
          <w:highlight w:val="none"/>
          <w14:textFill>
            <w14:solidFill>
              <w14:schemeClr w14:val="tx1"/>
            </w14:solidFill>
          </w14:textFill>
        </w:rPr>
        <w:t>残疾人福利性单位声明函</w:t>
      </w:r>
      <w:bookmarkEnd w:id="704"/>
      <w:bookmarkEnd w:id="705"/>
    </w:p>
    <w:p w14:paraId="48B29F9A">
      <w:pPr>
        <w:pStyle w:val="19"/>
        <w:spacing w:line="360" w:lineRule="auto"/>
        <w:jc w:val="center"/>
        <w:rPr>
          <w:rFonts w:ascii="宋体" w:hAnsi="宋体" w:eastAsia="宋体"/>
          <w:i/>
          <w:color w:val="000000" w:themeColor="text1"/>
          <w:sz w:val="24"/>
          <w:highlight w:val="none"/>
          <w:lang w:val="en-US"/>
          <w14:textFill>
            <w14:solidFill>
              <w14:schemeClr w14:val="tx1"/>
            </w14:solidFill>
          </w14:textFill>
        </w:rPr>
      </w:pPr>
      <w:r>
        <w:rPr>
          <w:rFonts w:hint="eastAsia" w:ascii="宋体" w:hAnsi="宋体" w:eastAsia="宋体"/>
          <w:i/>
          <w:color w:val="000000" w:themeColor="text1"/>
          <w:sz w:val="24"/>
          <w:highlight w:val="none"/>
          <w:lang w:val="en-US"/>
          <w14:textFill>
            <w14:solidFill>
              <w14:schemeClr w14:val="tx1"/>
            </w14:solidFill>
          </w14:textFill>
        </w:rPr>
        <w:t>（非残疾人福利性单位磋商，请删去“残疾人福利性单位声明函”）</w:t>
      </w:r>
    </w:p>
    <w:p w14:paraId="07A1A9F8">
      <w:pPr>
        <w:spacing w:line="360" w:lineRule="auto"/>
        <w:ind w:firstLine="435"/>
        <w:rPr>
          <w:rFonts w:cs="Times New Roman"/>
          <w:color w:val="000000" w:themeColor="text1"/>
          <w:spacing w:val="6"/>
          <w:kern w:val="2"/>
          <w:sz w:val="24"/>
          <w:szCs w:val="24"/>
          <w:highlight w:val="none"/>
          <w14:textFill>
            <w14:solidFill>
              <w14:schemeClr w14:val="tx1"/>
            </w14:solidFill>
          </w14:textFill>
        </w:rPr>
      </w:pPr>
      <w:r>
        <w:rPr>
          <w:rFonts w:hint="eastAsia" w:cs="Times New Roman"/>
          <w:color w:val="000000" w:themeColor="text1"/>
          <w:spacing w:val="6"/>
          <w:kern w:val="2"/>
          <w:sz w:val="24"/>
          <w:szCs w:val="24"/>
          <w:highlight w:val="none"/>
          <w14:textFill>
            <w14:solidFill>
              <w14:schemeClr w14:val="tx1"/>
            </w14:solidFill>
          </w14:textFill>
        </w:rPr>
        <w:t>本单位</w:t>
      </w:r>
      <w:r>
        <w:rPr>
          <w:rFonts w:hint="eastAsia" w:cs="Times New Roman"/>
          <w:color w:val="000000" w:themeColor="text1"/>
          <w:kern w:val="2"/>
          <w:sz w:val="24"/>
          <w:szCs w:val="22"/>
          <w:highlight w:val="none"/>
          <w14:textFill>
            <w14:solidFill>
              <w14:schemeClr w14:val="tx1"/>
            </w14:solidFill>
          </w14:textFill>
        </w:rPr>
        <w:t>郑重</w:t>
      </w:r>
      <w:r>
        <w:rPr>
          <w:rFonts w:hint="eastAsia" w:cs="Times New Roman"/>
          <w:color w:val="000000" w:themeColor="text1"/>
          <w:spacing w:val="6"/>
          <w:kern w:val="2"/>
          <w:sz w:val="24"/>
          <w:szCs w:val="24"/>
          <w:highlight w:val="none"/>
          <w14:textFill>
            <w14:solidFill>
              <w14:schemeClr w14:val="tx1"/>
            </w14:solidFill>
          </w14:textFill>
        </w:rPr>
        <w:t>声明，根据《财政部 民政部 中国残疾人联合会关于促进残疾人就业政府采购政策的通知》（财库</w:t>
      </w:r>
      <w:r>
        <w:rPr>
          <w:rFonts w:hint="eastAsia" w:cs="Times New Roman"/>
          <w:color w:val="000000" w:themeColor="text1"/>
          <w:kern w:val="2"/>
          <w:sz w:val="24"/>
          <w:szCs w:val="24"/>
          <w:highlight w:val="none"/>
          <w14:textFill>
            <w14:solidFill>
              <w14:schemeClr w14:val="tx1"/>
            </w14:solidFill>
          </w14:textFill>
        </w:rPr>
        <w:t>〔2017〕141</w:t>
      </w:r>
      <w:r>
        <w:rPr>
          <w:rFonts w:hint="eastAsia" w:cs="Times New Roman"/>
          <w:color w:val="000000" w:themeColor="text1"/>
          <w:spacing w:val="6"/>
          <w:kern w:val="2"/>
          <w:sz w:val="24"/>
          <w:szCs w:val="24"/>
          <w:highlight w:val="none"/>
          <w14:textFill>
            <w14:solidFill>
              <w14:schemeClr w14:val="tx1"/>
            </w14:solidFill>
          </w14:textFill>
        </w:rPr>
        <w:t>号）的规定，</w:t>
      </w:r>
      <w:r>
        <w:rPr>
          <w:rFonts w:hint="eastAsia" w:asciiTheme="minorEastAsia" w:hAnsiTheme="minorEastAsia" w:eastAsiaTheme="minorEastAsia"/>
          <w:color w:val="000000" w:themeColor="text1"/>
          <w:spacing w:val="6"/>
          <w:sz w:val="24"/>
          <w:szCs w:val="24"/>
          <w:highlight w:val="none"/>
          <w14:textFill>
            <w14:solidFill>
              <w14:schemeClr w14:val="tx1"/>
            </w14:solidFill>
          </w14:textFill>
        </w:rPr>
        <w:t>本单位为</w:t>
      </w:r>
      <w:r>
        <w:rPr>
          <w:rFonts w:hint="eastAsia" w:asciiTheme="minorEastAsia" w:hAnsiTheme="minorEastAsia" w:eastAsiaTheme="minorEastAsia"/>
          <w:bCs/>
          <w:color w:val="000000" w:themeColor="text1"/>
          <w:sz w:val="24"/>
          <w:szCs w:val="24"/>
          <w:highlight w:val="none"/>
          <w14:textFill>
            <w14:solidFill>
              <w14:schemeClr w14:val="tx1"/>
            </w14:solidFill>
          </w14:textFill>
        </w:rPr>
        <w:t>符合</w:t>
      </w:r>
      <w:r>
        <w:rPr>
          <w:rFonts w:hint="eastAsia" w:asciiTheme="minorEastAsia" w:hAnsiTheme="minorEastAsia" w:eastAsiaTheme="minorEastAsia"/>
          <w:color w:val="000000" w:themeColor="text1"/>
          <w:spacing w:val="6"/>
          <w:sz w:val="24"/>
          <w:szCs w:val="24"/>
          <w:highlight w:val="none"/>
          <w14:textFill>
            <w14:solidFill>
              <w14:schemeClr w14:val="tx1"/>
            </w14:solidFill>
          </w14:textFill>
        </w:rPr>
        <w:t>条件的残疾人福利性单位，且本单位参加</w:t>
      </w:r>
      <w:r>
        <w:rPr>
          <w:rFonts w:hint="eastAsia" w:asciiTheme="minorEastAsia" w:hAnsiTheme="minorEastAsia" w:eastAsiaTheme="minorEastAsia"/>
          <w:color w:val="000000" w:themeColor="text1"/>
          <w:spacing w:val="6"/>
          <w:sz w:val="24"/>
          <w:szCs w:val="24"/>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pacing w:val="6"/>
          <w:sz w:val="24"/>
          <w:szCs w:val="24"/>
          <w:highlight w:val="none"/>
          <w14:textFill>
            <w14:solidFill>
              <w14:schemeClr w14:val="tx1"/>
            </w14:solidFill>
          </w14:textFill>
        </w:rPr>
        <w:t>单位的</w:t>
      </w:r>
      <w:r>
        <w:rPr>
          <w:rFonts w:hint="eastAsia" w:asciiTheme="minorEastAsia" w:hAnsiTheme="minorEastAsia" w:eastAsiaTheme="minorEastAsia"/>
          <w:color w:val="000000" w:themeColor="text1"/>
          <w:spacing w:val="6"/>
          <w:sz w:val="24"/>
          <w:szCs w:val="24"/>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pacing w:val="6"/>
          <w:sz w:val="24"/>
          <w:szCs w:val="24"/>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60024C75">
      <w:pPr>
        <w:spacing w:line="360" w:lineRule="auto"/>
        <w:ind w:firstLine="435"/>
        <w:rPr>
          <w:rFonts w:cs="Times New Roman"/>
          <w:color w:val="000000" w:themeColor="text1"/>
          <w:spacing w:val="6"/>
          <w:kern w:val="2"/>
          <w:sz w:val="24"/>
          <w:szCs w:val="24"/>
          <w:highlight w:val="none"/>
          <w14:textFill>
            <w14:solidFill>
              <w14:schemeClr w14:val="tx1"/>
            </w14:solidFill>
          </w14:textFill>
        </w:rPr>
      </w:pPr>
      <w:r>
        <w:rPr>
          <w:rFonts w:hint="eastAsia" w:cs="Times New Roman"/>
          <w:color w:val="000000" w:themeColor="text1"/>
          <w:spacing w:val="6"/>
          <w:kern w:val="2"/>
          <w:sz w:val="24"/>
          <w:szCs w:val="24"/>
          <w:highlight w:val="none"/>
          <w14:textFill>
            <w14:solidFill>
              <w14:schemeClr w14:val="tx1"/>
            </w14:solidFill>
          </w14:textFill>
        </w:rPr>
        <w:t>本单位对上述声明的真实性负责。如有虚假，将依法承担相应责任。</w:t>
      </w:r>
    </w:p>
    <w:p w14:paraId="533C1BA4">
      <w:pPr>
        <w:spacing w:line="360" w:lineRule="auto"/>
        <w:ind w:firstLine="4228" w:firstLineChars="1762"/>
        <w:rPr>
          <w:rFonts w:cs="Times New Roman"/>
          <w:color w:val="000000" w:themeColor="text1"/>
          <w:kern w:val="2"/>
          <w:sz w:val="24"/>
          <w:szCs w:val="24"/>
          <w:highlight w:val="none"/>
          <w14:textFill>
            <w14:solidFill>
              <w14:schemeClr w14:val="tx1"/>
            </w14:solidFill>
          </w14:textFill>
        </w:rPr>
      </w:pPr>
    </w:p>
    <w:p w14:paraId="43FD3513">
      <w:pPr>
        <w:spacing w:line="360" w:lineRule="auto"/>
        <w:ind w:firstLine="4228" w:firstLineChars="1762"/>
        <w:rPr>
          <w:rFonts w:cs="Times New Roman"/>
          <w:color w:val="000000" w:themeColor="text1"/>
          <w:kern w:val="2"/>
          <w:sz w:val="24"/>
          <w:szCs w:val="24"/>
          <w:highlight w:val="none"/>
          <w14:textFill>
            <w14:solidFill>
              <w14:schemeClr w14:val="tx1"/>
            </w14:solidFill>
          </w14:textFill>
        </w:rPr>
      </w:pPr>
    </w:p>
    <w:p w14:paraId="63E9F337">
      <w:pPr>
        <w:spacing w:line="360" w:lineRule="auto"/>
        <w:ind w:firstLine="4228" w:firstLineChars="1762"/>
        <w:rPr>
          <w:rFonts w:cs="Times New Roman"/>
          <w:color w:val="000000" w:themeColor="text1"/>
          <w:kern w:val="2"/>
          <w:sz w:val="24"/>
          <w:szCs w:val="24"/>
          <w:highlight w:val="none"/>
          <w:u w:val="single"/>
          <w14:textFill>
            <w14:solidFill>
              <w14:schemeClr w14:val="tx1"/>
            </w14:solidFill>
          </w14:textFill>
        </w:rPr>
      </w:pPr>
      <w:r>
        <w:rPr>
          <w:rFonts w:hint="eastAsia" w:cs="Times New Roman"/>
          <w:color w:val="000000" w:themeColor="text1"/>
          <w:kern w:val="2"/>
          <w:sz w:val="24"/>
          <w:szCs w:val="24"/>
          <w:highlight w:val="none"/>
          <w14:textFill>
            <w14:solidFill>
              <w14:schemeClr w14:val="tx1"/>
            </w14:solidFill>
          </w14:textFill>
        </w:rPr>
        <w:t>供应商</w:t>
      </w:r>
      <w:r>
        <w:rPr>
          <w:rFonts w:cs="Times New Roman"/>
          <w:color w:val="000000" w:themeColor="text1"/>
          <w:kern w:val="2"/>
          <w:sz w:val="24"/>
          <w:szCs w:val="24"/>
          <w:highlight w:val="none"/>
          <w14:textFill>
            <w14:solidFill>
              <w14:schemeClr w14:val="tx1"/>
            </w14:solidFill>
          </w14:textFill>
        </w:rPr>
        <w:t>电子签章</w:t>
      </w:r>
      <w:r>
        <w:rPr>
          <w:rFonts w:hint="eastAsia" w:cs="Times New Roman"/>
          <w:color w:val="000000" w:themeColor="text1"/>
          <w:kern w:val="2"/>
          <w:sz w:val="24"/>
          <w:szCs w:val="24"/>
          <w:highlight w:val="none"/>
          <w14:textFill>
            <w14:solidFill>
              <w14:schemeClr w14:val="tx1"/>
            </w14:solidFill>
          </w14:textFill>
        </w:rPr>
        <w:t>：</w:t>
      </w:r>
      <w:r>
        <w:rPr>
          <w:rFonts w:cs="Times New Roman"/>
          <w:color w:val="000000" w:themeColor="text1"/>
          <w:kern w:val="2"/>
          <w:sz w:val="24"/>
          <w:szCs w:val="24"/>
          <w:highlight w:val="none"/>
          <w:u w:val="single"/>
          <w14:textFill>
            <w14:solidFill>
              <w14:schemeClr w14:val="tx1"/>
            </w14:solidFill>
          </w14:textFill>
        </w:rPr>
        <w:t xml:space="preserve">             </w:t>
      </w:r>
    </w:p>
    <w:p w14:paraId="2124729A">
      <w:pPr>
        <w:tabs>
          <w:tab w:val="left" w:pos="4620"/>
        </w:tabs>
        <w:spacing w:line="360" w:lineRule="auto"/>
        <w:ind w:firstLine="4252" w:firstLineChars="1772"/>
        <w:rPr>
          <w:rFonts w:cs="Times New Roman"/>
          <w:color w:val="000000" w:themeColor="text1"/>
          <w:kern w:val="2"/>
          <w:sz w:val="24"/>
          <w:szCs w:val="24"/>
          <w:highlight w:val="none"/>
          <w:u w:val="single"/>
          <w14:textFill>
            <w14:solidFill>
              <w14:schemeClr w14:val="tx1"/>
            </w14:solidFill>
          </w14:textFill>
        </w:rPr>
      </w:pPr>
      <w:r>
        <w:rPr>
          <w:rFonts w:hint="eastAsia" w:cs="Times New Roman"/>
          <w:color w:val="000000" w:themeColor="text1"/>
          <w:kern w:val="2"/>
          <w:sz w:val="24"/>
          <w:szCs w:val="24"/>
          <w:highlight w:val="none"/>
          <w14:textFill>
            <w14:solidFill>
              <w14:schemeClr w14:val="tx1"/>
            </w14:solidFill>
          </w14:textFill>
        </w:rPr>
        <w:t>日</w:t>
      </w:r>
      <w:r>
        <w:rPr>
          <w:rFonts w:cs="Times New Roman"/>
          <w:color w:val="000000" w:themeColor="text1"/>
          <w:kern w:val="2"/>
          <w:sz w:val="24"/>
          <w:szCs w:val="24"/>
          <w:highlight w:val="none"/>
          <w14:textFill>
            <w14:solidFill>
              <w14:schemeClr w14:val="tx1"/>
            </w14:solidFill>
          </w14:textFill>
        </w:rPr>
        <w:t xml:space="preserve">      </w:t>
      </w:r>
      <w:r>
        <w:rPr>
          <w:rFonts w:hint="eastAsia" w:cs="Times New Roman"/>
          <w:color w:val="000000" w:themeColor="text1"/>
          <w:kern w:val="2"/>
          <w:sz w:val="24"/>
          <w:szCs w:val="24"/>
          <w:highlight w:val="none"/>
          <w14:textFill>
            <w14:solidFill>
              <w14:schemeClr w14:val="tx1"/>
            </w14:solidFill>
          </w14:textFill>
        </w:rPr>
        <w:t xml:space="preserve">    期：</w:t>
      </w:r>
      <w:r>
        <w:rPr>
          <w:rFonts w:cs="Times New Roman"/>
          <w:color w:val="000000" w:themeColor="text1"/>
          <w:kern w:val="2"/>
          <w:sz w:val="24"/>
          <w:szCs w:val="24"/>
          <w:highlight w:val="none"/>
          <w:u w:val="single"/>
          <w14:textFill>
            <w14:solidFill>
              <w14:schemeClr w14:val="tx1"/>
            </w14:solidFill>
          </w14:textFill>
        </w:rPr>
        <w:t xml:space="preserve">             </w:t>
      </w:r>
    </w:p>
    <w:p w14:paraId="0E4D4DD2">
      <w:pPr>
        <w:widowControl/>
        <w:jc w:val="left"/>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br w:type="page"/>
      </w:r>
    </w:p>
    <w:p w14:paraId="46AF3CE4">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706" w:name="_Toc17768"/>
      <w:bookmarkStart w:id="707" w:name="_Toc26894"/>
      <w:bookmarkStart w:id="708" w:name="_Hlk44283088"/>
      <w:r>
        <w:rPr>
          <w:rFonts w:hint="eastAsia" w:asciiTheme="minorEastAsia" w:hAnsiTheme="minorEastAsia" w:eastAsiaTheme="minorEastAsia"/>
          <w:b/>
          <w:color w:val="000000" w:themeColor="text1"/>
          <w:sz w:val="24"/>
          <w:highlight w:val="none"/>
          <w14:textFill>
            <w14:solidFill>
              <w14:schemeClr w14:val="tx1"/>
            </w14:solidFill>
          </w14:textFill>
        </w:rPr>
        <w:t>八、诚信履约承诺函</w:t>
      </w:r>
      <w:bookmarkEnd w:id="706"/>
      <w:bookmarkEnd w:id="707"/>
    </w:p>
    <w:p w14:paraId="4BBFDB3B">
      <w:pPr>
        <w:spacing w:line="360" w:lineRule="auto"/>
        <w:rPr>
          <w:rFonts w:cs="@仿宋_GB2312" w:asciiTheme="minorEastAsia" w:hAnsiTheme="minorEastAsia" w:eastAsiaTheme="minorEastAsia"/>
          <w:b/>
          <w:bCs/>
          <w:color w:val="000000" w:themeColor="text1"/>
          <w:kern w:val="2"/>
          <w:sz w:val="24"/>
          <w:highlight w:val="none"/>
          <w14:textFill>
            <w14:solidFill>
              <w14:schemeClr w14:val="tx1"/>
            </w14:solidFill>
          </w14:textFill>
        </w:rPr>
      </w:pPr>
    </w:p>
    <w:p w14:paraId="1A4A4F90">
      <w:pPr>
        <w:spacing w:line="360" w:lineRule="auto"/>
        <w:rPr>
          <w:rFonts w:hint="default" w:cs="@仿宋_GB2312" w:asciiTheme="minorEastAsia" w:hAnsiTheme="minorEastAsia" w:eastAsiaTheme="minorEastAsia"/>
          <w:b/>
          <w:bCs/>
          <w:color w:val="000000" w:themeColor="text1"/>
          <w:kern w:val="2"/>
          <w:sz w:val="24"/>
          <w:highlight w:val="none"/>
          <w:u w:val="single"/>
          <w:lang w:val="en-US" w:eastAsia="zh-CN"/>
          <w14:textFill>
            <w14:solidFill>
              <w14:schemeClr w14:val="tx1"/>
            </w14:solidFill>
          </w14:textFill>
        </w:rPr>
      </w:pPr>
      <w:r>
        <w:rPr>
          <w:rFonts w:hint="eastAsia" w:cs="@仿宋_GB2312" w:asciiTheme="minorEastAsia" w:hAnsiTheme="minorEastAsia" w:eastAsiaTheme="minorEastAsia"/>
          <w:b/>
          <w:bCs/>
          <w:color w:val="000000" w:themeColor="text1"/>
          <w:kern w:val="2"/>
          <w:sz w:val="24"/>
          <w:highlight w:val="none"/>
          <w14:textFill>
            <w14:solidFill>
              <w14:schemeClr w14:val="tx1"/>
            </w14:solidFill>
          </w14:textFill>
        </w:rPr>
        <w:t>致：</w:t>
      </w:r>
      <w:r>
        <w:rPr>
          <w:rFonts w:hint="eastAsia" w:cs="@仿宋_GB2312" w:asciiTheme="minorEastAsia" w:hAnsiTheme="minorEastAsia" w:eastAsiaTheme="minorEastAsia"/>
          <w:b/>
          <w:bCs/>
          <w:color w:val="000000" w:themeColor="text1"/>
          <w:kern w:val="2"/>
          <w:sz w:val="24"/>
          <w:highlight w:val="none"/>
          <w:u w:val="single"/>
          <w:lang w:val="en-US" w:eastAsia="zh-CN"/>
          <w14:textFill>
            <w14:solidFill>
              <w14:schemeClr w14:val="tx1"/>
            </w14:solidFill>
          </w14:textFill>
        </w:rPr>
        <w:t xml:space="preserve">           </w:t>
      </w:r>
    </w:p>
    <w:p w14:paraId="2FDAF4B8">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若我单位被确定为本项目成交供应商，我单位承诺在合同签订及履约过程中将严格执行《中华人民共和国政府采购法》、《中华人民共和国政府采购法实施条例》及本项目采购文件的相关规定，并郑重承诺如下：</w:t>
      </w:r>
    </w:p>
    <w:p w14:paraId="7DEB1387">
      <w:pPr>
        <w:spacing w:line="360" w:lineRule="auto"/>
        <w:ind w:firstLine="480" w:firstLineChars="200"/>
        <w:rPr>
          <w:rFonts w:cs="@仿宋_GB2312" w:asciiTheme="minorEastAsia" w:hAnsiTheme="minorEastAsia" w:eastAsiaTheme="minorEastAsia"/>
          <w:bCs/>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1）我单位响应文件全部为真实、有效，若存在虚假响应，一经查实，无条件同意采购人取消我单位成交资格或合同甲方解除合同，同时愿意承担因此造成的一切损失和处罚，包括但不限于信用惩戒、限制响应资格等。</w:t>
      </w:r>
    </w:p>
    <w:p w14:paraId="3E591655">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（2）</w:t>
      </w:r>
      <w:r>
        <w:rPr>
          <w:rFonts w:hint="eastAsia" w:asciiTheme="minorEastAsia" w:hAnsiTheme="minorEastAsia" w:eastAsiaTheme="minorEastAsia"/>
          <w:b/>
          <w:color w:val="000000" w:themeColor="text1"/>
          <w:sz w:val="24"/>
          <w:highlight w:val="none"/>
          <w14:textFill>
            <w14:solidFill>
              <w14:schemeClr w14:val="tx1"/>
            </w14:solidFill>
          </w14:textFill>
        </w:rPr>
        <w:t>成交通知书发送之日起10日历天内，</w:t>
      </w:r>
      <w:r>
        <w:rPr>
          <w:rFonts w:hint="eastAsia" w:asciiTheme="minorEastAsia" w:hAnsiTheme="minorEastAsia" w:eastAsiaTheme="minorEastAsia"/>
          <w:bCs/>
          <w:color w:val="000000" w:themeColor="text1"/>
          <w:sz w:val="24"/>
          <w:highlight w:val="none"/>
          <w14:textFill>
            <w14:solidFill>
              <w14:schemeClr w14:val="tx1"/>
            </w14:solidFill>
          </w14:textFill>
        </w:rPr>
        <w:t>按照响应文件提供自备机械设备、项目组成员，并为所有项目人员购买</w:t>
      </w:r>
      <w:r>
        <w:rPr>
          <w:rFonts w:hint="eastAsia" w:cs="宋体"/>
          <w:b/>
          <w:bCs/>
          <w:color w:val="000000" w:themeColor="text1"/>
          <w:sz w:val="24"/>
          <w:szCs w:val="24"/>
          <w:highlight w:val="none"/>
          <w:u w:val="single"/>
          <w14:textFill>
            <w14:solidFill>
              <w14:schemeClr w14:val="tx1"/>
            </w14:solidFill>
          </w14:textFill>
        </w:rPr>
        <w:t>雇主责任险或团体意外险或安全生产责任险</w:t>
      </w:r>
      <w:r>
        <w:rPr>
          <w:rFonts w:hint="eastAsia" w:asciiTheme="minorEastAsia" w:hAnsiTheme="minorEastAsia" w:eastAsiaTheme="minorEastAsia"/>
          <w:bCs/>
          <w:color w:val="000000" w:themeColor="text1"/>
          <w:sz w:val="24"/>
          <w:highlight w:val="none"/>
          <w14:textFill>
            <w14:solidFill>
              <w14:schemeClr w14:val="tx1"/>
            </w14:solidFill>
          </w14:textFill>
        </w:rPr>
        <w:t>，进场作业前由甲方验证，若不能按时提供，无条件同意采购人取消</w:t>
      </w: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我单位</w:t>
      </w:r>
      <w:r>
        <w:rPr>
          <w:rFonts w:hint="eastAsia" w:asciiTheme="minorEastAsia" w:hAnsiTheme="minorEastAsia" w:eastAsiaTheme="minorEastAsia"/>
          <w:bCs/>
          <w:color w:val="000000" w:themeColor="text1"/>
          <w:sz w:val="24"/>
          <w:highlight w:val="none"/>
          <w14:textFill>
            <w14:solidFill>
              <w14:schemeClr w14:val="tx1"/>
            </w14:solidFill>
          </w14:textFill>
        </w:rPr>
        <w:t>成交资格或合同甲方解除合同，同时愿意承担因此造成的一切损失和处罚，包括但不限于信用惩戒、限制响应资格等。</w:t>
      </w:r>
    </w:p>
    <w:p w14:paraId="7ABA911E">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（3）</w:t>
      </w:r>
      <w:r>
        <w:rPr>
          <w:rFonts w:hint="eastAsia" w:asciiTheme="minorEastAsia" w:hAnsiTheme="minorEastAsia" w:eastAsiaTheme="minorEastAsia"/>
          <w:bCs/>
          <w:color w:val="000000" w:themeColor="text1"/>
          <w:sz w:val="24"/>
          <w:highlight w:val="none"/>
          <w14:textFill>
            <w14:solidFill>
              <w14:schemeClr w14:val="tx1"/>
            </w14:solidFill>
          </w14:textFill>
        </w:rPr>
        <w:t>项目履约过程中，质量、进度及安全严格按照采购文件要求执行，并自愿服从合同甲方监管，若出现不服从现场监管，无条件同意采购人取消</w:t>
      </w: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我单位</w:t>
      </w:r>
      <w:r>
        <w:rPr>
          <w:rFonts w:hint="eastAsia" w:asciiTheme="minorEastAsia" w:hAnsiTheme="minorEastAsia" w:eastAsiaTheme="minorEastAsia"/>
          <w:bCs/>
          <w:color w:val="000000" w:themeColor="text1"/>
          <w:sz w:val="24"/>
          <w:highlight w:val="none"/>
          <w14:textFill>
            <w14:solidFill>
              <w14:schemeClr w14:val="tx1"/>
            </w14:solidFill>
          </w14:textFill>
        </w:rPr>
        <w:t>成交资格或合同甲方解除合同，并愿意承担因此造成的一切损失和处罚，包括但不限于信用惩戒、限制响应资格等。</w:t>
      </w:r>
    </w:p>
    <w:p w14:paraId="625E2EB9">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（4）作业过程中如出现作业人员未有效佩戴现场安全防护必需的安全帽、安全绳、救生衣以及其他必需的作业防护等安全防护用品，发生不安全行为的，每出现一次，从项目结算价中自愿核减1000元，减完为止。</w:t>
      </w:r>
    </w:p>
    <w:p w14:paraId="52334EBD">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（5）合同履约期间，所有项目人员突发疾病、意外等造成的人员伤亡及财产损失均由我单位负责承担，并全额赔偿因此给采购人或第三方造成的损失。</w:t>
      </w:r>
    </w:p>
    <w:p w14:paraId="15609935">
      <w:pPr>
        <w:spacing w:line="360" w:lineRule="auto"/>
        <w:ind w:firstLine="480" w:firstLineChars="200"/>
        <w:rPr>
          <w:rFonts w:cs="@仿宋_GB2312" w:asciiTheme="minorEastAsia" w:hAnsiTheme="minorEastAsia" w:eastAsiaTheme="minorEastAsia"/>
          <w:bCs/>
          <w:color w:val="000000" w:themeColor="text1"/>
          <w:kern w:val="2"/>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（6）在项目发生投诉、信访举报案件、履约存在争议时，拒绝协助配合调查的，无条件同意采购人取消</w:t>
      </w: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我单位</w:t>
      </w:r>
      <w:r>
        <w:rPr>
          <w:rFonts w:hint="eastAsia" w:asciiTheme="minorEastAsia" w:hAnsiTheme="minorEastAsia" w:eastAsiaTheme="minorEastAsia"/>
          <w:bCs/>
          <w:color w:val="000000" w:themeColor="text1"/>
          <w:sz w:val="24"/>
          <w:highlight w:val="none"/>
          <w14:textFill>
            <w14:solidFill>
              <w14:schemeClr w14:val="tx1"/>
            </w14:solidFill>
          </w14:textFill>
        </w:rPr>
        <w:t>成交资格或合同甲方解除合同，并愿意承担因此造成的一切损失和处罚，包括但不限于信用惩戒、限制响应资格等。</w:t>
      </w:r>
    </w:p>
    <w:p w14:paraId="35E232FD">
      <w:pPr>
        <w:spacing w:line="360" w:lineRule="auto"/>
        <w:rPr>
          <w:rFonts w:cs="@仿宋_GB2312" w:asciiTheme="minorEastAsia" w:hAnsiTheme="minorEastAsia" w:eastAsiaTheme="minorEastAsia"/>
          <w:bCs/>
          <w:color w:val="000000" w:themeColor="text1"/>
          <w:kern w:val="2"/>
          <w:sz w:val="24"/>
          <w:highlight w:val="none"/>
          <w14:textFill>
            <w14:solidFill>
              <w14:schemeClr w14:val="tx1"/>
            </w14:solidFill>
          </w14:textFill>
        </w:rPr>
      </w:pPr>
    </w:p>
    <w:p w14:paraId="41CAD83F">
      <w:pPr>
        <w:spacing w:line="360" w:lineRule="auto"/>
        <w:ind w:firstLine="4320" w:firstLineChars="1800"/>
        <w:rPr>
          <w:rFonts w:cs="@仿宋_GB2312" w:asciiTheme="minorEastAsia" w:hAnsiTheme="minorEastAsia" w:eastAsiaTheme="minorEastAsia"/>
          <w:bCs/>
          <w:color w:val="000000" w:themeColor="text1"/>
          <w:kern w:val="2"/>
          <w:sz w:val="24"/>
          <w:highlight w:val="none"/>
          <w:u w:val="single"/>
          <w14:textFill>
            <w14:solidFill>
              <w14:schemeClr w14:val="tx1"/>
            </w14:solidFill>
          </w14:textFill>
        </w:rPr>
      </w:pP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供应商电子签章：</w:t>
      </w:r>
      <w:r>
        <w:rPr>
          <w:rFonts w:hint="eastAsia" w:cs="@仿宋_GB2312" w:asciiTheme="minorEastAsia" w:hAnsiTheme="minorEastAsia" w:eastAsiaTheme="minorEastAsia"/>
          <w:bCs/>
          <w:color w:val="000000" w:themeColor="text1"/>
          <w:kern w:val="2"/>
          <w:sz w:val="24"/>
          <w:highlight w:val="none"/>
          <w:u w:val="single"/>
          <w14:textFill>
            <w14:solidFill>
              <w14:schemeClr w14:val="tx1"/>
            </w14:solidFill>
          </w14:textFill>
        </w:rPr>
        <w:t xml:space="preserve">     </w:t>
      </w:r>
      <w:r>
        <w:rPr>
          <w:rFonts w:cs="@仿宋_GB2312" w:asciiTheme="minorEastAsia" w:hAnsiTheme="minorEastAsia" w:eastAsiaTheme="minorEastAsia"/>
          <w:bCs/>
          <w:color w:val="000000" w:themeColor="text1"/>
          <w:kern w:val="2"/>
          <w:sz w:val="24"/>
          <w:highlight w:val="none"/>
          <w:u w:val="single"/>
          <w14:textFill>
            <w14:solidFill>
              <w14:schemeClr w14:val="tx1"/>
            </w14:solidFill>
          </w14:textFill>
        </w:rPr>
        <w:t xml:space="preserve">    </w:t>
      </w:r>
      <w:r>
        <w:rPr>
          <w:rFonts w:hint="eastAsia" w:cs="@仿宋_GB2312" w:asciiTheme="minorEastAsia" w:hAnsiTheme="minorEastAsia" w:eastAsiaTheme="minorEastAsia"/>
          <w:bCs/>
          <w:color w:val="000000" w:themeColor="text1"/>
          <w:kern w:val="2"/>
          <w:sz w:val="24"/>
          <w:highlight w:val="none"/>
          <w:u w:val="single"/>
          <w14:textFill>
            <w14:solidFill>
              <w14:schemeClr w14:val="tx1"/>
            </w14:solidFill>
          </w14:textFill>
        </w:rPr>
        <w:t xml:space="preserve">    </w:t>
      </w:r>
    </w:p>
    <w:p w14:paraId="1DD6B58A">
      <w:pPr>
        <w:spacing w:line="360" w:lineRule="auto"/>
        <w:ind w:firstLine="4320" w:firstLineChars="1800"/>
        <w:rPr>
          <w:rFonts w:cs="@仿宋_GB2312" w:asciiTheme="minorEastAsia" w:hAnsiTheme="minorEastAsia" w:eastAsiaTheme="minorEastAsia"/>
          <w:bCs/>
          <w:color w:val="000000" w:themeColor="text1"/>
          <w:kern w:val="2"/>
          <w:sz w:val="24"/>
          <w:highlight w:val="none"/>
          <w14:textFill>
            <w14:solidFill>
              <w14:schemeClr w14:val="tx1"/>
            </w14:solidFill>
          </w14:textFill>
        </w:rPr>
      </w:pPr>
      <w:r>
        <w:rPr>
          <w:rFonts w:hint="eastAsia" w:cs="@仿宋_GB2312" w:asciiTheme="minorEastAsia" w:hAnsiTheme="minorEastAsia" w:eastAsiaTheme="minorEastAsia"/>
          <w:bCs/>
          <w:color w:val="000000" w:themeColor="text1"/>
          <w:kern w:val="2"/>
          <w:sz w:val="24"/>
          <w:highlight w:val="none"/>
          <w14:textFill>
            <w14:solidFill>
              <w14:schemeClr w14:val="tx1"/>
            </w14:solidFill>
          </w14:textFill>
        </w:rPr>
        <w:t>日          期：</w:t>
      </w:r>
      <w:r>
        <w:rPr>
          <w:rFonts w:hint="eastAsia" w:cs="@仿宋_GB2312" w:asciiTheme="minorEastAsia" w:hAnsiTheme="minorEastAsia" w:eastAsiaTheme="minorEastAsia"/>
          <w:bCs/>
          <w:color w:val="000000" w:themeColor="text1"/>
          <w:kern w:val="2"/>
          <w:sz w:val="24"/>
          <w:highlight w:val="none"/>
          <w:u w:val="single"/>
          <w14:textFill>
            <w14:solidFill>
              <w14:schemeClr w14:val="tx1"/>
            </w14:solidFill>
          </w14:textFill>
        </w:rPr>
        <w:t xml:space="preserve">             </w:t>
      </w:r>
    </w:p>
    <w:p w14:paraId="50FF4201">
      <w:pPr>
        <w:widowControl/>
        <w:jc w:val="left"/>
        <w:rPr>
          <w:rFonts w:asciiTheme="minorEastAsia" w:hAnsiTheme="minorEastAsia" w:eastAsiaTheme="minorEastAsia"/>
          <w:b/>
          <w:color w:val="000000" w:themeColor="text1"/>
          <w:sz w:val="24"/>
          <w:highlight w:val="none"/>
          <w14:textFill>
            <w14:solidFill>
              <w14:schemeClr w14:val="tx1"/>
            </w14:solidFill>
          </w14:textFill>
        </w:rPr>
      </w:pPr>
      <w:r>
        <w:rPr>
          <w:rFonts w:asciiTheme="minorEastAsia" w:hAnsiTheme="minorEastAsia" w:eastAsiaTheme="minorEastAsia"/>
          <w:b/>
          <w:color w:val="000000" w:themeColor="text1"/>
          <w:sz w:val="24"/>
          <w:highlight w:val="none"/>
          <w14:textFill>
            <w14:solidFill>
              <w14:schemeClr w14:val="tx1"/>
            </w14:solidFill>
          </w14:textFill>
        </w:rPr>
        <w:br w:type="page"/>
      </w:r>
    </w:p>
    <w:bookmarkEnd w:id="708"/>
    <w:p w14:paraId="6B93F627">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bookmarkStart w:id="709" w:name="_Toc28645"/>
      <w:bookmarkStart w:id="710" w:name="_Toc8176"/>
      <w:r>
        <w:rPr>
          <w:rFonts w:hint="eastAsia" w:asciiTheme="minorEastAsia" w:hAnsiTheme="minorEastAsia" w:eastAsiaTheme="minorEastAsia"/>
          <w:b/>
          <w:color w:val="000000" w:themeColor="text1"/>
          <w:sz w:val="24"/>
          <w:highlight w:val="none"/>
          <w14:textFill>
            <w14:solidFill>
              <w14:schemeClr w14:val="tx1"/>
            </w14:solidFill>
          </w14:textFill>
        </w:rPr>
        <w:t>九、其他相关证明材料</w:t>
      </w:r>
      <w:bookmarkEnd w:id="709"/>
      <w:bookmarkEnd w:id="710"/>
    </w:p>
    <w:p w14:paraId="2657358C">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提供符合磋商邀请、采购需求及评标方法和标准规定的相关证明文件。</w:t>
      </w:r>
    </w:p>
    <w:p w14:paraId="7AAE0D9A">
      <w:pPr>
        <w:spacing w:line="360" w:lineRule="auto"/>
        <w:ind w:firstLine="480" w:firstLineChars="200"/>
        <w:rPr>
          <w:rFonts w:asciiTheme="minorEastAsia" w:hAnsiTheme="minorEastAsia" w:eastAsiaTheme="minorEastAsia"/>
          <w:color w:val="000000" w:themeColor="text1"/>
          <w:sz w:val="24"/>
          <w:highlight w:val="none"/>
          <w14:textFill>
            <w14:solidFill>
              <w14:schemeClr w14:val="tx1"/>
            </w14:solidFill>
          </w14:textFill>
        </w:rPr>
      </w:pPr>
    </w:p>
    <w:p w14:paraId="024CD3AC">
      <w:pPr>
        <w:spacing w:line="360" w:lineRule="auto"/>
        <w:ind w:firstLine="435"/>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特别提示：</w:t>
      </w:r>
    </w:p>
    <w:p w14:paraId="5861116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供应商在响应文件制作时可在此栏内上传磋商文件</w:t>
      </w:r>
      <w:r>
        <w:rPr>
          <w:rFonts w:asciiTheme="minorEastAsia" w:hAnsiTheme="minorEastAsia" w:eastAsiaTheme="minorEastAsia"/>
          <w:color w:val="000000" w:themeColor="text1"/>
          <w:sz w:val="24"/>
          <w:highlight w:val="none"/>
          <w14:textFill>
            <w14:solidFill>
              <w14:schemeClr w14:val="tx1"/>
            </w14:solidFill>
          </w14:textFill>
        </w:rPr>
        <w:t>要求上传的证明资料</w:t>
      </w:r>
      <w:r>
        <w:rPr>
          <w:rFonts w:hint="eastAsia" w:asciiTheme="minorEastAsia" w:hAnsiTheme="minorEastAsia" w:eastAsiaTheme="minorEastAsia"/>
          <w:color w:val="000000" w:themeColor="text1"/>
          <w:sz w:val="24"/>
          <w:highlight w:val="none"/>
          <w14:textFill>
            <w14:solidFill>
              <w14:schemeClr w14:val="tx1"/>
            </w14:solidFill>
          </w14:textFill>
        </w:rPr>
        <w:t>，如营业执照、证书</w:t>
      </w:r>
      <w:r>
        <w:rPr>
          <w:rFonts w:asciiTheme="minorEastAsia" w:hAnsiTheme="minorEastAsia" w:eastAsiaTheme="minorEastAsia"/>
          <w:color w:val="000000" w:themeColor="text1"/>
          <w:sz w:val="24"/>
          <w:highlight w:val="none"/>
          <w14:textFill>
            <w14:solidFill>
              <w14:schemeClr w14:val="tx1"/>
            </w14:solidFill>
          </w14:textFill>
        </w:rPr>
        <w:t>等，应将上述证明材料制作成扫描件上传。</w:t>
      </w:r>
    </w:p>
    <w:p w14:paraId="1EE469F2">
      <w:pPr>
        <w:pStyle w:val="49"/>
        <w:spacing w:before="0" w:beforeAutospacing="0" w:after="0" w:afterAutospacing="0" w:line="360" w:lineRule="auto"/>
        <w:ind w:firstLine="640"/>
        <w:jc w:val="both"/>
        <w:rPr>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br w:type="page"/>
      </w:r>
    </w:p>
    <w:p w14:paraId="3BC119C5">
      <w:pPr>
        <w:widowControl/>
        <w:jc w:val="center"/>
        <w:outlineLvl w:val="0"/>
        <w:rPr>
          <w:b/>
          <w:bCs/>
          <w:color w:val="000000" w:themeColor="text1"/>
          <w:sz w:val="28"/>
          <w:highlight w:val="none"/>
          <w14:textFill>
            <w14:solidFill>
              <w14:schemeClr w14:val="tx1"/>
            </w14:solidFill>
          </w14:textFill>
        </w:rPr>
      </w:pPr>
      <w:bookmarkStart w:id="711" w:name="_Toc24879"/>
      <w:r>
        <w:rPr>
          <w:rFonts w:hint="eastAsia"/>
          <w:b/>
          <w:bCs/>
          <w:color w:val="000000" w:themeColor="text1"/>
          <w:sz w:val="28"/>
          <w:highlight w:val="none"/>
          <w14:textFill>
            <w14:solidFill>
              <w14:schemeClr w14:val="tx1"/>
            </w14:solidFill>
          </w14:textFill>
        </w:rPr>
        <w:t>第七章  政府采购</w:t>
      </w:r>
      <w:r>
        <w:rPr>
          <w:rFonts w:hint="eastAsia" w:asciiTheme="minorEastAsia" w:hAnsiTheme="minorEastAsia" w:eastAsiaTheme="minorEastAsia"/>
          <w:b/>
          <w:color w:val="000000" w:themeColor="text1"/>
          <w:sz w:val="28"/>
          <w:highlight w:val="none"/>
          <w14:textFill>
            <w14:solidFill>
              <w14:schemeClr w14:val="tx1"/>
            </w14:solidFill>
          </w14:textFill>
        </w:rPr>
        <w:t>供应</w:t>
      </w:r>
      <w:r>
        <w:rPr>
          <w:rFonts w:hint="eastAsia"/>
          <w:b/>
          <w:bCs/>
          <w:color w:val="000000" w:themeColor="text1"/>
          <w:sz w:val="28"/>
          <w:highlight w:val="none"/>
          <w14:textFill>
            <w14:solidFill>
              <w14:schemeClr w14:val="tx1"/>
            </w14:solidFill>
          </w14:textFill>
        </w:rPr>
        <w:t>商询问函和质疑函范本</w:t>
      </w:r>
      <w:bookmarkEnd w:id="711"/>
    </w:p>
    <w:p w14:paraId="7A065E86">
      <w:pPr>
        <w:spacing w:line="360" w:lineRule="auto"/>
        <w:jc w:val="center"/>
        <w:outlineLvl w:val="1"/>
        <w:rPr>
          <w:rFonts w:ascii="仿宋" w:hAnsi="仿宋" w:eastAsia="仿宋" w:cs="仿宋"/>
          <w:b/>
          <w:bCs/>
          <w:color w:val="000000" w:themeColor="text1"/>
          <w:sz w:val="32"/>
          <w:szCs w:val="44"/>
          <w:highlight w:val="none"/>
          <w14:textFill>
            <w14:solidFill>
              <w14:schemeClr w14:val="tx1"/>
            </w14:solidFill>
          </w14:textFill>
        </w:rPr>
      </w:pPr>
      <w:bookmarkStart w:id="712" w:name="_Toc26448"/>
      <w:bookmarkStart w:id="713" w:name="_Toc2290"/>
      <w:r>
        <w:rPr>
          <w:rFonts w:hint="eastAsia" w:ascii="仿宋" w:hAnsi="仿宋" w:eastAsia="仿宋" w:cs="仿宋"/>
          <w:b/>
          <w:bCs/>
          <w:color w:val="000000" w:themeColor="text1"/>
          <w:sz w:val="32"/>
          <w:szCs w:val="44"/>
          <w:highlight w:val="none"/>
          <w14:textFill>
            <w14:solidFill>
              <w14:schemeClr w14:val="tx1"/>
            </w14:solidFill>
          </w14:textFill>
        </w:rPr>
        <w:t>询问函范本</w:t>
      </w:r>
      <w:bookmarkEnd w:id="712"/>
      <w:bookmarkEnd w:id="713"/>
    </w:p>
    <w:p w14:paraId="61653137">
      <w:pPr>
        <w:adjustRightInd w:val="0"/>
        <w:snapToGrid w:val="0"/>
        <w:spacing w:line="360" w:lineRule="auto"/>
        <w:ind w:firstLine="480" w:firstLineChars="200"/>
        <w:jc w:val="center"/>
        <w:rPr>
          <w:rFonts w:ascii="仿宋" w:hAnsi="仿宋" w:eastAsia="仿宋" w:cs="仿宋"/>
          <w:b/>
          <w:bCs/>
          <w:color w:val="000000" w:themeColor="text1"/>
          <w:sz w:val="32"/>
          <w:szCs w:val="44"/>
          <w:highlight w:val="none"/>
          <w14:textFill>
            <w14:solidFill>
              <w14:schemeClr w14:val="tx1"/>
            </w14:solidFill>
          </w14:textFill>
        </w:rPr>
      </w:pPr>
      <w:r>
        <w:rPr>
          <w:rFonts w:hint="eastAsia" w:cs="仿宋" w:asciiTheme="minorEastAsia" w:hAnsiTheme="minorEastAsia" w:eastAsiaTheme="minorEastAsia"/>
          <w:i/>
          <w:iCs/>
          <w:color w:val="000000" w:themeColor="text1"/>
          <w:sz w:val="24"/>
          <w:szCs w:val="24"/>
          <w:highlight w:val="none"/>
          <w14:textFill>
            <w14:solidFill>
              <w14:schemeClr w14:val="tx1"/>
            </w14:solidFill>
          </w14:textFill>
        </w:rPr>
        <w:t>（如为对采购文件或采购程序的询问或疑问，请按询问函范本或电子交易系统中网上询问格式附件进行提交）</w:t>
      </w:r>
    </w:p>
    <w:p w14:paraId="021DF29C">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致：采购人</w:t>
      </w:r>
    </w:p>
    <w:p w14:paraId="51F1062A">
      <w:pPr>
        <w:adjustRightInd w:val="0"/>
        <w:snapToGrid w:val="0"/>
        <w:spacing w:line="360" w:lineRule="auto"/>
        <w:ind w:firstLine="480" w:firstLineChars="200"/>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我单位拟参与</w:t>
      </w:r>
      <w:r>
        <w:rPr>
          <w:rFonts w:hint="eastAsia" w:cs="仿宋"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w:t>
      </w:r>
      <w:r>
        <w:rPr>
          <w:rFonts w:hint="eastAsia" w:cs="仿宋" w:asciiTheme="minorEastAsia" w:hAnsiTheme="minorEastAsia" w:eastAsiaTheme="minorEastAsia"/>
          <w:i/>
          <w:iCs/>
          <w:color w:val="000000" w:themeColor="text1"/>
          <w:sz w:val="24"/>
          <w:szCs w:val="24"/>
          <w:highlight w:val="none"/>
          <w14:textFill>
            <w14:solidFill>
              <w14:schemeClr w14:val="tx1"/>
            </w14:solidFill>
          </w14:textFill>
        </w:rPr>
        <w:t>项目名称、编号</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）的采购活动，现有以下内容(或条款)存在疑问(或无法理解)，特提出询问。</w:t>
      </w:r>
    </w:p>
    <w:p w14:paraId="26865BA5">
      <w:pPr>
        <w:adjustRightInd w:val="0"/>
        <w:snapToGrid w:val="0"/>
        <w:spacing w:line="360" w:lineRule="auto"/>
        <w:ind w:firstLine="480" w:firstLineChars="200"/>
        <w:outlineLvl w:val="1"/>
        <w:rPr>
          <w:rFonts w:cs="仿宋" w:asciiTheme="minorEastAsia" w:hAnsiTheme="minorEastAsia" w:eastAsiaTheme="minorEastAsia"/>
          <w:color w:val="000000" w:themeColor="text1"/>
          <w:sz w:val="24"/>
          <w:szCs w:val="24"/>
          <w:highlight w:val="none"/>
          <w14:textFill>
            <w14:solidFill>
              <w14:schemeClr w14:val="tx1"/>
            </w14:solidFill>
          </w14:textFill>
        </w:rPr>
      </w:pPr>
      <w:bookmarkStart w:id="714" w:name="_Toc14234"/>
      <w:bookmarkStart w:id="715" w:name="_Toc32070"/>
      <w:r>
        <w:rPr>
          <w:rFonts w:hint="eastAsia" w:cs="仿宋" w:asciiTheme="minorEastAsia" w:hAnsiTheme="minorEastAsia" w:eastAsiaTheme="minorEastAsia"/>
          <w:color w:val="000000" w:themeColor="text1"/>
          <w:sz w:val="24"/>
          <w:szCs w:val="24"/>
          <w:highlight w:val="none"/>
          <w14:textFill>
            <w14:solidFill>
              <w14:schemeClr w14:val="tx1"/>
            </w14:solidFill>
          </w14:textFill>
        </w:rPr>
        <w:t>一、(事项一)</w:t>
      </w:r>
      <w:bookmarkEnd w:id="714"/>
      <w:bookmarkEnd w:id="715"/>
    </w:p>
    <w:p w14:paraId="0B768004">
      <w:pPr>
        <w:adjustRightInd w:val="0"/>
        <w:snapToGrid w:val="0"/>
        <w:spacing w:line="360" w:lineRule="auto"/>
        <w:ind w:firstLine="480" w:firstLineChars="200"/>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1、(内容或条款)</w:t>
      </w:r>
    </w:p>
    <w:p w14:paraId="5C19E055">
      <w:pPr>
        <w:adjustRightInd w:val="0"/>
        <w:snapToGrid w:val="0"/>
        <w:spacing w:line="360" w:lineRule="auto"/>
        <w:ind w:firstLine="480" w:firstLineChars="200"/>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2、(说明疑问或无法理解原因)</w:t>
      </w:r>
    </w:p>
    <w:p w14:paraId="67C016A3">
      <w:pPr>
        <w:adjustRightInd w:val="0"/>
        <w:snapToGrid w:val="0"/>
        <w:spacing w:line="360" w:lineRule="auto"/>
        <w:ind w:firstLine="480" w:firstLineChars="200"/>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3、(建议)</w:t>
      </w:r>
    </w:p>
    <w:p w14:paraId="4F314B6C">
      <w:pPr>
        <w:adjustRightInd w:val="0"/>
        <w:snapToGrid w:val="0"/>
        <w:spacing w:line="360" w:lineRule="auto"/>
        <w:ind w:firstLine="480" w:firstLineChars="200"/>
        <w:outlineLvl w:val="1"/>
        <w:rPr>
          <w:rFonts w:cs="仿宋" w:asciiTheme="minorEastAsia" w:hAnsiTheme="minorEastAsia" w:eastAsiaTheme="minorEastAsia"/>
          <w:color w:val="000000" w:themeColor="text1"/>
          <w:sz w:val="24"/>
          <w:szCs w:val="24"/>
          <w:highlight w:val="none"/>
          <w14:textFill>
            <w14:solidFill>
              <w14:schemeClr w14:val="tx1"/>
            </w14:solidFill>
          </w14:textFill>
        </w:rPr>
      </w:pPr>
      <w:bookmarkStart w:id="716" w:name="_Toc16507"/>
      <w:bookmarkStart w:id="717" w:name="_Toc6489"/>
      <w:r>
        <w:rPr>
          <w:rFonts w:hint="eastAsia" w:cs="仿宋" w:asciiTheme="minorEastAsia" w:hAnsiTheme="minorEastAsia" w:eastAsiaTheme="minorEastAsia"/>
          <w:color w:val="000000" w:themeColor="text1"/>
          <w:sz w:val="24"/>
          <w:szCs w:val="24"/>
          <w:highlight w:val="none"/>
          <w14:textFill>
            <w14:solidFill>
              <w14:schemeClr w14:val="tx1"/>
            </w14:solidFill>
          </w14:textFill>
        </w:rPr>
        <w:t>二、(事项二)</w:t>
      </w:r>
      <w:bookmarkEnd w:id="716"/>
      <w:bookmarkEnd w:id="717"/>
    </w:p>
    <w:p w14:paraId="312750C4">
      <w:pPr>
        <w:adjustRightInd w:val="0"/>
        <w:snapToGrid w:val="0"/>
        <w:spacing w:line="360" w:lineRule="auto"/>
        <w:ind w:firstLine="480" w:firstLineChars="200"/>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w:t>
      </w:r>
    </w:p>
    <w:p w14:paraId="4C524392">
      <w:pPr>
        <w:adjustRightInd w:val="0"/>
        <w:snapToGrid w:val="0"/>
        <w:spacing w:line="360" w:lineRule="auto"/>
        <w:ind w:firstLine="480" w:firstLineChars="200"/>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 xml:space="preserve">随附相关证明材料如下： </w:t>
      </w:r>
    </w:p>
    <w:p w14:paraId="0AF7261D">
      <w:pPr>
        <w:spacing w:line="360" w:lineRule="auto"/>
        <w:ind w:firstLine="4228" w:firstLineChars="1762"/>
        <w:rPr>
          <w:rFonts w:asciiTheme="minorEastAsia" w:hAnsiTheme="minorEastAsia" w:eastAsiaTheme="minorEastAsia"/>
          <w:color w:val="000000" w:themeColor="text1"/>
          <w:sz w:val="24"/>
          <w:highlight w:val="none"/>
          <w:u w:val="singl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联 系 人：</w:t>
      </w:r>
      <w:r>
        <w:rPr>
          <w:rFonts w:hint="eastAsia" w:asciiTheme="minorEastAsia" w:hAnsiTheme="minorEastAsia" w:eastAsiaTheme="minorEastAsia"/>
          <w:color w:val="000000" w:themeColor="text1"/>
          <w:sz w:val="24"/>
          <w:highlight w:val="none"/>
          <w:u w:val="single"/>
          <w14:textFill>
            <w14:solidFill>
              <w14:schemeClr w14:val="tx1"/>
            </w14:solidFill>
          </w14:textFill>
        </w:rPr>
        <w:t xml:space="preserve">              </w:t>
      </w:r>
    </w:p>
    <w:p w14:paraId="467DD37E">
      <w:pPr>
        <w:spacing w:line="360" w:lineRule="auto"/>
        <w:ind w:firstLine="4228" w:firstLineChars="1762"/>
        <w:rPr>
          <w:rFonts w:asciiTheme="minorEastAsia" w:hAnsiTheme="minorEastAsia" w:eastAsiaTheme="minorEastAsia"/>
          <w:color w:val="000000" w:themeColor="text1"/>
          <w:sz w:val="24"/>
          <w:highlight w:val="none"/>
          <w:u w:val="singl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联系电话：</w:t>
      </w:r>
      <w:r>
        <w:rPr>
          <w:rFonts w:hint="eastAsia" w:asciiTheme="minorEastAsia" w:hAnsiTheme="minorEastAsia" w:eastAsiaTheme="minorEastAsia"/>
          <w:color w:val="000000" w:themeColor="text1"/>
          <w:sz w:val="24"/>
          <w:highlight w:val="none"/>
          <w:u w:val="single"/>
          <w14:textFill>
            <w14:solidFill>
              <w14:schemeClr w14:val="tx1"/>
            </w14:solidFill>
          </w14:textFill>
        </w:rPr>
        <w:t xml:space="preserve">              </w:t>
      </w:r>
    </w:p>
    <w:p w14:paraId="64276203">
      <w:pPr>
        <w:tabs>
          <w:tab w:val="left" w:pos="630"/>
        </w:tabs>
        <w:spacing w:line="360" w:lineRule="auto"/>
        <w:ind w:firstLine="4228" w:firstLineChars="1762"/>
        <w:rPr>
          <w:rFonts w:asciiTheme="minorEastAsia" w:hAnsiTheme="minorEastAsia" w:eastAsiaTheme="minorEastAsia"/>
          <w:color w:val="000000" w:themeColor="text1"/>
          <w:sz w:val="24"/>
          <w:highlight w:val="none"/>
          <w:u w:val="singl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日    期：</w:t>
      </w:r>
      <w:r>
        <w:rPr>
          <w:rFonts w:hint="eastAsia" w:asciiTheme="minorEastAsia" w:hAnsiTheme="minorEastAsia" w:eastAsiaTheme="minorEastAsia"/>
          <w:color w:val="000000" w:themeColor="text1"/>
          <w:sz w:val="24"/>
          <w:highlight w:val="none"/>
          <w:u w:val="single"/>
          <w14:textFill>
            <w14:solidFill>
              <w14:schemeClr w14:val="tx1"/>
            </w14:solidFill>
          </w14:textFill>
        </w:rPr>
        <w:t xml:space="preserve">       </w:t>
      </w:r>
      <w:r>
        <w:rPr>
          <w:rFonts w:asciiTheme="minorEastAsia" w:hAnsiTheme="minorEastAsia" w:eastAsiaTheme="minorEastAsia"/>
          <w:color w:val="000000" w:themeColor="text1"/>
          <w:sz w:val="24"/>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 w:val="24"/>
          <w:highlight w:val="none"/>
          <w:u w:val="single"/>
          <w14:textFill>
            <w14:solidFill>
              <w14:schemeClr w14:val="tx1"/>
            </w14:solidFill>
          </w14:textFill>
        </w:rPr>
        <w:t xml:space="preserve">    </w:t>
      </w:r>
    </w:p>
    <w:p w14:paraId="55E7F3BE">
      <w:pPr>
        <w:rPr>
          <w:rFonts w:asciiTheme="minorEastAsia" w:hAnsiTheme="minorEastAsia" w:eastAsiaTheme="minorEastAsia"/>
          <w:b/>
          <w:color w:val="000000" w:themeColor="text1"/>
          <w:sz w:val="52"/>
          <w:highlight w:val="none"/>
          <w14:textFill>
            <w14:solidFill>
              <w14:schemeClr w14:val="tx1"/>
            </w14:solidFill>
          </w14:textFill>
        </w:rPr>
      </w:pPr>
      <w:r>
        <w:rPr>
          <w:rFonts w:hint="eastAsia" w:ascii="仿宋" w:hAnsi="仿宋" w:eastAsia="仿宋" w:cs="仿宋"/>
          <w:b/>
          <w:bCs/>
          <w:color w:val="000000" w:themeColor="text1"/>
          <w:sz w:val="32"/>
          <w:szCs w:val="44"/>
          <w:highlight w:val="none"/>
          <w14:textFill>
            <w14:solidFill>
              <w14:schemeClr w14:val="tx1"/>
            </w14:solidFill>
          </w14:textFill>
        </w:rPr>
        <w:br w:type="page"/>
      </w:r>
    </w:p>
    <w:p w14:paraId="3E7E9405">
      <w:pPr>
        <w:jc w:val="center"/>
        <w:outlineLvl w:val="1"/>
        <w:rPr>
          <w:rFonts w:ascii="仿宋" w:hAnsi="仿宋" w:eastAsia="仿宋" w:cs="仿宋"/>
          <w:b/>
          <w:bCs/>
          <w:color w:val="000000" w:themeColor="text1"/>
          <w:sz w:val="32"/>
          <w:szCs w:val="44"/>
          <w:highlight w:val="none"/>
          <w14:textFill>
            <w14:solidFill>
              <w14:schemeClr w14:val="tx1"/>
            </w14:solidFill>
          </w14:textFill>
        </w:rPr>
      </w:pPr>
      <w:bookmarkStart w:id="718" w:name="_Toc26224"/>
      <w:bookmarkStart w:id="719" w:name="_Toc4923"/>
      <w:r>
        <w:rPr>
          <w:rFonts w:hint="eastAsia" w:ascii="仿宋" w:hAnsi="仿宋" w:eastAsia="仿宋" w:cs="仿宋"/>
          <w:b/>
          <w:bCs/>
          <w:color w:val="000000" w:themeColor="text1"/>
          <w:sz w:val="32"/>
          <w:szCs w:val="44"/>
          <w:highlight w:val="none"/>
          <w14:textFill>
            <w14:solidFill>
              <w14:schemeClr w14:val="tx1"/>
            </w14:solidFill>
          </w14:textFill>
        </w:rPr>
        <w:t>质疑函范本</w:t>
      </w:r>
      <w:bookmarkEnd w:id="718"/>
      <w:bookmarkEnd w:id="719"/>
    </w:p>
    <w:p w14:paraId="19014F0C">
      <w:pPr>
        <w:adjustRightInd w:val="0"/>
        <w:snapToGrid w:val="0"/>
        <w:spacing w:before="312" w:beforeLines="100"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720" w:name="_Toc3847"/>
      <w:bookmarkStart w:id="721" w:name="_Toc10663"/>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一、质疑供应商基本信息</w:t>
      </w:r>
      <w:bookmarkEnd w:id="720"/>
      <w:bookmarkEnd w:id="721"/>
    </w:p>
    <w:p w14:paraId="624240EB">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质疑供应商：</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2C1751A">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地址：</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邮编：</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72B63857">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联系人：</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联系电话：</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39C4FE6">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授权代表：</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EB212C8">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联系电话：</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00874F89">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地址：</w:t>
      </w:r>
      <w:r>
        <w:rPr>
          <w:rFonts w:cs="仿宋" w:asciiTheme="minorEastAsia" w:hAnsiTheme="minorEastAsia" w:eastAsiaTheme="minorEastAsia"/>
          <w:color w:val="000000" w:themeColor="text1"/>
          <w:sz w:val="24"/>
          <w:szCs w:val="24"/>
          <w:highlight w:val="none"/>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邮编：</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6202FC2E">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722" w:name="_Toc19182"/>
      <w:bookmarkStart w:id="723" w:name="_Toc30012"/>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二、质疑项目基本情况</w:t>
      </w:r>
      <w:bookmarkEnd w:id="722"/>
      <w:bookmarkEnd w:id="723"/>
    </w:p>
    <w:p w14:paraId="27916082">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质疑项目的名称：</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0F301A78">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质疑项目的编号：</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包号：</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3742CC2">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采购人名称：</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AE5ED09">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采购文件获取日期：</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1C354F3">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724" w:name="_Toc21700"/>
      <w:bookmarkStart w:id="725" w:name="_Toc9989"/>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三、质疑事项具体内容</w:t>
      </w:r>
      <w:bookmarkEnd w:id="724"/>
      <w:bookmarkEnd w:id="725"/>
    </w:p>
    <w:p w14:paraId="7D9ED094">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质疑事项1：</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0B4C9F5">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事实依据：</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2B49026">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40ADAF9">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法律依据：</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F7F3BC7">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F251968">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质疑事项2</w:t>
      </w:r>
    </w:p>
    <w:p w14:paraId="2D4C9C00">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w:t>
      </w:r>
    </w:p>
    <w:p w14:paraId="6F097115">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726" w:name="_Toc19016"/>
      <w:bookmarkStart w:id="727" w:name="_Toc10625"/>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四、与质疑事项相关的质疑请求</w:t>
      </w:r>
      <w:bookmarkEnd w:id="726"/>
      <w:bookmarkEnd w:id="727"/>
    </w:p>
    <w:p w14:paraId="58441E99">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请求：</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856CA0B">
      <w:pPr>
        <w:spacing w:line="360" w:lineRule="auto"/>
        <w:rPr>
          <w:rFonts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签字(签章)：                   公章：                      </w:t>
      </w:r>
    </w:p>
    <w:p w14:paraId="4491E881">
      <w:pPr>
        <w:spacing w:line="360" w:lineRule="auto"/>
        <w:rPr>
          <w:rFonts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日期：    </w:t>
      </w:r>
    </w:p>
    <w:p w14:paraId="2C9174E8">
      <w:pPr>
        <w:widowControl/>
        <w:jc w:val="left"/>
        <w:rPr>
          <w:rFonts w:ascii="仿宋" w:hAnsi="仿宋" w:eastAsia="仿宋" w:cs="仿宋"/>
          <w:color w:val="000000" w:themeColor="text1"/>
          <w:sz w:val="32"/>
          <w:szCs w:val="32"/>
          <w:highlight w:val="none"/>
          <w14:textFill>
            <w14:solidFill>
              <w14:schemeClr w14:val="tx1"/>
            </w14:solidFill>
          </w14:textFill>
        </w:rPr>
      </w:pPr>
      <w:r>
        <w:rPr>
          <w:rFonts w:ascii="仿宋" w:hAnsi="仿宋" w:eastAsia="仿宋" w:cs="仿宋"/>
          <w:color w:val="000000" w:themeColor="text1"/>
          <w:sz w:val="32"/>
          <w:szCs w:val="32"/>
          <w:highlight w:val="none"/>
          <w14:textFill>
            <w14:solidFill>
              <w14:schemeClr w14:val="tx1"/>
            </w14:solidFill>
          </w14:textFill>
        </w:rPr>
        <w:br w:type="page"/>
      </w:r>
    </w:p>
    <w:p w14:paraId="633EAC2A">
      <w:pPr>
        <w:outlineLvl w:val="0"/>
        <w:rPr>
          <w:rFonts w:asciiTheme="minorEastAsia" w:hAnsiTheme="minorEastAsia" w:eastAsiaTheme="minorEastAsia"/>
          <w:b/>
          <w:color w:val="000000" w:themeColor="text1"/>
          <w:sz w:val="28"/>
          <w:szCs w:val="32"/>
          <w:highlight w:val="none"/>
          <w14:textFill>
            <w14:solidFill>
              <w14:schemeClr w14:val="tx1"/>
            </w14:solidFill>
          </w14:textFill>
        </w:rPr>
      </w:pPr>
      <w:bookmarkStart w:id="728" w:name="_Toc17684"/>
      <w:bookmarkStart w:id="729" w:name="_Toc25274"/>
      <w:r>
        <w:rPr>
          <w:rFonts w:hint="eastAsia" w:asciiTheme="minorEastAsia" w:hAnsiTheme="minorEastAsia" w:eastAsiaTheme="minorEastAsia"/>
          <w:b/>
          <w:color w:val="000000" w:themeColor="text1"/>
          <w:sz w:val="28"/>
          <w:szCs w:val="32"/>
          <w:highlight w:val="none"/>
          <w14:textFill>
            <w14:solidFill>
              <w14:schemeClr w14:val="tx1"/>
            </w14:solidFill>
          </w14:textFill>
        </w:rPr>
        <w:t>质疑函制作说明：</w:t>
      </w:r>
      <w:bookmarkEnd w:id="728"/>
      <w:bookmarkEnd w:id="729"/>
    </w:p>
    <w:p w14:paraId="765FB6D3">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1.供应商提出质疑时，应提交质疑函和必要的证明材料。</w:t>
      </w:r>
    </w:p>
    <w:p w14:paraId="50F5A840">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B4472CB">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3.质疑供应商若对项目的某一分包进行质疑，质疑函中应列明具体分包号。</w:t>
      </w:r>
    </w:p>
    <w:p w14:paraId="0BF4C3E5">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4.质疑函的质疑事项应具体、明确，并有必要的事实依据和法律依据。</w:t>
      </w:r>
    </w:p>
    <w:p w14:paraId="480BDC44">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5.质疑函的质疑请求应与质疑事项相关。</w:t>
      </w:r>
    </w:p>
    <w:p w14:paraId="0A0DFFC3">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sectPr>
      <w:headerReference r:id="rId11" w:type="default"/>
      <w:footerReference r:id="rId12"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user" w:date="2026-09-14T19:48:12Z" w:initials="u">
    <w:p w14:paraId="7F82CE35">
      <w:pPr>
        <w:pStyle w:val="16"/>
        <w:rPr>
          <w:rFonts w:hint="eastAsia" w:eastAsia="黑体"/>
          <w:lang w:eastAsia="zh-CN"/>
        </w:rPr>
      </w:pPr>
      <w:r>
        <w:rPr>
          <w:rFonts w:hint="eastAsia"/>
          <w:lang w:eastAsia="zh-CN"/>
        </w:rPr>
        <w:t>需调整描述</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F82CE3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MS Sans Serif">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monospace">
    <w:altName w:val="仿宋"/>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DejaVu Sans">
    <w:altName w:val="Segoe Print"/>
    <w:panose1 w:val="020B0603030804020204"/>
    <w:charset w:val="00"/>
    <w:family w:val="auto"/>
    <w:pitch w:val="default"/>
    <w:sig w:usb0="00000000" w:usb1="00000000" w:usb2="0A246029" w:usb3="0400200C" w:csb0="600001FF" w:csb1="DFFF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创艺简黑体">
    <w:altName w:val="黑体"/>
    <w:panose1 w:val="00000000000000000000"/>
    <w:charset w:val="7A"/>
    <w:family w:val="auto"/>
    <w:pitch w:val="default"/>
    <w:sig w:usb0="00000000" w:usb1="00000000" w:usb2="00000010" w:usb3="00000000" w:csb0="0004000A" w:csb1="00000000"/>
  </w:font>
  <w:font w:name="楷体">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9686C">
    <w:pPr>
      <w:pStyle w:val="3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65B53">
    <w:pPr>
      <w:pStyle w:val="32"/>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63A29">
                          <w:pPr>
                            <w:pStyle w:val="3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2F263A29">
                    <w:pPr>
                      <w:pStyle w:val="3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F22EC">
    <w:pPr>
      <w:pStyle w:val="32"/>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23694">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43123694">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9601F">
    <w:pPr>
      <w:pStyle w:val="32"/>
      <w:rPr>
        <w:rFonts w:asciiTheme="minorEastAsia" w:hAnsiTheme="minorEastAsia" w:eastAsiaTheme="minor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40F9B">
                          <w:pPr>
                            <w:pStyle w:val="32"/>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0D740F9B">
                    <w:pPr>
                      <w:pStyle w:val="32"/>
                    </w:pPr>
                    <w:r>
                      <w:fldChar w:fldCharType="begin"/>
                    </w:r>
                    <w:r>
                      <w:instrText xml:space="preserve"> PAGE  \* MERGEFORMAT </w:instrText>
                    </w:r>
                    <w:r>
                      <w:fldChar w:fldCharType="separate"/>
                    </w:r>
                    <w:r>
                      <w:t>88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308E0">
    <w:pPr>
      <w:pStyle w:val="33"/>
      <w:jc w:val="left"/>
    </w:pPr>
    <w:r>
      <w:rPr>
        <w:rFonts w:hint="eastAsia" w:asciiTheme="minorEastAsia" w:hAnsiTheme="minorEastAsia" w:eastAsiaTheme="minorEastAsia"/>
      </w:rPr>
      <w:t>安徽省政府采购项目竞争性磋商文件示范文本（工程类）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C770A">
    <w:pPr>
      <w:pStyle w:val="3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E31FF">
    <w:pPr>
      <w:pStyle w:val="33"/>
      <w:jc w:val="both"/>
    </w:pPr>
    <w:r>
      <w:rPr>
        <w:rFonts w:hint="eastAsia"/>
      </w:rPr>
      <w:t>安徽省政府采购项目竞争性磋商文件示范文本（</w:t>
    </w:r>
    <w:r>
      <w:rPr>
        <w:rFonts w:hint="eastAsia" w:asciiTheme="minorEastAsia" w:hAnsiTheme="minorEastAsia" w:eastAsiaTheme="minorEastAsia"/>
      </w:rPr>
      <w:t>工程类</w:t>
    </w:r>
    <w:r>
      <w:rPr>
        <w:rFonts w:hint="eastAsia"/>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B8D52">
    <w:pPr>
      <w:pStyle w:val="33"/>
      <w:jc w:val="left"/>
    </w:pPr>
    <w:r>
      <w:rPr>
        <w:rFonts w:hint="eastAsia" w:asciiTheme="minorEastAsia" w:hAnsiTheme="minorEastAsia" w:eastAsiaTheme="minorEastAsia"/>
      </w:rPr>
      <w:t>安徽省政府采购项目竞争性磋商文件示范文本（工程类）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21CA9"/>
    <w:multiLevelType w:val="singleLevel"/>
    <w:tmpl w:val="83121CA9"/>
    <w:lvl w:ilvl="0" w:tentative="0">
      <w:start w:val="1"/>
      <w:numFmt w:val="chineseCounting"/>
      <w:suff w:val="nothing"/>
      <w:lvlText w:val="%1、"/>
      <w:lvlJc w:val="left"/>
      <w:rPr>
        <w:rFonts w:hint="eastAsia"/>
      </w:rPr>
    </w:lvl>
  </w:abstractNum>
  <w:abstractNum w:abstractNumId="1">
    <w:nsid w:val="8E9CFF42"/>
    <w:multiLevelType w:val="singleLevel"/>
    <w:tmpl w:val="8E9CFF42"/>
    <w:lvl w:ilvl="0" w:tentative="0">
      <w:start w:val="1"/>
      <w:numFmt w:val="decimal"/>
      <w:lvlText w:val="(%1)"/>
      <w:lvlJc w:val="left"/>
      <w:pPr>
        <w:tabs>
          <w:tab w:val="left" w:pos="420"/>
        </w:tabs>
        <w:ind w:left="845" w:hanging="425"/>
      </w:pPr>
      <w:rPr>
        <w:rFonts w:hint="default"/>
      </w:rPr>
    </w:lvl>
  </w:abstractNum>
  <w:abstractNum w:abstractNumId="2">
    <w:nsid w:val="97BF563F"/>
    <w:multiLevelType w:val="singleLevel"/>
    <w:tmpl w:val="97BF563F"/>
    <w:lvl w:ilvl="0" w:tentative="0">
      <w:start w:val="1"/>
      <w:numFmt w:val="decimal"/>
      <w:suff w:val="nothing"/>
      <w:lvlText w:val="（%1）"/>
      <w:lvlJc w:val="left"/>
    </w:lvl>
  </w:abstractNum>
  <w:abstractNum w:abstractNumId="3">
    <w:nsid w:val="AC20A842"/>
    <w:multiLevelType w:val="singleLevel"/>
    <w:tmpl w:val="AC20A842"/>
    <w:lvl w:ilvl="0" w:tentative="0">
      <w:start w:val="1"/>
      <w:numFmt w:val="lowerLetter"/>
      <w:suff w:val="space"/>
      <w:lvlText w:val="%1."/>
      <w:lvlJc w:val="left"/>
    </w:lvl>
  </w:abstractNum>
  <w:abstractNum w:abstractNumId="4">
    <w:nsid w:val="C24A6640"/>
    <w:multiLevelType w:val="singleLevel"/>
    <w:tmpl w:val="C24A6640"/>
    <w:lvl w:ilvl="0" w:tentative="0">
      <w:start w:val="6"/>
      <w:numFmt w:val="decimal"/>
      <w:suff w:val="nothing"/>
      <w:lvlText w:val="（%1）"/>
      <w:lvlJc w:val="left"/>
    </w:lvl>
  </w:abstractNum>
  <w:abstractNum w:abstractNumId="5">
    <w:nsid w:val="CE5085AF"/>
    <w:multiLevelType w:val="singleLevel"/>
    <w:tmpl w:val="CE5085AF"/>
    <w:lvl w:ilvl="0" w:tentative="0">
      <w:start w:val="2"/>
      <w:numFmt w:val="decimal"/>
      <w:suff w:val="space"/>
      <w:lvlText w:val="%1."/>
      <w:lvlJc w:val="left"/>
    </w:lvl>
  </w:abstractNum>
  <w:abstractNum w:abstractNumId="6">
    <w:nsid w:val="D59201F4"/>
    <w:multiLevelType w:val="singleLevel"/>
    <w:tmpl w:val="D59201F4"/>
    <w:lvl w:ilvl="0" w:tentative="0">
      <w:start w:val="1"/>
      <w:numFmt w:val="decimal"/>
      <w:lvlText w:val="%1"/>
      <w:lvlJc w:val="left"/>
      <w:pPr>
        <w:tabs>
          <w:tab w:val="left" w:pos="420"/>
        </w:tabs>
        <w:ind w:left="425" w:hanging="425"/>
      </w:pPr>
      <w:rPr>
        <w:rFonts w:hint="default"/>
      </w:rPr>
    </w:lvl>
  </w:abstractNum>
  <w:abstractNum w:abstractNumId="7">
    <w:nsid w:val="E46385CC"/>
    <w:multiLevelType w:val="singleLevel"/>
    <w:tmpl w:val="E46385CC"/>
    <w:lvl w:ilvl="0" w:tentative="0">
      <w:start w:val="1"/>
      <w:numFmt w:val="decimal"/>
      <w:lvlText w:val="(%1)"/>
      <w:lvlJc w:val="left"/>
      <w:pPr>
        <w:tabs>
          <w:tab w:val="left" w:pos="420"/>
        </w:tabs>
        <w:ind w:left="845" w:hanging="425"/>
      </w:pPr>
      <w:rPr>
        <w:rFonts w:hint="default"/>
      </w:rPr>
    </w:lvl>
  </w:abstractNum>
  <w:abstractNum w:abstractNumId="8">
    <w:nsid w:val="3BCA99C1"/>
    <w:multiLevelType w:val="singleLevel"/>
    <w:tmpl w:val="3BCA99C1"/>
    <w:lvl w:ilvl="0" w:tentative="0">
      <w:start w:val="1"/>
      <w:numFmt w:val="decimal"/>
      <w:lvlText w:val="(%1)"/>
      <w:lvlJc w:val="left"/>
      <w:pPr>
        <w:tabs>
          <w:tab w:val="left" w:pos="420"/>
        </w:tabs>
        <w:ind w:left="845" w:hanging="425"/>
      </w:pPr>
      <w:rPr>
        <w:rFonts w:hint="default"/>
      </w:rPr>
    </w:lvl>
  </w:abstractNum>
  <w:abstractNum w:abstractNumId="9">
    <w:nsid w:val="3C768852"/>
    <w:multiLevelType w:val="singleLevel"/>
    <w:tmpl w:val="3C768852"/>
    <w:lvl w:ilvl="0" w:tentative="0">
      <w:start w:val="1"/>
      <w:numFmt w:val="decimal"/>
      <w:suff w:val="nothing"/>
      <w:lvlText w:val="（%1）"/>
      <w:lvlJc w:val="left"/>
    </w:lvl>
  </w:abstractNum>
  <w:abstractNum w:abstractNumId="10">
    <w:nsid w:val="4482DDAA"/>
    <w:multiLevelType w:val="singleLevel"/>
    <w:tmpl w:val="4482DDAA"/>
    <w:lvl w:ilvl="0" w:tentative="0">
      <w:start w:val="1"/>
      <w:numFmt w:val="decimal"/>
      <w:suff w:val="nothing"/>
      <w:lvlText w:val="（%1）"/>
      <w:lvlJc w:val="left"/>
    </w:lvl>
  </w:abstractNum>
  <w:abstractNum w:abstractNumId="11">
    <w:nsid w:val="762E37AD"/>
    <w:multiLevelType w:val="singleLevel"/>
    <w:tmpl w:val="762E37AD"/>
    <w:lvl w:ilvl="0" w:tentative="0">
      <w:start w:val="1"/>
      <w:numFmt w:val="decimal"/>
      <w:lvlText w:val="(%1)"/>
      <w:lvlJc w:val="left"/>
      <w:pPr>
        <w:tabs>
          <w:tab w:val="left" w:pos="420"/>
        </w:tabs>
        <w:ind w:left="845" w:hanging="425"/>
      </w:pPr>
      <w:rPr>
        <w:rFonts w:hint="default"/>
      </w:rPr>
    </w:lvl>
  </w:abstractNum>
  <w:abstractNum w:abstractNumId="12">
    <w:nsid w:val="7F7E5238"/>
    <w:multiLevelType w:val="multilevel"/>
    <w:tmpl w:val="7F7E5238"/>
    <w:lvl w:ilvl="0" w:tentative="0">
      <w:start w:val="1"/>
      <w:numFmt w:val="none"/>
      <w:pStyle w:val="168"/>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6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0"/>
      <w:lvlText w:val="           "/>
      <w:lvlJc w:val="left"/>
      <w:pPr>
        <w:tabs>
          <w:tab w:val="left" w:pos="1440"/>
        </w:tabs>
        <w:ind w:left="1152" w:hanging="1152"/>
      </w:pPr>
      <w:rPr>
        <w:rFonts w:hint="eastAsia"/>
      </w:rPr>
    </w:lvl>
    <w:lvl w:ilvl="6" w:tentative="0">
      <w:start w:val="1"/>
      <w:numFmt w:val="decimal"/>
      <w:pStyle w:val="172"/>
      <w:lvlText w:val="%1.%2.%3.%4.%5.%6.%7"/>
      <w:lvlJc w:val="left"/>
      <w:pPr>
        <w:tabs>
          <w:tab w:val="left" w:pos="2520"/>
        </w:tabs>
        <w:ind w:left="1296" w:hanging="1296"/>
      </w:pPr>
      <w:rPr>
        <w:rFonts w:hint="eastAsia"/>
      </w:rPr>
    </w:lvl>
    <w:lvl w:ilvl="7" w:tentative="0">
      <w:start w:val="1"/>
      <w:numFmt w:val="decimal"/>
      <w:pStyle w:val="174"/>
      <w:lvlText w:val="%1.%2.%3.%4.%5.%6.%7.%8"/>
      <w:lvlJc w:val="left"/>
      <w:pPr>
        <w:tabs>
          <w:tab w:val="left" w:pos="1440"/>
        </w:tabs>
        <w:ind w:left="1440" w:hanging="1440"/>
      </w:pPr>
      <w:rPr>
        <w:rFonts w:hint="eastAsia"/>
      </w:rPr>
    </w:lvl>
    <w:lvl w:ilvl="8" w:tentative="0">
      <w:start w:val="1"/>
      <w:numFmt w:val="decimal"/>
      <w:pStyle w:val="176"/>
      <w:lvlText w:val="%1.%2.%3.%4.%5.%6.%7.%8.%9"/>
      <w:lvlJc w:val="left"/>
      <w:pPr>
        <w:tabs>
          <w:tab w:val="left" w:pos="1584"/>
        </w:tabs>
        <w:ind w:left="1584" w:hanging="1584"/>
      </w:pPr>
      <w:rPr>
        <w:rFonts w:hint="eastAsia"/>
      </w:rPr>
    </w:lvl>
  </w:abstractNum>
  <w:num w:numId="1">
    <w:abstractNumId w:val="12"/>
  </w:num>
  <w:num w:numId="2">
    <w:abstractNumId w:val="4"/>
  </w:num>
  <w:num w:numId="3">
    <w:abstractNumId w:val="10"/>
  </w:num>
  <w:num w:numId="4">
    <w:abstractNumId w:val="8"/>
  </w:num>
  <w:num w:numId="5">
    <w:abstractNumId w:val="0"/>
  </w:num>
  <w:num w:numId="6">
    <w:abstractNumId w:val="9"/>
  </w:num>
  <w:num w:numId="7">
    <w:abstractNumId w:val="11"/>
  </w:num>
  <w:num w:numId="8">
    <w:abstractNumId w:val="1"/>
  </w:num>
  <w:num w:numId="9">
    <w:abstractNumId w:val="7"/>
  </w:num>
  <w:num w:numId="10">
    <w:abstractNumId w:val="5"/>
  </w:num>
  <w:num w:numId="11">
    <w:abstractNumId w:val="6"/>
  </w:num>
  <w:num w:numId="12">
    <w:abstractNumId w:val="3"/>
  </w:num>
  <w:num w:numId="1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7F9"/>
    <w:rsid w:val="000049DA"/>
    <w:rsid w:val="000056B7"/>
    <w:rsid w:val="00005914"/>
    <w:rsid w:val="00007D87"/>
    <w:rsid w:val="000131F7"/>
    <w:rsid w:val="00014039"/>
    <w:rsid w:val="00016B6C"/>
    <w:rsid w:val="00020B57"/>
    <w:rsid w:val="00020B6D"/>
    <w:rsid w:val="00022976"/>
    <w:rsid w:val="000323E2"/>
    <w:rsid w:val="00040C25"/>
    <w:rsid w:val="00042139"/>
    <w:rsid w:val="00042B14"/>
    <w:rsid w:val="00044F49"/>
    <w:rsid w:val="000450C3"/>
    <w:rsid w:val="0005061B"/>
    <w:rsid w:val="00050A3F"/>
    <w:rsid w:val="00054AA3"/>
    <w:rsid w:val="00056ECB"/>
    <w:rsid w:val="00057B40"/>
    <w:rsid w:val="000623EA"/>
    <w:rsid w:val="000648D2"/>
    <w:rsid w:val="00066AD7"/>
    <w:rsid w:val="00070E0E"/>
    <w:rsid w:val="0007146E"/>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DB1"/>
    <w:rsid w:val="000C6302"/>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3DC0"/>
    <w:rsid w:val="00155F64"/>
    <w:rsid w:val="001571EE"/>
    <w:rsid w:val="00157856"/>
    <w:rsid w:val="00157B7B"/>
    <w:rsid w:val="00160729"/>
    <w:rsid w:val="00162F2F"/>
    <w:rsid w:val="0016455F"/>
    <w:rsid w:val="00165398"/>
    <w:rsid w:val="00166794"/>
    <w:rsid w:val="00166ED8"/>
    <w:rsid w:val="001714C9"/>
    <w:rsid w:val="00171515"/>
    <w:rsid w:val="00172B93"/>
    <w:rsid w:val="001776E1"/>
    <w:rsid w:val="0018119B"/>
    <w:rsid w:val="001844AB"/>
    <w:rsid w:val="001853C7"/>
    <w:rsid w:val="001903BA"/>
    <w:rsid w:val="00192879"/>
    <w:rsid w:val="001944B8"/>
    <w:rsid w:val="00196DA3"/>
    <w:rsid w:val="001971E5"/>
    <w:rsid w:val="001974FD"/>
    <w:rsid w:val="001A0C0F"/>
    <w:rsid w:val="001A68E5"/>
    <w:rsid w:val="001B25BE"/>
    <w:rsid w:val="001B2A54"/>
    <w:rsid w:val="001B2BA4"/>
    <w:rsid w:val="001B5014"/>
    <w:rsid w:val="001B7327"/>
    <w:rsid w:val="001C1E34"/>
    <w:rsid w:val="001D22EA"/>
    <w:rsid w:val="001D487F"/>
    <w:rsid w:val="001D503E"/>
    <w:rsid w:val="001D53B4"/>
    <w:rsid w:val="001E1835"/>
    <w:rsid w:val="001E3498"/>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7ECE"/>
    <w:rsid w:val="00260382"/>
    <w:rsid w:val="00260B94"/>
    <w:rsid w:val="00264F2E"/>
    <w:rsid w:val="00271245"/>
    <w:rsid w:val="00273F66"/>
    <w:rsid w:val="00274A9E"/>
    <w:rsid w:val="00276BA1"/>
    <w:rsid w:val="00280984"/>
    <w:rsid w:val="002832CF"/>
    <w:rsid w:val="002835E3"/>
    <w:rsid w:val="00284542"/>
    <w:rsid w:val="002A0EE7"/>
    <w:rsid w:val="002A14D1"/>
    <w:rsid w:val="002A1A1D"/>
    <w:rsid w:val="002A28AD"/>
    <w:rsid w:val="002B04FD"/>
    <w:rsid w:val="002B5318"/>
    <w:rsid w:val="002B6D27"/>
    <w:rsid w:val="002B7A09"/>
    <w:rsid w:val="002C00C4"/>
    <w:rsid w:val="002C060C"/>
    <w:rsid w:val="002C078A"/>
    <w:rsid w:val="002D05DD"/>
    <w:rsid w:val="002D0E4D"/>
    <w:rsid w:val="002D2965"/>
    <w:rsid w:val="002D3D02"/>
    <w:rsid w:val="002D4CB5"/>
    <w:rsid w:val="002D5900"/>
    <w:rsid w:val="002D684B"/>
    <w:rsid w:val="002E003E"/>
    <w:rsid w:val="002E05AB"/>
    <w:rsid w:val="002E2142"/>
    <w:rsid w:val="002E2D3A"/>
    <w:rsid w:val="002E3B26"/>
    <w:rsid w:val="002E4406"/>
    <w:rsid w:val="002E4AB8"/>
    <w:rsid w:val="002E7FC4"/>
    <w:rsid w:val="0030667B"/>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259A"/>
    <w:rsid w:val="003E25C6"/>
    <w:rsid w:val="003E46E1"/>
    <w:rsid w:val="003F7528"/>
    <w:rsid w:val="004011AA"/>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407"/>
    <w:rsid w:val="004916E7"/>
    <w:rsid w:val="00491FF7"/>
    <w:rsid w:val="00492217"/>
    <w:rsid w:val="00494D24"/>
    <w:rsid w:val="004951D1"/>
    <w:rsid w:val="004960BB"/>
    <w:rsid w:val="004A1BA3"/>
    <w:rsid w:val="004A27D0"/>
    <w:rsid w:val="004A4D67"/>
    <w:rsid w:val="004B7E79"/>
    <w:rsid w:val="004C13CB"/>
    <w:rsid w:val="004C5B90"/>
    <w:rsid w:val="004D3D4B"/>
    <w:rsid w:val="004D4557"/>
    <w:rsid w:val="004D5498"/>
    <w:rsid w:val="004D66A5"/>
    <w:rsid w:val="004D6B00"/>
    <w:rsid w:val="004E1D50"/>
    <w:rsid w:val="004E3266"/>
    <w:rsid w:val="004E38BA"/>
    <w:rsid w:val="004E3EB6"/>
    <w:rsid w:val="004E50CA"/>
    <w:rsid w:val="004F27A0"/>
    <w:rsid w:val="0050027D"/>
    <w:rsid w:val="00501382"/>
    <w:rsid w:val="005048FB"/>
    <w:rsid w:val="00510798"/>
    <w:rsid w:val="005119B5"/>
    <w:rsid w:val="005125F1"/>
    <w:rsid w:val="005150CC"/>
    <w:rsid w:val="0052451A"/>
    <w:rsid w:val="00524A11"/>
    <w:rsid w:val="00527768"/>
    <w:rsid w:val="00530EA4"/>
    <w:rsid w:val="005327FB"/>
    <w:rsid w:val="00533251"/>
    <w:rsid w:val="00533FCA"/>
    <w:rsid w:val="005346EF"/>
    <w:rsid w:val="005369F1"/>
    <w:rsid w:val="005470D4"/>
    <w:rsid w:val="00547BAB"/>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7471"/>
    <w:rsid w:val="00610A66"/>
    <w:rsid w:val="006119B8"/>
    <w:rsid w:val="00613177"/>
    <w:rsid w:val="00613F7C"/>
    <w:rsid w:val="00614BF2"/>
    <w:rsid w:val="0061557C"/>
    <w:rsid w:val="006208E4"/>
    <w:rsid w:val="00623DE2"/>
    <w:rsid w:val="00627601"/>
    <w:rsid w:val="006300D0"/>
    <w:rsid w:val="00632012"/>
    <w:rsid w:val="00634694"/>
    <w:rsid w:val="00634D55"/>
    <w:rsid w:val="00636517"/>
    <w:rsid w:val="00636EE7"/>
    <w:rsid w:val="00637690"/>
    <w:rsid w:val="00640E1E"/>
    <w:rsid w:val="00641BA3"/>
    <w:rsid w:val="0064389A"/>
    <w:rsid w:val="00645442"/>
    <w:rsid w:val="006463BB"/>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82532"/>
    <w:rsid w:val="00690C2D"/>
    <w:rsid w:val="00690DB1"/>
    <w:rsid w:val="00693404"/>
    <w:rsid w:val="00693E5C"/>
    <w:rsid w:val="006953D9"/>
    <w:rsid w:val="006A1269"/>
    <w:rsid w:val="006A36E7"/>
    <w:rsid w:val="006A5803"/>
    <w:rsid w:val="006A65F3"/>
    <w:rsid w:val="006A69C3"/>
    <w:rsid w:val="006A7C15"/>
    <w:rsid w:val="006B1242"/>
    <w:rsid w:val="006B1DBC"/>
    <w:rsid w:val="006B1F84"/>
    <w:rsid w:val="006B3712"/>
    <w:rsid w:val="006B7D9A"/>
    <w:rsid w:val="006C06D9"/>
    <w:rsid w:val="006C3E22"/>
    <w:rsid w:val="006C5716"/>
    <w:rsid w:val="006C64B2"/>
    <w:rsid w:val="006C74A9"/>
    <w:rsid w:val="006D07DE"/>
    <w:rsid w:val="006D361A"/>
    <w:rsid w:val="006D5B6D"/>
    <w:rsid w:val="006D6A81"/>
    <w:rsid w:val="006D7213"/>
    <w:rsid w:val="006E06D9"/>
    <w:rsid w:val="006E1D40"/>
    <w:rsid w:val="006E2E1F"/>
    <w:rsid w:val="006E5059"/>
    <w:rsid w:val="006F4C5B"/>
    <w:rsid w:val="006F5F03"/>
    <w:rsid w:val="006F5FFF"/>
    <w:rsid w:val="006F7F4C"/>
    <w:rsid w:val="00701431"/>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4460B"/>
    <w:rsid w:val="007469DD"/>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E27D6"/>
    <w:rsid w:val="007E2B06"/>
    <w:rsid w:val="007E3921"/>
    <w:rsid w:val="00801028"/>
    <w:rsid w:val="00803793"/>
    <w:rsid w:val="00803E30"/>
    <w:rsid w:val="00804000"/>
    <w:rsid w:val="00805254"/>
    <w:rsid w:val="008101A2"/>
    <w:rsid w:val="00817A01"/>
    <w:rsid w:val="00820937"/>
    <w:rsid w:val="00823DDD"/>
    <w:rsid w:val="00825E35"/>
    <w:rsid w:val="00830A4E"/>
    <w:rsid w:val="008334F8"/>
    <w:rsid w:val="00834249"/>
    <w:rsid w:val="00835FFD"/>
    <w:rsid w:val="0084381F"/>
    <w:rsid w:val="00843E35"/>
    <w:rsid w:val="00845F72"/>
    <w:rsid w:val="00846020"/>
    <w:rsid w:val="0084791E"/>
    <w:rsid w:val="00850A91"/>
    <w:rsid w:val="008524CE"/>
    <w:rsid w:val="00856D9D"/>
    <w:rsid w:val="00857633"/>
    <w:rsid w:val="0086440C"/>
    <w:rsid w:val="008674ED"/>
    <w:rsid w:val="00874EE6"/>
    <w:rsid w:val="00876659"/>
    <w:rsid w:val="0087734C"/>
    <w:rsid w:val="00882141"/>
    <w:rsid w:val="00886BD4"/>
    <w:rsid w:val="00886CA2"/>
    <w:rsid w:val="008876EC"/>
    <w:rsid w:val="008922A8"/>
    <w:rsid w:val="00895BD5"/>
    <w:rsid w:val="0089613B"/>
    <w:rsid w:val="008A16C4"/>
    <w:rsid w:val="008A4A27"/>
    <w:rsid w:val="008A649F"/>
    <w:rsid w:val="008A6FED"/>
    <w:rsid w:val="008B0945"/>
    <w:rsid w:val="008B39C5"/>
    <w:rsid w:val="008B51AA"/>
    <w:rsid w:val="008C67F2"/>
    <w:rsid w:val="008C7E63"/>
    <w:rsid w:val="008D064A"/>
    <w:rsid w:val="008D2537"/>
    <w:rsid w:val="008D2B0F"/>
    <w:rsid w:val="008D5EE5"/>
    <w:rsid w:val="008D633C"/>
    <w:rsid w:val="008D76DA"/>
    <w:rsid w:val="008D7DB2"/>
    <w:rsid w:val="008E449E"/>
    <w:rsid w:val="008E4BDD"/>
    <w:rsid w:val="008E5387"/>
    <w:rsid w:val="008E770C"/>
    <w:rsid w:val="008F00F4"/>
    <w:rsid w:val="008F187F"/>
    <w:rsid w:val="008F402F"/>
    <w:rsid w:val="008F76E8"/>
    <w:rsid w:val="00904508"/>
    <w:rsid w:val="009078A1"/>
    <w:rsid w:val="00911E9C"/>
    <w:rsid w:val="00917405"/>
    <w:rsid w:val="00920F7C"/>
    <w:rsid w:val="00922718"/>
    <w:rsid w:val="00924743"/>
    <w:rsid w:val="00932A87"/>
    <w:rsid w:val="00934CAE"/>
    <w:rsid w:val="0093560E"/>
    <w:rsid w:val="0094257D"/>
    <w:rsid w:val="009443B6"/>
    <w:rsid w:val="00946F68"/>
    <w:rsid w:val="0095467C"/>
    <w:rsid w:val="00954A61"/>
    <w:rsid w:val="00955C6F"/>
    <w:rsid w:val="009634DD"/>
    <w:rsid w:val="00966C7B"/>
    <w:rsid w:val="009679A2"/>
    <w:rsid w:val="009701DC"/>
    <w:rsid w:val="009715D8"/>
    <w:rsid w:val="009811A8"/>
    <w:rsid w:val="00985C4F"/>
    <w:rsid w:val="00986E3C"/>
    <w:rsid w:val="00991460"/>
    <w:rsid w:val="009932CF"/>
    <w:rsid w:val="009941BF"/>
    <w:rsid w:val="00995BF9"/>
    <w:rsid w:val="009975CC"/>
    <w:rsid w:val="009A0CAF"/>
    <w:rsid w:val="009A2207"/>
    <w:rsid w:val="009B0EDA"/>
    <w:rsid w:val="009B6C42"/>
    <w:rsid w:val="009C3F38"/>
    <w:rsid w:val="009D2998"/>
    <w:rsid w:val="009D31F7"/>
    <w:rsid w:val="009D32C2"/>
    <w:rsid w:val="009D50DB"/>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0B4"/>
    <w:rsid w:val="00A63E86"/>
    <w:rsid w:val="00A75185"/>
    <w:rsid w:val="00A754A0"/>
    <w:rsid w:val="00A757C3"/>
    <w:rsid w:val="00A75E5B"/>
    <w:rsid w:val="00A75F4B"/>
    <w:rsid w:val="00A7684A"/>
    <w:rsid w:val="00A80C58"/>
    <w:rsid w:val="00A83B69"/>
    <w:rsid w:val="00A86533"/>
    <w:rsid w:val="00A91CA2"/>
    <w:rsid w:val="00A9220A"/>
    <w:rsid w:val="00A92FB8"/>
    <w:rsid w:val="00A948F1"/>
    <w:rsid w:val="00AA0BE3"/>
    <w:rsid w:val="00AA18F9"/>
    <w:rsid w:val="00AA1D7D"/>
    <w:rsid w:val="00AA2790"/>
    <w:rsid w:val="00AA3806"/>
    <w:rsid w:val="00AB01AC"/>
    <w:rsid w:val="00AB139D"/>
    <w:rsid w:val="00AB2A35"/>
    <w:rsid w:val="00AB2D05"/>
    <w:rsid w:val="00AB348D"/>
    <w:rsid w:val="00AB3EFB"/>
    <w:rsid w:val="00AC0B05"/>
    <w:rsid w:val="00AC1962"/>
    <w:rsid w:val="00AC7F9D"/>
    <w:rsid w:val="00AD079A"/>
    <w:rsid w:val="00AD1890"/>
    <w:rsid w:val="00AD6588"/>
    <w:rsid w:val="00AD7CCB"/>
    <w:rsid w:val="00AE2149"/>
    <w:rsid w:val="00AE2BF3"/>
    <w:rsid w:val="00AE33AE"/>
    <w:rsid w:val="00AE3F91"/>
    <w:rsid w:val="00AF5B63"/>
    <w:rsid w:val="00B0053D"/>
    <w:rsid w:val="00B00FF1"/>
    <w:rsid w:val="00B039E3"/>
    <w:rsid w:val="00B06D36"/>
    <w:rsid w:val="00B12BC4"/>
    <w:rsid w:val="00B22838"/>
    <w:rsid w:val="00B33E8F"/>
    <w:rsid w:val="00B33E95"/>
    <w:rsid w:val="00B3720B"/>
    <w:rsid w:val="00B372DF"/>
    <w:rsid w:val="00B420C8"/>
    <w:rsid w:val="00B45D0B"/>
    <w:rsid w:val="00B5558A"/>
    <w:rsid w:val="00B56513"/>
    <w:rsid w:val="00B5736B"/>
    <w:rsid w:val="00B576F1"/>
    <w:rsid w:val="00B6167E"/>
    <w:rsid w:val="00B61B64"/>
    <w:rsid w:val="00B64376"/>
    <w:rsid w:val="00B6570C"/>
    <w:rsid w:val="00B7401F"/>
    <w:rsid w:val="00B748E5"/>
    <w:rsid w:val="00B769CF"/>
    <w:rsid w:val="00B806C3"/>
    <w:rsid w:val="00B80D6F"/>
    <w:rsid w:val="00B84FCA"/>
    <w:rsid w:val="00B9089F"/>
    <w:rsid w:val="00B91826"/>
    <w:rsid w:val="00B91AEE"/>
    <w:rsid w:val="00B93568"/>
    <w:rsid w:val="00B95F5A"/>
    <w:rsid w:val="00B96EAD"/>
    <w:rsid w:val="00BA4B7C"/>
    <w:rsid w:val="00BA79F5"/>
    <w:rsid w:val="00BA7EA7"/>
    <w:rsid w:val="00BB3AB6"/>
    <w:rsid w:val="00BB766D"/>
    <w:rsid w:val="00BC007B"/>
    <w:rsid w:val="00BC26BA"/>
    <w:rsid w:val="00BC35F8"/>
    <w:rsid w:val="00BC403F"/>
    <w:rsid w:val="00BC481B"/>
    <w:rsid w:val="00BC6EB9"/>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220FC"/>
    <w:rsid w:val="00C24DFA"/>
    <w:rsid w:val="00C24F9D"/>
    <w:rsid w:val="00C2521C"/>
    <w:rsid w:val="00C30182"/>
    <w:rsid w:val="00C31FC9"/>
    <w:rsid w:val="00C37A63"/>
    <w:rsid w:val="00C42248"/>
    <w:rsid w:val="00C46A36"/>
    <w:rsid w:val="00C47037"/>
    <w:rsid w:val="00C509E3"/>
    <w:rsid w:val="00C53625"/>
    <w:rsid w:val="00C548BA"/>
    <w:rsid w:val="00C5679D"/>
    <w:rsid w:val="00C57784"/>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A4C7F"/>
    <w:rsid w:val="00CA5446"/>
    <w:rsid w:val="00CB14E5"/>
    <w:rsid w:val="00CB15F8"/>
    <w:rsid w:val="00CB218D"/>
    <w:rsid w:val="00CB377B"/>
    <w:rsid w:val="00CB5625"/>
    <w:rsid w:val="00CB5797"/>
    <w:rsid w:val="00CC1400"/>
    <w:rsid w:val="00CC1C17"/>
    <w:rsid w:val="00CC4CD2"/>
    <w:rsid w:val="00CC4F7F"/>
    <w:rsid w:val="00CD09E1"/>
    <w:rsid w:val="00CD1BB5"/>
    <w:rsid w:val="00CE1780"/>
    <w:rsid w:val="00CE4913"/>
    <w:rsid w:val="00CE66BD"/>
    <w:rsid w:val="00CF0671"/>
    <w:rsid w:val="00CF247A"/>
    <w:rsid w:val="00CF44AD"/>
    <w:rsid w:val="00CF4D7C"/>
    <w:rsid w:val="00CF4FC0"/>
    <w:rsid w:val="00CF7486"/>
    <w:rsid w:val="00D1072F"/>
    <w:rsid w:val="00D108A5"/>
    <w:rsid w:val="00D14585"/>
    <w:rsid w:val="00D153C8"/>
    <w:rsid w:val="00D169F2"/>
    <w:rsid w:val="00D20EFF"/>
    <w:rsid w:val="00D236BB"/>
    <w:rsid w:val="00D3019D"/>
    <w:rsid w:val="00D31324"/>
    <w:rsid w:val="00D4386E"/>
    <w:rsid w:val="00D51432"/>
    <w:rsid w:val="00D53ED8"/>
    <w:rsid w:val="00D541A0"/>
    <w:rsid w:val="00D5697F"/>
    <w:rsid w:val="00D64857"/>
    <w:rsid w:val="00D6493A"/>
    <w:rsid w:val="00D649A5"/>
    <w:rsid w:val="00D660EA"/>
    <w:rsid w:val="00D66833"/>
    <w:rsid w:val="00D67875"/>
    <w:rsid w:val="00D71E86"/>
    <w:rsid w:val="00D72F0F"/>
    <w:rsid w:val="00D731C6"/>
    <w:rsid w:val="00D745C5"/>
    <w:rsid w:val="00D75327"/>
    <w:rsid w:val="00D77D6B"/>
    <w:rsid w:val="00D801FE"/>
    <w:rsid w:val="00D80C36"/>
    <w:rsid w:val="00D81A32"/>
    <w:rsid w:val="00D86EE1"/>
    <w:rsid w:val="00D945DC"/>
    <w:rsid w:val="00D95E90"/>
    <w:rsid w:val="00D96126"/>
    <w:rsid w:val="00DA090D"/>
    <w:rsid w:val="00DA0FCD"/>
    <w:rsid w:val="00DA2FD5"/>
    <w:rsid w:val="00DB0C86"/>
    <w:rsid w:val="00DB4B1C"/>
    <w:rsid w:val="00DB5085"/>
    <w:rsid w:val="00DB619F"/>
    <w:rsid w:val="00DB7211"/>
    <w:rsid w:val="00DC1062"/>
    <w:rsid w:val="00DC132C"/>
    <w:rsid w:val="00DC181A"/>
    <w:rsid w:val="00DC5727"/>
    <w:rsid w:val="00DD13B9"/>
    <w:rsid w:val="00DD149F"/>
    <w:rsid w:val="00DD43F0"/>
    <w:rsid w:val="00DD44DE"/>
    <w:rsid w:val="00DE09AB"/>
    <w:rsid w:val="00DE352F"/>
    <w:rsid w:val="00DE4A3F"/>
    <w:rsid w:val="00DE5A99"/>
    <w:rsid w:val="00DF2880"/>
    <w:rsid w:val="00DF4367"/>
    <w:rsid w:val="00DF7291"/>
    <w:rsid w:val="00E03FF0"/>
    <w:rsid w:val="00E055BF"/>
    <w:rsid w:val="00E0574A"/>
    <w:rsid w:val="00E1243D"/>
    <w:rsid w:val="00E12742"/>
    <w:rsid w:val="00E146D4"/>
    <w:rsid w:val="00E14815"/>
    <w:rsid w:val="00E21D37"/>
    <w:rsid w:val="00E220ED"/>
    <w:rsid w:val="00E22B44"/>
    <w:rsid w:val="00E233AD"/>
    <w:rsid w:val="00E26EB1"/>
    <w:rsid w:val="00E30ACD"/>
    <w:rsid w:val="00E32735"/>
    <w:rsid w:val="00E34236"/>
    <w:rsid w:val="00E44B88"/>
    <w:rsid w:val="00E50BFA"/>
    <w:rsid w:val="00E66E36"/>
    <w:rsid w:val="00E702ED"/>
    <w:rsid w:val="00E709A4"/>
    <w:rsid w:val="00E71D4A"/>
    <w:rsid w:val="00E75917"/>
    <w:rsid w:val="00E772DB"/>
    <w:rsid w:val="00E86012"/>
    <w:rsid w:val="00E860CA"/>
    <w:rsid w:val="00E86BAB"/>
    <w:rsid w:val="00E92962"/>
    <w:rsid w:val="00E94E10"/>
    <w:rsid w:val="00E96743"/>
    <w:rsid w:val="00E96A42"/>
    <w:rsid w:val="00E97497"/>
    <w:rsid w:val="00EA046F"/>
    <w:rsid w:val="00EA49C5"/>
    <w:rsid w:val="00EA6279"/>
    <w:rsid w:val="00EA7B66"/>
    <w:rsid w:val="00EB402C"/>
    <w:rsid w:val="00EB5027"/>
    <w:rsid w:val="00EC1836"/>
    <w:rsid w:val="00EC3990"/>
    <w:rsid w:val="00EC484B"/>
    <w:rsid w:val="00EC7E58"/>
    <w:rsid w:val="00ED15FA"/>
    <w:rsid w:val="00ED5C9F"/>
    <w:rsid w:val="00EE050C"/>
    <w:rsid w:val="00EE2113"/>
    <w:rsid w:val="00EE5730"/>
    <w:rsid w:val="00EE6E9A"/>
    <w:rsid w:val="00EF2AC4"/>
    <w:rsid w:val="00EF397E"/>
    <w:rsid w:val="00EF762E"/>
    <w:rsid w:val="00F0340C"/>
    <w:rsid w:val="00F04CED"/>
    <w:rsid w:val="00F06F68"/>
    <w:rsid w:val="00F11241"/>
    <w:rsid w:val="00F11D35"/>
    <w:rsid w:val="00F15E9D"/>
    <w:rsid w:val="00F23FA7"/>
    <w:rsid w:val="00F24C2D"/>
    <w:rsid w:val="00F2717E"/>
    <w:rsid w:val="00F272C4"/>
    <w:rsid w:val="00F27D59"/>
    <w:rsid w:val="00F316E1"/>
    <w:rsid w:val="00F32155"/>
    <w:rsid w:val="00F32A81"/>
    <w:rsid w:val="00F40C82"/>
    <w:rsid w:val="00F4197F"/>
    <w:rsid w:val="00F438EE"/>
    <w:rsid w:val="00F44F2A"/>
    <w:rsid w:val="00F45367"/>
    <w:rsid w:val="00F46998"/>
    <w:rsid w:val="00F5093F"/>
    <w:rsid w:val="00F5382D"/>
    <w:rsid w:val="00F53D9C"/>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B30"/>
    <w:rsid w:val="00F933B9"/>
    <w:rsid w:val="00F94674"/>
    <w:rsid w:val="00F94919"/>
    <w:rsid w:val="00F94A59"/>
    <w:rsid w:val="00FA25B6"/>
    <w:rsid w:val="00FA2FAF"/>
    <w:rsid w:val="00FA54F6"/>
    <w:rsid w:val="00FA64B1"/>
    <w:rsid w:val="00FA70F3"/>
    <w:rsid w:val="00FA71CD"/>
    <w:rsid w:val="00FA7C66"/>
    <w:rsid w:val="00FB0453"/>
    <w:rsid w:val="00FB0C07"/>
    <w:rsid w:val="00FB298D"/>
    <w:rsid w:val="00FB3171"/>
    <w:rsid w:val="00FB38B5"/>
    <w:rsid w:val="00FB444E"/>
    <w:rsid w:val="00FB5DC9"/>
    <w:rsid w:val="00FC1439"/>
    <w:rsid w:val="00FC3F65"/>
    <w:rsid w:val="00FC5007"/>
    <w:rsid w:val="00FC724B"/>
    <w:rsid w:val="00FC7910"/>
    <w:rsid w:val="00FD01E0"/>
    <w:rsid w:val="00FD50FC"/>
    <w:rsid w:val="00FE1627"/>
    <w:rsid w:val="00FE2D4E"/>
    <w:rsid w:val="00FF092F"/>
    <w:rsid w:val="00FF0DA7"/>
    <w:rsid w:val="00FF2DF6"/>
    <w:rsid w:val="00FF44E0"/>
    <w:rsid w:val="00FF6C72"/>
    <w:rsid w:val="010E429B"/>
    <w:rsid w:val="01216A43"/>
    <w:rsid w:val="04455E46"/>
    <w:rsid w:val="04637B4D"/>
    <w:rsid w:val="049468D5"/>
    <w:rsid w:val="05271DFF"/>
    <w:rsid w:val="05D967D3"/>
    <w:rsid w:val="060605CB"/>
    <w:rsid w:val="060D5ED0"/>
    <w:rsid w:val="064F0377"/>
    <w:rsid w:val="06EE74DB"/>
    <w:rsid w:val="072015CC"/>
    <w:rsid w:val="077C4500"/>
    <w:rsid w:val="082367D8"/>
    <w:rsid w:val="08617CF0"/>
    <w:rsid w:val="09164338"/>
    <w:rsid w:val="093E5132"/>
    <w:rsid w:val="099C3247"/>
    <w:rsid w:val="0B34273F"/>
    <w:rsid w:val="0B5759D8"/>
    <w:rsid w:val="0B584B6B"/>
    <w:rsid w:val="0B9A6428"/>
    <w:rsid w:val="0BC76A6E"/>
    <w:rsid w:val="0BD069A1"/>
    <w:rsid w:val="0C0B76AE"/>
    <w:rsid w:val="0C695EBF"/>
    <w:rsid w:val="0C764D16"/>
    <w:rsid w:val="0D3E7892"/>
    <w:rsid w:val="0DB72352"/>
    <w:rsid w:val="0DBD6920"/>
    <w:rsid w:val="0DD405FA"/>
    <w:rsid w:val="0DFC12FE"/>
    <w:rsid w:val="0DFF1A91"/>
    <w:rsid w:val="0E30091C"/>
    <w:rsid w:val="0E583FA9"/>
    <w:rsid w:val="0EB116DF"/>
    <w:rsid w:val="0EB977F0"/>
    <w:rsid w:val="0EB9796D"/>
    <w:rsid w:val="0ED93BBF"/>
    <w:rsid w:val="0FC76BB7"/>
    <w:rsid w:val="0FDE59F0"/>
    <w:rsid w:val="104B091B"/>
    <w:rsid w:val="10F935A7"/>
    <w:rsid w:val="113D1ABA"/>
    <w:rsid w:val="11957EC3"/>
    <w:rsid w:val="12E83133"/>
    <w:rsid w:val="13607801"/>
    <w:rsid w:val="1375778E"/>
    <w:rsid w:val="14E43199"/>
    <w:rsid w:val="150920C6"/>
    <w:rsid w:val="153001F6"/>
    <w:rsid w:val="15E50E0F"/>
    <w:rsid w:val="16F15C51"/>
    <w:rsid w:val="17146EEB"/>
    <w:rsid w:val="18A85F98"/>
    <w:rsid w:val="1B291D20"/>
    <w:rsid w:val="1B2B327D"/>
    <w:rsid w:val="1BBF18D7"/>
    <w:rsid w:val="1BCD7C05"/>
    <w:rsid w:val="1D015171"/>
    <w:rsid w:val="1D191BE5"/>
    <w:rsid w:val="1D3B78BE"/>
    <w:rsid w:val="1DEC70E9"/>
    <w:rsid w:val="1DFD1013"/>
    <w:rsid w:val="1E0B00F8"/>
    <w:rsid w:val="1E112FC8"/>
    <w:rsid w:val="1F2E6A6D"/>
    <w:rsid w:val="21173128"/>
    <w:rsid w:val="21326E5F"/>
    <w:rsid w:val="21A12912"/>
    <w:rsid w:val="21EF07D9"/>
    <w:rsid w:val="22484E0F"/>
    <w:rsid w:val="2377085B"/>
    <w:rsid w:val="237C1D35"/>
    <w:rsid w:val="241D3932"/>
    <w:rsid w:val="247E2DFD"/>
    <w:rsid w:val="265B0373"/>
    <w:rsid w:val="26D00219"/>
    <w:rsid w:val="26F459E0"/>
    <w:rsid w:val="274D5052"/>
    <w:rsid w:val="27E85AF1"/>
    <w:rsid w:val="27F46626"/>
    <w:rsid w:val="28096C9A"/>
    <w:rsid w:val="286A1F2B"/>
    <w:rsid w:val="288E11CC"/>
    <w:rsid w:val="28A96E2F"/>
    <w:rsid w:val="2A1534D2"/>
    <w:rsid w:val="2B5044AE"/>
    <w:rsid w:val="2B89414F"/>
    <w:rsid w:val="2C250873"/>
    <w:rsid w:val="2C893E3E"/>
    <w:rsid w:val="2D1633EB"/>
    <w:rsid w:val="2D611D48"/>
    <w:rsid w:val="2E276F5C"/>
    <w:rsid w:val="2E470556"/>
    <w:rsid w:val="2E552C39"/>
    <w:rsid w:val="2E764C99"/>
    <w:rsid w:val="2E992065"/>
    <w:rsid w:val="2EB60132"/>
    <w:rsid w:val="2F850E2A"/>
    <w:rsid w:val="2F8779B7"/>
    <w:rsid w:val="30D05BE1"/>
    <w:rsid w:val="31966FB2"/>
    <w:rsid w:val="3215051D"/>
    <w:rsid w:val="34152599"/>
    <w:rsid w:val="34A3059C"/>
    <w:rsid w:val="3544508A"/>
    <w:rsid w:val="36AD04C3"/>
    <w:rsid w:val="36E71BB0"/>
    <w:rsid w:val="37076A9B"/>
    <w:rsid w:val="385414FE"/>
    <w:rsid w:val="38CD4FE1"/>
    <w:rsid w:val="3A2358A9"/>
    <w:rsid w:val="3A500759"/>
    <w:rsid w:val="3AB9AB16"/>
    <w:rsid w:val="3B5006E0"/>
    <w:rsid w:val="3BAD3B3F"/>
    <w:rsid w:val="3C2546B9"/>
    <w:rsid w:val="3C9227B9"/>
    <w:rsid w:val="3D604D0E"/>
    <w:rsid w:val="3E1715D2"/>
    <w:rsid w:val="3F585044"/>
    <w:rsid w:val="3F5B391D"/>
    <w:rsid w:val="3FD5C854"/>
    <w:rsid w:val="3FF6614A"/>
    <w:rsid w:val="408D59ED"/>
    <w:rsid w:val="40B54BA9"/>
    <w:rsid w:val="43406525"/>
    <w:rsid w:val="44CC5046"/>
    <w:rsid w:val="44F243AD"/>
    <w:rsid w:val="45B649C6"/>
    <w:rsid w:val="46AB2E90"/>
    <w:rsid w:val="46D629D1"/>
    <w:rsid w:val="47C27D6C"/>
    <w:rsid w:val="47D7C1A3"/>
    <w:rsid w:val="4838270D"/>
    <w:rsid w:val="48EC3373"/>
    <w:rsid w:val="48F007C1"/>
    <w:rsid w:val="493B64BB"/>
    <w:rsid w:val="495E0E6D"/>
    <w:rsid w:val="49CD7090"/>
    <w:rsid w:val="49D55251"/>
    <w:rsid w:val="4A7F48BE"/>
    <w:rsid w:val="4B22501D"/>
    <w:rsid w:val="4BE87A98"/>
    <w:rsid w:val="4C1743E7"/>
    <w:rsid w:val="4C194DFF"/>
    <w:rsid w:val="4C2E43AC"/>
    <w:rsid w:val="4D5EFD54"/>
    <w:rsid w:val="4DF27B6F"/>
    <w:rsid w:val="4E616C92"/>
    <w:rsid w:val="4E6F2E5D"/>
    <w:rsid w:val="4F9B25B3"/>
    <w:rsid w:val="4FA61ABB"/>
    <w:rsid w:val="502B1AD6"/>
    <w:rsid w:val="508A5A0C"/>
    <w:rsid w:val="50B13DEA"/>
    <w:rsid w:val="531A364E"/>
    <w:rsid w:val="5407371F"/>
    <w:rsid w:val="55076EDB"/>
    <w:rsid w:val="557F62EE"/>
    <w:rsid w:val="565019E7"/>
    <w:rsid w:val="56861129"/>
    <w:rsid w:val="569861B6"/>
    <w:rsid w:val="56B6493F"/>
    <w:rsid w:val="56D26221"/>
    <w:rsid w:val="573BEB35"/>
    <w:rsid w:val="57C405DC"/>
    <w:rsid w:val="57FF05EB"/>
    <w:rsid w:val="5809250B"/>
    <w:rsid w:val="58946959"/>
    <w:rsid w:val="589E1721"/>
    <w:rsid w:val="58AF2078"/>
    <w:rsid w:val="5A5113C2"/>
    <w:rsid w:val="5B6725A1"/>
    <w:rsid w:val="5BFF1FE5"/>
    <w:rsid w:val="5C8F7148"/>
    <w:rsid w:val="5D5B355A"/>
    <w:rsid w:val="5D8C4430"/>
    <w:rsid w:val="5DF0826D"/>
    <w:rsid w:val="5E462E7D"/>
    <w:rsid w:val="5F6103C2"/>
    <w:rsid w:val="5FCD130C"/>
    <w:rsid w:val="5FD07FE9"/>
    <w:rsid w:val="60613CC2"/>
    <w:rsid w:val="60BC1B6C"/>
    <w:rsid w:val="61271562"/>
    <w:rsid w:val="61737CE0"/>
    <w:rsid w:val="617A62BB"/>
    <w:rsid w:val="62450E0A"/>
    <w:rsid w:val="6270505E"/>
    <w:rsid w:val="62A2790D"/>
    <w:rsid w:val="62EB49FC"/>
    <w:rsid w:val="62F11B20"/>
    <w:rsid w:val="632B05B6"/>
    <w:rsid w:val="63D905AD"/>
    <w:rsid w:val="645F3309"/>
    <w:rsid w:val="64687A30"/>
    <w:rsid w:val="647A03AB"/>
    <w:rsid w:val="652674EA"/>
    <w:rsid w:val="65B46500"/>
    <w:rsid w:val="66E2747D"/>
    <w:rsid w:val="66F7550A"/>
    <w:rsid w:val="673047EC"/>
    <w:rsid w:val="6833421D"/>
    <w:rsid w:val="683B31A6"/>
    <w:rsid w:val="695C1DE7"/>
    <w:rsid w:val="6A4B69A3"/>
    <w:rsid w:val="6A9874AE"/>
    <w:rsid w:val="6AAD1A41"/>
    <w:rsid w:val="6AE67C36"/>
    <w:rsid w:val="6B9C347D"/>
    <w:rsid w:val="6BAC18E9"/>
    <w:rsid w:val="6BBE3BDC"/>
    <w:rsid w:val="6D2F1B21"/>
    <w:rsid w:val="6E5F172B"/>
    <w:rsid w:val="6ECFFFE2"/>
    <w:rsid w:val="6F5D0B2F"/>
    <w:rsid w:val="6F6117F5"/>
    <w:rsid w:val="6F84274A"/>
    <w:rsid w:val="6FBE314B"/>
    <w:rsid w:val="6FDA124F"/>
    <w:rsid w:val="6FDC216E"/>
    <w:rsid w:val="70217AAF"/>
    <w:rsid w:val="70897BFE"/>
    <w:rsid w:val="70A0444C"/>
    <w:rsid w:val="71E7396A"/>
    <w:rsid w:val="73AF97AE"/>
    <w:rsid w:val="73EE03E3"/>
    <w:rsid w:val="743971B6"/>
    <w:rsid w:val="74FC2405"/>
    <w:rsid w:val="74FE0AD9"/>
    <w:rsid w:val="78373BAC"/>
    <w:rsid w:val="78D4376C"/>
    <w:rsid w:val="790C0B7C"/>
    <w:rsid w:val="79775D93"/>
    <w:rsid w:val="797F1A43"/>
    <w:rsid w:val="799B26EC"/>
    <w:rsid w:val="79C571FF"/>
    <w:rsid w:val="79DA107C"/>
    <w:rsid w:val="7B853EC3"/>
    <w:rsid w:val="7CAE2B9E"/>
    <w:rsid w:val="7D18299B"/>
    <w:rsid w:val="7DE75AC9"/>
    <w:rsid w:val="7DE95161"/>
    <w:rsid w:val="7E2F5732"/>
    <w:rsid w:val="7E887BC4"/>
    <w:rsid w:val="7F565F53"/>
    <w:rsid w:val="9EBF1905"/>
    <w:rsid w:val="AEEBAB94"/>
    <w:rsid w:val="AFE66AA2"/>
    <w:rsid w:val="B3DC3BD7"/>
    <w:rsid w:val="B7FE46CB"/>
    <w:rsid w:val="B7FEF866"/>
    <w:rsid w:val="D6FE31A4"/>
    <w:rsid w:val="E9FBC237"/>
    <w:rsid w:val="EFBC9B49"/>
    <w:rsid w:val="EFFECA8E"/>
    <w:rsid w:val="F5FDF742"/>
    <w:rsid w:val="F75E1179"/>
    <w:rsid w:val="F7DEC188"/>
    <w:rsid w:val="FAF6313D"/>
    <w:rsid w:val="FAFD51C1"/>
    <w:rsid w:val="FBBF3974"/>
    <w:rsid w:val="FCF9D88E"/>
    <w:rsid w:val="FDBDDDFA"/>
    <w:rsid w:val="FFF76E4D"/>
    <w:rsid w:val="FFFD4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lang w:val="en-US" w:eastAsia="zh-CN" w:bidi="ar-SA"/>
    </w:rPr>
  </w:style>
  <w:style w:type="paragraph" w:styleId="2">
    <w:name w:val="heading 1"/>
    <w:basedOn w:val="1"/>
    <w:next w:val="1"/>
    <w:link w:val="8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96"/>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4">
    <w:name w:val="heading 3"/>
    <w:basedOn w:val="1"/>
    <w:next w:val="1"/>
    <w:link w:val="85"/>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90"/>
    <w:qFormat/>
    <w:uiPriority w:val="0"/>
    <w:pPr>
      <w:keepNext/>
      <w:keepLines/>
      <w:spacing w:before="280" w:after="290" w:line="376" w:lineRule="auto"/>
      <w:outlineLvl w:val="3"/>
    </w:pPr>
    <w:rPr>
      <w:b/>
      <w:bCs/>
      <w:sz w:val="28"/>
      <w:szCs w:val="28"/>
    </w:rPr>
  </w:style>
  <w:style w:type="paragraph" w:styleId="6">
    <w:name w:val="heading 5"/>
    <w:basedOn w:val="1"/>
    <w:next w:val="1"/>
    <w:link w:val="97"/>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7">
    <w:name w:val="heading 6"/>
    <w:basedOn w:val="6"/>
    <w:next w:val="1"/>
    <w:link w:val="98"/>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8">
    <w:name w:val="heading 7"/>
    <w:basedOn w:val="7"/>
    <w:next w:val="1"/>
    <w:link w:val="99"/>
    <w:qFormat/>
    <w:uiPriority w:val="0"/>
    <w:pPr>
      <w:tabs>
        <w:tab w:val="left" w:pos="1800"/>
        <w:tab w:val="clear" w:pos="1440"/>
      </w:tabs>
      <w:ind w:left="1276" w:hanging="1276"/>
      <w:outlineLvl w:val="6"/>
    </w:pPr>
  </w:style>
  <w:style w:type="paragraph" w:styleId="9">
    <w:name w:val="heading 8"/>
    <w:basedOn w:val="1"/>
    <w:next w:val="1"/>
    <w:link w:val="100"/>
    <w:qFormat/>
    <w:uiPriority w:val="0"/>
    <w:pPr>
      <w:keepNext/>
      <w:keepLines/>
      <w:spacing w:line="400" w:lineRule="exact"/>
      <w:jc w:val="center"/>
      <w:outlineLvl w:val="7"/>
    </w:pPr>
    <w:rPr>
      <w:rFonts w:eastAsia="黑体" w:cs="Times New Roman"/>
      <w:kern w:val="2"/>
      <w:sz w:val="32"/>
      <w:szCs w:val="32"/>
      <w:lang w:val="zh-CN"/>
    </w:rPr>
  </w:style>
  <w:style w:type="paragraph" w:styleId="10">
    <w:name w:val="heading 9"/>
    <w:basedOn w:val="1"/>
    <w:next w:val="1"/>
    <w:link w:val="101"/>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Calibri" w:hAnsi="Calibri" w:cs="Times New Roman"/>
      <w:kern w:val="2"/>
      <w:sz w:val="21"/>
      <w:szCs w:val="22"/>
    </w:rPr>
  </w:style>
  <w:style w:type="paragraph" w:styleId="12">
    <w:name w:val="toc 7"/>
    <w:basedOn w:val="1"/>
    <w:next w:val="1"/>
    <w:unhideWhenUsed/>
    <w:qFormat/>
    <w:uiPriority w:val="39"/>
    <w:pPr>
      <w:ind w:left="1260"/>
      <w:jc w:val="left"/>
    </w:pPr>
    <w:rPr>
      <w:rFonts w:ascii="Calibri" w:hAnsi="Calibri" w:cs="Calibri"/>
      <w:kern w:val="2"/>
      <w:sz w:val="18"/>
      <w:szCs w:val="18"/>
    </w:rPr>
  </w:style>
  <w:style w:type="paragraph" w:styleId="13">
    <w:name w:val="Normal Indent"/>
    <w:basedOn w:val="1"/>
    <w:next w:val="1"/>
    <w:qFormat/>
    <w:uiPriority w:val="0"/>
    <w:pPr>
      <w:autoSpaceDE w:val="0"/>
      <w:autoSpaceDN w:val="0"/>
      <w:adjustRightInd w:val="0"/>
      <w:ind w:firstLine="420"/>
      <w:jc w:val="left"/>
    </w:pPr>
    <w:rPr>
      <w:rFonts w:hAnsi="Times New Roman" w:cs="Times New Roman"/>
      <w:sz w:val="24"/>
    </w:rPr>
  </w:style>
  <w:style w:type="paragraph" w:styleId="14">
    <w:name w:val="caption"/>
    <w:basedOn w:val="1"/>
    <w:next w:val="1"/>
    <w:qFormat/>
    <w:uiPriority w:val="0"/>
    <w:pPr>
      <w:spacing w:before="152" w:after="160"/>
    </w:pPr>
    <w:rPr>
      <w:rFonts w:ascii="Arial" w:hAnsi="Arial" w:eastAsia="黑体" w:cs="Arial"/>
      <w:kern w:val="2"/>
    </w:rPr>
  </w:style>
  <w:style w:type="paragraph" w:styleId="15">
    <w:name w:val="Document Map"/>
    <w:basedOn w:val="1"/>
    <w:link w:val="145"/>
    <w:qFormat/>
    <w:uiPriority w:val="0"/>
    <w:pPr>
      <w:shd w:val="clear" w:color="auto" w:fill="000080"/>
    </w:pPr>
    <w:rPr>
      <w:rFonts w:ascii="Calibri" w:hAnsi="Calibri" w:cs="Times New Roman"/>
      <w:bCs/>
      <w:kern w:val="2"/>
      <w:sz w:val="21"/>
      <w:szCs w:val="32"/>
      <w:lang w:val="zh-CN"/>
    </w:rPr>
  </w:style>
  <w:style w:type="paragraph" w:styleId="16">
    <w:name w:val="annotation text"/>
    <w:basedOn w:val="1"/>
    <w:link w:val="82"/>
    <w:qFormat/>
    <w:uiPriority w:val="0"/>
    <w:pPr>
      <w:jc w:val="left"/>
    </w:pPr>
    <w:rPr>
      <w:rFonts w:ascii="Arial" w:hAnsi="Arial" w:eastAsia="黑体" w:cs="Arial"/>
    </w:rPr>
  </w:style>
  <w:style w:type="paragraph" w:styleId="17">
    <w:name w:val="Salutation"/>
    <w:basedOn w:val="1"/>
    <w:next w:val="1"/>
    <w:link w:val="112"/>
    <w:qFormat/>
    <w:uiPriority w:val="0"/>
    <w:rPr>
      <w:rFonts w:ascii="仿宋_GB2312" w:hAnsi="Times New Roman" w:eastAsia="仿宋_GB2312" w:cs="Times New Roman"/>
      <w:kern w:val="2"/>
      <w:sz w:val="28"/>
      <w:lang w:val="zh-CN"/>
    </w:rPr>
  </w:style>
  <w:style w:type="paragraph" w:styleId="18">
    <w:name w:val="Body Text 3"/>
    <w:basedOn w:val="1"/>
    <w:link w:val="131"/>
    <w:qFormat/>
    <w:uiPriority w:val="0"/>
    <w:pPr>
      <w:adjustRightInd w:val="0"/>
      <w:snapToGrid w:val="0"/>
    </w:pPr>
    <w:rPr>
      <w:rFonts w:ascii="仿宋_GB2312" w:eastAsia="仿宋_GB2312" w:cs="Times New Roman"/>
      <w:bCs/>
      <w:color w:val="000000"/>
      <w:kern w:val="2"/>
      <w:sz w:val="24"/>
      <w:szCs w:val="32"/>
      <w:lang w:val="zh-CN"/>
    </w:rPr>
  </w:style>
  <w:style w:type="paragraph" w:styleId="19">
    <w:name w:val="Body Text"/>
    <w:basedOn w:val="1"/>
    <w:next w:val="1"/>
    <w:link w:val="91"/>
    <w:qFormat/>
    <w:uiPriority w:val="0"/>
    <w:pPr>
      <w:spacing w:after="120"/>
    </w:pPr>
    <w:rPr>
      <w:rFonts w:ascii="@微软简标宋" w:hAnsi="@微软简标宋" w:eastAsia="@微软简标宋" w:cs="@微软简标宋"/>
      <w:szCs w:val="24"/>
      <w:lang w:val="zh-CN"/>
    </w:rPr>
  </w:style>
  <w:style w:type="paragraph" w:styleId="20">
    <w:name w:val="Body Text Indent"/>
    <w:basedOn w:val="1"/>
    <w:link w:val="106"/>
    <w:unhideWhenUsed/>
    <w:qFormat/>
    <w:uiPriority w:val="0"/>
    <w:pPr>
      <w:spacing w:after="120"/>
      <w:ind w:left="420" w:leftChars="200"/>
    </w:pPr>
    <w:rPr>
      <w:rFonts w:asciiTheme="minorHAnsi" w:hAnsiTheme="minorHAnsi"/>
      <w:kern w:val="2"/>
      <w:sz w:val="21"/>
      <w:szCs w:val="22"/>
    </w:rPr>
  </w:style>
  <w:style w:type="paragraph" w:styleId="21">
    <w:name w:val="List 2"/>
    <w:basedOn w:val="1"/>
    <w:qFormat/>
    <w:uiPriority w:val="0"/>
    <w:pPr>
      <w:ind w:left="100" w:leftChars="200" w:hanging="200" w:hangingChars="200"/>
    </w:pPr>
    <w:rPr>
      <w:rFonts w:ascii="Calibri" w:hAnsi="Calibri" w:cs="Times New Roman"/>
      <w:kern w:val="2"/>
      <w:sz w:val="21"/>
      <w:szCs w:val="22"/>
    </w:rPr>
  </w:style>
  <w:style w:type="paragraph" w:styleId="22">
    <w:name w:val="List Continue"/>
    <w:basedOn w:val="1"/>
    <w:qFormat/>
    <w:uiPriority w:val="0"/>
    <w:pPr>
      <w:spacing w:after="120"/>
      <w:ind w:left="420" w:leftChars="200"/>
    </w:pPr>
    <w:rPr>
      <w:rFonts w:ascii="Calibri" w:hAnsi="Calibri" w:cs="Times New Roman"/>
      <w:kern w:val="2"/>
      <w:sz w:val="21"/>
      <w:szCs w:val="22"/>
    </w:rPr>
  </w:style>
  <w:style w:type="paragraph" w:styleId="23">
    <w:name w:val="Block Text"/>
    <w:basedOn w:val="1"/>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4">
    <w:name w:val="index 4"/>
    <w:basedOn w:val="1"/>
    <w:next w:val="1"/>
    <w:qFormat/>
    <w:uiPriority w:val="0"/>
    <w:pPr>
      <w:ind w:left="600" w:leftChars="600"/>
    </w:pPr>
    <w:rPr>
      <w:rFonts w:ascii="Times New Roman" w:hAnsi="Times New Roman" w:cs="Times New Roman"/>
      <w:kern w:val="2"/>
      <w:sz w:val="21"/>
      <w:szCs w:val="24"/>
    </w:rPr>
  </w:style>
  <w:style w:type="paragraph" w:styleId="25">
    <w:name w:val="toc 5"/>
    <w:basedOn w:val="1"/>
    <w:next w:val="1"/>
    <w:unhideWhenUsed/>
    <w:qFormat/>
    <w:uiPriority w:val="39"/>
    <w:pPr>
      <w:ind w:left="840"/>
      <w:jc w:val="left"/>
    </w:pPr>
    <w:rPr>
      <w:rFonts w:ascii="Calibri" w:hAnsi="Calibri" w:cs="Calibri"/>
      <w:kern w:val="2"/>
      <w:sz w:val="18"/>
      <w:szCs w:val="18"/>
    </w:rPr>
  </w:style>
  <w:style w:type="paragraph" w:styleId="26">
    <w:name w:val="toc 3"/>
    <w:basedOn w:val="1"/>
    <w:next w:val="1"/>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7">
    <w:name w:val="Plain Text"/>
    <w:basedOn w:val="1"/>
    <w:link w:val="71"/>
    <w:qFormat/>
    <w:uiPriority w:val="0"/>
    <w:rPr>
      <w:rFonts w:hAnsi="Courier New" w:eastAsiaTheme="minorEastAsia"/>
      <w:szCs w:val="22"/>
    </w:rPr>
  </w:style>
  <w:style w:type="paragraph" w:styleId="28">
    <w:name w:val="toc 8"/>
    <w:basedOn w:val="1"/>
    <w:next w:val="1"/>
    <w:unhideWhenUsed/>
    <w:qFormat/>
    <w:uiPriority w:val="39"/>
    <w:pPr>
      <w:ind w:left="1470"/>
      <w:jc w:val="left"/>
    </w:pPr>
    <w:rPr>
      <w:rFonts w:ascii="Calibri" w:hAnsi="Calibri" w:cs="Calibri"/>
      <w:kern w:val="2"/>
      <w:sz w:val="18"/>
      <w:szCs w:val="18"/>
    </w:rPr>
  </w:style>
  <w:style w:type="paragraph" w:styleId="29">
    <w:name w:val="Date"/>
    <w:basedOn w:val="1"/>
    <w:next w:val="1"/>
    <w:link w:val="78"/>
    <w:qFormat/>
    <w:uiPriority w:val="0"/>
    <w:rPr>
      <w:rFonts w:ascii="Arial" w:hAnsi="Arial" w:cs="Arial"/>
      <w:b/>
      <w:sz w:val="28"/>
    </w:rPr>
  </w:style>
  <w:style w:type="paragraph" w:styleId="30">
    <w:name w:val="Body Text Indent 2"/>
    <w:basedOn w:val="1"/>
    <w:link w:val="127"/>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1">
    <w:name w:val="Balloon Text"/>
    <w:basedOn w:val="1"/>
    <w:link w:val="65"/>
    <w:unhideWhenUsed/>
    <w:qFormat/>
    <w:uiPriority w:val="0"/>
    <w:rPr>
      <w:sz w:val="18"/>
      <w:szCs w:val="18"/>
    </w:rPr>
  </w:style>
  <w:style w:type="paragraph" w:styleId="32">
    <w:name w:val="footer"/>
    <w:basedOn w:val="1"/>
    <w:link w:val="70"/>
    <w:unhideWhenUsed/>
    <w:qFormat/>
    <w:uiPriority w:val="99"/>
    <w:pPr>
      <w:tabs>
        <w:tab w:val="center" w:pos="4153"/>
        <w:tab w:val="right" w:pos="8306"/>
      </w:tabs>
      <w:snapToGrid w:val="0"/>
      <w:jc w:val="left"/>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unhideWhenUsed/>
    <w:qFormat/>
    <w:uiPriority w:val="39"/>
    <w:pPr>
      <w:widowControl/>
      <w:spacing w:after="100" w:line="276" w:lineRule="auto"/>
      <w:jc w:val="left"/>
    </w:pPr>
    <w:rPr>
      <w:rFonts w:asciiTheme="minorHAnsi" w:hAnsiTheme="minorHAnsi" w:eastAsiaTheme="minorEastAsia"/>
      <w:sz w:val="22"/>
      <w:szCs w:val="22"/>
    </w:rPr>
  </w:style>
  <w:style w:type="paragraph" w:styleId="35">
    <w:name w:val="List Continue 4"/>
    <w:basedOn w:val="1"/>
    <w:qFormat/>
    <w:uiPriority w:val="0"/>
    <w:pPr>
      <w:spacing w:after="120"/>
      <w:ind w:left="1680" w:leftChars="800"/>
    </w:pPr>
    <w:rPr>
      <w:rFonts w:ascii="Calibri" w:hAnsi="Calibri" w:cs="Times New Roman"/>
      <w:kern w:val="2"/>
      <w:sz w:val="21"/>
      <w:szCs w:val="22"/>
    </w:rPr>
  </w:style>
  <w:style w:type="paragraph" w:styleId="36">
    <w:name w:val="toc 4"/>
    <w:basedOn w:val="1"/>
    <w:next w:val="1"/>
    <w:unhideWhenUsed/>
    <w:qFormat/>
    <w:uiPriority w:val="39"/>
    <w:pPr>
      <w:ind w:left="630"/>
      <w:jc w:val="left"/>
    </w:pPr>
    <w:rPr>
      <w:rFonts w:ascii="Calibri" w:hAnsi="Calibri" w:cs="Calibri"/>
      <w:kern w:val="2"/>
      <w:sz w:val="18"/>
      <w:szCs w:val="18"/>
    </w:rPr>
  </w:style>
  <w:style w:type="paragraph" w:styleId="37">
    <w:name w:val="index heading"/>
    <w:basedOn w:val="1"/>
    <w:next w:val="38"/>
    <w:semiHidden/>
    <w:qFormat/>
    <w:uiPriority w:val="0"/>
    <w:rPr>
      <w:rFonts w:ascii="Times New Roman" w:hAnsi="Times New Roman" w:cs="Times New Roman"/>
      <w:kern w:val="2"/>
      <w:sz w:val="21"/>
      <w:szCs w:val="24"/>
    </w:rPr>
  </w:style>
  <w:style w:type="paragraph" w:styleId="38">
    <w:name w:val="index 1"/>
    <w:basedOn w:val="1"/>
    <w:next w:val="1"/>
    <w:qFormat/>
    <w:uiPriority w:val="0"/>
    <w:pPr>
      <w:jc w:val="center"/>
    </w:pPr>
    <w:rPr>
      <w:rFonts w:ascii="Arial" w:hAnsi="Arial" w:eastAsia="Arial" w:cs="Arial"/>
      <w:b/>
      <w:bCs/>
      <w:sz w:val="28"/>
    </w:rPr>
  </w:style>
  <w:style w:type="paragraph" w:styleId="39">
    <w:name w:val="Subtitle"/>
    <w:basedOn w:val="1"/>
    <w:link w:val="219"/>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0">
    <w:name w:val="List"/>
    <w:basedOn w:val="1"/>
    <w:qFormat/>
    <w:uiPriority w:val="0"/>
    <w:pPr>
      <w:ind w:left="200" w:hanging="200" w:hangingChars="200"/>
    </w:pPr>
    <w:rPr>
      <w:rFonts w:ascii="Calibri" w:hAnsi="Calibri" w:cs="Times New Roman"/>
      <w:kern w:val="2"/>
      <w:sz w:val="21"/>
      <w:szCs w:val="22"/>
    </w:rPr>
  </w:style>
  <w:style w:type="paragraph" w:styleId="41">
    <w:name w:val="footnote text"/>
    <w:basedOn w:val="1"/>
    <w:link w:val="108"/>
    <w:unhideWhenUsed/>
    <w:qFormat/>
    <w:uiPriority w:val="0"/>
    <w:pPr>
      <w:snapToGrid w:val="0"/>
      <w:jc w:val="left"/>
    </w:pPr>
    <w:rPr>
      <w:rFonts w:ascii="Times New Roman" w:hAnsi="Times New Roman" w:cs="Times New Roman"/>
      <w:kern w:val="2"/>
      <w:sz w:val="18"/>
      <w:szCs w:val="18"/>
      <w:lang w:val="zh-CN"/>
    </w:rPr>
  </w:style>
  <w:style w:type="paragraph" w:styleId="42">
    <w:name w:val="toc 6"/>
    <w:basedOn w:val="1"/>
    <w:next w:val="1"/>
    <w:unhideWhenUsed/>
    <w:qFormat/>
    <w:uiPriority w:val="39"/>
    <w:pPr>
      <w:ind w:left="1050"/>
      <w:jc w:val="left"/>
    </w:pPr>
    <w:rPr>
      <w:rFonts w:ascii="Calibri" w:hAnsi="Calibri" w:cs="Calibri"/>
      <w:kern w:val="2"/>
      <w:sz w:val="18"/>
      <w:szCs w:val="18"/>
    </w:rPr>
  </w:style>
  <w:style w:type="paragraph" w:styleId="43">
    <w:name w:val="Body Text Indent 3"/>
    <w:basedOn w:val="1"/>
    <w:link w:val="126"/>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4">
    <w:name w:val="toc 2"/>
    <w:basedOn w:val="1"/>
    <w:next w:val="1"/>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5">
    <w:name w:val="toc 9"/>
    <w:basedOn w:val="1"/>
    <w:next w:val="1"/>
    <w:unhideWhenUsed/>
    <w:qFormat/>
    <w:uiPriority w:val="39"/>
    <w:pPr>
      <w:ind w:left="1680"/>
      <w:jc w:val="left"/>
    </w:pPr>
    <w:rPr>
      <w:rFonts w:ascii="Calibri" w:hAnsi="Calibri" w:cs="Calibri"/>
      <w:kern w:val="2"/>
      <w:sz w:val="18"/>
      <w:szCs w:val="18"/>
    </w:rPr>
  </w:style>
  <w:style w:type="paragraph" w:styleId="46">
    <w:name w:val="Body Text 2"/>
    <w:basedOn w:val="1"/>
    <w:link w:val="130"/>
    <w:qFormat/>
    <w:uiPriority w:val="0"/>
    <w:pPr>
      <w:spacing w:line="360" w:lineRule="auto"/>
    </w:pPr>
    <w:rPr>
      <w:rFonts w:hAnsi="Times New Roman" w:cs="Times New Roman"/>
      <w:spacing w:val="-20"/>
      <w:kern w:val="2"/>
      <w:sz w:val="28"/>
      <w:lang w:val="zh-CN"/>
    </w:rPr>
  </w:style>
  <w:style w:type="paragraph" w:styleId="47">
    <w:name w:val="List 4"/>
    <w:basedOn w:val="1"/>
    <w:qFormat/>
    <w:uiPriority w:val="0"/>
    <w:pPr>
      <w:ind w:left="100" w:leftChars="600" w:hanging="200" w:hangingChars="200"/>
    </w:pPr>
    <w:rPr>
      <w:rFonts w:ascii="Calibri" w:hAnsi="Calibri" w:cs="Times New Roman"/>
      <w:kern w:val="2"/>
      <w:sz w:val="21"/>
      <w:szCs w:val="22"/>
    </w:rPr>
  </w:style>
  <w:style w:type="paragraph" w:styleId="48">
    <w:name w:val="List Continue 2"/>
    <w:basedOn w:val="1"/>
    <w:qFormat/>
    <w:uiPriority w:val="0"/>
    <w:pPr>
      <w:spacing w:after="120"/>
      <w:ind w:left="840" w:leftChars="400"/>
    </w:pPr>
    <w:rPr>
      <w:rFonts w:ascii="Calibri" w:hAnsi="Calibri" w:cs="Times New Roman"/>
      <w:kern w:val="2"/>
      <w:sz w:val="21"/>
      <w:szCs w:val="22"/>
    </w:rPr>
  </w:style>
  <w:style w:type="paragraph" w:styleId="49">
    <w:name w:val="Normal (Web)"/>
    <w:basedOn w:val="1"/>
    <w:qFormat/>
    <w:uiPriority w:val="0"/>
    <w:pPr>
      <w:widowControl/>
      <w:spacing w:before="100" w:beforeAutospacing="1" w:after="100" w:afterAutospacing="1"/>
      <w:jc w:val="left"/>
    </w:pPr>
    <w:rPr>
      <w:rFonts w:cs="宋体"/>
      <w:color w:val="0066CC"/>
      <w:sz w:val="24"/>
      <w:szCs w:val="24"/>
    </w:rPr>
  </w:style>
  <w:style w:type="paragraph" w:styleId="50">
    <w:name w:val="Title"/>
    <w:basedOn w:val="3"/>
    <w:next w:val="1"/>
    <w:link w:val="134"/>
    <w:qFormat/>
    <w:uiPriority w:val="0"/>
    <w:pPr>
      <w:spacing w:before="0" w:after="0" w:line="360" w:lineRule="auto"/>
      <w:jc w:val="center"/>
    </w:pPr>
    <w:rPr>
      <w:rFonts w:ascii="宋体" w:hAnsi="宋体" w:eastAsia="黑体"/>
      <w:bCs w:val="0"/>
      <w:smallCaps/>
      <w:snapToGrid w:val="0"/>
      <w:sz w:val="44"/>
      <w:szCs w:val="24"/>
    </w:rPr>
  </w:style>
  <w:style w:type="paragraph" w:styleId="51">
    <w:name w:val="annotation subject"/>
    <w:basedOn w:val="16"/>
    <w:next w:val="16"/>
    <w:link w:val="93"/>
    <w:unhideWhenUsed/>
    <w:qFormat/>
    <w:uiPriority w:val="0"/>
    <w:rPr>
      <w:rFonts w:ascii="宋体" w:hAnsi="宋体" w:eastAsia="宋体" w:cstheme="minorBidi"/>
      <w:b/>
      <w:bCs/>
    </w:rPr>
  </w:style>
  <w:style w:type="paragraph" w:styleId="52">
    <w:name w:val="Body Text First Indent"/>
    <w:basedOn w:val="19"/>
    <w:semiHidden/>
    <w:unhideWhenUsed/>
    <w:qFormat/>
    <w:uiPriority w:val="99"/>
    <w:pPr>
      <w:ind w:firstLine="420" w:firstLineChars="100"/>
    </w:pPr>
  </w:style>
  <w:style w:type="table" w:styleId="54">
    <w:name w:val="Table Grid"/>
    <w:basedOn w:val="53"/>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6">
    <w:name w:val="Strong"/>
    <w:qFormat/>
    <w:uiPriority w:val="0"/>
    <w:rPr>
      <w:b/>
      <w:bCs/>
    </w:rPr>
  </w:style>
  <w:style w:type="character" w:styleId="57">
    <w:name w:val="page number"/>
    <w:basedOn w:val="55"/>
    <w:qFormat/>
    <w:uiPriority w:val="0"/>
  </w:style>
  <w:style w:type="character" w:styleId="58">
    <w:name w:val="FollowedHyperlink"/>
    <w:basedOn w:val="55"/>
    <w:semiHidden/>
    <w:unhideWhenUsed/>
    <w:qFormat/>
    <w:uiPriority w:val="99"/>
    <w:rPr>
      <w:color w:val="800080" w:themeColor="followedHyperlink"/>
      <w:u w:val="single"/>
      <w14:textFill>
        <w14:solidFill>
          <w14:schemeClr w14:val="folHlink"/>
        </w14:solidFill>
      </w14:textFill>
    </w:rPr>
  </w:style>
  <w:style w:type="character" w:styleId="59">
    <w:name w:val="Emphasis"/>
    <w:qFormat/>
    <w:uiPriority w:val="0"/>
    <w:rPr>
      <w:color w:val="CC0033"/>
    </w:rPr>
  </w:style>
  <w:style w:type="character" w:styleId="60">
    <w:name w:val="Hyperlink"/>
    <w:basedOn w:val="55"/>
    <w:unhideWhenUsed/>
    <w:qFormat/>
    <w:uiPriority w:val="99"/>
    <w:rPr>
      <w:color w:val="0000FF" w:themeColor="hyperlink"/>
      <w:u w:val="single"/>
      <w14:textFill>
        <w14:solidFill>
          <w14:schemeClr w14:val="hlink"/>
        </w14:solidFill>
      </w14:textFill>
    </w:rPr>
  </w:style>
  <w:style w:type="character" w:styleId="61">
    <w:name w:val="annotation reference"/>
    <w:basedOn w:val="55"/>
    <w:unhideWhenUsed/>
    <w:qFormat/>
    <w:uiPriority w:val="0"/>
    <w:rPr>
      <w:sz w:val="21"/>
      <w:szCs w:val="21"/>
    </w:rPr>
  </w:style>
  <w:style w:type="character" w:styleId="62">
    <w:name w:val="footnote reference"/>
    <w:unhideWhenUsed/>
    <w:qFormat/>
    <w:uiPriority w:val="0"/>
    <w:rPr>
      <w:vertAlign w:val="superscript"/>
    </w:rPr>
  </w:style>
  <w:style w:type="character" w:styleId="63">
    <w:name w:val="HTML Sample"/>
    <w:qFormat/>
    <w:uiPriority w:val="0"/>
    <w:rPr>
      <w:rFonts w:hint="default" w:ascii="monospace" w:hAnsi="monospace" w:eastAsia="monospace" w:cs="monospace"/>
      <w:sz w:val="21"/>
      <w:szCs w:val="21"/>
    </w:rPr>
  </w:style>
  <w:style w:type="paragraph" w:customStyle="1" w:styleId="64">
    <w:name w:val="样式1"/>
    <w:basedOn w:val="1"/>
    <w:next w:val="5"/>
    <w:qFormat/>
    <w:uiPriority w:val="0"/>
    <w:pPr>
      <w:spacing w:line="360" w:lineRule="auto"/>
      <w:ind w:firstLine="420" w:firstLineChars="200"/>
    </w:pPr>
    <w:rPr>
      <w:rFonts w:cs="Times New Roman"/>
      <w:kern w:val="2"/>
      <w:sz w:val="21"/>
      <w:szCs w:val="21"/>
    </w:rPr>
  </w:style>
  <w:style w:type="character" w:customStyle="1" w:styleId="65">
    <w:name w:val="批注框文本 字符"/>
    <w:basedOn w:val="55"/>
    <w:link w:val="31"/>
    <w:qFormat/>
    <w:uiPriority w:val="0"/>
    <w:rPr>
      <w:rFonts w:ascii="@仿宋_GB2312" w:hAnsi="@仿宋_GB2312" w:eastAsia="@仿宋_GB2312" w:cs="@仿宋_GB2312"/>
      <w:sz w:val="18"/>
      <w:szCs w:val="18"/>
    </w:rPr>
  </w:style>
  <w:style w:type="paragraph" w:customStyle="1" w:styleId="66">
    <w:name w:val="正文（缩进）"/>
    <w:basedOn w:val="1"/>
    <w:qFormat/>
    <w:uiPriority w:val="0"/>
    <w:pPr>
      <w:widowControl/>
      <w:spacing w:before="156" w:after="156"/>
      <w:ind w:firstLine="480" w:firstLineChars="200"/>
      <w:jc w:val="left"/>
    </w:pPr>
    <w:rPr>
      <w:sz w:val="24"/>
      <w:szCs w:val="24"/>
    </w:rPr>
  </w:style>
  <w:style w:type="paragraph" w:customStyle="1" w:styleId="67">
    <w:name w:val="xl31"/>
    <w:basedOn w:val="1"/>
    <w:qFormat/>
    <w:uiPriority w:val="0"/>
    <w:pPr>
      <w:widowControl/>
      <w:spacing w:before="100" w:beforeAutospacing="1" w:after="100" w:afterAutospacing="1"/>
      <w:jc w:val="center"/>
    </w:pPr>
    <w:rPr>
      <w:b/>
      <w:bCs/>
      <w:sz w:val="28"/>
      <w:szCs w:val="28"/>
    </w:rPr>
  </w:style>
  <w:style w:type="paragraph" w:customStyle="1" w:styleId="68">
    <w:name w:val="D&amp;L"/>
    <w:basedOn w:val="33"/>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69">
    <w:name w:val="页眉 字符"/>
    <w:basedOn w:val="55"/>
    <w:link w:val="33"/>
    <w:qFormat/>
    <w:uiPriority w:val="99"/>
    <w:rPr>
      <w:rFonts w:ascii="@仿宋_GB2312" w:hAnsi="@仿宋_GB2312" w:eastAsia="@仿宋_GB2312" w:cs="@仿宋_GB2312"/>
      <w:sz w:val="18"/>
      <w:szCs w:val="18"/>
    </w:rPr>
  </w:style>
  <w:style w:type="character" w:customStyle="1" w:styleId="70">
    <w:name w:val="页脚 字符"/>
    <w:basedOn w:val="55"/>
    <w:link w:val="32"/>
    <w:qFormat/>
    <w:uiPriority w:val="99"/>
    <w:rPr>
      <w:rFonts w:ascii="@仿宋_GB2312" w:hAnsi="@仿宋_GB2312" w:eastAsia="@仿宋_GB2312" w:cs="@仿宋_GB2312"/>
      <w:sz w:val="18"/>
      <w:szCs w:val="18"/>
    </w:rPr>
  </w:style>
  <w:style w:type="character" w:customStyle="1" w:styleId="71">
    <w:name w:val="纯文本 字符"/>
    <w:link w:val="27"/>
    <w:qFormat/>
    <w:uiPriority w:val="0"/>
    <w:rPr>
      <w:rFonts w:ascii="宋体" w:hAnsi="Courier New"/>
    </w:rPr>
  </w:style>
  <w:style w:type="character" w:customStyle="1" w:styleId="72">
    <w:name w:val="纯文本 字符1"/>
    <w:basedOn w:val="55"/>
    <w:semiHidden/>
    <w:qFormat/>
    <w:uiPriority w:val="99"/>
    <w:rPr>
      <w:rFonts w:hAnsi="Courier New" w:cs="Courier New" w:asciiTheme="minorEastAsia"/>
      <w:szCs w:val="20"/>
    </w:rPr>
  </w:style>
  <w:style w:type="character" w:customStyle="1" w:styleId="73">
    <w:name w:val="未处理的提及1"/>
    <w:basedOn w:val="55"/>
    <w:semiHidden/>
    <w:unhideWhenUsed/>
    <w:qFormat/>
    <w:uiPriority w:val="99"/>
    <w:rPr>
      <w:color w:val="605E5C"/>
      <w:shd w:val="clear" w:color="auto" w:fill="E1DFDD"/>
    </w:rPr>
  </w:style>
  <w:style w:type="paragraph" w:styleId="74">
    <w:name w:val="List Paragraph"/>
    <w:basedOn w:val="1"/>
    <w:qFormat/>
    <w:uiPriority w:val="34"/>
    <w:pPr>
      <w:ind w:firstLine="420" w:firstLineChars="200"/>
    </w:pPr>
  </w:style>
  <w:style w:type="paragraph" w:customStyle="1" w:styleId="75">
    <w:name w:val="Char Char Char Char Char Char Char1 Char"/>
    <w:basedOn w:val="1"/>
    <w:qFormat/>
    <w:uiPriority w:val="0"/>
    <w:rPr>
      <w:rFonts w:ascii="Arial" w:hAnsi="Arial" w:cs="Arial"/>
      <w:sz w:val="24"/>
    </w:rPr>
  </w:style>
  <w:style w:type="table" w:customStyle="1" w:styleId="76">
    <w:name w:val="网格表 1 浅色1"/>
    <w:basedOn w:val="53"/>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77">
    <w:name w:val="日期 字符"/>
    <w:basedOn w:val="55"/>
    <w:semiHidden/>
    <w:qFormat/>
    <w:uiPriority w:val="99"/>
    <w:rPr>
      <w:rFonts w:ascii="@仿宋_GB2312" w:hAnsi="@仿宋_GB2312" w:eastAsia="@仿宋_GB2312" w:cs="@仿宋_GB2312"/>
      <w:szCs w:val="20"/>
    </w:rPr>
  </w:style>
  <w:style w:type="character" w:customStyle="1" w:styleId="78">
    <w:name w:val="日期 字符1"/>
    <w:link w:val="29"/>
    <w:qFormat/>
    <w:uiPriority w:val="0"/>
    <w:rPr>
      <w:rFonts w:ascii="Arial" w:hAnsi="Arial" w:eastAsia="宋体" w:cs="Arial"/>
      <w:b/>
      <w:sz w:val="28"/>
      <w:szCs w:val="20"/>
    </w:rPr>
  </w:style>
  <w:style w:type="character" w:customStyle="1" w:styleId="79">
    <w:name w:val="纯文本 Char1"/>
    <w:link w:val="80"/>
    <w:qFormat/>
    <w:locked/>
    <w:uiPriority w:val="99"/>
    <w:rPr>
      <w:rFonts w:ascii="Arial" w:hAnsi="Arial" w:eastAsia="Arial"/>
      <w:kern w:val="2"/>
      <w:sz w:val="21"/>
      <w:lang w:val="en-US" w:eastAsia="zh-CN" w:bidi="ar-SA"/>
    </w:rPr>
  </w:style>
  <w:style w:type="paragraph" w:customStyle="1" w:styleId="80">
    <w:name w:val="纯文本1"/>
    <w:basedOn w:val="1"/>
    <w:link w:val="79"/>
    <w:qFormat/>
    <w:uiPriority w:val="0"/>
    <w:rPr>
      <w:rFonts w:ascii="Arial" w:hAnsi="Arial" w:eastAsia="Arial"/>
    </w:rPr>
  </w:style>
  <w:style w:type="character" w:customStyle="1" w:styleId="81">
    <w:name w:val="批注文字 Char"/>
    <w:basedOn w:val="55"/>
    <w:qFormat/>
    <w:uiPriority w:val="0"/>
    <w:rPr>
      <w:rFonts w:ascii="@仿宋_GB2312" w:hAnsi="@仿宋_GB2312" w:eastAsia="@仿宋_GB2312" w:cs="@仿宋_GB2312"/>
      <w:szCs w:val="20"/>
    </w:rPr>
  </w:style>
  <w:style w:type="character" w:customStyle="1" w:styleId="82">
    <w:name w:val="批注文字 字符"/>
    <w:link w:val="16"/>
    <w:qFormat/>
    <w:uiPriority w:val="99"/>
    <w:rPr>
      <w:rFonts w:ascii="Arial" w:hAnsi="Arial" w:eastAsia="黑体" w:cs="Arial"/>
      <w:szCs w:val="20"/>
    </w:rPr>
  </w:style>
  <w:style w:type="character" w:customStyle="1" w:styleId="83">
    <w:name w:val="标题 1 字符"/>
    <w:basedOn w:val="55"/>
    <w:link w:val="2"/>
    <w:qFormat/>
    <w:uiPriority w:val="0"/>
    <w:rPr>
      <w:rFonts w:ascii="@仿宋_GB2312" w:hAnsi="@仿宋_GB2312" w:eastAsia="@仿宋_GB2312" w:cs="@仿宋_GB2312"/>
      <w:b/>
      <w:bCs/>
      <w:kern w:val="44"/>
      <w:sz w:val="44"/>
      <w:szCs w:val="44"/>
    </w:rPr>
  </w:style>
  <w:style w:type="paragraph" w:customStyle="1" w:styleId="8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5">
    <w:name w:val="标题 3 字符"/>
    <w:basedOn w:val="55"/>
    <w:link w:val="4"/>
    <w:qFormat/>
    <w:uiPriority w:val="0"/>
    <w:rPr>
      <w:rFonts w:ascii="@仿宋_GB2312" w:hAnsi="@仿宋_GB2312" w:eastAsia="@仿宋_GB2312" w:cs="@仿宋_GB2312"/>
      <w:b/>
      <w:bCs/>
      <w:sz w:val="32"/>
      <w:szCs w:val="32"/>
    </w:rPr>
  </w:style>
  <w:style w:type="character" w:customStyle="1" w:styleId="86">
    <w:name w:val="fontstyle01"/>
    <w:basedOn w:val="55"/>
    <w:qFormat/>
    <w:uiPriority w:val="0"/>
    <w:rPr>
      <w:rFonts w:hint="eastAsia" w:ascii="宋体" w:hAnsi="宋体" w:eastAsia="宋体"/>
      <w:color w:val="000000"/>
      <w:sz w:val="22"/>
      <w:szCs w:val="22"/>
    </w:rPr>
  </w:style>
  <w:style w:type="character" w:customStyle="1" w:styleId="87">
    <w:name w:val="fontstyle21"/>
    <w:basedOn w:val="55"/>
    <w:qFormat/>
    <w:uiPriority w:val="0"/>
    <w:rPr>
      <w:rFonts w:hint="default" w:ascii="TimesNewRomanPSMT" w:hAnsi="TimesNewRomanPSMT"/>
      <w:color w:val="000000"/>
      <w:sz w:val="22"/>
      <w:szCs w:val="22"/>
    </w:rPr>
  </w:style>
  <w:style w:type="character" w:customStyle="1" w:styleId="88">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89">
    <w:name w:val="标题 4 字符"/>
    <w:basedOn w:val="55"/>
    <w:semiHidden/>
    <w:qFormat/>
    <w:uiPriority w:val="9"/>
    <w:rPr>
      <w:rFonts w:asciiTheme="majorHAnsi" w:hAnsiTheme="majorHAnsi" w:eastAsiaTheme="majorEastAsia" w:cstheme="majorBidi"/>
      <w:b/>
      <w:bCs/>
      <w:sz w:val="28"/>
      <w:szCs w:val="28"/>
    </w:rPr>
  </w:style>
  <w:style w:type="character" w:customStyle="1" w:styleId="90">
    <w:name w:val="标题 4 字符1"/>
    <w:link w:val="5"/>
    <w:qFormat/>
    <w:uiPriority w:val="0"/>
    <w:rPr>
      <w:rFonts w:ascii="@仿宋_GB2312" w:hAnsi="@仿宋_GB2312" w:eastAsia="@仿宋_GB2312" w:cs="@仿宋_GB2312"/>
      <w:b/>
      <w:bCs/>
      <w:sz w:val="28"/>
      <w:szCs w:val="28"/>
    </w:rPr>
  </w:style>
  <w:style w:type="character" w:customStyle="1" w:styleId="91">
    <w:name w:val="正文文本 字符"/>
    <w:basedOn w:val="55"/>
    <w:link w:val="19"/>
    <w:qFormat/>
    <w:uiPriority w:val="0"/>
    <w:rPr>
      <w:rFonts w:ascii="@微软简标宋" w:hAnsi="@微软简标宋" w:eastAsia="@微软简标宋" w:cs="@微软简标宋"/>
      <w:szCs w:val="24"/>
      <w:lang w:val="zh-CN" w:eastAsia="zh-CN"/>
    </w:rPr>
  </w:style>
  <w:style w:type="table" w:customStyle="1" w:styleId="92">
    <w:name w:val="网格型1"/>
    <w:basedOn w:val="53"/>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3">
    <w:name w:val="批注主题 字符"/>
    <w:basedOn w:val="82"/>
    <w:link w:val="51"/>
    <w:qFormat/>
    <w:uiPriority w:val="0"/>
    <w:rPr>
      <w:rFonts w:ascii="Arial" w:hAnsi="Arial" w:eastAsia="黑体" w:cs="Arial"/>
      <w:b/>
      <w:bCs/>
      <w:szCs w:val="20"/>
    </w:rPr>
  </w:style>
  <w:style w:type="paragraph" w:customStyle="1" w:styleId="94">
    <w:name w:val="普通 (Web)"/>
    <w:basedOn w:val="1"/>
    <w:qFormat/>
    <w:uiPriority w:val="0"/>
    <w:pPr>
      <w:widowControl/>
      <w:spacing w:before="100" w:beforeAutospacing="1" w:after="100" w:afterAutospacing="1"/>
      <w:jc w:val="left"/>
    </w:pPr>
    <w:rPr>
      <w:rFonts w:cs="Times New Roman"/>
      <w:sz w:val="24"/>
      <w:szCs w:val="24"/>
    </w:rPr>
  </w:style>
  <w:style w:type="table" w:customStyle="1" w:styleId="95">
    <w:name w:val="网格型2"/>
    <w:basedOn w:val="53"/>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6">
    <w:name w:val="标题 2 字符"/>
    <w:basedOn w:val="55"/>
    <w:link w:val="3"/>
    <w:qFormat/>
    <w:uiPriority w:val="0"/>
    <w:rPr>
      <w:rFonts w:ascii="Cambria" w:hAnsi="Cambria" w:cs="Times New Roman"/>
      <w:b/>
      <w:bCs/>
      <w:kern w:val="2"/>
      <w:sz w:val="32"/>
      <w:szCs w:val="32"/>
      <w:lang w:val="zh-CN" w:eastAsia="zh-CN"/>
    </w:rPr>
  </w:style>
  <w:style w:type="character" w:customStyle="1" w:styleId="97">
    <w:name w:val="标题 5 字符"/>
    <w:basedOn w:val="55"/>
    <w:link w:val="6"/>
    <w:qFormat/>
    <w:uiPriority w:val="0"/>
    <w:rPr>
      <w:rFonts w:ascii="Calibri" w:hAnsi="Calibri" w:cs="Times New Roman"/>
      <w:b/>
      <w:bCs/>
      <w:kern w:val="2"/>
      <w:sz w:val="28"/>
      <w:szCs w:val="28"/>
      <w:lang w:val="zh-CN" w:eastAsia="zh-CN"/>
    </w:rPr>
  </w:style>
  <w:style w:type="character" w:customStyle="1" w:styleId="98">
    <w:name w:val="标题 6 字符"/>
    <w:basedOn w:val="55"/>
    <w:link w:val="7"/>
    <w:qFormat/>
    <w:uiPriority w:val="0"/>
    <w:rPr>
      <w:rFonts w:ascii="Times New Roman" w:hAnsi="Times New Roman" w:cs="Times New Roman"/>
      <w:b/>
      <w:bCs/>
      <w:kern w:val="2"/>
      <w:sz w:val="30"/>
      <w:szCs w:val="18"/>
      <w:lang w:val="zh-CN" w:eastAsia="zh-CN"/>
    </w:rPr>
  </w:style>
  <w:style w:type="character" w:customStyle="1" w:styleId="99">
    <w:name w:val="标题 7 字符"/>
    <w:basedOn w:val="55"/>
    <w:link w:val="8"/>
    <w:qFormat/>
    <w:uiPriority w:val="0"/>
    <w:rPr>
      <w:rFonts w:ascii="Times New Roman" w:hAnsi="Times New Roman" w:cs="Times New Roman"/>
      <w:b/>
      <w:bCs/>
      <w:kern w:val="2"/>
      <w:sz w:val="30"/>
      <w:szCs w:val="18"/>
      <w:lang w:val="zh-CN" w:eastAsia="zh-CN"/>
    </w:rPr>
  </w:style>
  <w:style w:type="character" w:customStyle="1" w:styleId="100">
    <w:name w:val="标题 8 字符"/>
    <w:basedOn w:val="55"/>
    <w:link w:val="9"/>
    <w:qFormat/>
    <w:uiPriority w:val="0"/>
    <w:rPr>
      <w:rFonts w:eastAsia="黑体" w:cs="Times New Roman"/>
      <w:kern w:val="2"/>
      <w:sz w:val="32"/>
      <w:szCs w:val="32"/>
      <w:lang w:val="zh-CN" w:eastAsia="zh-CN"/>
    </w:rPr>
  </w:style>
  <w:style w:type="character" w:customStyle="1" w:styleId="101">
    <w:name w:val="标题 9 字符"/>
    <w:basedOn w:val="55"/>
    <w:link w:val="10"/>
    <w:qFormat/>
    <w:uiPriority w:val="0"/>
    <w:rPr>
      <w:rFonts w:ascii="Cambria" w:hAnsi="Cambria" w:cs="Times New Roman"/>
      <w:kern w:val="2"/>
      <w:sz w:val="21"/>
      <w:szCs w:val="21"/>
      <w:lang w:val="zh-CN" w:eastAsia="zh-CN"/>
    </w:rPr>
  </w:style>
  <w:style w:type="character" w:customStyle="1" w:styleId="102">
    <w:name w:val="纯文本 Char2"/>
    <w:qFormat/>
    <w:uiPriority w:val="0"/>
    <w:rPr>
      <w:rFonts w:ascii="宋体" w:hAnsi="Courier New"/>
    </w:rPr>
  </w:style>
  <w:style w:type="table" w:customStyle="1" w:styleId="103">
    <w:name w:val="网格型3"/>
    <w:basedOn w:val="53"/>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4">
    <w:name w:val="网格表 1 浅色11"/>
    <w:basedOn w:val="53"/>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0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06">
    <w:name w:val="正文文本缩进 字符"/>
    <w:basedOn w:val="55"/>
    <w:link w:val="20"/>
    <w:qFormat/>
    <w:uiPriority w:val="0"/>
    <w:rPr>
      <w:rFonts w:asciiTheme="minorHAnsi" w:hAnsiTheme="minorHAnsi"/>
      <w:kern w:val="2"/>
      <w:sz w:val="21"/>
      <w:szCs w:val="22"/>
    </w:rPr>
  </w:style>
  <w:style w:type="paragraph" w:customStyle="1" w:styleId="107">
    <w:name w:val="Char"/>
    <w:basedOn w:val="1"/>
    <w:qFormat/>
    <w:uiPriority w:val="0"/>
    <w:rPr>
      <w:rFonts w:ascii="Tahoma" w:hAnsi="Tahoma" w:cs="Times New Roman"/>
      <w:sz w:val="24"/>
    </w:rPr>
  </w:style>
  <w:style w:type="character" w:customStyle="1" w:styleId="108">
    <w:name w:val="脚注文本 字符"/>
    <w:basedOn w:val="55"/>
    <w:link w:val="41"/>
    <w:qFormat/>
    <w:uiPriority w:val="0"/>
    <w:rPr>
      <w:rFonts w:ascii="Times New Roman" w:hAnsi="Times New Roman" w:cs="Times New Roman"/>
      <w:kern w:val="2"/>
      <w:sz w:val="18"/>
      <w:szCs w:val="18"/>
      <w:lang w:val="zh-CN" w:eastAsia="zh-CN"/>
    </w:rPr>
  </w:style>
  <w:style w:type="paragraph" w:customStyle="1" w:styleId="109">
    <w:name w:val="样式 标题 3 + (中文) 黑体 小四 非加粗 段前: 7.8 磅 段后: 0 磅 行距: 固定值 20 磅"/>
    <w:basedOn w:val="4"/>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0">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sz w:val="28"/>
      <w:szCs w:val="20"/>
    </w:rPr>
  </w:style>
  <w:style w:type="paragraph" w:customStyle="1" w:styleId="111">
    <w:name w:val="Normal_2"/>
    <w:qFormat/>
    <w:uiPriority w:val="0"/>
    <w:rPr>
      <w:rFonts w:ascii="Times New Roman" w:hAnsi="Times New Roman" w:eastAsia="Times New Roman" w:cs="Times New Roman"/>
      <w:sz w:val="24"/>
      <w:szCs w:val="24"/>
      <w:lang w:val="en-US" w:eastAsia="zh-CN" w:bidi="ar-SA"/>
    </w:rPr>
  </w:style>
  <w:style w:type="character" w:customStyle="1" w:styleId="112">
    <w:name w:val="称呼 字符"/>
    <w:basedOn w:val="55"/>
    <w:link w:val="17"/>
    <w:qFormat/>
    <w:uiPriority w:val="0"/>
    <w:rPr>
      <w:rFonts w:ascii="仿宋_GB2312" w:hAnsi="Times New Roman" w:eastAsia="仿宋_GB2312" w:cs="Times New Roman"/>
      <w:kern w:val="2"/>
      <w:sz w:val="28"/>
      <w:lang w:val="zh-CN" w:eastAsia="zh-CN"/>
    </w:rPr>
  </w:style>
  <w:style w:type="paragraph" w:customStyle="1" w:styleId="11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14">
    <w:name w:val="正文1"/>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15">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6">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7">
    <w:name w:val="正文_2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
    <w:name w:val="Normal_1"/>
    <w:qFormat/>
    <w:uiPriority w:val="0"/>
    <w:rPr>
      <w:rFonts w:ascii="Times New Roman" w:hAnsi="Times New Roman" w:eastAsia="Times New Roman" w:cs="Times New Roman"/>
      <w:sz w:val="24"/>
      <w:szCs w:val="24"/>
      <w:lang w:val="en-US" w:eastAsia="zh-CN" w:bidi="ar-SA"/>
    </w:rPr>
  </w:style>
  <w:style w:type="paragraph" w:customStyle="1" w:styleId="119">
    <w:name w:val="Normal_3"/>
    <w:qFormat/>
    <w:uiPriority w:val="0"/>
    <w:rPr>
      <w:rFonts w:ascii="Times New Roman" w:hAnsi="Times New Roman" w:eastAsia="Times New Roman" w:cs="Times New Roman"/>
      <w:sz w:val="24"/>
      <w:szCs w:val="24"/>
      <w:lang w:val="en-US" w:eastAsia="zh-CN" w:bidi="ar-SA"/>
    </w:rPr>
  </w:style>
  <w:style w:type="paragraph" w:customStyle="1" w:styleId="120">
    <w:name w:val="Char Char Char Char Char Char"/>
    <w:basedOn w:val="1"/>
    <w:qFormat/>
    <w:uiPriority w:val="0"/>
    <w:rPr>
      <w:rFonts w:ascii="Tahoma" w:hAnsi="Tahoma" w:cs="Times New Roman"/>
      <w:kern w:val="2"/>
      <w:sz w:val="24"/>
    </w:rPr>
  </w:style>
  <w:style w:type="paragraph" w:customStyle="1" w:styleId="121">
    <w:name w:val="Blockquote"/>
    <w:basedOn w:val="1"/>
    <w:link w:val="122"/>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22">
    <w:name w:val="Blockquote Char"/>
    <w:link w:val="121"/>
    <w:qFormat/>
    <w:uiPriority w:val="0"/>
    <w:rPr>
      <w:rFonts w:ascii="Times New Roman" w:hAnsi="Times New Roman" w:cs="Times New Roman"/>
      <w:sz w:val="24"/>
      <w:lang w:val="zh-CN" w:eastAsia="zh-CN"/>
    </w:rPr>
  </w:style>
  <w:style w:type="paragraph" w:customStyle="1" w:styleId="123">
    <w:name w:val="xl22"/>
    <w:basedOn w:val="1"/>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character" w:customStyle="1" w:styleId="124">
    <w:name w:val="tdrownotice1"/>
    <w:qFormat/>
    <w:uiPriority w:val="0"/>
    <w:rPr>
      <w:sz w:val="22"/>
    </w:rPr>
  </w:style>
  <w:style w:type="paragraph" w:customStyle="1" w:styleId="125">
    <w:name w:val="段落2"/>
    <w:basedOn w:val="1"/>
    <w:qFormat/>
    <w:uiPriority w:val="0"/>
    <w:pPr>
      <w:spacing w:line="360" w:lineRule="auto"/>
      <w:ind w:firstLine="480" w:firstLineChars="200"/>
    </w:pPr>
    <w:rPr>
      <w:rFonts w:ascii="Calibri" w:hAnsi="Calibri" w:cs="Courier New"/>
      <w:kern w:val="2"/>
      <w:sz w:val="24"/>
      <w:szCs w:val="21"/>
    </w:rPr>
  </w:style>
  <w:style w:type="character" w:customStyle="1" w:styleId="126">
    <w:name w:val="正文文本缩进 3 字符"/>
    <w:basedOn w:val="55"/>
    <w:link w:val="43"/>
    <w:qFormat/>
    <w:uiPriority w:val="0"/>
    <w:rPr>
      <w:rFonts w:hAnsi="MS Sans Serif" w:cs="Times New Roman"/>
      <w:bCs/>
      <w:color w:val="000000"/>
      <w:sz w:val="24"/>
      <w:lang w:val="zh-CN" w:eastAsia="zh-CN"/>
    </w:rPr>
  </w:style>
  <w:style w:type="character" w:customStyle="1" w:styleId="127">
    <w:name w:val="正文文本缩进 2 字符"/>
    <w:basedOn w:val="55"/>
    <w:link w:val="30"/>
    <w:qFormat/>
    <w:uiPriority w:val="0"/>
    <w:rPr>
      <w:rFonts w:hAnsi="MS Sans Serif" w:cs="Times New Roman"/>
      <w:bCs/>
      <w:spacing w:val="12"/>
      <w:sz w:val="24"/>
      <w:lang w:val="zh-CN" w:eastAsia="zh-CN"/>
    </w:rPr>
  </w:style>
  <w:style w:type="paragraph" w:customStyle="1" w:styleId="128">
    <w:name w:val="目录"/>
    <w:basedOn w:val="1"/>
    <w:qFormat/>
    <w:uiPriority w:val="0"/>
    <w:pPr>
      <w:widowControl/>
      <w:jc w:val="center"/>
    </w:pPr>
    <w:rPr>
      <w:rFonts w:hAnsi="Calibri" w:cs="Times New Roman"/>
      <w:b/>
      <w:sz w:val="36"/>
    </w:rPr>
  </w:style>
  <w:style w:type="paragraph" w:customStyle="1" w:styleId="129">
    <w:name w:val="目录文字"/>
    <w:basedOn w:val="1"/>
    <w:qFormat/>
    <w:uiPriority w:val="0"/>
    <w:pPr>
      <w:widowControl/>
      <w:spacing w:line="480" w:lineRule="auto"/>
      <w:jc w:val="left"/>
    </w:pPr>
    <w:rPr>
      <w:rFonts w:cs="Times New Roman"/>
      <w:sz w:val="24"/>
    </w:rPr>
  </w:style>
  <w:style w:type="character" w:customStyle="1" w:styleId="130">
    <w:name w:val="正文文本 2 字符"/>
    <w:basedOn w:val="55"/>
    <w:link w:val="46"/>
    <w:qFormat/>
    <w:uiPriority w:val="0"/>
    <w:rPr>
      <w:rFonts w:hAnsi="Times New Roman" w:cs="Times New Roman"/>
      <w:spacing w:val="-20"/>
      <w:kern w:val="2"/>
      <w:sz w:val="28"/>
      <w:lang w:val="zh-CN" w:eastAsia="zh-CN"/>
    </w:rPr>
  </w:style>
  <w:style w:type="character" w:customStyle="1" w:styleId="131">
    <w:name w:val="正文文本 3 字符"/>
    <w:basedOn w:val="55"/>
    <w:link w:val="18"/>
    <w:qFormat/>
    <w:uiPriority w:val="0"/>
    <w:rPr>
      <w:rFonts w:ascii="仿宋_GB2312" w:eastAsia="仿宋_GB2312" w:cs="Times New Roman"/>
      <w:bCs/>
      <w:color w:val="000000"/>
      <w:kern w:val="2"/>
      <w:sz w:val="24"/>
      <w:szCs w:val="32"/>
      <w:lang w:val="zh-CN" w:eastAsia="zh-CN"/>
    </w:rPr>
  </w:style>
  <w:style w:type="paragraph" w:customStyle="1" w:styleId="13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33">
    <w:name w:val="xl33"/>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34">
    <w:name w:val="标题 字符"/>
    <w:basedOn w:val="55"/>
    <w:link w:val="50"/>
    <w:qFormat/>
    <w:uiPriority w:val="0"/>
    <w:rPr>
      <w:rFonts w:eastAsia="黑体" w:cs="Times New Roman"/>
      <w:b/>
      <w:smallCaps/>
      <w:snapToGrid w:val="0"/>
      <w:kern w:val="2"/>
      <w:sz w:val="44"/>
      <w:szCs w:val="24"/>
      <w:lang w:val="zh-CN" w:eastAsia="zh-CN"/>
    </w:rPr>
  </w:style>
  <w:style w:type="paragraph" w:customStyle="1" w:styleId="135">
    <w:name w:val="段落1 Char"/>
    <w:basedOn w:val="27"/>
    <w:qFormat/>
    <w:uiPriority w:val="0"/>
    <w:pPr>
      <w:spacing w:line="360" w:lineRule="auto"/>
    </w:pPr>
    <w:rPr>
      <w:rFonts w:ascii="Times New Roman" w:hAnsi="Times New Roman" w:eastAsia="宋体" w:cs="Times New Roman"/>
      <w:kern w:val="2"/>
      <w:sz w:val="24"/>
      <w:szCs w:val="21"/>
      <w:lang w:val="zh-CN"/>
    </w:rPr>
  </w:style>
  <w:style w:type="paragraph" w:customStyle="1" w:styleId="136">
    <w:name w:val="样式3"/>
    <w:basedOn w:val="1"/>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37">
    <w:name w:val="简单回函地址"/>
    <w:basedOn w:val="1"/>
    <w:qFormat/>
    <w:uiPriority w:val="0"/>
    <w:rPr>
      <w:rFonts w:ascii="Calibri" w:hAnsi="Calibri" w:cs="Times New Roman"/>
      <w:kern w:val="2"/>
      <w:sz w:val="21"/>
      <w:szCs w:val="22"/>
    </w:rPr>
  </w:style>
  <w:style w:type="paragraph" w:customStyle="1" w:styleId="138">
    <w:name w:val="Char Char Char Char"/>
    <w:basedOn w:val="1"/>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39">
    <w:name w:val="Default Paragraph Char Char Char Char"/>
    <w:basedOn w:val="1"/>
    <w:next w:val="1"/>
    <w:qFormat/>
    <w:uiPriority w:val="0"/>
    <w:pPr>
      <w:widowControl/>
      <w:spacing w:line="360" w:lineRule="auto"/>
      <w:jc w:val="left"/>
    </w:pPr>
    <w:rPr>
      <w:rFonts w:ascii="Calibri" w:hAnsi="Calibri" w:cs="Times New Roman"/>
      <w:sz w:val="21"/>
      <w:lang w:eastAsia="en-US"/>
    </w:rPr>
  </w:style>
  <w:style w:type="character" w:customStyle="1" w:styleId="140">
    <w:name w:val="t_tag"/>
    <w:basedOn w:val="55"/>
    <w:qFormat/>
    <w:uiPriority w:val="0"/>
  </w:style>
  <w:style w:type="table" w:customStyle="1" w:styleId="141">
    <w:name w:val="网格型11"/>
    <w:basedOn w:val="5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2">
    <w:name w:val="批注框文本 Char1"/>
    <w:basedOn w:val="55"/>
    <w:qFormat/>
    <w:uiPriority w:val="0"/>
    <w:rPr>
      <w:rFonts w:ascii="Times New Roman" w:hAnsi="Times New Roman" w:eastAsia="宋体" w:cs="Times New Roman"/>
      <w:sz w:val="18"/>
      <w:szCs w:val="18"/>
    </w:rPr>
  </w:style>
  <w:style w:type="character" w:customStyle="1" w:styleId="143">
    <w:name w:val="批注主题 Char1"/>
    <w:basedOn w:val="82"/>
    <w:qFormat/>
    <w:uiPriority w:val="0"/>
    <w:rPr>
      <w:rFonts w:ascii="@仿宋_GB2312" w:hAnsi="@仿宋_GB2312" w:eastAsia="@仿宋_GB2312" w:cs="@仿宋_GB2312"/>
      <w:b/>
      <w:bCs/>
      <w:szCs w:val="20"/>
    </w:rPr>
  </w:style>
  <w:style w:type="paragraph" w:customStyle="1" w:styleId="144">
    <w:name w:val="Char10 Char Char Char Char Char Char Char Char Char"/>
    <w:basedOn w:val="1"/>
    <w:next w:val="1"/>
    <w:qFormat/>
    <w:uiPriority w:val="0"/>
    <w:rPr>
      <w:rFonts w:ascii="Calibri" w:hAnsi="Calibri" w:cs="Times New Roman"/>
      <w:kern w:val="2"/>
      <w:sz w:val="21"/>
      <w:szCs w:val="22"/>
    </w:rPr>
  </w:style>
  <w:style w:type="character" w:customStyle="1" w:styleId="145">
    <w:name w:val="文档结构图 字符"/>
    <w:basedOn w:val="55"/>
    <w:link w:val="15"/>
    <w:qFormat/>
    <w:uiPriority w:val="0"/>
    <w:rPr>
      <w:rFonts w:ascii="Calibri" w:hAnsi="Calibri" w:cs="Times New Roman"/>
      <w:bCs/>
      <w:kern w:val="2"/>
      <w:sz w:val="21"/>
      <w:szCs w:val="32"/>
      <w:shd w:val="clear" w:color="auto" w:fill="000080"/>
      <w:lang w:val="zh-CN" w:eastAsia="zh-CN"/>
    </w:rPr>
  </w:style>
  <w:style w:type="character" w:customStyle="1" w:styleId="146">
    <w:name w:val="标题 1 Char1"/>
    <w:qFormat/>
    <w:uiPriority w:val="0"/>
    <w:rPr>
      <w:rFonts w:ascii="Calibri" w:hAnsi="Calibri" w:eastAsia="宋体"/>
      <w:b/>
      <w:kern w:val="44"/>
      <w:sz w:val="44"/>
      <w:szCs w:val="44"/>
    </w:rPr>
  </w:style>
  <w:style w:type="character" w:customStyle="1" w:styleId="147">
    <w:name w:val="标题 3 Char1"/>
    <w:semiHidden/>
    <w:qFormat/>
    <w:uiPriority w:val="0"/>
    <w:rPr>
      <w:rFonts w:ascii="Calibri" w:hAnsi="Calibri" w:eastAsia="宋体"/>
      <w:b/>
      <w:kern w:val="2"/>
      <w:sz w:val="32"/>
    </w:rPr>
  </w:style>
  <w:style w:type="character" w:customStyle="1" w:styleId="148">
    <w:name w:val="标题 4 Char1"/>
    <w:semiHidden/>
    <w:qFormat/>
    <w:uiPriority w:val="0"/>
    <w:rPr>
      <w:rFonts w:ascii="Cambria" w:hAnsi="Cambria" w:eastAsia="宋体"/>
      <w:b/>
      <w:kern w:val="2"/>
      <w:sz w:val="28"/>
      <w:szCs w:val="28"/>
    </w:rPr>
  </w:style>
  <w:style w:type="character" w:customStyle="1" w:styleId="149">
    <w:name w:val="标题 5 Char1"/>
    <w:semiHidden/>
    <w:qFormat/>
    <w:uiPriority w:val="0"/>
    <w:rPr>
      <w:rFonts w:ascii="Calibri" w:hAnsi="Calibri" w:eastAsia="宋体"/>
      <w:b/>
      <w:kern w:val="2"/>
      <w:sz w:val="28"/>
      <w:szCs w:val="28"/>
    </w:rPr>
  </w:style>
  <w:style w:type="character" w:customStyle="1" w:styleId="150">
    <w:name w:val="标题 6 Char1"/>
    <w:semiHidden/>
    <w:qFormat/>
    <w:uiPriority w:val="0"/>
    <w:rPr>
      <w:rFonts w:ascii="Cambria" w:hAnsi="Cambria" w:eastAsia="宋体"/>
      <w:b/>
      <w:kern w:val="2"/>
      <w:sz w:val="24"/>
      <w:szCs w:val="24"/>
    </w:rPr>
  </w:style>
  <w:style w:type="character" w:customStyle="1" w:styleId="151">
    <w:name w:val="标题 7 Char1"/>
    <w:semiHidden/>
    <w:qFormat/>
    <w:uiPriority w:val="0"/>
    <w:rPr>
      <w:rFonts w:ascii="Calibri" w:hAnsi="Calibri" w:eastAsia="宋体"/>
      <w:b/>
      <w:kern w:val="2"/>
      <w:sz w:val="24"/>
      <w:szCs w:val="24"/>
    </w:rPr>
  </w:style>
  <w:style w:type="character" w:customStyle="1" w:styleId="152">
    <w:name w:val="标题 8 Char1"/>
    <w:semiHidden/>
    <w:qFormat/>
    <w:uiPriority w:val="0"/>
    <w:rPr>
      <w:rFonts w:ascii="Cambria" w:hAnsi="Cambria" w:eastAsia="宋体"/>
      <w:kern w:val="2"/>
      <w:sz w:val="24"/>
      <w:szCs w:val="24"/>
    </w:rPr>
  </w:style>
  <w:style w:type="character" w:customStyle="1" w:styleId="153">
    <w:name w:val="标题 9 Char1"/>
    <w:semiHidden/>
    <w:qFormat/>
    <w:uiPriority w:val="0"/>
    <w:rPr>
      <w:rFonts w:ascii="Cambria" w:hAnsi="Cambria" w:eastAsia="宋体"/>
      <w:kern w:val="2"/>
      <w:sz w:val="21"/>
      <w:szCs w:val="21"/>
    </w:rPr>
  </w:style>
  <w:style w:type="paragraph" w:customStyle="1" w:styleId="154">
    <w:name w:val="MsoNormal"/>
    <w:basedOn w:val="155"/>
    <w:qFormat/>
    <w:uiPriority w:val="0"/>
    <w:rPr>
      <w:rFonts w:ascii="Calibri" w:hAnsi="Calibri" w:eastAsia="Calibri"/>
      <w:sz w:val="21"/>
    </w:rPr>
  </w:style>
  <w:style w:type="paragraph" w:customStyle="1" w:styleId="155">
    <w:name w:val="Normal_0"/>
    <w:qFormat/>
    <w:uiPriority w:val="0"/>
    <w:rPr>
      <w:rFonts w:ascii="Times New Roman" w:hAnsi="Times New Roman" w:eastAsia="宋体" w:cs="Times New Roman"/>
      <w:sz w:val="24"/>
      <w:szCs w:val="24"/>
      <w:lang w:val="en-US" w:eastAsia="zh-CN" w:bidi="ar-SA"/>
    </w:rPr>
  </w:style>
  <w:style w:type="paragraph" w:customStyle="1" w:styleId="156">
    <w:name w:val="标题 2_0"/>
    <w:basedOn w:val="157"/>
    <w:next w:val="158"/>
    <w:link w:val="159"/>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57">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8">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9">
    <w:name w:val="标题 2 Char_0"/>
    <w:link w:val="156"/>
    <w:qFormat/>
    <w:uiPriority w:val="0"/>
    <w:rPr>
      <w:rFonts w:ascii="黑体" w:eastAsia="黑体" w:cs="Times New Roman"/>
      <w:b/>
      <w:smallCaps/>
      <w:snapToGrid w:val="0"/>
      <w:sz w:val="36"/>
      <w:szCs w:val="24"/>
      <w:lang w:val="zh-CN" w:eastAsia="zh-CN"/>
    </w:rPr>
  </w:style>
  <w:style w:type="paragraph" w:customStyle="1" w:styleId="160">
    <w:name w:val="纯文本_0"/>
    <w:basedOn w:val="158"/>
    <w:link w:val="161"/>
    <w:qFormat/>
    <w:uiPriority w:val="99"/>
    <w:rPr>
      <w:rFonts w:ascii="宋体" w:hAnsi="Courier New"/>
      <w:szCs w:val="21"/>
    </w:rPr>
  </w:style>
  <w:style w:type="character" w:customStyle="1" w:styleId="161">
    <w:name w:val="Texte Char1"/>
    <w:link w:val="160"/>
    <w:qFormat/>
    <w:uiPriority w:val="99"/>
    <w:rPr>
      <w:rFonts w:hAnsi="Courier New" w:cs="Times New Roman"/>
      <w:kern w:val="2"/>
      <w:sz w:val="21"/>
      <w:szCs w:val="21"/>
    </w:rPr>
  </w:style>
  <w:style w:type="paragraph" w:customStyle="1" w:styleId="162">
    <w:name w:val="纯文本_1"/>
    <w:basedOn w:val="163"/>
    <w:link w:val="164"/>
    <w:qFormat/>
    <w:uiPriority w:val="0"/>
    <w:rPr>
      <w:rFonts w:ascii="宋体" w:hAnsi="Courier New"/>
      <w:szCs w:val="21"/>
      <w:lang w:val="zh-CN"/>
    </w:rPr>
  </w:style>
  <w:style w:type="paragraph" w:customStyle="1" w:styleId="163">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4">
    <w:name w:val="纯文本 Char1_0"/>
    <w:link w:val="162"/>
    <w:qFormat/>
    <w:uiPriority w:val="0"/>
    <w:rPr>
      <w:rFonts w:hAnsi="Courier New" w:cs="Times New Roman"/>
      <w:kern w:val="2"/>
      <w:sz w:val="21"/>
      <w:szCs w:val="21"/>
      <w:lang w:val="zh-CN" w:eastAsia="zh-CN"/>
    </w:rPr>
  </w:style>
  <w:style w:type="paragraph" w:customStyle="1" w:styleId="165">
    <w:name w:val="标题 3_0"/>
    <w:basedOn w:val="166"/>
    <w:next w:val="167"/>
    <w:link w:val="178"/>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66">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正文缩进_0"/>
    <w:basedOn w:val="166"/>
    <w:unhideWhenUsed/>
    <w:qFormat/>
    <w:uiPriority w:val="0"/>
    <w:pPr>
      <w:ind w:firstLine="420" w:firstLineChars="200"/>
    </w:pPr>
    <w:rPr>
      <w:rFonts w:ascii="Calibri" w:hAnsi="Calibri"/>
      <w:bCs/>
      <w:szCs w:val="32"/>
    </w:rPr>
  </w:style>
  <w:style w:type="paragraph" w:customStyle="1" w:styleId="168">
    <w:name w:val="标题 1_0"/>
    <w:basedOn w:val="166"/>
    <w:next w:val="166"/>
    <w:link w:val="169"/>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69">
    <w:name w:val="标题 1 Char_0"/>
    <w:link w:val="168"/>
    <w:qFormat/>
    <w:uiPriority w:val="0"/>
    <w:rPr>
      <w:rFonts w:ascii="黑体" w:hAnsi="Times New Roman" w:eastAsia="黑体" w:cs="Times New Roman"/>
      <w:sz w:val="52"/>
      <w:lang w:val="zh-CN" w:eastAsia="zh-CN"/>
    </w:rPr>
  </w:style>
  <w:style w:type="paragraph" w:customStyle="1" w:styleId="170">
    <w:name w:val="标题 6_0"/>
    <w:basedOn w:val="166"/>
    <w:next w:val="166"/>
    <w:link w:val="171"/>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71">
    <w:name w:val="标题 6 Char_0"/>
    <w:link w:val="170"/>
    <w:qFormat/>
    <w:uiPriority w:val="0"/>
    <w:rPr>
      <w:rFonts w:ascii="Arial" w:hAnsi="Arial" w:eastAsia="黑体" w:cs="Times New Roman"/>
      <w:b/>
      <w:bCs/>
      <w:sz w:val="24"/>
      <w:szCs w:val="24"/>
      <w:lang w:val="zh-CN" w:eastAsia="zh-CN"/>
    </w:rPr>
  </w:style>
  <w:style w:type="paragraph" w:customStyle="1" w:styleId="172">
    <w:name w:val="标题 7_0"/>
    <w:basedOn w:val="166"/>
    <w:next w:val="166"/>
    <w:link w:val="173"/>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73">
    <w:name w:val="标题 7 Char_0"/>
    <w:link w:val="172"/>
    <w:qFormat/>
    <w:uiPriority w:val="0"/>
    <w:rPr>
      <w:rFonts w:ascii="Times New Roman" w:hAnsi="Times New Roman" w:cs="Times New Roman"/>
      <w:b/>
      <w:bCs/>
      <w:sz w:val="24"/>
      <w:szCs w:val="24"/>
      <w:lang w:val="zh-CN" w:eastAsia="zh-CN"/>
    </w:rPr>
  </w:style>
  <w:style w:type="paragraph" w:customStyle="1" w:styleId="174">
    <w:name w:val="标题 8_0"/>
    <w:basedOn w:val="166"/>
    <w:next w:val="166"/>
    <w:link w:val="175"/>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75">
    <w:name w:val="标题 8 Char_0"/>
    <w:link w:val="174"/>
    <w:qFormat/>
    <w:uiPriority w:val="0"/>
    <w:rPr>
      <w:rFonts w:ascii="Arial" w:hAnsi="Arial" w:eastAsia="黑体" w:cs="Times New Roman"/>
      <w:sz w:val="24"/>
      <w:szCs w:val="24"/>
      <w:lang w:val="zh-CN" w:eastAsia="zh-CN"/>
    </w:rPr>
  </w:style>
  <w:style w:type="paragraph" w:customStyle="1" w:styleId="176">
    <w:name w:val="标题 9_0"/>
    <w:basedOn w:val="166"/>
    <w:next w:val="166"/>
    <w:link w:val="177"/>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77">
    <w:name w:val="标题 9 Char_0"/>
    <w:link w:val="176"/>
    <w:qFormat/>
    <w:uiPriority w:val="0"/>
    <w:rPr>
      <w:rFonts w:ascii="Arial" w:hAnsi="Arial" w:eastAsia="黑体" w:cs="Times New Roman"/>
      <w:sz w:val="21"/>
      <w:szCs w:val="21"/>
      <w:lang w:val="zh-CN" w:eastAsia="zh-CN"/>
    </w:rPr>
  </w:style>
  <w:style w:type="character" w:customStyle="1" w:styleId="178">
    <w:name w:val="标题 3 Char_0"/>
    <w:link w:val="165"/>
    <w:qFormat/>
    <w:uiPriority w:val="0"/>
    <w:rPr>
      <w:rFonts w:ascii="Times New Roman" w:hAnsi="Times New Roman" w:cs="Times New Roman"/>
      <w:b/>
      <w:sz w:val="32"/>
      <w:lang w:val="zh-CN" w:eastAsia="zh-CN"/>
    </w:rPr>
  </w:style>
  <w:style w:type="paragraph" w:customStyle="1" w:styleId="179">
    <w:name w:val="Blockquote_0"/>
    <w:basedOn w:val="166"/>
    <w:link w:val="180"/>
    <w:qFormat/>
    <w:uiPriority w:val="0"/>
    <w:pPr>
      <w:autoSpaceDE w:val="0"/>
      <w:autoSpaceDN w:val="0"/>
      <w:adjustRightInd w:val="0"/>
      <w:spacing w:before="100" w:after="100"/>
      <w:ind w:left="360" w:right="360"/>
      <w:jc w:val="left"/>
    </w:pPr>
    <w:rPr>
      <w:kern w:val="0"/>
      <w:sz w:val="24"/>
      <w:szCs w:val="20"/>
      <w:lang w:val="zh-CN"/>
    </w:rPr>
  </w:style>
  <w:style w:type="character" w:customStyle="1" w:styleId="180">
    <w:name w:val="Blockquote Char_0"/>
    <w:link w:val="179"/>
    <w:qFormat/>
    <w:locked/>
    <w:uiPriority w:val="0"/>
    <w:rPr>
      <w:rFonts w:ascii="Times New Roman" w:hAnsi="Times New Roman" w:cs="Times New Roman"/>
      <w:sz w:val="24"/>
      <w:lang w:val="zh-CN" w:eastAsia="zh-CN"/>
    </w:rPr>
  </w:style>
  <w:style w:type="paragraph" w:customStyle="1" w:styleId="181">
    <w:name w:val="标题 4_0"/>
    <w:basedOn w:val="166"/>
    <w:next w:val="166"/>
    <w:link w:val="182"/>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82">
    <w:name w:val="标题 4 Char_0"/>
    <w:link w:val="181"/>
    <w:qFormat/>
    <w:uiPriority w:val="0"/>
    <w:rPr>
      <w:rFonts w:ascii="Arial" w:hAnsi="Arial" w:eastAsia="黑体" w:cs="Times New Roman"/>
      <w:sz w:val="28"/>
      <w:lang w:val="zh-CN" w:eastAsia="zh-CN"/>
    </w:rPr>
  </w:style>
  <w:style w:type="paragraph" w:customStyle="1" w:styleId="183">
    <w:name w:val="纯文本_2"/>
    <w:basedOn w:val="166"/>
    <w:link w:val="184"/>
    <w:qFormat/>
    <w:uiPriority w:val="0"/>
    <w:rPr>
      <w:rFonts w:ascii="宋体" w:hAnsi="Courier New"/>
      <w:szCs w:val="21"/>
      <w:lang w:val="zh-CN"/>
    </w:rPr>
  </w:style>
  <w:style w:type="character" w:customStyle="1" w:styleId="184">
    <w:name w:val="纯文本 Char1_1"/>
    <w:link w:val="183"/>
    <w:qFormat/>
    <w:uiPriority w:val="0"/>
    <w:rPr>
      <w:rFonts w:hAnsi="Courier New" w:cs="Times New Roman"/>
      <w:kern w:val="2"/>
      <w:sz w:val="21"/>
      <w:szCs w:val="21"/>
      <w:lang w:val="zh-CN" w:eastAsia="zh-CN"/>
    </w:rPr>
  </w:style>
  <w:style w:type="paragraph" w:customStyle="1" w:styleId="185">
    <w:name w:val="Blockquote_0_1"/>
    <w:basedOn w:val="186"/>
    <w:link w:val="187"/>
    <w:qFormat/>
    <w:uiPriority w:val="0"/>
    <w:pPr>
      <w:autoSpaceDE w:val="0"/>
      <w:autoSpaceDN w:val="0"/>
      <w:adjustRightInd w:val="0"/>
      <w:spacing w:before="100" w:after="100"/>
      <w:ind w:left="360" w:right="360"/>
      <w:jc w:val="left"/>
    </w:pPr>
    <w:rPr>
      <w:kern w:val="0"/>
      <w:sz w:val="24"/>
      <w:szCs w:val="20"/>
      <w:lang w:val="zh-CN"/>
    </w:rPr>
  </w:style>
  <w:style w:type="paragraph" w:customStyle="1" w:styleId="186">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87">
    <w:name w:val="Blockquote Char_0_1"/>
    <w:link w:val="185"/>
    <w:qFormat/>
    <w:locked/>
    <w:uiPriority w:val="0"/>
    <w:rPr>
      <w:rFonts w:ascii="Times New Roman" w:hAnsi="Times New Roman" w:cs="Times New Roman"/>
      <w:sz w:val="24"/>
      <w:lang w:val="zh-CN" w:eastAsia="zh-CN"/>
    </w:rPr>
  </w:style>
  <w:style w:type="paragraph" w:customStyle="1" w:styleId="188">
    <w:name w:val="正文文本_0"/>
    <w:basedOn w:val="166"/>
    <w:link w:val="189"/>
    <w:qFormat/>
    <w:uiPriority w:val="0"/>
    <w:pPr>
      <w:spacing w:after="120"/>
    </w:pPr>
    <w:rPr>
      <w:lang w:val="zh-CN"/>
    </w:rPr>
  </w:style>
  <w:style w:type="character" w:customStyle="1" w:styleId="189">
    <w:name w:val="正文文本 Char_0"/>
    <w:link w:val="188"/>
    <w:qFormat/>
    <w:uiPriority w:val="0"/>
    <w:rPr>
      <w:rFonts w:ascii="Times New Roman" w:hAnsi="Times New Roman" w:cs="Times New Roman"/>
      <w:kern w:val="2"/>
      <w:sz w:val="21"/>
      <w:szCs w:val="24"/>
      <w:lang w:val="zh-CN" w:eastAsia="zh-CN"/>
    </w:rPr>
  </w:style>
  <w:style w:type="paragraph" w:customStyle="1" w:styleId="190">
    <w:name w:val="普通(网站)_0"/>
    <w:basedOn w:val="166"/>
    <w:qFormat/>
    <w:uiPriority w:val="0"/>
    <w:pPr>
      <w:widowControl/>
      <w:spacing w:before="100" w:beforeAutospacing="1" w:after="100" w:afterAutospacing="1"/>
      <w:jc w:val="left"/>
    </w:pPr>
    <w:rPr>
      <w:rFonts w:ascii="宋体" w:hAnsi="宋体"/>
      <w:kern w:val="0"/>
      <w:sz w:val="24"/>
    </w:rPr>
  </w:style>
  <w:style w:type="paragraph" w:customStyle="1" w:styleId="1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2">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3">
    <w:name w:val="脚注文本_0"/>
    <w:basedOn w:val="115"/>
    <w:link w:val="194"/>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194">
    <w:name w:val="脚注文本 Char_0"/>
    <w:link w:val="193"/>
    <w:qFormat/>
    <w:uiPriority w:val="0"/>
    <w:rPr>
      <w:rFonts w:ascii="Times New Roman" w:hAnsi="Times New Roman" w:cs="Times New Roman"/>
      <w:sz w:val="18"/>
      <w:lang w:val="zh-CN" w:eastAsia="zh-CN"/>
    </w:rPr>
  </w:style>
  <w:style w:type="paragraph" w:customStyle="1" w:styleId="195">
    <w:name w:val="font5"/>
    <w:basedOn w:val="1"/>
    <w:qFormat/>
    <w:uiPriority w:val="0"/>
    <w:pPr>
      <w:widowControl/>
      <w:spacing w:before="100" w:beforeAutospacing="1" w:after="100" w:afterAutospacing="1"/>
      <w:jc w:val="left"/>
    </w:pPr>
    <w:rPr>
      <w:rFonts w:hint="eastAsia" w:cs="Times New Roman"/>
      <w:sz w:val="18"/>
      <w:szCs w:val="18"/>
    </w:rPr>
  </w:style>
  <w:style w:type="paragraph" w:customStyle="1" w:styleId="19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19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19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19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1">
    <w:name w:val="xl2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0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0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6">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07">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0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1">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2">
    <w:name w:val="xl42"/>
    <w:basedOn w:val="1"/>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3">
    <w:name w:val="xl43"/>
    <w:basedOn w:val="1"/>
    <w:qFormat/>
    <w:uiPriority w:val="0"/>
    <w:pPr>
      <w:widowControl/>
      <w:spacing w:before="100" w:beforeAutospacing="1" w:after="100" w:afterAutospacing="1"/>
      <w:jc w:val="left"/>
      <w:textAlignment w:val="top"/>
    </w:pPr>
    <w:rPr>
      <w:rFonts w:cs="Times New Roman"/>
      <w:sz w:val="24"/>
      <w:szCs w:val="24"/>
    </w:rPr>
  </w:style>
  <w:style w:type="paragraph" w:customStyle="1" w:styleId="214">
    <w:name w:val="xl44"/>
    <w:basedOn w:val="1"/>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5">
    <w:name w:val="xl45"/>
    <w:basedOn w:val="1"/>
    <w:qFormat/>
    <w:uiPriority w:val="0"/>
    <w:pPr>
      <w:widowControl/>
      <w:spacing w:before="100" w:beforeAutospacing="1" w:after="100" w:afterAutospacing="1"/>
      <w:jc w:val="left"/>
      <w:textAlignment w:val="top"/>
    </w:pPr>
    <w:rPr>
      <w:rFonts w:cs="Times New Roman"/>
      <w:sz w:val="24"/>
      <w:szCs w:val="24"/>
    </w:rPr>
  </w:style>
  <w:style w:type="paragraph" w:customStyle="1" w:styleId="216">
    <w:name w:val="font6"/>
    <w:basedOn w:val="1"/>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17">
    <w:name w:val="Char Char Char Char Char"/>
    <w:basedOn w:val="1"/>
    <w:qFormat/>
    <w:uiPriority w:val="0"/>
    <w:rPr>
      <w:rFonts w:ascii="Tahoma" w:hAnsi="Tahoma" w:cs="Times New Roman"/>
      <w:kern w:val="2"/>
      <w:sz w:val="24"/>
    </w:rPr>
  </w:style>
  <w:style w:type="paragraph" w:customStyle="1" w:styleId="218">
    <w:name w:val="范本目录"/>
    <w:basedOn w:val="1"/>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19">
    <w:name w:val="副标题 字符"/>
    <w:basedOn w:val="55"/>
    <w:link w:val="39"/>
    <w:qFormat/>
    <w:uiPriority w:val="0"/>
    <w:rPr>
      <w:rFonts w:ascii="Arial" w:hAnsi="Arial" w:cs="Times New Roman"/>
      <w:b/>
      <w:bCs/>
      <w:kern w:val="28"/>
      <w:sz w:val="32"/>
      <w:szCs w:val="32"/>
      <w:lang w:val="zh-CN" w:eastAsia="zh-CN"/>
    </w:rPr>
  </w:style>
  <w:style w:type="character" w:customStyle="1" w:styleId="220">
    <w:name w:val="Char Char"/>
    <w:qFormat/>
    <w:uiPriority w:val="0"/>
    <w:rPr>
      <w:rFonts w:ascii="宋体" w:hAnsi="Courier New" w:eastAsia="宋体" w:cs="Courier New"/>
      <w:kern w:val="2"/>
      <w:sz w:val="21"/>
      <w:szCs w:val="21"/>
      <w:lang w:val="en-US" w:eastAsia="zh-CN" w:bidi="ar-SA"/>
    </w:rPr>
  </w:style>
  <w:style w:type="character" w:customStyle="1" w:styleId="221">
    <w:name w:val="标题4 Char Char"/>
    <w:link w:val="222"/>
    <w:qFormat/>
    <w:uiPriority w:val="0"/>
    <w:rPr>
      <w:rFonts w:ascii="Arial" w:hAnsi="Arial"/>
      <w:b/>
      <w:bCs/>
      <w:sz w:val="24"/>
      <w:szCs w:val="32"/>
    </w:rPr>
  </w:style>
  <w:style w:type="paragraph" w:customStyle="1" w:styleId="222">
    <w:name w:val="标题4"/>
    <w:basedOn w:val="3"/>
    <w:next w:val="24"/>
    <w:link w:val="221"/>
    <w:qFormat/>
    <w:uiPriority w:val="0"/>
    <w:pPr>
      <w:spacing w:before="0" w:after="0" w:line="413" w:lineRule="auto"/>
    </w:pPr>
    <w:rPr>
      <w:rFonts w:ascii="Arial" w:hAnsi="Arial" w:cstheme="minorBidi"/>
      <w:kern w:val="0"/>
      <w:sz w:val="24"/>
      <w:lang w:val="en-US"/>
    </w:rPr>
  </w:style>
  <w:style w:type="character" w:customStyle="1" w:styleId="223">
    <w:name w:val="明显引用 字符"/>
    <w:link w:val="224"/>
    <w:qFormat/>
    <w:uiPriority w:val="0"/>
    <w:rPr>
      <w:b/>
      <w:bCs/>
      <w:i/>
      <w:iCs/>
      <w:color w:val="4F81BD"/>
    </w:rPr>
  </w:style>
  <w:style w:type="paragraph" w:styleId="224">
    <w:name w:val="Intense Quote"/>
    <w:basedOn w:val="1"/>
    <w:next w:val="1"/>
    <w:link w:val="223"/>
    <w:qFormat/>
    <w:uiPriority w:val="0"/>
    <w:pPr>
      <w:pBdr>
        <w:bottom w:val="single" w:color="4F81BD" w:themeColor="accent1" w:sz="4" w:space="4"/>
      </w:pBdr>
      <w:spacing w:before="200" w:after="280"/>
      <w:ind w:left="936" w:right="936"/>
    </w:pPr>
    <w:rPr>
      <w:b/>
      <w:bCs/>
      <w:i/>
      <w:iCs/>
      <w:color w:val="4F81BD"/>
    </w:rPr>
  </w:style>
  <w:style w:type="paragraph" w:customStyle="1" w:styleId="225">
    <w:name w:val="明显引用1"/>
    <w:basedOn w:val="1"/>
    <w:next w:val="1"/>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26">
    <w:name w:val="明显引用 Char1"/>
    <w:basedOn w:val="55"/>
    <w:qFormat/>
    <w:uiPriority w:val="30"/>
    <w:rPr>
      <w:rFonts w:ascii="Times New Roman" w:hAnsi="Times New Roman" w:eastAsia="宋体" w:cs="Times New Roman"/>
      <w:i/>
      <w:iCs/>
      <w:color w:val="5B9BD5"/>
      <w:szCs w:val="24"/>
    </w:rPr>
  </w:style>
  <w:style w:type="character" w:customStyle="1" w:styleId="227">
    <w:name w:val="标题5 Char Char"/>
    <w:link w:val="228"/>
    <w:qFormat/>
    <w:uiPriority w:val="0"/>
    <w:rPr>
      <w:rFonts w:ascii="Arial" w:hAnsi="Arial"/>
      <w:b/>
      <w:bCs/>
      <w:sz w:val="24"/>
      <w:szCs w:val="32"/>
    </w:rPr>
  </w:style>
  <w:style w:type="paragraph" w:customStyle="1" w:styleId="228">
    <w:name w:val="标题5"/>
    <w:basedOn w:val="4"/>
    <w:link w:val="227"/>
    <w:qFormat/>
    <w:uiPriority w:val="0"/>
    <w:pPr>
      <w:spacing w:line="413" w:lineRule="auto"/>
      <w:jc w:val="left"/>
    </w:pPr>
    <w:rPr>
      <w:rFonts w:ascii="Arial" w:hAnsi="Arial"/>
      <w:sz w:val="24"/>
    </w:rPr>
  </w:style>
  <w:style w:type="character" w:customStyle="1" w:styleId="229">
    <w:name w:val="引用 字符"/>
    <w:link w:val="230"/>
    <w:qFormat/>
    <w:uiPriority w:val="0"/>
    <w:rPr>
      <w:i/>
      <w:iCs/>
      <w:color w:val="000000"/>
    </w:rPr>
  </w:style>
  <w:style w:type="paragraph" w:styleId="230">
    <w:name w:val="Quote"/>
    <w:basedOn w:val="1"/>
    <w:next w:val="1"/>
    <w:link w:val="229"/>
    <w:qFormat/>
    <w:uiPriority w:val="0"/>
    <w:rPr>
      <w:i/>
      <w:iCs/>
      <w:color w:val="000000"/>
    </w:rPr>
  </w:style>
  <w:style w:type="paragraph" w:customStyle="1" w:styleId="231">
    <w:name w:val="引用1"/>
    <w:basedOn w:val="1"/>
    <w:next w:val="1"/>
    <w:qFormat/>
    <w:uiPriority w:val="0"/>
    <w:rPr>
      <w:rFonts w:ascii="Calibri" w:hAnsi="Calibri" w:cs="Times New Roman"/>
      <w:i/>
      <w:iCs/>
      <w:color w:val="000000"/>
      <w:kern w:val="2"/>
      <w:sz w:val="21"/>
      <w:szCs w:val="22"/>
    </w:rPr>
  </w:style>
  <w:style w:type="character" w:customStyle="1" w:styleId="232">
    <w:name w:val="引用 Char1"/>
    <w:basedOn w:val="55"/>
    <w:qFormat/>
    <w:uiPriority w:val="29"/>
    <w:rPr>
      <w:rFonts w:ascii="Times New Roman" w:hAnsi="Times New Roman" w:eastAsia="宋体" w:cs="Times New Roman"/>
      <w:i/>
      <w:iCs/>
      <w:color w:val="404040"/>
      <w:szCs w:val="24"/>
    </w:rPr>
  </w:style>
  <w:style w:type="character" w:customStyle="1" w:styleId="233">
    <w:name w:val="ask-title2"/>
    <w:qFormat/>
    <w:uiPriority w:val="0"/>
  </w:style>
  <w:style w:type="character" w:customStyle="1" w:styleId="234">
    <w:name w:val="正文文本 Char1"/>
    <w:qFormat/>
    <w:uiPriority w:val="0"/>
    <w:rPr>
      <w:kern w:val="2"/>
      <w:sz w:val="21"/>
      <w:szCs w:val="22"/>
    </w:rPr>
  </w:style>
  <w:style w:type="character" w:customStyle="1" w:styleId="235">
    <w:name w:val="不明显强调1"/>
    <w:qFormat/>
    <w:uiPriority w:val="0"/>
    <w:rPr>
      <w:i/>
      <w:iCs/>
      <w:color w:val="808080"/>
    </w:rPr>
  </w:style>
  <w:style w:type="character" w:customStyle="1" w:styleId="236">
    <w:name w:val="明显参考1"/>
    <w:qFormat/>
    <w:uiPriority w:val="0"/>
    <w:rPr>
      <w:b/>
      <w:bCs/>
      <w:smallCaps/>
      <w:color w:val="C0504D"/>
      <w:spacing w:val="5"/>
      <w:u w:val="single"/>
    </w:rPr>
  </w:style>
  <w:style w:type="character" w:customStyle="1" w:styleId="237">
    <w:name w:val="书籍标题1"/>
    <w:qFormat/>
    <w:uiPriority w:val="0"/>
    <w:rPr>
      <w:b/>
      <w:bCs/>
      <w:smallCaps/>
      <w:spacing w:val="5"/>
    </w:rPr>
  </w:style>
  <w:style w:type="character" w:customStyle="1" w:styleId="238">
    <w:name w:val="日期 Char1"/>
    <w:qFormat/>
    <w:uiPriority w:val="0"/>
    <w:rPr>
      <w:kern w:val="2"/>
      <w:sz w:val="21"/>
      <w:szCs w:val="22"/>
    </w:rPr>
  </w:style>
  <w:style w:type="character" w:customStyle="1" w:styleId="239">
    <w:name w:val="明显强调1"/>
    <w:qFormat/>
    <w:uiPriority w:val="0"/>
    <w:rPr>
      <w:b/>
      <w:bCs/>
      <w:i/>
      <w:iCs/>
      <w:color w:val="4F81BD"/>
    </w:rPr>
  </w:style>
  <w:style w:type="character" w:customStyle="1" w:styleId="240">
    <w:name w:val="textcontents"/>
    <w:qFormat/>
    <w:uiPriority w:val="0"/>
    <w:rPr>
      <w:rFonts w:cs="Times New Roman"/>
    </w:rPr>
  </w:style>
  <w:style w:type="character" w:customStyle="1" w:styleId="241">
    <w:name w:val="不明显参考1"/>
    <w:qFormat/>
    <w:uiPriority w:val="0"/>
    <w:rPr>
      <w:smallCaps/>
      <w:color w:val="C0504D"/>
      <w:u w:val="single"/>
    </w:rPr>
  </w:style>
  <w:style w:type="character" w:customStyle="1" w:styleId="242">
    <w:name w:val="批注文字 Char Char"/>
    <w:qFormat/>
    <w:uiPriority w:val="0"/>
    <w:rPr>
      <w:rFonts w:ascii="宋体" w:hAnsi="Times New Roman" w:eastAsia="宋体" w:cs="Times New Roman"/>
      <w:sz w:val="28"/>
      <w:szCs w:val="20"/>
    </w:rPr>
  </w:style>
  <w:style w:type="character" w:customStyle="1" w:styleId="243">
    <w:name w:val="文档结构图 Char1"/>
    <w:qFormat/>
    <w:uiPriority w:val="0"/>
    <w:rPr>
      <w:rFonts w:ascii="宋体"/>
      <w:kern w:val="2"/>
      <w:sz w:val="18"/>
      <w:szCs w:val="18"/>
    </w:rPr>
  </w:style>
  <w:style w:type="paragraph" w:customStyle="1" w:styleId="244">
    <w:name w:val="修订1"/>
    <w:qFormat/>
    <w:uiPriority w:val="0"/>
    <w:rPr>
      <w:rFonts w:ascii="Times New Roman" w:hAnsi="Times New Roman" w:eastAsia="宋体" w:cs="Times New Roman"/>
      <w:kern w:val="2"/>
      <w:sz w:val="21"/>
      <w:szCs w:val="24"/>
      <w:lang w:val="en-US" w:eastAsia="zh-CN" w:bidi="ar-SA"/>
    </w:rPr>
  </w:style>
  <w:style w:type="character" w:customStyle="1" w:styleId="245">
    <w:name w:val="页脚 Char1"/>
    <w:semiHidden/>
    <w:qFormat/>
    <w:uiPriority w:val="99"/>
    <w:rPr>
      <w:kern w:val="2"/>
      <w:sz w:val="18"/>
      <w:szCs w:val="18"/>
    </w:rPr>
  </w:style>
  <w:style w:type="character" w:customStyle="1" w:styleId="246">
    <w:name w:val="批注框文本 Char2"/>
    <w:semiHidden/>
    <w:qFormat/>
    <w:uiPriority w:val="99"/>
    <w:rPr>
      <w:kern w:val="2"/>
      <w:sz w:val="18"/>
      <w:szCs w:val="18"/>
    </w:rPr>
  </w:style>
  <w:style w:type="character" w:customStyle="1" w:styleId="247">
    <w:name w:val="批注主题 Char2"/>
    <w:semiHidden/>
    <w:qFormat/>
    <w:uiPriority w:val="99"/>
    <w:rPr>
      <w:b/>
      <w:bCs/>
      <w:kern w:val="2"/>
      <w:sz w:val="21"/>
      <w:szCs w:val="22"/>
    </w:rPr>
  </w:style>
  <w:style w:type="character" w:customStyle="1" w:styleId="248">
    <w:name w:val="文档结构图 Char2"/>
    <w:semiHidden/>
    <w:qFormat/>
    <w:uiPriority w:val="99"/>
    <w:rPr>
      <w:rFonts w:ascii="宋体"/>
      <w:kern w:val="2"/>
      <w:sz w:val="18"/>
      <w:szCs w:val="18"/>
    </w:rPr>
  </w:style>
  <w:style w:type="character" w:customStyle="1" w:styleId="249">
    <w:name w:val="页眉 Char1"/>
    <w:semiHidden/>
    <w:qFormat/>
    <w:uiPriority w:val="99"/>
    <w:rPr>
      <w:kern w:val="2"/>
      <w:sz w:val="18"/>
      <w:szCs w:val="18"/>
    </w:rPr>
  </w:style>
  <w:style w:type="character" w:customStyle="1" w:styleId="250">
    <w:name w:val="日期 Char2"/>
    <w:semiHidden/>
    <w:qFormat/>
    <w:uiPriority w:val="99"/>
    <w:rPr>
      <w:kern w:val="2"/>
      <w:sz w:val="21"/>
      <w:szCs w:val="22"/>
    </w:rPr>
  </w:style>
  <w:style w:type="character" w:customStyle="1" w:styleId="251">
    <w:name w:val="正文文本 Char2"/>
    <w:semiHidden/>
    <w:qFormat/>
    <w:uiPriority w:val="99"/>
    <w:rPr>
      <w:kern w:val="2"/>
      <w:sz w:val="21"/>
      <w:szCs w:val="22"/>
    </w:rPr>
  </w:style>
  <w:style w:type="character" w:customStyle="1" w:styleId="252">
    <w:name w:val="标题 Char1"/>
    <w:qFormat/>
    <w:uiPriority w:val="10"/>
    <w:rPr>
      <w:rFonts w:ascii="Cambria" w:hAnsi="Cambria" w:cs="Times New Roman"/>
      <w:b/>
      <w:bCs/>
      <w:kern w:val="2"/>
      <w:sz w:val="32"/>
      <w:szCs w:val="32"/>
    </w:rPr>
  </w:style>
  <w:style w:type="character" w:customStyle="1" w:styleId="253">
    <w:name w:val="副标题 Char1"/>
    <w:qFormat/>
    <w:uiPriority w:val="11"/>
    <w:rPr>
      <w:rFonts w:ascii="Cambria" w:hAnsi="Cambria" w:cs="Times New Roman"/>
      <w:b/>
      <w:bCs/>
      <w:kern w:val="28"/>
      <w:sz w:val="32"/>
      <w:szCs w:val="32"/>
    </w:rPr>
  </w:style>
  <w:style w:type="paragraph" w:customStyle="1" w:styleId="254">
    <w:name w:val="空半行"/>
    <w:basedOn w:val="1"/>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5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6">
    <w:name w:val="flNote"/>
    <w:basedOn w:val="1"/>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57">
    <w:name w:val="正文2 Char"/>
    <w:link w:val="258"/>
    <w:qFormat/>
    <w:uiPriority w:val="0"/>
    <w:rPr>
      <w:rFonts w:ascii="楷体" w:eastAsia="楷体"/>
      <w:b/>
      <w:color w:val="0000FF"/>
    </w:rPr>
  </w:style>
  <w:style w:type="paragraph" w:customStyle="1" w:styleId="258">
    <w:name w:val="正文2"/>
    <w:link w:val="257"/>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59">
    <w:name w:val="p0"/>
    <w:basedOn w:val="1"/>
    <w:qFormat/>
    <w:uiPriority w:val="0"/>
    <w:pPr>
      <w:widowControl/>
      <w:spacing w:before="100" w:beforeAutospacing="1" w:after="100" w:afterAutospacing="1"/>
      <w:jc w:val="left"/>
    </w:pPr>
    <w:rPr>
      <w:rFonts w:cs="宋体"/>
      <w:sz w:val="24"/>
      <w:szCs w:val="24"/>
    </w:rPr>
  </w:style>
  <w:style w:type="character" w:customStyle="1" w:styleId="260">
    <w:name w:val="正文文本 (2)_"/>
    <w:link w:val="261"/>
    <w:qFormat/>
    <w:locked/>
    <w:uiPriority w:val="99"/>
    <w:rPr>
      <w:rFonts w:ascii="MingLiU" w:eastAsia="MingLiU" w:cs="MingLiU"/>
      <w:spacing w:val="20"/>
      <w:sz w:val="22"/>
      <w:shd w:val="clear" w:color="auto" w:fill="FFFFFF"/>
    </w:rPr>
  </w:style>
  <w:style w:type="paragraph" w:customStyle="1" w:styleId="261">
    <w:name w:val="正文文本 (2)1"/>
    <w:basedOn w:val="1"/>
    <w:link w:val="260"/>
    <w:qFormat/>
    <w:uiPriority w:val="99"/>
    <w:pPr>
      <w:shd w:val="clear" w:color="auto" w:fill="FFFFFF"/>
      <w:spacing w:before="300" w:line="439" w:lineRule="exact"/>
      <w:jc w:val="distribute"/>
    </w:pPr>
    <w:rPr>
      <w:rFonts w:ascii="MingLiU" w:eastAsia="MingLiU" w:cs="MingLiU"/>
      <w:spacing w:val="20"/>
      <w:sz w:val="22"/>
    </w:rPr>
  </w:style>
  <w:style w:type="character" w:customStyle="1" w:styleId="262">
    <w:name w:val="正文文本 (2) + 间距 0 pt5"/>
    <w:qFormat/>
    <w:uiPriority w:val="99"/>
    <w:rPr>
      <w:rFonts w:ascii="MingLiU" w:eastAsia="MingLiU" w:cs="MingLiU"/>
      <w:spacing w:val="0"/>
      <w:sz w:val="22"/>
      <w:shd w:val="clear" w:color="auto" w:fill="FFFFFF"/>
    </w:rPr>
  </w:style>
  <w:style w:type="character" w:customStyle="1" w:styleId="263">
    <w:name w:val="访问过的超链接1"/>
    <w:basedOn w:val="55"/>
    <w:semiHidden/>
    <w:unhideWhenUsed/>
    <w:qFormat/>
    <w:uiPriority w:val="99"/>
    <w:rPr>
      <w:color w:val="954F72"/>
      <w:u w:val="single"/>
    </w:rPr>
  </w:style>
  <w:style w:type="character" w:customStyle="1" w:styleId="264">
    <w:name w:val="明显引用 Char2"/>
    <w:basedOn w:val="55"/>
    <w:qFormat/>
    <w:uiPriority w:val="30"/>
    <w:rPr>
      <w:b/>
      <w:bCs/>
      <w:i/>
      <w:iCs/>
      <w:color w:val="4F81BD" w:themeColor="accent1"/>
      <w14:textFill>
        <w14:solidFill>
          <w14:schemeClr w14:val="accent1"/>
        </w14:solidFill>
      </w14:textFill>
    </w:rPr>
  </w:style>
  <w:style w:type="character" w:customStyle="1" w:styleId="265">
    <w:name w:val="引用 Char2"/>
    <w:basedOn w:val="55"/>
    <w:qFormat/>
    <w:uiPriority w:val="29"/>
    <w:rPr>
      <w:i/>
      <w:iCs/>
      <w:color w:val="000000" w:themeColor="text1"/>
      <w14:textFill>
        <w14:solidFill>
          <w14:schemeClr w14:val="tx1"/>
        </w14:solidFill>
      </w14:textFill>
    </w:rPr>
  </w:style>
  <w:style w:type="table" w:customStyle="1" w:styleId="266">
    <w:name w:val="网格型4"/>
    <w:basedOn w:val="53"/>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
    <w:name w:val="Table Normal"/>
    <w:semiHidden/>
    <w:unhideWhenUsed/>
    <w:qFormat/>
    <w:uiPriority w:val="0"/>
    <w:tblPr>
      <w:tblCellMar>
        <w:top w:w="0" w:type="dxa"/>
        <w:left w:w="0" w:type="dxa"/>
        <w:bottom w:w="0" w:type="dxa"/>
        <w:right w:w="0" w:type="dxa"/>
      </w:tblCellMar>
    </w:tblPr>
  </w:style>
  <w:style w:type="paragraph" w:customStyle="1" w:styleId="268">
    <w:name w:val="Table Text"/>
    <w:basedOn w:val="1"/>
    <w:semiHidden/>
    <w:qFormat/>
    <w:uiPriority w:val="0"/>
    <w:rPr>
      <w:rFonts w:ascii="Arial" w:hAnsi="Arial" w:eastAsia="Arial" w:cs="Arial"/>
      <w:sz w:val="21"/>
      <w:szCs w:val="21"/>
      <w:lang w:eastAsia="en-US"/>
    </w:rPr>
  </w:style>
  <w:style w:type="character" w:customStyle="1" w:styleId="269">
    <w:name w:val="NormalCharacter"/>
    <w:qFormat/>
    <w:uiPriority w:val="99"/>
  </w:style>
  <w:style w:type="paragraph" w:customStyle="1" w:styleId="270">
    <w:name w:val="样式 样式 正文文本缩进正文文字缩进 + 首行缩进:  2 字符2 + 首行缩进:  2 字符"/>
    <w:basedOn w:val="1"/>
    <w:qFormat/>
    <w:uiPriority w:val="0"/>
    <w:pPr>
      <w:ind w:left="100" w:leftChars="100" w:right="100" w:rightChars="100" w:firstLine="200" w:firstLineChars="100"/>
    </w:pPr>
    <w:rPr>
      <w:rFonts w:hAnsi="Arial"/>
      <w:szCs w:val="22"/>
    </w:rPr>
  </w:style>
  <w:style w:type="paragraph" w:customStyle="1" w:styleId="27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72">
    <w:name w:val="样式 样式 小四 行距: 1.5 倍行距1 + 黑体 小四 居中 段前: 3 磅 段后: 10 磅 行距: 单倍行距"/>
    <w:basedOn w:val="273"/>
    <w:autoRedefine/>
    <w:qFormat/>
    <w:uiPriority w:val="0"/>
    <w:pPr>
      <w:spacing w:before="60" w:after="200" w:line="240" w:lineRule="auto"/>
      <w:ind w:firstLine="0" w:firstLineChars="0"/>
      <w:jc w:val="center"/>
    </w:pPr>
    <w:rPr>
      <w:rFonts w:ascii="黑体" w:hAnsi="黑体" w:eastAsia="黑体"/>
      <w:sz w:val="24"/>
      <w:szCs w:val="20"/>
    </w:rPr>
  </w:style>
  <w:style w:type="paragraph" w:customStyle="1" w:styleId="273">
    <w:name w:val="样式 小四 行距: 1.5 倍行距1"/>
    <w:basedOn w:val="1"/>
    <w:autoRedefine/>
    <w:qFormat/>
    <w:uiPriority w:val="0"/>
    <w:pPr>
      <w:adjustRightInd w:val="0"/>
      <w:spacing w:line="360" w:lineRule="auto"/>
      <w:ind w:firstLine="360" w:firstLineChars="150"/>
      <w:textAlignment w:val="baseline"/>
    </w:pPr>
    <w:rPr>
      <w:rFonts w:cs="宋体"/>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0" Type="http://schemas.microsoft.com/office/2011/relationships/people" Target="people.xml"/><Relationship Id="rId3" Type="http://schemas.openxmlformats.org/officeDocument/2006/relationships/comments" Target="comment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jpe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emf"/><Relationship Id="rId15" Type="http://schemas.openxmlformats.org/officeDocument/2006/relationships/oleObject" Target="embeddings/oleObject1.bin"/><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0E076E-A9C2-429F-926B-BF1D28797E37}">
  <ds:schemaRefs/>
</ds:datastoreItem>
</file>

<file path=docProps/app.xml><?xml version="1.0" encoding="utf-8"?>
<Properties xmlns="http://schemas.openxmlformats.org/officeDocument/2006/extended-properties" xmlns:vt="http://schemas.openxmlformats.org/officeDocument/2006/docPropsVTypes">
  <Template>Normal.dotm</Template>
  <Company>akoosky</Company>
  <Pages>112</Pages>
  <Words>2884</Words>
  <Characters>3187</Characters>
  <Lines>533</Lines>
  <Paragraphs>150</Paragraphs>
  <TotalTime>68</TotalTime>
  <ScaleCrop>false</ScaleCrop>
  <LinksUpToDate>false</LinksUpToDate>
  <CharactersWithSpaces>3245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2021-12-21T17:21:00Z</dcterms:created>
  <dc:creator>Anakin</dc:creator>
  <cp:lastModifiedBy>薛</cp:lastModifiedBy>
  <cp:lastPrinted>2026-02-15T00:16:00Z</cp:lastPrinted>
  <dcterms:modified xsi:type="dcterms:W3CDTF">2026-09-15T07:15:08Z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457FE0313B982346AEC3A86AB96EE49A_43</vt:lpwstr>
  </property>
  <property fmtid="{D5CDD505-2E9C-101B-9397-08002B2CF9AE}" pid="4" name="KSOTemplateDocerSaveRecord">
    <vt:lpwstr>eyJoZGlkIjoiODkyYjc0MzE2ZWExODM3MjhiYjE2YzBhNWFmZTU4YjEiLCJ1c2VySWQiOiIxMjMyMDYzNDI1In0=</vt:lpwstr>
  </property>
</Properties>
</file>